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JPG" ContentType="image/.jpg"/>
  <Default Extension="wmf" ContentType="image/x-wmf"/>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A159C01">
      <w:pPr>
        <w:jc w:val="center"/>
        <w:rPr>
          <w:rFonts w:ascii="Times New Roman" w:hAnsi="Times New Roman"/>
          <w:b/>
          <w:sz w:val="44"/>
          <w:szCs w:val="44"/>
        </w:rPr>
      </w:pPr>
      <w:r>
        <w:rPr>
          <w:rFonts w:ascii="Times New Roman" w:hAnsi="Times New Roman"/>
          <w:b/>
          <w:sz w:val="44"/>
          <w:szCs w:val="44"/>
        </w:rPr>
        <w:t>设 计 说 明</w:t>
      </w:r>
    </w:p>
    <w:p w14:paraId="0A0EB7E5">
      <w:pPr>
        <w:jc w:val="center"/>
        <w:rPr>
          <w:rFonts w:ascii="Times New Roman" w:hAnsi="Times New Roman"/>
          <w:b/>
          <w:color w:val="auto"/>
          <w:sz w:val="21"/>
          <w:szCs w:val="21"/>
          <w:highlight w:val="none"/>
        </w:rPr>
      </w:pPr>
    </w:p>
    <w:p w14:paraId="71B18463">
      <w:pPr>
        <w:pStyle w:val="2"/>
        <w:numPr>
          <w:ilvl w:val="0"/>
          <w:numId w:val="0"/>
        </w:numPr>
        <w:rPr>
          <w:rFonts w:ascii="Times New Roman" w:hAnsi="Times New Roman"/>
          <w:color w:val="auto"/>
          <w:highlight w:val="none"/>
        </w:rPr>
      </w:pPr>
      <w:r>
        <w:rPr>
          <w:rFonts w:ascii="Times New Roman" w:hAnsi="Times New Roman"/>
          <w:color w:val="auto"/>
          <w:highlight w:val="none"/>
        </w:rPr>
        <w:t>1  项目概况</w:t>
      </w:r>
    </w:p>
    <w:p w14:paraId="4230ACA5">
      <w:pPr>
        <w:pStyle w:val="3"/>
        <w:numPr>
          <w:ilvl w:val="0"/>
          <w:numId w:val="0"/>
        </w:numPr>
        <w:ind w:left="281"/>
        <w:rPr>
          <w:rFonts w:ascii="Times New Roman" w:hAnsi="Times New Roman"/>
          <w:color w:val="auto"/>
          <w:highlight w:val="none"/>
        </w:rPr>
      </w:pPr>
      <w:r>
        <w:rPr>
          <w:rFonts w:ascii="Times New Roman" w:hAnsi="Times New Roman"/>
          <w:color w:val="auto"/>
          <w:highlight w:val="none"/>
        </w:rPr>
        <w:t>1.1  桥梁概况</w:t>
      </w:r>
    </w:p>
    <w:p w14:paraId="60FE6D49">
      <w:pPr>
        <w:ind w:firstLine="480"/>
        <w:rPr>
          <w:rFonts w:hint="eastAsia" w:ascii="宋体" w:hAnsi="宋体"/>
          <w:color w:val="auto"/>
          <w:szCs w:val="24"/>
          <w:highlight w:val="none"/>
        </w:rPr>
      </w:pPr>
      <w:bookmarkStart w:id="0" w:name="_Hlk159347397"/>
      <w:r>
        <w:rPr>
          <w:rFonts w:hint="eastAsia" w:ascii="宋体" w:hAnsi="宋体"/>
          <w:color w:val="auto"/>
          <w:szCs w:val="24"/>
          <w:highlight w:val="none"/>
        </w:rPr>
        <w:t>那初三桥位于田东县C290线（田东县檀河至保群公路）上的一座圬工拱桥，中心桩号</w:t>
      </w:r>
      <w:r>
        <w:rPr>
          <w:rFonts w:ascii="宋体" w:hAnsi="宋体"/>
          <w:color w:val="auto"/>
          <w:szCs w:val="24"/>
          <w:highlight w:val="none"/>
        </w:rPr>
        <w:t>K4+921</w:t>
      </w:r>
      <w:r>
        <w:rPr>
          <w:rFonts w:hint="eastAsia" w:ascii="宋体" w:hAnsi="宋体"/>
          <w:color w:val="auto"/>
          <w:szCs w:val="24"/>
          <w:highlight w:val="none"/>
        </w:rPr>
        <w:t>，上跨一冲沟，桥梁全长30m，桥面总宽8.5m，与路线交角为90°。建成于1982年。桥梁所处路段平面线为直线段，路基宽度为6.50m。</w:t>
      </w:r>
    </w:p>
    <w:p w14:paraId="1BB37665">
      <w:pPr>
        <w:ind w:firstLine="480"/>
        <w:rPr>
          <w:rFonts w:hint="eastAsia" w:ascii="宋体" w:hAnsi="宋体"/>
          <w:color w:val="auto"/>
          <w:szCs w:val="24"/>
          <w:highlight w:val="none"/>
        </w:rPr>
      </w:pPr>
      <w:r>
        <w:rPr>
          <w:rFonts w:hint="eastAsia" w:ascii="宋体" w:hAnsi="宋体"/>
          <w:color w:val="auto"/>
          <w:szCs w:val="24"/>
          <w:highlight w:val="none"/>
        </w:rPr>
        <w:t>上部结构采用1×16.00m圬工拱。</w:t>
      </w:r>
    </w:p>
    <w:p w14:paraId="4ED1B13F">
      <w:pPr>
        <w:ind w:firstLine="480"/>
        <w:rPr>
          <w:rFonts w:hint="eastAsia" w:ascii="宋体" w:hAnsi="宋体"/>
          <w:color w:val="auto"/>
          <w:szCs w:val="24"/>
          <w:highlight w:val="none"/>
        </w:rPr>
      </w:pPr>
      <w:r>
        <w:rPr>
          <w:rFonts w:hint="eastAsia" w:ascii="宋体" w:hAnsi="宋体"/>
          <w:color w:val="auto"/>
          <w:szCs w:val="24"/>
          <w:highlight w:val="none"/>
        </w:rPr>
        <w:t>下部结构桥台为重力式桥台，基础为明挖扩大基础，该桥未设置桥墩。</w:t>
      </w:r>
    </w:p>
    <w:p w14:paraId="605C1852">
      <w:pPr>
        <w:ind w:firstLine="480"/>
        <w:rPr>
          <w:rFonts w:hint="eastAsia" w:ascii="宋体" w:hAnsi="宋体"/>
          <w:color w:val="auto"/>
          <w:szCs w:val="24"/>
          <w:highlight w:val="none"/>
        </w:rPr>
      </w:pPr>
      <w:r>
        <w:rPr>
          <w:rFonts w:hint="eastAsia" w:ascii="宋体" w:hAnsi="宋体"/>
          <w:color w:val="auto"/>
          <w:szCs w:val="24"/>
          <w:highlight w:val="none"/>
        </w:rPr>
        <w:t>桥面采用水泥混凝土铺装，未设道伸缩缝，两侧设置护栏。</w:t>
      </w:r>
      <w:bookmarkEnd w:id="0"/>
    </w:p>
    <w:tbl>
      <w:tblPr>
        <w:tblStyle w:val="27"/>
        <w:tblW w:w="0" w:type="auto"/>
        <w:jc w:val="center"/>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autofit"/>
        <w:tblCellMar>
          <w:top w:w="0" w:type="dxa"/>
          <w:left w:w="0" w:type="dxa"/>
          <w:bottom w:w="0" w:type="dxa"/>
          <w:right w:w="0" w:type="dxa"/>
        </w:tblCellMar>
      </w:tblPr>
      <w:tblGrid>
        <w:gridCol w:w="4996"/>
        <w:gridCol w:w="5023"/>
      </w:tblGrid>
      <w:tr w14:paraId="6DA73C91">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43" w:hRule="atLeast"/>
          <w:jc w:val="center"/>
        </w:trPr>
        <w:tc>
          <w:tcPr>
            <w:tcW w:w="0" w:type="auto"/>
            <w:shd w:val="clear" w:color="auto" w:fill="auto"/>
          </w:tcPr>
          <w:p w14:paraId="481DEE96">
            <w:pPr>
              <w:pStyle w:val="80"/>
              <w:ind w:firstLine="422"/>
              <w:rPr>
                <w:color w:val="auto"/>
                <w:highlight w:val="none"/>
              </w:rPr>
            </w:pPr>
            <w:r>
              <w:rPr>
                <w:color w:val="auto"/>
                <w:highlight w:val="none"/>
              </w:rPr>
              <w:drawing>
                <wp:inline distT="0" distB="0" distL="0" distR="0">
                  <wp:extent cx="3123565" cy="2146300"/>
                  <wp:effectExtent l="0" t="0" r="635" b="6350"/>
                  <wp:docPr id="166584764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5847646" name="图片 1"/>
                          <pic:cNvPicPr>
                            <a:picLocks noChangeAspect="1"/>
                          </pic:cNvPicPr>
                        </pic:nvPicPr>
                        <pic:blipFill>
                          <a:blip r:embed="rId9"/>
                          <a:stretch>
                            <a:fillRect/>
                          </a:stretch>
                        </pic:blipFill>
                        <pic:spPr>
                          <a:xfrm>
                            <a:off x="0" y="0"/>
                            <a:ext cx="3123565" cy="2146300"/>
                          </a:xfrm>
                          <a:prstGeom prst="rect">
                            <a:avLst/>
                          </a:prstGeom>
                        </pic:spPr>
                      </pic:pic>
                    </a:graphicData>
                  </a:graphic>
                </wp:inline>
              </w:drawing>
            </w:r>
          </w:p>
          <w:p w14:paraId="3F56C071">
            <w:pPr>
              <w:pStyle w:val="80"/>
              <w:ind w:firstLine="422"/>
              <w:rPr>
                <w:color w:val="auto"/>
                <w:highlight w:val="none"/>
              </w:rPr>
            </w:pPr>
            <w:r>
              <w:rPr>
                <w:rFonts w:hint="eastAsia"/>
                <w:color w:val="auto"/>
                <w:highlight w:val="none"/>
              </w:rPr>
              <w:t>那初三</w:t>
            </w:r>
            <w:r>
              <w:rPr>
                <w:color w:val="auto"/>
                <w:highlight w:val="none"/>
              </w:rPr>
              <w:t>桥桥面照</w:t>
            </w:r>
          </w:p>
        </w:tc>
        <w:tc>
          <w:tcPr>
            <w:tcW w:w="0" w:type="auto"/>
            <w:shd w:val="clear" w:color="auto" w:fill="auto"/>
          </w:tcPr>
          <w:p w14:paraId="7E21819E">
            <w:pPr>
              <w:pStyle w:val="80"/>
              <w:ind w:firstLine="422"/>
              <w:rPr>
                <w:color w:val="auto"/>
                <w:spacing w:val="20"/>
                <w:highlight w:val="none"/>
              </w:rPr>
            </w:pPr>
            <w:r>
              <w:rPr>
                <w:color w:val="auto"/>
                <w:highlight w:val="none"/>
              </w:rPr>
              <w:drawing>
                <wp:inline distT="0" distB="0" distL="0" distR="0">
                  <wp:extent cx="3136265" cy="2162810"/>
                  <wp:effectExtent l="0" t="0" r="6985" b="8890"/>
                  <wp:docPr id="160787525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7875255" name="图片 1"/>
                          <pic:cNvPicPr>
                            <a:picLocks noChangeAspect="1"/>
                          </pic:cNvPicPr>
                        </pic:nvPicPr>
                        <pic:blipFill>
                          <a:blip r:embed="rId10"/>
                          <a:stretch>
                            <a:fillRect/>
                          </a:stretch>
                        </pic:blipFill>
                        <pic:spPr>
                          <a:xfrm>
                            <a:off x="0" y="0"/>
                            <a:ext cx="3136265" cy="2162810"/>
                          </a:xfrm>
                          <a:prstGeom prst="rect">
                            <a:avLst/>
                          </a:prstGeom>
                        </pic:spPr>
                      </pic:pic>
                    </a:graphicData>
                  </a:graphic>
                </wp:inline>
              </w:drawing>
            </w:r>
          </w:p>
          <w:p w14:paraId="6676910B">
            <w:pPr>
              <w:pStyle w:val="80"/>
              <w:ind w:firstLine="422"/>
              <w:rPr>
                <w:color w:val="auto"/>
                <w:highlight w:val="none"/>
              </w:rPr>
            </w:pPr>
            <w:r>
              <w:rPr>
                <w:rFonts w:hint="eastAsia"/>
                <w:color w:val="auto"/>
                <w:highlight w:val="none"/>
              </w:rPr>
              <w:t>那初三</w:t>
            </w:r>
            <w:r>
              <w:rPr>
                <w:color w:val="auto"/>
                <w:highlight w:val="none"/>
              </w:rPr>
              <w:t>桥</w:t>
            </w:r>
            <w:r>
              <w:rPr>
                <w:rFonts w:hint="eastAsia"/>
                <w:color w:val="auto"/>
                <w:highlight w:val="none"/>
              </w:rPr>
              <w:t>右侧</w:t>
            </w:r>
            <w:r>
              <w:rPr>
                <w:color w:val="auto"/>
                <w:highlight w:val="none"/>
              </w:rPr>
              <w:t>立面照</w:t>
            </w:r>
          </w:p>
        </w:tc>
      </w:tr>
    </w:tbl>
    <w:p w14:paraId="43CB8441">
      <w:pPr>
        <w:pStyle w:val="3"/>
        <w:numPr>
          <w:ilvl w:val="0"/>
          <w:numId w:val="0"/>
        </w:numPr>
        <w:ind w:firstLine="280" w:firstLineChars="100"/>
        <w:rPr>
          <w:rFonts w:ascii="Times New Roman" w:hAnsi="Times New Roman"/>
          <w:color w:val="auto"/>
          <w:highlight w:val="none"/>
        </w:rPr>
      </w:pPr>
      <w:r>
        <w:rPr>
          <w:rFonts w:ascii="Times New Roman" w:hAnsi="Times New Roman"/>
          <w:color w:val="auto"/>
          <w:highlight w:val="none"/>
        </w:rPr>
        <w:t>1.2  原桥设计标准规范</w:t>
      </w:r>
    </w:p>
    <w:p w14:paraId="028B5578">
      <w:pPr>
        <w:spacing w:line="480" w:lineRule="exact"/>
        <w:ind w:firstLine="480" w:firstLineChars="200"/>
        <w:rPr>
          <w:rFonts w:ascii="Times New Roman" w:hAnsi="Times New Roman" w:eastAsiaTheme="minorEastAsia"/>
          <w:color w:val="auto"/>
          <w:szCs w:val="24"/>
          <w:highlight w:val="none"/>
        </w:rPr>
      </w:pPr>
      <w:r>
        <w:rPr>
          <w:rFonts w:ascii="Times New Roman" w:hAnsi="Times New Roman"/>
          <w:color w:val="auto"/>
          <w:highlight w:val="none"/>
        </w:rPr>
        <w:t>1、《公路工程技术标准》</w:t>
      </w:r>
      <w:r>
        <w:rPr>
          <w:rFonts w:ascii="Times New Roman" w:hAnsi="Times New Roman" w:eastAsiaTheme="minorEastAsia"/>
          <w:color w:val="auto"/>
          <w:szCs w:val="24"/>
          <w:highlight w:val="none"/>
        </w:rPr>
        <w:t>（试行）197</w:t>
      </w:r>
      <w:r>
        <w:rPr>
          <w:rFonts w:hint="eastAsia" w:ascii="Times New Roman" w:hAnsi="Times New Roman" w:eastAsiaTheme="minorEastAsia"/>
          <w:color w:val="auto"/>
          <w:szCs w:val="24"/>
          <w:highlight w:val="none"/>
        </w:rPr>
        <w:t>2</w:t>
      </w:r>
      <w:r>
        <w:rPr>
          <w:rFonts w:ascii="Times New Roman" w:hAnsi="Times New Roman" w:eastAsiaTheme="minorEastAsia"/>
          <w:color w:val="auto"/>
          <w:szCs w:val="24"/>
          <w:highlight w:val="none"/>
        </w:rPr>
        <w:t>年</w:t>
      </w:r>
    </w:p>
    <w:p w14:paraId="446A52BC">
      <w:pPr>
        <w:spacing w:line="480" w:lineRule="exact"/>
        <w:ind w:firstLine="480" w:firstLineChars="200"/>
        <w:rPr>
          <w:rFonts w:ascii="Times New Roman" w:hAnsi="Times New Roman" w:eastAsiaTheme="minorEastAsia"/>
          <w:color w:val="auto"/>
          <w:szCs w:val="24"/>
          <w:highlight w:val="none"/>
        </w:rPr>
      </w:pPr>
      <w:r>
        <w:rPr>
          <w:rFonts w:hint="eastAsia" w:ascii="Times New Roman" w:hAnsi="Times New Roman" w:eastAsiaTheme="minorEastAsia"/>
          <w:color w:val="auto"/>
          <w:szCs w:val="24"/>
          <w:highlight w:val="none"/>
        </w:rPr>
        <w:t>2、</w:t>
      </w:r>
      <w:r>
        <w:rPr>
          <w:rFonts w:ascii="Times New Roman" w:hAnsi="Times New Roman" w:eastAsiaTheme="minorEastAsia"/>
          <w:color w:val="auto"/>
          <w:szCs w:val="24"/>
          <w:highlight w:val="none"/>
        </w:rPr>
        <w:t>《公路桥涵设计规范》（试行）1975年</w:t>
      </w:r>
    </w:p>
    <w:p w14:paraId="4674165C">
      <w:pPr>
        <w:pStyle w:val="3"/>
        <w:numPr>
          <w:ilvl w:val="0"/>
          <w:numId w:val="0"/>
        </w:numPr>
        <w:ind w:firstLine="280" w:firstLineChars="100"/>
        <w:rPr>
          <w:rFonts w:ascii="Times New Roman" w:hAnsi="Times New Roman"/>
          <w:color w:val="auto"/>
          <w:highlight w:val="none"/>
        </w:rPr>
      </w:pPr>
      <w:r>
        <w:rPr>
          <w:rFonts w:ascii="Times New Roman" w:hAnsi="Times New Roman"/>
          <w:color w:val="auto"/>
          <w:highlight w:val="none"/>
        </w:rPr>
        <w:t>1.3  原设计技术指标</w:t>
      </w:r>
    </w:p>
    <w:p w14:paraId="6E8AAF0C">
      <w:pPr>
        <w:spacing w:line="480" w:lineRule="exact"/>
        <w:ind w:firstLine="480" w:firstLineChars="200"/>
        <w:rPr>
          <w:rFonts w:ascii="Times New Roman" w:hAnsi="Times New Roman"/>
          <w:color w:val="auto"/>
          <w:highlight w:val="none"/>
        </w:rPr>
      </w:pPr>
      <w:r>
        <w:rPr>
          <w:rFonts w:ascii="Times New Roman" w:hAnsi="Times New Roman"/>
          <w:color w:val="auto"/>
          <w:highlight w:val="none"/>
        </w:rPr>
        <w:t>1、公路等级：</w:t>
      </w:r>
      <w:r>
        <w:rPr>
          <w:rFonts w:hint="eastAsia" w:ascii="Times New Roman" w:hAnsi="Times New Roman"/>
          <w:color w:val="auto"/>
          <w:highlight w:val="none"/>
        </w:rPr>
        <w:t>四</w:t>
      </w:r>
      <w:r>
        <w:rPr>
          <w:rFonts w:ascii="Times New Roman" w:hAnsi="Times New Roman"/>
          <w:color w:val="auto"/>
          <w:highlight w:val="none"/>
        </w:rPr>
        <w:t>级公路</w:t>
      </w:r>
      <w:r>
        <w:rPr>
          <w:rFonts w:hint="eastAsia" w:ascii="Times New Roman" w:hAnsi="Times New Roman"/>
          <w:color w:val="auto"/>
          <w:highlight w:val="none"/>
        </w:rPr>
        <w:t>（山岭重丘）</w:t>
      </w:r>
      <w:r>
        <w:rPr>
          <w:rFonts w:ascii="Times New Roman" w:hAnsi="Times New Roman"/>
          <w:color w:val="auto"/>
          <w:highlight w:val="none"/>
        </w:rPr>
        <w:t>；</w:t>
      </w:r>
    </w:p>
    <w:p w14:paraId="596A4137">
      <w:pPr>
        <w:spacing w:line="480" w:lineRule="exact"/>
        <w:ind w:firstLine="480" w:firstLineChars="200"/>
        <w:rPr>
          <w:rFonts w:ascii="Times New Roman" w:hAnsi="Times New Roman"/>
          <w:color w:val="auto"/>
          <w:highlight w:val="none"/>
        </w:rPr>
      </w:pPr>
      <w:r>
        <w:rPr>
          <w:rFonts w:ascii="Times New Roman" w:hAnsi="Times New Roman"/>
          <w:color w:val="auto"/>
          <w:highlight w:val="none"/>
        </w:rPr>
        <w:t>2、设计速度：</w:t>
      </w:r>
      <w:r>
        <w:rPr>
          <w:rFonts w:hint="eastAsia" w:ascii="Times New Roman" w:hAnsi="Times New Roman"/>
          <w:color w:val="auto"/>
          <w:highlight w:val="none"/>
        </w:rPr>
        <w:t>20</w:t>
      </w:r>
      <w:r>
        <w:rPr>
          <w:rFonts w:ascii="Times New Roman" w:hAnsi="Times New Roman"/>
          <w:color w:val="auto"/>
          <w:highlight w:val="none"/>
        </w:rPr>
        <w:t>km/h；</w:t>
      </w:r>
    </w:p>
    <w:p w14:paraId="5C54BD83">
      <w:pPr>
        <w:spacing w:line="480" w:lineRule="exact"/>
        <w:ind w:firstLine="480" w:firstLineChars="200"/>
        <w:rPr>
          <w:rFonts w:ascii="Times New Roman" w:hAnsi="Times New Roman"/>
          <w:color w:val="auto"/>
          <w:highlight w:val="none"/>
        </w:rPr>
      </w:pPr>
      <w:r>
        <w:rPr>
          <w:rFonts w:ascii="Times New Roman" w:hAnsi="Times New Roman"/>
          <w:color w:val="auto"/>
          <w:highlight w:val="none"/>
        </w:rPr>
        <w:t>3、设计荷载：汽车-1</w:t>
      </w:r>
      <w:r>
        <w:rPr>
          <w:rFonts w:hint="eastAsia" w:ascii="Times New Roman" w:hAnsi="Times New Roman"/>
          <w:color w:val="auto"/>
          <w:highlight w:val="none"/>
        </w:rPr>
        <w:t>0</w:t>
      </w:r>
      <w:r>
        <w:rPr>
          <w:rFonts w:ascii="Times New Roman" w:hAnsi="Times New Roman"/>
          <w:color w:val="auto"/>
          <w:highlight w:val="none"/>
        </w:rPr>
        <w:t>级</w:t>
      </w:r>
      <w:r>
        <w:rPr>
          <w:rFonts w:hint="eastAsia" w:ascii="Times New Roman" w:hAnsi="Times New Roman"/>
          <w:color w:val="auto"/>
          <w:highlight w:val="none"/>
        </w:rPr>
        <w:t>，履带</w:t>
      </w:r>
      <w:r>
        <w:rPr>
          <w:rFonts w:ascii="Times New Roman" w:hAnsi="Times New Roman"/>
          <w:color w:val="auto"/>
          <w:highlight w:val="none"/>
        </w:rPr>
        <w:t>-</w:t>
      </w:r>
      <w:r>
        <w:rPr>
          <w:rFonts w:hint="eastAsia" w:ascii="Times New Roman" w:hAnsi="Times New Roman"/>
          <w:color w:val="auto"/>
          <w:highlight w:val="none"/>
        </w:rPr>
        <w:t>50；</w:t>
      </w:r>
    </w:p>
    <w:p w14:paraId="39F71EF6">
      <w:pPr>
        <w:spacing w:line="480" w:lineRule="exact"/>
        <w:ind w:firstLine="480" w:firstLineChars="200"/>
        <w:rPr>
          <w:rFonts w:ascii="Times New Roman" w:hAnsi="Times New Roman" w:eastAsiaTheme="minorEastAsia"/>
          <w:color w:val="auto"/>
          <w:szCs w:val="24"/>
          <w:highlight w:val="none"/>
        </w:rPr>
      </w:pPr>
      <w:r>
        <w:rPr>
          <w:rFonts w:ascii="Times New Roman" w:hAnsi="Times New Roman" w:eastAsiaTheme="minorEastAsia"/>
          <w:color w:val="auto"/>
          <w:szCs w:val="24"/>
          <w:highlight w:val="none"/>
        </w:rPr>
        <w:t>4、桥面宽度：</w:t>
      </w:r>
      <w:r>
        <w:rPr>
          <w:rFonts w:ascii="Times New Roman" w:hAnsi="Times New Roman"/>
          <w:color w:val="auto"/>
          <w:spacing w:val="20"/>
          <w:highlight w:val="none"/>
        </w:rPr>
        <w:t>0.</w:t>
      </w:r>
      <w:r>
        <w:rPr>
          <w:rFonts w:hint="eastAsia" w:ascii="Times New Roman" w:hAnsi="Times New Roman"/>
          <w:color w:val="auto"/>
          <w:spacing w:val="20"/>
          <w:highlight w:val="none"/>
        </w:rPr>
        <w:t>5</w:t>
      </w:r>
      <w:r>
        <w:rPr>
          <w:rFonts w:ascii="Times New Roman" w:hAnsi="Times New Roman"/>
          <w:color w:val="auto"/>
          <w:spacing w:val="20"/>
          <w:highlight w:val="none"/>
        </w:rPr>
        <w:t>护栏+</w:t>
      </w:r>
      <w:r>
        <w:rPr>
          <w:rFonts w:hint="eastAsia" w:ascii="Times New Roman" w:hAnsi="Times New Roman"/>
          <w:color w:val="auto"/>
          <w:spacing w:val="20"/>
          <w:highlight w:val="none"/>
        </w:rPr>
        <w:t>7</w:t>
      </w:r>
      <w:r>
        <w:rPr>
          <w:rFonts w:ascii="Times New Roman" w:hAnsi="Times New Roman"/>
          <w:color w:val="auto"/>
          <w:spacing w:val="20"/>
          <w:highlight w:val="none"/>
        </w:rPr>
        <w:t>.5m行车道+0.</w:t>
      </w:r>
      <w:r>
        <w:rPr>
          <w:rFonts w:hint="eastAsia" w:ascii="Times New Roman" w:hAnsi="Times New Roman"/>
          <w:color w:val="auto"/>
          <w:spacing w:val="20"/>
          <w:highlight w:val="none"/>
        </w:rPr>
        <w:t>5</w:t>
      </w:r>
      <w:r>
        <w:rPr>
          <w:rFonts w:ascii="Times New Roman" w:hAnsi="Times New Roman"/>
          <w:color w:val="auto"/>
          <w:spacing w:val="20"/>
          <w:highlight w:val="none"/>
        </w:rPr>
        <w:t>护栏=</w:t>
      </w:r>
      <w:r>
        <w:rPr>
          <w:rFonts w:hint="eastAsia" w:ascii="Times New Roman" w:hAnsi="Times New Roman"/>
          <w:color w:val="auto"/>
          <w:spacing w:val="20"/>
          <w:highlight w:val="none"/>
        </w:rPr>
        <w:t>8.5</w:t>
      </w:r>
      <w:r>
        <w:rPr>
          <w:rFonts w:ascii="Times New Roman" w:hAnsi="Times New Roman"/>
          <w:color w:val="auto"/>
          <w:spacing w:val="20"/>
          <w:highlight w:val="none"/>
        </w:rPr>
        <w:t>m</w:t>
      </w:r>
      <w:r>
        <w:rPr>
          <w:rFonts w:ascii="Times New Roman" w:hAnsi="Times New Roman" w:eastAsiaTheme="minorEastAsia"/>
          <w:color w:val="auto"/>
          <w:szCs w:val="24"/>
          <w:highlight w:val="none"/>
        </w:rPr>
        <w:t>。</w:t>
      </w:r>
    </w:p>
    <w:p w14:paraId="586B8B13">
      <w:pPr>
        <w:pStyle w:val="3"/>
        <w:numPr>
          <w:ilvl w:val="0"/>
          <w:numId w:val="0"/>
        </w:numPr>
        <w:ind w:left="281"/>
        <w:rPr>
          <w:rFonts w:ascii="Times New Roman" w:hAnsi="Times New Roman"/>
          <w:color w:val="auto"/>
          <w:highlight w:val="none"/>
        </w:rPr>
      </w:pPr>
      <w:r>
        <w:rPr>
          <w:rFonts w:ascii="Times New Roman" w:hAnsi="Times New Roman"/>
          <w:color w:val="auto"/>
          <w:highlight w:val="none"/>
        </w:rPr>
        <w:t>1.4  任务依据</w:t>
      </w:r>
    </w:p>
    <w:p w14:paraId="30C32B39">
      <w:pPr>
        <w:ind w:firstLine="410" w:firstLineChars="171"/>
        <w:rPr>
          <w:rFonts w:ascii="Times New Roman" w:hAnsi="Times New Roman"/>
          <w:color w:val="auto"/>
          <w:szCs w:val="28"/>
          <w:highlight w:val="none"/>
        </w:rPr>
      </w:pPr>
      <w:r>
        <w:rPr>
          <w:rFonts w:ascii="Times New Roman" w:hAnsi="Times New Roman"/>
          <w:color w:val="auto"/>
          <w:szCs w:val="28"/>
          <w:highlight w:val="none"/>
        </w:rPr>
        <w:t>1、</w:t>
      </w:r>
      <w:r>
        <w:rPr>
          <w:rFonts w:hint="eastAsia" w:ascii="Times New Roman" w:hAnsi="Times New Roman"/>
          <w:color w:val="auto"/>
          <w:szCs w:val="28"/>
          <w:highlight w:val="none"/>
        </w:rPr>
        <w:t>田东县交通运输局</w:t>
      </w:r>
      <w:r>
        <w:rPr>
          <w:rFonts w:ascii="Times New Roman" w:hAnsi="Times New Roman"/>
          <w:color w:val="auto"/>
          <w:szCs w:val="28"/>
          <w:highlight w:val="none"/>
        </w:rPr>
        <w:t>相关合同。</w:t>
      </w:r>
    </w:p>
    <w:p w14:paraId="4A5E02F2">
      <w:pPr>
        <w:ind w:firstLine="480" w:firstLineChars="200"/>
        <w:rPr>
          <w:rFonts w:ascii="Times New Roman" w:hAnsi="Times New Roman"/>
          <w:color w:val="auto"/>
          <w:szCs w:val="28"/>
          <w:highlight w:val="none"/>
        </w:rPr>
      </w:pPr>
      <w:r>
        <w:rPr>
          <w:rFonts w:ascii="Times New Roman" w:hAnsi="Times New Roman"/>
          <w:color w:val="auto"/>
          <w:szCs w:val="28"/>
          <w:highlight w:val="none"/>
        </w:rPr>
        <w:t>2、</w:t>
      </w:r>
      <w:r>
        <w:rPr>
          <w:rFonts w:ascii="Times New Roman" w:hAnsi="Times New Roman"/>
          <w:color w:val="auto"/>
          <w:highlight w:val="none"/>
        </w:rPr>
        <w:t>《</w:t>
      </w:r>
      <w:r>
        <w:rPr>
          <w:rFonts w:hint="eastAsia" w:ascii="Times New Roman" w:hAnsi="Times New Roman"/>
          <w:color w:val="auto"/>
          <w:highlight w:val="none"/>
        </w:rPr>
        <w:t>田东县旧桥检测 那初三桥检测报告</w:t>
      </w:r>
      <w:r>
        <w:rPr>
          <w:rFonts w:ascii="Times New Roman" w:hAnsi="Times New Roman"/>
          <w:color w:val="auto"/>
          <w:highlight w:val="none"/>
        </w:rPr>
        <w:t>》（</w:t>
      </w:r>
      <w:r>
        <w:rPr>
          <w:rFonts w:ascii="Times New Roman" w:hAnsi="Times New Roman"/>
          <w:color w:val="auto"/>
          <w:szCs w:val="28"/>
          <w:highlight w:val="none"/>
        </w:rPr>
        <w:t>广西</w:t>
      </w:r>
      <w:r>
        <w:rPr>
          <w:rFonts w:hint="eastAsia" w:ascii="Times New Roman" w:hAnsi="Times New Roman"/>
          <w:color w:val="auto"/>
          <w:szCs w:val="28"/>
          <w:highlight w:val="none"/>
        </w:rPr>
        <w:t>交通工程检测有限</w:t>
      </w:r>
      <w:r>
        <w:rPr>
          <w:rFonts w:ascii="Times New Roman" w:hAnsi="Times New Roman"/>
          <w:color w:val="auto"/>
          <w:szCs w:val="28"/>
          <w:highlight w:val="none"/>
        </w:rPr>
        <w:t>公司</w:t>
      </w:r>
      <w:r>
        <w:rPr>
          <w:rFonts w:hint="eastAsia" w:ascii="Times New Roman" w:hAnsi="Times New Roman"/>
          <w:color w:val="auto"/>
          <w:szCs w:val="28"/>
          <w:highlight w:val="none"/>
        </w:rPr>
        <w:t xml:space="preserve"> </w:t>
      </w:r>
      <w:r>
        <w:rPr>
          <w:rFonts w:ascii="Times New Roman" w:hAnsi="Times New Roman"/>
          <w:color w:val="auto"/>
          <w:highlight w:val="none"/>
        </w:rPr>
        <w:t>20</w:t>
      </w:r>
      <w:r>
        <w:rPr>
          <w:rFonts w:hint="eastAsia" w:ascii="Times New Roman" w:hAnsi="Times New Roman"/>
          <w:color w:val="auto"/>
          <w:highlight w:val="none"/>
        </w:rPr>
        <w:t>24年5月16日</w:t>
      </w:r>
      <w:r>
        <w:rPr>
          <w:rFonts w:ascii="Times New Roman" w:hAnsi="Times New Roman"/>
          <w:color w:val="auto"/>
          <w:highlight w:val="none"/>
        </w:rPr>
        <w:t>，编号：</w:t>
      </w:r>
      <w:r>
        <w:rPr>
          <w:rFonts w:hint="eastAsia" w:ascii="Times New Roman" w:hAnsi="Times New Roman"/>
          <w:color w:val="auto"/>
          <w:highlight w:val="none"/>
        </w:rPr>
        <w:t>JTJC/XB-2023-216-Q</w:t>
      </w:r>
      <w:r>
        <w:rPr>
          <w:rFonts w:ascii="Times New Roman" w:hAnsi="Times New Roman"/>
          <w:color w:val="auto"/>
          <w:highlight w:val="none"/>
        </w:rPr>
        <w:t>）</w:t>
      </w:r>
      <w:r>
        <w:rPr>
          <w:rFonts w:ascii="Times New Roman" w:hAnsi="Times New Roman"/>
          <w:color w:val="auto"/>
          <w:szCs w:val="28"/>
          <w:highlight w:val="none"/>
        </w:rPr>
        <w:t>。</w:t>
      </w:r>
      <w:r>
        <w:rPr>
          <w:rFonts w:hint="eastAsia" w:ascii="Times New Roman" w:hAnsi="Times New Roman"/>
          <w:color w:val="auto"/>
          <w:szCs w:val="28"/>
          <w:highlight w:val="none"/>
        </w:rPr>
        <w:t>（以下称</w:t>
      </w:r>
      <w:r>
        <w:rPr>
          <w:rFonts w:asciiTheme="minorEastAsia" w:hAnsiTheme="minorEastAsia" w:eastAsiaTheme="minorEastAsia"/>
          <w:color w:val="auto"/>
          <w:highlight w:val="none"/>
        </w:rPr>
        <w:t>“检测报告”</w:t>
      </w:r>
      <w:r>
        <w:rPr>
          <w:rFonts w:hint="eastAsia" w:ascii="Times New Roman" w:hAnsi="Times New Roman"/>
          <w:color w:val="auto"/>
          <w:szCs w:val="28"/>
          <w:highlight w:val="none"/>
        </w:rPr>
        <w:t>）</w:t>
      </w:r>
    </w:p>
    <w:p w14:paraId="13A3E492">
      <w:pPr>
        <w:pStyle w:val="3"/>
        <w:numPr>
          <w:ilvl w:val="0"/>
          <w:numId w:val="0"/>
        </w:numPr>
        <w:ind w:left="281"/>
        <w:rPr>
          <w:rFonts w:ascii="Times New Roman" w:hAnsi="Times New Roman"/>
          <w:color w:val="auto"/>
          <w:highlight w:val="none"/>
        </w:rPr>
      </w:pPr>
      <w:bookmarkStart w:id="1" w:name="_Toc175075496"/>
      <w:r>
        <w:rPr>
          <w:rFonts w:ascii="Times New Roman" w:hAnsi="Times New Roman"/>
          <w:color w:val="auto"/>
          <w:highlight w:val="none"/>
        </w:rPr>
        <w:t>1.</w:t>
      </w:r>
      <w:r>
        <w:rPr>
          <w:rFonts w:hint="eastAsia" w:ascii="Times New Roman" w:hAnsi="Times New Roman"/>
          <w:color w:val="auto"/>
          <w:highlight w:val="none"/>
        </w:rPr>
        <w:t>5</w:t>
      </w:r>
      <w:r>
        <w:rPr>
          <w:rFonts w:ascii="Times New Roman" w:hAnsi="Times New Roman"/>
          <w:color w:val="auto"/>
          <w:highlight w:val="none"/>
        </w:rPr>
        <w:t xml:space="preserve">  本次设计工程规模及设计范围</w:t>
      </w:r>
      <w:bookmarkEnd w:id="1"/>
    </w:p>
    <w:p w14:paraId="118462AC">
      <w:pPr>
        <w:ind w:firstLine="480"/>
        <w:rPr>
          <w:rFonts w:hint="eastAsia" w:ascii="宋体" w:hAnsi="宋体"/>
          <w:color w:val="auto"/>
          <w:highlight w:val="none"/>
          <w:lang w:bidi="ar"/>
        </w:rPr>
      </w:pPr>
      <w:r>
        <w:rPr>
          <w:rFonts w:hint="eastAsia" w:ascii="Times New Roman" w:hAnsi="Times New Roman"/>
          <w:color w:val="auto"/>
          <w:szCs w:val="28"/>
          <w:highlight w:val="none"/>
        </w:rPr>
        <w:t>根据田东县交通运输局</w:t>
      </w:r>
      <w:r>
        <w:rPr>
          <w:rFonts w:ascii="Times New Roman" w:hAnsi="Times New Roman"/>
          <w:color w:val="auto"/>
          <w:szCs w:val="28"/>
          <w:highlight w:val="none"/>
        </w:rPr>
        <w:t>相关合同</w:t>
      </w:r>
      <w:r>
        <w:rPr>
          <w:rFonts w:hint="eastAsia" w:ascii="Times New Roman" w:hAnsi="Times New Roman"/>
          <w:color w:val="auto"/>
          <w:szCs w:val="28"/>
          <w:highlight w:val="none"/>
        </w:rPr>
        <w:t>对</w:t>
      </w:r>
      <w:r>
        <w:rPr>
          <w:rFonts w:hint="eastAsia" w:ascii="宋体" w:hAnsi="宋体"/>
          <w:color w:val="auto"/>
          <w:highlight w:val="none"/>
          <w:lang w:bidi="ar"/>
        </w:rPr>
        <w:t>那初三桥所在范围内及桥头两端接线。</w:t>
      </w:r>
    </w:p>
    <w:p w14:paraId="1ECA2BB7">
      <w:pPr>
        <w:pStyle w:val="3"/>
        <w:numPr>
          <w:ilvl w:val="0"/>
          <w:numId w:val="0"/>
        </w:numPr>
        <w:ind w:left="281"/>
        <w:rPr>
          <w:rFonts w:ascii="Times New Roman" w:hAnsi="Times New Roman"/>
          <w:color w:val="auto"/>
          <w:highlight w:val="none"/>
        </w:rPr>
      </w:pPr>
      <w:bookmarkStart w:id="2" w:name="_Toc175075497"/>
      <w:r>
        <w:rPr>
          <w:rFonts w:ascii="Times New Roman" w:hAnsi="Times New Roman"/>
          <w:color w:val="auto"/>
          <w:highlight w:val="none"/>
        </w:rPr>
        <w:t>1.</w:t>
      </w:r>
      <w:r>
        <w:rPr>
          <w:rFonts w:hint="eastAsia" w:ascii="Times New Roman" w:hAnsi="Times New Roman"/>
          <w:color w:val="auto"/>
          <w:highlight w:val="none"/>
        </w:rPr>
        <w:t>6</w:t>
      </w:r>
      <w:r>
        <w:rPr>
          <w:rFonts w:ascii="Times New Roman" w:hAnsi="Times New Roman"/>
          <w:color w:val="auto"/>
          <w:highlight w:val="none"/>
        </w:rPr>
        <w:t xml:space="preserve">  测设过程</w:t>
      </w:r>
      <w:bookmarkEnd w:id="2"/>
    </w:p>
    <w:p w14:paraId="4CFBCD0B">
      <w:pPr>
        <w:ind w:firstLine="480"/>
        <w:rPr>
          <w:rFonts w:hint="eastAsia" w:ascii="宋体" w:hAnsi="宋体" w:cs="宋体"/>
          <w:color w:val="auto"/>
          <w:szCs w:val="24"/>
          <w:highlight w:val="none"/>
        </w:rPr>
      </w:pPr>
      <w:r>
        <w:rPr>
          <w:rFonts w:ascii="宋体" w:hAnsi="宋体"/>
          <w:color w:val="auto"/>
          <w:szCs w:val="24"/>
          <w:highlight w:val="none"/>
        </w:rPr>
        <w:t>接到项目任务后，我公司立即着手开始收集该桥相关资料，于202</w:t>
      </w:r>
      <w:r>
        <w:rPr>
          <w:rFonts w:hint="eastAsia" w:ascii="宋体" w:hAnsi="宋体"/>
          <w:color w:val="auto"/>
          <w:szCs w:val="24"/>
          <w:highlight w:val="none"/>
        </w:rPr>
        <w:t>5</w:t>
      </w:r>
      <w:r>
        <w:rPr>
          <w:rFonts w:ascii="宋体" w:hAnsi="宋体"/>
          <w:color w:val="auto"/>
          <w:szCs w:val="24"/>
          <w:highlight w:val="none"/>
        </w:rPr>
        <w:t>年</w:t>
      </w:r>
      <w:r>
        <w:rPr>
          <w:rFonts w:hint="eastAsia" w:ascii="宋体" w:hAnsi="宋体"/>
          <w:color w:val="auto"/>
          <w:szCs w:val="24"/>
          <w:highlight w:val="none"/>
        </w:rPr>
        <w:t>3</w:t>
      </w:r>
      <w:r>
        <w:rPr>
          <w:rFonts w:ascii="宋体" w:hAnsi="宋体"/>
          <w:color w:val="auto"/>
          <w:szCs w:val="24"/>
          <w:highlight w:val="none"/>
        </w:rPr>
        <w:t>月</w:t>
      </w:r>
      <w:r>
        <w:rPr>
          <w:rFonts w:ascii="宋体" w:hAnsi="宋体"/>
          <w:color w:val="auto"/>
          <w:highlight w:val="none"/>
        </w:rPr>
        <w:t>形成本设计成果文件。</w:t>
      </w:r>
    </w:p>
    <w:p w14:paraId="72F5F65C">
      <w:pPr>
        <w:pStyle w:val="2"/>
        <w:numPr>
          <w:ilvl w:val="0"/>
          <w:numId w:val="0"/>
        </w:numPr>
        <w:adjustRightInd w:val="0"/>
        <w:snapToGrid w:val="0"/>
        <w:jc w:val="both"/>
        <w:rPr>
          <w:rFonts w:ascii="Times New Roman" w:hAnsi="Times New Roman"/>
          <w:color w:val="auto"/>
          <w:highlight w:val="none"/>
        </w:rPr>
      </w:pPr>
      <w:r>
        <w:rPr>
          <w:rFonts w:ascii="Times New Roman" w:hAnsi="Times New Roman"/>
          <w:color w:val="auto"/>
          <w:highlight w:val="none"/>
        </w:rPr>
        <w:t xml:space="preserve">2  </w:t>
      </w:r>
      <w:r>
        <w:rPr>
          <w:rFonts w:hint="eastAsia" w:ascii="Times New Roman" w:hAnsi="Times New Roman"/>
          <w:color w:val="auto"/>
          <w:highlight w:val="none"/>
        </w:rPr>
        <w:t>建设条件</w:t>
      </w:r>
    </w:p>
    <w:p w14:paraId="60F91FAE">
      <w:pPr>
        <w:pStyle w:val="3"/>
        <w:numPr>
          <w:ilvl w:val="0"/>
          <w:numId w:val="0"/>
        </w:numPr>
        <w:ind w:firstLine="280" w:firstLineChars="100"/>
        <w:rPr>
          <w:rFonts w:ascii="Times New Roman" w:hAnsi="Times New Roman"/>
          <w:color w:val="auto"/>
          <w:highlight w:val="none"/>
        </w:rPr>
      </w:pPr>
      <w:r>
        <w:rPr>
          <w:rFonts w:hint="eastAsia" w:ascii="Times New Roman" w:hAnsi="Times New Roman"/>
          <w:color w:val="auto"/>
          <w:highlight w:val="none"/>
        </w:rPr>
        <w:t>2.1  地质、水文、地震等基础资料</w:t>
      </w:r>
    </w:p>
    <w:p w14:paraId="50414494">
      <w:pPr>
        <w:pStyle w:val="4"/>
        <w:ind w:firstLine="482"/>
        <w:rPr>
          <w:color w:val="auto"/>
          <w:highlight w:val="none"/>
        </w:rPr>
      </w:pPr>
      <w:r>
        <w:rPr>
          <w:rFonts w:hint="eastAsia"/>
          <w:color w:val="auto"/>
          <w:highlight w:val="none"/>
        </w:rPr>
        <w:t>2.1.1  地形地貌</w:t>
      </w:r>
    </w:p>
    <w:p w14:paraId="72F0D0F5">
      <w:pPr>
        <w:ind w:firstLine="480"/>
        <w:rPr>
          <w:rFonts w:hint="eastAsia" w:ascii="宋体" w:hAnsi="宋体"/>
          <w:color w:val="auto"/>
          <w:szCs w:val="24"/>
          <w:highlight w:val="none"/>
        </w:rPr>
      </w:pPr>
      <w:r>
        <w:rPr>
          <w:rFonts w:hint="eastAsia" w:ascii="宋体" w:hAnsi="宋体"/>
          <w:color w:val="auto"/>
          <w:szCs w:val="24"/>
          <w:highlight w:val="none"/>
        </w:rPr>
        <w:t>桥址区属河流冲积阶地地貌。拟建桥梁位于右江附近，地势平坦、开阔，地面高程在63～76m之间，上覆第四系残积土层，现已开垦为旱地，种植稻谷、甘蔗、桉树等经济作物。桥头无基岩出露，未见其他岩溶塌陷等不良地质。</w:t>
      </w:r>
    </w:p>
    <w:p w14:paraId="1B8D3620">
      <w:pPr>
        <w:pStyle w:val="4"/>
        <w:ind w:firstLine="482"/>
        <w:rPr>
          <w:color w:val="auto"/>
          <w:highlight w:val="none"/>
        </w:rPr>
      </w:pPr>
      <w:r>
        <w:rPr>
          <w:rFonts w:hint="eastAsia"/>
          <w:color w:val="auto"/>
          <w:highlight w:val="none"/>
        </w:rPr>
        <w:t>2.1.2  地层岩性</w:t>
      </w:r>
    </w:p>
    <w:p w14:paraId="13622B7D">
      <w:pPr>
        <w:ind w:firstLine="480"/>
        <w:rPr>
          <w:rFonts w:hint="eastAsia" w:ascii="宋体" w:hAnsi="宋体"/>
          <w:color w:val="auto"/>
          <w:szCs w:val="24"/>
          <w:highlight w:val="none"/>
        </w:rPr>
      </w:pPr>
      <w:r>
        <w:rPr>
          <w:rFonts w:hint="eastAsia" w:ascii="宋体" w:hAnsi="宋体"/>
          <w:color w:val="auto"/>
          <w:szCs w:val="24"/>
          <w:highlight w:val="none"/>
        </w:rPr>
        <w:t>桥址区第四系覆盖层主要有人工填筑层和残积层。人工填筑层（Q</w:t>
      </w:r>
      <w:r>
        <w:rPr>
          <w:rFonts w:hint="eastAsia" w:ascii="宋体" w:hAnsi="宋体"/>
          <w:color w:val="auto"/>
          <w:szCs w:val="24"/>
          <w:highlight w:val="none"/>
          <w:vertAlign w:val="subscript"/>
        </w:rPr>
        <w:t>4</w:t>
      </w:r>
      <w:r>
        <w:rPr>
          <w:rFonts w:hint="eastAsia" w:ascii="宋体" w:hAnsi="宋体"/>
          <w:color w:val="auto"/>
          <w:szCs w:val="24"/>
          <w:highlight w:val="none"/>
          <w:vertAlign w:val="superscript"/>
        </w:rPr>
        <w:t>ml</w:t>
      </w:r>
      <w:r>
        <w:rPr>
          <w:rFonts w:hint="eastAsia" w:ascii="宋体" w:hAnsi="宋体"/>
          <w:color w:val="auto"/>
          <w:szCs w:val="24"/>
          <w:highlight w:val="none"/>
        </w:rPr>
        <w:t>）主要分布于桥头附近，系原桥回填锥坡，以杂填土为主，厚2.9～4.0m；残积层（Q</w:t>
      </w:r>
      <w:r>
        <w:rPr>
          <w:rFonts w:hint="eastAsia" w:ascii="宋体" w:hAnsi="宋体"/>
          <w:color w:val="auto"/>
          <w:szCs w:val="24"/>
          <w:highlight w:val="none"/>
          <w:vertAlign w:val="subscript"/>
        </w:rPr>
        <w:t>4</w:t>
      </w:r>
      <w:r>
        <w:rPr>
          <w:rFonts w:hint="eastAsia" w:ascii="宋体" w:hAnsi="宋体"/>
          <w:color w:val="auto"/>
          <w:szCs w:val="24"/>
          <w:highlight w:val="none"/>
          <w:vertAlign w:val="superscript"/>
        </w:rPr>
        <w:t>el</w:t>
      </w:r>
      <w:r>
        <w:rPr>
          <w:rFonts w:hint="eastAsia" w:ascii="宋体" w:hAnsi="宋体"/>
          <w:color w:val="auto"/>
          <w:szCs w:val="24"/>
          <w:highlight w:val="none"/>
        </w:rPr>
        <w:t>）主要分布于全场，多为黏土，厚2.0～4.0m。</w:t>
      </w:r>
    </w:p>
    <w:p w14:paraId="382B274A">
      <w:pPr>
        <w:ind w:firstLine="480"/>
        <w:rPr>
          <w:rFonts w:hint="eastAsia" w:ascii="宋体" w:hAnsi="宋体"/>
          <w:color w:val="auto"/>
          <w:szCs w:val="24"/>
          <w:highlight w:val="none"/>
        </w:rPr>
      </w:pPr>
      <w:r>
        <w:rPr>
          <w:rFonts w:hint="eastAsia" w:ascii="宋体" w:hAnsi="宋体"/>
          <w:color w:val="auto"/>
          <w:szCs w:val="24"/>
          <w:highlight w:val="none"/>
        </w:rPr>
        <w:t>下伏三叠系中统百逢组中段（T</w:t>
      </w:r>
      <w:r>
        <w:rPr>
          <w:rFonts w:hint="eastAsia" w:ascii="宋体" w:hAnsi="宋体"/>
          <w:color w:val="auto"/>
          <w:szCs w:val="24"/>
          <w:highlight w:val="none"/>
          <w:vertAlign w:val="subscript"/>
        </w:rPr>
        <w:t>2</w:t>
      </w:r>
      <w:r>
        <w:rPr>
          <w:rFonts w:hint="eastAsia" w:ascii="宋体" w:hAnsi="宋体"/>
          <w:color w:val="auto"/>
          <w:szCs w:val="24"/>
          <w:highlight w:val="none"/>
        </w:rPr>
        <w:t>b</w:t>
      </w:r>
      <w:r>
        <w:rPr>
          <w:rFonts w:hint="eastAsia" w:ascii="宋体" w:hAnsi="宋体"/>
          <w:color w:val="auto"/>
          <w:szCs w:val="24"/>
          <w:highlight w:val="none"/>
          <w:vertAlign w:val="subscript"/>
        </w:rPr>
        <w:t>2</w:t>
      </w:r>
      <w:r>
        <w:rPr>
          <w:rFonts w:hint="eastAsia" w:ascii="宋体" w:hAnsi="宋体"/>
          <w:color w:val="auto"/>
          <w:szCs w:val="24"/>
          <w:highlight w:val="none"/>
        </w:rPr>
        <w:t>），岩性为泥灰岩，岩面埋深13.0～15.0m，本次勘察揭示的岩层总厚度17.2～19.3m。</w:t>
      </w:r>
    </w:p>
    <w:p w14:paraId="6A8F034B">
      <w:pPr>
        <w:pStyle w:val="3"/>
        <w:numPr>
          <w:ilvl w:val="0"/>
          <w:numId w:val="0"/>
        </w:numPr>
        <w:ind w:firstLine="280" w:firstLineChars="100"/>
        <w:rPr>
          <w:rFonts w:ascii="Times New Roman" w:hAnsi="Times New Roman"/>
          <w:color w:val="auto"/>
          <w:highlight w:val="none"/>
        </w:rPr>
      </w:pPr>
      <w:r>
        <w:rPr>
          <w:rFonts w:hint="eastAsia" w:ascii="Times New Roman" w:hAnsi="Times New Roman"/>
          <w:color w:val="auto"/>
          <w:highlight w:val="none"/>
        </w:rPr>
        <w:t>2.2  地层岩性</w:t>
      </w:r>
    </w:p>
    <w:p w14:paraId="0B7E440B">
      <w:pPr>
        <w:ind w:firstLine="480"/>
        <w:rPr>
          <w:rFonts w:hint="eastAsia" w:ascii="宋体" w:hAnsi="宋体"/>
          <w:color w:val="auto"/>
          <w:szCs w:val="24"/>
          <w:highlight w:val="none"/>
        </w:rPr>
      </w:pPr>
      <w:r>
        <w:rPr>
          <w:rFonts w:hint="eastAsia" w:ascii="宋体" w:hAnsi="宋体"/>
          <w:color w:val="auto"/>
          <w:szCs w:val="24"/>
          <w:highlight w:val="none"/>
        </w:rPr>
        <w:t>桥址区第四系覆盖层主要有人工填筑层和残积层。人工填筑层（Q</w:t>
      </w:r>
      <w:r>
        <w:rPr>
          <w:rFonts w:hint="eastAsia" w:ascii="宋体" w:hAnsi="宋体"/>
          <w:color w:val="auto"/>
          <w:szCs w:val="24"/>
          <w:highlight w:val="none"/>
          <w:vertAlign w:val="subscript"/>
        </w:rPr>
        <w:t>4</w:t>
      </w:r>
      <w:r>
        <w:rPr>
          <w:rFonts w:hint="eastAsia" w:ascii="宋体" w:hAnsi="宋体"/>
          <w:color w:val="auto"/>
          <w:szCs w:val="24"/>
          <w:highlight w:val="none"/>
          <w:vertAlign w:val="superscript"/>
        </w:rPr>
        <w:t>ml</w:t>
      </w:r>
      <w:r>
        <w:rPr>
          <w:rFonts w:hint="eastAsia" w:ascii="宋体" w:hAnsi="宋体"/>
          <w:color w:val="auto"/>
          <w:szCs w:val="24"/>
          <w:highlight w:val="none"/>
        </w:rPr>
        <w:t>）主要分布于桥头附近，系原桥回填锥坡，以杂填土为主，厚2.9～4.0m；残积层（Q</w:t>
      </w:r>
      <w:r>
        <w:rPr>
          <w:rFonts w:hint="eastAsia" w:ascii="宋体" w:hAnsi="宋体"/>
          <w:color w:val="auto"/>
          <w:szCs w:val="24"/>
          <w:highlight w:val="none"/>
          <w:vertAlign w:val="subscript"/>
        </w:rPr>
        <w:t>4</w:t>
      </w:r>
      <w:r>
        <w:rPr>
          <w:rFonts w:hint="eastAsia" w:ascii="宋体" w:hAnsi="宋体"/>
          <w:color w:val="auto"/>
          <w:szCs w:val="24"/>
          <w:highlight w:val="none"/>
          <w:vertAlign w:val="superscript"/>
        </w:rPr>
        <w:t>el</w:t>
      </w:r>
      <w:r>
        <w:rPr>
          <w:rFonts w:hint="eastAsia" w:ascii="宋体" w:hAnsi="宋体"/>
          <w:color w:val="auto"/>
          <w:szCs w:val="24"/>
          <w:highlight w:val="none"/>
        </w:rPr>
        <w:t>）主要分布于全场，多为黏土，厚2.0～4.0m。</w:t>
      </w:r>
    </w:p>
    <w:p w14:paraId="06050DC7">
      <w:pPr>
        <w:ind w:firstLine="480"/>
        <w:rPr>
          <w:rFonts w:hint="eastAsia" w:ascii="宋体" w:hAnsi="宋体"/>
          <w:color w:val="auto"/>
          <w:szCs w:val="24"/>
          <w:highlight w:val="none"/>
        </w:rPr>
      </w:pPr>
      <w:r>
        <w:rPr>
          <w:rFonts w:hint="eastAsia" w:ascii="宋体" w:hAnsi="宋体"/>
          <w:color w:val="auto"/>
          <w:szCs w:val="24"/>
          <w:highlight w:val="none"/>
        </w:rPr>
        <w:t>下伏三叠系中统百逢组中段（T</w:t>
      </w:r>
      <w:r>
        <w:rPr>
          <w:rFonts w:hint="eastAsia" w:ascii="宋体" w:hAnsi="宋体"/>
          <w:color w:val="auto"/>
          <w:szCs w:val="24"/>
          <w:highlight w:val="none"/>
          <w:vertAlign w:val="subscript"/>
        </w:rPr>
        <w:t>2</w:t>
      </w:r>
      <w:r>
        <w:rPr>
          <w:rFonts w:hint="eastAsia" w:ascii="宋体" w:hAnsi="宋体"/>
          <w:color w:val="auto"/>
          <w:szCs w:val="24"/>
          <w:highlight w:val="none"/>
        </w:rPr>
        <w:t>b</w:t>
      </w:r>
      <w:r>
        <w:rPr>
          <w:rFonts w:hint="eastAsia" w:ascii="宋体" w:hAnsi="宋体"/>
          <w:color w:val="auto"/>
          <w:szCs w:val="24"/>
          <w:highlight w:val="none"/>
          <w:vertAlign w:val="subscript"/>
        </w:rPr>
        <w:t>2</w:t>
      </w:r>
      <w:r>
        <w:rPr>
          <w:rFonts w:hint="eastAsia" w:ascii="宋体" w:hAnsi="宋体"/>
          <w:color w:val="auto"/>
          <w:szCs w:val="24"/>
          <w:highlight w:val="none"/>
        </w:rPr>
        <w:t>），岩性为泥灰岩，岩面埋深13.0～15.0m，本次勘察揭示的岩层总厚度17.2～19.3m。</w:t>
      </w:r>
    </w:p>
    <w:p w14:paraId="0AEE2C1D">
      <w:pPr>
        <w:pStyle w:val="3"/>
        <w:numPr>
          <w:ilvl w:val="0"/>
          <w:numId w:val="0"/>
        </w:numPr>
        <w:ind w:firstLine="280" w:firstLineChars="100"/>
        <w:rPr>
          <w:rFonts w:ascii="Times New Roman" w:hAnsi="Times New Roman"/>
          <w:color w:val="auto"/>
          <w:highlight w:val="none"/>
        </w:rPr>
      </w:pPr>
      <w:r>
        <w:rPr>
          <w:rFonts w:hint="eastAsia" w:ascii="Times New Roman" w:hAnsi="Times New Roman"/>
          <w:color w:val="auto"/>
          <w:highlight w:val="none"/>
        </w:rPr>
        <w:t>2.3  地质构造</w:t>
      </w:r>
    </w:p>
    <w:p w14:paraId="6E1F1D70">
      <w:pPr>
        <w:ind w:firstLine="480"/>
        <w:rPr>
          <w:rFonts w:ascii="Times New Roman" w:hAnsi="Times New Roman"/>
          <w:color w:val="auto"/>
          <w:szCs w:val="24"/>
          <w:highlight w:val="none"/>
        </w:rPr>
      </w:pPr>
      <w:r>
        <w:rPr>
          <w:rFonts w:ascii="Times New Roman" w:hAnsi="Times New Roman"/>
          <w:color w:val="auto"/>
          <w:szCs w:val="24"/>
          <w:highlight w:val="none"/>
        </w:rPr>
        <w:t>根据区域地质资料并结合地质调查及钻孔资料，勘察区域附近有一条断裂带，延伸上千米，规模较小。以上断层第四纪以来特别是全新世以来，未发现有明显的活动迹象，钻探亦未揭示断裂破碎带，按《岩土工程勘察规范》（GB 50021-2001）（2009年版）第5.8.2条划分，这些断层属非全新活动断层。桥位区覆盖层厚度大，未见基岩出露。</w:t>
      </w:r>
    </w:p>
    <w:p w14:paraId="3AB947C6">
      <w:pPr>
        <w:ind w:firstLine="480"/>
        <w:rPr>
          <w:rFonts w:ascii="Times New Roman" w:hAnsi="Times New Roman"/>
          <w:color w:val="auto"/>
          <w:szCs w:val="24"/>
          <w:highlight w:val="none"/>
        </w:rPr>
      </w:pPr>
      <w:r>
        <w:rPr>
          <w:rFonts w:ascii="Times New Roman" w:hAnsi="Times New Roman"/>
          <w:color w:val="auto"/>
          <w:szCs w:val="24"/>
          <w:highlight w:val="none"/>
        </w:rPr>
        <w:t>根据《中国地震动参数区划图》（GB18306-2015），区内基本地震动峰值加速度为0.15g，对应的地震基本烈度为Ⅶ度，基本地震动反应谱特征周期0.35。</w:t>
      </w:r>
    </w:p>
    <w:p w14:paraId="71035AF5">
      <w:pPr>
        <w:pStyle w:val="3"/>
        <w:numPr>
          <w:ilvl w:val="0"/>
          <w:numId w:val="0"/>
        </w:numPr>
        <w:ind w:firstLine="280" w:firstLineChars="100"/>
        <w:rPr>
          <w:rFonts w:ascii="Times New Roman" w:hAnsi="Times New Roman"/>
          <w:color w:val="auto"/>
          <w:highlight w:val="none"/>
        </w:rPr>
      </w:pPr>
      <w:r>
        <w:rPr>
          <w:rFonts w:hint="eastAsia" w:ascii="Times New Roman" w:hAnsi="Times New Roman"/>
          <w:color w:val="auto"/>
          <w:highlight w:val="none"/>
        </w:rPr>
        <w:t>2.4  水文地质</w:t>
      </w:r>
    </w:p>
    <w:p w14:paraId="28C555A7">
      <w:pPr>
        <w:pStyle w:val="4"/>
        <w:ind w:firstLine="482"/>
        <w:rPr>
          <w:color w:val="auto"/>
          <w:highlight w:val="none"/>
        </w:rPr>
      </w:pPr>
      <w:r>
        <w:rPr>
          <w:rFonts w:hint="eastAsia"/>
          <w:color w:val="auto"/>
          <w:highlight w:val="none"/>
        </w:rPr>
        <w:t>2.4.1  地表水</w:t>
      </w:r>
    </w:p>
    <w:p w14:paraId="3573A9D5">
      <w:pPr>
        <w:ind w:firstLine="480"/>
        <w:rPr>
          <w:rFonts w:hint="eastAsia" w:ascii="宋体" w:hAnsi="宋体"/>
          <w:color w:val="auto"/>
          <w:szCs w:val="24"/>
          <w:highlight w:val="none"/>
        </w:rPr>
      </w:pPr>
      <w:r>
        <w:rPr>
          <w:rFonts w:hint="eastAsia" w:ascii="宋体" w:hAnsi="宋体"/>
          <w:color w:val="auto"/>
          <w:szCs w:val="24"/>
          <w:highlight w:val="none"/>
        </w:rPr>
        <w:t>本桥位地表水体主要为流过场地内的右江，在桥位区平行，有一季节性河沟连通右江，主要接受大气降水补给，洪水时，河水未超过桥面，水量受季节影响较大。</w:t>
      </w:r>
    </w:p>
    <w:p w14:paraId="314712C4">
      <w:pPr>
        <w:pStyle w:val="4"/>
        <w:ind w:firstLine="482"/>
        <w:rPr>
          <w:color w:val="auto"/>
          <w:highlight w:val="none"/>
        </w:rPr>
      </w:pPr>
      <w:r>
        <w:rPr>
          <w:rFonts w:hint="eastAsia"/>
          <w:color w:val="auto"/>
          <w:highlight w:val="none"/>
        </w:rPr>
        <w:t>2.4.2  地下水</w:t>
      </w:r>
    </w:p>
    <w:p w14:paraId="0EA7C07F">
      <w:pPr>
        <w:ind w:firstLine="480"/>
        <w:rPr>
          <w:rFonts w:hint="eastAsia" w:ascii="宋体" w:hAnsi="宋体"/>
          <w:color w:val="auto"/>
          <w:szCs w:val="24"/>
          <w:highlight w:val="none"/>
        </w:rPr>
      </w:pPr>
      <w:r>
        <w:rPr>
          <w:rFonts w:hint="eastAsia" w:ascii="宋体" w:hAnsi="宋体"/>
          <w:color w:val="auto"/>
          <w:szCs w:val="24"/>
          <w:highlight w:val="none"/>
        </w:rPr>
        <w:t>勘察区地下水有两种类型，一种为赋存于第四系地层中的孔隙水，属潜水，受大气降水或地表水补给，地下水量较丰富，水位随季节而变化；另一种为赋存于岩石中的岩溶裂隙水，受地表水和孔隙水补给，其水量随岩溶发育程度及地下岩溶管道的连通性而变化。勘察期间测得钻孔内稳定地下水位为65.5～66m。</w:t>
      </w:r>
    </w:p>
    <w:p w14:paraId="54909310">
      <w:pPr>
        <w:pStyle w:val="4"/>
        <w:ind w:firstLine="482"/>
        <w:rPr>
          <w:color w:val="auto"/>
          <w:highlight w:val="none"/>
        </w:rPr>
      </w:pPr>
      <w:r>
        <w:rPr>
          <w:rFonts w:hint="eastAsia"/>
          <w:color w:val="auto"/>
          <w:highlight w:val="none"/>
        </w:rPr>
        <w:t>2.4.3  岩土层透水性</w:t>
      </w:r>
    </w:p>
    <w:p w14:paraId="4966BF3A">
      <w:pPr>
        <w:ind w:firstLine="480"/>
        <w:rPr>
          <w:rFonts w:hint="eastAsia" w:ascii="宋体" w:hAnsi="宋体"/>
          <w:color w:val="auto"/>
          <w:szCs w:val="24"/>
          <w:highlight w:val="none"/>
        </w:rPr>
      </w:pPr>
      <w:r>
        <w:rPr>
          <w:rFonts w:hint="eastAsia" w:ascii="宋体" w:hAnsi="宋体"/>
          <w:color w:val="auto"/>
          <w:szCs w:val="24"/>
          <w:highlight w:val="none"/>
        </w:rPr>
        <w:t>根据地质调查结果，结合地区经验，黏土为弱透水层；基岩的透水性因岩溶、裂隙发育程度、充填和连通性等情况不同而差异较大，在岩溶、裂隙发育，且连通性较好的部位，透水性相对较强，为强透水层；在岩体完整，岩溶、裂隙不发育，或虽岩体节理裂隙较发育，但多呈闭合状的部位，岩体透水性相对较弱，为弱透水～中等透水层。</w:t>
      </w:r>
    </w:p>
    <w:p w14:paraId="05C2FBED">
      <w:pPr>
        <w:pStyle w:val="3"/>
        <w:numPr>
          <w:ilvl w:val="0"/>
          <w:numId w:val="0"/>
        </w:numPr>
        <w:ind w:firstLine="280" w:firstLineChars="100"/>
        <w:rPr>
          <w:rFonts w:ascii="Times New Roman" w:hAnsi="Times New Roman"/>
          <w:color w:val="auto"/>
          <w:highlight w:val="none"/>
        </w:rPr>
      </w:pPr>
      <w:r>
        <w:rPr>
          <w:rFonts w:hint="eastAsia" w:ascii="Times New Roman" w:hAnsi="Times New Roman"/>
          <w:color w:val="auto"/>
          <w:highlight w:val="none"/>
        </w:rPr>
        <w:t>2.5  不良地质与特殊性岩土</w:t>
      </w:r>
    </w:p>
    <w:p w14:paraId="24475D22">
      <w:pPr>
        <w:ind w:firstLine="480"/>
        <w:rPr>
          <w:rFonts w:hint="eastAsia" w:ascii="宋体" w:hAnsi="宋体"/>
          <w:color w:val="auto"/>
          <w:szCs w:val="24"/>
          <w:highlight w:val="none"/>
        </w:rPr>
      </w:pPr>
      <w:r>
        <w:rPr>
          <w:rFonts w:hint="eastAsia" w:ascii="宋体" w:hAnsi="宋体"/>
          <w:color w:val="auto"/>
          <w:szCs w:val="24"/>
          <w:highlight w:val="none"/>
        </w:rPr>
        <w:t>桥位区未见特殊性岩土及不良地质发育。</w:t>
      </w:r>
    </w:p>
    <w:p w14:paraId="60CCB75E">
      <w:pPr>
        <w:pStyle w:val="3"/>
        <w:numPr>
          <w:ilvl w:val="0"/>
          <w:numId w:val="0"/>
        </w:numPr>
        <w:ind w:firstLine="280" w:firstLineChars="100"/>
        <w:rPr>
          <w:rFonts w:ascii="Times New Roman" w:hAnsi="Times New Roman"/>
          <w:color w:val="auto"/>
          <w:highlight w:val="none"/>
        </w:rPr>
      </w:pPr>
      <w:r>
        <w:rPr>
          <w:rFonts w:hint="eastAsia" w:ascii="Times New Roman" w:hAnsi="Times New Roman"/>
          <w:color w:val="auto"/>
          <w:highlight w:val="none"/>
        </w:rPr>
        <w:t>2.6  工程地质特征与评价</w:t>
      </w:r>
    </w:p>
    <w:p w14:paraId="28A37F12">
      <w:pPr>
        <w:ind w:firstLine="480"/>
        <w:rPr>
          <w:rFonts w:hint="eastAsia" w:ascii="宋体" w:hAnsi="宋体"/>
          <w:color w:val="auto"/>
          <w:szCs w:val="24"/>
          <w:highlight w:val="none"/>
        </w:rPr>
      </w:pPr>
      <w:r>
        <w:rPr>
          <w:rFonts w:hint="eastAsia" w:ascii="宋体" w:hAnsi="宋体"/>
          <w:color w:val="auto"/>
          <w:szCs w:val="24"/>
          <w:highlight w:val="none"/>
        </w:rPr>
        <w:t>桥位区工程地质层主要分以下几层：</w:t>
      </w:r>
    </w:p>
    <w:p w14:paraId="234E9AED">
      <w:pPr>
        <w:ind w:firstLine="480"/>
        <w:rPr>
          <w:rFonts w:hint="eastAsia" w:ascii="宋体" w:hAnsi="宋体"/>
          <w:color w:val="auto"/>
          <w:szCs w:val="24"/>
          <w:highlight w:val="none"/>
        </w:rPr>
      </w:pPr>
      <w:r>
        <w:rPr>
          <w:rFonts w:hint="eastAsia" w:ascii="宋体" w:hAnsi="宋体"/>
          <w:color w:val="auto"/>
          <w:szCs w:val="24"/>
          <w:highlight w:val="none"/>
        </w:rPr>
        <w:t>人工填土（Q</w:t>
      </w:r>
      <w:r>
        <w:rPr>
          <w:rFonts w:hint="eastAsia" w:ascii="宋体" w:hAnsi="宋体"/>
          <w:color w:val="auto"/>
          <w:szCs w:val="24"/>
          <w:highlight w:val="none"/>
          <w:vertAlign w:val="subscript"/>
        </w:rPr>
        <w:t>4</w:t>
      </w:r>
      <w:r>
        <w:rPr>
          <w:rFonts w:hint="eastAsia" w:ascii="宋体" w:hAnsi="宋体"/>
          <w:color w:val="auto"/>
          <w:szCs w:val="24"/>
          <w:highlight w:val="none"/>
          <w:vertAlign w:val="superscript"/>
        </w:rPr>
        <w:t>ml</w:t>
      </w:r>
      <w:r>
        <w:rPr>
          <w:rFonts w:hint="eastAsia" w:ascii="宋体" w:hAnsi="宋体"/>
          <w:color w:val="auto"/>
          <w:szCs w:val="24"/>
          <w:highlight w:val="none"/>
        </w:rPr>
        <w:t>），可塑黄褐色填土组成，系桥梁修建填筑，填筑时间大于10年。该层主要分布于桥台，ZK1、ZK3钻孔有揭示，厚度2.90～4.00m。</w:t>
      </w:r>
    </w:p>
    <w:p w14:paraId="199A3138">
      <w:pPr>
        <w:ind w:firstLine="480"/>
        <w:rPr>
          <w:rFonts w:hint="eastAsia" w:ascii="宋体" w:hAnsi="宋体"/>
          <w:color w:val="auto"/>
          <w:szCs w:val="24"/>
          <w:highlight w:val="none"/>
        </w:rPr>
      </w:pPr>
      <w:r>
        <w:rPr>
          <w:rFonts w:hint="eastAsia" w:ascii="宋体" w:hAnsi="宋体"/>
          <w:color w:val="auto"/>
          <w:szCs w:val="24"/>
          <w:highlight w:val="none"/>
        </w:rPr>
        <w:t>黏土（Q</w:t>
      </w:r>
      <w:r>
        <w:rPr>
          <w:rFonts w:hint="eastAsia" w:ascii="宋体" w:hAnsi="宋体"/>
          <w:color w:val="auto"/>
          <w:szCs w:val="24"/>
          <w:highlight w:val="none"/>
          <w:vertAlign w:val="subscript"/>
        </w:rPr>
        <w:t>4</w:t>
      </w:r>
      <w:r>
        <w:rPr>
          <w:rFonts w:hint="eastAsia" w:ascii="宋体" w:hAnsi="宋体"/>
          <w:color w:val="auto"/>
          <w:szCs w:val="24"/>
          <w:highlight w:val="none"/>
          <w:vertAlign w:val="superscript"/>
        </w:rPr>
        <w:t>el</w:t>
      </w:r>
      <w:r>
        <w:rPr>
          <w:rFonts w:hint="eastAsia" w:ascii="宋体" w:hAnsi="宋体"/>
          <w:color w:val="auto"/>
          <w:szCs w:val="24"/>
          <w:highlight w:val="none"/>
        </w:rPr>
        <w:t>），黄褐色，可塑状-硬塑状，稍湿稍密。该层所有钻孔有揭示，厚度2.0～4.0m。</w:t>
      </w:r>
    </w:p>
    <w:p w14:paraId="4B5EF0E2">
      <w:pPr>
        <w:ind w:firstLine="480"/>
        <w:rPr>
          <w:rFonts w:hint="eastAsia" w:ascii="宋体" w:hAnsi="宋体"/>
          <w:color w:val="auto"/>
          <w:szCs w:val="24"/>
          <w:highlight w:val="none"/>
        </w:rPr>
      </w:pPr>
      <w:r>
        <w:rPr>
          <w:rFonts w:hint="eastAsia" w:ascii="宋体" w:hAnsi="宋体"/>
          <w:color w:val="auto"/>
          <w:szCs w:val="24"/>
          <w:highlight w:val="none"/>
        </w:rPr>
        <w:t>强风化泥灰岩（T</w:t>
      </w:r>
      <w:r>
        <w:rPr>
          <w:rFonts w:hint="eastAsia" w:ascii="宋体" w:hAnsi="宋体"/>
          <w:color w:val="auto"/>
          <w:szCs w:val="24"/>
          <w:highlight w:val="none"/>
          <w:vertAlign w:val="subscript"/>
        </w:rPr>
        <w:t>2</w:t>
      </w:r>
      <w:r>
        <w:rPr>
          <w:rFonts w:hint="eastAsia" w:ascii="宋体" w:hAnsi="宋体"/>
          <w:color w:val="auto"/>
          <w:szCs w:val="24"/>
          <w:highlight w:val="none"/>
        </w:rPr>
        <w:t>b</w:t>
      </w:r>
      <w:r>
        <w:rPr>
          <w:rFonts w:hint="eastAsia" w:ascii="宋体" w:hAnsi="宋体"/>
          <w:color w:val="auto"/>
          <w:szCs w:val="24"/>
          <w:highlight w:val="none"/>
          <w:vertAlign w:val="subscript"/>
        </w:rPr>
        <w:t>2</w:t>
      </w:r>
      <w:r>
        <w:rPr>
          <w:rFonts w:hint="eastAsia" w:ascii="宋体" w:hAnsi="宋体"/>
          <w:color w:val="auto"/>
          <w:szCs w:val="24"/>
          <w:highlight w:val="none"/>
        </w:rPr>
        <w:t>）:岩质较软，裂隙很发育，岩体较破碎，岩芯呈短柱状、块状，较新鲜。该层场地内广泛分布，各钻孔均有揭示，最大揭示厚度19.3m，未钻穿。</w:t>
      </w:r>
    </w:p>
    <w:p w14:paraId="144BE924">
      <w:pPr>
        <w:ind w:firstLine="480"/>
        <w:rPr>
          <w:rFonts w:hint="eastAsia" w:ascii="宋体" w:hAnsi="宋体"/>
          <w:color w:val="auto"/>
          <w:szCs w:val="24"/>
          <w:highlight w:val="none"/>
        </w:rPr>
      </w:pPr>
      <w:r>
        <w:rPr>
          <w:rFonts w:hint="eastAsia" w:ascii="宋体" w:hAnsi="宋体"/>
          <w:color w:val="auto"/>
          <w:szCs w:val="24"/>
          <w:highlight w:val="none"/>
        </w:rPr>
        <w:t>根据区域地质资料并结合地质调查及钻孔资料，勘察区内未发现断裂构造，根据中国地震局相关记录及据历史记载，第四纪以来未见其活动的迹象，项目区未发生地震震级大于5级的地震，地表主要为第四系覆盖层所覆盖，未发现第四系地层错动现象，表明近代无活动迹象，属非活动性断层，区域构造及地表稳定。</w:t>
      </w:r>
    </w:p>
    <w:p w14:paraId="3F3BD827">
      <w:pPr>
        <w:ind w:firstLine="480"/>
        <w:rPr>
          <w:rFonts w:hint="eastAsia" w:ascii="宋体" w:hAnsi="宋体"/>
          <w:color w:val="auto"/>
          <w:szCs w:val="24"/>
          <w:highlight w:val="none"/>
        </w:rPr>
      </w:pPr>
      <w:r>
        <w:rPr>
          <w:rFonts w:hint="eastAsia" w:ascii="宋体" w:hAnsi="宋体"/>
          <w:color w:val="auto"/>
          <w:szCs w:val="24"/>
          <w:highlight w:val="none"/>
        </w:rPr>
        <w:t>桥位区地形平缓，上覆土层厚度变化较大，下伏基岩溶洞不发育，未见岩溶塌陷等不良地质，地基稳定性较好。</w:t>
      </w:r>
    </w:p>
    <w:p w14:paraId="75E03458">
      <w:pPr>
        <w:pStyle w:val="3"/>
        <w:numPr>
          <w:ilvl w:val="0"/>
          <w:numId w:val="0"/>
        </w:numPr>
        <w:ind w:firstLine="280" w:firstLineChars="100"/>
        <w:rPr>
          <w:rFonts w:ascii="Times New Roman" w:hAnsi="Times New Roman"/>
          <w:color w:val="auto"/>
          <w:highlight w:val="none"/>
        </w:rPr>
      </w:pPr>
      <w:r>
        <w:rPr>
          <w:rFonts w:hint="eastAsia" w:ascii="Times New Roman" w:hAnsi="Times New Roman"/>
          <w:color w:val="auto"/>
          <w:highlight w:val="none"/>
        </w:rPr>
        <w:t>2.7  岩土物理力学参数</w:t>
      </w:r>
    </w:p>
    <w:p w14:paraId="35450E8D">
      <w:pPr>
        <w:ind w:firstLine="480"/>
        <w:rPr>
          <w:rFonts w:hint="eastAsia" w:ascii="宋体" w:hAnsi="宋体"/>
          <w:color w:val="auto"/>
          <w:sz w:val="21"/>
          <w:szCs w:val="21"/>
          <w:highlight w:val="none"/>
        </w:rPr>
      </w:pPr>
      <w:r>
        <w:rPr>
          <w:rFonts w:hint="eastAsia" w:ascii="宋体" w:hAnsi="宋体"/>
          <w:color w:val="auto"/>
          <w:szCs w:val="24"/>
          <w:highlight w:val="none"/>
        </w:rPr>
        <w:t>根据各类地层的原位测试、附近工程经验，结合现场钻探及地质调查资料，推荐各岩土层的岩土物理力学参数值如下表。</w:t>
      </w:r>
    </w:p>
    <w:p w14:paraId="354C175B">
      <w:pPr>
        <w:spacing w:line="320" w:lineRule="exact"/>
        <w:ind w:firstLine="422"/>
        <w:rPr>
          <w:rFonts w:ascii="Times New Roman" w:hAnsi="Times New Roman"/>
          <w:b/>
          <w:bCs/>
          <w:color w:val="auto"/>
          <w:sz w:val="21"/>
          <w:szCs w:val="21"/>
          <w:highlight w:val="none"/>
        </w:rPr>
      </w:pPr>
    </w:p>
    <w:tbl>
      <w:tblPr>
        <w:tblStyle w:val="26"/>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468"/>
        <w:gridCol w:w="1368"/>
        <w:gridCol w:w="1450"/>
        <w:gridCol w:w="1200"/>
        <w:gridCol w:w="1746"/>
        <w:gridCol w:w="1989"/>
      </w:tblGrid>
      <w:tr w14:paraId="789253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231" w:hRule="atLeast"/>
        </w:trPr>
        <w:tc>
          <w:tcPr>
            <w:tcW w:w="1207" w:type="pct"/>
            <w:tcBorders>
              <w:top w:val="single" w:color="auto" w:sz="12" w:space="0"/>
              <w:left w:val="nil"/>
              <w:bottom w:val="single" w:color="auto" w:sz="8" w:space="0"/>
              <w:right w:val="single" w:color="auto" w:sz="8" w:space="0"/>
              <w:tl2br w:val="single" w:color="auto" w:sz="4" w:space="0"/>
            </w:tcBorders>
            <w:vAlign w:val="center"/>
          </w:tcPr>
          <w:p w14:paraId="4328D99F">
            <w:pPr>
              <w:spacing w:line="320" w:lineRule="exact"/>
              <w:ind w:firstLine="422"/>
              <w:rPr>
                <w:rFonts w:ascii="Times New Roman" w:hAnsi="Times New Roman"/>
                <w:color w:val="auto"/>
                <w:sz w:val="21"/>
                <w:szCs w:val="21"/>
                <w:highlight w:val="none"/>
              </w:rPr>
            </w:pPr>
            <w:r>
              <w:rPr>
                <w:rFonts w:hint="eastAsia" w:ascii="Times New Roman" w:hAnsi="Times New Roman"/>
                <w:color w:val="auto"/>
                <w:sz w:val="21"/>
                <w:szCs w:val="21"/>
                <w:highlight w:val="none"/>
              </w:rPr>
              <w:t xml:space="preserve">      项   目</w:t>
            </w:r>
          </w:p>
          <w:p w14:paraId="11318141">
            <w:pPr>
              <w:spacing w:line="320" w:lineRule="exact"/>
              <w:ind w:firstLine="422"/>
              <w:rPr>
                <w:rFonts w:ascii="Times New Roman" w:hAnsi="Times New Roman"/>
                <w:color w:val="auto"/>
                <w:sz w:val="21"/>
                <w:szCs w:val="21"/>
                <w:highlight w:val="none"/>
              </w:rPr>
            </w:pPr>
          </w:p>
          <w:p w14:paraId="333861F2">
            <w:pPr>
              <w:spacing w:line="320" w:lineRule="exact"/>
              <w:ind w:firstLine="422"/>
              <w:rPr>
                <w:rFonts w:ascii="Times New Roman" w:hAnsi="Times New Roman"/>
                <w:color w:val="auto"/>
                <w:sz w:val="21"/>
                <w:szCs w:val="21"/>
                <w:highlight w:val="none"/>
              </w:rPr>
            </w:pPr>
            <w:r>
              <w:rPr>
                <w:rFonts w:hint="eastAsia" w:ascii="Times New Roman" w:hAnsi="Times New Roman"/>
                <w:color w:val="auto"/>
                <w:sz w:val="21"/>
                <w:szCs w:val="21"/>
                <w:highlight w:val="none"/>
              </w:rPr>
              <w:t>地  层</w:t>
            </w:r>
          </w:p>
        </w:tc>
        <w:tc>
          <w:tcPr>
            <w:tcW w:w="669" w:type="pct"/>
            <w:tcBorders>
              <w:top w:val="single" w:color="auto" w:sz="12" w:space="0"/>
              <w:left w:val="single" w:color="auto" w:sz="8" w:space="0"/>
              <w:bottom w:val="single" w:color="auto" w:sz="8" w:space="0"/>
              <w:right w:val="single" w:color="auto" w:sz="8" w:space="0"/>
            </w:tcBorders>
            <w:vAlign w:val="center"/>
          </w:tcPr>
          <w:p w14:paraId="151257C2">
            <w:pPr>
              <w:spacing w:line="320" w:lineRule="exact"/>
              <w:jc w:val="center"/>
              <w:rPr>
                <w:rFonts w:ascii="Times New Roman" w:hAnsi="Times New Roman"/>
                <w:color w:val="auto"/>
                <w:sz w:val="21"/>
                <w:szCs w:val="21"/>
                <w:highlight w:val="none"/>
              </w:rPr>
            </w:pPr>
            <w:r>
              <w:rPr>
                <w:rFonts w:hint="eastAsia" w:ascii="Times New Roman" w:hAnsi="Times New Roman"/>
                <w:color w:val="auto"/>
                <w:sz w:val="21"/>
                <w:szCs w:val="21"/>
                <w:highlight w:val="none"/>
              </w:rPr>
              <w:t>承载力特征值</w:t>
            </w:r>
          </w:p>
          <w:p w14:paraId="7BBD74F4">
            <w:pPr>
              <w:spacing w:line="320" w:lineRule="exact"/>
              <w:jc w:val="center"/>
              <w:rPr>
                <w:rFonts w:ascii="Times New Roman" w:hAnsi="Times New Roman"/>
                <w:color w:val="auto"/>
                <w:sz w:val="21"/>
                <w:szCs w:val="21"/>
                <w:highlight w:val="none"/>
              </w:rPr>
            </w:pPr>
            <w:r>
              <w:rPr>
                <w:rFonts w:hint="eastAsia" w:ascii="Times New Roman" w:hAnsi="Times New Roman"/>
                <w:color w:val="auto"/>
                <w:sz w:val="21"/>
                <w:szCs w:val="21"/>
                <w:highlight w:val="none"/>
              </w:rPr>
              <w:t>[</w:t>
            </w:r>
            <w:r>
              <w:rPr>
                <w:rFonts w:hint="eastAsia" w:ascii="Times New Roman" w:hAnsi="Times New Roman"/>
                <w:color w:val="auto"/>
                <w:sz w:val="21"/>
                <w:szCs w:val="21"/>
                <w:highlight w:val="none"/>
              </w:rPr>
              <w:object>
                <v:shape id="_x0000_i1025" o:spt="75" type="#_x0000_t75" style="height:18pt;width:18pt;" o:ole="t" filled="f" o:preferrelative="t" stroked="f" coordsize="21600,21600">
                  <v:path/>
                  <v:fill on="f" focussize="0,0"/>
                  <v:stroke on="f" joinstyle="miter"/>
                  <v:imagedata r:id="rId12" o:title=""/>
                  <o:lock v:ext="edit" aspectratio="t"/>
                  <w10:wrap type="none"/>
                  <w10:anchorlock/>
                </v:shape>
                <o:OLEObject Type="Embed" ProgID="Equation.3" ShapeID="_x0000_i1025" DrawAspect="Content" ObjectID="_1468075725" r:id="rId11">
                  <o:LockedField>false</o:LockedField>
                </o:OLEObject>
              </w:object>
            </w:r>
            <w:r>
              <w:rPr>
                <w:rFonts w:hint="eastAsia" w:ascii="Times New Roman" w:hAnsi="Times New Roman"/>
                <w:color w:val="auto"/>
                <w:sz w:val="21"/>
                <w:szCs w:val="21"/>
                <w:highlight w:val="none"/>
              </w:rPr>
              <w:t>]</w:t>
            </w:r>
          </w:p>
          <w:p w14:paraId="2E3CBFC9">
            <w:pPr>
              <w:spacing w:line="320" w:lineRule="exact"/>
              <w:jc w:val="center"/>
              <w:rPr>
                <w:rFonts w:ascii="Times New Roman" w:hAnsi="Times New Roman"/>
                <w:color w:val="auto"/>
                <w:sz w:val="21"/>
                <w:szCs w:val="21"/>
                <w:highlight w:val="none"/>
              </w:rPr>
            </w:pPr>
            <w:r>
              <w:rPr>
                <w:rFonts w:hint="eastAsia" w:ascii="Times New Roman" w:hAnsi="Times New Roman"/>
                <w:color w:val="auto"/>
                <w:sz w:val="21"/>
                <w:szCs w:val="21"/>
                <w:highlight w:val="none"/>
              </w:rPr>
              <w:t>(kPa)</w:t>
            </w:r>
          </w:p>
        </w:tc>
        <w:tc>
          <w:tcPr>
            <w:tcW w:w="709" w:type="pct"/>
            <w:tcBorders>
              <w:top w:val="single" w:color="auto" w:sz="12" w:space="0"/>
              <w:left w:val="single" w:color="auto" w:sz="8" w:space="0"/>
              <w:bottom w:val="single" w:color="auto" w:sz="8" w:space="0"/>
              <w:right w:val="single" w:color="auto" w:sz="8" w:space="0"/>
            </w:tcBorders>
            <w:vAlign w:val="center"/>
          </w:tcPr>
          <w:p w14:paraId="6B964155">
            <w:pPr>
              <w:spacing w:line="320" w:lineRule="exact"/>
              <w:jc w:val="center"/>
              <w:rPr>
                <w:rFonts w:ascii="Times New Roman" w:hAnsi="Times New Roman"/>
                <w:color w:val="auto"/>
                <w:sz w:val="21"/>
                <w:szCs w:val="21"/>
                <w:highlight w:val="none"/>
              </w:rPr>
            </w:pPr>
            <w:r>
              <w:rPr>
                <w:rFonts w:hint="eastAsia" w:ascii="Times New Roman" w:hAnsi="Times New Roman"/>
                <w:color w:val="auto"/>
                <w:sz w:val="21"/>
                <w:szCs w:val="21"/>
                <w:highlight w:val="none"/>
              </w:rPr>
              <w:t>钻孔桩侧土摩</w:t>
            </w:r>
          </w:p>
          <w:p w14:paraId="7E55465F">
            <w:pPr>
              <w:spacing w:line="320" w:lineRule="exact"/>
              <w:jc w:val="center"/>
              <w:rPr>
                <w:rFonts w:ascii="Times New Roman" w:hAnsi="Times New Roman"/>
                <w:color w:val="auto"/>
                <w:sz w:val="21"/>
                <w:szCs w:val="21"/>
                <w:highlight w:val="none"/>
              </w:rPr>
            </w:pPr>
            <w:r>
              <w:rPr>
                <w:rFonts w:hint="eastAsia" w:ascii="Times New Roman" w:hAnsi="Times New Roman"/>
                <w:color w:val="auto"/>
                <w:sz w:val="21"/>
                <w:szCs w:val="21"/>
                <w:highlight w:val="none"/>
              </w:rPr>
              <w:t>阻力标准值</w:t>
            </w:r>
            <w:r>
              <w:rPr>
                <w:rFonts w:hint="eastAsia" w:ascii="Times New Roman" w:hAnsi="Times New Roman"/>
                <w:color w:val="auto"/>
                <w:sz w:val="21"/>
                <w:szCs w:val="21"/>
                <w:highlight w:val="none"/>
              </w:rPr>
              <w:object>
                <v:shape id="_x0000_i1026" o:spt="75" type="#_x0000_t75" style="height:18pt;width:15.75pt;" o:ole="t" filled="f" o:preferrelative="t" stroked="f" coordsize="21600,21600">
                  <v:path/>
                  <v:fill on="f" focussize="0,0"/>
                  <v:stroke on="f" joinstyle="miter"/>
                  <v:imagedata r:id="rId14" o:title=""/>
                  <o:lock v:ext="edit" aspectratio="t"/>
                  <w10:wrap type="none"/>
                  <w10:anchorlock/>
                </v:shape>
                <o:OLEObject Type="Embed" ProgID="Equation.3" ShapeID="_x0000_i1026" DrawAspect="Content" ObjectID="_1468075726" r:id="rId13">
                  <o:LockedField>false</o:LockedField>
                </o:OLEObject>
              </w:object>
            </w:r>
            <w:r>
              <w:rPr>
                <w:rFonts w:hint="eastAsia" w:ascii="Times New Roman" w:hAnsi="Times New Roman"/>
                <w:color w:val="auto"/>
                <w:sz w:val="21"/>
                <w:szCs w:val="21"/>
                <w:highlight w:val="none"/>
              </w:rPr>
              <w:t>(kPa)</w:t>
            </w:r>
          </w:p>
        </w:tc>
        <w:tc>
          <w:tcPr>
            <w:tcW w:w="587" w:type="pct"/>
            <w:tcBorders>
              <w:top w:val="single" w:color="auto" w:sz="12" w:space="0"/>
              <w:left w:val="single" w:color="auto" w:sz="8" w:space="0"/>
              <w:bottom w:val="single" w:color="auto" w:sz="8" w:space="0"/>
              <w:right w:val="single" w:color="auto" w:sz="8" w:space="0"/>
            </w:tcBorders>
            <w:vAlign w:val="center"/>
          </w:tcPr>
          <w:p w14:paraId="2879AB51">
            <w:pPr>
              <w:spacing w:line="320" w:lineRule="exact"/>
              <w:jc w:val="center"/>
              <w:rPr>
                <w:rFonts w:ascii="Times New Roman" w:hAnsi="Times New Roman"/>
                <w:color w:val="auto"/>
                <w:sz w:val="21"/>
                <w:szCs w:val="21"/>
                <w:highlight w:val="none"/>
              </w:rPr>
            </w:pPr>
            <w:r>
              <w:rPr>
                <w:rFonts w:hint="eastAsia" w:ascii="Times New Roman" w:hAnsi="Times New Roman"/>
                <w:color w:val="auto"/>
                <w:sz w:val="21"/>
                <w:szCs w:val="21"/>
                <w:highlight w:val="none"/>
              </w:rPr>
              <w:t>压缩/变形</w:t>
            </w:r>
          </w:p>
          <w:p w14:paraId="5EADFF31">
            <w:pPr>
              <w:spacing w:line="320" w:lineRule="exact"/>
              <w:jc w:val="center"/>
              <w:rPr>
                <w:rFonts w:ascii="Times New Roman" w:hAnsi="Times New Roman"/>
                <w:color w:val="auto"/>
                <w:sz w:val="21"/>
                <w:szCs w:val="21"/>
                <w:highlight w:val="none"/>
              </w:rPr>
            </w:pPr>
            <w:r>
              <w:rPr>
                <w:rFonts w:hint="eastAsia" w:ascii="Times New Roman" w:hAnsi="Times New Roman"/>
                <w:color w:val="auto"/>
                <w:sz w:val="21"/>
                <w:szCs w:val="21"/>
                <w:highlight w:val="none"/>
              </w:rPr>
              <w:t>模量Es/E0</w:t>
            </w:r>
          </w:p>
          <w:p w14:paraId="5423E08D">
            <w:pPr>
              <w:spacing w:line="320" w:lineRule="exact"/>
              <w:jc w:val="center"/>
              <w:rPr>
                <w:rFonts w:ascii="Times New Roman" w:hAnsi="Times New Roman"/>
                <w:color w:val="auto"/>
                <w:sz w:val="21"/>
                <w:szCs w:val="21"/>
                <w:highlight w:val="none"/>
              </w:rPr>
            </w:pPr>
            <w:r>
              <w:rPr>
                <w:rFonts w:hint="eastAsia" w:ascii="Times New Roman" w:hAnsi="Times New Roman"/>
                <w:color w:val="auto"/>
                <w:sz w:val="21"/>
                <w:szCs w:val="21"/>
                <w:highlight w:val="none"/>
              </w:rPr>
              <w:t>(MPa)</w:t>
            </w:r>
          </w:p>
        </w:tc>
        <w:tc>
          <w:tcPr>
            <w:tcW w:w="854" w:type="pct"/>
            <w:tcBorders>
              <w:top w:val="single" w:color="auto" w:sz="12" w:space="0"/>
              <w:left w:val="single" w:color="auto" w:sz="8" w:space="0"/>
              <w:bottom w:val="single" w:color="auto" w:sz="8" w:space="0"/>
              <w:right w:val="single" w:color="auto" w:sz="8" w:space="0"/>
            </w:tcBorders>
            <w:vAlign w:val="center"/>
          </w:tcPr>
          <w:p w14:paraId="7F6A74AF">
            <w:pPr>
              <w:spacing w:line="320" w:lineRule="exact"/>
              <w:jc w:val="center"/>
              <w:rPr>
                <w:rFonts w:ascii="Times New Roman" w:hAnsi="Times New Roman"/>
                <w:color w:val="auto"/>
                <w:sz w:val="21"/>
                <w:szCs w:val="21"/>
                <w:highlight w:val="none"/>
              </w:rPr>
            </w:pPr>
            <w:r>
              <w:rPr>
                <w:rFonts w:hint="eastAsia" w:ascii="Times New Roman" w:hAnsi="Times New Roman"/>
                <w:color w:val="auto"/>
                <w:sz w:val="21"/>
                <w:szCs w:val="21"/>
                <w:highlight w:val="none"/>
              </w:rPr>
              <w:t>饱和单轴抗压强度标准值</w:t>
            </w:r>
            <w:r>
              <w:rPr>
                <w:rFonts w:hint="eastAsia" w:ascii="Times New Roman" w:hAnsi="Times New Roman"/>
                <w:color w:val="auto"/>
                <w:sz w:val="21"/>
                <w:szCs w:val="21"/>
                <w:highlight w:val="none"/>
              </w:rPr>
              <w:object>
                <v:shape id="_x0000_i1027" o:spt="75" type="#_x0000_t75" style="height:18pt;width:16.5pt;" o:ole="t" filled="f" o:preferrelative="t" stroked="f" coordsize="21600,21600">
                  <v:path/>
                  <v:fill on="f" focussize="0,0"/>
                  <v:stroke on="f" joinstyle="miter"/>
                  <v:imagedata r:id="rId16" o:title=""/>
                  <o:lock v:ext="edit" aspectratio="t"/>
                  <w10:wrap type="none"/>
                  <w10:anchorlock/>
                </v:shape>
                <o:OLEObject Type="Embed" ProgID="Equation.3" ShapeID="_x0000_i1027" DrawAspect="Content" ObjectID="_1468075727" r:id="rId15">
                  <o:LockedField>false</o:LockedField>
                </o:OLEObject>
              </w:object>
            </w:r>
            <w:r>
              <w:rPr>
                <w:rFonts w:hint="eastAsia" w:ascii="Times New Roman" w:hAnsi="Times New Roman"/>
                <w:color w:val="auto"/>
                <w:sz w:val="21"/>
                <w:szCs w:val="21"/>
                <w:highlight w:val="none"/>
              </w:rPr>
              <w:t xml:space="preserve"> (MPa)</w:t>
            </w:r>
          </w:p>
        </w:tc>
        <w:tc>
          <w:tcPr>
            <w:tcW w:w="972" w:type="pct"/>
            <w:tcBorders>
              <w:top w:val="single" w:color="auto" w:sz="12" w:space="0"/>
              <w:left w:val="single" w:color="auto" w:sz="8" w:space="0"/>
              <w:bottom w:val="single" w:color="auto" w:sz="8" w:space="0"/>
              <w:right w:val="nil"/>
            </w:tcBorders>
            <w:vAlign w:val="center"/>
          </w:tcPr>
          <w:p w14:paraId="320B5A42">
            <w:pPr>
              <w:spacing w:line="320" w:lineRule="exact"/>
              <w:jc w:val="center"/>
              <w:rPr>
                <w:rFonts w:ascii="Times New Roman" w:hAnsi="Times New Roman"/>
                <w:color w:val="auto"/>
                <w:sz w:val="21"/>
                <w:szCs w:val="21"/>
                <w:highlight w:val="none"/>
              </w:rPr>
            </w:pPr>
            <w:r>
              <w:rPr>
                <w:rFonts w:hint="eastAsia" w:ascii="Times New Roman" w:hAnsi="Times New Roman"/>
                <w:color w:val="auto"/>
                <w:sz w:val="21"/>
                <w:szCs w:val="21"/>
                <w:highlight w:val="none"/>
              </w:rPr>
              <w:t>比例系数m和mo(kN/m4)及地基抗力系数C0(kN/m3)</w:t>
            </w:r>
          </w:p>
        </w:tc>
      </w:tr>
      <w:tr w14:paraId="493DFB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25" w:hRule="exact"/>
        </w:trPr>
        <w:tc>
          <w:tcPr>
            <w:tcW w:w="1207" w:type="pct"/>
            <w:tcBorders>
              <w:top w:val="single" w:color="auto" w:sz="8" w:space="0"/>
              <w:left w:val="nil"/>
              <w:bottom w:val="single" w:color="auto" w:sz="8" w:space="0"/>
              <w:right w:val="single" w:color="auto" w:sz="8" w:space="0"/>
            </w:tcBorders>
            <w:shd w:val="clear" w:color="auto" w:fill="auto"/>
            <w:vAlign w:val="center"/>
          </w:tcPr>
          <w:p w14:paraId="2088A843">
            <w:pPr>
              <w:pStyle w:val="14"/>
              <w:ind w:left="0" w:leftChars="0"/>
              <w:rPr>
                <w:rFonts w:hint="eastAsia" w:ascii="宋体" w:hAnsi="宋体"/>
                <w:color w:val="auto"/>
                <w:spacing w:val="-4"/>
                <w:sz w:val="21"/>
                <w:szCs w:val="21"/>
                <w:highlight w:val="none"/>
              </w:rPr>
            </w:pPr>
            <w:r>
              <w:rPr>
                <w:rFonts w:hint="eastAsia" w:ascii="宋体" w:hAnsi="宋体"/>
                <w:color w:val="auto"/>
                <w:spacing w:val="-4"/>
                <w:sz w:val="21"/>
                <w:szCs w:val="21"/>
                <w:highlight w:val="none"/>
              </w:rPr>
              <w:t>（Q</w:t>
            </w:r>
            <w:r>
              <w:rPr>
                <w:rFonts w:hint="eastAsia" w:ascii="宋体" w:hAnsi="宋体"/>
                <w:color w:val="auto"/>
                <w:szCs w:val="24"/>
                <w:highlight w:val="none"/>
                <w:vertAlign w:val="subscript"/>
              </w:rPr>
              <w:t>4</w:t>
            </w:r>
            <w:r>
              <w:rPr>
                <w:rFonts w:hint="eastAsia" w:ascii="宋体" w:hAnsi="宋体"/>
                <w:color w:val="auto"/>
                <w:szCs w:val="24"/>
                <w:highlight w:val="none"/>
                <w:vertAlign w:val="superscript"/>
              </w:rPr>
              <w:t>ml</w:t>
            </w:r>
            <w:r>
              <w:rPr>
                <w:rFonts w:hint="eastAsia" w:ascii="宋体" w:hAnsi="宋体"/>
                <w:color w:val="auto"/>
                <w:spacing w:val="-4"/>
                <w:sz w:val="21"/>
                <w:szCs w:val="21"/>
                <w:highlight w:val="none"/>
              </w:rPr>
              <w:t>）人工填土</w:t>
            </w:r>
          </w:p>
        </w:tc>
        <w:tc>
          <w:tcPr>
            <w:tcW w:w="669" w:type="pct"/>
            <w:tcBorders>
              <w:top w:val="single" w:color="auto" w:sz="8" w:space="0"/>
              <w:left w:val="single" w:color="auto" w:sz="8" w:space="0"/>
              <w:bottom w:val="single" w:color="auto" w:sz="8" w:space="0"/>
              <w:right w:val="single" w:color="auto" w:sz="8" w:space="0"/>
            </w:tcBorders>
            <w:shd w:val="clear" w:color="auto" w:fill="auto"/>
            <w:vAlign w:val="center"/>
          </w:tcPr>
          <w:p w14:paraId="35ABCF1C">
            <w:pPr>
              <w:pStyle w:val="14"/>
              <w:ind w:left="0" w:leftChars="0"/>
              <w:jc w:val="center"/>
              <w:rPr>
                <w:rFonts w:ascii="Times New Roman" w:hAnsi="Times New Roman"/>
                <w:color w:val="auto"/>
                <w:sz w:val="21"/>
                <w:szCs w:val="21"/>
                <w:highlight w:val="none"/>
              </w:rPr>
            </w:pPr>
            <w:r>
              <w:rPr>
                <w:rFonts w:ascii="Times New Roman" w:hAnsi="Times New Roman"/>
                <w:color w:val="auto"/>
                <w:sz w:val="21"/>
                <w:szCs w:val="21"/>
                <w:highlight w:val="none"/>
              </w:rPr>
              <w:t>150</w:t>
            </w:r>
          </w:p>
        </w:tc>
        <w:tc>
          <w:tcPr>
            <w:tcW w:w="709" w:type="pct"/>
            <w:tcBorders>
              <w:top w:val="single" w:color="auto" w:sz="8" w:space="0"/>
              <w:left w:val="single" w:color="auto" w:sz="8" w:space="0"/>
              <w:bottom w:val="single" w:color="auto" w:sz="8" w:space="0"/>
              <w:right w:val="single" w:color="auto" w:sz="8" w:space="0"/>
            </w:tcBorders>
            <w:shd w:val="clear" w:color="auto" w:fill="auto"/>
            <w:vAlign w:val="center"/>
          </w:tcPr>
          <w:p w14:paraId="1B352490">
            <w:pPr>
              <w:pStyle w:val="14"/>
              <w:ind w:left="0" w:leftChars="0"/>
              <w:jc w:val="center"/>
              <w:rPr>
                <w:rFonts w:ascii="Times New Roman" w:hAnsi="Times New Roman"/>
                <w:color w:val="auto"/>
                <w:sz w:val="21"/>
                <w:szCs w:val="21"/>
                <w:highlight w:val="none"/>
              </w:rPr>
            </w:pPr>
            <w:r>
              <w:rPr>
                <w:rFonts w:ascii="Times New Roman" w:hAnsi="Times New Roman"/>
                <w:color w:val="auto"/>
                <w:sz w:val="21"/>
                <w:szCs w:val="21"/>
                <w:highlight w:val="none"/>
              </w:rPr>
              <w:t>40</w:t>
            </w:r>
          </w:p>
        </w:tc>
        <w:tc>
          <w:tcPr>
            <w:tcW w:w="587" w:type="pct"/>
            <w:tcBorders>
              <w:top w:val="single" w:color="auto" w:sz="8" w:space="0"/>
              <w:left w:val="single" w:color="auto" w:sz="8" w:space="0"/>
              <w:bottom w:val="single" w:color="auto" w:sz="8" w:space="0"/>
              <w:right w:val="single" w:color="auto" w:sz="8" w:space="0"/>
            </w:tcBorders>
            <w:shd w:val="clear" w:color="auto" w:fill="auto"/>
            <w:vAlign w:val="center"/>
          </w:tcPr>
          <w:p w14:paraId="60C87569">
            <w:pPr>
              <w:pStyle w:val="14"/>
              <w:ind w:left="0" w:leftChars="0"/>
              <w:jc w:val="center"/>
              <w:rPr>
                <w:rFonts w:ascii="Times New Roman" w:hAnsi="Times New Roman"/>
                <w:color w:val="auto"/>
                <w:sz w:val="21"/>
                <w:szCs w:val="21"/>
                <w:highlight w:val="none"/>
              </w:rPr>
            </w:pPr>
            <w:r>
              <w:rPr>
                <w:rFonts w:ascii="Times New Roman" w:hAnsi="Times New Roman"/>
                <w:color w:val="auto"/>
                <w:spacing w:val="-20"/>
                <w:sz w:val="21"/>
                <w:szCs w:val="21"/>
                <w:highlight w:val="none"/>
              </w:rPr>
              <w:t>E</w:t>
            </w:r>
            <w:r>
              <w:rPr>
                <w:rFonts w:ascii="Times New Roman" w:hAnsi="Times New Roman"/>
                <w:color w:val="auto"/>
                <w:sz w:val="21"/>
                <w:szCs w:val="21"/>
                <w:highlight w:val="none"/>
                <w:vertAlign w:val="subscript"/>
              </w:rPr>
              <w:t>s</w:t>
            </w:r>
            <w:r>
              <w:rPr>
                <w:rFonts w:ascii="Times New Roman" w:hAnsi="Times New Roman"/>
                <w:color w:val="auto"/>
                <w:sz w:val="21"/>
                <w:szCs w:val="21"/>
                <w:highlight w:val="none"/>
              </w:rPr>
              <w:t>=8</w:t>
            </w:r>
          </w:p>
        </w:tc>
        <w:tc>
          <w:tcPr>
            <w:tcW w:w="854" w:type="pct"/>
            <w:tcBorders>
              <w:top w:val="single" w:color="auto" w:sz="8" w:space="0"/>
              <w:left w:val="single" w:color="auto" w:sz="8" w:space="0"/>
              <w:bottom w:val="single" w:color="auto" w:sz="8" w:space="0"/>
              <w:right w:val="single" w:color="auto" w:sz="8" w:space="0"/>
            </w:tcBorders>
            <w:shd w:val="clear" w:color="auto" w:fill="auto"/>
            <w:vAlign w:val="center"/>
          </w:tcPr>
          <w:p w14:paraId="054D39D4">
            <w:pPr>
              <w:pStyle w:val="14"/>
              <w:ind w:left="0" w:leftChars="0"/>
              <w:jc w:val="center"/>
              <w:rPr>
                <w:rFonts w:ascii="Times New Roman" w:hAnsi="Times New Roman"/>
                <w:color w:val="auto"/>
                <w:sz w:val="21"/>
                <w:szCs w:val="21"/>
                <w:highlight w:val="none"/>
              </w:rPr>
            </w:pPr>
            <w:r>
              <w:rPr>
                <w:rFonts w:ascii="Times New Roman" w:hAnsi="Times New Roman"/>
                <w:color w:val="auto"/>
                <w:sz w:val="21"/>
                <w:szCs w:val="21"/>
                <w:highlight w:val="none"/>
              </w:rPr>
              <w:t>--</w:t>
            </w:r>
          </w:p>
        </w:tc>
        <w:tc>
          <w:tcPr>
            <w:tcW w:w="972" w:type="pct"/>
            <w:tcBorders>
              <w:top w:val="single" w:color="auto" w:sz="8" w:space="0"/>
              <w:left w:val="single" w:color="auto" w:sz="8" w:space="0"/>
              <w:bottom w:val="single" w:color="auto" w:sz="8" w:space="0"/>
              <w:right w:val="nil"/>
            </w:tcBorders>
            <w:shd w:val="clear" w:color="auto" w:fill="auto"/>
            <w:vAlign w:val="center"/>
          </w:tcPr>
          <w:p w14:paraId="7EB03714">
            <w:pPr>
              <w:pStyle w:val="14"/>
              <w:ind w:left="0" w:leftChars="0"/>
              <w:jc w:val="center"/>
              <w:rPr>
                <w:rFonts w:ascii="Times New Roman" w:hAnsi="Times New Roman"/>
                <w:color w:val="auto"/>
                <w:sz w:val="21"/>
                <w:szCs w:val="21"/>
                <w:highlight w:val="none"/>
              </w:rPr>
            </w:pPr>
            <w:r>
              <w:rPr>
                <w:rFonts w:ascii="Times New Roman" w:hAnsi="Times New Roman"/>
                <w:color w:val="auto"/>
                <w:sz w:val="21"/>
                <w:szCs w:val="21"/>
                <w:highlight w:val="none"/>
              </w:rPr>
              <w:t>8000</w:t>
            </w:r>
          </w:p>
        </w:tc>
      </w:tr>
      <w:tr w14:paraId="2D7382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25" w:hRule="exact"/>
        </w:trPr>
        <w:tc>
          <w:tcPr>
            <w:tcW w:w="1207" w:type="pct"/>
            <w:tcBorders>
              <w:top w:val="single" w:color="auto" w:sz="8" w:space="0"/>
              <w:left w:val="nil"/>
              <w:bottom w:val="single" w:color="auto" w:sz="8" w:space="0"/>
              <w:right w:val="single" w:color="auto" w:sz="8" w:space="0"/>
            </w:tcBorders>
            <w:shd w:val="clear" w:color="auto" w:fill="auto"/>
            <w:vAlign w:val="center"/>
          </w:tcPr>
          <w:p w14:paraId="69F53CF5">
            <w:pPr>
              <w:pStyle w:val="14"/>
              <w:ind w:left="0" w:leftChars="0"/>
              <w:rPr>
                <w:rFonts w:hint="eastAsia" w:ascii="宋体" w:hAnsi="宋体"/>
                <w:color w:val="auto"/>
                <w:spacing w:val="-4"/>
                <w:sz w:val="21"/>
                <w:szCs w:val="21"/>
                <w:highlight w:val="none"/>
              </w:rPr>
            </w:pPr>
            <w:r>
              <w:rPr>
                <w:rFonts w:hint="eastAsia" w:ascii="宋体" w:hAnsi="宋体"/>
                <w:color w:val="auto"/>
                <w:spacing w:val="-4"/>
                <w:sz w:val="21"/>
                <w:szCs w:val="21"/>
                <w:highlight w:val="none"/>
              </w:rPr>
              <w:t>（</w:t>
            </w:r>
            <w:r>
              <w:rPr>
                <w:rFonts w:hint="eastAsia" w:ascii="宋体" w:hAnsi="宋体"/>
                <w:color w:val="auto"/>
                <w:sz w:val="21"/>
                <w:szCs w:val="21"/>
                <w:highlight w:val="none"/>
              </w:rPr>
              <w:t>Q</w:t>
            </w:r>
            <w:r>
              <w:rPr>
                <w:rFonts w:hint="eastAsia" w:ascii="宋体" w:hAnsi="宋体"/>
                <w:color w:val="auto"/>
                <w:szCs w:val="24"/>
                <w:highlight w:val="none"/>
                <w:vertAlign w:val="subscript"/>
              </w:rPr>
              <w:t>4</w:t>
            </w:r>
            <w:r>
              <w:rPr>
                <w:rFonts w:hint="eastAsia" w:ascii="宋体" w:hAnsi="宋体"/>
                <w:color w:val="auto"/>
                <w:szCs w:val="24"/>
                <w:highlight w:val="none"/>
                <w:vertAlign w:val="superscript"/>
              </w:rPr>
              <w:t>el</w:t>
            </w:r>
            <w:r>
              <w:rPr>
                <w:rFonts w:hint="eastAsia" w:ascii="宋体" w:hAnsi="宋体"/>
                <w:color w:val="auto"/>
                <w:spacing w:val="-4"/>
                <w:sz w:val="21"/>
                <w:szCs w:val="21"/>
                <w:highlight w:val="none"/>
              </w:rPr>
              <w:t>）</w:t>
            </w:r>
            <w:r>
              <w:rPr>
                <w:rFonts w:hint="eastAsia" w:ascii="宋体" w:hAnsi="宋体"/>
                <w:color w:val="auto"/>
                <w:sz w:val="21"/>
                <w:szCs w:val="21"/>
                <w:highlight w:val="none"/>
              </w:rPr>
              <w:t>黏土</w:t>
            </w:r>
          </w:p>
        </w:tc>
        <w:tc>
          <w:tcPr>
            <w:tcW w:w="669" w:type="pct"/>
            <w:tcBorders>
              <w:top w:val="single" w:color="auto" w:sz="8" w:space="0"/>
              <w:left w:val="single" w:color="auto" w:sz="8" w:space="0"/>
              <w:bottom w:val="single" w:color="auto" w:sz="8" w:space="0"/>
              <w:right w:val="single" w:color="auto" w:sz="8" w:space="0"/>
            </w:tcBorders>
            <w:shd w:val="clear" w:color="auto" w:fill="auto"/>
            <w:vAlign w:val="center"/>
          </w:tcPr>
          <w:p w14:paraId="003068C3">
            <w:pPr>
              <w:pStyle w:val="14"/>
              <w:ind w:left="0" w:leftChars="0"/>
              <w:jc w:val="center"/>
              <w:rPr>
                <w:rFonts w:ascii="Times New Roman" w:hAnsi="Times New Roman"/>
                <w:color w:val="auto"/>
                <w:sz w:val="21"/>
                <w:szCs w:val="21"/>
                <w:highlight w:val="none"/>
              </w:rPr>
            </w:pPr>
            <w:r>
              <w:rPr>
                <w:rFonts w:ascii="Times New Roman" w:hAnsi="Times New Roman"/>
                <w:color w:val="auto"/>
                <w:sz w:val="21"/>
                <w:szCs w:val="21"/>
                <w:highlight w:val="none"/>
              </w:rPr>
              <w:t>180</w:t>
            </w:r>
          </w:p>
        </w:tc>
        <w:tc>
          <w:tcPr>
            <w:tcW w:w="709" w:type="pct"/>
            <w:tcBorders>
              <w:top w:val="single" w:color="auto" w:sz="8" w:space="0"/>
              <w:left w:val="single" w:color="auto" w:sz="8" w:space="0"/>
              <w:bottom w:val="single" w:color="auto" w:sz="8" w:space="0"/>
              <w:right w:val="single" w:color="auto" w:sz="8" w:space="0"/>
            </w:tcBorders>
            <w:shd w:val="clear" w:color="auto" w:fill="auto"/>
            <w:vAlign w:val="center"/>
          </w:tcPr>
          <w:p w14:paraId="5C2FA794">
            <w:pPr>
              <w:pStyle w:val="14"/>
              <w:ind w:left="0" w:leftChars="0"/>
              <w:jc w:val="center"/>
              <w:rPr>
                <w:rFonts w:ascii="Times New Roman" w:hAnsi="Times New Roman"/>
                <w:color w:val="auto"/>
                <w:sz w:val="21"/>
                <w:szCs w:val="21"/>
                <w:highlight w:val="none"/>
              </w:rPr>
            </w:pPr>
            <w:r>
              <w:rPr>
                <w:rFonts w:ascii="Times New Roman" w:hAnsi="Times New Roman"/>
                <w:color w:val="auto"/>
                <w:sz w:val="21"/>
                <w:szCs w:val="21"/>
                <w:highlight w:val="none"/>
              </w:rPr>
              <w:t>50</w:t>
            </w:r>
          </w:p>
        </w:tc>
        <w:tc>
          <w:tcPr>
            <w:tcW w:w="587" w:type="pct"/>
            <w:tcBorders>
              <w:top w:val="single" w:color="auto" w:sz="8" w:space="0"/>
              <w:left w:val="single" w:color="auto" w:sz="8" w:space="0"/>
              <w:bottom w:val="single" w:color="auto" w:sz="8" w:space="0"/>
              <w:right w:val="single" w:color="auto" w:sz="8" w:space="0"/>
            </w:tcBorders>
            <w:shd w:val="clear" w:color="auto" w:fill="auto"/>
            <w:vAlign w:val="center"/>
          </w:tcPr>
          <w:p w14:paraId="2B3CAF16">
            <w:pPr>
              <w:pStyle w:val="14"/>
              <w:ind w:left="0" w:leftChars="0"/>
              <w:jc w:val="center"/>
              <w:rPr>
                <w:rFonts w:ascii="Times New Roman" w:hAnsi="Times New Roman"/>
                <w:color w:val="auto"/>
                <w:spacing w:val="-20"/>
                <w:sz w:val="21"/>
                <w:szCs w:val="21"/>
                <w:highlight w:val="none"/>
              </w:rPr>
            </w:pPr>
            <w:r>
              <w:rPr>
                <w:rFonts w:ascii="Times New Roman" w:hAnsi="Times New Roman"/>
                <w:color w:val="auto"/>
                <w:spacing w:val="-20"/>
                <w:sz w:val="21"/>
                <w:szCs w:val="21"/>
                <w:highlight w:val="none"/>
              </w:rPr>
              <w:t>E</w:t>
            </w:r>
            <w:r>
              <w:rPr>
                <w:rFonts w:ascii="Times New Roman" w:hAnsi="Times New Roman"/>
                <w:color w:val="auto"/>
                <w:sz w:val="21"/>
                <w:szCs w:val="21"/>
                <w:highlight w:val="none"/>
                <w:vertAlign w:val="subscript"/>
              </w:rPr>
              <w:t>s</w:t>
            </w:r>
            <w:r>
              <w:rPr>
                <w:rFonts w:ascii="Times New Roman" w:hAnsi="Times New Roman"/>
                <w:color w:val="auto"/>
                <w:sz w:val="21"/>
                <w:szCs w:val="21"/>
                <w:highlight w:val="none"/>
              </w:rPr>
              <w:t>=8</w:t>
            </w:r>
          </w:p>
        </w:tc>
        <w:tc>
          <w:tcPr>
            <w:tcW w:w="854" w:type="pct"/>
            <w:tcBorders>
              <w:top w:val="single" w:color="auto" w:sz="8" w:space="0"/>
              <w:left w:val="single" w:color="auto" w:sz="8" w:space="0"/>
              <w:bottom w:val="single" w:color="auto" w:sz="8" w:space="0"/>
              <w:right w:val="single" w:color="auto" w:sz="8" w:space="0"/>
            </w:tcBorders>
            <w:shd w:val="clear" w:color="auto" w:fill="auto"/>
            <w:vAlign w:val="center"/>
          </w:tcPr>
          <w:p w14:paraId="5215AA72">
            <w:pPr>
              <w:pStyle w:val="14"/>
              <w:ind w:left="0" w:leftChars="0"/>
              <w:jc w:val="center"/>
              <w:rPr>
                <w:rFonts w:ascii="Times New Roman" w:hAnsi="Times New Roman"/>
                <w:color w:val="auto"/>
                <w:sz w:val="21"/>
                <w:szCs w:val="21"/>
                <w:highlight w:val="none"/>
              </w:rPr>
            </w:pPr>
            <w:r>
              <w:rPr>
                <w:rFonts w:ascii="Times New Roman" w:hAnsi="Times New Roman"/>
                <w:color w:val="auto"/>
                <w:sz w:val="21"/>
                <w:szCs w:val="21"/>
                <w:highlight w:val="none"/>
              </w:rPr>
              <w:t>--</w:t>
            </w:r>
          </w:p>
        </w:tc>
        <w:tc>
          <w:tcPr>
            <w:tcW w:w="972" w:type="pct"/>
            <w:tcBorders>
              <w:top w:val="single" w:color="auto" w:sz="8" w:space="0"/>
              <w:left w:val="single" w:color="auto" w:sz="8" w:space="0"/>
              <w:bottom w:val="single" w:color="auto" w:sz="8" w:space="0"/>
              <w:right w:val="nil"/>
            </w:tcBorders>
            <w:shd w:val="clear" w:color="auto" w:fill="auto"/>
            <w:vAlign w:val="center"/>
          </w:tcPr>
          <w:p w14:paraId="2438ADE2">
            <w:pPr>
              <w:pStyle w:val="14"/>
              <w:ind w:left="0" w:leftChars="0"/>
              <w:jc w:val="center"/>
              <w:rPr>
                <w:rFonts w:ascii="Times New Roman" w:hAnsi="Times New Roman"/>
                <w:color w:val="auto"/>
                <w:sz w:val="21"/>
                <w:szCs w:val="21"/>
                <w:highlight w:val="none"/>
              </w:rPr>
            </w:pPr>
            <w:r>
              <w:rPr>
                <w:rFonts w:ascii="Times New Roman" w:hAnsi="Times New Roman"/>
                <w:color w:val="auto"/>
                <w:sz w:val="21"/>
                <w:szCs w:val="21"/>
                <w:highlight w:val="none"/>
              </w:rPr>
              <w:t>8000</w:t>
            </w:r>
          </w:p>
        </w:tc>
      </w:tr>
      <w:tr w14:paraId="4185B1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40" w:hRule="exact"/>
        </w:trPr>
        <w:tc>
          <w:tcPr>
            <w:tcW w:w="1207" w:type="pct"/>
            <w:tcBorders>
              <w:top w:val="single" w:color="auto" w:sz="8" w:space="0"/>
              <w:left w:val="nil"/>
              <w:bottom w:val="single" w:color="auto" w:sz="12" w:space="0"/>
              <w:right w:val="single" w:color="auto" w:sz="8" w:space="0"/>
            </w:tcBorders>
            <w:shd w:val="clear" w:color="auto" w:fill="auto"/>
            <w:vAlign w:val="center"/>
          </w:tcPr>
          <w:p w14:paraId="435318D4">
            <w:pPr>
              <w:pStyle w:val="14"/>
              <w:ind w:left="0" w:leftChars="0"/>
              <w:rPr>
                <w:rFonts w:hint="eastAsia" w:ascii="宋体" w:hAnsi="宋体"/>
                <w:color w:val="auto"/>
                <w:sz w:val="21"/>
                <w:szCs w:val="21"/>
                <w:highlight w:val="none"/>
              </w:rPr>
            </w:pPr>
            <w:r>
              <w:rPr>
                <w:rFonts w:hint="eastAsia" w:ascii="宋体" w:hAnsi="宋体"/>
                <w:color w:val="auto"/>
                <w:sz w:val="21"/>
                <w:szCs w:val="21"/>
                <w:highlight w:val="none"/>
              </w:rPr>
              <w:t>（T</w:t>
            </w:r>
            <w:r>
              <w:rPr>
                <w:rFonts w:hint="eastAsia" w:ascii="宋体" w:hAnsi="宋体"/>
                <w:color w:val="auto"/>
                <w:szCs w:val="24"/>
                <w:highlight w:val="none"/>
                <w:vertAlign w:val="subscript"/>
              </w:rPr>
              <w:t>2</w:t>
            </w:r>
            <w:r>
              <w:rPr>
                <w:rFonts w:hint="eastAsia" w:ascii="宋体" w:hAnsi="宋体"/>
                <w:color w:val="auto"/>
                <w:sz w:val="21"/>
                <w:szCs w:val="21"/>
                <w:highlight w:val="none"/>
              </w:rPr>
              <w:t>b</w:t>
            </w:r>
            <w:r>
              <w:rPr>
                <w:rFonts w:hint="eastAsia" w:ascii="宋体" w:hAnsi="宋体"/>
                <w:color w:val="auto"/>
                <w:szCs w:val="24"/>
                <w:highlight w:val="none"/>
                <w:vertAlign w:val="subscript"/>
              </w:rPr>
              <w:t>2</w:t>
            </w:r>
            <w:r>
              <w:rPr>
                <w:rFonts w:hint="eastAsia" w:ascii="宋体" w:hAnsi="宋体"/>
                <w:color w:val="auto"/>
                <w:sz w:val="21"/>
                <w:szCs w:val="21"/>
                <w:highlight w:val="none"/>
              </w:rPr>
              <w:t>）强风化泥灰岩</w:t>
            </w:r>
          </w:p>
        </w:tc>
        <w:tc>
          <w:tcPr>
            <w:tcW w:w="669" w:type="pct"/>
            <w:tcBorders>
              <w:top w:val="single" w:color="auto" w:sz="8" w:space="0"/>
              <w:left w:val="single" w:color="auto" w:sz="8" w:space="0"/>
              <w:bottom w:val="single" w:color="auto" w:sz="12" w:space="0"/>
              <w:right w:val="single" w:color="auto" w:sz="8" w:space="0"/>
            </w:tcBorders>
            <w:shd w:val="clear" w:color="auto" w:fill="auto"/>
            <w:vAlign w:val="center"/>
          </w:tcPr>
          <w:p w14:paraId="65EC60BE">
            <w:pPr>
              <w:pStyle w:val="14"/>
              <w:ind w:left="0" w:leftChars="0"/>
              <w:jc w:val="center"/>
              <w:rPr>
                <w:rFonts w:ascii="Times New Roman" w:hAnsi="Times New Roman"/>
                <w:color w:val="auto"/>
                <w:sz w:val="21"/>
                <w:szCs w:val="21"/>
                <w:highlight w:val="none"/>
              </w:rPr>
            </w:pPr>
            <w:r>
              <w:rPr>
                <w:rFonts w:ascii="Times New Roman" w:hAnsi="Times New Roman"/>
                <w:color w:val="auto"/>
                <w:sz w:val="21"/>
                <w:szCs w:val="21"/>
                <w:highlight w:val="none"/>
              </w:rPr>
              <w:t>250</w:t>
            </w:r>
          </w:p>
        </w:tc>
        <w:tc>
          <w:tcPr>
            <w:tcW w:w="709" w:type="pct"/>
            <w:tcBorders>
              <w:top w:val="single" w:color="auto" w:sz="8" w:space="0"/>
              <w:left w:val="single" w:color="auto" w:sz="8" w:space="0"/>
              <w:bottom w:val="single" w:color="auto" w:sz="12" w:space="0"/>
              <w:right w:val="single" w:color="auto" w:sz="8" w:space="0"/>
            </w:tcBorders>
            <w:shd w:val="clear" w:color="auto" w:fill="auto"/>
            <w:vAlign w:val="center"/>
          </w:tcPr>
          <w:p w14:paraId="38485029">
            <w:pPr>
              <w:pStyle w:val="14"/>
              <w:ind w:left="0" w:leftChars="0"/>
              <w:jc w:val="center"/>
              <w:rPr>
                <w:rFonts w:ascii="Times New Roman" w:hAnsi="Times New Roman"/>
                <w:color w:val="auto"/>
                <w:sz w:val="21"/>
                <w:szCs w:val="21"/>
                <w:highlight w:val="none"/>
              </w:rPr>
            </w:pPr>
            <w:r>
              <w:rPr>
                <w:rFonts w:ascii="Times New Roman" w:hAnsi="Times New Roman"/>
                <w:color w:val="auto"/>
                <w:sz w:val="21"/>
                <w:szCs w:val="21"/>
                <w:highlight w:val="none"/>
              </w:rPr>
              <w:t>100</w:t>
            </w:r>
          </w:p>
        </w:tc>
        <w:tc>
          <w:tcPr>
            <w:tcW w:w="587" w:type="pct"/>
            <w:tcBorders>
              <w:top w:val="single" w:color="auto" w:sz="8" w:space="0"/>
              <w:left w:val="single" w:color="auto" w:sz="8" w:space="0"/>
              <w:bottom w:val="single" w:color="auto" w:sz="12" w:space="0"/>
              <w:right w:val="single" w:color="auto" w:sz="8" w:space="0"/>
            </w:tcBorders>
            <w:shd w:val="clear" w:color="auto" w:fill="auto"/>
            <w:vAlign w:val="center"/>
          </w:tcPr>
          <w:p w14:paraId="49380764">
            <w:pPr>
              <w:pStyle w:val="14"/>
              <w:ind w:left="0" w:leftChars="0"/>
              <w:jc w:val="center"/>
              <w:rPr>
                <w:rFonts w:ascii="Times New Roman" w:hAnsi="Times New Roman"/>
                <w:color w:val="auto"/>
                <w:sz w:val="21"/>
                <w:szCs w:val="21"/>
                <w:highlight w:val="none"/>
              </w:rPr>
            </w:pPr>
            <w:r>
              <w:rPr>
                <w:rFonts w:ascii="Times New Roman" w:hAnsi="Times New Roman"/>
                <w:color w:val="auto"/>
                <w:sz w:val="21"/>
                <w:szCs w:val="21"/>
                <w:highlight w:val="none"/>
              </w:rPr>
              <w:t>--</w:t>
            </w:r>
          </w:p>
        </w:tc>
        <w:tc>
          <w:tcPr>
            <w:tcW w:w="854" w:type="pct"/>
            <w:tcBorders>
              <w:top w:val="single" w:color="auto" w:sz="8" w:space="0"/>
              <w:left w:val="single" w:color="auto" w:sz="8" w:space="0"/>
              <w:bottom w:val="single" w:color="auto" w:sz="12" w:space="0"/>
              <w:right w:val="single" w:color="auto" w:sz="8" w:space="0"/>
            </w:tcBorders>
            <w:shd w:val="clear" w:color="auto" w:fill="auto"/>
            <w:vAlign w:val="center"/>
          </w:tcPr>
          <w:p w14:paraId="058060A6">
            <w:pPr>
              <w:pStyle w:val="14"/>
              <w:ind w:left="0" w:leftChars="0"/>
              <w:jc w:val="center"/>
              <w:rPr>
                <w:rFonts w:ascii="Times New Roman" w:hAnsi="Times New Roman"/>
                <w:color w:val="auto"/>
                <w:sz w:val="21"/>
                <w:szCs w:val="21"/>
                <w:highlight w:val="none"/>
              </w:rPr>
            </w:pPr>
            <w:r>
              <w:rPr>
                <w:rFonts w:ascii="Times New Roman" w:hAnsi="Times New Roman"/>
                <w:color w:val="auto"/>
                <w:sz w:val="21"/>
                <w:szCs w:val="21"/>
                <w:highlight w:val="none"/>
              </w:rPr>
              <w:t>--</w:t>
            </w:r>
          </w:p>
        </w:tc>
        <w:tc>
          <w:tcPr>
            <w:tcW w:w="972" w:type="pct"/>
            <w:tcBorders>
              <w:top w:val="single" w:color="auto" w:sz="8" w:space="0"/>
              <w:left w:val="single" w:color="auto" w:sz="8" w:space="0"/>
              <w:bottom w:val="single" w:color="auto" w:sz="12" w:space="0"/>
              <w:right w:val="nil"/>
            </w:tcBorders>
            <w:shd w:val="clear" w:color="auto" w:fill="auto"/>
            <w:vAlign w:val="center"/>
          </w:tcPr>
          <w:p w14:paraId="29086133">
            <w:pPr>
              <w:pStyle w:val="14"/>
              <w:ind w:left="0" w:leftChars="0"/>
              <w:jc w:val="center"/>
              <w:rPr>
                <w:rFonts w:ascii="Times New Roman" w:hAnsi="Times New Roman"/>
                <w:color w:val="auto"/>
                <w:sz w:val="21"/>
                <w:szCs w:val="21"/>
                <w:highlight w:val="none"/>
              </w:rPr>
            </w:pPr>
            <w:r>
              <w:rPr>
                <w:rFonts w:ascii="Times New Roman" w:hAnsi="Times New Roman"/>
                <w:color w:val="auto"/>
                <w:sz w:val="21"/>
                <w:szCs w:val="21"/>
                <w:highlight w:val="none"/>
              </w:rPr>
              <w:t>C</w:t>
            </w:r>
            <w:r>
              <w:rPr>
                <w:rFonts w:ascii="Times New Roman" w:hAnsi="Times New Roman"/>
                <w:color w:val="auto"/>
                <w:sz w:val="21"/>
                <w:szCs w:val="21"/>
                <w:highlight w:val="none"/>
                <w:vertAlign w:val="subscript"/>
              </w:rPr>
              <w:t>0</w:t>
            </w:r>
            <w:r>
              <w:rPr>
                <w:rFonts w:ascii="Times New Roman" w:hAnsi="Times New Roman"/>
                <w:color w:val="auto"/>
                <w:sz w:val="21"/>
                <w:szCs w:val="21"/>
                <w:highlight w:val="none"/>
              </w:rPr>
              <w:t>=15000000</w:t>
            </w:r>
          </w:p>
        </w:tc>
      </w:tr>
    </w:tbl>
    <w:p w14:paraId="40F38805">
      <w:pPr>
        <w:spacing w:line="320" w:lineRule="exact"/>
        <w:ind w:firstLine="422"/>
        <w:rPr>
          <w:rFonts w:ascii="Times New Roman" w:hAnsi="Times New Roman"/>
          <w:b/>
          <w:bCs/>
          <w:color w:val="auto"/>
          <w:sz w:val="18"/>
          <w:szCs w:val="18"/>
          <w:highlight w:val="none"/>
        </w:rPr>
      </w:pPr>
      <w:r>
        <w:rPr>
          <w:rFonts w:hint="eastAsia" w:ascii="Times New Roman" w:hAnsi="Times New Roman"/>
          <w:b/>
          <w:bCs/>
          <w:color w:val="auto"/>
          <w:sz w:val="18"/>
          <w:szCs w:val="18"/>
          <w:highlight w:val="none"/>
        </w:rPr>
        <w:t>注：1、各覆盖层承载力特征值根据其组成、结构特征及钻探情况综合确定；强风化岩石承载力特征值按其风化性状、</w:t>
      </w:r>
    </w:p>
    <w:p w14:paraId="59B60C38">
      <w:pPr>
        <w:spacing w:line="320" w:lineRule="exact"/>
        <w:ind w:firstLine="422"/>
        <w:rPr>
          <w:rFonts w:ascii="Times New Roman" w:hAnsi="Times New Roman"/>
          <w:b/>
          <w:bCs/>
          <w:color w:val="auto"/>
          <w:sz w:val="18"/>
          <w:szCs w:val="18"/>
          <w:highlight w:val="none"/>
        </w:rPr>
      </w:pPr>
      <w:r>
        <w:rPr>
          <w:rFonts w:hint="eastAsia" w:ascii="Times New Roman" w:hAnsi="Times New Roman"/>
          <w:b/>
          <w:bCs/>
          <w:color w:val="auto"/>
          <w:sz w:val="18"/>
          <w:szCs w:val="18"/>
          <w:highlight w:val="none"/>
        </w:rPr>
        <w:t>特征并结合钻探情况及邻近工点勘察结果综合确定。</w:t>
      </w:r>
    </w:p>
    <w:p w14:paraId="37FFA978">
      <w:pPr>
        <w:spacing w:line="320" w:lineRule="exact"/>
        <w:ind w:firstLine="422"/>
        <w:rPr>
          <w:rFonts w:ascii="Times New Roman" w:hAnsi="Times New Roman"/>
          <w:b/>
          <w:bCs/>
          <w:color w:val="auto"/>
          <w:sz w:val="18"/>
          <w:szCs w:val="18"/>
          <w:highlight w:val="none"/>
        </w:rPr>
      </w:pPr>
      <w:r>
        <w:rPr>
          <w:rFonts w:hint="eastAsia" w:ascii="Times New Roman" w:hAnsi="Times New Roman"/>
          <w:b/>
          <w:bCs/>
          <w:color w:val="auto"/>
          <w:sz w:val="18"/>
          <w:szCs w:val="18"/>
          <w:highlight w:val="none"/>
        </w:rPr>
        <w:t>2、中风化岩石承载力特征值查《公路桥涵地基与基础设计规范》（JTG 3363-2019）表4.3.3-1并按室内试验结果</w:t>
      </w:r>
    </w:p>
    <w:p w14:paraId="6615345D">
      <w:pPr>
        <w:spacing w:line="320" w:lineRule="exact"/>
        <w:ind w:firstLine="422"/>
        <w:rPr>
          <w:rFonts w:ascii="Times New Roman" w:hAnsi="Times New Roman"/>
          <w:b/>
          <w:bCs/>
          <w:color w:val="auto"/>
          <w:sz w:val="18"/>
          <w:szCs w:val="18"/>
          <w:highlight w:val="none"/>
        </w:rPr>
      </w:pPr>
      <w:r>
        <w:rPr>
          <w:rFonts w:hint="eastAsia" w:ascii="Times New Roman" w:hAnsi="Times New Roman"/>
          <w:b/>
          <w:bCs/>
          <w:color w:val="auto"/>
          <w:sz w:val="18"/>
          <w:szCs w:val="18"/>
          <w:highlight w:val="none"/>
        </w:rPr>
        <w:t>及其风化性状、特征并结合钻探情况综合确定。</w:t>
      </w:r>
    </w:p>
    <w:p w14:paraId="5686B078">
      <w:pPr>
        <w:spacing w:line="320" w:lineRule="exact"/>
        <w:ind w:firstLine="422"/>
        <w:rPr>
          <w:rFonts w:ascii="Times New Roman" w:hAnsi="Times New Roman"/>
          <w:b/>
          <w:bCs/>
          <w:color w:val="auto"/>
          <w:sz w:val="18"/>
          <w:szCs w:val="18"/>
          <w:highlight w:val="none"/>
        </w:rPr>
      </w:pPr>
      <w:r>
        <w:rPr>
          <w:rFonts w:hint="eastAsia" w:ascii="Times New Roman" w:hAnsi="Times New Roman"/>
          <w:b/>
          <w:bCs/>
          <w:color w:val="auto"/>
          <w:sz w:val="18"/>
          <w:szCs w:val="18"/>
          <w:highlight w:val="none"/>
        </w:rPr>
        <w:t>3、基底摩擦系数、钻孔桩桩侧土摩阻力标准值、非岩石类土的比例系数分别查《公路桥涵地基与基础设 计规范》</w:t>
      </w:r>
    </w:p>
    <w:p w14:paraId="082CDFE3">
      <w:pPr>
        <w:spacing w:line="320" w:lineRule="exact"/>
        <w:ind w:firstLine="422"/>
        <w:rPr>
          <w:rFonts w:ascii="Times New Roman" w:hAnsi="Times New Roman"/>
          <w:b/>
          <w:bCs/>
          <w:color w:val="auto"/>
          <w:sz w:val="18"/>
          <w:szCs w:val="18"/>
          <w:highlight w:val="none"/>
        </w:rPr>
      </w:pPr>
      <w:r>
        <w:rPr>
          <w:rFonts w:hint="eastAsia" w:ascii="Times New Roman" w:hAnsi="Times New Roman"/>
          <w:b/>
          <w:bCs/>
          <w:color w:val="auto"/>
          <w:sz w:val="18"/>
          <w:szCs w:val="18"/>
          <w:highlight w:val="none"/>
        </w:rPr>
        <w:t>（JTG 3363-2019）表5.4.2、表6.3.3-1、附录L表L.0.2-1得出。</w:t>
      </w:r>
    </w:p>
    <w:p w14:paraId="3C95B758">
      <w:pPr>
        <w:spacing w:line="320" w:lineRule="exact"/>
        <w:ind w:firstLine="422"/>
        <w:rPr>
          <w:rFonts w:ascii="Times New Roman" w:hAnsi="Times New Roman"/>
          <w:b/>
          <w:bCs/>
          <w:color w:val="auto"/>
          <w:sz w:val="18"/>
          <w:szCs w:val="18"/>
          <w:highlight w:val="none"/>
        </w:rPr>
      </w:pPr>
    </w:p>
    <w:p w14:paraId="56A7876E">
      <w:pPr>
        <w:pStyle w:val="2"/>
        <w:numPr>
          <w:ilvl w:val="0"/>
          <w:numId w:val="0"/>
        </w:numPr>
        <w:rPr>
          <w:rFonts w:ascii="Times New Roman" w:hAnsi="Times New Roman"/>
          <w:color w:val="auto"/>
          <w:highlight w:val="none"/>
        </w:rPr>
      </w:pPr>
      <w:r>
        <w:rPr>
          <w:rFonts w:ascii="Times New Roman" w:hAnsi="Times New Roman"/>
          <w:color w:val="auto"/>
          <w:highlight w:val="none"/>
        </w:rPr>
        <w:t>3  桥梁使用现状及存在的主要问题</w:t>
      </w:r>
    </w:p>
    <w:p w14:paraId="74036658">
      <w:pPr>
        <w:pStyle w:val="13"/>
        <w:spacing w:after="0"/>
        <w:ind w:firstLine="482"/>
        <w:rPr>
          <w:rFonts w:ascii="Times New Roman" w:hAnsi="Times New Roman"/>
          <w:color w:val="auto"/>
          <w:szCs w:val="28"/>
          <w:highlight w:val="none"/>
        </w:rPr>
      </w:pPr>
      <w:r>
        <w:rPr>
          <w:rFonts w:hint="eastAsia" w:ascii="Times New Roman" w:hAnsi="Times New Roman"/>
          <w:color w:val="auto"/>
          <w:highlight w:val="none"/>
        </w:rPr>
        <w:t>2</w:t>
      </w:r>
      <w:r>
        <w:rPr>
          <w:rFonts w:ascii="Times New Roman" w:hAnsi="Times New Roman"/>
          <w:color w:val="auto"/>
          <w:highlight w:val="none"/>
        </w:rPr>
        <w:t>0</w:t>
      </w:r>
      <w:r>
        <w:rPr>
          <w:rFonts w:hint="eastAsia" w:ascii="Times New Roman" w:hAnsi="Times New Roman"/>
          <w:color w:val="auto"/>
          <w:highlight w:val="none"/>
        </w:rPr>
        <w:t>24</w:t>
      </w:r>
      <w:r>
        <w:rPr>
          <w:rFonts w:ascii="Times New Roman" w:hAnsi="Times New Roman"/>
          <w:color w:val="auto"/>
          <w:highlight w:val="none"/>
        </w:rPr>
        <w:t xml:space="preserve"> 年</w:t>
      </w:r>
      <w:r>
        <w:rPr>
          <w:rFonts w:hint="eastAsia" w:ascii="Times New Roman" w:hAnsi="Times New Roman"/>
          <w:color w:val="auto"/>
          <w:highlight w:val="none"/>
        </w:rPr>
        <w:t>5</w:t>
      </w:r>
      <w:r>
        <w:rPr>
          <w:rFonts w:ascii="Times New Roman" w:hAnsi="Times New Roman"/>
          <w:color w:val="auto"/>
          <w:highlight w:val="none"/>
        </w:rPr>
        <w:t>月广西</w:t>
      </w:r>
      <w:r>
        <w:rPr>
          <w:rFonts w:hint="eastAsia" w:ascii="Times New Roman" w:hAnsi="Times New Roman"/>
          <w:color w:val="auto"/>
          <w:szCs w:val="28"/>
          <w:highlight w:val="none"/>
        </w:rPr>
        <w:t>交通工程检测有限</w:t>
      </w:r>
      <w:r>
        <w:rPr>
          <w:rFonts w:ascii="Times New Roman" w:hAnsi="Times New Roman"/>
          <w:color w:val="auto"/>
          <w:szCs w:val="28"/>
          <w:highlight w:val="none"/>
        </w:rPr>
        <w:t>公司</w:t>
      </w:r>
      <w:r>
        <w:rPr>
          <w:rFonts w:ascii="Times New Roman" w:hAnsi="Times New Roman"/>
          <w:color w:val="auto"/>
          <w:highlight w:val="none"/>
        </w:rPr>
        <w:t>对</w:t>
      </w:r>
      <w:r>
        <w:rPr>
          <w:rFonts w:hint="eastAsia" w:ascii="Times New Roman" w:hAnsi="Times New Roman"/>
          <w:color w:val="auto"/>
          <w:szCs w:val="28"/>
          <w:highlight w:val="none"/>
        </w:rPr>
        <w:t>那初三</w:t>
      </w:r>
      <w:r>
        <w:rPr>
          <w:rFonts w:ascii="Times New Roman" w:hAnsi="Times New Roman"/>
          <w:color w:val="auto"/>
          <w:szCs w:val="28"/>
          <w:highlight w:val="none"/>
        </w:rPr>
        <w:t>桥</w:t>
      </w:r>
      <w:r>
        <w:rPr>
          <w:rFonts w:ascii="Times New Roman" w:hAnsi="Times New Roman"/>
          <w:color w:val="auto"/>
          <w:highlight w:val="none"/>
        </w:rPr>
        <w:t>进行检测，详见</w:t>
      </w:r>
      <w:r>
        <w:rPr>
          <w:rFonts w:asciiTheme="minorEastAsia" w:hAnsiTheme="minorEastAsia" w:eastAsiaTheme="minorEastAsia"/>
          <w:color w:val="auto"/>
          <w:highlight w:val="none"/>
        </w:rPr>
        <w:t>“检测报告”</w:t>
      </w:r>
      <w:r>
        <w:rPr>
          <w:rFonts w:ascii="Times New Roman" w:hAnsi="Times New Roman"/>
          <w:color w:val="auto"/>
          <w:highlight w:val="none"/>
        </w:rPr>
        <w:t>，</w:t>
      </w:r>
      <w:r>
        <w:rPr>
          <w:rFonts w:ascii="Times New Roman" w:hAnsi="Times New Roman"/>
          <w:color w:val="auto"/>
          <w:szCs w:val="28"/>
          <w:highlight w:val="none"/>
        </w:rPr>
        <w:t>此次定期检查评定</w:t>
      </w:r>
      <w:r>
        <w:rPr>
          <w:rFonts w:hint="eastAsia" w:ascii="Times New Roman" w:hAnsi="Times New Roman"/>
          <w:color w:val="auto"/>
          <w:szCs w:val="28"/>
          <w:highlight w:val="none"/>
        </w:rPr>
        <w:t>那</w:t>
      </w:r>
      <w:r>
        <w:rPr>
          <w:rFonts w:hint="eastAsia" w:ascii="Times New Roman" w:hAnsi="Times New Roman"/>
          <w:color w:val="auto"/>
          <w:highlight w:val="none"/>
        </w:rPr>
        <w:t>初三</w:t>
      </w:r>
      <w:r>
        <w:rPr>
          <w:rFonts w:ascii="Times New Roman" w:hAnsi="Times New Roman"/>
          <w:color w:val="auto"/>
          <w:szCs w:val="28"/>
          <w:highlight w:val="none"/>
        </w:rPr>
        <w:t>桥总体技术状况等级为</w:t>
      </w:r>
      <w:r>
        <w:rPr>
          <w:rFonts w:hint="eastAsia" w:ascii="Times New Roman" w:hAnsi="Times New Roman"/>
          <w:b/>
          <w:bCs/>
          <w:color w:val="auto"/>
          <w:szCs w:val="28"/>
          <w:highlight w:val="none"/>
        </w:rPr>
        <w:t>五</w:t>
      </w:r>
      <w:r>
        <w:rPr>
          <w:rFonts w:ascii="Times New Roman" w:hAnsi="Times New Roman"/>
          <w:b/>
          <w:color w:val="auto"/>
          <w:szCs w:val="28"/>
          <w:highlight w:val="none"/>
        </w:rPr>
        <w:t>类</w:t>
      </w:r>
      <w:r>
        <w:rPr>
          <w:rFonts w:ascii="Times New Roman" w:hAnsi="Times New Roman"/>
          <w:color w:val="auto"/>
          <w:szCs w:val="28"/>
          <w:highlight w:val="none"/>
        </w:rPr>
        <w:t>，</w:t>
      </w:r>
      <w:r>
        <w:rPr>
          <w:b/>
          <w:bCs/>
          <w:color w:val="auto"/>
          <w:highlight w:val="none"/>
        </w:rPr>
        <w:t>主要构件存在严重缺损，不能正常使用，危及桥梁安全，桥梁处于危险状态</w:t>
      </w:r>
      <w:r>
        <w:rPr>
          <w:rFonts w:ascii="Times New Roman" w:hAnsi="Times New Roman"/>
          <w:color w:val="auto"/>
          <w:szCs w:val="28"/>
          <w:highlight w:val="none"/>
        </w:rPr>
        <w:t>。</w:t>
      </w:r>
    </w:p>
    <w:p w14:paraId="417A2093">
      <w:pPr>
        <w:pStyle w:val="3"/>
        <w:numPr>
          <w:ilvl w:val="0"/>
          <w:numId w:val="0"/>
        </w:numPr>
        <w:ind w:left="281"/>
        <w:rPr>
          <w:rFonts w:ascii="Times New Roman" w:hAnsi="Times New Roman"/>
          <w:color w:val="auto"/>
          <w:highlight w:val="none"/>
        </w:rPr>
      </w:pPr>
      <w:r>
        <w:rPr>
          <w:rFonts w:ascii="Times New Roman" w:hAnsi="Times New Roman"/>
          <w:color w:val="auto"/>
          <w:highlight w:val="none"/>
        </w:rPr>
        <w:t>3.1 桥梁检测结果</w:t>
      </w:r>
    </w:p>
    <w:p w14:paraId="054082BE">
      <w:pPr>
        <w:pStyle w:val="4"/>
        <w:ind w:firstLine="482"/>
        <w:rPr>
          <w:color w:val="auto"/>
          <w:highlight w:val="none"/>
        </w:rPr>
      </w:pPr>
      <w:r>
        <w:rPr>
          <w:color w:val="auto"/>
          <w:highlight w:val="none"/>
        </w:rPr>
        <w:t>3.1</w:t>
      </w:r>
      <w:r>
        <w:rPr>
          <w:rFonts w:hint="eastAsia"/>
          <w:color w:val="auto"/>
          <w:highlight w:val="none"/>
        </w:rPr>
        <w:t>.1</w:t>
      </w:r>
      <w:r>
        <w:rPr>
          <w:color w:val="auto"/>
          <w:highlight w:val="none"/>
        </w:rPr>
        <w:t xml:space="preserve">  桥面系</w:t>
      </w:r>
    </w:p>
    <w:p w14:paraId="16E4769D">
      <w:pPr>
        <w:pStyle w:val="37"/>
        <w:rPr>
          <w:rFonts w:ascii="Times New Roman" w:hAnsi="Times New Roman" w:eastAsiaTheme="minorEastAsia"/>
          <w:color w:val="auto"/>
          <w:highlight w:val="none"/>
        </w:rPr>
      </w:pPr>
      <w:r>
        <w:rPr>
          <w:rFonts w:ascii="Times New Roman" w:hAnsi="Times New Roman" w:eastAsiaTheme="minorEastAsia"/>
          <w:color w:val="auto"/>
          <w:highlight w:val="none"/>
        </w:rPr>
        <w:t>桥面系病害情况汇总表</w:t>
      </w:r>
    </w:p>
    <w:tbl>
      <w:tblPr>
        <w:tblStyle w:val="26"/>
        <w:tblW w:w="5000" w:type="pct"/>
        <w:jc w:val="center"/>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Layout w:type="fixed"/>
        <w:tblCellMar>
          <w:top w:w="0" w:type="dxa"/>
          <w:left w:w="108" w:type="dxa"/>
          <w:bottom w:w="0" w:type="dxa"/>
          <w:right w:w="108" w:type="dxa"/>
        </w:tblCellMar>
      </w:tblPr>
      <w:tblGrid>
        <w:gridCol w:w="1140"/>
        <w:gridCol w:w="1354"/>
        <w:gridCol w:w="1608"/>
        <w:gridCol w:w="4485"/>
        <w:gridCol w:w="1638"/>
      </w:tblGrid>
      <w:tr w14:paraId="1A5C2BB3">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471" w:hRule="atLeast"/>
          <w:tblHeader/>
          <w:jc w:val="center"/>
        </w:trPr>
        <w:tc>
          <w:tcPr>
            <w:tcW w:w="557" w:type="pct"/>
            <w:shd w:val="clear" w:color="auto" w:fill="auto"/>
            <w:vAlign w:val="center"/>
          </w:tcPr>
          <w:p w14:paraId="55A7125E">
            <w:pPr>
              <w:pStyle w:val="37"/>
              <w:rPr>
                <w:rFonts w:ascii="Times New Roman" w:hAnsi="Times New Roman" w:eastAsiaTheme="minorEastAsia"/>
                <w:b w:val="0"/>
                <w:color w:val="auto"/>
                <w:kern w:val="0"/>
                <w:szCs w:val="21"/>
                <w:highlight w:val="none"/>
              </w:rPr>
            </w:pPr>
            <w:r>
              <w:rPr>
                <w:rFonts w:ascii="Times New Roman" w:hAnsi="Times New Roman" w:eastAsiaTheme="minorEastAsia"/>
                <w:b w:val="0"/>
                <w:color w:val="auto"/>
                <w:szCs w:val="21"/>
                <w:highlight w:val="none"/>
              </w:rPr>
              <w:t>桥面铺装</w:t>
            </w:r>
          </w:p>
        </w:tc>
        <w:tc>
          <w:tcPr>
            <w:tcW w:w="662" w:type="pct"/>
            <w:shd w:val="clear" w:color="auto" w:fill="auto"/>
            <w:vAlign w:val="center"/>
          </w:tcPr>
          <w:p w14:paraId="057875DF">
            <w:pPr>
              <w:pStyle w:val="37"/>
              <w:rPr>
                <w:rFonts w:ascii="Times New Roman" w:hAnsi="Times New Roman" w:eastAsiaTheme="minorEastAsia"/>
                <w:b w:val="0"/>
                <w:color w:val="auto"/>
                <w:kern w:val="0"/>
                <w:szCs w:val="21"/>
                <w:highlight w:val="none"/>
              </w:rPr>
            </w:pPr>
            <w:r>
              <w:rPr>
                <w:rFonts w:ascii="Times New Roman" w:hAnsi="Times New Roman" w:eastAsiaTheme="minorEastAsia"/>
                <w:b w:val="0"/>
                <w:color w:val="auto"/>
                <w:szCs w:val="21"/>
                <w:highlight w:val="none"/>
              </w:rPr>
              <w:t>伸缩缝</w:t>
            </w:r>
          </w:p>
        </w:tc>
        <w:tc>
          <w:tcPr>
            <w:tcW w:w="786" w:type="pct"/>
            <w:shd w:val="clear" w:color="auto" w:fill="auto"/>
            <w:vAlign w:val="center"/>
          </w:tcPr>
          <w:p w14:paraId="794E97B1">
            <w:pPr>
              <w:pStyle w:val="37"/>
              <w:rPr>
                <w:rFonts w:ascii="Times New Roman" w:hAnsi="Times New Roman" w:eastAsiaTheme="minorEastAsia"/>
                <w:b w:val="0"/>
                <w:color w:val="auto"/>
                <w:kern w:val="0"/>
                <w:szCs w:val="21"/>
                <w:highlight w:val="none"/>
              </w:rPr>
            </w:pPr>
            <w:r>
              <w:rPr>
                <w:rFonts w:ascii="Times New Roman" w:hAnsi="Times New Roman" w:eastAsiaTheme="minorEastAsia"/>
                <w:b w:val="0"/>
                <w:color w:val="auto"/>
                <w:kern w:val="0"/>
                <w:szCs w:val="21"/>
                <w:highlight w:val="none"/>
              </w:rPr>
              <w:t>排水系统</w:t>
            </w:r>
          </w:p>
        </w:tc>
        <w:tc>
          <w:tcPr>
            <w:tcW w:w="2192" w:type="pct"/>
            <w:shd w:val="clear" w:color="auto" w:fill="auto"/>
            <w:vAlign w:val="center"/>
          </w:tcPr>
          <w:p w14:paraId="571E5D88">
            <w:pPr>
              <w:pStyle w:val="37"/>
              <w:rPr>
                <w:rFonts w:ascii="Times New Roman" w:hAnsi="Times New Roman" w:eastAsiaTheme="minorEastAsia"/>
                <w:b w:val="0"/>
                <w:color w:val="auto"/>
                <w:kern w:val="0"/>
                <w:szCs w:val="21"/>
                <w:highlight w:val="none"/>
              </w:rPr>
            </w:pPr>
            <w:r>
              <w:rPr>
                <w:rFonts w:hint="eastAsia" w:ascii="Times New Roman" w:hAnsi="Times New Roman" w:eastAsiaTheme="minorEastAsia"/>
                <w:b w:val="0"/>
                <w:color w:val="auto"/>
                <w:kern w:val="0"/>
                <w:szCs w:val="21"/>
                <w:highlight w:val="none"/>
              </w:rPr>
              <w:t>栏杆</w:t>
            </w:r>
          </w:p>
        </w:tc>
        <w:tc>
          <w:tcPr>
            <w:tcW w:w="801" w:type="pct"/>
            <w:vAlign w:val="center"/>
          </w:tcPr>
          <w:p w14:paraId="42F70A8A">
            <w:pPr>
              <w:pStyle w:val="37"/>
              <w:rPr>
                <w:rFonts w:ascii="Times New Roman" w:hAnsi="Times New Roman" w:eastAsiaTheme="minorEastAsia"/>
                <w:b w:val="0"/>
                <w:color w:val="auto"/>
                <w:szCs w:val="21"/>
                <w:highlight w:val="none"/>
              </w:rPr>
            </w:pPr>
            <w:r>
              <w:rPr>
                <w:rFonts w:ascii="Times New Roman" w:hAnsi="Times New Roman" w:eastAsiaTheme="minorEastAsia"/>
                <w:b w:val="0"/>
                <w:color w:val="auto"/>
                <w:szCs w:val="21"/>
                <w:highlight w:val="none"/>
              </w:rPr>
              <w:t>照明、标志</w:t>
            </w:r>
          </w:p>
        </w:tc>
      </w:tr>
      <w:tr w14:paraId="6CE8D2D8">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678" w:hRule="atLeast"/>
          <w:jc w:val="center"/>
        </w:trPr>
        <w:tc>
          <w:tcPr>
            <w:tcW w:w="557" w:type="pct"/>
            <w:shd w:val="clear" w:color="auto" w:fill="auto"/>
            <w:noWrap/>
            <w:vAlign w:val="center"/>
          </w:tcPr>
          <w:p w14:paraId="5D052427">
            <w:pPr>
              <w:pStyle w:val="37"/>
              <w:rPr>
                <w:rFonts w:ascii="Times New Roman" w:hAnsi="Times New Roman"/>
                <w:b w:val="0"/>
                <w:color w:val="auto"/>
                <w:szCs w:val="21"/>
                <w:highlight w:val="none"/>
              </w:rPr>
            </w:pPr>
            <w:r>
              <w:rPr>
                <w:rFonts w:ascii="Times New Roman" w:hAnsi="Times New Roman"/>
                <w:b w:val="0"/>
                <w:color w:val="auto"/>
                <w:highlight w:val="none"/>
              </w:rPr>
              <w:t>1</w:t>
            </w:r>
            <w:r>
              <w:rPr>
                <w:rFonts w:hint="eastAsia" w:ascii="Times New Roman" w:hAnsi="Times New Roman"/>
                <w:b w:val="0"/>
                <w:color w:val="auto"/>
                <w:highlight w:val="none"/>
              </w:rPr>
              <w:t>处坑槽</w:t>
            </w:r>
          </w:p>
        </w:tc>
        <w:tc>
          <w:tcPr>
            <w:tcW w:w="662" w:type="pct"/>
            <w:shd w:val="clear" w:color="auto" w:fill="auto"/>
            <w:noWrap/>
            <w:vAlign w:val="center"/>
          </w:tcPr>
          <w:p w14:paraId="2948D9DD">
            <w:pPr>
              <w:pStyle w:val="37"/>
              <w:rPr>
                <w:rFonts w:ascii="Times New Roman" w:hAnsi="Times New Roman"/>
                <w:b w:val="0"/>
                <w:color w:val="auto"/>
                <w:highlight w:val="none"/>
              </w:rPr>
            </w:pPr>
            <w:r>
              <w:rPr>
                <w:rFonts w:ascii="Times New Roman" w:hAnsi="Times New Roman"/>
                <w:b w:val="0"/>
                <w:color w:val="auto"/>
                <w:highlight w:val="none"/>
              </w:rPr>
              <w:t>未设伸缩缝</w:t>
            </w:r>
          </w:p>
        </w:tc>
        <w:tc>
          <w:tcPr>
            <w:tcW w:w="786" w:type="pct"/>
            <w:shd w:val="clear" w:color="auto" w:fill="auto"/>
            <w:noWrap/>
            <w:vAlign w:val="center"/>
          </w:tcPr>
          <w:p w14:paraId="6ADACA20">
            <w:pPr>
              <w:pStyle w:val="37"/>
              <w:rPr>
                <w:rFonts w:ascii="Times New Roman" w:hAnsi="Times New Roman"/>
                <w:b w:val="0"/>
                <w:color w:val="auto"/>
                <w:highlight w:val="none"/>
              </w:rPr>
            </w:pPr>
            <w:r>
              <w:rPr>
                <w:rFonts w:ascii="Times New Roman" w:hAnsi="Times New Roman"/>
                <w:b w:val="0"/>
                <w:color w:val="auto"/>
                <w:highlight w:val="none"/>
              </w:rPr>
              <w:t>未设排水系统</w:t>
            </w:r>
          </w:p>
        </w:tc>
        <w:tc>
          <w:tcPr>
            <w:tcW w:w="2192" w:type="pct"/>
            <w:shd w:val="clear" w:color="auto" w:fill="auto"/>
            <w:noWrap/>
            <w:vAlign w:val="center"/>
          </w:tcPr>
          <w:p w14:paraId="66891B78">
            <w:pPr>
              <w:pStyle w:val="37"/>
              <w:rPr>
                <w:rFonts w:ascii="Times New Roman" w:hAnsi="Times New Roman"/>
                <w:b w:val="0"/>
                <w:color w:val="auto"/>
                <w:highlight w:val="none"/>
              </w:rPr>
            </w:pPr>
            <w:r>
              <w:rPr>
                <w:rFonts w:hint="eastAsia" w:ascii="Times New Roman" w:hAnsi="Times New Roman"/>
                <w:b w:val="0"/>
                <w:color w:val="auto"/>
                <w:highlight w:val="none"/>
              </w:rPr>
              <w:t>1道锈胀开裂，长度20m，宽度10.0mm</w:t>
            </w:r>
          </w:p>
          <w:p w14:paraId="34EFAF86">
            <w:pPr>
              <w:pStyle w:val="37"/>
              <w:rPr>
                <w:rFonts w:ascii="Times New Roman" w:hAnsi="Times New Roman"/>
                <w:b w:val="0"/>
                <w:color w:val="auto"/>
                <w:highlight w:val="none"/>
              </w:rPr>
            </w:pPr>
            <w:r>
              <w:rPr>
                <w:rFonts w:hint="eastAsia" w:ascii="Times New Roman" w:hAnsi="Times New Roman"/>
                <w:b w:val="0"/>
                <w:color w:val="auto"/>
                <w:highlight w:val="none"/>
              </w:rPr>
              <w:t>2处剥落露筋</w:t>
            </w:r>
            <w:r>
              <w:rPr>
                <w:rFonts w:ascii="Times New Roman" w:hAnsi="Times New Roman"/>
                <w:b w:val="0"/>
                <w:color w:val="auto"/>
                <w:highlight w:val="none"/>
              </w:rPr>
              <w:t>，</w:t>
            </w:r>
            <w:r>
              <w:rPr>
                <w:rFonts w:hint="eastAsia" w:ascii="Times New Roman" w:hAnsi="Times New Roman"/>
                <w:b w:val="0"/>
                <w:color w:val="auto"/>
                <w:highlight w:val="none"/>
              </w:rPr>
              <w:t>长度7m，宽度0.10m</w:t>
            </w:r>
          </w:p>
        </w:tc>
        <w:tc>
          <w:tcPr>
            <w:tcW w:w="801" w:type="pct"/>
            <w:vAlign w:val="center"/>
          </w:tcPr>
          <w:p w14:paraId="6A2D74DB">
            <w:pPr>
              <w:pStyle w:val="37"/>
              <w:rPr>
                <w:rFonts w:ascii="Times New Roman" w:hAnsi="Times New Roman"/>
                <w:b w:val="0"/>
                <w:color w:val="auto"/>
                <w:highlight w:val="none"/>
              </w:rPr>
            </w:pPr>
            <w:r>
              <w:rPr>
                <w:rFonts w:ascii="Times New Roman" w:hAnsi="Times New Roman"/>
                <w:b w:val="0"/>
                <w:color w:val="auto"/>
                <w:highlight w:val="none"/>
              </w:rPr>
              <w:t>未设</w:t>
            </w:r>
            <w:r>
              <w:rPr>
                <w:rFonts w:ascii="Times New Roman" w:hAnsi="Times New Roman" w:eastAsiaTheme="minorEastAsia"/>
                <w:b w:val="0"/>
                <w:color w:val="auto"/>
                <w:szCs w:val="21"/>
                <w:highlight w:val="none"/>
              </w:rPr>
              <w:t>照明、标志</w:t>
            </w:r>
          </w:p>
        </w:tc>
      </w:tr>
    </w:tbl>
    <w:p w14:paraId="3AED87C7">
      <w:pPr>
        <w:pStyle w:val="82"/>
        <w:spacing w:line="240" w:lineRule="auto"/>
        <w:ind w:firstLine="420" w:firstLineChars="150"/>
        <w:rPr>
          <w:color w:val="auto"/>
          <w:highlight w:val="none"/>
        </w:rPr>
      </w:pPr>
    </w:p>
    <w:tbl>
      <w:tblPr>
        <w:tblStyle w:val="27"/>
        <w:tblW w:w="0" w:type="auto"/>
        <w:jc w:val="center"/>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autofit"/>
        <w:tblCellMar>
          <w:top w:w="0" w:type="dxa"/>
          <w:left w:w="0" w:type="dxa"/>
          <w:bottom w:w="0" w:type="dxa"/>
          <w:right w:w="0" w:type="dxa"/>
        </w:tblCellMar>
      </w:tblPr>
      <w:tblGrid>
        <w:gridCol w:w="5039"/>
        <w:gridCol w:w="4980"/>
      </w:tblGrid>
      <w:tr w14:paraId="1CCAB050">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43" w:hRule="atLeast"/>
          <w:jc w:val="center"/>
        </w:trPr>
        <w:tc>
          <w:tcPr>
            <w:tcW w:w="0" w:type="auto"/>
            <w:shd w:val="clear" w:color="auto" w:fill="auto"/>
          </w:tcPr>
          <w:p w14:paraId="457EB8EE">
            <w:pPr>
              <w:pStyle w:val="80"/>
              <w:ind w:firstLine="422"/>
              <w:rPr>
                <w:color w:val="auto"/>
                <w:highlight w:val="none"/>
              </w:rPr>
            </w:pPr>
            <w:r>
              <w:rPr>
                <w:color w:val="auto"/>
                <w:highlight w:val="none"/>
              </w:rPr>
              <w:drawing>
                <wp:inline distT="0" distB="0" distL="0" distR="0">
                  <wp:extent cx="3021965" cy="2266950"/>
                  <wp:effectExtent l="0" t="0" r="6985" b="0"/>
                  <wp:docPr id="47946794" name="Picture 808614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946794" name="Picture 808614213"/>
                          <pic:cNvPicPr>
                            <a:picLocks noChangeAspect="1"/>
                          </pic:cNvPicPr>
                        </pic:nvPicPr>
                        <pic:blipFill>
                          <a:blip r:embed="rId17"/>
                          <a:stretch>
                            <a:fillRect/>
                          </a:stretch>
                        </pic:blipFill>
                        <pic:spPr>
                          <a:xfrm>
                            <a:off x="0" y="0"/>
                            <a:ext cx="3021965" cy="2266950"/>
                          </a:xfrm>
                          <a:prstGeom prst="rect">
                            <a:avLst/>
                          </a:prstGeom>
                        </pic:spPr>
                      </pic:pic>
                    </a:graphicData>
                  </a:graphic>
                </wp:inline>
              </w:drawing>
            </w:r>
          </w:p>
          <w:p w14:paraId="298961EC">
            <w:pPr>
              <w:pStyle w:val="80"/>
              <w:ind w:firstLine="422"/>
              <w:rPr>
                <w:color w:val="auto"/>
                <w:highlight w:val="none"/>
              </w:rPr>
            </w:pPr>
            <w:r>
              <w:rPr>
                <w:color w:val="auto"/>
                <w:highlight w:val="none"/>
              </w:rPr>
              <w:t>2#栏杆、护栏锈胀开裂</w:t>
            </w:r>
          </w:p>
        </w:tc>
        <w:tc>
          <w:tcPr>
            <w:tcW w:w="0" w:type="auto"/>
            <w:shd w:val="clear" w:color="auto" w:fill="auto"/>
          </w:tcPr>
          <w:p w14:paraId="167E5DF3">
            <w:pPr>
              <w:pStyle w:val="80"/>
              <w:ind w:firstLine="422"/>
              <w:rPr>
                <w:color w:val="auto"/>
                <w:spacing w:val="20"/>
                <w:highlight w:val="none"/>
              </w:rPr>
            </w:pPr>
            <w:r>
              <w:rPr>
                <w:color w:val="auto"/>
                <w:highlight w:val="none"/>
              </w:rPr>
              <w:drawing>
                <wp:inline distT="0" distB="0" distL="0" distR="0">
                  <wp:extent cx="2980690" cy="2235835"/>
                  <wp:effectExtent l="0" t="0" r="10160" b="12065"/>
                  <wp:docPr id="688037573" name="Picture 808614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8037573" name="Picture 808614213"/>
                          <pic:cNvPicPr>
                            <a:picLocks noChangeAspect="1"/>
                          </pic:cNvPicPr>
                        </pic:nvPicPr>
                        <pic:blipFill>
                          <a:blip r:embed="rId18"/>
                          <a:stretch>
                            <a:fillRect/>
                          </a:stretch>
                        </pic:blipFill>
                        <pic:spPr>
                          <a:xfrm>
                            <a:off x="0" y="0"/>
                            <a:ext cx="2980690" cy="2235835"/>
                          </a:xfrm>
                          <a:prstGeom prst="rect">
                            <a:avLst/>
                          </a:prstGeom>
                        </pic:spPr>
                      </pic:pic>
                    </a:graphicData>
                  </a:graphic>
                </wp:inline>
              </w:drawing>
            </w:r>
          </w:p>
          <w:p w14:paraId="08E6E422">
            <w:pPr>
              <w:pStyle w:val="80"/>
              <w:ind w:firstLine="422"/>
              <w:rPr>
                <w:color w:val="auto"/>
                <w:highlight w:val="none"/>
              </w:rPr>
            </w:pPr>
            <w:r>
              <w:rPr>
                <w:color w:val="auto"/>
                <w:highlight w:val="none"/>
              </w:rPr>
              <w:t>1#栏杆、护栏剥落露筋</w:t>
            </w:r>
          </w:p>
        </w:tc>
      </w:tr>
    </w:tbl>
    <w:p w14:paraId="26DABD3D">
      <w:pPr>
        <w:pStyle w:val="4"/>
        <w:ind w:firstLine="482"/>
        <w:rPr>
          <w:color w:val="auto"/>
          <w:highlight w:val="none"/>
        </w:rPr>
      </w:pPr>
      <w:r>
        <w:rPr>
          <w:rFonts w:hint="eastAsia"/>
          <w:color w:val="auto"/>
          <w:highlight w:val="none"/>
        </w:rPr>
        <w:t>3</w:t>
      </w:r>
      <w:r>
        <w:rPr>
          <w:color w:val="auto"/>
          <w:highlight w:val="none"/>
        </w:rPr>
        <w:t>.</w:t>
      </w:r>
      <w:r>
        <w:rPr>
          <w:rFonts w:hint="eastAsia"/>
          <w:color w:val="auto"/>
          <w:highlight w:val="none"/>
        </w:rPr>
        <w:t>1.2</w:t>
      </w:r>
      <w:r>
        <w:rPr>
          <w:color w:val="auto"/>
          <w:highlight w:val="none"/>
        </w:rPr>
        <w:t xml:space="preserve">  上部结构</w:t>
      </w:r>
    </w:p>
    <w:p w14:paraId="309A8E46">
      <w:pPr>
        <w:pStyle w:val="37"/>
        <w:rPr>
          <w:rFonts w:ascii="Times New Roman" w:hAnsi="Times New Roman" w:eastAsiaTheme="minorEastAsia"/>
          <w:color w:val="auto"/>
          <w:highlight w:val="none"/>
        </w:rPr>
      </w:pPr>
      <w:r>
        <w:rPr>
          <w:rFonts w:ascii="Times New Roman" w:hAnsi="Times New Roman" w:eastAsiaTheme="minorEastAsia"/>
          <w:color w:val="auto"/>
          <w:highlight w:val="none"/>
        </w:rPr>
        <w:t>上部结构病害情况汇总一览表</w:t>
      </w:r>
    </w:p>
    <w:tbl>
      <w:tblPr>
        <w:tblStyle w:val="26"/>
        <w:tblW w:w="4946" w:type="pct"/>
        <w:jc w:val="center"/>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48"/>
        <w:gridCol w:w="4938"/>
        <w:gridCol w:w="2472"/>
        <w:gridCol w:w="1558"/>
      </w:tblGrid>
      <w:tr w14:paraId="1D5A50E2">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tblHeader/>
          <w:jc w:val="center"/>
        </w:trPr>
        <w:tc>
          <w:tcPr>
            <w:tcW w:w="567" w:type="pct"/>
            <w:shd w:val="clear" w:color="auto" w:fill="auto"/>
            <w:vAlign w:val="center"/>
          </w:tcPr>
          <w:p w14:paraId="3450E75A">
            <w:pPr>
              <w:pStyle w:val="37"/>
              <w:rPr>
                <w:rFonts w:ascii="Times New Roman" w:hAnsi="Times New Roman" w:eastAsiaTheme="minorEastAsia"/>
                <w:b w:val="0"/>
                <w:color w:val="auto"/>
                <w:kern w:val="0"/>
                <w:szCs w:val="21"/>
                <w:highlight w:val="none"/>
              </w:rPr>
            </w:pPr>
            <w:r>
              <w:rPr>
                <w:rFonts w:ascii="Times New Roman" w:hAnsi="Times New Roman" w:eastAsiaTheme="minorEastAsia"/>
                <w:b w:val="0"/>
                <w:color w:val="auto"/>
                <w:kern w:val="0"/>
                <w:szCs w:val="21"/>
                <w:highlight w:val="none"/>
              </w:rPr>
              <w:t>桥梁名称</w:t>
            </w:r>
          </w:p>
        </w:tc>
        <w:tc>
          <w:tcPr>
            <w:tcW w:w="2441" w:type="pct"/>
            <w:shd w:val="clear" w:color="auto" w:fill="auto"/>
            <w:vAlign w:val="center"/>
          </w:tcPr>
          <w:p w14:paraId="1EC82BF5">
            <w:pPr>
              <w:pStyle w:val="37"/>
              <w:rPr>
                <w:rFonts w:ascii="Times New Roman" w:hAnsi="Times New Roman" w:eastAsiaTheme="minorEastAsia"/>
                <w:b w:val="0"/>
                <w:color w:val="auto"/>
                <w:kern w:val="0"/>
                <w:szCs w:val="21"/>
                <w:highlight w:val="none"/>
              </w:rPr>
            </w:pPr>
            <w:r>
              <w:rPr>
                <w:rFonts w:ascii="Times New Roman" w:hAnsi="Times New Roman" w:eastAsiaTheme="minorEastAsia"/>
                <w:b w:val="0"/>
                <w:color w:val="auto"/>
                <w:kern w:val="0"/>
                <w:szCs w:val="21"/>
                <w:highlight w:val="none"/>
              </w:rPr>
              <w:t>主拱圈</w:t>
            </w:r>
          </w:p>
        </w:tc>
        <w:tc>
          <w:tcPr>
            <w:tcW w:w="1222" w:type="pct"/>
            <w:shd w:val="clear" w:color="auto" w:fill="auto"/>
            <w:vAlign w:val="center"/>
          </w:tcPr>
          <w:p w14:paraId="004B1BB1">
            <w:pPr>
              <w:pStyle w:val="37"/>
              <w:rPr>
                <w:rFonts w:ascii="Times New Roman" w:hAnsi="Times New Roman" w:eastAsiaTheme="minorEastAsia"/>
                <w:b w:val="0"/>
                <w:color w:val="auto"/>
                <w:kern w:val="0"/>
                <w:szCs w:val="21"/>
                <w:highlight w:val="none"/>
              </w:rPr>
            </w:pPr>
            <w:r>
              <w:rPr>
                <w:rFonts w:ascii="Times New Roman" w:hAnsi="Times New Roman" w:eastAsiaTheme="minorEastAsia"/>
                <w:b w:val="0"/>
                <w:color w:val="auto"/>
                <w:kern w:val="0"/>
                <w:szCs w:val="21"/>
                <w:highlight w:val="none"/>
              </w:rPr>
              <w:t>拱上结构</w:t>
            </w:r>
          </w:p>
        </w:tc>
        <w:tc>
          <w:tcPr>
            <w:tcW w:w="770" w:type="pct"/>
            <w:shd w:val="clear" w:color="auto" w:fill="auto"/>
            <w:vAlign w:val="center"/>
          </w:tcPr>
          <w:p w14:paraId="5C7205EE">
            <w:pPr>
              <w:pStyle w:val="37"/>
              <w:rPr>
                <w:rFonts w:ascii="Times New Roman" w:hAnsi="Times New Roman" w:eastAsiaTheme="minorEastAsia"/>
                <w:b w:val="0"/>
                <w:color w:val="auto"/>
                <w:kern w:val="0"/>
                <w:szCs w:val="21"/>
                <w:highlight w:val="none"/>
              </w:rPr>
            </w:pPr>
            <w:r>
              <w:rPr>
                <w:rFonts w:ascii="Times New Roman" w:hAnsi="Times New Roman" w:eastAsiaTheme="minorEastAsia"/>
                <w:b w:val="0"/>
                <w:color w:val="auto"/>
                <w:kern w:val="0"/>
                <w:szCs w:val="21"/>
                <w:highlight w:val="none"/>
              </w:rPr>
              <w:t>桥面板</w:t>
            </w:r>
          </w:p>
        </w:tc>
      </w:tr>
      <w:tr w14:paraId="310794A8">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67" w:type="pct"/>
            <w:vMerge w:val="restart"/>
            <w:shd w:val="clear" w:color="auto" w:fill="auto"/>
            <w:noWrap/>
            <w:vAlign w:val="center"/>
          </w:tcPr>
          <w:p w14:paraId="2CDDB2AA">
            <w:pPr>
              <w:pStyle w:val="37"/>
              <w:rPr>
                <w:rFonts w:ascii="Times New Roman" w:hAnsi="Times New Roman" w:eastAsiaTheme="minorEastAsia"/>
                <w:b w:val="0"/>
                <w:color w:val="auto"/>
                <w:kern w:val="0"/>
                <w:szCs w:val="21"/>
                <w:highlight w:val="none"/>
              </w:rPr>
            </w:pPr>
            <w:r>
              <w:rPr>
                <w:rFonts w:hint="eastAsia" w:ascii="Times New Roman" w:hAnsi="Times New Roman" w:eastAsiaTheme="minorEastAsia"/>
                <w:b w:val="0"/>
                <w:color w:val="auto"/>
                <w:kern w:val="0"/>
                <w:szCs w:val="21"/>
                <w:highlight w:val="none"/>
              </w:rPr>
              <w:t>那初三</w:t>
            </w:r>
            <w:r>
              <w:rPr>
                <w:rFonts w:ascii="Times New Roman" w:hAnsi="Times New Roman" w:eastAsiaTheme="minorEastAsia"/>
                <w:b w:val="0"/>
                <w:color w:val="auto"/>
                <w:kern w:val="0"/>
                <w:szCs w:val="21"/>
                <w:highlight w:val="none"/>
              </w:rPr>
              <w:t>桥</w:t>
            </w:r>
          </w:p>
        </w:tc>
        <w:tc>
          <w:tcPr>
            <w:tcW w:w="2441" w:type="pct"/>
            <w:shd w:val="clear" w:color="auto" w:fill="auto"/>
            <w:noWrap/>
            <w:vAlign w:val="center"/>
          </w:tcPr>
          <w:p w14:paraId="501BDEF3">
            <w:pPr>
              <w:spacing w:line="240" w:lineRule="auto"/>
              <w:jc w:val="center"/>
              <w:rPr>
                <w:rFonts w:ascii="Times New Roman" w:hAnsi="Times New Roman" w:eastAsiaTheme="minorEastAsia"/>
                <w:color w:val="auto"/>
                <w:kern w:val="0"/>
                <w:sz w:val="21"/>
                <w:szCs w:val="21"/>
                <w:highlight w:val="none"/>
              </w:rPr>
            </w:pPr>
            <w:r>
              <w:rPr>
                <w:rFonts w:hint="eastAsia" w:ascii="Times New Roman" w:hAnsi="Times New Roman"/>
                <w:color w:val="auto"/>
                <w:sz w:val="21"/>
                <w:szCs w:val="21"/>
                <w:highlight w:val="none"/>
              </w:rPr>
              <w:t>1道纵向裂缝</w:t>
            </w:r>
            <w:r>
              <w:rPr>
                <w:rFonts w:ascii="Times New Roman" w:hAnsi="Times New Roman"/>
                <w:color w:val="auto"/>
                <w:sz w:val="21"/>
                <w:szCs w:val="21"/>
                <w:highlight w:val="none"/>
              </w:rPr>
              <w:t>，</w:t>
            </w:r>
            <w:r>
              <w:rPr>
                <w:rFonts w:hint="eastAsia" w:ascii="Times New Roman" w:hAnsi="Times New Roman"/>
                <w:color w:val="auto"/>
                <w:sz w:val="21"/>
                <w:szCs w:val="21"/>
                <w:highlight w:val="none"/>
              </w:rPr>
              <w:t>位于拱底面，距大桩号拱脚0m处，距左边缘1.</w:t>
            </w:r>
            <w:r>
              <w:rPr>
                <w:color w:val="auto"/>
                <w:highlight w:val="none"/>
              </w:rPr>
              <w:t>5m</w:t>
            </w:r>
            <w:r>
              <w:rPr>
                <w:rFonts w:ascii="Times New Roman" w:hAnsi="Times New Roman"/>
                <w:color w:val="auto"/>
                <w:sz w:val="21"/>
                <w:szCs w:val="21"/>
                <w:highlight w:val="none"/>
              </w:rPr>
              <w:t>处</w:t>
            </w:r>
            <w:r>
              <w:rPr>
                <w:rFonts w:hint="eastAsia"/>
                <w:color w:val="auto"/>
                <w:highlight w:val="none"/>
              </w:rPr>
              <w:t>，</w:t>
            </w:r>
            <w:r>
              <w:rPr>
                <w:rFonts w:hint="eastAsia" w:ascii="Times New Roman" w:hAnsi="Times New Roman"/>
                <w:color w:val="auto"/>
                <w:sz w:val="21"/>
                <w:szCs w:val="21"/>
                <w:highlight w:val="none"/>
              </w:rPr>
              <w:t>长度12m，宽度10.0mm</w:t>
            </w:r>
          </w:p>
        </w:tc>
        <w:tc>
          <w:tcPr>
            <w:tcW w:w="1222" w:type="pct"/>
            <w:shd w:val="clear" w:color="auto" w:fill="auto"/>
            <w:noWrap/>
            <w:vAlign w:val="center"/>
          </w:tcPr>
          <w:p w14:paraId="5844FD26">
            <w:pPr>
              <w:pStyle w:val="37"/>
              <w:rPr>
                <w:rFonts w:ascii="Times New Roman" w:hAnsi="Times New Roman" w:eastAsiaTheme="minorEastAsia"/>
                <w:b w:val="0"/>
                <w:color w:val="auto"/>
                <w:kern w:val="0"/>
                <w:szCs w:val="21"/>
                <w:highlight w:val="none"/>
              </w:rPr>
            </w:pPr>
            <w:r>
              <w:rPr>
                <w:rFonts w:hint="eastAsia" w:ascii="Times New Roman" w:hAnsi="Times New Roman" w:eastAsiaTheme="minorEastAsia"/>
                <w:b w:val="0"/>
                <w:color w:val="auto"/>
                <w:kern w:val="0"/>
                <w:szCs w:val="21"/>
                <w:highlight w:val="none"/>
              </w:rPr>
              <w:t>3处拱上侧墙滋生杂草或植被</w:t>
            </w:r>
          </w:p>
        </w:tc>
        <w:tc>
          <w:tcPr>
            <w:tcW w:w="770" w:type="pct"/>
            <w:vMerge w:val="restart"/>
            <w:shd w:val="clear" w:color="auto" w:fill="auto"/>
            <w:noWrap/>
            <w:vAlign w:val="center"/>
          </w:tcPr>
          <w:p w14:paraId="69B071B8">
            <w:pPr>
              <w:spacing w:line="240" w:lineRule="auto"/>
              <w:jc w:val="center"/>
              <w:rPr>
                <w:rFonts w:ascii="Times New Roman" w:hAnsi="Times New Roman" w:eastAsiaTheme="minorEastAsia"/>
                <w:color w:val="auto"/>
                <w:sz w:val="21"/>
                <w:szCs w:val="21"/>
                <w:highlight w:val="none"/>
              </w:rPr>
            </w:pPr>
            <w:r>
              <w:rPr>
                <w:rFonts w:ascii="Times New Roman" w:hAnsi="Times New Roman" w:eastAsiaTheme="minorEastAsia"/>
                <w:color w:val="auto"/>
                <w:sz w:val="21"/>
                <w:szCs w:val="21"/>
                <w:highlight w:val="none"/>
              </w:rPr>
              <w:t>未设置</w:t>
            </w:r>
          </w:p>
        </w:tc>
      </w:tr>
      <w:tr w14:paraId="32643656">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67" w:type="pct"/>
            <w:vMerge w:val="continue"/>
            <w:shd w:val="clear" w:color="auto" w:fill="auto"/>
            <w:noWrap/>
            <w:vAlign w:val="center"/>
          </w:tcPr>
          <w:p w14:paraId="0ADED1B1">
            <w:pPr>
              <w:pStyle w:val="37"/>
              <w:rPr>
                <w:rFonts w:ascii="Times New Roman" w:hAnsi="Times New Roman" w:eastAsiaTheme="minorEastAsia"/>
                <w:b w:val="0"/>
                <w:color w:val="auto"/>
                <w:kern w:val="0"/>
                <w:szCs w:val="21"/>
                <w:highlight w:val="none"/>
              </w:rPr>
            </w:pPr>
          </w:p>
        </w:tc>
        <w:tc>
          <w:tcPr>
            <w:tcW w:w="2441" w:type="pct"/>
            <w:shd w:val="clear" w:color="auto" w:fill="auto"/>
            <w:noWrap/>
            <w:vAlign w:val="center"/>
          </w:tcPr>
          <w:p w14:paraId="211F32EB">
            <w:pPr>
              <w:spacing w:line="240" w:lineRule="auto"/>
              <w:jc w:val="center"/>
              <w:rPr>
                <w:rFonts w:ascii="Times New Roman" w:hAnsi="Times New Roman"/>
                <w:color w:val="auto"/>
                <w:sz w:val="21"/>
                <w:szCs w:val="21"/>
                <w:highlight w:val="none"/>
              </w:rPr>
            </w:pPr>
            <w:r>
              <w:rPr>
                <w:rFonts w:hint="eastAsia" w:ascii="Times New Roman" w:hAnsi="Times New Roman"/>
                <w:color w:val="auto"/>
                <w:sz w:val="21"/>
                <w:szCs w:val="21"/>
                <w:highlight w:val="none"/>
              </w:rPr>
              <w:t>1处渗水，位于底面</w:t>
            </w:r>
          </w:p>
        </w:tc>
        <w:tc>
          <w:tcPr>
            <w:tcW w:w="1222" w:type="pct"/>
            <w:shd w:val="clear" w:color="auto" w:fill="auto"/>
            <w:noWrap/>
            <w:vAlign w:val="center"/>
          </w:tcPr>
          <w:p w14:paraId="44F11D04">
            <w:pPr>
              <w:pStyle w:val="37"/>
              <w:rPr>
                <w:rFonts w:ascii="Times New Roman" w:hAnsi="Times New Roman" w:eastAsiaTheme="minorEastAsia"/>
                <w:b w:val="0"/>
                <w:color w:val="auto"/>
                <w:szCs w:val="21"/>
                <w:highlight w:val="none"/>
              </w:rPr>
            </w:pPr>
          </w:p>
        </w:tc>
        <w:tc>
          <w:tcPr>
            <w:tcW w:w="770" w:type="pct"/>
            <w:vMerge w:val="continue"/>
            <w:shd w:val="clear" w:color="auto" w:fill="auto"/>
            <w:noWrap/>
            <w:vAlign w:val="center"/>
          </w:tcPr>
          <w:p w14:paraId="70F2EC68">
            <w:pPr>
              <w:spacing w:line="240" w:lineRule="auto"/>
              <w:jc w:val="center"/>
              <w:rPr>
                <w:rFonts w:ascii="Times New Roman" w:hAnsi="Times New Roman" w:eastAsiaTheme="minorEastAsia"/>
                <w:color w:val="auto"/>
                <w:sz w:val="21"/>
                <w:szCs w:val="21"/>
                <w:highlight w:val="none"/>
              </w:rPr>
            </w:pPr>
          </w:p>
        </w:tc>
      </w:tr>
    </w:tbl>
    <w:p w14:paraId="49855217">
      <w:pPr>
        <w:pStyle w:val="37"/>
        <w:rPr>
          <w:rFonts w:ascii="Times New Roman" w:hAnsi="Times New Roman"/>
          <w:color w:val="auto"/>
          <w:highlight w:val="none"/>
        </w:rPr>
      </w:pPr>
    </w:p>
    <w:p w14:paraId="1AAB15D3">
      <w:pPr>
        <w:pStyle w:val="37"/>
        <w:spacing w:line="360" w:lineRule="auto"/>
        <w:rPr>
          <w:rFonts w:ascii="Times New Roman" w:hAnsi="Times New Roman"/>
          <w:color w:val="auto"/>
          <w:szCs w:val="21"/>
          <w:highlight w:val="none"/>
        </w:rPr>
      </w:pPr>
      <w:r>
        <w:rPr>
          <w:color w:val="auto"/>
          <w:highlight w:val="none"/>
        </w:rPr>
        <w:drawing>
          <wp:inline distT="0" distB="0" distL="0" distR="0">
            <wp:extent cx="2908300" cy="2181225"/>
            <wp:effectExtent l="0" t="0" r="6350" b="9525"/>
            <wp:docPr id="1237850857" name="Picture 808614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7850857" name="Picture 808614213"/>
                    <pic:cNvPicPr>
                      <a:picLocks noChangeAspect="1"/>
                    </pic:cNvPicPr>
                  </pic:nvPicPr>
                  <pic:blipFill>
                    <a:blip r:embed="rId19"/>
                    <a:stretch>
                      <a:fillRect/>
                    </a:stretch>
                  </pic:blipFill>
                  <pic:spPr>
                    <a:xfrm>
                      <a:off x="0" y="0"/>
                      <a:ext cx="2908300" cy="2181225"/>
                    </a:xfrm>
                    <a:prstGeom prst="rect">
                      <a:avLst/>
                    </a:prstGeom>
                  </pic:spPr>
                </pic:pic>
              </a:graphicData>
            </a:graphic>
          </wp:inline>
        </w:drawing>
      </w:r>
      <w:r>
        <w:rPr>
          <w:rFonts w:ascii="Times New Roman" w:hAnsi="Times New Roman"/>
          <w:color w:val="auto"/>
          <w:szCs w:val="21"/>
          <w:highlight w:val="none"/>
        </w:rPr>
        <w:t xml:space="preserve">  </w:t>
      </w:r>
      <w:r>
        <w:rPr>
          <w:color w:val="auto"/>
          <w:highlight w:val="none"/>
        </w:rPr>
        <w:drawing>
          <wp:inline distT="0" distB="0" distL="0" distR="0">
            <wp:extent cx="2911475" cy="2183765"/>
            <wp:effectExtent l="0" t="0" r="3175" b="6985"/>
            <wp:docPr id="1563534608" name="Picture 808614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3534608" name="Picture 808614213"/>
                    <pic:cNvPicPr>
                      <a:picLocks noChangeAspect="1"/>
                    </pic:cNvPicPr>
                  </pic:nvPicPr>
                  <pic:blipFill>
                    <a:blip r:embed="rId20"/>
                    <a:stretch>
                      <a:fillRect/>
                    </a:stretch>
                  </pic:blipFill>
                  <pic:spPr>
                    <a:xfrm>
                      <a:off x="0" y="0"/>
                      <a:ext cx="2911475" cy="2183765"/>
                    </a:xfrm>
                    <a:prstGeom prst="rect">
                      <a:avLst/>
                    </a:prstGeom>
                  </pic:spPr>
                </pic:pic>
              </a:graphicData>
            </a:graphic>
          </wp:inline>
        </w:drawing>
      </w:r>
    </w:p>
    <w:p w14:paraId="3070EE7C">
      <w:pPr>
        <w:pStyle w:val="37"/>
        <w:spacing w:line="360" w:lineRule="auto"/>
        <w:rPr>
          <w:rFonts w:ascii="Times New Roman" w:hAnsi="Times New Roman"/>
          <w:color w:val="auto"/>
          <w:highlight w:val="none"/>
        </w:rPr>
      </w:pPr>
      <w:r>
        <w:rPr>
          <w:color w:val="auto"/>
          <w:highlight w:val="none"/>
        </w:rPr>
        <w:t>主拱圈底面纵向裂缝</w:t>
      </w:r>
      <w:r>
        <w:rPr>
          <w:rFonts w:ascii="Times New Roman" w:hAnsi="Times New Roman"/>
          <w:color w:val="auto"/>
          <w:szCs w:val="21"/>
          <w:highlight w:val="none"/>
        </w:rPr>
        <w:t xml:space="preserve">                               </w:t>
      </w:r>
      <w:r>
        <w:rPr>
          <w:color w:val="auto"/>
          <w:highlight w:val="none"/>
        </w:rPr>
        <w:t>主拱圈底面纵向裂缝</w:t>
      </w:r>
      <w:r>
        <w:rPr>
          <w:color w:val="auto"/>
          <w:highlight w:val="none"/>
        </w:rPr>
        <w:drawing>
          <wp:inline distT="0" distB="0" distL="0" distR="0">
            <wp:extent cx="2932430" cy="2199640"/>
            <wp:effectExtent l="0" t="0" r="1270" b="10160"/>
            <wp:docPr id="1901169157" name="Picture 808614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1169157" name="Picture 808614213"/>
                    <pic:cNvPicPr>
                      <a:picLocks noChangeAspect="1"/>
                    </pic:cNvPicPr>
                  </pic:nvPicPr>
                  <pic:blipFill>
                    <a:blip r:embed="rId21"/>
                    <a:stretch>
                      <a:fillRect/>
                    </a:stretch>
                  </pic:blipFill>
                  <pic:spPr>
                    <a:xfrm>
                      <a:off x="0" y="0"/>
                      <a:ext cx="2932430" cy="2199640"/>
                    </a:xfrm>
                    <a:prstGeom prst="rect">
                      <a:avLst/>
                    </a:prstGeom>
                  </pic:spPr>
                </pic:pic>
              </a:graphicData>
            </a:graphic>
          </wp:inline>
        </w:drawing>
      </w:r>
      <w:r>
        <w:rPr>
          <w:rFonts w:ascii="Times New Roman" w:hAnsi="Times New Roman"/>
          <w:color w:val="auto"/>
          <w:spacing w:val="9"/>
          <w:kern w:val="0"/>
          <w:szCs w:val="21"/>
          <w:highlight w:val="none"/>
        </w:rPr>
        <w:t xml:space="preserve"> </w:t>
      </w:r>
      <w:r>
        <w:rPr>
          <w:rFonts w:ascii="Times New Roman" w:hAnsi="Times New Roman"/>
          <w:color w:val="auto"/>
          <w:highlight w:val="none"/>
        </w:rPr>
        <w:t xml:space="preserve"> </w:t>
      </w:r>
      <w:r>
        <w:rPr>
          <w:color w:val="auto"/>
          <w:highlight w:val="none"/>
        </w:rPr>
        <w:drawing>
          <wp:inline distT="0" distB="0" distL="0" distR="0">
            <wp:extent cx="2922270" cy="2192020"/>
            <wp:effectExtent l="0" t="0" r="11430" b="17780"/>
            <wp:docPr id="281054712" name="Picture 808614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1054712" name="Picture 808614213"/>
                    <pic:cNvPicPr>
                      <a:picLocks noChangeAspect="1"/>
                    </pic:cNvPicPr>
                  </pic:nvPicPr>
                  <pic:blipFill>
                    <a:blip r:embed="rId22"/>
                    <a:stretch>
                      <a:fillRect/>
                    </a:stretch>
                  </pic:blipFill>
                  <pic:spPr>
                    <a:xfrm>
                      <a:off x="0" y="0"/>
                      <a:ext cx="2922270" cy="2192020"/>
                    </a:xfrm>
                    <a:prstGeom prst="rect">
                      <a:avLst/>
                    </a:prstGeom>
                  </pic:spPr>
                </pic:pic>
              </a:graphicData>
            </a:graphic>
          </wp:inline>
        </w:drawing>
      </w:r>
    </w:p>
    <w:p w14:paraId="7779D2AD">
      <w:pPr>
        <w:pStyle w:val="37"/>
        <w:spacing w:line="360" w:lineRule="auto"/>
        <w:ind w:firstLine="1897" w:firstLineChars="900"/>
        <w:jc w:val="left"/>
        <w:rPr>
          <w:rFonts w:ascii="Times New Roman" w:hAnsi="Times New Roman"/>
          <w:color w:val="auto"/>
          <w:szCs w:val="21"/>
          <w:highlight w:val="none"/>
        </w:rPr>
      </w:pPr>
      <w:r>
        <w:rPr>
          <w:rFonts w:ascii="Times New Roman" w:hAnsi="Times New Roman"/>
          <w:color w:val="auto"/>
          <w:szCs w:val="21"/>
          <w:highlight w:val="none"/>
        </w:rPr>
        <w:t>主拱圈底面</w:t>
      </w:r>
      <w:r>
        <w:rPr>
          <w:rFonts w:hint="eastAsia" w:ascii="Times New Roman" w:hAnsi="Times New Roman"/>
          <w:color w:val="auto"/>
          <w:szCs w:val="21"/>
          <w:highlight w:val="none"/>
        </w:rPr>
        <w:t>渗水</w:t>
      </w:r>
      <w:r>
        <w:rPr>
          <w:rFonts w:ascii="Times New Roman" w:hAnsi="Times New Roman"/>
          <w:color w:val="auto"/>
          <w:szCs w:val="21"/>
          <w:highlight w:val="none"/>
        </w:rPr>
        <w:t xml:space="preserve">                             </w:t>
      </w:r>
      <w:r>
        <w:rPr>
          <w:color w:val="auto"/>
          <w:highlight w:val="none"/>
        </w:rPr>
        <w:t>拱上侧墙滋生植被</w:t>
      </w:r>
    </w:p>
    <w:p w14:paraId="17942991">
      <w:pPr>
        <w:pStyle w:val="4"/>
        <w:ind w:firstLine="482"/>
        <w:rPr>
          <w:color w:val="auto"/>
          <w:highlight w:val="none"/>
        </w:rPr>
      </w:pPr>
      <w:r>
        <w:rPr>
          <w:color w:val="auto"/>
          <w:highlight w:val="none"/>
        </w:rPr>
        <w:t>3.</w:t>
      </w:r>
      <w:r>
        <w:rPr>
          <w:rFonts w:hint="eastAsia"/>
          <w:color w:val="auto"/>
          <w:highlight w:val="none"/>
        </w:rPr>
        <w:t>1.3</w:t>
      </w:r>
      <w:r>
        <w:rPr>
          <w:color w:val="auto"/>
          <w:highlight w:val="none"/>
        </w:rPr>
        <w:t xml:space="preserve">  下部结构</w:t>
      </w:r>
    </w:p>
    <w:p w14:paraId="2A0B56C0">
      <w:pPr>
        <w:pStyle w:val="37"/>
        <w:rPr>
          <w:rFonts w:ascii="Times New Roman" w:hAnsi="Times New Roman" w:eastAsiaTheme="minorEastAsia"/>
          <w:color w:val="auto"/>
          <w:highlight w:val="none"/>
        </w:rPr>
      </w:pPr>
      <w:r>
        <w:rPr>
          <w:rFonts w:ascii="Times New Roman" w:hAnsi="Times New Roman" w:eastAsiaTheme="minorEastAsia"/>
          <w:color w:val="auto"/>
          <w:highlight w:val="none"/>
        </w:rPr>
        <w:t>下部结构病害情况汇总一览表</w:t>
      </w:r>
    </w:p>
    <w:tbl>
      <w:tblPr>
        <w:tblStyle w:val="26"/>
        <w:tblW w:w="5000" w:type="pct"/>
        <w:jc w:val="center"/>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Layout w:type="fixed"/>
        <w:tblCellMar>
          <w:top w:w="0" w:type="dxa"/>
          <w:left w:w="108" w:type="dxa"/>
          <w:bottom w:w="0" w:type="dxa"/>
          <w:right w:w="108" w:type="dxa"/>
        </w:tblCellMar>
      </w:tblPr>
      <w:tblGrid>
        <w:gridCol w:w="1293"/>
        <w:gridCol w:w="1597"/>
        <w:gridCol w:w="3777"/>
        <w:gridCol w:w="1742"/>
        <w:gridCol w:w="1816"/>
      </w:tblGrid>
      <w:tr w14:paraId="55A7BE56">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284" w:hRule="atLeast"/>
          <w:tblHeader/>
          <w:jc w:val="center"/>
        </w:trPr>
        <w:tc>
          <w:tcPr>
            <w:tcW w:w="632" w:type="pct"/>
            <w:shd w:val="clear" w:color="auto" w:fill="auto"/>
            <w:vAlign w:val="center"/>
          </w:tcPr>
          <w:p w14:paraId="100BCAA3">
            <w:pPr>
              <w:pStyle w:val="37"/>
              <w:rPr>
                <w:rFonts w:ascii="Times New Roman" w:hAnsi="Times New Roman" w:eastAsiaTheme="minorEastAsia"/>
                <w:b w:val="0"/>
                <w:color w:val="auto"/>
                <w:kern w:val="0"/>
                <w:szCs w:val="21"/>
                <w:highlight w:val="none"/>
              </w:rPr>
            </w:pPr>
            <w:r>
              <w:rPr>
                <w:rFonts w:ascii="Times New Roman" w:hAnsi="Times New Roman" w:eastAsiaTheme="minorEastAsia"/>
                <w:b w:val="0"/>
                <w:color w:val="auto"/>
                <w:kern w:val="0"/>
                <w:szCs w:val="21"/>
                <w:highlight w:val="none"/>
              </w:rPr>
              <w:t>桥梁名称</w:t>
            </w:r>
          </w:p>
        </w:tc>
        <w:tc>
          <w:tcPr>
            <w:tcW w:w="781" w:type="pct"/>
            <w:shd w:val="clear" w:color="auto" w:fill="auto"/>
            <w:vAlign w:val="center"/>
          </w:tcPr>
          <w:p w14:paraId="2F697C40">
            <w:pPr>
              <w:pStyle w:val="37"/>
              <w:rPr>
                <w:rFonts w:ascii="Times New Roman" w:hAnsi="Times New Roman" w:eastAsiaTheme="minorEastAsia"/>
                <w:b w:val="0"/>
                <w:color w:val="auto"/>
                <w:szCs w:val="21"/>
                <w:highlight w:val="none"/>
              </w:rPr>
            </w:pPr>
            <w:r>
              <w:rPr>
                <w:rFonts w:ascii="Times New Roman" w:hAnsi="Times New Roman" w:eastAsiaTheme="minorEastAsia"/>
                <w:b w:val="0"/>
                <w:color w:val="auto"/>
                <w:szCs w:val="21"/>
                <w:highlight w:val="none"/>
              </w:rPr>
              <w:t>桥墩</w:t>
            </w:r>
          </w:p>
        </w:tc>
        <w:tc>
          <w:tcPr>
            <w:tcW w:w="1847" w:type="pct"/>
            <w:vAlign w:val="center"/>
          </w:tcPr>
          <w:p w14:paraId="7CD05D17">
            <w:pPr>
              <w:pStyle w:val="37"/>
              <w:rPr>
                <w:rFonts w:ascii="Times New Roman" w:hAnsi="Times New Roman" w:eastAsiaTheme="minorEastAsia"/>
                <w:b w:val="0"/>
                <w:color w:val="auto"/>
                <w:szCs w:val="21"/>
                <w:highlight w:val="none"/>
              </w:rPr>
            </w:pPr>
            <w:r>
              <w:rPr>
                <w:rFonts w:ascii="Times New Roman" w:hAnsi="Times New Roman" w:eastAsiaTheme="minorEastAsia"/>
                <w:b w:val="0"/>
                <w:color w:val="auto"/>
                <w:szCs w:val="21"/>
                <w:highlight w:val="none"/>
              </w:rPr>
              <w:t>桥台</w:t>
            </w:r>
          </w:p>
        </w:tc>
        <w:tc>
          <w:tcPr>
            <w:tcW w:w="852" w:type="pct"/>
            <w:shd w:val="clear" w:color="auto" w:fill="auto"/>
            <w:vAlign w:val="center"/>
          </w:tcPr>
          <w:p w14:paraId="6090443F">
            <w:pPr>
              <w:pStyle w:val="37"/>
              <w:rPr>
                <w:rFonts w:ascii="Times New Roman" w:hAnsi="Times New Roman" w:eastAsiaTheme="minorEastAsia"/>
                <w:b w:val="0"/>
                <w:color w:val="auto"/>
                <w:kern w:val="0"/>
                <w:szCs w:val="21"/>
                <w:highlight w:val="none"/>
              </w:rPr>
            </w:pPr>
            <w:r>
              <w:rPr>
                <w:rFonts w:ascii="Times New Roman" w:hAnsi="Times New Roman" w:eastAsiaTheme="minorEastAsia"/>
                <w:b w:val="0"/>
                <w:color w:val="auto"/>
                <w:szCs w:val="21"/>
                <w:highlight w:val="none"/>
              </w:rPr>
              <w:t>锥坡、护坡、翼墙、耳墙</w:t>
            </w:r>
          </w:p>
        </w:tc>
        <w:tc>
          <w:tcPr>
            <w:tcW w:w="888" w:type="pct"/>
            <w:shd w:val="clear" w:color="auto" w:fill="auto"/>
            <w:vAlign w:val="center"/>
          </w:tcPr>
          <w:p w14:paraId="19971FB2">
            <w:pPr>
              <w:pStyle w:val="37"/>
              <w:rPr>
                <w:rFonts w:ascii="Times New Roman" w:hAnsi="Times New Roman" w:eastAsiaTheme="minorEastAsia"/>
                <w:b w:val="0"/>
                <w:color w:val="auto"/>
                <w:kern w:val="0"/>
                <w:szCs w:val="21"/>
                <w:highlight w:val="none"/>
              </w:rPr>
            </w:pPr>
            <w:r>
              <w:rPr>
                <w:rFonts w:ascii="Times New Roman" w:hAnsi="Times New Roman" w:eastAsiaTheme="minorEastAsia"/>
                <w:b w:val="0"/>
                <w:color w:val="auto"/>
                <w:szCs w:val="21"/>
                <w:highlight w:val="none"/>
              </w:rPr>
              <w:t>墩台基础、河床</w:t>
            </w:r>
          </w:p>
        </w:tc>
      </w:tr>
      <w:tr w14:paraId="35DFAED4">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284" w:hRule="atLeast"/>
          <w:jc w:val="center"/>
        </w:trPr>
        <w:tc>
          <w:tcPr>
            <w:tcW w:w="632" w:type="pct"/>
            <w:shd w:val="clear" w:color="auto" w:fill="auto"/>
            <w:noWrap/>
            <w:vAlign w:val="center"/>
          </w:tcPr>
          <w:p w14:paraId="1F3DDECF">
            <w:pPr>
              <w:pStyle w:val="37"/>
              <w:rPr>
                <w:rFonts w:ascii="Times New Roman" w:hAnsi="Times New Roman" w:eastAsiaTheme="minorEastAsia"/>
                <w:b w:val="0"/>
                <w:color w:val="auto"/>
                <w:kern w:val="0"/>
                <w:szCs w:val="21"/>
                <w:highlight w:val="none"/>
              </w:rPr>
            </w:pPr>
            <w:r>
              <w:rPr>
                <w:rFonts w:hint="eastAsia" w:ascii="Times New Roman" w:hAnsi="Times New Roman" w:eastAsiaTheme="minorEastAsia"/>
                <w:b w:val="0"/>
                <w:color w:val="auto"/>
                <w:kern w:val="0"/>
                <w:szCs w:val="21"/>
                <w:highlight w:val="none"/>
              </w:rPr>
              <w:t>那初三</w:t>
            </w:r>
            <w:r>
              <w:rPr>
                <w:rFonts w:ascii="Times New Roman" w:hAnsi="Times New Roman" w:eastAsiaTheme="minorEastAsia"/>
                <w:b w:val="0"/>
                <w:color w:val="auto"/>
                <w:kern w:val="0"/>
                <w:szCs w:val="21"/>
                <w:highlight w:val="none"/>
              </w:rPr>
              <w:t>桥</w:t>
            </w:r>
          </w:p>
        </w:tc>
        <w:tc>
          <w:tcPr>
            <w:tcW w:w="781" w:type="pct"/>
            <w:shd w:val="clear" w:color="auto" w:fill="auto"/>
            <w:noWrap/>
            <w:vAlign w:val="center"/>
          </w:tcPr>
          <w:p w14:paraId="23995E74">
            <w:pPr>
              <w:spacing w:line="240" w:lineRule="auto"/>
              <w:jc w:val="center"/>
              <w:rPr>
                <w:rFonts w:ascii="Times New Roman" w:hAnsi="Times New Roman"/>
                <w:color w:val="auto"/>
                <w:sz w:val="21"/>
                <w:szCs w:val="21"/>
                <w:highlight w:val="none"/>
              </w:rPr>
            </w:pPr>
            <w:r>
              <w:rPr>
                <w:rFonts w:ascii="Times New Roman" w:hAnsi="Times New Roman"/>
                <w:color w:val="auto"/>
                <w:sz w:val="21"/>
                <w:szCs w:val="21"/>
                <w:highlight w:val="none"/>
              </w:rPr>
              <w:t>未设置</w:t>
            </w:r>
          </w:p>
        </w:tc>
        <w:tc>
          <w:tcPr>
            <w:tcW w:w="1847" w:type="pct"/>
            <w:vAlign w:val="center"/>
          </w:tcPr>
          <w:p w14:paraId="4DC944E8">
            <w:pPr>
              <w:spacing w:line="240" w:lineRule="auto"/>
              <w:jc w:val="center"/>
              <w:rPr>
                <w:rFonts w:ascii="Times New Roman" w:hAnsi="Times New Roman"/>
                <w:b/>
                <w:color w:val="auto"/>
                <w:szCs w:val="21"/>
                <w:highlight w:val="none"/>
              </w:rPr>
            </w:pPr>
            <w:r>
              <w:rPr>
                <w:rFonts w:hint="eastAsia" w:ascii="Times New Roman" w:hAnsi="Times New Roman"/>
                <w:color w:val="auto"/>
                <w:sz w:val="21"/>
                <w:szCs w:val="21"/>
                <w:highlight w:val="none"/>
              </w:rPr>
              <w:t>0号台身前墙距左侧1.9m处有1道竖向裂缝，长度2m，宽度5.0mm</w:t>
            </w:r>
          </w:p>
        </w:tc>
        <w:tc>
          <w:tcPr>
            <w:tcW w:w="852" w:type="pct"/>
            <w:shd w:val="clear" w:color="auto" w:fill="auto"/>
            <w:noWrap/>
            <w:vAlign w:val="center"/>
          </w:tcPr>
          <w:p w14:paraId="3D655E09">
            <w:pPr>
              <w:pStyle w:val="37"/>
              <w:rPr>
                <w:rFonts w:ascii="Times New Roman" w:hAnsi="Times New Roman"/>
                <w:b w:val="0"/>
                <w:color w:val="auto"/>
                <w:szCs w:val="21"/>
                <w:highlight w:val="none"/>
              </w:rPr>
            </w:pPr>
            <w:r>
              <w:rPr>
                <w:rFonts w:ascii="Times New Roman" w:hAnsi="Times New Roman"/>
                <w:b w:val="0"/>
                <w:color w:val="auto"/>
                <w:szCs w:val="21"/>
                <w:highlight w:val="none"/>
              </w:rPr>
              <w:t>未设置</w:t>
            </w:r>
          </w:p>
        </w:tc>
        <w:tc>
          <w:tcPr>
            <w:tcW w:w="888" w:type="pct"/>
            <w:shd w:val="clear" w:color="auto" w:fill="auto"/>
            <w:noWrap/>
            <w:vAlign w:val="center"/>
          </w:tcPr>
          <w:p w14:paraId="74D54C5E">
            <w:pPr>
              <w:pStyle w:val="37"/>
              <w:rPr>
                <w:rFonts w:ascii="Times New Roman" w:hAnsi="Times New Roman"/>
                <w:b w:val="0"/>
                <w:color w:val="auto"/>
                <w:szCs w:val="21"/>
                <w:highlight w:val="none"/>
              </w:rPr>
            </w:pPr>
          </w:p>
        </w:tc>
      </w:tr>
    </w:tbl>
    <w:p w14:paraId="6142DE72">
      <w:pPr>
        <w:pStyle w:val="37"/>
        <w:rPr>
          <w:rFonts w:ascii="Times New Roman" w:hAnsi="Times New Roman"/>
          <w:color w:val="auto"/>
          <w:highlight w:val="none"/>
        </w:rPr>
      </w:pPr>
      <w:bookmarkStart w:id="3" w:name="_Toc17325306"/>
    </w:p>
    <w:p w14:paraId="5D5C96AD">
      <w:pPr>
        <w:pStyle w:val="37"/>
        <w:spacing w:line="360" w:lineRule="auto"/>
        <w:rPr>
          <w:rFonts w:ascii="Times New Roman" w:hAnsi="Times New Roman"/>
          <w:color w:val="auto"/>
          <w:highlight w:val="none"/>
        </w:rPr>
      </w:pPr>
      <w:r>
        <w:rPr>
          <w:color w:val="auto"/>
          <w:highlight w:val="none"/>
        </w:rPr>
        <w:drawing>
          <wp:inline distT="0" distB="0" distL="0" distR="0">
            <wp:extent cx="2842260" cy="2131695"/>
            <wp:effectExtent l="0" t="0" r="15240" b="1905"/>
            <wp:docPr id="2087941881" name="Picture 808614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7941881" name="Picture 808614213"/>
                    <pic:cNvPicPr>
                      <a:picLocks noChangeAspect="1"/>
                    </pic:cNvPicPr>
                  </pic:nvPicPr>
                  <pic:blipFill>
                    <a:blip r:embed="rId23"/>
                    <a:stretch>
                      <a:fillRect/>
                    </a:stretch>
                  </pic:blipFill>
                  <pic:spPr>
                    <a:xfrm>
                      <a:off x="0" y="0"/>
                      <a:ext cx="2842260" cy="2131695"/>
                    </a:xfrm>
                    <a:prstGeom prst="rect">
                      <a:avLst/>
                    </a:prstGeom>
                  </pic:spPr>
                </pic:pic>
              </a:graphicData>
            </a:graphic>
          </wp:inline>
        </w:drawing>
      </w:r>
      <w:r>
        <w:rPr>
          <w:rFonts w:ascii="Times New Roman" w:hAnsi="Times New Roman"/>
          <w:color w:val="auto"/>
          <w:spacing w:val="9"/>
          <w:kern w:val="0"/>
          <w:szCs w:val="21"/>
          <w:highlight w:val="none"/>
        </w:rPr>
        <w:t xml:space="preserve"> </w:t>
      </w:r>
      <w:r>
        <w:rPr>
          <w:rFonts w:ascii="Times New Roman" w:hAnsi="Times New Roman"/>
          <w:color w:val="auto"/>
          <w:highlight w:val="none"/>
        </w:rPr>
        <w:t xml:space="preserve"> </w:t>
      </w:r>
      <w:r>
        <w:rPr>
          <w:color w:val="auto"/>
          <w:highlight w:val="none"/>
        </w:rPr>
        <w:drawing>
          <wp:inline distT="0" distB="0" distL="0" distR="0">
            <wp:extent cx="2849245" cy="2136775"/>
            <wp:effectExtent l="0" t="0" r="8255" b="15875"/>
            <wp:docPr id="1134911264" name="Picture 808614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4911264" name="Picture 808614213"/>
                    <pic:cNvPicPr>
                      <a:picLocks noChangeAspect="1"/>
                    </pic:cNvPicPr>
                  </pic:nvPicPr>
                  <pic:blipFill>
                    <a:blip r:embed="rId24"/>
                    <a:stretch>
                      <a:fillRect/>
                    </a:stretch>
                  </pic:blipFill>
                  <pic:spPr>
                    <a:xfrm>
                      <a:off x="0" y="0"/>
                      <a:ext cx="2849245" cy="2136775"/>
                    </a:xfrm>
                    <a:prstGeom prst="rect">
                      <a:avLst/>
                    </a:prstGeom>
                  </pic:spPr>
                </pic:pic>
              </a:graphicData>
            </a:graphic>
          </wp:inline>
        </w:drawing>
      </w:r>
    </w:p>
    <w:p w14:paraId="440D4DD4">
      <w:pPr>
        <w:pStyle w:val="37"/>
        <w:spacing w:line="360" w:lineRule="auto"/>
        <w:ind w:firstLine="1897" w:firstLineChars="900"/>
        <w:jc w:val="left"/>
        <w:rPr>
          <w:rFonts w:ascii="Times New Roman" w:hAnsi="Times New Roman"/>
          <w:color w:val="auto"/>
          <w:szCs w:val="21"/>
          <w:highlight w:val="none"/>
        </w:rPr>
      </w:pPr>
      <w:r>
        <w:rPr>
          <w:color w:val="auto"/>
          <w:highlight w:val="none"/>
        </w:rPr>
        <w:t>0#台身前墙竖向裂缝</w:t>
      </w:r>
      <w:r>
        <w:rPr>
          <w:rFonts w:ascii="Times New Roman" w:hAnsi="Times New Roman"/>
          <w:color w:val="auto"/>
          <w:szCs w:val="21"/>
          <w:highlight w:val="none"/>
        </w:rPr>
        <w:t xml:space="preserve">                            1#桥台</w:t>
      </w:r>
      <w:r>
        <w:rPr>
          <w:rFonts w:hint="eastAsia" w:ascii="Times New Roman" w:hAnsi="Times New Roman"/>
          <w:color w:val="auto"/>
          <w:szCs w:val="21"/>
          <w:highlight w:val="none"/>
        </w:rPr>
        <w:t>身现状</w:t>
      </w:r>
    </w:p>
    <w:bookmarkEnd w:id="3"/>
    <w:p w14:paraId="4D6F95D5">
      <w:pPr>
        <w:pStyle w:val="4"/>
        <w:ind w:firstLine="482"/>
        <w:rPr>
          <w:color w:val="auto"/>
          <w:highlight w:val="none"/>
        </w:rPr>
      </w:pPr>
      <w:r>
        <w:rPr>
          <w:color w:val="auto"/>
          <w:highlight w:val="none"/>
        </w:rPr>
        <w:t>3.4</w:t>
      </w:r>
      <w:r>
        <w:rPr>
          <w:rFonts w:hint="eastAsia"/>
          <w:color w:val="auto"/>
          <w:highlight w:val="none"/>
        </w:rPr>
        <w:t>.1</w:t>
      </w:r>
      <w:r>
        <w:rPr>
          <w:color w:val="auto"/>
          <w:highlight w:val="none"/>
        </w:rPr>
        <w:t xml:space="preserve">  技术状况评定结论</w:t>
      </w:r>
    </w:p>
    <w:p w14:paraId="4CD3E1B9">
      <w:pPr>
        <w:ind w:firstLine="480" w:firstLineChars="200"/>
        <w:rPr>
          <w:color w:val="auto"/>
          <w:highlight w:val="none"/>
        </w:rPr>
      </w:pPr>
      <w:r>
        <w:rPr>
          <w:color w:val="auto"/>
          <w:highlight w:val="none"/>
        </w:rPr>
        <w:t>梁式桥桥梁技术状况评分Dr为49.38，技术状况等级评定为5类，技术状况描述为</w:t>
      </w:r>
      <w:r>
        <w:rPr>
          <w:b/>
          <w:bCs/>
          <w:color w:val="auto"/>
          <w:highlight w:val="none"/>
        </w:rPr>
        <w:t>主要构件存在严重缺损，不能正常使用，危及桥梁安全，桥梁处于危险状态</w:t>
      </w:r>
      <w:r>
        <w:rPr>
          <w:color w:val="auto"/>
          <w:highlight w:val="none"/>
        </w:rPr>
        <w:t>。</w:t>
      </w:r>
    </w:p>
    <w:p w14:paraId="77874BC6">
      <w:pPr>
        <w:pStyle w:val="37"/>
        <w:rPr>
          <w:rFonts w:ascii="Times New Roman" w:hAnsi="Times New Roman" w:eastAsiaTheme="minorEastAsia"/>
          <w:color w:val="auto"/>
          <w:highlight w:val="none"/>
        </w:rPr>
      </w:pPr>
      <w:r>
        <w:rPr>
          <w:rFonts w:ascii="Times New Roman" w:hAnsi="Times New Roman" w:eastAsiaTheme="minorEastAsia"/>
          <w:color w:val="auto"/>
          <w:highlight w:val="none"/>
        </w:rPr>
        <w:t>技术状况评定一览表</w:t>
      </w:r>
    </w:p>
    <w:tbl>
      <w:tblPr>
        <w:tblStyle w:val="26"/>
        <w:tblW w:w="4999" w:type="pct"/>
        <w:tblInd w:w="0" w:type="dxa"/>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Layout w:type="autofit"/>
        <w:tblCellMar>
          <w:top w:w="0" w:type="dxa"/>
          <w:left w:w="108" w:type="dxa"/>
          <w:bottom w:w="0" w:type="dxa"/>
          <w:right w:w="108" w:type="dxa"/>
        </w:tblCellMar>
      </w:tblPr>
      <w:tblGrid>
        <w:gridCol w:w="1768"/>
        <w:gridCol w:w="1767"/>
        <w:gridCol w:w="1797"/>
        <w:gridCol w:w="1875"/>
        <w:gridCol w:w="1507"/>
        <w:gridCol w:w="1509"/>
      </w:tblGrid>
      <w:tr w14:paraId="4D2F7814">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10" w:hRule="atLeast"/>
        </w:trPr>
        <w:tc>
          <w:tcPr>
            <w:tcW w:w="865" w:type="pct"/>
            <w:vAlign w:val="center"/>
          </w:tcPr>
          <w:p w14:paraId="1C72D568">
            <w:pPr>
              <w:pStyle w:val="37"/>
              <w:rPr>
                <w:rFonts w:ascii="Times New Roman" w:hAnsi="Times New Roman" w:eastAsiaTheme="minorEastAsia"/>
                <w:b w:val="0"/>
                <w:color w:val="auto"/>
                <w:szCs w:val="21"/>
                <w:highlight w:val="none"/>
              </w:rPr>
            </w:pPr>
            <w:r>
              <w:rPr>
                <w:rFonts w:ascii="Times New Roman" w:hAnsi="Times New Roman" w:eastAsiaTheme="minorEastAsia"/>
                <w:b w:val="0"/>
                <w:color w:val="auto"/>
                <w:kern w:val="0"/>
                <w:highlight w:val="none"/>
              </w:rPr>
              <w:t>桥梁名称</w:t>
            </w:r>
          </w:p>
        </w:tc>
        <w:tc>
          <w:tcPr>
            <w:tcW w:w="864" w:type="pct"/>
            <w:shd w:val="clear" w:color="auto" w:fill="auto"/>
            <w:vAlign w:val="center"/>
          </w:tcPr>
          <w:p w14:paraId="7C71AE99">
            <w:pPr>
              <w:pStyle w:val="37"/>
              <w:rPr>
                <w:rFonts w:ascii="Times New Roman" w:hAnsi="Times New Roman" w:eastAsiaTheme="minorEastAsia"/>
                <w:b w:val="0"/>
                <w:color w:val="auto"/>
                <w:szCs w:val="21"/>
                <w:highlight w:val="none"/>
              </w:rPr>
            </w:pPr>
            <w:r>
              <w:rPr>
                <w:rFonts w:ascii="Times New Roman" w:hAnsi="Times New Roman" w:eastAsiaTheme="minorEastAsia"/>
                <w:b w:val="0"/>
                <w:color w:val="auto"/>
                <w:szCs w:val="21"/>
                <w:highlight w:val="none"/>
              </w:rPr>
              <w:t>桥面系</w:t>
            </w:r>
          </w:p>
          <w:p w14:paraId="30443026">
            <w:pPr>
              <w:pStyle w:val="37"/>
              <w:rPr>
                <w:rFonts w:ascii="Times New Roman" w:hAnsi="Times New Roman" w:eastAsiaTheme="minorEastAsia"/>
                <w:b w:val="0"/>
                <w:color w:val="auto"/>
                <w:kern w:val="0"/>
                <w:szCs w:val="21"/>
                <w:highlight w:val="none"/>
              </w:rPr>
            </w:pPr>
            <w:r>
              <w:rPr>
                <w:rFonts w:ascii="Times New Roman" w:hAnsi="Times New Roman" w:eastAsiaTheme="minorEastAsia"/>
                <w:b w:val="0"/>
                <w:color w:val="auto"/>
                <w:szCs w:val="21"/>
                <w:highlight w:val="none"/>
              </w:rPr>
              <w:t>技术状况评分</w:t>
            </w:r>
          </w:p>
        </w:tc>
        <w:tc>
          <w:tcPr>
            <w:tcW w:w="879" w:type="pct"/>
            <w:shd w:val="clear" w:color="auto" w:fill="auto"/>
            <w:vAlign w:val="center"/>
          </w:tcPr>
          <w:p w14:paraId="42F7F25A">
            <w:pPr>
              <w:pStyle w:val="37"/>
              <w:rPr>
                <w:rFonts w:ascii="Times New Roman" w:hAnsi="Times New Roman" w:eastAsiaTheme="minorEastAsia"/>
                <w:b w:val="0"/>
                <w:color w:val="auto"/>
                <w:szCs w:val="21"/>
                <w:highlight w:val="none"/>
              </w:rPr>
            </w:pPr>
            <w:r>
              <w:rPr>
                <w:rFonts w:ascii="Times New Roman" w:hAnsi="Times New Roman" w:eastAsiaTheme="minorEastAsia"/>
                <w:b w:val="0"/>
                <w:color w:val="auto"/>
                <w:szCs w:val="21"/>
                <w:highlight w:val="none"/>
              </w:rPr>
              <w:t>上部结构</w:t>
            </w:r>
          </w:p>
          <w:p w14:paraId="3D194AA6">
            <w:pPr>
              <w:pStyle w:val="37"/>
              <w:rPr>
                <w:rFonts w:ascii="Times New Roman" w:hAnsi="Times New Roman" w:eastAsiaTheme="minorEastAsia"/>
                <w:b w:val="0"/>
                <w:color w:val="auto"/>
                <w:kern w:val="0"/>
                <w:szCs w:val="21"/>
                <w:highlight w:val="none"/>
              </w:rPr>
            </w:pPr>
            <w:r>
              <w:rPr>
                <w:rFonts w:ascii="Times New Roman" w:hAnsi="Times New Roman" w:eastAsiaTheme="minorEastAsia"/>
                <w:b w:val="0"/>
                <w:color w:val="auto"/>
                <w:szCs w:val="21"/>
                <w:highlight w:val="none"/>
              </w:rPr>
              <w:t>技术状况评分</w:t>
            </w:r>
          </w:p>
        </w:tc>
        <w:tc>
          <w:tcPr>
            <w:tcW w:w="917" w:type="pct"/>
            <w:shd w:val="clear" w:color="auto" w:fill="auto"/>
            <w:vAlign w:val="center"/>
          </w:tcPr>
          <w:p w14:paraId="0E51A7FC">
            <w:pPr>
              <w:pStyle w:val="37"/>
              <w:rPr>
                <w:rFonts w:ascii="Times New Roman" w:hAnsi="Times New Roman" w:eastAsiaTheme="minorEastAsia"/>
                <w:b w:val="0"/>
                <w:color w:val="auto"/>
                <w:szCs w:val="21"/>
                <w:highlight w:val="none"/>
              </w:rPr>
            </w:pPr>
            <w:r>
              <w:rPr>
                <w:rFonts w:ascii="Times New Roman" w:hAnsi="Times New Roman" w:eastAsiaTheme="minorEastAsia"/>
                <w:b w:val="0"/>
                <w:color w:val="auto"/>
                <w:szCs w:val="21"/>
                <w:highlight w:val="none"/>
              </w:rPr>
              <w:t>下部结构</w:t>
            </w:r>
          </w:p>
          <w:p w14:paraId="6DA634AD">
            <w:pPr>
              <w:pStyle w:val="37"/>
              <w:rPr>
                <w:rFonts w:ascii="Times New Roman" w:hAnsi="Times New Roman" w:eastAsiaTheme="minorEastAsia"/>
                <w:b w:val="0"/>
                <w:color w:val="auto"/>
                <w:kern w:val="0"/>
                <w:szCs w:val="21"/>
                <w:highlight w:val="none"/>
              </w:rPr>
            </w:pPr>
            <w:r>
              <w:rPr>
                <w:rFonts w:ascii="Times New Roman" w:hAnsi="Times New Roman" w:eastAsiaTheme="minorEastAsia"/>
                <w:b w:val="0"/>
                <w:color w:val="auto"/>
                <w:szCs w:val="21"/>
                <w:highlight w:val="none"/>
              </w:rPr>
              <w:t>技术状况评分</w:t>
            </w:r>
          </w:p>
        </w:tc>
        <w:tc>
          <w:tcPr>
            <w:tcW w:w="737" w:type="pct"/>
            <w:vAlign w:val="center"/>
          </w:tcPr>
          <w:p w14:paraId="12DEE0E1">
            <w:pPr>
              <w:pStyle w:val="37"/>
              <w:rPr>
                <w:rFonts w:ascii="Times New Roman" w:hAnsi="Times New Roman" w:eastAsiaTheme="minorEastAsia"/>
                <w:b w:val="0"/>
                <w:color w:val="auto"/>
                <w:szCs w:val="21"/>
                <w:highlight w:val="none"/>
              </w:rPr>
            </w:pPr>
            <w:r>
              <w:rPr>
                <w:rFonts w:ascii="Times New Roman" w:hAnsi="Times New Roman" w:eastAsiaTheme="minorEastAsia"/>
                <w:b w:val="0"/>
                <w:color w:val="auto"/>
                <w:szCs w:val="21"/>
                <w:highlight w:val="none"/>
              </w:rPr>
              <w:t>总体技术</w:t>
            </w:r>
          </w:p>
          <w:p w14:paraId="1C3FD1A7">
            <w:pPr>
              <w:pStyle w:val="37"/>
              <w:rPr>
                <w:rFonts w:ascii="Times New Roman" w:hAnsi="Times New Roman" w:eastAsiaTheme="minorEastAsia"/>
                <w:b w:val="0"/>
                <w:color w:val="auto"/>
                <w:szCs w:val="21"/>
                <w:highlight w:val="none"/>
              </w:rPr>
            </w:pPr>
            <w:r>
              <w:rPr>
                <w:rFonts w:ascii="Times New Roman" w:hAnsi="Times New Roman" w:eastAsiaTheme="minorEastAsia"/>
                <w:b w:val="0"/>
                <w:color w:val="auto"/>
                <w:szCs w:val="21"/>
                <w:highlight w:val="none"/>
              </w:rPr>
              <w:t>状况评分</w:t>
            </w:r>
          </w:p>
        </w:tc>
        <w:tc>
          <w:tcPr>
            <w:tcW w:w="738" w:type="pct"/>
            <w:shd w:val="clear" w:color="auto" w:fill="auto"/>
            <w:vAlign w:val="center"/>
          </w:tcPr>
          <w:p w14:paraId="5D62556F">
            <w:pPr>
              <w:pStyle w:val="37"/>
              <w:rPr>
                <w:rFonts w:ascii="Times New Roman" w:hAnsi="Times New Roman" w:eastAsiaTheme="minorEastAsia"/>
                <w:b w:val="0"/>
                <w:color w:val="auto"/>
                <w:szCs w:val="21"/>
                <w:highlight w:val="none"/>
              </w:rPr>
            </w:pPr>
            <w:r>
              <w:rPr>
                <w:rFonts w:ascii="Times New Roman" w:hAnsi="Times New Roman" w:eastAsiaTheme="minorEastAsia"/>
                <w:b w:val="0"/>
                <w:color w:val="auto"/>
                <w:szCs w:val="21"/>
                <w:highlight w:val="none"/>
              </w:rPr>
              <w:t>总体技术</w:t>
            </w:r>
          </w:p>
          <w:p w14:paraId="575AB06F">
            <w:pPr>
              <w:pStyle w:val="37"/>
              <w:rPr>
                <w:rFonts w:ascii="Times New Roman" w:hAnsi="Times New Roman" w:eastAsiaTheme="minorEastAsia"/>
                <w:b w:val="0"/>
                <w:color w:val="auto"/>
                <w:kern w:val="0"/>
                <w:szCs w:val="21"/>
                <w:highlight w:val="none"/>
              </w:rPr>
            </w:pPr>
            <w:r>
              <w:rPr>
                <w:rFonts w:ascii="Times New Roman" w:hAnsi="Times New Roman" w:eastAsiaTheme="minorEastAsia"/>
                <w:b w:val="0"/>
                <w:color w:val="auto"/>
                <w:szCs w:val="21"/>
                <w:highlight w:val="none"/>
              </w:rPr>
              <w:t>状况等级</w:t>
            </w:r>
          </w:p>
        </w:tc>
      </w:tr>
      <w:tr w14:paraId="423DB9D4">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340" w:hRule="atLeast"/>
        </w:trPr>
        <w:tc>
          <w:tcPr>
            <w:tcW w:w="865" w:type="pct"/>
            <w:vAlign w:val="center"/>
          </w:tcPr>
          <w:p w14:paraId="311E645E">
            <w:pPr>
              <w:pStyle w:val="37"/>
              <w:rPr>
                <w:rFonts w:ascii="Times New Roman" w:hAnsi="Times New Roman" w:eastAsiaTheme="minorEastAsia"/>
                <w:b w:val="0"/>
                <w:color w:val="auto"/>
                <w:szCs w:val="21"/>
                <w:highlight w:val="none"/>
              </w:rPr>
            </w:pPr>
            <w:r>
              <w:rPr>
                <w:rFonts w:hint="eastAsia" w:ascii="Times New Roman" w:hAnsi="Times New Roman" w:eastAsiaTheme="minorEastAsia"/>
                <w:b w:val="0"/>
                <w:color w:val="auto"/>
                <w:szCs w:val="21"/>
                <w:highlight w:val="none"/>
              </w:rPr>
              <w:t>那初三</w:t>
            </w:r>
            <w:r>
              <w:rPr>
                <w:rFonts w:ascii="Times New Roman" w:hAnsi="Times New Roman" w:eastAsiaTheme="minorEastAsia"/>
                <w:b w:val="0"/>
                <w:color w:val="auto"/>
                <w:szCs w:val="21"/>
                <w:highlight w:val="none"/>
              </w:rPr>
              <w:t>桥</w:t>
            </w:r>
          </w:p>
        </w:tc>
        <w:tc>
          <w:tcPr>
            <w:tcW w:w="864" w:type="pct"/>
            <w:shd w:val="clear" w:color="auto" w:fill="auto"/>
            <w:noWrap/>
            <w:vAlign w:val="center"/>
          </w:tcPr>
          <w:p w14:paraId="75FD4076">
            <w:pPr>
              <w:pStyle w:val="37"/>
              <w:rPr>
                <w:rFonts w:ascii="Times New Roman" w:hAnsi="Times New Roman" w:eastAsiaTheme="minorEastAsia"/>
                <w:b w:val="0"/>
                <w:color w:val="auto"/>
                <w:kern w:val="0"/>
                <w:szCs w:val="21"/>
                <w:highlight w:val="none"/>
              </w:rPr>
            </w:pPr>
            <w:r>
              <w:rPr>
                <w:rFonts w:hint="eastAsia" w:ascii="Times New Roman" w:hAnsi="Times New Roman" w:eastAsiaTheme="minorEastAsia"/>
                <w:b w:val="0"/>
                <w:color w:val="auto"/>
                <w:kern w:val="0"/>
                <w:szCs w:val="21"/>
                <w:highlight w:val="none"/>
              </w:rPr>
              <w:t>51.2/4类</w:t>
            </w:r>
          </w:p>
        </w:tc>
        <w:tc>
          <w:tcPr>
            <w:tcW w:w="879" w:type="pct"/>
            <w:shd w:val="clear" w:color="auto" w:fill="auto"/>
            <w:noWrap/>
            <w:vAlign w:val="center"/>
          </w:tcPr>
          <w:p w14:paraId="0F9EF8AA">
            <w:pPr>
              <w:pStyle w:val="37"/>
              <w:rPr>
                <w:rFonts w:ascii="Times New Roman" w:hAnsi="Times New Roman" w:eastAsiaTheme="minorEastAsia"/>
                <w:b w:val="0"/>
                <w:color w:val="auto"/>
                <w:kern w:val="0"/>
                <w:szCs w:val="21"/>
                <w:highlight w:val="none"/>
              </w:rPr>
            </w:pPr>
            <w:r>
              <w:rPr>
                <w:rFonts w:hint="eastAsia" w:ascii="Times New Roman" w:hAnsi="Times New Roman" w:eastAsiaTheme="minorEastAsia"/>
                <w:b w:val="0"/>
                <w:color w:val="auto"/>
                <w:kern w:val="0"/>
                <w:szCs w:val="21"/>
                <w:highlight w:val="none"/>
              </w:rPr>
              <w:t>42.85/4类</w:t>
            </w:r>
          </w:p>
        </w:tc>
        <w:tc>
          <w:tcPr>
            <w:tcW w:w="917" w:type="pct"/>
            <w:shd w:val="clear" w:color="auto" w:fill="auto"/>
            <w:noWrap/>
            <w:vAlign w:val="center"/>
          </w:tcPr>
          <w:p w14:paraId="60B646BB">
            <w:pPr>
              <w:pStyle w:val="37"/>
              <w:rPr>
                <w:rFonts w:ascii="Times New Roman" w:hAnsi="Times New Roman" w:eastAsiaTheme="minorEastAsia"/>
                <w:b w:val="0"/>
                <w:color w:val="auto"/>
                <w:kern w:val="0"/>
                <w:szCs w:val="21"/>
                <w:highlight w:val="none"/>
              </w:rPr>
            </w:pPr>
            <w:r>
              <w:rPr>
                <w:rFonts w:hint="eastAsia" w:ascii="Times New Roman" w:hAnsi="Times New Roman" w:eastAsiaTheme="minorEastAsia"/>
                <w:b w:val="0"/>
                <w:color w:val="auto"/>
                <w:kern w:val="0"/>
                <w:szCs w:val="21"/>
                <w:highlight w:val="none"/>
              </w:rPr>
              <w:t>55.00/4类</w:t>
            </w:r>
          </w:p>
        </w:tc>
        <w:tc>
          <w:tcPr>
            <w:tcW w:w="737" w:type="pct"/>
            <w:vAlign w:val="center"/>
          </w:tcPr>
          <w:p w14:paraId="4BC45DE2">
            <w:pPr>
              <w:pStyle w:val="37"/>
              <w:rPr>
                <w:rFonts w:ascii="Times New Roman" w:hAnsi="Times New Roman" w:eastAsiaTheme="minorEastAsia"/>
                <w:b w:val="0"/>
                <w:color w:val="auto"/>
                <w:kern w:val="0"/>
                <w:szCs w:val="21"/>
                <w:highlight w:val="none"/>
              </w:rPr>
            </w:pPr>
            <w:r>
              <w:rPr>
                <w:rFonts w:hint="eastAsia" w:ascii="Times New Roman" w:hAnsi="Times New Roman" w:eastAsiaTheme="minorEastAsia"/>
                <w:b w:val="0"/>
                <w:color w:val="auto"/>
                <w:kern w:val="0"/>
                <w:szCs w:val="21"/>
                <w:highlight w:val="none"/>
              </w:rPr>
              <w:t>49.38</w:t>
            </w:r>
          </w:p>
        </w:tc>
        <w:tc>
          <w:tcPr>
            <w:tcW w:w="738" w:type="pct"/>
            <w:shd w:val="clear" w:color="auto" w:fill="auto"/>
            <w:noWrap/>
            <w:vAlign w:val="center"/>
          </w:tcPr>
          <w:p w14:paraId="47527ACC">
            <w:pPr>
              <w:pStyle w:val="37"/>
              <w:rPr>
                <w:rFonts w:ascii="Times New Roman" w:hAnsi="Times New Roman" w:eastAsiaTheme="minorEastAsia"/>
                <w:b w:val="0"/>
                <w:color w:val="auto"/>
                <w:kern w:val="0"/>
                <w:szCs w:val="21"/>
                <w:highlight w:val="none"/>
              </w:rPr>
            </w:pPr>
            <w:r>
              <w:rPr>
                <w:rFonts w:hint="eastAsia" w:ascii="Times New Roman" w:hAnsi="Times New Roman" w:eastAsiaTheme="minorEastAsia"/>
                <w:b w:val="0"/>
                <w:color w:val="auto"/>
                <w:kern w:val="0"/>
                <w:szCs w:val="21"/>
                <w:highlight w:val="none"/>
              </w:rPr>
              <w:t>5</w:t>
            </w:r>
            <w:r>
              <w:rPr>
                <w:rFonts w:ascii="Times New Roman" w:hAnsi="Times New Roman" w:eastAsiaTheme="minorEastAsia"/>
                <w:b w:val="0"/>
                <w:color w:val="auto"/>
                <w:kern w:val="0"/>
                <w:szCs w:val="21"/>
                <w:highlight w:val="none"/>
              </w:rPr>
              <w:t>类</w:t>
            </w:r>
          </w:p>
        </w:tc>
      </w:tr>
    </w:tbl>
    <w:p w14:paraId="550ECC10">
      <w:pPr>
        <w:pStyle w:val="4"/>
        <w:ind w:firstLine="482"/>
        <w:rPr>
          <w:color w:val="auto"/>
          <w:highlight w:val="none"/>
        </w:rPr>
      </w:pPr>
      <w:r>
        <w:rPr>
          <w:color w:val="auto"/>
          <w:highlight w:val="none"/>
        </w:rPr>
        <w:t>3.</w:t>
      </w:r>
      <w:r>
        <w:rPr>
          <w:rFonts w:hint="eastAsia"/>
          <w:color w:val="auto"/>
          <w:highlight w:val="none"/>
        </w:rPr>
        <w:t>1.</w:t>
      </w:r>
      <w:r>
        <w:rPr>
          <w:color w:val="auto"/>
          <w:highlight w:val="none"/>
        </w:rPr>
        <w:t>5  检测单位建议</w:t>
      </w:r>
    </w:p>
    <w:p w14:paraId="33B757AE">
      <w:pPr>
        <w:pStyle w:val="49"/>
        <w:numPr>
          <w:ilvl w:val="0"/>
          <w:numId w:val="5"/>
        </w:numPr>
        <w:ind w:right="108" w:firstLine="227" w:firstLineChars="0"/>
        <w:rPr>
          <w:color w:val="auto"/>
          <w:kern w:val="0"/>
          <w:szCs w:val="24"/>
          <w:highlight w:val="none"/>
        </w:rPr>
      </w:pPr>
      <w:bookmarkStart w:id="4" w:name="_Hlk147229131"/>
      <w:bookmarkStart w:id="5" w:name="_Hlk147478769"/>
      <w:r>
        <w:rPr>
          <w:color w:val="auto"/>
          <w:kern w:val="0"/>
          <w:szCs w:val="24"/>
          <w:highlight w:val="none"/>
        </w:rPr>
        <w:t>建议对该桥进行维修加固或拆除重建。</w:t>
      </w:r>
    </w:p>
    <w:bookmarkEnd w:id="4"/>
    <w:p w14:paraId="1BAB8E32">
      <w:pPr>
        <w:pStyle w:val="49"/>
        <w:numPr>
          <w:ilvl w:val="0"/>
          <w:numId w:val="5"/>
        </w:numPr>
        <w:ind w:right="108" w:firstLine="227" w:firstLineChars="0"/>
        <w:rPr>
          <w:color w:val="auto"/>
          <w:kern w:val="0"/>
          <w:szCs w:val="24"/>
          <w:highlight w:val="none"/>
        </w:rPr>
      </w:pPr>
      <w:r>
        <w:rPr>
          <w:color w:val="auto"/>
          <w:kern w:val="0"/>
          <w:szCs w:val="24"/>
          <w:highlight w:val="none"/>
        </w:rPr>
        <w:t>对尚未提及的，根据《公路桥涵养护规范》(JTG 5120-2021)的要求进行处理，并加强日常养护与巡查。</w:t>
      </w:r>
    </w:p>
    <w:p w14:paraId="1F7AE1CB">
      <w:pPr>
        <w:pStyle w:val="4"/>
        <w:ind w:firstLine="482"/>
        <w:rPr>
          <w:color w:val="auto"/>
          <w:highlight w:val="none"/>
        </w:rPr>
      </w:pPr>
      <w:r>
        <w:rPr>
          <w:rFonts w:hint="eastAsia"/>
          <w:color w:val="auto"/>
          <w:highlight w:val="none"/>
        </w:rPr>
        <w:t>3.1.6  现场踏勘情况</w:t>
      </w:r>
    </w:p>
    <w:p w14:paraId="4834E31D">
      <w:pPr>
        <w:ind w:firstLine="480" w:firstLineChars="200"/>
        <w:rPr>
          <w:color w:val="auto"/>
          <w:highlight w:val="none"/>
        </w:rPr>
      </w:pPr>
      <w:r>
        <w:rPr>
          <w:rFonts w:hint="eastAsia"/>
          <w:color w:val="auto"/>
          <w:highlight w:val="none"/>
        </w:rPr>
        <w:t>桥台处挡墙完整性较高，可做为新桥桩基挡墙使用</w:t>
      </w:r>
      <w:r>
        <w:rPr>
          <w:color w:val="auto"/>
          <w:highlight w:val="none"/>
        </w:rPr>
        <w:t>。</w:t>
      </w:r>
    </w:p>
    <w:p w14:paraId="6333A6D5">
      <w:pPr>
        <w:ind w:firstLine="480" w:firstLineChars="200"/>
        <w:jc w:val="center"/>
        <w:rPr>
          <w:color w:val="auto"/>
          <w:highlight w:val="none"/>
        </w:rPr>
      </w:pPr>
      <w:r>
        <w:rPr>
          <w:color w:val="auto"/>
          <w:highlight w:val="none"/>
        </w:rPr>
        <w:drawing>
          <wp:inline distT="0" distB="0" distL="114300" distR="114300">
            <wp:extent cx="3849370" cy="2915920"/>
            <wp:effectExtent l="0" t="0" r="17780" b="17780"/>
            <wp:docPr id="1" name="图片 4"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4" descr="IMG_256"/>
                    <pic:cNvPicPr>
                      <a:picLocks noChangeAspect="1"/>
                    </pic:cNvPicPr>
                  </pic:nvPicPr>
                  <pic:blipFill>
                    <a:blip r:embed="rId25"/>
                    <a:stretch>
                      <a:fillRect/>
                    </a:stretch>
                  </pic:blipFill>
                  <pic:spPr>
                    <a:xfrm>
                      <a:off x="0" y="0"/>
                      <a:ext cx="3849370" cy="2915920"/>
                    </a:xfrm>
                    <a:prstGeom prst="rect">
                      <a:avLst/>
                    </a:prstGeom>
                    <a:noFill/>
                    <a:ln w="9525">
                      <a:noFill/>
                    </a:ln>
                  </pic:spPr>
                </pic:pic>
              </a:graphicData>
            </a:graphic>
          </wp:inline>
        </w:drawing>
      </w:r>
    </w:p>
    <w:p w14:paraId="7E53F370">
      <w:pPr>
        <w:ind w:firstLine="480" w:firstLineChars="200"/>
        <w:jc w:val="center"/>
        <w:rPr>
          <w:color w:val="auto"/>
          <w:highlight w:val="none"/>
        </w:rPr>
      </w:pPr>
      <w:r>
        <w:rPr>
          <w:rFonts w:ascii="Times New Roman" w:hAnsi="Times New Roman"/>
          <w:color w:val="auto"/>
          <w:szCs w:val="21"/>
          <w:highlight w:val="none"/>
        </w:rPr>
        <w:t>桥台</w:t>
      </w:r>
      <w:r>
        <w:rPr>
          <w:rFonts w:hint="eastAsia" w:ascii="Times New Roman" w:hAnsi="Times New Roman"/>
          <w:color w:val="auto"/>
          <w:szCs w:val="21"/>
          <w:highlight w:val="none"/>
          <w:lang w:val="en-US" w:eastAsia="zh-CN"/>
        </w:rPr>
        <w:t>现状</w:t>
      </w:r>
    </w:p>
    <w:p w14:paraId="1A719A2C">
      <w:pPr>
        <w:pStyle w:val="3"/>
        <w:numPr>
          <w:ilvl w:val="0"/>
          <w:numId w:val="0"/>
        </w:numPr>
        <w:ind w:left="281"/>
        <w:rPr>
          <w:rFonts w:ascii="Times New Roman" w:hAnsi="Times New Roman"/>
          <w:color w:val="auto"/>
          <w:highlight w:val="none"/>
        </w:rPr>
      </w:pPr>
      <w:r>
        <w:rPr>
          <w:rFonts w:ascii="Times New Roman" w:hAnsi="Times New Roman"/>
          <w:color w:val="auto"/>
          <w:highlight w:val="none"/>
        </w:rPr>
        <w:t>3.2</w:t>
      </w:r>
      <w:r>
        <w:rPr>
          <w:rFonts w:hint="eastAsia" w:ascii="Times New Roman" w:hAnsi="Times New Roman"/>
          <w:color w:val="auto"/>
          <w:highlight w:val="none"/>
        </w:rPr>
        <w:t xml:space="preserve">  </w:t>
      </w:r>
      <w:r>
        <w:rPr>
          <w:rFonts w:ascii="Times New Roman" w:hAnsi="Times New Roman"/>
          <w:color w:val="auto"/>
          <w:highlight w:val="none"/>
        </w:rPr>
        <w:t>主要病害原因分析</w:t>
      </w:r>
    </w:p>
    <w:p w14:paraId="597F4300">
      <w:pPr>
        <w:ind w:firstLine="480" w:firstLineChars="200"/>
        <w:rPr>
          <w:rFonts w:ascii="Times New Roman" w:hAnsi="Times New Roman"/>
          <w:color w:val="auto"/>
          <w:highlight w:val="none"/>
        </w:rPr>
      </w:pPr>
      <w:r>
        <w:rPr>
          <w:rFonts w:hint="eastAsia" w:ascii="Times New Roman" w:hAnsi="Times New Roman"/>
          <w:color w:val="auto"/>
          <w:highlight w:val="none"/>
        </w:rPr>
        <w:t>造成</w:t>
      </w:r>
      <w:r>
        <w:rPr>
          <w:rFonts w:ascii="Times New Roman" w:hAnsi="Times New Roman"/>
          <w:color w:val="auto"/>
          <w:highlight w:val="none"/>
        </w:rPr>
        <w:t>主拱圈底面纵向裂缝</w:t>
      </w:r>
      <w:r>
        <w:rPr>
          <w:rFonts w:hint="eastAsia" w:ascii="Times New Roman" w:hAnsi="Times New Roman"/>
          <w:color w:val="auto"/>
          <w:highlight w:val="none"/>
        </w:rPr>
        <w:t>的主要原因是因为原桥设计的承载能力较低，在重车作用下，拱圈的横向联系不足，形成了</w:t>
      </w:r>
      <w:r>
        <w:rPr>
          <w:rFonts w:ascii="Times New Roman" w:hAnsi="Times New Roman"/>
          <w:color w:val="auto"/>
          <w:highlight w:val="none"/>
        </w:rPr>
        <w:t>纵向裂缝。</w:t>
      </w:r>
    </w:p>
    <w:p w14:paraId="25212DA9">
      <w:pPr>
        <w:ind w:firstLine="480" w:firstLineChars="200"/>
        <w:rPr>
          <w:color w:val="auto"/>
          <w:highlight w:val="none"/>
        </w:rPr>
      </w:pPr>
    </w:p>
    <w:p w14:paraId="4749050B">
      <w:pPr>
        <w:pStyle w:val="3"/>
        <w:numPr>
          <w:ilvl w:val="0"/>
          <w:numId w:val="0"/>
        </w:numPr>
        <w:ind w:firstLine="280" w:firstLineChars="100"/>
        <w:rPr>
          <w:rFonts w:ascii="Times New Roman" w:hAnsi="Times New Roman"/>
          <w:color w:val="auto"/>
          <w:highlight w:val="none"/>
        </w:rPr>
      </w:pPr>
      <w:r>
        <w:rPr>
          <w:rFonts w:ascii="Times New Roman" w:hAnsi="Times New Roman"/>
          <w:color w:val="auto"/>
          <w:highlight w:val="none"/>
        </w:rPr>
        <w:t>3.3  桥梁适应性分析</w:t>
      </w:r>
    </w:p>
    <w:p w14:paraId="575357A7">
      <w:pPr>
        <w:ind w:firstLine="482"/>
        <w:outlineLvl w:val="2"/>
        <w:rPr>
          <w:rFonts w:ascii="Times New Roman" w:hAnsi="Times New Roman"/>
          <w:b/>
          <w:color w:val="auto"/>
          <w:szCs w:val="24"/>
          <w:highlight w:val="none"/>
        </w:rPr>
      </w:pPr>
      <w:r>
        <w:rPr>
          <w:rFonts w:ascii="Times New Roman" w:hAnsi="Times New Roman"/>
          <w:b/>
          <w:color w:val="auto"/>
          <w:szCs w:val="24"/>
          <w:highlight w:val="none"/>
        </w:rPr>
        <w:t>1、桥梁承载能力</w:t>
      </w:r>
    </w:p>
    <w:p w14:paraId="335687A5">
      <w:pPr>
        <w:ind w:firstLine="480"/>
        <w:rPr>
          <w:rFonts w:ascii="Times New Roman" w:hAnsi="Times New Roman"/>
          <w:color w:val="auto"/>
          <w:highlight w:val="none"/>
        </w:rPr>
      </w:pPr>
      <w:bookmarkStart w:id="6" w:name="_Hlk118726817"/>
      <w:r>
        <w:rPr>
          <w:rFonts w:asciiTheme="minorEastAsia" w:hAnsiTheme="minorEastAsia" w:eastAsiaTheme="minorEastAsia"/>
          <w:color w:val="auto"/>
          <w:highlight w:val="none"/>
        </w:rPr>
        <w:t>“检测报告”</w:t>
      </w:r>
      <w:r>
        <w:rPr>
          <w:rFonts w:ascii="Times New Roman" w:hAnsi="Times New Roman"/>
          <w:color w:val="auto"/>
          <w:highlight w:val="none"/>
        </w:rPr>
        <w:t>未对该桥承载能力进行评定。</w:t>
      </w:r>
    </w:p>
    <w:p w14:paraId="199EA6F3">
      <w:pPr>
        <w:ind w:firstLine="480"/>
        <w:rPr>
          <w:rFonts w:ascii="Times New Roman" w:hAnsi="Times New Roman"/>
          <w:color w:val="auto"/>
          <w:highlight w:val="none"/>
        </w:rPr>
      </w:pPr>
      <w:r>
        <w:rPr>
          <w:rFonts w:ascii="Times New Roman" w:hAnsi="Times New Roman"/>
          <w:color w:val="auto"/>
          <w:highlight w:val="none"/>
        </w:rPr>
        <w:t>根据交通部《公路危旧桥梁排查和改造技术要求》：2.3.1 满足以下条件的桥梁应判定为承载能力适应性不足：</w:t>
      </w:r>
    </w:p>
    <w:p w14:paraId="7677823B">
      <w:pPr>
        <w:ind w:firstLine="480" w:firstLineChars="200"/>
        <w:rPr>
          <w:rFonts w:ascii="Times New Roman" w:hAnsi="Times New Roman"/>
          <w:color w:val="auto"/>
          <w:highlight w:val="none"/>
        </w:rPr>
      </w:pPr>
      <w:r>
        <w:rPr>
          <w:rFonts w:ascii="Times New Roman" w:hAnsi="Times New Roman"/>
          <w:color w:val="auto"/>
          <w:highlight w:val="none"/>
        </w:rPr>
        <w:t>“2）二级及以下普通国省干线公路中设计荷载等级为汽车-15级及以下的桥梁。”本桥所在路线为国省干线二级公路，根据业主提供的该桥资料，</w:t>
      </w:r>
      <w:r>
        <w:rPr>
          <w:rFonts w:hint="eastAsia" w:ascii="Times New Roman" w:hAnsi="Times New Roman"/>
          <w:color w:val="auto"/>
          <w:highlight w:val="none"/>
        </w:rPr>
        <w:t>那初三</w:t>
      </w:r>
      <w:r>
        <w:rPr>
          <w:rFonts w:ascii="Times New Roman" w:hAnsi="Times New Roman"/>
          <w:color w:val="auto"/>
          <w:highlight w:val="none"/>
        </w:rPr>
        <w:t>桥设计荷载：汽车-1</w:t>
      </w:r>
      <w:r>
        <w:rPr>
          <w:rFonts w:hint="eastAsia" w:ascii="Times New Roman" w:hAnsi="Times New Roman"/>
          <w:color w:val="auto"/>
          <w:highlight w:val="none"/>
        </w:rPr>
        <w:t>0</w:t>
      </w:r>
      <w:r>
        <w:rPr>
          <w:rFonts w:ascii="Times New Roman" w:hAnsi="Times New Roman"/>
          <w:color w:val="auto"/>
          <w:highlight w:val="none"/>
        </w:rPr>
        <w:t>级。可见该桥承载能力适应性不足。</w:t>
      </w:r>
    </w:p>
    <w:bookmarkEnd w:id="6"/>
    <w:p w14:paraId="61CBF5FC">
      <w:pPr>
        <w:ind w:firstLine="482"/>
        <w:outlineLvl w:val="2"/>
        <w:rPr>
          <w:rFonts w:ascii="Times New Roman" w:hAnsi="Times New Roman"/>
          <w:b/>
          <w:color w:val="auto"/>
          <w:szCs w:val="24"/>
          <w:highlight w:val="none"/>
        </w:rPr>
      </w:pPr>
      <w:r>
        <w:rPr>
          <w:rFonts w:ascii="Times New Roman" w:hAnsi="Times New Roman"/>
          <w:b/>
          <w:color w:val="auto"/>
          <w:szCs w:val="24"/>
          <w:highlight w:val="none"/>
        </w:rPr>
        <w:t>2、桥梁防洪能力</w:t>
      </w:r>
    </w:p>
    <w:p w14:paraId="68A8BBC1">
      <w:pPr>
        <w:ind w:firstLine="480" w:firstLineChars="200"/>
        <w:rPr>
          <w:rFonts w:ascii="Times New Roman" w:hAnsi="Times New Roman"/>
          <w:color w:val="auto"/>
          <w:highlight w:val="none"/>
        </w:rPr>
      </w:pPr>
      <w:r>
        <w:rPr>
          <w:rFonts w:ascii="Times New Roman" w:hAnsi="Times New Roman"/>
          <w:color w:val="auto"/>
          <w:highlight w:val="none"/>
        </w:rPr>
        <w:t>根据《公路桥涵设计通用规范》（JTG D60-2015）第3.4.3条规定，桥下净空应根据技术水位（设计水位计入壅水、浪高等）加安全高度确定，并应符合下列规定：</w:t>
      </w:r>
    </w:p>
    <w:p w14:paraId="2C37DAF1">
      <w:pPr>
        <w:ind w:firstLine="560"/>
        <w:jc w:val="center"/>
        <w:rPr>
          <w:rFonts w:ascii="Times New Roman" w:hAnsi="Times New Roman"/>
          <w:color w:val="auto"/>
          <w:kern w:val="0"/>
          <w:sz w:val="28"/>
          <w:szCs w:val="28"/>
          <w:highlight w:val="none"/>
          <w:lang w:val="zh-CN"/>
        </w:rPr>
      </w:pPr>
      <w:r>
        <w:rPr>
          <w:rFonts w:ascii="Times New Roman" w:hAnsi="Times New Roman"/>
          <w:color w:val="auto"/>
          <w:kern w:val="0"/>
          <w:sz w:val="28"/>
          <w:szCs w:val="28"/>
          <w:highlight w:val="none"/>
          <w:lang w:val="zh-CN"/>
        </w:rPr>
        <w:object>
          <v:shape id="_x0000_i1028" o:spt="75" alt="" type="#_x0000_t75" style="height:195.95pt;width:390.1pt;" o:ole="t" filled="f" o:preferrelative="t" stroked="f" coordsize="21600,21600">
            <v:path/>
            <v:fill on="f" focussize="0,0"/>
            <v:stroke on="f"/>
            <v:imagedata r:id="rId27" o:title=""/>
            <o:lock v:ext="edit" aspectratio="t"/>
            <w10:wrap type="none"/>
            <w10:anchorlock/>
          </v:shape>
          <o:OLEObject Type="Embed" ProgID="Picture.PicObj.1" ShapeID="_x0000_i1028" DrawAspect="Content" ObjectID="_1468075728" r:id="rId26">
            <o:LockedField>false</o:LockedField>
          </o:OLEObject>
        </w:object>
      </w:r>
    </w:p>
    <w:p w14:paraId="75D724BE">
      <w:pPr>
        <w:ind w:firstLine="480"/>
        <w:rPr>
          <w:rFonts w:ascii="Times New Roman" w:hAnsi="Times New Roman"/>
          <w:color w:val="auto"/>
          <w:szCs w:val="24"/>
          <w:highlight w:val="none"/>
        </w:rPr>
      </w:pPr>
      <w:r>
        <w:rPr>
          <w:rFonts w:ascii="Times New Roman" w:hAnsi="Times New Roman"/>
          <w:color w:val="auto"/>
          <w:szCs w:val="24"/>
          <w:highlight w:val="none"/>
        </w:rPr>
        <w:t>经调查，</w:t>
      </w:r>
      <w:r>
        <w:rPr>
          <w:rFonts w:hint="eastAsia" w:ascii="Times New Roman" w:hAnsi="Times New Roman"/>
          <w:color w:val="auto"/>
          <w:szCs w:val="24"/>
          <w:highlight w:val="none"/>
        </w:rPr>
        <w:t>那初三</w:t>
      </w:r>
      <w:r>
        <w:rPr>
          <w:rFonts w:ascii="Times New Roman" w:hAnsi="Times New Roman"/>
          <w:color w:val="auto"/>
          <w:szCs w:val="24"/>
          <w:highlight w:val="none"/>
        </w:rPr>
        <w:t>桥</w:t>
      </w:r>
      <w:r>
        <w:rPr>
          <w:rFonts w:hint="eastAsia" w:ascii="Times New Roman" w:hAnsi="Times New Roman"/>
          <w:color w:val="auto"/>
          <w:szCs w:val="24"/>
          <w:highlight w:val="none"/>
        </w:rPr>
        <w:t>从未淹没过拱底</w:t>
      </w:r>
      <w:r>
        <w:rPr>
          <w:rFonts w:ascii="Times New Roman" w:hAnsi="Times New Roman"/>
          <w:color w:val="auto"/>
          <w:szCs w:val="24"/>
          <w:highlight w:val="none"/>
        </w:rPr>
        <w:t>。根据《公路桥涵养护规范》（JTG 5120-2021）表5.2.1 桥梁抗洪能力评定标准，</w:t>
      </w:r>
      <w:r>
        <w:rPr>
          <w:rFonts w:hint="eastAsia" w:ascii="Times New Roman" w:hAnsi="Times New Roman"/>
          <w:color w:val="auto"/>
          <w:szCs w:val="24"/>
          <w:highlight w:val="none"/>
        </w:rPr>
        <w:t>那初三</w:t>
      </w:r>
      <w:r>
        <w:rPr>
          <w:rFonts w:ascii="Times New Roman" w:hAnsi="Times New Roman"/>
          <w:color w:val="auto"/>
          <w:szCs w:val="24"/>
          <w:highlight w:val="none"/>
        </w:rPr>
        <w:t>桥抗洪能力</w:t>
      </w:r>
      <w:r>
        <w:rPr>
          <w:rFonts w:hint="eastAsia" w:ascii="Times New Roman" w:hAnsi="Times New Roman"/>
          <w:color w:val="auto"/>
          <w:szCs w:val="24"/>
          <w:highlight w:val="none"/>
        </w:rPr>
        <w:t>强</w:t>
      </w:r>
      <w:r>
        <w:rPr>
          <w:rFonts w:ascii="Times New Roman" w:hAnsi="Times New Roman"/>
          <w:color w:val="auto"/>
          <w:szCs w:val="24"/>
          <w:highlight w:val="none"/>
        </w:rPr>
        <w:t>。</w:t>
      </w:r>
    </w:p>
    <w:p w14:paraId="59A97B04">
      <w:pPr>
        <w:ind w:firstLine="482"/>
        <w:outlineLvl w:val="2"/>
        <w:rPr>
          <w:rFonts w:ascii="Times New Roman" w:hAnsi="Times New Roman"/>
          <w:b/>
          <w:color w:val="auto"/>
          <w:szCs w:val="24"/>
          <w:highlight w:val="none"/>
        </w:rPr>
      </w:pPr>
      <w:r>
        <w:rPr>
          <w:rFonts w:ascii="Times New Roman" w:hAnsi="Times New Roman"/>
          <w:b/>
          <w:color w:val="auto"/>
          <w:szCs w:val="24"/>
          <w:highlight w:val="none"/>
        </w:rPr>
        <w:t>3、桥梁通行能力</w:t>
      </w:r>
    </w:p>
    <w:p w14:paraId="55E13B2B">
      <w:pPr>
        <w:ind w:firstLine="480"/>
        <w:rPr>
          <w:rFonts w:ascii="Times New Roman" w:hAnsi="Times New Roman"/>
          <w:color w:val="auto"/>
          <w:szCs w:val="24"/>
          <w:highlight w:val="none"/>
        </w:rPr>
      </w:pPr>
      <w:r>
        <w:rPr>
          <w:rFonts w:ascii="Times New Roman" w:hAnsi="Times New Roman"/>
          <w:color w:val="auto"/>
          <w:szCs w:val="24"/>
          <w:highlight w:val="none"/>
        </w:rPr>
        <w:t>桥梁所处C290线段路基宽度为6.5m，桥梁净宽为7.5米，其公路建筑限界满足现行《公路工程技术标准》（JTG B01-2014）的要求（对应的标准为：四级公路；路基宽度6.5m；</w:t>
      </w:r>
      <w:r>
        <w:rPr>
          <w:rFonts w:hint="eastAsia" w:ascii="Times New Roman" w:hAnsi="Times New Roman"/>
          <w:color w:val="auto"/>
          <w:szCs w:val="24"/>
          <w:highlight w:val="none"/>
        </w:rPr>
        <w:t>桥面净宽6.0米；</w:t>
      </w:r>
      <w:r>
        <w:rPr>
          <w:rFonts w:ascii="Times New Roman" w:hAnsi="Times New Roman"/>
          <w:color w:val="auto"/>
          <w:szCs w:val="24"/>
          <w:highlight w:val="none"/>
        </w:rPr>
        <w:t>设计速度20km/h）。</w:t>
      </w:r>
    </w:p>
    <w:p w14:paraId="3CA7BDFB">
      <w:pPr>
        <w:ind w:firstLine="482"/>
        <w:outlineLvl w:val="2"/>
        <w:rPr>
          <w:rFonts w:ascii="Times New Roman" w:hAnsi="Times New Roman"/>
          <w:b/>
          <w:color w:val="auto"/>
          <w:szCs w:val="24"/>
          <w:highlight w:val="none"/>
        </w:rPr>
      </w:pPr>
      <w:r>
        <w:rPr>
          <w:rFonts w:ascii="Times New Roman" w:hAnsi="Times New Roman"/>
          <w:b/>
          <w:color w:val="auto"/>
          <w:szCs w:val="24"/>
          <w:highlight w:val="none"/>
        </w:rPr>
        <w:t>4、分析结论</w:t>
      </w:r>
    </w:p>
    <w:p w14:paraId="0A302C77">
      <w:pPr>
        <w:ind w:firstLine="480"/>
        <w:rPr>
          <w:rFonts w:ascii="Times New Roman" w:hAnsi="Times New Roman"/>
          <w:color w:val="auto"/>
          <w:szCs w:val="24"/>
          <w:highlight w:val="none"/>
        </w:rPr>
      </w:pPr>
      <w:r>
        <w:rPr>
          <w:rFonts w:ascii="Times New Roman" w:hAnsi="Times New Roman"/>
          <w:color w:val="auto"/>
          <w:szCs w:val="24"/>
          <w:highlight w:val="none"/>
        </w:rPr>
        <w:t>考虑旧桥建设年代（19</w:t>
      </w:r>
      <w:r>
        <w:rPr>
          <w:rFonts w:hint="eastAsia" w:ascii="Times New Roman" w:hAnsi="Times New Roman"/>
          <w:color w:val="auto"/>
          <w:szCs w:val="24"/>
          <w:highlight w:val="none"/>
        </w:rPr>
        <w:t>82</w:t>
      </w:r>
      <w:r>
        <w:rPr>
          <w:rFonts w:ascii="Times New Roman" w:hAnsi="Times New Roman"/>
          <w:color w:val="auto"/>
          <w:szCs w:val="24"/>
          <w:highlight w:val="none"/>
        </w:rPr>
        <w:t>年）较早，已经过了</w:t>
      </w:r>
      <w:r>
        <w:rPr>
          <w:rFonts w:hint="eastAsia" w:ascii="Times New Roman" w:hAnsi="Times New Roman"/>
          <w:color w:val="auto"/>
          <w:szCs w:val="24"/>
          <w:highlight w:val="none"/>
        </w:rPr>
        <w:t>43</w:t>
      </w:r>
      <w:r>
        <w:rPr>
          <w:rFonts w:ascii="Times New Roman" w:hAnsi="Times New Roman"/>
          <w:color w:val="auto"/>
          <w:szCs w:val="24"/>
          <w:highlight w:val="none"/>
        </w:rPr>
        <w:t>年的运营，</w:t>
      </w:r>
      <w:bookmarkStart w:id="7" w:name="_Hlk118728069"/>
      <w:r>
        <w:rPr>
          <w:rFonts w:ascii="Times New Roman" w:hAnsi="Times New Roman"/>
          <w:color w:val="auto"/>
          <w:szCs w:val="24"/>
          <w:highlight w:val="none"/>
        </w:rPr>
        <w:t>桥梁承载能力不足，</w:t>
      </w:r>
      <w:r>
        <w:rPr>
          <w:rFonts w:hint="eastAsia" w:ascii="Times New Roman" w:hAnsi="Times New Roman"/>
          <w:color w:val="auto"/>
          <w:szCs w:val="24"/>
          <w:highlight w:val="none"/>
        </w:rPr>
        <w:t>根据“检测报告”：</w:t>
      </w:r>
      <w:r>
        <w:rPr>
          <w:color w:val="auto"/>
          <w:highlight w:val="none"/>
        </w:rPr>
        <w:t>技术状况等级评定为</w:t>
      </w:r>
      <w:r>
        <w:rPr>
          <w:rFonts w:ascii="Times New Roman" w:hAnsi="Times New Roman"/>
          <w:color w:val="auto"/>
          <w:szCs w:val="24"/>
          <w:highlight w:val="none"/>
        </w:rPr>
        <w:t>5</w:t>
      </w:r>
      <w:r>
        <w:rPr>
          <w:color w:val="auto"/>
          <w:highlight w:val="none"/>
        </w:rPr>
        <w:t>类</w:t>
      </w:r>
      <w:r>
        <w:rPr>
          <w:rFonts w:hint="eastAsia"/>
          <w:color w:val="auto"/>
          <w:highlight w:val="none"/>
        </w:rPr>
        <w:t>，故</w:t>
      </w:r>
      <w:r>
        <w:rPr>
          <w:rFonts w:ascii="Times New Roman" w:hAnsi="Times New Roman"/>
          <w:color w:val="auto"/>
          <w:szCs w:val="24"/>
          <w:highlight w:val="none"/>
        </w:rPr>
        <w:t>从结构安全性及后期养护维修考虑对该桥进行拆除重建。</w:t>
      </w:r>
    </w:p>
    <w:bookmarkEnd w:id="7"/>
    <w:p w14:paraId="0FDC5FF2">
      <w:pPr>
        <w:ind w:firstLine="480"/>
        <w:rPr>
          <w:rFonts w:ascii="Times New Roman" w:hAnsi="Times New Roman"/>
          <w:color w:val="auto"/>
          <w:szCs w:val="24"/>
          <w:highlight w:val="none"/>
        </w:rPr>
      </w:pPr>
    </w:p>
    <w:bookmarkEnd w:id="5"/>
    <w:p w14:paraId="1AC09892">
      <w:pPr>
        <w:pStyle w:val="2"/>
        <w:numPr>
          <w:ilvl w:val="0"/>
          <w:numId w:val="0"/>
        </w:numPr>
        <w:rPr>
          <w:rFonts w:ascii="Times New Roman" w:hAnsi="Times New Roman"/>
          <w:color w:val="auto"/>
          <w:highlight w:val="none"/>
        </w:rPr>
      </w:pPr>
      <w:r>
        <w:rPr>
          <w:rFonts w:ascii="Times New Roman" w:hAnsi="Times New Roman"/>
          <w:color w:val="auto"/>
          <w:highlight w:val="none"/>
        </w:rPr>
        <w:t>4  桥梁设计</w:t>
      </w:r>
    </w:p>
    <w:p w14:paraId="69A9E35E">
      <w:pPr>
        <w:pStyle w:val="3"/>
        <w:numPr>
          <w:ilvl w:val="0"/>
          <w:numId w:val="0"/>
        </w:numPr>
        <w:ind w:firstLine="280" w:firstLineChars="100"/>
        <w:rPr>
          <w:rFonts w:ascii="Times New Roman" w:hAnsi="Times New Roman"/>
          <w:color w:val="auto"/>
          <w:highlight w:val="none"/>
        </w:rPr>
      </w:pPr>
      <w:r>
        <w:rPr>
          <w:rFonts w:ascii="Times New Roman" w:hAnsi="Times New Roman"/>
          <w:color w:val="auto"/>
          <w:highlight w:val="none"/>
        </w:rPr>
        <w:t>4.1  设计原则</w:t>
      </w:r>
    </w:p>
    <w:p w14:paraId="35846E2E">
      <w:pPr>
        <w:ind w:firstLine="480"/>
        <w:rPr>
          <w:rFonts w:ascii="Times New Roman" w:hAnsi="Times New Roman"/>
          <w:color w:val="auto"/>
          <w:highlight w:val="none"/>
        </w:rPr>
      </w:pPr>
      <w:r>
        <w:rPr>
          <w:rFonts w:ascii="Times New Roman" w:hAnsi="Times New Roman"/>
          <w:color w:val="auto"/>
          <w:highlight w:val="none"/>
        </w:rPr>
        <w:t>新建桥梁长度根据路线地形、旧桥相对位置进行布设，桥梁布置与桥头接线统筹考虑，尽量避免征地拆迁。</w:t>
      </w:r>
    </w:p>
    <w:p w14:paraId="3483BD2B">
      <w:pPr>
        <w:pStyle w:val="3"/>
        <w:numPr>
          <w:ilvl w:val="0"/>
          <w:numId w:val="0"/>
        </w:numPr>
        <w:ind w:firstLine="280" w:firstLineChars="100"/>
        <w:rPr>
          <w:rFonts w:ascii="Times New Roman" w:hAnsi="Times New Roman"/>
          <w:color w:val="auto"/>
          <w:highlight w:val="none"/>
        </w:rPr>
      </w:pPr>
      <w:r>
        <w:rPr>
          <w:rFonts w:ascii="Times New Roman" w:hAnsi="Times New Roman"/>
          <w:color w:val="auto"/>
          <w:highlight w:val="none"/>
        </w:rPr>
        <w:t>4.2  技术规范、标准的选用</w:t>
      </w:r>
    </w:p>
    <w:p w14:paraId="1A0830B9">
      <w:pPr>
        <w:ind w:firstLine="480"/>
        <w:rPr>
          <w:rFonts w:ascii="Times New Roman" w:hAnsi="Times New Roman"/>
          <w:color w:val="auto"/>
          <w:highlight w:val="none"/>
        </w:rPr>
      </w:pPr>
      <w:r>
        <w:rPr>
          <w:rFonts w:ascii="Times New Roman" w:hAnsi="Times New Roman"/>
          <w:color w:val="auto"/>
          <w:kern w:val="0"/>
          <w:szCs w:val="24"/>
          <w:highlight w:val="none"/>
        </w:rPr>
        <w:t>根据《公路危旧桥梁排查和改造技术要求》3.1.1</w:t>
      </w:r>
      <w:r>
        <w:rPr>
          <w:rFonts w:asciiTheme="minorEastAsia" w:hAnsiTheme="minorEastAsia" w:eastAsiaTheme="minorEastAsia"/>
          <w:color w:val="auto"/>
          <w:kern w:val="0"/>
          <w:szCs w:val="24"/>
          <w:highlight w:val="none"/>
        </w:rPr>
        <w:t>条“危</w:t>
      </w:r>
      <w:r>
        <w:rPr>
          <w:rFonts w:ascii="Times New Roman" w:hAnsi="Times New Roman"/>
          <w:color w:val="auto"/>
          <w:kern w:val="0"/>
          <w:szCs w:val="24"/>
          <w:highlight w:val="none"/>
        </w:rPr>
        <w:t>旧桥梁改造设计荷载不得低于原设计荷载等级，等级公路中原设计荷载等级低于</w:t>
      </w:r>
      <w:r>
        <w:rPr>
          <w:rFonts w:ascii="Times New Roman" w:hAnsi="Times New Roman"/>
          <w:color w:val="auto"/>
          <w:highlight w:val="none"/>
        </w:rPr>
        <w:t>公路-</w:t>
      </w:r>
      <w:r>
        <w:rPr>
          <w:rFonts w:ascii="Times New Roman" w:hAnsi="Times New Roman"/>
          <w:color w:val="auto"/>
          <w:highlight w:val="none"/>
        </w:rPr>
        <w:fldChar w:fldCharType="begin"/>
      </w:r>
      <w:r>
        <w:rPr>
          <w:rFonts w:ascii="Times New Roman" w:hAnsi="Times New Roman"/>
          <w:color w:val="auto"/>
          <w:highlight w:val="none"/>
        </w:rPr>
        <w:instrText xml:space="preserve"> = 2 \* ROMAN </w:instrText>
      </w:r>
      <w:r>
        <w:rPr>
          <w:rFonts w:ascii="Times New Roman" w:hAnsi="Times New Roman"/>
          <w:color w:val="auto"/>
          <w:highlight w:val="none"/>
        </w:rPr>
        <w:fldChar w:fldCharType="separate"/>
      </w:r>
      <w:r>
        <w:rPr>
          <w:rFonts w:ascii="Times New Roman" w:hAnsi="Times New Roman"/>
          <w:color w:val="auto"/>
          <w:highlight w:val="none"/>
        </w:rPr>
        <w:t>II</w:t>
      </w:r>
      <w:r>
        <w:rPr>
          <w:rFonts w:ascii="Times New Roman" w:hAnsi="Times New Roman"/>
          <w:color w:val="auto"/>
          <w:highlight w:val="none"/>
        </w:rPr>
        <w:fldChar w:fldCharType="end"/>
      </w:r>
      <w:r>
        <w:rPr>
          <w:rFonts w:ascii="Times New Roman" w:hAnsi="Times New Roman"/>
          <w:color w:val="auto"/>
          <w:highlight w:val="none"/>
        </w:rPr>
        <w:t>级</w:t>
      </w:r>
      <w:r>
        <w:rPr>
          <w:rFonts w:ascii="Times New Roman" w:hAnsi="Times New Roman"/>
          <w:color w:val="auto"/>
          <w:kern w:val="0"/>
          <w:szCs w:val="24"/>
          <w:highlight w:val="none"/>
        </w:rPr>
        <w:t>的，宜以</w:t>
      </w:r>
      <w:r>
        <w:rPr>
          <w:rFonts w:ascii="Times New Roman" w:hAnsi="Times New Roman"/>
          <w:color w:val="auto"/>
          <w:highlight w:val="none"/>
        </w:rPr>
        <w:t>公路-</w:t>
      </w:r>
      <w:r>
        <w:rPr>
          <w:rFonts w:ascii="Times New Roman" w:hAnsi="Times New Roman"/>
          <w:color w:val="auto"/>
          <w:highlight w:val="none"/>
        </w:rPr>
        <w:fldChar w:fldCharType="begin"/>
      </w:r>
      <w:r>
        <w:rPr>
          <w:rFonts w:ascii="Times New Roman" w:hAnsi="Times New Roman"/>
          <w:color w:val="auto"/>
          <w:highlight w:val="none"/>
        </w:rPr>
        <w:instrText xml:space="preserve"> = 2 \* ROMAN </w:instrText>
      </w:r>
      <w:r>
        <w:rPr>
          <w:rFonts w:ascii="Times New Roman" w:hAnsi="Times New Roman"/>
          <w:color w:val="auto"/>
          <w:highlight w:val="none"/>
        </w:rPr>
        <w:fldChar w:fldCharType="separate"/>
      </w:r>
      <w:r>
        <w:rPr>
          <w:rFonts w:ascii="Times New Roman" w:hAnsi="Times New Roman"/>
          <w:color w:val="auto"/>
          <w:highlight w:val="none"/>
        </w:rPr>
        <w:t>II</w:t>
      </w:r>
      <w:r>
        <w:rPr>
          <w:rFonts w:ascii="Times New Roman" w:hAnsi="Times New Roman"/>
          <w:color w:val="auto"/>
          <w:highlight w:val="none"/>
        </w:rPr>
        <w:fldChar w:fldCharType="end"/>
      </w:r>
      <w:r>
        <w:rPr>
          <w:rFonts w:ascii="Times New Roman" w:hAnsi="Times New Roman"/>
          <w:color w:val="auto"/>
          <w:highlight w:val="none"/>
        </w:rPr>
        <w:t>级</w:t>
      </w:r>
      <w:r>
        <w:rPr>
          <w:rFonts w:ascii="Times New Roman" w:hAnsi="Times New Roman"/>
          <w:color w:val="auto"/>
          <w:kern w:val="0"/>
          <w:szCs w:val="24"/>
          <w:highlight w:val="none"/>
        </w:rPr>
        <w:t>或以上荷载等级为标</w:t>
      </w:r>
      <w:r>
        <w:rPr>
          <w:rFonts w:asciiTheme="minorEastAsia" w:hAnsiTheme="minorEastAsia" w:eastAsiaTheme="minorEastAsia"/>
          <w:color w:val="auto"/>
          <w:kern w:val="0"/>
          <w:szCs w:val="24"/>
          <w:highlight w:val="none"/>
        </w:rPr>
        <w:t>准。”拆除</w:t>
      </w:r>
      <w:r>
        <w:rPr>
          <w:rFonts w:ascii="Times New Roman" w:hAnsi="Times New Roman"/>
          <w:color w:val="auto"/>
          <w:highlight w:val="none"/>
        </w:rPr>
        <w:t>重建桥梁的设计荷载应符合现行《公路工程技术标准》的规定。</w:t>
      </w:r>
    </w:p>
    <w:p w14:paraId="4741E9A5">
      <w:pPr>
        <w:ind w:firstLine="480"/>
        <w:rPr>
          <w:rFonts w:ascii="Times New Roman" w:hAnsi="Times New Roman"/>
          <w:color w:val="auto"/>
          <w:highlight w:val="none"/>
        </w:rPr>
      </w:pPr>
      <w:r>
        <w:rPr>
          <w:rFonts w:ascii="Times New Roman" w:hAnsi="Times New Roman"/>
          <w:color w:val="auto"/>
          <w:highlight w:val="none"/>
        </w:rPr>
        <w:t>现该公路等级为四级公路（受地形、地质条件限制的四级路），设计时速为20km/h。</w:t>
      </w:r>
    </w:p>
    <w:p w14:paraId="7F9E945B">
      <w:pPr>
        <w:ind w:firstLine="480"/>
        <w:rPr>
          <w:rFonts w:ascii="Times New Roman" w:hAnsi="Times New Roman"/>
          <w:color w:val="auto"/>
          <w:highlight w:val="none"/>
        </w:rPr>
      </w:pPr>
      <w:r>
        <w:rPr>
          <w:rFonts w:ascii="Times New Roman" w:hAnsi="Times New Roman"/>
          <w:color w:val="auto"/>
          <w:highlight w:val="none"/>
        </w:rPr>
        <w:t>根据《公路工程技术标准》（JTG B01-2014），该桥行车道宽度按时速20km/h的四级公路，</w:t>
      </w:r>
      <w:r>
        <w:rPr>
          <w:rFonts w:hint="eastAsia" w:ascii="Times New Roman" w:hAnsi="Times New Roman"/>
          <w:color w:val="auto"/>
          <w:highlight w:val="none"/>
        </w:rPr>
        <w:t>桥面宽度应为6.5米，但原桥桥面宽度应为8.5米，根据改造后</w:t>
      </w:r>
      <w:r>
        <w:rPr>
          <w:rFonts w:ascii="Times New Roman" w:hAnsi="Times New Roman"/>
          <w:color w:val="auto"/>
          <w:highlight w:val="none"/>
        </w:rPr>
        <w:t>桥</w:t>
      </w:r>
      <w:r>
        <w:rPr>
          <w:rFonts w:hint="eastAsia" w:ascii="Times New Roman" w:hAnsi="Times New Roman"/>
          <w:color w:val="auto"/>
          <w:highlight w:val="none"/>
        </w:rPr>
        <w:t>梁不应低于原桥梁的技术指标原则，故桥面宽度采用8.5米</w:t>
      </w:r>
      <w:r>
        <w:rPr>
          <w:rFonts w:ascii="Times New Roman" w:hAnsi="Times New Roman"/>
          <w:color w:val="auto"/>
          <w:highlight w:val="none"/>
        </w:rPr>
        <w:t>。</w:t>
      </w:r>
    </w:p>
    <w:p w14:paraId="4D5DFA02">
      <w:pPr>
        <w:pStyle w:val="3"/>
        <w:numPr>
          <w:ilvl w:val="0"/>
          <w:numId w:val="0"/>
        </w:numPr>
        <w:ind w:firstLine="280" w:firstLineChars="100"/>
        <w:rPr>
          <w:rFonts w:ascii="Times New Roman" w:hAnsi="Times New Roman"/>
          <w:color w:val="auto"/>
          <w:highlight w:val="none"/>
        </w:rPr>
      </w:pPr>
      <w:r>
        <w:rPr>
          <w:rFonts w:ascii="Times New Roman" w:hAnsi="Times New Roman"/>
          <w:color w:val="auto"/>
          <w:highlight w:val="none"/>
        </w:rPr>
        <w:t>4.3  设计采用的规范、标准</w:t>
      </w:r>
    </w:p>
    <w:p w14:paraId="294CF1AD">
      <w:pPr>
        <w:ind w:firstLine="480"/>
        <w:rPr>
          <w:rFonts w:ascii="Times New Roman" w:hAnsi="Times New Roman"/>
          <w:color w:val="auto"/>
          <w:highlight w:val="none"/>
        </w:rPr>
      </w:pPr>
      <w:bookmarkStart w:id="8" w:name="_Hlk51877619"/>
      <w:r>
        <w:rPr>
          <w:rFonts w:ascii="Times New Roman" w:hAnsi="Times New Roman"/>
          <w:color w:val="auto"/>
          <w:highlight w:val="none"/>
        </w:rPr>
        <w:t>1、《公路工程技术标准》（JTG B01-2014）；</w:t>
      </w:r>
    </w:p>
    <w:p w14:paraId="07E03040">
      <w:pPr>
        <w:ind w:firstLine="480"/>
        <w:rPr>
          <w:rFonts w:ascii="Times New Roman" w:hAnsi="Times New Roman"/>
          <w:color w:val="auto"/>
          <w:highlight w:val="none"/>
        </w:rPr>
      </w:pPr>
      <w:r>
        <w:rPr>
          <w:rFonts w:ascii="Times New Roman" w:hAnsi="Times New Roman"/>
          <w:color w:val="auto"/>
          <w:highlight w:val="none"/>
        </w:rPr>
        <w:t>2、《公路桥涵设计通用规范》（JTG D60-2015）；</w:t>
      </w:r>
    </w:p>
    <w:p w14:paraId="3EA7B5C8">
      <w:pPr>
        <w:ind w:firstLine="480"/>
        <w:rPr>
          <w:rFonts w:ascii="Times New Roman" w:hAnsi="Times New Roman"/>
          <w:color w:val="auto"/>
          <w:highlight w:val="none"/>
        </w:rPr>
      </w:pPr>
      <w:r>
        <w:rPr>
          <w:rFonts w:ascii="Times New Roman" w:hAnsi="Times New Roman"/>
          <w:color w:val="auto"/>
          <w:highlight w:val="none"/>
        </w:rPr>
        <w:t>3、《公路钢筋混凝土及预应力混凝土桥涵设计规范》（JTG 3362-2018）；</w:t>
      </w:r>
    </w:p>
    <w:p w14:paraId="42F58BC7">
      <w:pPr>
        <w:ind w:firstLine="480"/>
        <w:rPr>
          <w:rFonts w:ascii="Times New Roman" w:hAnsi="Times New Roman"/>
          <w:color w:val="auto"/>
          <w:highlight w:val="none"/>
        </w:rPr>
      </w:pPr>
      <w:r>
        <w:rPr>
          <w:rFonts w:ascii="Times New Roman" w:hAnsi="Times New Roman"/>
          <w:color w:val="auto"/>
          <w:highlight w:val="none"/>
        </w:rPr>
        <w:t>4、《公路桥涵施工技术规范》(JTG/T 3650-2020)；</w:t>
      </w:r>
    </w:p>
    <w:p w14:paraId="61002E21">
      <w:pPr>
        <w:ind w:firstLine="480"/>
        <w:rPr>
          <w:rFonts w:ascii="Times New Roman" w:hAnsi="Times New Roman"/>
          <w:color w:val="auto"/>
          <w:highlight w:val="none"/>
        </w:rPr>
      </w:pPr>
      <w:r>
        <w:rPr>
          <w:rFonts w:ascii="Times New Roman" w:hAnsi="Times New Roman"/>
          <w:color w:val="auto"/>
          <w:highlight w:val="none"/>
        </w:rPr>
        <w:t>5、《公路桥涵地基与基础设计规范》（JTG 3363-2019）；</w:t>
      </w:r>
    </w:p>
    <w:p w14:paraId="5EF683D9">
      <w:pPr>
        <w:ind w:firstLine="480"/>
        <w:rPr>
          <w:rFonts w:ascii="Times New Roman" w:hAnsi="Times New Roman"/>
          <w:color w:val="auto"/>
          <w:highlight w:val="none"/>
        </w:rPr>
      </w:pPr>
      <w:r>
        <w:rPr>
          <w:rFonts w:ascii="Times New Roman" w:hAnsi="Times New Roman"/>
          <w:color w:val="auto"/>
          <w:highlight w:val="none"/>
        </w:rPr>
        <w:t>6、《公路交通安全设施设计》（JTG/T D81-2017）等。</w:t>
      </w:r>
    </w:p>
    <w:p w14:paraId="322D1032">
      <w:pPr>
        <w:ind w:firstLine="480"/>
        <w:rPr>
          <w:rFonts w:ascii="Times New Roman" w:hAnsi="Times New Roman"/>
          <w:color w:val="auto"/>
          <w:highlight w:val="none"/>
        </w:rPr>
      </w:pPr>
      <w:r>
        <w:rPr>
          <w:rFonts w:ascii="Times New Roman" w:hAnsi="Times New Roman"/>
          <w:color w:val="auto"/>
          <w:highlight w:val="none"/>
        </w:rPr>
        <w:t>未提及的规范、标准，均按现行规范、标准执行。</w:t>
      </w:r>
    </w:p>
    <w:bookmarkEnd w:id="8"/>
    <w:p w14:paraId="05D32B61">
      <w:pPr>
        <w:pStyle w:val="3"/>
        <w:numPr>
          <w:ilvl w:val="0"/>
          <w:numId w:val="0"/>
        </w:numPr>
        <w:ind w:firstLine="280" w:firstLineChars="100"/>
        <w:rPr>
          <w:rFonts w:ascii="Times New Roman" w:hAnsi="Times New Roman"/>
          <w:color w:val="auto"/>
          <w:highlight w:val="none"/>
        </w:rPr>
      </w:pPr>
      <w:r>
        <w:rPr>
          <w:rFonts w:ascii="Times New Roman" w:hAnsi="Times New Roman"/>
          <w:color w:val="auto"/>
          <w:highlight w:val="none"/>
        </w:rPr>
        <w:t>4.4  主要设计技术指标</w:t>
      </w:r>
    </w:p>
    <w:p w14:paraId="1133DA38">
      <w:pPr>
        <w:pStyle w:val="49"/>
        <w:numPr>
          <w:ilvl w:val="0"/>
          <w:numId w:val="6"/>
        </w:numPr>
        <w:ind w:firstLineChars="0"/>
        <w:rPr>
          <w:rFonts w:ascii="Times New Roman" w:hAnsi="Times New Roman"/>
          <w:color w:val="auto"/>
          <w:highlight w:val="none"/>
        </w:rPr>
      </w:pPr>
      <w:r>
        <w:rPr>
          <w:rFonts w:ascii="Times New Roman" w:hAnsi="Times New Roman"/>
          <w:color w:val="auto"/>
          <w:highlight w:val="none"/>
        </w:rPr>
        <w:t>公路等级：</w:t>
      </w:r>
      <w:r>
        <w:rPr>
          <w:rFonts w:hint="eastAsia" w:ascii="Times New Roman" w:hAnsi="Times New Roman"/>
          <w:color w:val="auto"/>
          <w:highlight w:val="none"/>
        </w:rPr>
        <w:t>四</w:t>
      </w:r>
      <w:r>
        <w:rPr>
          <w:rFonts w:ascii="Times New Roman" w:hAnsi="Times New Roman"/>
          <w:color w:val="auto"/>
          <w:highlight w:val="none"/>
        </w:rPr>
        <w:t>级公路；</w:t>
      </w:r>
    </w:p>
    <w:p w14:paraId="0D474FBE">
      <w:pPr>
        <w:pStyle w:val="49"/>
        <w:numPr>
          <w:ilvl w:val="0"/>
          <w:numId w:val="6"/>
        </w:numPr>
        <w:ind w:firstLineChars="0"/>
        <w:rPr>
          <w:rFonts w:ascii="Times New Roman" w:hAnsi="Times New Roman"/>
          <w:color w:val="auto"/>
          <w:highlight w:val="none"/>
        </w:rPr>
      </w:pPr>
      <w:r>
        <w:rPr>
          <w:rFonts w:ascii="Times New Roman" w:hAnsi="Times New Roman"/>
          <w:color w:val="auto"/>
          <w:highlight w:val="none"/>
        </w:rPr>
        <w:t>路基宽度：</w:t>
      </w:r>
      <w:r>
        <w:rPr>
          <w:rFonts w:hint="eastAsia" w:ascii="Times New Roman" w:hAnsi="Times New Roman"/>
          <w:color w:val="auto"/>
          <w:spacing w:val="20"/>
          <w:highlight w:val="none"/>
        </w:rPr>
        <w:t>8.5</w:t>
      </w:r>
      <w:r>
        <w:rPr>
          <w:rFonts w:ascii="Times New Roman" w:hAnsi="Times New Roman"/>
          <w:color w:val="auto"/>
          <w:spacing w:val="20"/>
          <w:highlight w:val="none"/>
        </w:rPr>
        <w:t>m</w:t>
      </w:r>
      <w:r>
        <w:rPr>
          <w:rFonts w:ascii="Times New Roman" w:hAnsi="Times New Roman"/>
          <w:color w:val="auto"/>
          <w:highlight w:val="none"/>
        </w:rPr>
        <w:t>；</w:t>
      </w:r>
    </w:p>
    <w:p w14:paraId="03CAE4C0">
      <w:pPr>
        <w:ind w:firstLine="480"/>
        <w:rPr>
          <w:rFonts w:ascii="Times New Roman" w:hAnsi="Times New Roman"/>
          <w:color w:val="auto"/>
          <w:highlight w:val="none"/>
        </w:rPr>
      </w:pPr>
      <w:r>
        <w:rPr>
          <w:rFonts w:ascii="Times New Roman" w:hAnsi="Times New Roman"/>
          <w:color w:val="auto"/>
          <w:highlight w:val="none"/>
        </w:rPr>
        <w:t>3、设计速度：</w:t>
      </w:r>
      <w:r>
        <w:rPr>
          <w:rFonts w:hint="eastAsia" w:ascii="Times New Roman" w:hAnsi="Times New Roman"/>
          <w:color w:val="auto"/>
          <w:highlight w:val="none"/>
        </w:rPr>
        <w:t>20</w:t>
      </w:r>
      <w:r>
        <w:rPr>
          <w:rFonts w:ascii="Times New Roman" w:hAnsi="Times New Roman"/>
          <w:color w:val="auto"/>
          <w:highlight w:val="none"/>
        </w:rPr>
        <w:t>km/h；</w:t>
      </w:r>
    </w:p>
    <w:p w14:paraId="19B63A1F">
      <w:pPr>
        <w:ind w:firstLine="480"/>
        <w:rPr>
          <w:rFonts w:ascii="Times New Roman" w:hAnsi="Times New Roman"/>
          <w:color w:val="auto"/>
          <w:highlight w:val="none"/>
        </w:rPr>
      </w:pPr>
      <w:r>
        <w:rPr>
          <w:rFonts w:ascii="Times New Roman" w:hAnsi="Times New Roman"/>
          <w:color w:val="auto"/>
          <w:highlight w:val="none"/>
        </w:rPr>
        <w:t>4、设计荷载：公路-</w:t>
      </w:r>
      <w:r>
        <w:rPr>
          <w:rFonts w:hint="eastAsia" w:ascii="Times New Roman" w:hAnsi="Times New Roman"/>
          <w:color w:val="auto"/>
          <w:highlight w:val="none"/>
        </w:rPr>
        <w:t>II</w:t>
      </w:r>
      <w:r>
        <w:rPr>
          <w:rFonts w:ascii="Times New Roman" w:hAnsi="Times New Roman"/>
          <w:color w:val="auto"/>
          <w:highlight w:val="none"/>
        </w:rPr>
        <w:t>级；</w:t>
      </w:r>
    </w:p>
    <w:p w14:paraId="7EE07CB7">
      <w:pPr>
        <w:ind w:firstLine="480"/>
        <w:rPr>
          <w:rFonts w:ascii="Times New Roman" w:hAnsi="Times New Roman"/>
          <w:color w:val="auto"/>
          <w:highlight w:val="none"/>
        </w:rPr>
      </w:pPr>
      <w:r>
        <w:rPr>
          <w:rFonts w:ascii="Times New Roman" w:hAnsi="Times New Roman"/>
          <w:color w:val="auto"/>
          <w:highlight w:val="none"/>
        </w:rPr>
        <w:t>5、桥梁宽度：0.50</w:t>
      </w:r>
      <w:r>
        <w:rPr>
          <w:rFonts w:hint="eastAsia" w:ascii="Times New Roman" w:hAnsi="Times New Roman"/>
          <w:color w:val="auto"/>
          <w:highlight w:val="none"/>
        </w:rPr>
        <w:t>（</w:t>
      </w:r>
      <w:r>
        <w:rPr>
          <w:rFonts w:ascii="Times New Roman" w:hAnsi="Times New Roman"/>
          <w:color w:val="auto"/>
          <w:highlight w:val="none"/>
        </w:rPr>
        <w:t>防撞护栏</w:t>
      </w:r>
      <w:r>
        <w:rPr>
          <w:rFonts w:hint="eastAsia" w:ascii="Times New Roman" w:hAnsi="Times New Roman"/>
          <w:color w:val="auto"/>
          <w:highlight w:val="none"/>
        </w:rPr>
        <w:t>）</w:t>
      </w:r>
      <w:r>
        <w:rPr>
          <w:rFonts w:ascii="Times New Roman" w:hAnsi="Times New Roman"/>
          <w:color w:val="auto"/>
          <w:highlight w:val="none"/>
        </w:rPr>
        <w:t>+</w:t>
      </w:r>
      <w:r>
        <w:rPr>
          <w:rFonts w:hint="eastAsia" w:ascii="Times New Roman" w:hAnsi="Times New Roman"/>
          <w:color w:val="auto"/>
          <w:highlight w:val="none"/>
        </w:rPr>
        <w:t>7.5</w:t>
      </w:r>
      <w:r>
        <w:rPr>
          <w:rFonts w:ascii="Times New Roman" w:hAnsi="Times New Roman"/>
          <w:color w:val="auto"/>
          <w:highlight w:val="none"/>
        </w:rPr>
        <w:t>m</w:t>
      </w:r>
      <w:r>
        <w:rPr>
          <w:rFonts w:hint="eastAsia" w:ascii="Times New Roman" w:hAnsi="Times New Roman"/>
          <w:color w:val="auto"/>
          <w:highlight w:val="none"/>
        </w:rPr>
        <w:t>（</w:t>
      </w:r>
      <w:r>
        <w:rPr>
          <w:rFonts w:ascii="Times New Roman" w:hAnsi="Times New Roman"/>
          <w:color w:val="auto"/>
          <w:highlight w:val="none"/>
        </w:rPr>
        <w:t>行车道</w:t>
      </w:r>
      <w:r>
        <w:rPr>
          <w:rFonts w:hint="eastAsia" w:ascii="Times New Roman" w:hAnsi="Times New Roman"/>
          <w:color w:val="auto"/>
          <w:highlight w:val="none"/>
        </w:rPr>
        <w:t>）+</w:t>
      </w:r>
      <w:r>
        <w:rPr>
          <w:rFonts w:ascii="Times New Roman" w:hAnsi="Times New Roman"/>
          <w:color w:val="auto"/>
          <w:highlight w:val="none"/>
        </w:rPr>
        <w:t>0.50</w:t>
      </w:r>
      <w:r>
        <w:rPr>
          <w:rFonts w:hint="eastAsia" w:ascii="Times New Roman" w:hAnsi="Times New Roman"/>
          <w:color w:val="auto"/>
          <w:highlight w:val="none"/>
        </w:rPr>
        <w:t>（</w:t>
      </w:r>
      <w:r>
        <w:rPr>
          <w:rFonts w:ascii="Times New Roman" w:hAnsi="Times New Roman"/>
          <w:color w:val="auto"/>
          <w:highlight w:val="none"/>
        </w:rPr>
        <w:t>防撞护栏</w:t>
      </w:r>
      <w:r>
        <w:rPr>
          <w:rFonts w:hint="eastAsia" w:ascii="Times New Roman" w:hAnsi="Times New Roman"/>
          <w:color w:val="auto"/>
          <w:highlight w:val="none"/>
        </w:rPr>
        <w:t>）</w:t>
      </w:r>
      <w:r>
        <w:rPr>
          <w:rFonts w:ascii="Times New Roman" w:hAnsi="Times New Roman"/>
          <w:color w:val="auto"/>
          <w:highlight w:val="none"/>
        </w:rPr>
        <w:t>=</w:t>
      </w:r>
      <w:r>
        <w:rPr>
          <w:rFonts w:hint="eastAsia" w:ascii="Times New Roman" w:hAnsi="Times New Roman"/>
          <w:color w:val="auto"/>
          <w:highlight w:val="none"/>
        </w:rPr>
        <w:t>8.5</w:t>
      </w:r>
      <w:r>
        <w:rPr>
          <w:rFonts w:ascii="Times New Roman" w:hAnsi="Times New Roman"/>
          <w:color w:val="auto"/>
          <w:highlight w:val="none"/>
        </w:rPr>
        <w:t>m；</w:t>
      </w:r>
    </w:p>
    <w:p w14:paraId="051D874C">
      <w:pPr>
        <w:ind w:firstLine="480"/>
        <w:rPr>
          <w:rFonts w:ascii="Times New Roman" w:hAnsi="Times New Roman"/>
          <w:color w:val="auto"/>
          <w:highlight w:val="none"/>
        </w:rPr>
      </w:pPr>
      <w:r>
        <w:rPr>
          <w:rFonts w:ascii="Times New Roman" w:hAnsi="Times New Roman"/>
          <w:color w:val="auto"/>
          <w:highlight w:val="none"/>
        </w:rPr>
        <w:t>6、通航情况：不通航；</w:t>
      </w:r>
    </w:p>
    <w:p w14:paraId="58DC2A2D">
      <w:pPr>
        <w:ind w:firstLine="480"/>
        <w:rPr>
          <w:rFonts w:ascii="Times New Roman" w:hAnsi="Times New Roman"/>
          <w:color w:val="auto"/>
          <w:highlight w:val="none"/>
        </w:rPr>
      </w:pPr>
      <w:r>
        <w:rPr>
          <w:rFonts w:ascii="Times New Roman" w:hAnsi="Times New Roman"/>
          <w:color w:val="auto"/>
          <w:highlight w:val="none"/>
        </w:rPr>
        <w:t>7、设计洪水频率：1/</w:t>
      </w:r>
      <w:r>
        <w:rPr>
          <w:rFonts w:hint="eastAsia" w:ascii="Times New Roman" w:hAnsi="Times New Roman"/>
          <w:color w:val="auto"/>
          <w:highlight w:val="none"/>
        </w:rPr>
        <w:t>25</w:t>
      </w:r>
      <w:r>
        <w:rPr>
          <w:rFonts w:ascii="Times New Roman" w:hAnsi="Times New Roman"/>
          <w:color w:val="auto"/>
          <w:highlight w:val="none"/>
        </w:rPr>
        <w:t>；</w:t>
      </w:r>
    </w:p>
    <w:p w14:paraId="114AE9B3">
      <w:pPr>
        <w:ind w:firstLine="480"/>
        <w:rPr>
          <w:rFonts w:ascii="Times New Roman" w:hAnsi="Times New Roman"/>
          <w:color w:val="auto"/>
          <w:highlight w:val="none"/>
        </w:rPr>
      </w:pPr>
      <w:r>
        <w:rPr>
          <w:rFonts w:ascii="Times New Roman" w:hAnsi="Times New Roman"/>
          <w:color w:val="auto"/>
          <w:highlight w:val="none"/>
        </w:rPr>
        <w:t>8、结构设计基准期：100年；</w:t>
      </w:r>
    </w:p>
    <w:p w14:paraId="01F43A58">
      <w:pPr>
        <w:ind w:firstLine="480"/>
        <w:rPr>
          <w:rFonts w:ascii="Times New Roman" w:hAnsi="Times New Roman"/>
          <w:color w:val="auto"/>
          <w:highlight w:val="none"/>
        </w:rPr>
      </w:pPr>
      <w:r>
        <w:rPr>
          <w:rFonts w:ascii="Times New Roman" w:hAnsi="Times New Roman"/>
          <w:color w:val="auto"/>
          <w:highlight w:val="none"/>
        </w:rPr>
        <w:t>9、设计使用年限：主体结构30年，可更换部件15年；</w:t>
      </w:r>
    </w:p>
    <w:p w14:paraId="116EEBEF">
      <w:pPr>
        <w:ind w:firstLine="480" w:firstLineChars="200"/>
        <w:rPr>
          <w:rFonts w:ascii="Times New Roman" w:hAnsi="Times New Roman"/>
          <w:color w:val="auto"/>
          <w:highlight w:val="none"/>
        </w:rPr>
      </w:pPr>
      <w:r>
        <w:rPr>
          <w:rFonts w:ascii="Times New Roman" w:hAnsi="Times New Roman"/>
          <w:color w:val="auto"/>
          <w:highlight w:val="none"/>
        </w:rPr>
        <w:t>10、结构设计安全等级：</w:t>
      </w:r>
      <w:r>
        <w:rPr>
          <w:rFonts w:hint="eastAsia" w:ascii="Times New Roman" w:hAnsi="Times New Roman"/>
          <w:color w:val="auto"/>
          <w:highlight w:val="none"/>
        </w:rPr>
        <w:t>二</w:t>
      </w:r>
      <w:r>
        <w:rPr>
          <w:rFonts w:ascii="Times New Roman" w:hAnsi="Times New Roman"/>
          <w:color w:val="auto"/>
          <w:highlight w:val="none"/>
        </w:rPr>
        <w:t>级；</w:t>
      </w:r>
    </w:p>
    <w:p w14:paraId="675DD883">
      <w:pPr>
        <w:ind w:firstLine="480" w:firstLineChars="200"/>
        <w:rPr>
          <w:rFonts w:ascii="Times New Roman" w:hAnsi="Times New Roman"/>
          <w:color w:val="auto"/>
          <w:highlight w:val="none"/>
        </w:rPr>
      </w:pPr>
      <w:r>
        <w:rPr>
          <w:rFonts w:ascii="Times New Roman" w:hAnsi="Times New Roman"/>
          <w:color w:val="auto"/>
          <w:highlight w:val="none"/>
        </w:rPr>
        <w:t>11、结构抗震设防措施等级：二级。</w:t>
      </w:r>
    </w:p>
    <w:p w14:paraId="1647FC46">
      <w:pPr>
        <w:pStyle w:val="3"/>
        <w:numPr>
          <w:ilvl w:val="0"/>
          <w:numId w:val="0"/>
        </w:numPr>
        <w:spacing w:before="72"/>
        <w:ind w:left="261"/>
        <w:rPr>
          <w:rFonts w:ascii="Times New Roman" w:hAnsi="Times New Roman"/>
          <w:color w:val="auto"/>
          <w:highlight w:val="none"/>
        </w:rPr>
      </w:pPr>
      <w:r>
        <w:rPr>
          <w:rFonts w:ascii="Times New Roman" w:hAnsi="Times New Roman"/>
          <w:color w:val="auto"/>
          <w:highlight w:val="none"/>
        </w:rPr>
        <w:t>4.4  桥梁改造方案</w:t>
      </w:r>
    </w:p>
    <w:p w14:paraId="62A5C55F">
      <w:pPr>
        <w:pStyle w:val="4"/>
        <w:spacing w:before="72"/>
        <w:ind w:firstLine="482"/>
        <w:rPr>
          <w:color w:val="auto"/>
          <w:highlight w:val="none"/>
        </w:rPr>
      </w:pPr>
      <w:r>
        <w:rPr>
          <w:color w:val="auto"/>
          <w:highlight w:val="none"/>
        </w:rPr>
        <w:t>4.4.1  改造方案</w:t>
      </w:r>
    </w:p>
    <w:p w14:paraId="0C91B358">
      <w:pPr>
        <w:ind w:firstLine="480"/>
        <w:rPr>
          <w:rFonts w:ascii="Times New Roman" w:hAnsi="Times New Roman"/>
          <w:color w:val="auto"/>
          <w:highlight w:val="none"/>
        </w:rPr>
      </w:pPr>
      <w:r>
        <w:rPr>
          <w:rFonts w:ascii="Times New Roman" w:hAnsi="Times New Roman" w:eastAsiaTheme="minorEastAsia"/>
          <w:color w:val="auto"/>
          <w:kern w:val="0"/>
          <w:szCs w:val="24"/>
          <w:highlight w:val="none"/>
        </w:rPr>
        <w:t>根据《检测报告》，该桥的总体技术状况等级为</w:t>
      </w:r>
      <w:r>
        <w:rPr>
          <w:rFonts w:hint="eastAsia" w:ascii="Times New Roman" w:hAnsi="Times New Roman" w:eastAsiaTheme="minorEastAsia"/>
          <w:color w:val="auto"/>
          <w:kern w:val="0"/>
          <w:szCs w:val="24"/>
          <w:highlight w:val="none"/>
        </w:rPr>
        <w:t>5</w:t>
      </w:r>
      <w:r>
        <w:rPr>
          <w:rFonts w:ascii="Times New Roman" w:hAnsi="Times New Roman" w:eastAsiaTheme="minorEastAsia"/>
          <w:color w:val="auto"/>
          <w:kern w:val="0"/>
          <w:szCs w:val="24"/>
          <w:highlight w:val="none"/>
        </w:rPr>
        <w:t xml:space="preserve">类，根据《公路桥涵养护规范》（JTG </w:t>
      </w:r>
      <w:r>
        <w:rPr>
          <w:rFonts w:hint="eastAsia" w:ascii="Times New Roman" w:hAnsi="Times New Roman" w:eastAsiaTheme="minorEastAsia"/>
          <w:color w:val="auto"/>
          <w:kern w:val="0"/>
          <w:szCs w:val="24"/>
          <w:highlight w:val="none"/>
        </w:rPr>
        <w:t>5120</w:t>
      </w:r>
      <w:r>
        <w:rPr>
          <w:rFonts w:ascii="Times New Roman" w:hAnsi="Times New Roman" w:eastAsiaTheme="minorEastAsia"/>
          <w:color w:val="auto"/>
          <w:kern w:val="0"/>
          <w:szCs w:val="24"/>
          <w:highlight w:val="none"/>
        </w:rPr>
        <w:t>-20</w:t>
      </w:r>
      <w:r>
        <w:rPr>
          <w:rFonts w:hint="eastAsia" w:ascii="Times New Roman" w:hAnsi="Times New Roman" w:eastAsiaTheme="minorEastAsia"/>
          <w:color w:val="auto"/>
          <w:kern w:val="0"/>
          <w:szCs w:val="24"/>
          <w:highlight w:val="none"/>
        </w:rPr>
        <w:t>21</w:t>
      </w:r>
      <w:r>
        <w:rPr>
          <w:rFonts w:ascii="Times New Roman" w:hAnsi="Times New Roman" w:eastAsiaTheme="minorEastAsia"/>
          <w:color w:val="auto"/>
          <w:kern w:val="0"/>
          <w:szCs w:val="24"/>
          <w:highlight w:val="none"/>
        </w:rPr>
        <w:t>）第3.</w:t>
      </w:r>
      <w:r>
        <w:rPr>
          <w:rFonts w:hint="eastAsia" w:ascii="Times New Roman" w:hAnsi="Times New Roman" w:eastAsiaTheme="minorEastAsia"/>
          <w:color w:val="auto"/>
          <w:kern w:val="0"/>
          <w:szCs w:val="24"/>
          <w:highlight w:val="none"/>
        </w:rPr>
        <w:t>8.3</w:t>
      </w:r>
      <w:r>
        <w:rPr>
          <w:rFonts w:ascii="Times New Roman" w:hAnsi="Times New Roman" w:eastAsiaTheme="minorEastAsia"/>
          <w:color w:val="auto"/>
          <w:kern w:val="0"/>
          <w:szCs w:val="24"/>
          <w:highlight w:val="none"/>
        </w:rPr>
        <w:t>条的规定，养护对策为</w:t>
      </w:r>
      <w:r>
        <w:rPr>
          <w:rFonts w:asciiTheme="minorEastAsia" w:hAnsiTheme="minorEastAsia" w:eastAsiaTheme="minorEastAsia"/>
          <w:color w:val="auto"/>
          <w:kern w:val="0"/>
          <w:szCs w:val="24"/>
          <w:highlight w:val="none"/>
        </w:rPr>
        <w:t>“</w:t>
      </w:r>
      <w:r>
        <w:rPr>
          <w:rFonts w:hint="eastAsia" w:asciiTheme="minorEastAsia" w:hAnsiTheme="minorEastAsia" w:eastAsiaTheme="minorEastAsia"/>
          <w:color w:val="auto"/>
          <w:kern w:val="0"/>
          <w:szCs w:val="24"/>
          <w:highlight w:val="none"/>
        </w:rPr>
        <w:t>及时封闭交通，改建或重建</w:t>
      </w:r>
      <w:r>
        <w:rPr>
          <w:rFonts w:asciiTheme="minorEastAsia" w:hAnsiTheme="minorEastAsia" w:eastAsiaTheme="minorEastAsia"/>
          <w:color w:val="auto"/>
          <w:kern w:val="0"/>
          <w:szCs w:val="24"/>
          <w:highlight w:val="none"/>
        </w:rPr>
        <w:t>”</w:t>
      </w:r>
      <w:r>
        <w:rPr>
          <w:rFonts w:ascii="Times New Roman" w:hAnsi="Times New Roman" w:eastAsiaTheme="minorEastAsia"/>
          <w:color w:val="auto"/>
          <w:kern w:val="0"/>
          <w:szCs w:val="24"/>
          <w:highlight w:val="none"/>
        </w:rPr>
        <w:t>，但由于该桥</w:t>
      </w:r>
      <w:r>
        <w:rPr>
          <w:rFonts w:hint="eastAsia" w:ascii="Times New Roman" w:hAnsi="Times New Roman"/>
          <w:color w:val="auto"/>
          <w:highlight w:val="none"/>
        </w:rPr>
        <w:t>相关图纸缺失，无</w:t>
      </w:r>
      <w:r>
        <w:rPr>
          <w:rFonts w:ascii="Times New Roman" w:hAnsi="Times New Roman"/>
          <w:color w:val="auto"/>
          <w:highlight w:val="none"/>
        </w:rPr>
        <w:t>对应的相关规范、标准。</w:t>
      </w:r>
      <w:r>
        <w:rPr>
          <w:rFonts w:ascii="Times New Roman" w:hAnsi="Times New Roman" w:eastAsiaTheme="minorEastAsia"/>
          <w:color w:val="auto"/>
          <w:kern w:val="0"/>
          <w:szCs w:val="24"/>
          <w:highlight w:val="none"/>
        </w:rPr>
        <w:t>从</w:t>
      </w:r>
      <w:r>
        <w:rPr>
          <w:rFonts w:hint="eastAsia" w:ascii="Times New Roman" w:hAnsi="Times New Roman" w:eastAsiaTheme="minorEastAsia"/>
          <w:color w:val="auto"/>
          <w:kern w:val="0"/>
          <w:szCs w:val="24"/>
          <w:highlight w:val="none"/>
        </w:rPr>
        <w:t>项目业主要求</w:t>
      </w:r>
      <w:r>
        <w:rPr>
          <w:rFonts w:ascii="Times New Roman" w:hAnsi="Times New Roman" w:eastAsiaTheme="minorEastAsia"/>
          <w:color w:val="auto"/>
          <w:kern w:val="0"/>
          <w:szCs w:val="24"/>
          <w:highlight w:val="none"/>
        </w:rPr>
        <w:t>和安全性考虑，拟拆除重建桥梁：</w:t>
      </w:r>
    </w:p>
    <w:p w14:paraId="4C99E4AD">
      <w:pPr>
        <w:ind w:firstLine="482"/>
        <w:rPr>
          <w:rFonts w:ascii="Times New Roman" w:hAnsi="Times New Roman"/>
          <w:b/>
          <w:color w:val="auto"/>
          <w:highlight w:val="none"/>
        </w:rPr>
      </w:pPr>
      <w:r>
        <w:rPr>
          <w:rFonts w:ascii="Times New Roman" w:hAnsi="Times New Roman"/>
          <w:b/>
          <w:color w:val="auto"/>
          <w:highlight w:val="none"/>
        </w:rPr>
        <w:t>方案一：该方案为拆除新建：上部结构采用</w:t>
      </w:r>
      <w:r>
        <w:rPr>
          <w:rFonts w:hint="eastAsia" w:ascii="Times New Roman" w:hAnsi="Times New Roman"/>
          <w:b/>
          <w:color w:val="auto"/>
          <w:highlight w:val="none"/>
        </w:rPr>
        <w:t>2</w:t>
      </w:r>
      <w:r>
        <w:rPr>
          <w:rFonts w:ascii="Times New Roman" w:hAnsi="Times New Roman"/>
          <w:b/>
          <w:color w:val="auto"/>
          <w:highlight w:val="none"/>
        </w:rPr>
        <w:t>×1</w:t>
      </w:r>
      <w:r>
        <w:rPr>
          <w:rFonts w:hint="eastAsia" w:ascii="Times New Roman" w:hAnsi="Times New Roman"/>
          <w:b/>
          <w:color w:val="auto"/>
          <w:highlight w:val="none"/>
        </w:rPr>
        <w:t>3现浇</w:t>
      </w:r>
      <w:r>
        <w:rPr>
          <w:rFonts w:ascii="Times New Roman" w:hAnsi="Times New Roman"/>
          <w:b/>
          <w:color w:val="auto"/>
          <w:highlight w:val="none"/>
        </w:rPr>
        <w:t>简支</w:t>
      </w:r>
      <w:r>
        <w:rPr>
          <w:rFonts w:hint="eastAsia" w:ascii="Times New Roman" w:hAnsi="Times New Roman"/>
          <w:b/>
          <w:color w:val="auto"/>
          <w:highlight w:val="none"/>
        </w:rPr>
        <w:t>钢筋混凝土空心板</w:t>
      </w:r>
      <w:r>
        <w:rPr>
          <w:rFonts w:ascii="Times New Roman" w:hAnsi="Times New Roman"/>
          <w:b/>
          <w:color w:val="auto"/>
          <w:highlight w:val="none"/>
        </w:rPr>
        <w:t>，桥梁总长</w:t>
      </w:r>
      <w:r>
        <w:rPr>
          <w:rFonts w:hint="eastAsia" w:ascii="Times New Roman" w:hAnsi="Times New Roman"/>
          <w:b/>
          <w:color w:val="auto"/>
          <w:highlight w:val="none"/>
        </w:rPr>
        <w:t>32</w:t>
      </w:r>
      <w:r>
        <w:rPr>
          <w:rFonts w:ascii="Times New Roman" w:hAnsi="Times New Roman"/>
          <w:b/>
          <w:color w:val="auto"/>
          <w:highlight w:val="none"/>
        </w:rPr>
        <w:t>m；下部结构桥台采用</w:t>
      </w:r>
      <w:r>
        <w:rPr>
          <w:rFonts w:hint="eastAsia" w:ascii="Times New Roman" w:hAnsi="Times New Roman"/>
          <w:b/>
          <w:color w:val="auto"/>
          <w:highlight w:val="none"/>
        </w:rPr>
        <w:t>桩柱</w:t>
      </w:r>
      <w:r>
        <w:rPr>
          <w:rFonts w:ascii="Times New Roman" w:hAnsi="Times New Roman"/>
          <w:b/>
          <w:color w:val="auto"/>
          <w:highlight w:val="none"/>
        </w:rPr>
        <w:t>桥台</w:t>
      </w:r>
      <w:r>
        <w:rPr>
          <w:rFonts w:hint="eastAsia" w:ascii="Times New Roman" w:hAnsi="Times New Roman"/>
          <w:b/>
          <w:color w:val="auto"/>
          <w:highlight w:val="none"/>
        </w:rPr>
        <w:t>，桥墩采用双柱式桥墩</w:t>
      </w:r>
      <w:r>
        <w:rPr>
          <w:rFonts w:ascii="Times New Roman" w:hAnsi="Times New Roman"/>
          <w:b/>
          <w:color w:val="auto"/>
          <w:highlight w:val="none"/>
        </w:rPr>
        <w:t>。</w:t>
      </w:r>
    </w:p>
    <w:p w14:paraId="46E6930B">
      <w:pPr>
        <w:ind w:firstLine="482"/>
        <w:rPr>
          <w:rFonts w:ascii="Times New Roman" w:hAnsi="Times New Roman"/>
          <w:b/>
          <w:color w:val="auto"/>
          <w:highlight w:val="none"/>
        </w:rPr>
      </w:pPr>
      <w:r>
        <w:rPr>
          <w:rFonts w:ascii="Times New Roman" w:hAnsi="Times New Roman"/>
          <w:b/>
          <w:color w:val="auto"/>
          <w:highlight w:val="none"/>
        </w:rPr>
        <w:t>方案二：该方案为拆除新建：上部结构采用</w:t>
      </w:r>
      <w:r>
        <w:rPr>
          <w:rFonts w:hint="eastAsia" w:ascii="Times New Roman" w:hAnsi="Times New Roman"/>
          <w:b/>
          <w:color w:val="auto"/>
          <w:highlight w:val="none"/>
        </w:rPr>
        <w:t>2</w:t>
      </w:r>
      <w:r>
        <w:rPr>
          <w:rFonts w:ascii="Times New Roman" w:hAnsi="Times New Roman"/>
          <w:b/>
          <w:color w:val="auto"/>
          <w:highlight w:val="none"/>
        </w:rPr>
        <w:t>×1</w:t>
      </w:r>
      <w:r>
        <w:rPr>
          <w:rFonts w:hint="eastAsia" w:ascii="Times New Roman" w:hAnsi="Times New Roman"/>
          <w:b/>
          <w:color w:val="auto"/>
          <w:highlight w:val="none"/>
        </w:rPr>
        <w:t>3预制</w:t>
      </w:r>
      <w:r>
        <w:rPr>
          <w:rFonts w:ascii="Times New Roman" w:hAnsi="Times New Roman"/>
          <w:b/>
          <w:color w:val="auto"/>
          <w:highlight w:val="none"/>
        </w:rPr>
        <w:t>简支</w:t>
      </w:r>
      <w:r>
        <w:rPr>
          <w:rFonts w:hint="eastAsia" w:ascii="Times New Roman" w:hAnsi="Times New Roman"/>
          <w:b/>
          <w:color w:val="auto"/>
          <w:highlight w:val="none"/>
        </w:rPr>
        <w:t>钢筋混凝土空心板</w:t>
      </w:r>
      <w:r>
        <w:rPr>
          <w:rFonts w:ascii="Times New Roman" w:hAnsi="Times New Roman"/>
          <w:b/>
          <w:color w:val="auto"/>
          <w:highlight w:val="none"/>
        </w:rPr>
        <w:t>，桥梁总长</w:t>
      </w:r>
      <w:r>
        <w:rPr>
          <w:rFonts w:hint="eastAsia" w:ascii="Times New Roman" w:hAnsi="Times New Roman"/>
          <w:b/>
          <w:color w:val="auto"/>
          <w:highlight w:val="none"/>
        </w:rPr>
        <w:t>32</w:t>
      </w:r>
      <w:r>
        <w:rPr>
          <w:rFonts w:ascii="Times New Roman" w:hAnsi="Times New Roman"/>
          <w:b/>
          <w:color w:val="auto"/>
          <w:highlight w:val="none"/>
        </w:rPr>
        <w:t>m；下部结构桥台采用</w:t>
      </w:r>
      <w:r>
        <w:rPr>
          <w:rFonts w:hint="eastAsia" w:ascii="Times New Roman" w:hAnsi="Times New Roman"/>
          <w:b/>
          <w:color w:val="auto"/>
          <w:highlight w:val="none"/>
        </w:rPr>
        <w:t>桩柱</w:t>
      </w:r>
      <w:r>
        <w:rPr>
          <w:rFonts w:ascii="Times New Roman" w:hAnsi="Times New Roman"/>
          <w:b/>
          <w:color w:val="auto"/>
          <w:highlight w:val="none"/>
        </w:rPr>
        <w:t>桥台</w:t>
      </w:r>
      <w:r>
        <w:rPr>
          <w:rFonts w:hint="eastAsia" w:ascii="Times New Roman" w:hAnsi="Times New Roman"/>
          <w:b/>
          <w:color w:val="auto"/>
          <w:highlight w:val="none"/>
        </w:rPr>
        <w:t>，桥墩采用双柱式桥墩</w:t>
      </w:r>
      <w:r>
        <w:rPr>
          <w:rFonts w:ascii="Times New Roman" w:hAnsi="Times New Roman"/>
          <w:b/>
          <w:color w:val="auto"/>
          <w:highlight w:val="none"/>
        </w:rPr>
        <w:t>。</w:t>
      </w:r>
    </w:p>
    <w:p w14:paraId="16A3F0CE">
      <w:pPr>
        <w:pStyle w:val="4"/>
        <w:spacing w:before="72"/>
        <w:ind w:firstLine="482"/>
        <w:rPr>
          <w:color w:val="auto"/>
          <w:highlight w:val="none"/>
        </w:rPr>
      </w:pPr>
      <w:r>
        <w:rPr>
          <w:color w:val="auto"/>
          <w:highlight w:val="none"/>
        </w:rPr>
        <w:t>4.4.2  方案比选</w:t>
      </w:r>
    </w:p>
    <w:p w14:paraId="2A59C037">
      <w:pPr>
        <w:pStyle w:val="37"/>
        <w:rPr>
          <w:rFonts w:ascii="Times New Roman" w:hAnsi="Times New Roman"/>
          <w:color w:val="auto"/>
          <w:szCs w:val="21"/>
          <w:highlight w:val="none"/>
        </w:rPr>
      </w:pPr>
      <w:r>
        <w:rPr>
          <w:rFonts w:ascii="Times New Roman" w:hAnsi="Times New Roman"/>
          <w:color w:val="auto"/>
          <w:szCs w:val="21"/>
          <w:highlight w:val="none"/>
        </w:rPr>
        <w:t>改造方案比选一览表</w:t>
      </w:r>
    </w:p>
    <w:tbl>
      <w:tblPr>
        <w:tblStyle w:val="26"/>
        <w:tblW w:w="0" w:type="auto"/>
        <w:tblInd w:w="0" w:type="dxa"/>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316"/>
        <w:gridCol w:w="3906"/>
        <w:gridCol w:w="3757"/>
      </w:tblGrid>
      <w:tr w14:paraId="093293AF">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blHeader/>
        </w:trPr>
        <w:tc>
          <w:tcPr>
            <w:tcW w:w="2316" w:type="dxa"/>
            <w:shd w:val="clear" w:color="auto" w:fill="auto"/>
            <w:noWrap/>
            <w:vAlign w:val="center"/>
          </w:tcPr>
          <w:p w14:paraId="502FCC5B">
            <w:pPr>
              <w:pStyle w:val="37"/>
              <w:rPr>
                <w:rFonts w:ascii="Times New Roman" w:hAnsi="Times New Roman"/>
                <w:b w:val="0"/>
                <w:bCs/>
                <w:color w:val="auto"/>
                <w:szCs w:val="21"/>
                <w:highlight w:val="none"/>
              </w:rPr>
            </w:pPr>
            <w:r>
              <w:rPr>
                <w:rFonts w:ascii="Times New Roman" w:hAnsi="Times New Roman"/>
                <w:b w:val="0"/>
                <w:bCs/>
                <w:color w:val="auto"/>
                <w:szCs w:val="21"/>
                <w:highlight w:val="none"/>
              </w:rPr>
              <w:t>方案</w:t>
            </w:r>
          </w:p>
        </w:tc>
        <w:tc>
          <w:tcPr>
            <w:tcW w:w="3906" w:type="dxa"/>
            <w:shd w:val="clear" w:color="auto" w:fill="auto"/>
            <w:noWrap/>
            <w:vAlign w:val="center"/>
          </w:tcPr>
          <w:p w14:paraId="54BF98BF">
            <w:pPr>
              <w:pStyle w:val="37"/>
              <w:rPr>
                <w:rFonts w:ascii="Times New Roman" w:hAnsi="Times New Roman"/>
                <w:b w:val="0"/>
                <w:bCs/>
                <w:color w:val="auto"/>
                <w:szCs w:val="21"/>
                <w:highlight w:val="none"/>
              </w:rPr>
            </w:pPr>
            <w:r>
              <w:rPr>
                <w:rFonts w:ascii="Times New Roman" w:hAnsi="Times New Roman"/>
                <w:b w:val="0"/>
                <w:bCs/>
                <w:color w:val="auto"/>
                <w:szCs w:val="21"/>
                <w:highlight w:val="none"/>
              </w:rPr>
              <w:t>方案一：拆除新建</w:t>
            </w:r>
          </w:p>
        </w:tc>
        <w:tc>
          <w:tcPr>
            <w:tcW w:w="3757" w:type="dxa"/>
            <w:vAlign w:val="center"/>
          </w:tcPr>
          <w:p w14:paraId="5553C17C">
            <w:pPr>
              <w:pStyle w:val="37"/>
              <w:rPr>
                <w:rFonts w:ascii="Times New Roman" w:hAnsi="Times New Roman"/>
                <w:b w:val="0"/>
                <w:bCs/>
                <w:color w:val="auto"/>
                <w:szCs w:val="21"/>
                <w:highlight w:val="none"/>
              </w:rPr>
            </w:pPr>
            <w:r>
              <w:rPr>
                <w:rFonts w:ascii="Times New Roman" w:hAnsi="Times New Roman"/>
                <w:b w:val="0"/>
                <w:bCs/>
                <w:color w:val="auto"/>
                <w:szCs w:val="21"/>
                <w:highlight w:val="none"/>
              </w:rPr>
              <w:t>方案二：拆除新建</w:t>
            </w:r>
          </w:p>
        </w:tc>
      </w:tr>
      <w:tr w14:paraId="265AEB93">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2316" w:type="dxa"/>
            <w:shd w:val="clear" w:color="auto" w:fill="auto"/>
            <w:noWrap/>
            <w:vAlign w:val="center"/>
          </w:tcPr>
          <w:p w14:paraId="745847AF">
            <w:pPr>
              <w:pStyle w:val="37"/>
              <w:rPr>
                <w:rFonts w:ascii="Times New Roman" w:hAnsi="Times New Roman"/>
                <w:b w:val="0"/>
                <w:bCs/>
                <w:color w:val="auto"/>
                <w:szCs w:val="21"/>
                <w:highlight w:val="none"/>
              </w:rPr>
            </w:pPr>
            <w:r>
              <w:rPr>
                <w:rFonts w:ascii="Times New Roman" w:hAnsi="Times New Roman"/>
                <w:b w:val="0"/>
                <w:bCs/>
                <w:color w:val="auto"/>
                <w:kern w:val="0"/>
                <w:szCs w:val="21"/>
                <w:highlight w:val="none"/>
              </w:rPr>
              <w:t>改造内容</w:t>
            </w:r>
          </w:p>
        </w:tc>
        <w:tc>
          <w:tcPr>
            <w:tcW w:w="3906" w:type="dxa"/>
            <w:shd w:val="clear" w:color="auto" w:fill="auto"/>
            <w:noWrap/>
            <w:vAlign w:val="center"/>
          </w:tcPr>
          <w:p w14:paraId="79C2FDBB">
            <w:pPr>
              <w:pStyle w:val="43"/>
              <w:adjustRightInd w:val="0"/>
              <w:snapToGrid w:val="0"/>
              <w:jc w:val="center"/>
              <w:rPr>
                <w:color w:val="auto"/>
                <w:szCs w:val="21"/>
                <w:highlight w:val="none"/>
              </w:rPr>
            </w:pPr>
            <w:r>
              <w:rPr>
                <w:color w:val="auto"/>
                <w:szCs w:val="21"/>
                <w:highlight w:val="none"/>
              </w:rPr>
              <w:t>拆除旧桥，新建上构：</w:t>
            </w:r>
            <w:r>
              <w:rPr>
                <w:rFonts w:hint="eastAsia"/>
                <w:color w:val="auto"/>
                <w:szCs w:val="21"/>
                <w:highlight w:val="none"/>
              </w:rPr>
              <w:t>2</w:t>
            </w:r>
            <w:r>
              <w:rPr>
                <w:color w:val="auto"/>
                <w:szCs w:val="21"/>
                <w:highlight w:val="none"/>
              </w:rPr>
              <w:t>×1</w:t>
            </w:r>
            <w:r>
              <w:rPr>
                <w:rFonts w:hint="eastAsia"/>
                <w:color w:val="auto"/>
                <w:szCs w:val="21"/>
                <w:highlight w:val="none"/>
              </w:rPr>
              <w:t>3</w:t>
            </w:r>
            <w:r>
              <w:rPr>
                <w:color w:val="auto"/>
                <w:szCs w:val="21"/>
                <w:highlight w:val="none"/>
              </w:rPr>
              <w:t>m</w:t>
            </w:r>
            <w:r>
              <w:rPr>
                <w:rFonts w:hint="eastAsia"/>
                <w:color w:val="auto"/>
                <w:szCs w:val="21"/>
                <w:highlight w:val="none"/>
              </w:rPr>
              <w:t>现浇</w:t>
            </w:r>
            <w:r>
              <w:rPr>
                <w:color w:val="auto"/>
                <w:szCs w:val="21"/>
                <w:highlight w:val="none"/>
              </w:rPr>
              <w:t>简支</w:t>
            </w:r>
            <w:r>
              <w:rPr>
                <w:rFonts w:hint="eastAsia"/>
                <w:color w:val="auto"/>
                <w:szCs w:val="21"/>
                <w:highlight w:val="none"/>
              </w:rPr>
              <w:t>钢筋混凝土空心板</w:t>
            </w:r>
            <w:r>
              <w:rPr>
                <w:color w:val="auto"/>
                <w:szCs w:val="21"/>
                <w:highlight w:val="none"/>
              </w:rPr>
              <w:t>桥。</w:t>
            </w:r>
          </w:p>
          <w:p w14:paraId="488CE432">
            <w:pPr>
              <w:pStyle w:val="43"/>
              <w:adjustRightInd w:val="0"/>
              <w:snapToGrid w:val="0"/>
              <w:jc w:val="center"/>
              <w:rPr>
                <w:color w:val="auto"/>
                <w:szCs w:val="21"/>
                <w:highlight w:val="none"/>
              </w:rPr>
            </w:pPr>
            <w:r>
              <w:rPr>
                <w:color w:val="auto"/>
                <w:szCs w:val="21"/>
                <w:highlight w:val="none"/>
              </w:rPr>
              <w:t>新建下构：</w:t>
            </w:r>
            <w:r>
              <w:rPr>
                <w:rFonts w:hint="eastAsia"/>
                <w:color w:val="auto"/>
                <w:szCs w:val="21"/>
                <w:highlight w:val="none"/>
              </w:rPr>
              <w:t>桩柱式</w:t>
            </w:r>
            <w:r>
              <w:rPr>
                <w:color w:val="auto"/>
                <w:szCs w:val="21"/>
                <w:highlight w:val="none"/>
              </w:rPr>
              <w:t>桥台，桥墩采用</w:t>
            </w:r>
            <w:r>
              <w:rPr>
                <w:rFonts w:hint="eastAsia"/>
                <w:color w:val="auto"/>
                <w:szCs w:val="21"/>
                <w:highlight w:val="none"/>
              </w:rPr>
              <w:t>双柱</w:t>
            </w:r>
            <w:r>
              <w:rPr>
                <w:color w:val="auto"/>
                <w:szCs w:val="21"/>
                <w:highlight w:val="none"/>
              </w:rPr>
              <w:t>墩，桩基础。</w:t>
            </w:r>
          </w:p>
        </w:tc>
        <w:tc>
          <w:tcPr>
            <w:tcW w:w="3757" w:type="dxa"/>
            <w:vAlign w:val="center"/>
          </w:tcPr>
          <w:p w14:paraId="601B3657">
            <w:pPr>
              <w:pStyle w:val="43"/>
              <w:adjustRightInd w:val="0"/>
              <w:snapToGrid w:val="0"/>
              <w:jc w:val="center"/>
              <w:rPr>
                <w:color w:val="auto"/>
                <w:szCs w:val="21"/>
                <w:highlight w:val="none"/>
              </w:rPr>
            </w:pPr>
            <w:r>
              <w:rPr>
                <w:color w:val="auto"/>
                <w:szCs w:val="21"/>
                <w:highlight w:val="none"/>
              </w:rPr>
              <w:t>拆除旧桥，新建上构：</w:t>
            </w:r>
            <w:r>
              <w:rPr>
                <w:rFonts w:hint="eastAsia"/>
                <w:color w:val="auto"/>
                <w:szCs w:val="21"/>
                <w:highlight w:val="none"/>
              </w:rPr>
              <w:t>2</w:t>
            </w:r>
            <w:r>
              <w:rPr>
                <w:color w:val="auto"/>
                <w:szCs w:val="21"/>
                <w:highlight w:val="none"/>
              </w:rPr>
              <w:t>×1</w:t>
            </w:r>
            <w:r>
              <w:rPr>
                <w:rFonts w:hint="eastAsia"/>
                <w:color w:val="auto"/>
                <w:szCs w:val="21"/>
                <w:highlight w:val="none"/>
              </w:rPr>
              <w:t>3</w:t>
            </w:r>
            <w:r>
              <w:rPr>
                <w:color w:val="auto"/>
                <w:szCs w:val="21"/>
                <w:highlight w:val="none"/>
              </w:rPr>
              <w:t>m</w:t>
            </w:r>
            <w:r>
              <w:rPr>
                <w:rFonts w:hint="eastAsia"/>
                <w:color w:val="auto"/>
                <w:szCs w:val="21"/>
                <w:highlight w:val="none"/>
              </w:rPr>
              <w:t>预制</w:t>
            </w:r>
            <w:r>
              <w:rPr>
                <w:color w:val="auto"/>
                <w:szCs w:val="21"/>
                <w:highlight w:val="none"/>
              </w:rPr>
              <w:t>简支</w:t>
            </w:r>
            <w:r>
              <w:rPr>
                <w:rFonts w:hint="eastAsia"/>
                <w:color w:val="auto"/>
                <w:szCs w:val="21"/>
                <w:highlight w:val="none"/>
              </w:rPr>
              <w:t>钢筋混凝土空心板</w:t>
            </w:r>
            <w:r>
              <w:rPr>
                <w:color w:val="auto"/>
                <w:szCs w:val="21"/>
                <w:highlight w:val="none"/>
              </w:rPr>
              <w:t>桥。</w:t>
            </w:r>
          </w:p>
          <w:p w14:paraId="0F00A231">
            <w:pPr>
              <w:pStyle w:val="37"/>
              <w:rPr>
                <w:rFonts w:ascii="Times New Roman" w:hAnsi="Times New Roman"/>
                <w:b w:val="0"/>
                <w:color w:val="auto"/>
                <w:szCs w:val="21"/>
                <w:highlight w:val="none"/>
              </w:rPr>
            </w:pPr>
            <w:r>
              <w:rPr>
                <w:rFonts w:ascii="Times New Roman" w:hAnsi="Times New Roman"/>
                <w:b w:val="0"/>
                <w:color w:val="auto"/>
                <w:szCs w:val="21"/>
                <w:highlight w:val="none"/>
              </w:rPr>
              <w:t>新建下构：</w:t>
            </w:r>
            <w:r>
              <w:rPr>
                <w:rFonts w:hint="eastAsia" w:ascii="Times New Roman" w:hAnsi="Times New Roman"/>
                <w:b w:val="0"/>
                <w:color w:val="auto"/>
                <w:szCs w:val="21"/>
                <w:highlight w:val="none"/>
              </w:rPr>
              <w:t>桩柱式</w:t>
            </w:r>
            <w:r>
              <w:rPr>
                <w:rFonts w:ascii="Times New Roman" w:hAnsi="Times New Roman"/>
                <w:b w:val="0"/>
                <w:color w:val="auto"/>
                <w:szCs w:val="21"/>
                <w:highlight w:val="none"/>
              </w:rPr>
              <w:t>桥台，桥墩采用</w:t>
            </w:r>
            <w:r>
              <w:rPr>
                <w:rFonts w:hint="eastAsia" w:ascii="Times New Roman" w:hAnsi="Times New Roman"/>
                <w:b w:val="0"/>
                <w:color w:val="auto"/>
                <w:szCs w:val="21"/>
                <w:highlight w:val="none"/>
              </w:rPr>
              <w:t>双柱</w:t>
            </w:r>
            <w:r>
              <w:rPr>
                <w:rFonts w:ascii="Times New Roman" w:hAnsi="Times New Roman"/>
                <w:b w:val="0"/>
                <w:color w:val="auto"/>
                <w:szCs w:val="21"/>
                <w:highlight w:val="none"/>
              </w:rPr>
              <w:t>墩，桩基础。</w:t>
            </w:r>
          </w:p>
        </w:tc>
      </w:tr>
      <w:tr w14:paraId="59B20906">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2316" w:type="dxa"/>
            <w:shd w:val="clear" w:color="auto" w:fill="auto"/>
            <w:noWrap/>
            <w:vAlign w:val="center"/>
          </w:tcPr>
          <w:p w14:paraId="090C1B9B">
            <w:pPr>
              <w:pStyle w:val="37"/>
              <w:rPr>
                <w:rFonts w:ascii="Times New Roman" w:hAnsi="Times New Roman"/>
                <w:b w:val="0"/>
                <w:bCs/>
                <w:color w:val="auto"/>
                <w:kern w:val="0"/>
                <w:szCs w:val="21"/>
                <w:highlight w:val="none"/>
              </w:rPr>
            </w:pPr>
            <w:r>
              <w:rPr>
                <w:rFonts w:ascii="Times New Roman" w:hAnsi="Times New Roman"/>
                <w:b w:val="0"/>
                <w:bCs/>
                <w:color w:val="auto"/>
                <w:kern w:val="0"/>
                <w:szCs w:val="21"/>
                <w:highlight w:val="none"/>
              </w:rPr>
              <w:t>跨径、桥长、桥宽</w:t>
            </w:r>
          </w:p>
        </w:tc>
        <w:tc>
          <w:tcPr>
            <w:tcW w:w="3906" w:type="dxa"/>
            <w:shd w:val="clear" w:color="auto" w:fill="auto"/>
            <w:noWrap/>
            <w:vAlign w:val="center"/>
          </w:tcPr>
          <w:p w14:paraId="308BBB70">
            <w:pPr>
              <w:pStyle w:val="43"/>
              <w:adjustRightInd w:val="0"/>
              <w:snapToGrid w:val="0"/>
              <w:ind w:firstLine="422"/>
              <w:jc w:val="center"/>
              <w:rPr>
                <w:color w:val="auto"/>
                <w:szCs w:val="21"/>
                <w:highlight w:val="none"/>
              </w:rPr>
            </w:pPr>
            <w:r>
              <w:rPr>
                <w:color w:val="auto"/>
                <w:szCs w:val="21"/>
                <w:highlight w:val="none"/>
              </w:rPr>
              <w:t>跨径：</w:t>
            </w:r>
            <w:r>
              <w:rPr>
                <w:rFonts w:hint="eastAsia"/>
                <w:color w:val="auto"/>
                <w:szCs w:val="21"/>
                <w:highlight w:val="none"/>
              </w:rPr>
              <w:t>2</w:t>
            </w:r>
            <w:r>
              <w:rPr>
                <w:color w:val="auto"/>
                <w:szCs w:val="21"/>
                <w:highlight w:val="none"/>
              </w:rPr>
              <w:t>×1</w:t>
            </w:r>
            <w:r>
              <w:rPr>
                <w:rFonts w:hint="eastAsia"/>
                <w:color w:val="auto"/>
                <w:szCs w:val="21"/>
                <w:highlight w:val="none"/>
              </w:rPr>
              <w:t>3</w:t>
            </w:r>
            <w:r>
              <w:rPr>
                <w:color w:val="auto"/>
                <w:szCs w:val="21"/>
                <w:highlight w:val="none"/>
              </w:rPr>
              <w:t>m；桥长：</w:t>
            </w:r>
            <w:r>
              <w:rPr>
                <w:rFonts w:hint="eastAsia"/>
                <w:color w:val="auto"/>
                <w:szCs w:val="21"/>
                <w:highlight w:val="none"/>
              </w:rPr>
              <w:t>32</w:t>
            </w:r>
            <w:r>
              <w:rPr>
                <w:color w:val="auto"/>
                <w:szCs w:val="21"/>
                <w:highlight w:val="none"/>
              </w:rPr>
              <w:t>m</w:t>
            </w:r>
          </w:p>
          <w:p w14:paraId="7BA27F04">
            <w:pPr>
              <w:pStyle w:val="43"/>
              <w:adjustRightInd w:val="0"/>
              <w:snapToGrid w:val="0"/>
              <w:ind w:firstLine="422"/>
              <w:jc w:val="center"/>
              <w:rPr>
                <w:color w:val="auto"/>
                <w:szCs w:val="21"/>
                <w:highlight w:val="none"/>
              </w:rPr>
            </w:pPr>
            <w:r>
              <w:rPr>
                <w:color w:val="auto"/>
                <w:szCs w:val="21"/>
                <w:highlight w:val="none"/>
              </w:rPr>
              <w:t>桥宽：</w:t>
            </w:r>
            <w:r>
              <w:rPr>
                <w:rFonts w:hint="eastAsia"/>
                <w:color w:val="auto"/>
                <w:szCs w:val="21"/>
                <w:highlight w:val="none"/>
              </w:rPr>
              <w:t>8.5</w:t>
            </w:r>
            <w:r>
              <w:rPr>
                <w:color w:val="auto"/>
                <w:szCs w:val="21"/>
                <w:highlight w:val="none"/>
              </w:rPr>
              <w:t>m</w:t>
            </w:r>
          </w:p>
        </w:tc>
        <w:tc>
          <w:tcPr>
            <w:tcW w:w="3757" w:type="dxa"/>
            <w:vAlign w:val="center"/>
          </w:tcPr>
          <w:p w14:paraId="23EFB9A9">
            <w:pPr>
              <w:pStyle w:val="43"/>
              <w:adjustRightInd w:val="0"/>
              <w:snapToGrid w:val="0"/>
              <w:ind w:firstLine="422"/>
              <w:jc w:val="center"/>
              <w:rPr>
                <w:color w:val="auto"/>
                <w:szCs w:val="21"/>
                <w:highlight w:val="none"/>
              </w:rPr>
            </w:pPr>
            <w:r>
              <w:rPr>
                <w:color w:val="auto"/>
                <w:szCs w:val="21"/>
                <w:highlight w:val="none"/>
              </w:rPr>
              <w:t>跨径：</w:t>
            </w:r>
            <w:r>
              <w:rPr>
                <w:rFonts w:hint="eastAsia"/>
                <w:color w:val="auto"/>
                <w:szCs w:val="21"/>
                <w:highlight w:val="none"/>
              </w:rPr>
              <w:t>2</w:t>
            </w:r>
            <w:r>
              <w:rPr>
                <w:color w:val="auto"/>
                <w:szCs w:val="21"/>
                <w:highlight w:val="none"/>
              </w:rPr>
              <w:t>×1</w:t>
            </w:r>
            <w:r>
              <w:rPr>
                <w:rFonts w:hint="eastAsia"/>
                <w:color w:val="auto"/>
                <w:szCs w:val="21"/>
                <w:highlight w:val="none"/>
              </w:rPr>
              <w:t>3</w:t>
            </w:r>
            <w:r>
              <w:rPr>
                <w:color w:val="auto"/>
                <w:szCs w:val="21"/>
                <w:highlight w:val="none"/>
              </w:rPr>
              <w:t>m；桥长：</w:t>
            </w:r>
            <w:r>
              <w:rPr>
                <w:rFonts w:hint="eastAsia"/>
                <w:color w:val="auto"/>
                <w:szCs w:val="21"/>
                <w:highlight w:val="none"/>
              </w:rPr>
              <w:t>32</w:t>
            </w:r>
            <w:r>
              <w:rPr>
                <w:color w:val="auto"/>
                <w:szCs w:val="21"/>
                <w:highlight w:val="none"/>
              </w:rPr>
              <w:t>m</w:t>
            </w:r>
          </w:p>
          <w:p w14:paraId="3EB24FF4">
            <w:pPr>
              <w:pStyle w:val="43"/>
              <w:adjustRightInd w:val="0"/>
              <w:snapToGrid w:val="0"/>
              <w:ind w:firstLine="422"/>
              <w:jc w:val="center"/>
              <w:rPr>
                <w:color w:val="auto"/>
                <w:szCs w:val="21"/>
                <w:highlight w:val="none"/>
              </w:rPr>
            </w:pPr>
            <w:r>
              <w:rPr>
                <w:color w:val="auto"/>
                <w:szCs w:val="21"/>
                <w:highlight w:val="none"/>
              </w:rPr>
              <w:t>桥宽：</w:t>
            </w:r>
            <w:r>
              <w:rPr>
                <w:rFonts w:hint="eastAsia"/>
                <w:color w:val="auto"/>
                <w:szCs w:val="21"/>
                <w:highlight w:val="none"/>
              </w:rPr>
              <w:t>8.5</w:t>
            </w:r>
            <w:r>
              <w:rPr>
                <w:color w:val="auto"/>
                <w:szCs w:val="21"/>
                <w:highlight w:val="none"/>
              </w:rPr>
              <w:t>m</w:t>
            </w:r>
          </w:p>
        </w:tc>
      </w:tr>
      <w:tr w14:paraId="67F53161">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2316" w:type="dxa"/>
            <w:shd w:val="clear" w:color="auto" w:fill="auto"/>
            <w:noWrap/>
            <w:vAlign w:val="center"/>
          </w:tcPr>
          <w:p w14:paraId="1E110CAA">
            <w:pPr>
              <w:pStyle w:val="37"/>
              <w:rPr>
                <w:rFonts w:ascii="Times New Roman" w:hAnsi="Times New Roman"/>
                <w:b w:val="0"/>
                <w:bCs/>
                <w:color w:val="auto"/>
                <w:szCs w:val="21"/>
                <w:highlight w:val="none"/>
              </w:rPr>
            </w:pPr>
            <w:r>
              <w:rPr>
                <w:rFonts w:ascii="Times New Roman" w:hAnsi="Times New Roman"/>
                <w:b w:val="0"/>
                <w:bCs/>
                <w:color w:val="auto"/>
                <w:szCs w:val="21"/>
                <w:highlight w:val="none"/>
              </w:rPr>
              <w:t>荷载标准</w:t>
            </w:r>
          </w:p>
        </w:tc>
        <w:tc>
          <w:tcPr>
            <w:tcW w:w="3906" w:type="dxa"/>
            <w:shd w:val="clear" w:color="auto" w:fill="auto"/>
            <w:noWrap/>
            <w:vAlign w:val="center"/>
          </w:tcPr>
          <w:p w14:paraId="0F1F954D">
            <w:pPr>
              <w:pStyle w:val="43"/>
              <w:adjustRightInd w:val="0"/>
              <w:snapToGrid w:val="0"/>
              <w:ind w:firstLine="422"/>
              <w:jc w:val="center"/>
              <w:rPr>
                <w:color w:val="auto"/>
                <w:szCs w:val="21"/>
                <w:highlight w:val="none"/>
              </w:rPr>
            </w:pPr>
            <w:r>
              <w:rPr>
                <w:color w:val="auto"/>
                <w:szCs w:val="21"/>
                <w:highlight w:val="none"/>
              </w:rPr>
              <w:t>公路-</w:t>
            </w:r>
            <w:r>
              <w:rPr>
                <w:rFonts w:hint="eastAsia" w:ascii="宋体" w:hAnsi="宋体" w:cs="宋体"/>
                <w:color w:val="auto"/>
                <w:szCs w:val="21"/>
                <w:highlight w:val="none"/>
                <w:lang w:eastAsia="ja-JP"/>
              </w:rPr>
              <w:t>Ⅱ</w:t>
            </w:r>
            <w:r>
              <w:rPr>
                <w:color w:val="auto"/>
                <w:szCs w:val="21"/>
                <w:highlight w:val="none"/>
              </w:rPr>
              <w:t>级</w:t>
            </w:r>
          </w:p>
        </w:tc>
        <w:tc>
          <w:tcPr>
            <w:tcW w:w="3757" w:type="dxa"/>
            <w:vAlign w:val="center"/>
          </w:tcPr>
          <w:p w14:paraId="49AF5FA6">
            <w:pPr>
              <w:pStyle w:val="43"/>
              <w:adjustRightInd w:val="0"/>
              <w:snapToGrid w:val="0"/>
              <w:ind w:firstLine="422"/>
              <w:jc w:val="center"/>
              <w:rPr>
                <w:color w:val="auto"/>
                <w:kern w:val="0"/>
                <w:szCs w:val="21"/>
                <w:highlight w:val="none"/>
              </w:rPr>
            </w:pPr>
            <w:r>
              <w:rPr>
                <w:color w:val="auto"/>
                <w:szCs w:val="21"/>
                <w:highlight w:val="none"/>
              </w:rPr>
              <w:t>公路-</w:t>
            </w:r>
            <w:r>
              <w:rPr>
                <w:rFonts w:hint="eastAsia" w:ascii="宋体" w:hAnsi="宋体" w:cs="宋体"/>
                <w:color w:val="auto"/>
                <w:szCs w:val="21"/>
                <w:highlight w:val="none"/>
                <w:lang w:eastAsia="ja-JP"/>
              </w:rPr>
              <w:t>Ⅱ</w:t>
            </w:r>
            <w:r>
              <w:rPr>
                <w:color w:val="auto"/>
                <w:szCs w:val="21"/>
                <w:highlight w:val="none"/>
              </w:rPr>
              <w:t>级</w:t>
            </w:r>
          </w:p>
        </w:tc>
      </w:tr>
      <w:tr w14:paraId="49A107F9">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2316" w:type="dxa"/>
            <w:shd w:val="clear" w:color="auto" w:fill="auto"/>
            <w:noWrap/>
            <w:vAlign w:val="center"/>
          </w:tcPr>
          <w:p w14:paraId="44743A6B">
            <w:pPr>
              <w:widowControl/>
              <w:snapToGrid w:val="0"/>
              <w:spacing w:line="240" w:lineRule="auto"/>
              <w:jc w:val="center"/>
              <w:rPr>
                <w:rFonts w:ascii="Times New Roman" w:hAnsi="Times New Roman"/>
                <w:bCs/>
                <w:color w:val="auto"/>
                <w:kern w:val="0"/>
                <w:sz w:val="21"/>
                <w:szCs w:val="21"/>
                <w:highlight w:val="none"/>
              </w:rPr>
            </w:pPr>
            <w:r>
              <w:rPr>
                <w:rFonts w:ascii="Times New Roman" w:hAnsi="Times New Roman"/>
                <w:bCs/>
                <w:color w:val="auto"/>
                <w:kern w:val="0"/>
                <w:sz w:val="21"/>
                <w:szCs w:val="21"/>
                <w:highlight w:val="none"/>
              </w:rPr>
              <w:t>施工难度</w:t>
            </w:r>
          </w:p>
        </w:tc>
        <w:tc>
          <w:tcPr>
            <w:tcW w:w="3906" w:type="dxa"/>
            <w:shd w:val="clear" w:color="auto" w:fill="auto"/>
            <w:noWrap/>
            <w:vAlign w:val="center"/>
          </w:tcPr>
          <w:p w14:paraId="39F1EF17">
            <w:pPr>
              <w:pStyle w:val="49"/>
              <w:widowControl/>
              <w:snapToGrid w:val="0"/>
              <w:spacing w:line="240" w:lineRule="auto"/>
              <w:ind w:firstLine="0" w:firstLineChars="0"/>
              <w:jc w:val="center"/>
              <w:rPr>
                <w:rFonts w:ascii="Times New Roman" w:hAnsi="Times New Roman"/>
                <w:color w:val="auto"/>
                <w:kern w:val="0"/>
                <w:sz w:val="21"/>
                <w:szCs w:val="21"/>
                <w:highlight w:val="none"/>
              </w:rPr>
            </w:pPr>
            <w:r>
              <w:rPr>
                <w:rFonts w:ascii="Times New Roman" w:hAnsi="Times New Roman"/>
                <w:color w:val="auto"/>
                <w:kern w:val="0"/>
                <w:sz w:val="21"/>
                <w:szCs w:val="21"/>
                <w:highlight w:val="none"/>
              </w:rPr>
              <w:t>施工工艺成熟</w:t>
            </w:r>
            <w:r>
              <w:rPr>
                <w:rFonts w:hint="eastAsia" w:ascii="Times New Roman" w:hAnsi="Times New Roman"/>
                <w:color w:val="auto"/>
                <w:kern w:val="0"/>
                <w:sz w:val="21"/>
                <w:szCs w:val="21"/>
                <w:highlight w:val="none"/>
              </w:rPr>
              <w:t>、</w:t>
            </w:r>
            <w:r>
              <w:rPr>
                <w:rFonts w:ascii="Times New Roman" w:hAnsi="Times New Roman"/>
                <w:color w:val="auto"/>
                <w:kern w:val="0"/>
                <w:sz w:val="21"/>
                <w:szCs w:val="21"/>
                <w:highlight w:val="none"/>
              </w:rPr>
              <w:t>梁重</w:t>
            </w:r>
            <w:r>
              <w:rPr>
                <w:rFonts w:hint="eastAsia" w:ascii="Times New Roman" w:hAnsi="Times New Roman"/>
                <w:color w:val="auto"/>
                <w:kern w:val="0"/>
                <w:sz w:val="21"/>
                <w:szCs w:val="21"/>
                <w:highlight w:val="none"/>
              </w:rPr>
              <w:t>较小</w:t>
            </w:r>
            <w:r>
              <w:rPr>
                <w:rFonts w:ascii="Times New Roman" w:hAnsi="Times New Roman"/>
                <w:color w:val="auto"/>
                <w:kern w:val="0"/>
                <w:sz w:val="21"/>
                <w:szCs w:val="21"/>
                <w:highlight w:val="none"/>
              </w:rPr>
              <w:t>、施工难度小。</w:t>
            </w:r>
          </w:p>
        </w:tc>
        <w:tc>
          <w:tcPr>
            <w:tcW w:w="3757" w:type="dxa"/>
            <w:vAlign w:val="center"/>
          </w:tcPr>
          <w:p w14:paraId="116E257E">
            <w:pPr>
              <w:pStyle w:val="49"/>
              <w:widowControl/>
              <w:snapToGrid w:val="0"/>
              <w:spacing w:line="240" w:lineRule="auto"/>
              <w:ind w:firstLine="0" w:firstLineChars="0"/>
              <w:jc w:val="center"/>
              <w:rPr>
                <w:rFonts w:ascii="Times New Roman" w:hAnsi="Times New Roman"/>
                <w:color w:val="auto"/>
                <w:kern w:val="0"/>
                <w:sz w:val="21"/>
                <w:szCs w:val="21"/>
                <w:highlight w:val="none"/>
              </w:rPr>
            </w:pPr>
            <w:r>
              <w:rPr>
                <w:rFonts w:ascii="Times New Roman" w:hAnsi="Times New Roman"/>
                <w:color w:val="auto"/>
                <w:kern w:val="0"/>
                <w:sz w:val="21"/>
                <w:szCs w:val="21"/>
                <w:highlight w:val="none"/>
              </w:rPr>
              <w:t>施工工艺成熟</w:t>
            </w:r>
            <w:r>
              <w:rPr>
                <w:rFonts w:hint="eastAsia" w:ascii="Times New Roman" w:hAnsi="Times New Roman"/>
                <w:color w:val="auto"/>
                <w:kern w:val="0"/>
                <w:sz w:val="21"/>
                <w:szCs w:val="21"/>
                <w:highlight w:val="none"/>
              </w:rPr>
              <w:t>、</w:t>
            </w:r>
            <w:r>
              <w:rPr>
                <w:rFonts w:ascii="Times New Roman" w:hAnsi="Times New Roman"/>
                <w:color w:val="auto"/>
                <w:kern w:val="0"/>
                <w:sz w:val="21"/>
                <w:szCs w:val="21"/>
                <w:highlight w:val="none"/>
              </w:rPr>
              <w:t>施工难度小。</w:t>
            </w:r>
          </w:p>
        </w:tc>
      </w:tr>
      <w:tr w14:paraId="7FBDE80B">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2316" w:type="dxa"/>
            <w:shd w:val="clear" w:color="auto" w:fill="auto"/>
            <w:noWrap/>
            <w:vAlign w:val="center"/>
          </w:tcPr>
          <w:p w14:paraId="41BBB3F3">
            <w:pPr>
              <w:widowControl/>
              <w:snapToGrid w:val="0"/>
              <w:spacing w:line="240" w:lineRule="auto"/>
              <w:jc w:val="center"/>
              <w:rPr>
                <w:rFonts w:ascii="Times New Roman" w:hAnsi="Times New Roman"/>
                <w:bCs/>
                <w:color w:val="auto"/>
                <w:kern w:val="0"/>
                <w:sz w:val="21"/>
                <w:szCs w:val="21"/>
                <w:highlight w:val="none"/>
              </w:rPr>
            </w:pPr>
            <w:r>
              <w:rPr>
                <w:rFonts w:ascii="Times New Roman" w:hAnsi="Times New Roman"/>
                <w:bCs/>
                <w:color w:val="auto"/>
                <w:kern w:val="0"/>
                <w:sz w:val="21"/>
                <w:szCs w:val="21"/>
                <w:highlight w:val="none"/>
              </w:rPr>
              <w:t>造价</w:t>
            </w:r>
          </w:p>
        </w:tc>
        <w:tc>
          <w:tcPr>
            <w:tcW w:w="3906" w:type="dxa"/>
            <w:shd w:val="clear" w:color="auto" w:fill="auto"/>
            <w:noWrap/>
            <w:vAlign w:val="center"/>
          </w:tcPr>
          <w:p w14:paraId="58F3389C">
            <w:pPr>
              <w:pStyle w:val="49"/>
              <w:widowControl/>
              <w:snapToGrid w:val="0"/>
              <w:spacing w:line="240" w:lineRule="auto"/>
              <w:ind w:firstLine="0" w:firstLineChars="0"/>
              <w:jc w:val="center"/>
              <w:rPr>
                <w:rFonts w:ascii="Times New Roman" w:hAnsi="Times New Roman"/>
                <w:color w:val="auto"/>
                <w:kern w:val="0"/>
                <w:sz w:val="21"/>
                <w:szCs w:val="21"/>
                <w:highlight w:val="none"/>
              </w:rPr>
            </w:pPr>
            <w:r>
              <w:rPr>
                <w:rFonts w:hint="eastAsia" w:ascii="Times New Roman" w:hAnsi="Times New Roman"/>
                <w:color w:val="auto"/>
                <w:kern w:val="0"/>
                <w:sz w:val="21"/>
                <w:szCs w:val="21"/>
                <w:highlight w:val="none"/>
                <w:lang w:val="en-US" w:eastAsia="zh-CN"/>
              </w:rPr>
              <w:t>160.797</w:t>
            </w:r>
            <w:r>
              <w:rPr>
                <w:rFonts w:ascii="Times New Roman" w:hAnsi="Times New Roman"/>
                <w:color w:val="auto"/>
                <w:kern w:val="0"/>
                <w:sz w:val="21"/>
                <w:szCs w:val="21"/>
                <w:highlight w:val="none"/>
              </w:rPr>
              <w:t>万元</w:t>
            </w:r>
          </w:p>
          <w:p w14:paraId="05CF8F85">
            <w:pPr>
              <w:pStyle w:val="49"/>
              <w:widowControl/>
              <w:snapToGrid w:val="0"/>
              <w:spacing w:line="240" w:lineRule="auto"/>
              <w:ind w:firstLine="0" w:firstLineChars="0"/>
              <w:jc w:val="center"/>
              <w:rPr>
                <w:rFonts w:ascii="Times New Roman" w:hAnsi="Times New Roman"/>
                <w:color w:val="auto"/>
                <w:kern w:val="0"/>
                <w:sz w:val="21"/>
                <w:szCs w:val="21"/>
                <w:highlight w:val="none"/>
              </w:rPr>
            </w:pPr>
            <w:r>
              <w:rPr>
                <w:rFonts w:ascii="Times New Roman" w:hAnsi="Times New Roman"/>
                <w:color w:val="auto"/>
                <w:kern w:val="0"/>
                <w:sz w:val="21"/>
                <w:szCs w:val="21"/>
                <w:highlight w:val="none"/>
              </w:rPr>
              <w:t>（建安费</w:t>
            </w:r>
            <w:r>
              <w:rPr>
                <w:rFonts w:hint="eastAsia" w:ascii="Times New Roman" w:hAnsi="Times New Roman"/>
                <w:color w:val="auto"/>
                <w:kern w:val="0"/>
                <w:sz w:val="21"/>
                <w:szCs w:val="21"/>
                <w:highlight w:val="none"/>
              </w:rPr>
              <w:t>1</w:t>
            </w:r>
            <w:r>
              <w:rPr>
                <w:rFonts w:hint="eastAsia" w:ascii="Times New Roman" w:hAnsi="Times New Roman"/>
                <w:color w:val="auto"/>
                <w:kern w:val="0"/>
                <w:sz w:val="21"/>
                <w:szCs w:val="21"/>
                <w:highlight w:val="none"/>
                <w:lang w:val="en-US" w:eastAsia="zh-CN"/>
              </w:rPr>
              <w:t>49.1366</w:t>
            </w:r>
            <w:r>
              <w:rPr>
                <w:rFonts w:ascii="Times New Roman" w:hAnsi="Times New Roman"/>
                <w:color w:val="auto"/>
                <w:kern w:val="0"/>
                <w:sz w:val="21"/>
                <w:szCs w:val="21"/>
                <w:highlight w:val="none"/>
              </w:rPr>
              <w:t>万元）</w:t>
            </w:r>
          </w:p>
        </w:tc>
        <w:tc>
          <w:tcPr>
            <w:tcW w:w="3757" w:type="dxa"/>
            <w:vAlign w:val="center"/>
          </w:tcPr>
          <w:p w14:paraId="06C18270">
            <w:pPr>
              <w:pStyle w:val="49"/>
              <w:widowControl/>
              <w:snapToGrid w:val="0"/>
              <w:spacing w:line="240" w:lineRule="auto"/>
              <w:ind w:firstLine="0" w:firstLineChars="0"/>
              <w:jc w:val="center"/>
              <w:rPr>
                <w:rFonts w:ascii="Times New Roman" w:hAnsi="Times New Roman"/>
                <w:color w:val="auto"/>
                <w:kern w:val="0"/>
                <w:sz w:val="21"/>
                <w:szCs w:val="21"/>
                <w:highlight w:val="none"/>
              </w:rPr>
            </w:pPr>
            <w:r>
              <w:rPr>
                <w:rFonts w:hint="eastAsia" w:ascii="Times New Roman" w:hAnsi="Times New Roman"/>
                <w:color w:val="auto"/>
                <w:kern w:val="0"/>
                <w:sz w:val="21"/>
                <w:szCs w:val="21"/>
                <w:highlight w:val="none"/>
                <w:lang w:val="en-US" w:eastAsia="zh-CN"/>
              </w:rPr>
              <w:t>171.1693</w:t>
            </w:r>
            <w:r>
              <w:rPr>
                <w:rFonts w:ascii="Times New Roman" w:hAnsi="Times New Roman"/>
                <w:color w:val="auto"/>
                <w:kern w:val="0"/>
                <w:sz w:val="21"/>
                <w:szCs w:val="21"/>
                <w:highlight w:val="none"/>
              </w:rPr>
              <w:t>万元</w:t>
            </w:r>
          </w:p>
          <w:p w14:paraId="48B5C11A">
            <w:pPr>
              <w:pStyle w:val="49"/>
              <w:widowControl/>
              <w:snapToGrid w:val="0"/>
              <w:spacing w:line="240" w:lineRule="auto"/>
              <w:ind w:firstLine="0" w:firstLineChars="0"/>
              <w:jc w:val="center"/>
              <w:rPr>
                <w:rFonts w:ascii="Times New Roman" w:hAnsi="Times New Roman"/>
                <w:color w:val="auto"/>
                <w:kern w:val="0"/>
                <w:sz w:val="21"/>
                <w:szCs w:val="21"/>
                <w:highlight w:val="none"/>
              </w:rPr>
            </w:pPr>
            <w:r>
              <w:rPr>
                <w:rFonts w:ascii="Times New Roman" w:hAnsi="Times New Roman"/>
                <w:color w:val="auto"/>
                <w:kern w:val="0"/>
                <w:sz w:val="21"/>
                <w:szCs w:val="21"/>
                <w:highlight w:val="none"/>
              </w:rPr>
              <w:t>（建安费</w:t>
            </w:r>
            <w:r>
              <w:rPr>
                <w:rFonts w:hint="eastAsia" w:ascii="Times New Roman" w:hAnsi="Times New Roman"/>
                <w:color w:val="auto"/>
                <w:kern w:val="0"/>
                <w:sz w:val="21"/>
                <w:szCs w:val="21"/>
                <w:highlight w:val="none"/>
              </w:rPr>
              <w:t>1</w:t>
            </w:r>
            <w:r>
              <w:rPr>
                <w:rFonts w:hint="eastAsia" w:ascii="Times New Roman" w:hAnsi="Times New Roman"/>
                <w:color w:val="auto"/>
                <w:kern w:val="0"/>
                <w:sz w:val="21"/>
                <w:szCs w:val="21"/>
                <w:highlight w:val="none"/>
                <w:lang w:val="en-US" w:eastAsia="zh-CN"/>
              </w:rPr>
              <w:t>59.5295</w:t>
            </w:r>
            <w:bookmarkStart w:id="13" w:name="_GoBack"/>
            <w:bookmarkEnd w:id="13"/>
            <w:r>
              <w:rPr>
                <w:rFonts w:ascii="Times New Roman" w:hAnsi="Times New Roman"/>
                <w:color w:val="auto"/>
                <w:kern w:val="0"/>
                <w:sz w:val="21"/>
                <w:szCs w:val="21"/>
                <w:highlight w:val="none"/>
              </w:rPr>
              <w:t>万元）</w:t>
            </w:r>
          </w:p>
        </w:tc>
      </w:tr>
      <w:tr w14:paraId="5281041E">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2316" w:type="dxa"/>
            <w:shd w:val="clear" w:color="auto" w:fill="auto"/>
            <w:noWrap/>
            <w:vAlign w:val="center"/>
          </w:tcPr>
          <w:p w14:paraId="337BF9E3">
            <w:pPr>
              <w:pStyle w:val="37"/>
              <w:rPr>
                <w:rFonts w:ascii="Times New Roman" w:hAnsi="Times New Roman"/>
                <w:b w:val="0"/>
                <w:bCs/>
                <w:color w:val="auto"/>
                <w:szCs w:val="21"/>
                <w:highlight w:val="none"/>
              </w:rPr>
            </w:pPr>
            <w:r>
              <w:rPr>
                <w:rFonts w:ascii="Times New Roman" w:hAnsi="Times New Roman"/>
                <w:b w:val="0"/>
                <w:bCs/>
                <w:color w:val="auto"/>
                <w:szCs w:val="21"/>
                <w:highlight w:val="none"/>
              </w:rPr>
              <w:t>优点</w:t>
            </w:r>
          </w:p>
        </w:tc>
        <w:tc>
          <w:tcPr>
            <w:tcW w:w="3906" w:type="dxa"/>
            <w:shd w:val="clear" w:color="auto" w:fill="auto"/>
            <w:noWrap/>
            <w:vAlign w:val="center"/>
          </w:tcPr>
          <w:p w14:paraId="362E581A">
            <w:pPr>
              <w:snapToGrid w:val="0"/>
              <w:spacing w:line="240" w:lineRule="auto"/>
              <w:jc w:val="center"/>
              <w:rPr>
                <w:rFonts w:ascii="Times New Roman" w:hAnsi="Times New Roman"/>
                <w:color w:val="auto"/>
                <w:kern w:val="0"/>
                <w:sz w:val="21"/>
                <w:szCs w:val="21"/>
                <w:highlight w:val="none"/>
              </w:rPr>
            </w:pPr>
            <w:r>
              <w:rPr>
                <w:rFonts w:hint="eastAsia" w:ascii="Times New Roman" w:hAnsi="Times New Roman"/>
                <w:color w:val="auto"/>
                <w:kern w:val="0"/>
                <w:sz w:val="21"/>
                <w:szCs w:val="21"/>
                <w:highlight w:val="none"/>
              </w:rPr>
              <w:t>整体性好，</w:t>
            </w:r>
            <w:r>
              <w:rPr>
                <w:rFonts w:ascii="Times New Roman" w:hAnsi="Times New Roman"/>
                <w:color w:val="auto"/>
                <w:kern w:val="0"/>
                <w:sz w:val="21"/>
                <w:szCs w:val="21"/>
                <w:highlight w:val="none"/>
              </w:rPr>
              <w:t>构件</w:t>
            </w:r>
            <w:r>
              <w:rPr>
                <w:rFonts w:hint="eastAsia" w:ascii="Times New Roman" w:hAnsi="Times New Roman"/>
                <w:color w:val="auto"/>
                <w:kern w:val="0"/>
                <w:sz w:val="21"/>
                <w:szCs w:val="21"/>
                <w:highlight w:val="none"/>
              </w:rPr>
              <w:t>体量较</w:t>
            </w:r>
            <w:r>
              <w:rPr>
                <w:rFonts w:ascii="Times New Roman" w:hAnsi="Times New Roman"/>
                <w:color w:val="auto"/>
                <w:kern w:val="0"/>
                <w:sz w:val="21"/>
                <w:szCs w:val="21"/>
                <w:highlight w:val="none"/>
              </w:rPr>
              <w:t>小</w:t>
            </w:r>
          </w:p>
        </w:tc>
        <w:tc>
          <w:tcPr>
            <w:tcW w:w="3757" w:type="dxa"/>
            <w:vAlign w:val="center"/>
          </w:tcPr>
          <w:p w14:paraId="2AF6A0BC">
            <w:pPr>
              <w:snapToGrid w:val="0"/>
              <w:spacing w:line="240" w:lineRule="auto"/>
              <w:jc w:val="center"/>
              <w:rPr>
                <w:rFonts w:ascii="Times New Roman" w:hAnsi="Times New Roman"/>
                <w:color w:val="auto"/>
                <w:kern w:val="0"/>
                <w:sz w:val="21"/>
                <w:szCs w:val="21"/>
                <w:highlight w:val="none"/>
              </w:rPr>
            </w:pPr>
            <w:r>
              <w:rPr>
                <w:rFonts w:ascii="Times New Roman" w:hAnsi="Times New Roman"/>
                <w:color w:val="auto"/>
                <w:kern w:val="0"/>
                <w:sz w:val="21"/>
                <w:szCs w:val="21"/>
                <w:highlight w:val="none"/>
              </w:rPr>
              <w:t>上构预制质量易控制</w:t>
            </w:r>
          </w:p>
        </w:tc>
      </w:tr>
      <w:tr w14:paraId="4EBE94BF">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2316" w:type="dxa"/>
            <w:shd w:val="clear" w:color="auto" w:fill="auto"/>
            <w:noWrap/>
            <w:vAlign w:val="center"/>
          </w:tcPr>
          <w:p w14:paraId="3A87D91A">
            <w:pPr>
              <w:pStyle w:val="37"/>
              <w:rPr>
                <w:rFonts w:ascii="Times New Roman" w:hAnsi="Times New Roman"/>
                <w:b w:val="0"/>
                <w:bCs/>
                <w:color w:val="auto"/>
                <w:szCs w:val="21"/>
                <w:highlight w:val="none"/>
              </w:rPr>
            </w:pPr>
            <w:r>
              <w:rPr>
                <w:rFonts w:ascii="Times New Roman" w:hAnsi="Times New Roman"/>
                <w:b w:val="0"/>
                <w:bCs/>
                <w:color w:val="auto"/>
                <w:szCs w:val="21"/>
                <w:highlight w:val="none"/>
              </w:rPr>
              <w:t>缺点</w:t>
            </w:r>
          </w:p>
        </w:tc>
        <w:tc>
          <w:tcPr>
            <w:tcW w:w="3906" w:type="dxa"/>
            <w:shd w:val="clear" w:color="auto" w:fill="auto"/>
            <w:noWrap/>
            <w:vAlign w:val="center"/>
          </w:tcPr>
          <w:p w14:paraId="08A08AFF">
            <w:pPr>
              <w:pStyle w:val="49"/>
              <w:snapToGrid w:val="0"/>
              <w:spacing w:line="240" w:lineRule="auto"/>
              <w:ind w:firstLine="0" w:firstLineChars="0"/>
              <w:jc w:val="center"/>
              <w:rPr>
                <w:rFonts w:ascii="Times New Roman" w:hAnsi="Times New Roman"/>
                <w:color w:val="auto"/>
                <w:kern w:val="0"/>
                <w:sz w:val="21"/>
                <w:szCs w:val="21"/>
                <w:highlight w:val="none"/>
              </w:rPr>
            </w:pPr>
            <w:r>
              <w:rPr>
                <w:rFonts w:hint="eastAsia" w:ascii="Times New Roman" w:hAnsi="Times New Roman"/>
                <w:color w:val="auto"/>
                <w:kern w:val="0"/>
                <w:sz w:val="21"/>
                <w:szCs w:val="21"/>
                <w:highlight w:val="none"/>
              </w:rPr>
              <w:t>现场预制对施工要求较高</w:t>
            </w:r>
          </w:p>
        </w:tc>
        <w:tc>
          <w:tcPr>
            <w:tcW w:w="3757" w:type="dxa"/>
            <w:vAlign w:val="center"/>
          </w:tcPr>
          <w:p w14:paraId="1201163B">
            <w:pPr>
              <w:pStyle w:val="49"/>
              <w:snapToGrid w:val="0"/>
              <w:spacing w:line="240" w:lineRule="auto"/>
              <w:ind w:firstLine="0" w:firstLineChars="0"/>
              <w:jc w:val="center"/>
              <w:rPr>
                <w:rFonts w:ascii="Times New Roman" w:hAnsi="Times New Roman"/>
                <w:color w:val="auto"/>
                <w:kern w:val="0"/>
                <w:sz w:val="21"/>
                <w:szCs w:val="21"/>
                <w:highlight w:val="none"/>
              </w:rPr>
            </w:pPr>
            <w:r>
              <w:rPr>
                <w:rFonts w:ascii="Times New Roman" w:hAnsi="Times New Roman"/>
                <w:color w:val="auto"/>
                <w:kern w:val="0"/>
                <w:sz w:val="21"/>
                <w:szCs w:val="21"/>
                <w:highlight w:val="none"/>
              </w:rPr>
              <w:t>采用深铰缝，整体性稍微差</w:t>
            </w:r>
            <w:r>
              <w:rPr>
                <w:rFonts w:hint="eastAsia" w:ascii="Times New Roman" w:hAnsi="Times New Roman"/>
                <w:color w:val="auto"/>
                <w:kern w:val="0"/>
                <w:sz w:val="21"/>
                <w:szCs w:val="21"/>
                <w:highlight w:val="none"/>
              </w:rPr>
              <w:t>，</w:t>
            </w:r>
            <w:r>
              <w:rPr>
                <w:rFonts w:ascii="Times New Roman" w:hAnsi="Times New Roman"/>
                <w:color w:val="auto"/>
                <w:kern w:val="0"/>
                <w:sz w:val="21"/>
                <w:szCs w:val="21"/>
                <w:highlight w:val="none"/>
              </w:rPr>
              <w:t>混凝土结构运营过程可能会出现裂缝</w:t>
            </w:r>
          </w:p>
        </w:tc>
      </w:tr>
      <w:tr w14:paraId="13DCCE98">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2316" w:type="dxa"/>
            <w:shd w:val="clear" w:color="auto" w:fill="auto"/>
            <w:noWrap/>
            <w:vAlign w:val="center"/>
          </w:tcPr>
          <w:p w14:paraId="005D4FE3">
            <w:pPr>
              <w:snapToGrid w:val="0"/>
              <w:spacing w:line="240" w:lineRule="auto"/>
              <w:ind w:firstLine="199" w:firstLineChars="95"/>
              <w:jc w:val="center"/>
              <w:rPr>
                <w:rFonts w:ascii="Times New Roman" w:hAnsi="Times New Roman"/>
                <w:bCs/>
                <w:color w:val="auto"/>
                <w:sz w:val="21"/>
                <w:szCs w:val="21"/>
                <w:highlight w:val="none"/>
              </w:rPr>
            </w:pPr>
            <w:r>
              <w:rPr>
                <w:rFonts w:ascii="Times New Roman" w:hAnsi="Times New Roman"/>
                <w:bCs/>
                <w:color w:val="auto"/>
                <w:sz w:val="21"/>
                <w:szCs w:val="21"/>
                <w:highlight w:val="none"/>
              </w:rPr>
              <w:t>比选结果</w:t>
            </w:r>
          </w:p>
        </w:tc>
        <w:tc>
          <w:tcPr>
            <w:tcW w:w="3906" w:type="dxa"/>
            <w:shd w:val="clear" w:color="auto" w:fill="auto"/>
            <w:noWrap/>
            <w:vAlign w:val="center"/>
          </w:tcPr>
          <w:p w14:paraId="16CE6B8B">
            <w:pPr>
              <w:autoSpaceDE w:val="0"/>
              <w:autoSpaceDN w:val="0"/>
              <w:snapToGrid w:val="0"/>
              <w:spacing w:line="240" w:lineRule="auto"/>
              <w:jc w:val="center"/>
              <w:rPr>
                <w:rFonts w:ascii="Times New Roman" w:hAnsi="Times New Roman"/>
                <w:b/>
                <w:color w:val="auto"/>
                <w:kern w:val="0"/>
                <w:sz w:val="21"/>
                <w:szCs w:val="21"/>
                <w:highlight w:val="none"/>
              </w:rPr>
            </w:pPr>
            <w:r>
              <w:rPr>
                <w:rFonts w:ascii="Times New Roman" w:hAnsi="Times New Roman"/>
                <w:b/>
                <w:color w:val="auto"/>
                <w:kern w:val="0"/>
                <w:sz w:val="21"/>
                <w:szCs w:val="21"/>
                <w:highlight w:val="none"/>
              </w:rPr>
              <w:t>推荐方案</w:t>
            </w:r>
          </w:p>
        </w:tc>
        <w:tc>
          <w:tcPr>
            <w:tcW w:w="3757" w:type="dxa"/>
            <w:vAlign w:val="center"/>
          </w:tcPr>
          <w:p w14:paraId="08007031">
            <w:pPr>
              <w:autoSpaceDE w:val="0"/>
              <w:autoSpaceDN w:val="0"/>
              <w:snapToGrid w:val="0"/>
              <w:spacing w:line="240" w:lineRule="auto"/>
              <w:jc w:val="center"/>
              <w:rPr>
                <w:rFonts w:ascii="Times New Roman" w:hAnsi="Times New Roman"/>
                <w:b/>
                <w:color w:val="auto"/>
                <w:sz w:val="21"/>
                <w:szCs w:val="21"/>
                <w:highlight w:val="none"/>
              </w:rPr>
            </w:pPr>
            <w:r>
              <w:rPr>
                <w:rFonts w:ascii="Times New Roman" w:hAnsi="Times New Roman"/>
                <w:b/>
                <w:color w:val="auto"/>
                <w:kern w:val="0"/>
                <w:sz w:val="21"/>
                <w:szCs w:val="21"/>
                <w:highlight w:val="none"/>
              </w:rPr>
              <w:t>比选方案一</w:t>
            </w:r>
          </w:p>
        </w:tc>
      </w:tr>
    </w:tbl>
    <w:p w14:paraId="18EE4B22">
      <w:pPr>
        <w:ind w:firstLine="480"/>
        <w:rPr>
          <w:rFonts w:ascii="Times New Roman" w:hAnsi="Times New Roman"/>
          <w:color w:val="auto"/>
          <w:highlight w:val="none"/>
        </w:rPr>
      </w:pPr>
      <w:r>
        <w:rPr>
          <w:rFonts w:ascii="Times New Roman" w:hAnsi="Times New Roman"/>
          <w:color w:val="auto"/>
          <w:highlight w:val="none"/>
        </w:rPr>
        <w:t>推荐采用方案一：拆除新建：拆除旧拱桥，新建</w:t>
      </w:r>
      <w:r>
        <w:rPr>
          <w:rFonts w:hint="eastAsia" w:ascii="Times New Roman" w:hAnsi="Times New Roman"/>
          <w:color w:val="auto"/>
          <w:highlight w:val="none"/>
        </w:rPr>
        <w:t>2</w:t>
      </w:r>
      <w:r>
        <w:rPr>
          <w:rFonts w:ascii="Times New Roman" w:hAnsi="Times New Roman"/>
          <w:color w:val="auto"/>
          <w:highlight w:val="none"/>
        </w:rPr>
        <w:t>×1</w:t>
      </w:r>
      <w:r>
        <w:rPr>
          <w:rFonts w:hint="eastAsia" w:ascii="Times New Roman" w:hAnsi="Times New Roman"/>
          <w:color w:val="auto"/>
          <w:highlight w:val="none"/>
        </w:rPr>
        <w:t>3</w:t>
      </w:r>
      <w:r>
        <w:rPr>
          <w:rFonts w:ascii="Times New Roman" w:hAnsi="Times New Roman"/>
          <w:color w:val="auto"/>
          <w:highlight w:val="none"/>
        </w:rPr>
        <w:t>m</w:t>
      </w:r>
      <w:r>
        <w:rPr>
          <w:rFonts w:hint="eastAsia" w:ascii="Times New Roman" w:hAnsi="Times New Roman"/>
          <w:color w:val="auto"/>
          <w:highlight w:val="none"/>
        </w:rPr>
        <w:t>现浇简支钢筋混凝土空心板</w:t>
      </w:r>
      <w:r>
        <w:rPr>
          <w:rFonts w:ascii="Times New Roman" w:hAnsi="Times New Roman"/>
          <w:color w:val="auto"/>
          <w:highlight w:val="none"/>
        </w:rPr>
        <w:t>桥，下部结构桥台采用</w:t>
      </w:r>
      <w:r>
        <w:rPr>
          <w:rFonts w:hint="eastAsia" w:ascii="Times New Roman" w:hAnsi="Times New Roman"/>
          <w:color w:val="auto"/>
          <w:highlight w:val="none"/>
        </w:rPr>
        <w:t>桩柱</w:t>
      </w:r>
      <w:r>
        <w:rPr>
          <w:rFonts w:ascii="Times New Roman" w:hAnsi="Times New Roman"/>
          <w:color w:val="auto"/>
          <w:highlight w:val="none"/>
        </w:rPr>
        <w:t>式桥台</w:t>
      </w:r>
      <w:r>
        <w:rPr>
          <w:rFonts w:hint="eastAsia" w:ascii="Times New Roman" w:hAnsi="Times New Roman"/>
          <w:color w:val="auto"/>
          <w:highlight w:val="none"/>
        </w:rPr>
        <w:t>，双柱式桥墩，墩台均采用摩擦桩基础</w:t>
      </w:r>
      <w:r>
        <w:rPr>
          <w:rFonts w:ascii="Times New Roman" w:hAnsi="Times New Roman"/>
          <w:color w:val="auto"/>
          <w:highlight w:val="none"/>
        </w:rPr>
        <w:t>。</w:t>
      </w:r>
    </w:p>
    <w:p w14:paraId="08C51FF1">
      <w:pPr>
        <w:pStyle w:val="4"/>
        <w:adjustRightInd w:val="0"/>
        <w:snapToGrid w:val="0"/>
        <w:spacing w:before="97" w:beforeLines="30"/>
        <w:ind w:firstLine="482"/>
        <w:jc w:val="both"/>
        <w:rPr>
          <w:rFonts w:eastAsiaTheme="minorEastAsia"/>
          <w:color w:val="auto"/>
          <w:szCs w:val="32"/>
          <w:highlight w:val="none"/>
          <w:lang w:val="zh-CN"/>
        </w:rPr>
      </w:pPr>
      <w:r>
        <w:rPr>
          <w:rFonts w:eastAsiaTheme="minorEastAsia"/>
          <w:color w:val="auto"/>
          <w:szCs w:val="32"/>
          <w:highlight w:val="none"/>
          <w:lang w:val="zh-CN"/>
        </w:rPr>
        <w:t>4.5.3  桥梁结构分析计算及计算参数的选取情况</w:t>
      </w:r>
    </w:p>
    <w:p w14:paraId="0D671C41">
      <w:pPr>
        <w:ind w:firstLine="480"/>
        <w:rPr>
          <w:rFonts w:ascii="Times New Roman" w:hAnsi="Times New Roman" w:eastAsiaTheme="minorEastAsia"/>
          <w:color w:val="auto"/>
          <w:highlight w:val="none"/>
        </w:rPr>
      </w:pPr>
      <w:r>
        <w:rPr>
          <w:rFonts w:ascii="Times New Roman" w:hAnsi="Times New Roman" w:eastAsiaTheme="minorEastAsia"/>
          <w:color w:val="auto"/>
          <w:highlight w:val="none"/>
        </w:rPr>
        <w:t>1、本桥上部结构体系为简支结构，按</w:t>
      </w:r>
      <w:r>
        <w:rPr>
          <w:rFonts w:hint="eastAsia"/>
          <w:color w:val="auto"/>
          <w:highlight w:val="none"/>
        </w:rPr>
        <w:t>按钢筋砼构件设计</w:t>
      </w:r>
      <w:r>
        <w:rPr>
          <w:rFonts w:ascii="Times New Roman" w:hAnsi="Times New Roman" w:eastAsiaTheme="minorEastAsia"/>
          <w:color w:val="auto"/>
          <w:highlight w:val="none"/>
        </w:rPr>
        <w:t>。</w:t>
      </w:r>
    </w:p>
    <w:p w14:paraId="47B39C05">
      <w:pPr>
        <w:ind w:firstLine="480"/>
        <w:rPr>
          <w:rFonts w:ascii="Times New Roman" w:hAnsi="Times New Roman" w:eastAsiaTheme="minorEastAsia"/>
          <w:color w:val="auto"/>
          <w:highlight w:val="none"/>
        </w:rPr>
      </w:pPr>
      <w:r>
        <w:rPr>
          <w:rFonts w:ascii="Times New Roman" w:hAnsi="Times New Roman" w:eastAsiaTheme="minorEastAsia"/>
          <w:color w:val="auto"/>
          <w:highlight w:val="none"/>
        </w:rPr>
        <w:t>2、内力计算采用平面杆系结构计算软件计算。</w:t>
      </w:r>
    </w:p>
    <w:p w14:paraId="507556DF">
      <w:pPr>
        <w:ind w:firstLine="480"/>
        <w:rPr>
          <w:rFonts w:ascii="Times New Roman" w:hAnsi="Times New Roman" w:eastAsiaTheme="minorEastAsia"/>
          <w:color w:val="auto"/>
          <w:highlight w:val="none"/>
        </w:rPr>
      </w:pPr>
      <w:r>
        <w:rPr>
          <w:rFonts w:ascii="Times New Roman" w:hAnsi="Times New Roman" w:eastAsiaTheme="minorEastAsia"/>
          <w:color w:val="auto"/>
          <w:highlight w:val="none"/>
        </w:rPr>
        <w:t>3、设计参数</w:t>
      </w:r>
    </w:p>
    <w:p w14:paraId="40927A02">
      <w:pPr>
        <w:ind w:firstLine="480"/>
        <w:rPr>
          <w:rFonts w:ascii="Times New Roman" w:hAnsi="Times New Roman" w:eastAsiaTheme="minorEastAsia"/>
          <w:color w:val="auto"/>
          <w:highlight w:val="none"/>
        </w:rPr>
      </w:pPr>
      <w:r>
        <w:rPr>
          <w:rFonts w:ascii="Times New Roman" w:hAnsi="Times New Roman" w:eastAsiaTheme="minorEastAsia"/>
          <w:color w:val="auto"/>
          <w:highlight w:val="none"/>
        </w:rPr>
        <w:t>1）相对湿度：75％；</w:t>
      </w:r>
    </w:p>
    <w:p w14:paraId="4E5F8621">
      <w:pPr>
        <w:ind w:firstLine="480"/>
        <w:rPr>
          <w:rFonts w:ascii="Times New Roman" w:hAnsi="Times New Roman" w:eastAsiaTheme="minorEastAsia"/>
          <w:color w:val="auto"/>
          <w:highlight w:val="none"/>
        </w:rPr>
      </w:pPr>
      <w:r>
        <w:rPr>
          <w:rFonts w:ascii="Times New Roman" w:hAnsi="Times New Roman" w:eastAsiaTheme="minorEastAsia"/>
          <w:color w:val="auto"/>
          <w:highlight w:val="none"/>
        </w:rPr>
        <w:t>2）C50混凝土：重力密度γ=26.0kN/m3，弹性模量为E=3.45×104MPa。</w:t>
      </w:r>
    </w:p>
    <w:p w14:paraId="41A96CF1">
      <w:pPr>
        <w:ind w:firstLine="480"/>
        <w:rPr>
          <w:rFonts w:ascii="Times New Roman" w:hAnsi="Times New Roman" w:eastAsiaTheme="minorEastAsia"/>
          <w:color w:val="auto"/>
          <w:highlight w:val="none"/>
        </w:rPr>
      </w:pPr>
      <w:r>
        <w:rPr>
          <w:rFonts w:hint="eastAsia" w:ascii="Times New Roman" w:hAnsi="Times New Roman" w:eastAsiaTheme="minorEastAsia"/>
          <w:color w:val="auto"/>
          <w:highlight w:val="none"/>
        </w:rPr>
        <w:t>3</w:t>
      </w:r>
      <w:r>
        <w:rPr>
          <w:rFonts w:ascii="Times New Roman" w:hAnsi="Times New Roman" w:eastAsiaTheme="minorEastAsia"/>
          <w:color w:val="auto"/>
          <w:highlight w:val="none"/>
        </w:rPr>
        <w:t>）支座不均匀沉降：Δ=5mm。</w:t>
      </w:r>
    </w:p>
    <w:p w14:paraId="1BC521EF">
      <w:pPr>
        <w:ind w:firstLine="480"/>
        <w:rPr>
          <w:rFonts w:ascii="Times New Roman" w:hAnsi="Times New Roman" w:eastAsiaTheme="minorEastAsia"/>
          <w:color w:val="auto"/>
          <w:highlight w:val="none"/>
        </w:rPr>
      </w:pPr>
      <w:r>
        <w:rPr>
          <w:rFonts w:hint="eastAsia" w:ascii="Times New Roman" w:hAnsi="Times New Roman" w:eastAsiaTheme="minorEastAsia"/>
          <w:color w:val="auto"/>
          <w:highlight w:val="none"/>
        </w:rPr>
        <w:t>4</w:t>
      </w:r>
      <w:r>
        <w:rPr>
          <w:rFonts w:ascii="Times New Roman" w:hAnsi="Times New Roman" w:eastAsiaTheme="minorEastAsia"/>
          <w:color w:val="auto"/>
          <w:highlight w:val="none"/>
        </w:rPr>
        <w:t>）环境条件：采用</w:t>
      </w:r>
      <w:r>
        <w:rPr>
          <w:rFonts w:hint="eastAsia" w:ascii="宋体" w:hAnsi="宋体" w:cs="宋体"/>
          <w:color w:val="auto"/>
          <w:highlight w:val="none"/>
        </w:rPr>
        <w:t>Ⅰ</w:t>
      </w:r>
      <w:r>
        <w:rPr>
          <w:rFonts w:ascii="Times New Roman" w:hAnsi="Times New Roman" w:eastAsiaTheme="minorEastAsia"/>
          <w:color w:val="auto"/>
          <w:highlight w:val="none"/>
        </w:rPr>
        <w:t>类控制设计。</w:t>
      </w:r>
    </w:p>
    <w:p w14:paraId="74B39321">
      <w:pPr>
        <w:ind w:firstLine="480"/>
        <w:rPr>
          <w:rFonts w:ascii="Times New Roman" w:hAnsi="Times New Roman" w:eastAsiaTheme="minorEastAsia"/>
          <w:color w:val="auto"/>
          <w:highlight w:val="none"/>
        </w:rPr>
      </w:pPr>
      <w:r>
        <w:rPr>
          <w:rFonts w:hint="eastAsia" w:ascii="Times New Roman" w:hAnsi="Times New Roman" w:eastAsiaTheme="minorEastAsia"/>
          <w:color w:val="auto"/>
          <w:highlight w:val="none"/>
        </w:rPr>
        <w:t>5</w:t>
      </w:r>
      <w:r>
        <w:rPr>
          <w:rFonts w:ascii="Times New Roman" w:hAnsi="Times New Roman" w:eastAsiaTheme="minorEastAsia"/>
          <w:color w:val="auto"/>
          <w:highlight w:val="none"/>
        </w:rPr>
        <w:t>）竖向梯度温度效应：《公路桥涵设计通用规范》JTG D60-2015规定取值：</w:t>
      </w:r>
    </w:p>
    <w:p w14:paraId="282059DE">
      <w:pPr>
        <w:ind w:firstLine="480"/>
        <w:rPr>
          <w:rFonts w:ascii="Times New Roman" w:hAnsi="Times New Roman" w:eastAsiaTheme="minorEastAsia"/>
          <w:color w:val="auto"/>
          <w:highlight w:val="none"/>
        </w:rPr>
      </w:pPr>
      <w:r>
        <w:rPr>
          <w:rFonts w:ascii="Times New Roman" w:hAnsi="Times New Roman" w:eastAsiaTheme="minorEastAsia"/>
          <w:color w:val="auto"/>
          <w:highlight w:val="none"/>
        </w:rPr>
        <w:t xml:space="preserve">  竖向日照正温差： T1=14</w:t>
      </w:r>
      <w:r>
        <w:rPr>
          <w:rFonts w:hint="eastAsia" w:ascii="宋体" w:hAnsi="宋体" w:cs="宋体"/>
          <w:color w:val="auto"/>
          <w:highlight w:val="none"/>
        </w:rPr>
        <w:t>℃</w:t>
      </w:r>
      <w:r>
        <w:rPr>
          <w:rFonts w:ascii="Times New Roman" w:hAnsi="Times New Roman" w:eastAsiaTheme="minorEastAsia"/>
          <w:color w:val="auto"/>
          <w:highlight w:val="none"/>
        </w:rPr>
        <w:t>，T2=5.5</w:t>
      </w:r>
      <w:r>
        <w:rPr>
          <w:rFonts w:hint="eastAsia" w:ascii="宋体" w:hAnsi="宋体" w:cs="宋体"/>
          <w:color w:val="auto"/>
          <w:highlight w:val="none"/>
        </w:rPr>
        <w:t>℃</w:t>
      </w:r>
      <w:r>
        <w:rPr>
          <w:rFonts w:ascii="Times New Roman" w:hAnsi="Times New Roman" w:eastAsiaTheme="minorEastAsia"/>
          <w:color w:val="auto"/>
          <w:highlight w:val="none"/>
        </w:rPr>
        <w:t>，A=300 mm；</w:t>
      </w:r>
    </w:p>
    <w:p w14:paraId="7C245D4E">
      <w:pPr>
        <w:ind w:firstLine="480"/>
        <w:rPr>
          <w:rFonts w:ascii="Times New Roman" w:hAnsi="Times New Roman" w:eastAsiaTheme="minorEastAsia"/>
          <w:color w:val="auto"/>
          <w:highlight w:val="none"/>
        </w:rPr>
      </w:pPr>
      <w:r>
        <w:rPr>
          <w:rFonts w:ascii="Times New Roman" w:hAnsi="Times New Roman" w:eastAsiaTheme="minorEastAsia"/>
          <w:color w:val="auto"/>
          <w:highlight w:val="none"/>
        </w:rPr>
        <w:t xml:space="preserve">  竖向日照反温差： T1=-7</w:t>
      </w:r>
      <w:r>
        <w:rPr>
          <w:rFonts w:hint="eastAsia" w:ascii="宋体" w:hAnsi="宋体" w:cs="宋体"/>
          <w:color w:val="auto"/>
          <w:highlight w:val="none"/>
        </w:rPr>
        <w:t>℃</w:t>
      </w:r>
      <w:r>
        <w:rPr>
          <w:rFonts w:ascii="Times New Roman" w:hAnsi="Times New Roman" w:eastAsiaTheme="minorEastAsia"/>
          <w:color w:val="auto"/>
          <w:highlight w:val="none"/>
        </w:rPr>
        <w:t>，T2=-2.75</w:t>
      </w:r>
      <w:r>
        <w:rPr>
          <w:rFonts w:hint="eastAsia" w:ascii="宋体" w:hAnsi="宋体" w:cs="宋体"/>
          <w:color w:val="auto"/>
          <w:highlight w:val="none"/>
        </w:rPr>
        <w:t>℃</w:t>
      </w:r>
      <w:r>
        <w:rPr>
          <w:rFonts w:ascii="Times New Roman" w:hAnsi="Times New Roman" w:eastAsiaTheme="minorEastAsia"/>
          <w:color w:val="auto"/>
          <w:highlight w:val="none"/>
        </w:rPr>
        <w:t>，A=300 mm。</w:t>
      </w:r>
    </w:p>
    <w:p w14:paraId="1A1C7A5D">
      <w:pPr>
        <w:ind w:firstLine="480"/>
        <w:rPr>
          <w:rFonts w:ascii="Times New Roman" w:hAnsi="Times New Roman" w:eastAsiaTheme="minorEastAsia"/>
          <w:color w:val="auto"/>
          <w:highlight w:val="none"/>
        </w:rPr>
      </w:pPr>
      <w:r>
        <w:rPr>
          <w:rFonts w:hint="eastAsia" w:ascii="Times New Roman" w:hAnsi="Times New Roman" w:eastAsiaTheme="minorEastAsia"/>
          <w:color w:val="auto"/>
          <w:highlight w:val="none"/>
        </w:rPr>
        <w:t>6</w:t>
      </w:r>
      <w:r>
        <w:rPr>
          <w:rFonts w:ascii="Times New Roman" w:hAnsi="Times New Roman" w:eastAsiaTheme="minorEastAsia"/>
          <w:color w:val="auto"/>
          <w:highlight w:val="none"/>
        </w:rPr>
        <w:t>）桥面铺装按二期恒载考虑。</w:t>
      </w:r>
    </w:p>
    <w:p w14:paraId="518F1388">
      <w:pPr>
        <w:ind w:firstLine="480"/>
        <w:rPr>
          <w:rFonts w:ascii="Times New Roman" w:hAnsi="Times New Roman" w:eastAsiaTheme="minorEastAsia"/>
          <w:color w:val="auto"/>
          <w:highlight w:val="none"/>
        </w:rPr>
      </w:pPr>
      <w:r>
        <w:rPr>
          <w:rFonts w:ascii="Times New Roman" w:hAnsi="Times New Roman" w:eastAsiaTheme="minorEastAsia"/>
          <w:color w:val="auto"/>
          <w:kern w:val="0"/>
          <w:highlight w:val="none"/>
        </w:rPr>
        <w:t>4、</w:t>
      </w:r>
      <w:r>
        <w:rPr>
          <w:rFonts w:ascii="Times New Roman" w:hAnsi="Times New Roman" w:eastAsiaTheme="minorEastAsia"/>
          <w:color w:val="auto"/>
          <w:highlight w:val="none"/>
        </w:rPr>
        <w:t>梁梁端支点最大反力(汽车荷载考虑冲击系数)：</w:t>
      </w:r>
    </w:p>
    <w:p w14:paraId="78ED28C3">
      <w:pPr>
        <w:pStyle w:val="37"/>
        <w:rPr>
          <w:rFonts w:ascii="Times New Roman" w:hAnsi="Times New Roman" w:eastAsiaTheme="minorEastAsia"/>
          <w:b w:val="0"/>
          <w:bCs/>
          <w:color w:val="auto"/>
          <w:szCs w:val="24"/>
          <w:highlight w:val="none"/>
        </w:rPr>
      </w:pPr>
      <w:r>
        <w:rPr>
          <w:rFonts w:hint="eastAsia" w:ascii="Times New Roman" w:hAnsi="Times New Roman" w:eastAsiaTheme="minorEastAsia"/>
          <w:b w:val="0"/>
          <w:bCs/>
          <w:color w:val="auto"/>
          <w:szCs w:val="24"/>
          <w:highlight w:val="none"/>
        </w:rPr>
        <w:t xml:space="preserve">        </w:t>
      </w:r>
      <w:r>
        <w:rPr>
          <w:rFonts w:hint="eastAsia" w:ascii="Times New Roman" w:hAnsi="Times New Roman" w:eastAsiaTheme="minorEastAsia"/>
          <w:bCs/>
          <w:color w:val="auto"/>
          <w:szCs w:val="24"/>
          <w:highlight w:val="none"/>
        </w:rPr>
        <w:t xml:space="preserve">     </w:t>
      </w:r>
      <w:r>
        <w:rPr>
          <w:rFonts w:ascii="Times New Roman" w:hAnsi="Times New Roman" w:eastAsiaTheme="minorEastAsia"/>
          <w:bCs/>
          <w:color w:val="auto"/>
          <w:szCs w:val="24"/>
          <w:highlight w:val="none"/>
        </w:rPr>
        <w:t>梁梁端支点最大反力</w:t>
      </w:r>
      <w:r>
        <w:rPr>
          <w:rFonts w:ascii="Times New Roman" w:hAnsi="Times New Roman" w:eastAsiaTheme="minorEastAsia"/>
          <w:b w:val="0"/>
          <w:bCs/>
          <w:color w:val="auto"/>
          <w:szCs w:val="24"/>
          <w:highlight w:val="none"/>
        </w:rPr>
        <w:t xml:space="preserve">                单位：kN</w:t>
      </w:r>
    </w:p>
    <w:tbl>
      <w:tblPr>
        <w:tblStyle w:val="26"/>
        <w:tblW w:w="5000" w:type="pct"/>
        <w:jc w:val="center"/>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Layout w:type="autofit"/>
        <w:tblCellMar>
          <w:top w:w="0" w:type="dxa"/>
          <w:left w:w="108" w:type="dxa"/>
          <w:bottom w:w="0" w:type="dxa"/>
          <w:right w:w="108" w:type="dxa"/>
        </w:tblCellMar>
      </w:tblPr>
      <w:tblGrid>
        <w:gridCol w:w="1620"/>
        <w:gridCol w:w="2867"/>
        <w:gridCol w:w="2869"/>
        <w:gridCol w:w="2869"/>
      </w:tblGrid>
      <w:tr w14:paraId="59E9FA64">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392" w:hRule="atLeast"/>
          <w:jc w:val="center"/>
        </w:trPr>
        <w:tc>
          <w:tcPr>
            <w:tcW w:w="792" w:type="pct"/>
            <w:vAlign w:val="center"/>
          </w:tcPr>
          <w:p w14:paraId="3D41B14F">
            <w:pPr>
              <w:spacing w:line="240" w:lineRule="auto"/>
              <w:jc w:val="center"/>
              <w:rPr>
                <w:rFonts w:ascii="Times New Roman" w:hAnsi="Times New Roman"/>
                <w:color w:val="auto"/>
                <w:sz w:val="21"/>
                <w:szCs w:val="21"/>
                <w:highlight w:val="none"/>
              </w:rPr>
            </w:pPr>
            <w:r>
              <w:rPr>
                <w:rFonts w:ascii="Times New Roman" w:hAnsi="Times New Roman"/>
                <w:color w:val="auto"/>
                <w:sz w:val="21"/>
                <w:szCs w:val="21"/>
                <w:highlight w:val="none"/>
              </w:rPr>
              <w:t>位  置</w:t>
            </w:r>
          </w:p>
        </w:tc>
        <w:tc>
          <w:tcPr>
            <w:tcW w:w="1401" w:type="pct"/>
            <w:vAlign w:val="center"/>
          </w:tcPr>
          <w:p w14:paraId="1C3BEFE7">
            <w:pPr>
              <w:spacing w:line="240" w:lineRule="auto"/>
              <w:jc w:val="center"/>
              <w:rPr>
                <w:rFonts w:ascii="Times New Roman" w:hAnsi="Times New Roman"/>
                <w:color w:val="auto"/>
                <w:sz w:val="21"/>
                <w:szCs w:val="21"/>
                <w:highlight w:val="none"/>
              </w:rPr>
            </w:pPr>
            <w:r>
              <w:rPr>
                <w:rFonts w:ascii="Times New Roman" w:hAnsi="Times New Roman"/>
                <w:color w:val="auto"/>
                <w:sz w:val="21"/>
                <w:szCs w:val="21"/>
                <w:highlight w:val="none"/>
              </w:rPr>
              <w:t>恒载</w:t>
            </w:r>
          </w:p>
        </w:tc>
        <w:tc>
          <w:tcPr>
            <w:tcW w:w="1402" w:type="pct"/>
            <w:vAlign w:val="center"/>
          </w:tcPr>
          <w:p w14:paraId="426F4058">
            <w:pPr>
              <w:spacing w:line="240" w:lineRule="auto"/>
              <w:jc w:val="center"/>
              <w:rPr>
                <w:rFonts w:ascii="Times New Roman" w:hAnsi="Times New Roman"/>
                <w:color w:val="auto"/>
                <w:sz w:val="21"/>
                <w:szCs w:val="21"/>
                <w:highlight w:val="none"/>
              </w:rPr>
            </w:pPr>
            <w:r>
              <w:rPr>
                <w:rFonts w:ascii="Times New Roman" w:hAnsi="Times New Roman"/>
                <w:color w:val="auto"/>
                <w:sz w:val="21"/>
                <w:szCs w:val="21"/>
                <w:highlight w:val="none"/>
              </w:rPr>
              <w:t>汽车荷载</w:t>
            </w:r>
          </w:p>
        </w:tc>
        <w:tc>
          <w:tcPr>
            <w:tcW w:w="1402" w:type="pct"/>
            <w:vAlign w:val="center"/>
          </w:tcPr>
          <w:p w14:paraId="41043820">
            <w:pPr>
              <w:spacing w:line="240" w:lineRule="auto"/>
              <w:jc w:val="center"/>
              <w:rPr>
                <w:rFonts w:ascii="Times New Roman" w:hAnsi="Times New Roman"/>
                <w:color w:val="auto"/>
                <w:sz w:val="21"/>
                <w:szCs w:val="21"/>
                <w:highlight w:val="none"/>
              </w:rPr>
            </w:pPr>
            <w:r>
              <w:rPr>
                <w:rFonts w:ascii="Times New Roman" w:hAnsi="Times New Roman"/>
                <w:color w:val="auto"/>
                <w:sz w:val="21"/>
                <w:szCs w:val="21"/>
                <w:highlight w:val="none"/>
              </w:rPr>
              <w:t>恒载+汽车</w:t>
            </w:r>
          </w:p>
        </w:tc>
      </w:tr>
      <w:tr w14:paraId="58CB100C">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392" w:hRule="atLeast"/>
          <w:jc w:val="center"/>
        </w:trPr>
        <w:tc>
          <w:tcPr>
            <w:tcW w:w="792" w:type="pct"/>
            <w:vAlign w:val="center"/>
          </w:tcPr>
          <w:p w14:paraId="0037B535">
            <w:pPr>
              <w:spacing w:line="240" w:lineRule="auto"/>
              <w:jc w:val="center"/>
              <w:rPr>
                <w:rFonts w:ascii="Times New Roman" w:hAnsi="Times New Roman" w:eastAsia="仿宋_GB2312"/>
                <w:color w:val="auto"/>
                <w:sz w:val="21"/>
                <w:szCs w:val="21"/>
                <w:highlight w:val="none"/>
              </w:rPr>
            </w:pPr>
            <w:r>
              <w:rPr>
                <w:rFonts w:hint="eastAsia" w:ascii="Times New Roman" w:hAnsi="Times New Roman"/>
                <w:color w:val="auto"/>
                <w:sz w:val="21"/>
                <w:szCs w:val="21"/>
                <w:highlight w:val="none"/>
              </w:rPr>
              <w:t>主</w:t>
            </w:r>
            <w:r>
              <w:rPr>
                <w:rFonts w:ascii="Times New Roman" w:hAnsi="Times New Roman"/>
                <w:color w:val="auto"/>
                <w:sz w:val="21"/>
                <w:szCs w:val="21"/>
                <w:highlight w:val="none"/>
              </w:rPr>
              <w:t>梁</w:t>
            </w:r>
          </w:p>
        </w:tc>
        <w:tc>
          <w:tcPr>
            <w:tcW w:w="1401" w:type="pct"/>
            <w:vAlign w:val="center"/>
          </w:tcPr>
          <w:p w14:paraId="742F74CA">
            <w:pPr>
              <w:spacing w:line="240" w:lineRule="auto"/>
              <w:jc w:val="center"/>
              <w:rPr>
                <w:rFonts w:ascii="Times New Roman" w:hAnsi="Times New Roman" w:eastAsia="仿宋_GB2312"/>
                <w:color w:val="auto"/>
                <w:sz w:val="21"/>
                <w:szCs w:val="21"/>
                <w:highlight w:val="none"/>
              </w:rPr>
            </w:pPr>
            <w:r>
              <w:rPr>
                <w:rFonts w:hint="eastAsia" w:ascii="Times New Roman" w:hAnsi="Times New Roman" w:eastAsia="仿宋_GB2312"/>
                <w:color w:val="auto"/>
                <w:sz w:val="21"/>
                <w:szCs w:val="21"/>
                <w:highlight w:val="none"/>
              </w:rPr>
              <w:t>1024.5</w:t>
            </w:r>
          </w:p>
        </w:tc>
        <w:tc>
          <w:tcPr>
            <w:tcW w:w="1402" w:type="pct"/>
            <w:vAlign w:val="center"/>
          </w:tcPr>
          <w:p w14:paraId="5BA04E9C">
            <w:pPr>
              <w:spacing w:line="240" w:lineRule="auto"/>
              <w:jc w:val="center"/>
              <w:rPr>
                <w:rFonts w:ascii="Times New Roman" w:hAnsi="Times New Roman" w:eastAsia="仿宋_GB2312"/>
                <w:color w:val="auto"/>
                <w:sz w:val="21"/>
                <w:szCs w:val="21"/>
                <w:highlight w:val="none"/>
              </w:rPr>
            </w:pPr>
            <w:r>
              <w:rPr>
                <w:rFonts w:ascii="Times New Roman" w:hAnsi="Times New Roman" w:eastAsia="仿宋_GB2312"/>
                <w:color w:val="auto"/>
                <w:sz w:val="21"/>
                <w:szCs w:val="21"/>
                <w:highlight w:val="none"/>
              </w:rPr>
              <w:t>17</w:t>
            </w:r>
            <w:r>
              <w:rPr>
                <w:rFonts w:hint="eastAsia" w:ascii="Times New Roman" w:hAnsi="Times New Roman" w:eastAsia="仿宋_GB2312"/>
                <w:color w:val="auto"/>
                <w:sz w:val="21"/>
                <w:szCs w:val="21"/>
                <w:highlight w:val="none"/>
              </w:rPr>
              <w:t>19.2</w:t>
            </w:r>
          </w:p>
        </w:tc>
        <w:tc>
          <w:tcPr>
            <w:tcW w:w="1402" w:type="pct"/>
            <w:vAlign w:val="center"/>
          </w:tcPr>
          <w:p w14:paraId="2FF4AE2F">
            <w:pPr>
              <w:spacing w:line="240" w:lineRule="auto"/>
              <w:jc w:val="center"/>
              <w:rPr>
                <w:rFonts w:ascii="Times New Roman" w:hAnsi="Times New Roman" w:eastAsia="仿宋_GB2312"/>
                <w:color w:val="auto"/>
                <w:sz w:val="21"/>
                <w:szCs w:val="21"/>
                <w:highlight w:val="none"/>
              </w:rPr>
            </w:pPr>
            <w:r>
              <w:rPr>
                <w:rFonts w:hint="eastAsia" w:ascii="Times New Roman" w:hAnsi="Times New Roman" w:eastAsia="仿宋_GB2312"/>
                <w:color w:val="auto"/>
                <w:sz w:val="21"/>
                <w:szCs w:val="21"/>
                <w:highlight w:val="none"/>
              </w:rPr>
              <w:t>2743.7</w:t>
            </w:r>
          </w:p>
        </w:tc>
      </w:tr>
    </w:tbl>
    <w:p w14:paraId="75D2581E">
      <w:pPr>
        <w:pStyle w:val="2"/>
        <w:numPr>
          <w:ilvl w:val="0"/>
          <w:numId w:val="0"/>
        </w:numPr>
        <w:spacing w:before="120"/>
        <w:rPr>
          <w:rFonts w:ascii="Times New Roman" w:hAnsi="Times New Roman"/>
          <w:color w:val="auto"/>
          <w:highlight w:val="none"/>
        </w:rPr>
      </w:pPr>
      <w:r>
        <w:rPr>
          <w:rFonts w:ascii="Times New Roman" w:hAnsi="Times New Roman"/>
          <w:color w:val="auto"/>
          <w:highlight w:val="none"/>
        </w:rPr>
        <w:t>5  主要材料及新技术、新工艺的采用情况</w:t>
      </w:r>
    </w:p>
    <w:p w14:paraId="218B65F2">
      <w:pPr>
        <w:pStyle w:val="3"/>
        <w:numPr>
          <w:ilvl w:val="0"/>
          <w:numId w:val="0"/>
        </w:numPr>
        <w:ind w:firstLine="280" w:firstLineChars="100"/>
        <w:rPr>
          <w:rFonts w:ascii="Times New Roman" w:hAnsi="Times New Roman"/>
          <w:color w:val="auto"/>
          <w:highlight w:val="none"/>
        </w:rPr>
      </w:pPr>
      <w:r>
        <w:rPr>
          <w:rFonts w:ascii="Times New Roman" w:hAnsi="Times New Roman"/>
          <w:color w:val="auto"/>
          <w:highlight w:val="none"/>
        </w:rPr>
        <w:t>5.1  混凝土</w:t>
      </w:r>
    </w:p>
    <w:p w14:paraId="7BD2AFE1">
      <w:pPr>
        <w:ind w:firstLine="480"/>
        <w:rPr>
          <w:rFonts w:ascii="Times New Roman" w:hAnsi="Times New Roman"/>
          <w:color w:val="auto"/>
          <w:highlight w:val="none"/>
        </w:rPr>
      </w:pPr>
      <w:r>
        <w:rPr>
          <w:rFonts w:ascii="Times New Roman" w:hAnsi="Times New Roman"/>
          <w:color w:val="auto"/>
          <w:kern w:val="0"/>
          <w:highlight w:val="none"/>
        </w:rPr>
        <w:t>1</w:t>
      </w:r>
      <w:r>
        <w:rPr>
          <w:rFonts w:hint="eastAsia" w:ascii="Times New Roman" w:hAnsi="Times New Roman"/>
          <w:color w:val="auto"/>
          <w:kern w:val="0"/>
          <w:highlight w:val="none"/>
          <w:lang w:eastAsia="zh-CN"/>
        </w:rPr>
        <w:t>）</w:t>
      </w:r>
      <w:r>
        <w:rPr>
          <w:rFonts w:ascii="Times New Roman" w:hAnsi="Times New Roman"/>
          <w:color w:val="auto"/>
          <w:kern w:val="0"/>
          <w:highlight w:val="none"/>
        </w:rPr>
        <w:t>、水泥：应采用高品质的强度等级为62.5、52.5的硅酸盐水泥，主梁应采用同一品种水泥。</w:t>
      </w:r>
    </w:p>
    <w:p w14:paraId="5CB24911">
      <w:pPr>
        <w:ind w:firstLine="480"/>
        <w:rPr>
          <w:rFonts w:ascii="Times New Roman" w:hAnsi="Times New Roman"/>
          <w:color w:val="auto"/>
          <w:kern w:val="0"/>
          <w:highlight w:val="none"/>
        </w:rPr>
      </w:pPr>
      <w:r>
        <w:rPr>
          <w:rFonts w:ascii="Times New Roman" w:hAnsi="Times New Roman"/>
          <w:color w:val="auto"/>
          <w:kern w:val="0"/>
          <w:highlight w:val="none"/>
        </w:rPr>
        <w:t>2</w:t>
      </w:r>
      <w:r>
        <w:rPr>
          <w:rFonts w:hint="eastAsia" w:ascii="Times New Roman" w:hAnsi="Times New Roman"/>
          <w:color w:val="auto"/>
          <w:kern w:val="0"/>
          <w:highlight w:val="none"/>
          <w:lang w:eastAsia="zh-CN"/>
        </w:rPr>
        <w:t>）</w:t>
      </w:r>
      <w:r>
        <w:rPr>
          <w:rFonts w:ascii="Times New Roman" w:hAnsi="Times New Roman"/>
          <w:color w:val="auto"/>
          <w:kern w:val="0"/>
          <w:highlight w:val="none"/>
        </w:rPr>
        <w:t>、粗骨料：应采用连续级配，碎石宜采用锤击式破碎生产。碎石最大粒径不宜超过20mm，以防混凝土浇筑困难或振捣不密实。</w:t>
      </w:r>
    </w:p>
    <w:p w14:paraId="3EA9F49B">
      <w:pPr>
        <w:ind w:firstLine="480"/>
        <w:rPr>
          <w:rFonts w:ascii="Times New Roman" w:hAnsi="Times New Roman"/>
          <w:color w:val="auto"/>
          <w:kern w:val="0"/>
          <w:highlight w:val="none"/>
        </w:rPr>
      </w:pPr>
      <w:r>
        <w:rPr>
          <w:rFonts w:ascii="Times New Roman" w:hAnsi="Times New Roman"/>
          <w:color w:val="auto"/>
          <w:kern w:val="0"/>
          <w:highlight w:val="none"/>
        </w:rPr>
        <w:t>3</w:t>
      </w:r>
      <w:r>
        <w:rPr>
          <w:rFonts w:hint="eastAsia" w:ascii="Times New Roman" w:hAnsi="Times New Roman"/>
          <w:color w:val="auto"/>
          <w:kern w:val="0"/>
          <w:highlight w:val="none"/>
          <w:lang w:eastAsia="zh-CN"/>
        </w:rPr>
        <w:t>）</w:t>
      </w:r>
      <w:r>
        <w:rPr>
          <w:rFonts w:ascii="Times New Roman" w:hAnsi="Times New Roman"/>
          <w:color w:val="auto"/>
          <w:kern w:val="0"/>
          <w:highlight w:val="none"/>
        </w:rPr>
        <w:t>、混凝土：</w:t>
      </w:r>
      <w:r>
        <w:rPr>
          <w:rFonts w:hint="eastAsia" w:ascii="Times New Roman" w:hAnsi="Times New Roman"/>
          <w:color w:val="auto"/>
          <w:kern w:val="0"/>
          <w:highlight w:val="none"/>
          <w:lang w:val="en-US" w:eastAsia="zh-CN"/>
        </w:rPr>
        <w:t>现浇</w:t>
      </w:r>
      <w:r>
        <w:rPr>
          <w:rFonts w:ascii="Times New Roman" w:hAnsi="Times New Roman"/>
          <w:color w:val="auto"/>
          <w:kern w:val="0"/>
          <w:highlight w:val="none"/>
        </w:rPr>
        <w:t>主梁、桥面现浇层混凝土均采用C50；</w:t>
      </w:r>
      <w:r>
        <w:rPr>
          <w:rFonts w:hint="eastAsia" w:ascii="Times New Roman" w:hAnsi="Times New Roman"/>
          <w:color w:val="auto"/>
          <w:kern w:val="0"/>
          <w:highlight w:val="none"/>
          <w:lang w:val="en-US" w:eastAsia="zh-CN"/>
        </w:rPr>
        <w:t>桥台耳、背墙及帽梁、桥墩盖梁、桥墩墩身采用C35；</w:t>
      </w:r>
      <w:r>
        <w:rPr>
          <w:rFonts w:ascii="Times New Roman" w:hAnsi="Times New Roman"/>
          <w:color w:val="auto"/>
          <w:kern w:val="0"/>
          <w:highlight w:val="none"/>
        </w:rPr>
        <w:t xml:space="preserve">桥梁桩基、台后搭板采用C30；伸缩缝槽口采用C50钢纤维混凝土；防撞护栏采用C40。 </w:t>
      </w:r>
    </w:p>
    <w:p w14:paraId="1919B993">
      <w:pPr>
        <w:pStyle w:val="3"/>
        <w:numPr>
          <w:ilvl w:val="0"/>
          <w:numId w:val="0"/>
        </w:numPr>
        <w:ind w:firstLine="280" w:firstLineChars="100"/>
        <w:rPr>
          <w:rFonts w:ascii="Times New Roman" w:hAnsi="Times New Roman"/>
          <w:color w:val="auto"/>
          <w:highlight w:val="none"/>
        </w:rPr>
      </w:pPr>
      <w:r>
        <w:rPr>
          <w:rFonts w:ascii="Times New Roman" w:hAnsi="Times New Roman"/>
          <w:color w:val="auto"/>
          <w:highlight w:val="none"/>
        </w:rPr>
        <w:t>5.2  普通钢筋</w:t>
      </w:r>
    </w:p>
    <w:p w14:paraId="0AF0F906">
      <w:pPr>
        <w:ind w:firstLine="480" w:firstLineChars="200"/>
        <w:rPr>
          <w:rFonts w:ascii="Times New Roman" w:hAnsi="Times New Roman"/>
          <w:color w:val="auto"/>
          <w:highlight w:val="none"/>
        </w:rPr>
      </w:pPr>
      <w:r>
        <w:rPr>
          <w:rFonts w:ascii="Times New Roman" w:hAnsi="Times New Roman"/>
          <w:color w:val="auto"/>
          <w:kern w:val="0"/>
          <w:highlight w:val="none"/>
        </w:rPr>
        <w:t>普通钢筋采用HPB300和HRB400钢筋，钢筋应符合《钢筋混凝土用钢第1部分：热轧光圆钢筋筋》(GB1499.1-20</w:t>
      </w:r>
      <w:r>
        <w:rPr>
          <w:rFonts w:hint="eastAsia" w:ascii="Times New Roman" w:hAnsi="Times New Roman"/>
          <w:color w:val="auto"/>
          <w:kern w:val="0"/>
          <w:highlight w:val="none"/>
          <w:lang w:val="en-US" w:eastAsia="zh-CN"/>
        </w:rPr>
        <w:t>24</w:t>
      </w:r>
      <w:r>
        <w:rPr>
          <w:rFonts w:ascii="Times New Roman" w:hAnsi="Times New Roman"/>
          <w:color w:val="auto"/>
          <w:kern w:val="0"/>
          <w:highlight w:val="none"/>
        </w:rPr>
        <w:t>)和《钢筋混凝土用钢第 2 部分：热轧带肋钢筋》(GB1499.2-2</w:t>
      </w:r>
      <w:r>
        <w:rPr>
          <w:rFonts w:hint="eastAsia" w:ascii="Times New Roman" w:hAnsi="Times New Roman"/>
          <w:color w:val="auto"/>
          <w:kern w:val="0"/>
          <w:highlight w:val="none"/>
          <w:lang w:val="en-US" w:eastAsia="zh-CN"/>
        </w:rPr>
        <w:t>024</w:t>
      </w:r>
      <w:r>
        <w:rPr>
          <w:rFonts w:ascii="Times New Roman" w:hAnsi="Times New Roman"/>
          <w:color w:val="auto"/>
          <w:kern w:val="0"/>
          <w:highlight w:val="none"/>
        </w:rPr>
        <w:t>)的规定。</w:t>
      </w:r>
    </w:p>
    <w:p w14:paraId="1D1AEBBC">
      <w:pPr>
        <w:pStyle w:val="3"/>
        <w:numPr>
          <w:ilvl w:val="0"/>
          <w:numId w:val="0"/>
        </w:numPr>
        <w:ind w:firstLine="280" w:firstLineChars="100"/>
        <w:rPr>
          <w:rFonts w:ascii="Times New Roman" w:hAnsi="Times New Roman"/>
          <w:color w:val="auto"/>
          <w:highlight w:val="none"/>
        </w:rPr>
      </w:pPr>
      <w:r>
        <w:rPr>
          <w:rFonts w:ascii="Times New Roman" w:hAnsi="Times New Roman"/>
          <w:color w:val="auto"/>
          <w:highlight w:val="none"/>
        </w:rPr>
        <w:t>5.</w:t>
      </w:r>
      <w:r>
        <w:rPr>
          <w:rFonts w:hint="eastAsia" w:ascii="Times New Roman" w:hAnsi="Times New Roman"/>
          <w:color w:val="auto"/>
          <w:highlight w:val="none"/>
          <w:lang w:val="en-US" w:eastAsia="zh-CN"/>
        </w:rPr>
        <w:t>3</w:t>
      </w:r>
      <w:r>
        <w:rPr>
          <w:rFonts w:ascii="Times New Roman" w:hAnsi="Times New Roman"/>
          <w:color w:val="auto"/>
          <w:highlight w:val="none"/>
        </w:rPr>
        <w:t xml:space="preserve">  其他材料</w:t>
      </w:r>
    </w:p>
    <w:p w14:paraId="2CD24F68">
      <w:pPr>
        <w:ind w:firstLine="480"/>
        <w:rPr>
          <w:rFonts w:ascii="Times New Roman" w:hAnsi="Times New Roman"/>
          <w:color w:val="auto"/>
          <w:highlight w:val="none"/>
        </w:rPr>
      </w:pPr>
      <w:r>
        <w:rPr>
          <w:rFonts w:ascii="Times New Roman" w:hAnsi="Times New Roman"/>
          <w:color w:val="auto"/>
          <w:highlight w:val="none"/>
        </w:rPr>
        <w:t>1</w:t>
      </w:r>
      <w:r>
        <w:rPr>
          <w:rFonts w:hint="eastAsia" w:ascii="Times New Roman" w:hAnsi="Times New Roman"/>
          <w:color w:val="auto"/>
          <w:highlight w:val="none"/>
          <w:lang w:eastAsia="zh-CN"/>
        </w:rPr>
        <w:t>）</w:t>
      </w:r>
      <w:r>
        <w:rPr>
          <w:rFonts w:ascii="Times New Roman" w:hAnsi="Times New Roman"/>
          <w:color w:val="auto"/>
          <w:highlight w:val="none"/>
        </w:rPr>
        <w:t>、钢板：符合《碳素结构钢》（GB/T 700－2006）规定的Q235B钢板。</w:t>
      </w:r>
    </w:p>
    <w:p w14:paraId="58B2B27B">
      <w:pPr>
        <w:ind w:firstLine="480"/>
        <w:rPr>
          <w:rFonts w:ascii="Times New Roman" w:hAnsi="Times New Roman"/>
          <w:color w:val="auto"/>
          <w:highlight w:val="none"/>
        </w:rPr>
      </w:pPr>
      <w:r>
        <w:rPr>
          <w:rFonts w:hint="eastAsia" w:ascii="Times New Roman" w:hAnsi="Times New Roman"/>
          <w:color w:val="auto"/>
          <w:highlight w:val="none"/>
          <w:lang w:val="en-US" w:eastAsia="zh-CN"/>
        </w:rPr>
        <w:t>2）</w:t>
      </w:r>
      <w:r>
        <w:rPr>
          <w:rFonts w:ascii="Times New Roman" w:hAnsi="Times New Roman"/>
          <w:color w:val="auto"/>
          <w:highlight w:val="none"/>
        </w:rPr>
        <w:t>、支座：采用板式橡胶支座，其材料和力学性能均应符合中华人民共和国交通运输行业标准《公路桥梁板式橡胶支座》(JT/T 4-2019)的规定。</w:t>
      </w:r>
    </w:p>
    <w:p w14:paraId="5A75FC43">
      <w:pPr>
        <w:pStyle w:val="23"/>
        <w:keepNext w:val="0"/>
        <w:keepLines w:val="0"/>
        <w:widowControl/>
        <w:suppressLineNumbers w:val="0"/>
        <w:spacing w:before="0" w:beforeAutospacing="0" w:after="0" w:afterAutospacing="0"/>
        <w:ind w:left="0" w:right="0" w:firstLine="0"/>
        <w:rPr>
          <w:rFonts w:ascii="Times New Roman" w:hAnsi="Times New Roman"/>
          <w:color w:val="auto"/>
          <w:highlight w:val="none"/>
        </w:rPr>
      </w:pPr>
      <w:r>
        <w:rPr>
          <w:rFonts w:hint="eastAsia" w:ascii="Times New Roman" w:hAnsi="Times New Roman"/>
          <w:color w:val="auto"/>
          <w:highlight w:val="none"/>
          <w:lang w:val="en-US" w:eastAsia="zh-CN"/>
        </w:rPr>
        <w:t>3）</w:t>
      </w:r>
      <w:r>
        <w:rPr>
          <w:rFonts w:ascii="Times New Roman" w:hAnsi="Times New Roman"/>
          <w:color w:val="auto"/>
          <w:highlight w:val="none"/>
        </w:rPr>
        <w:t>、防水剂：应符合《水性渗透型无机防水剂》(JC/T 1018-2020)的行业标准要求，其技术指标如下：</w:t>
      </w:r>
    </w:p>
    <w:tbl>
      <w:tblPr>
        <w:tblStyle w:val="26"/>
        <w:tblW w:w="5000" w:type="pct"/>
        <w:jc w:val="center"/>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12"/>
        <w:gridCol w:w="5198"/>
        <w:gridCol w:w="3915"/>
      </w:tblGrid>
      <w:tr w14:paraId="70A375EF">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4" w:type="pct"/>
            <w:noWrap/>
            <w:vAlign w:val="center"/>
          </w:tcPr>
          <w:p w14:paraId="7B5B7F89">
            <w:pPr>
              <w:pStyle w:val="37"/>
              <w:rPr>
                <w:rFonts w:ascii="Times New Roman" w:hAnsi="Times New Roman"/>
                <w:b w:val="0"/>
                <w:color w:val="auto"/>
                <w:highlight w:val="none"/>
              </w:rPr>
            </w:pPr>
            <w:r>
              <w:rPr>
                <w:rFonts w:ascii="Times New Roman" w:hAnsi="Times New Roman"/>
                <w:b w:val="0"/>
                <w:color w:val="auto"/>
                <w:highlight w:val="none"/>
              </w:rPr>
              <w:t>序号</w:t>
            </w:r>
          </w:p>
        </w:tc>
        <w:tc>
          <w:tcPr>
            <w:tcW w:w="2542" w:type="pct"/>
            <w:noWrap/>
            <w:vAlign w:val="center"/>
          </w:tcPr>
          <w:p w14:paraId="0038ABE0">
            <w:pPr>
              <w:pStyle w:val="37"/>
              <w:rPr>
                <w:rFonts w:ascii="Times New Roman" w:hAnsi="Times New Roman"/>
                <w:b w:val="0"/>
                <w:color w:val="auto"/>
                <w:highlight w:val="none"/>
              </w:rPr>
            </w:pPr>
            <w:r>
              <w:rPr>
                <w:rFonts w:ascii="Times New Roman" w:hAnsi="Times New Roman"/>
                <w:b w:val="0"/>
                <w:color w:val="auto"/>
                <w:highlight w:val="none"/>
              </w:rPr>
              <w:t>项目</w:t>
            </w:r>
          </w:p>
        </w:tc>
        <w:tc>
          <w:tcPr>
            <w:tcW w:w="1914" w:type="pct"/>
            <w:noWrap/>
            <w:vAlign w:val="center"/>
          </w:tcPr>
          <w:p w14:paraId="192662A8">
            <w:pPr>
              <w:pStyle w:val="37"/>
              <w:rPr>
                <w:rFonts w:ascii="Times New Roman" w:hAnsi="Times New Roman"/>
                <w:b w:val="0"/>
                <w:color w:val="auto"/>
                <w:highlight w:val="none"/>
              </w:rPr>
            </w:pPr>
            <w:r>
              <w:rPr>
                <w:rFonts w:ascii="Times New Roman" w:hAnsi="Times New Roman"/>
                <w:b w:val="0"/>
                <w:color w:val="auto"/>
                <w:highlight w:val="none"/>
              </w:rPr>
              <w:t>技术参数</w:t>
            </w:r>
          </w:p>
        </w:tc>
      </w:tr>
      <w:tr w14:paraId="7CFCFCAC">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4" w:type="pct"/>
            <w:noWrap/>
            <w:vAlign w:val="center"/>
          </w:tcPr>
          <w:p w14:paraId="49F05528">
            <w:pPr>
              <w:pStyle w:val="37"/>
              <w:rPr>
                <w:rFonts w:ascii="Times New Roman" w:hAnsi="Times New Roman"/>
                <w:b w:val="0"/>
                <w:color w:val="auto"/>
                <w:highlight w:val="none"/>
              </w:rPr>
            </w:pPr>
            <w:r>
              <w:rPr>
                <w:rFonts w:ascii="Times New Roman" w:hAnsi="Times New Roman"/>
                <w:b w:val="0"/>
                <w:color w:val="auto"/>
                <w:highlight w:val="none"/>
              </w:rPr>
              <w:t>1</w:t>
            </w:r>
          </w:p>
        </w:tc>
        <w:tc>
          <w:tcPr>
            <w:tcW w:w="2542" w:type="pct"/>
            <w:noWrap/>
            <w:vAlign w:val="center"/>
          </w:tcPr>
          <w:p w14:paraId="23FFAAD6">
            <w:pPr>
              <w:pStyle w:val="37"/>
              <w:rPr>
                <w:rFonts w:ascii="Times New Roman" w:hAnsi="Times New Roman"/>
                <w:b w:val="0"/>
                <w:color w:val="auto"/>
                <w:highlight w:val="none"/>
              </w:rPr>
            </w:pPr>
            <w:r>
              <w:rPr>
                <w:rFonts w:ascii="Times New Roman" w:hAnsi="Times New Roman"/>
                <w:b w:val="0"/>
                <w:color w:val="auto"/>
                <w:highlight w:val="none"/>
              </w:rPr>
              <w:t>外观</w:t>
            </w:r>
          </w:p>
        </w:tc>
        <w:tc>
          <w:tcPr>
            <w:tcW w:w="1914" w:type="pct"/>
            <w:noWrap/>
            <w:vAlign w:val="center"/>
          </w:tcPr>
          <w:p w14:paraId="22499C46">
            <w:pPr>
              <w:pStyle w:val="37"/>
              <w:rPr>
                <w:rFonts w:ascii="Times New Roman" w:hAnsi="Times New Roman"/>
                <w:b w:val="0"/>
                <w:color w:val="auto"/>
                <w:highlight w:val="none"/>
              </w:rPr>
            </w:pPr>
            <w:r>
              <w:rPr>
                <w:rFonts w:ascii="Times New Roman" w:hAnsi="Times New Roman"/>
                <w:b w:val="0"/>
                <w:color w:val="auto"/>
                <w:highlight w:val="none"/>
              </w:rPr>
              <w:t>无色透明、无气味</w:t>
            </w:r>
          </w:p>
        </w:tc>
      </w:tr>
      <w:tr w14:paraId="0F978858">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4" w:type="pct"/>
            <w:noWrap/>
            <w:vAlign w:val="center"/>
          </w:tcPr>
          <w:p w14:paraId="10764B1F">
            <w:pPr>
              <w:pStyle w:val="37"/>
              <w:rPr>
                <w:rFonts w:ascii="Times New Roman" w:hAnsi="Times New Roman"/>
                <w:b w:val="0"/>
                <w:color w:val="auto"/>
                <w:highlight w:val="none"/>
              </w:rPr>
            </w:pPr>
            <w:r>
              <w:rPr>
                <w:rFonts w:ascii="Times New Roman" w:hAnsi="Times New Roman"/>
                <w:b w:val="0"/>
                <w:color w:val="auto"/>
                <w:highlight w:val="none"/>
              </w:rPr>
              <w:t>2</w:t>
            </w:r>
          </w:p>
        </w:tc>
        <w:tc>
          <w:tcPr>
            <w:tcW w:w="2542" w:type="pct"/>
            <w:noWrap/>
            <w:vAlign w:val="center"/>
          </w:tcPr>
          <w:p w14:paraId="252CA8D3">
            <w:pPr>
              <w:pStyle w:val="37"/>
              <w:rPr>
                <w:rFonts w:ascii="Times New Roman" w:hAnsi="Times New Roman"/>
                <w:b w:val="0"/>
                <w:color w:val="auto"/>
                <w:highlight w:val="none"/>
              </w:rPr>
            </w:pPr>
            <w:r>
              <w:rPr>
                <w:rFonts w:ascii="Times New Roman" w:hAnsi="Times New Roman"/>
                <w:b w:val="0"/>
                <w:color w:val="auto"/>
                <w:highlight w:val="none"/>
              </w:rPr>
              <w:t>密度（g/cm3）</w:t>
            </w:r>
          </w:p>
        </w:tc>
        <w:tc>
          <w:tcPr>
            <w:tcW w:w="1914" w:type="pct"/>
            <w:noWrap/>
            <w:vAlign w:val="center"/>
          </w:tcPr>
          <w:p w14:paraId="3D5561D9">
            <w:pPr>
              <w:pStyle w:val="37"/>
              <w:rPr>
                <w:rFonts w:ascii="Times New Roman" w:hAnsi="Times New Roman"/>
                <w:b w:val="0"/>
                <w:color w:val="auto"/>
                <w:highlight w:val="none"/>
              </w:rPr>
            </w:pPr>
            <w:r>
              <w:rPr>
                <w:rFonts w:ascii="Times New Roman" w:hAnsi="Times New Roman"/>
                <w:b w:val="0"/>
                <w:color w:val="auto"/>
                <w:highlight w:val="none"/>
              </w:rPr>
              <w:t>≥1.07</w:t>
            </w:r>
          </w:p>
        </w:tc>
      </w:tr>
      <w:tr w14:paraId="18238CEC">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4" w:type="pct"/>
            <w:noWrap/>
            <w:vAlign w:val="center"/>
          </w:tcPr>
          <w:p w14:paraId="43564886">
            <w:pPr>
              <w:pStyle w:val="37"/>
              <w:rPr>
                <w:rFonts w:ascii="Times New Roman" w:hAnsi="Times New Roman"/>
                <w:b w:val="0"/>
                <w:color w:val="auto"/>
                <w:highlight w:val="none"/>
              </w:rPr>
            </w:pPr>
            <w:r>
              <w:rPr>
                <w:rFonts w:ascii="Times New Roman" w:hAnsi="Times New Roman"/>
                <w:b w:val="0"/>
                <w:color w:val="auto"/>
                <w:highlight w:val="none"/>
              </w:rPr>
              <w:t>3</w:t>
            </w:r>
          </w:p>
        </w:tc>
        <w:tc>
          <w:tcPr>
            <w:tcW w:w="2542" w:type="pct"/>
            <w:noWrap/>
            <w:vAlign w:val="center"/>
          </w:tcPr>
          <w:p w14:paraId="60290B21">
            <w:pPr>
              <w:pStyle w:val="37"/>
              <w:rPr>
                <w:rFonts w:ascii="Times New Roman" w:hAnsi="Times New Roman"/>
                <w:b w:val="0"/>
                <w:color w:val="auto"/>
                <w:highlight w:val="none"/>
              </w:rPr>
            </w:pPr>
            <w:r>
              <w:rPr>
                <w:rFonts w:ascii="Times New Roman" w:hAnsi="Times New Roman"/>
                <w:b w:val="0"/>
                <w:color w:val="auto"/>
                <w:highlight w:val="none"/>
              </w:rPr>
              <w:t>PH值</w:t>
            </w:r>
          </w:p>
        </w:tc>
        <w:tc>
          <w:tcPr>
            <w:tcW w:w="1914" w:type="pct"/>
            <w:noWrap/>
            <w:vAlign w:val="center"/>
          </w:tcPr>
          <w:p w14:paraId="219CD1A6">
            <w:pPr>
              <w:pStyle w:val="37"/>
              <w:rPr>
                <w:rFonts w:ascii="Times New Roman" w:hAnsi="Times New Roman"/>
                <w:b w:val="0"/>
                <w:color w:val="auto"/>
                <w:highlight w:val="none"/>
              </w:rPr>
            </w:pPr>
            <w:r>
              <w:rPr>
                <w:rFonts w:ascii="Times New Roman" w:hAnsi="Times New Roman"/>
                <w:b w:val="0"/>
                <w:color w:val="auto"/>
                <w:highlight w:val="none"/>
              </w:rPr>
              <w:t>11±1</w:t>
            </w:r>
          </w:p>
        </w:tc>
      </w:tr>
      <w:tr w14:paraId="0CE933C3">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4" w:type="pct"/>
            <w:noWrap/>
            <w:vAlign w:val="center"/>
          </w:tcPr>
          <w:p w14:paraId="26E1F561">
            <w:pPr>
              <w:pStyle w:val="37"/>
              <w:rPr>
                <w:rFonts w:ascii="Times New Roman" w:hAnsi="Times New Roman"/>
                <w:b w:val="0"/>
                <w:color w:val="auto"/>
                <w:highlight w:val="none"/>
              </w:rPr>
            </w:pPr>
            <w:r>
              <w:rPr>
                <w:rFonts w:ascii="Times New Roman" w:hAnsi="Times New Roman"/>
                <w:b w:val="0"/>
                <w:color w:val="auto"/>
                <w:highlight w:val="none"/>
              </w:rPr>
              <w:t>4</w:t>
            </w:r>
          </w:p>
        </w:tc>
        <w:tc>
          <w:tcPr>
            <w:tcW w:w="2542" w:type="pct"/>
            <w:noWrap/>
            <w:vAlign w:val="center"/>
          </w:tcPr>
          <w:p w14:paraId="458F5431">
            <w:pPr>
              <w:pStyle w:val="37"/>
              <w:rPr>
                <w:rFonts w:ascii="Times New Roman" w:hAnsi="Times New Roman"/>
                <w:b w:val="0"/>
                <w:color w:val="auto"/>
                <w:highlight w:val="none"/>
              </w:rPr>
            </w:pPr>
            <w:r>
              <w:rPr>
                <w:rFonts w:ascii="Times New Roman" w:hAnsi="Times New Roman"/>
                <w:b w:val="0"/>
                <w:color w:val="auto"/>
                <w:highlight w:val="none"/>
              </w:rPr>
              <w:t>粘度（s）</w:t>
            </w:r>
          </w:p>
        </w:tc>
        <w:tc>
          <w:tcPr>
            <w:tcW w:w="1914" w:type="pct"/>
            <w:noWrap/>
            <w:vAlign w:val="center"/>
          </w:tcPr>
          <w:p w14:paraId="269DC05B">
            <w:pPr>
              <w:pStyle w:val="37"/>
              <w:rPr>
                <w:rFonts w:ascii="Times New Roman" w:hAnsi="Times New Roman"/>
                <w:b w:val="0"/>
                <w:color w:val="auto"/>
                <w:highlight w:val="none"/>
              </w:rPr>
            </w:pPr>
            <w:r>
              <w:rPr>
                <w:rFonts w:ascii="Times New Roman" w:hAnsi="Times New Roman"/>
                <w:b w:val="0"/>
                <w:color w:val="auto"/>
                <w:highlight w:val="none"/>
              </w:rPr>
              <w:t>11.0±1.0</w:t>
            </w:r>
          </w:p>
        </w:tc>
      </w:tr>
      <w:tr w14:paraId="7958ED73">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4" w:type="pct"/>
            <w:noWrap/>
            <w:vAlign w:val="center"/>
          </w:tcPr>
          <w:p w14:paraId="69736501">
            <w:pPr>
              <w:pStyle w:val="37"/>
              <w:rPr>
                <w:rFonts w:ascii="Times New Roman" w:hAnsi="Times New Roman"/>
                <w:b w:val="0"/>
                <w:color w:val="auto"/>
                <w:highlight w:val="none"/>
              </w:rPr>
            </w:pPr>
            <w:r>
              <w:rPr>
                <w:rFonts w:ascii="Times New Roman" w:hAnsi="Times New Roman"/>
                <w:b w:val="0"/>
                <w:color w:val="auto"/>
                <w:highlight w:val="none"/>
              </w:rPr>
              <w:t>5</w:t>
            </w:r>
          </w:p>
        </w:tc>
        <w:tc>
          <w:tcPr>
            <w:tcW w:w="2542" w:type="pct"/>
            <w:noWrap/>
            <w:vAlign w:val="center"/>
          </w:tcPr>
          <w:p w14:paraId="0AF6B4CD">
            <w:pPr>
              <w:pStyle w:val="37"/>
              <w:rPr>
                <w:rFonts w:ascii="Times New Roman" w:hAnsi="Times New Roman"/>
                <w:b w:val="0"/>
                <w:color w:val="auto"/>
                <w:highlight w:val="none"/>
              </w:rPr>
            </w:pPr>
            <w:r>
              <w:rPr>
                <w:rFonts w:ascii="Times New Roman" w:hAnsi="Times New Roman"/>
                <w:b w:val="0"/>
                <w:color w:val="auto"/>
                <w:highlight w:val="none"/>
              </w:rPr>
              <w:t>表面张力（mN/m）</w:t>
            </w:r>
          </w:p>
        </w:tc>
        <w:tc>
          <w:tcPr>
            <w:tcW w:w="1914" w:type="pct"/>
            <w:noWrap/>
            <w:vAlign w:val="center"/>
          </w:tcPr>
          <w:p w14:paraId="3582E35B">
            <w:pPr>
              <w:pStyle w:val="37"/>
              <w:rPr>
                <w:rFonts w:ascii="Times New Roman" w:hAnsi="Times New Roman"/>
                <w:b w:val="0"/>
                <w:color w:val="auto"/>
                <w:highlight w:val="none"/>
              </w:rPr>
            </w:pPr>
            <w:r>
              <w:rPr>
                <w:rFonts w:ascii="Times New Roman" w:hAnsi="Times New Roman"/>
                <w:b w:val="0"/>
                <w:color w:val="auto"/>
                <w:highlight w:val="none"/>
              </w:rPr>
              <w:t>≤36.0</w:t>
            </w:r>
          </w:p>
        </w:tc>
      </w:tr>
      <w:tr w14:paraId="41CC9DBD">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4" w:type="pct"/>
            <w:noWrap/>
            <w:vAlign w:val="center"/>
          </w:tcPr>
          <w:p w14:paraId="639A5B59">
            <w:pPr>
              <w:pStyle w:val="37"/>
              <w:rPr>
                <w:rFonts w:ascii="Times New Roman" w:hAnsi="Times New Roman"/>
                <w:b w:val="0"/>
                <w:color w:val="auto"/>
                <w:highlight w:val="none"/>
              </w:rPr>
            </w:pPr>
            <w:r>
              <w:rPr>
                <w:rFonts w:ascii="Times New Roman" w:hAnsi="Times New Roman"/>
                <w:b w:val="0"/>
                <w:color w:val="auto"/>
                <w:highlight w:val="none"/>
              </w:rPr>
              <w:t>6</w:t>
            </w:r>
          </w:p>
        </w:tc>
        <w:tc>
          <w:tcPr>
            <w:tcW w:w="2542" w:type="pct"/>
            <w:noWrap/>
            <w:vAlign w:val="center"/>
          </w:tcPr>
          <w:p w14:paraId="33AF47DD">
            <w:pPr>
              <w:pStyle w:val="37"/>
              <w:rPr>
                <w:rFonts w:ascii="Times New Roman" w:hAnsi="Times New Roman"/>
                <w:b w:val="0"/>
                <w:color w:val="auto"/>
                <w:highlight w:val="none"/>
              </w:rPr>
            </w:pPr>
            <w:r>
              <w:rPr>
                <w:rFonts w:ascii="Times New Roman" w:hAnsi="Times New Roman"/>
                <w:b w:val="0"/>
                <w:color w:val="auto"/>
                <w:highlight w:val="none"/>
              </w:rPr>
              <w:t>凝胶化时间（min）</w:t>
            </w:r>
          </w:p>
        </w:tc>
        <w:tc>
          <w:tcPr>
            <w:tcW w:w="1914" w:type="pct"/>
            <w:noWrap/>
            <w:vAlign w:val="center"/>
          </w:tcPr>
          <w:p w14:paraId="6664BDA7">
            <w:pPr>
              <w:pStyle w:val="37"/>
              <w:rPr>
                <w:rFonts w:ascii="Times New Roman" w:hAnsi="Times New Roman"/>
                <w:b w:val="0"/>
                <w:color w:val="auto"/>
                <w:highlight w:val="none"/>
              </w:rPr>
            </w:pPr>
            <w:r>
              <w:rPr>
                <w:rFonts w:ascii="Times New Roman" w:hAnsi="Times New Roman"/>
                <w:b w:val="0"/>
                <w:color w:val="auto"/>
                <w:highlight w:val="none"/>
              </w:rPr>
              <w:t>终凝≤400</w:t>
            </w:r>
          </w:p>
        </w:tc>
      </w:tr>
      <w:tr w14:paraId="4287059C">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4" w:type="pct"/>
            <w:noWrap/>
            <w:vAlign w:val="center"/>
          </w:tcPr>
          <w:p w14:paraId="61CC2EFB">
            <w:pPr>
              <w:pStyle w:val="37"/>
              <w:rPr>
                <w:rFonts w:ascii="Times New Roman" w:hAnsi="Times New Roman"/>
                <w:b w:val="0"/>
                <w:color w:val="auto"/>
                <w:highlight w:val="none"/>
              </w:rPr>
            </w:pPr>
            <w:r>
              <w:rPr>
                <w:rFonts w:ascii="Times New Roman" w:hAnsi="Times New Roman"/>
                <w:b w:val="0"/>
                <w:color w:val="auto"/>
                <w:highlight w:val="none"/>
              </w:rPr>
              <w:t>7</w:t>
            </w:r>
          </w:p>
        </w:tc>
        <w:tc>
          <w:tcPr>
            <w:tcW w:w="2542" w:type="pct"/>
            <w:noWrap/>
            <w:vAlign w:val="center"/>
          </w:tcPr>
          <w:p w14:paraId="71332C6C">
            <w:pPr>
              <w:pStyle w:val="37"/>
              <w:rPr>
                <w:rFonts w:ascii="Times New Roman" w:hAnsi="Times New Roman"/>
                <w:b w:val="0"/>
                <w:color w:val="auto"/>
                <w:highlight w:val="none"/>
              </w:rPr>
            </w:pPr>
            <w:r>
              <w:rPr>
                <w:rFonts w:ascii="Times New Roman" w:hAnsi="Times New Roman"/>
                <w:b w:val="0"/>
                <w:color w:val="auto"/>
                <w:highlight w:val="none"/>
              </w:rPr>
              <w:t>抗渗性/渗入高度（mm）</w:t>
            </w:r>
          </w:p>
        </w:tc>
        <w:tc>
          <w:tcPr>
            <w:tcW w:w="1914" w:type="pct"/>
            <w:noWrap/>
            <w:vAlign w:val="center"/>
          </w:tcPr>
          <w:p w14:paraId="533C11E3">
            <w:pPr>
              <w:pStyle w:val="37"/>
              <w:rPr>
                <w:rFonts w:ascii="Times New Roman" w:hAnsi="Times New Roman"/>
                <w:b w:val="0"/>
                <w:color w:val="auto"/>
                <w:highlight w:val="none"/>
              </w:rPr>
            </w:pPr>
            <w:r>
              <w:rPr>
                <w:rFonts w:ascii="Times New Roman" w:hAnsi="Times New Roman"/>
                <w:b w:val="0"/>
                <w:color w:val="auto"/>
                <w:highlight w:val="none"/>
              </w:rPr>
              <w:t>35</w:t>
            </w:r>
          </w:p>
        </w:tc>
      </w:tr>
      <w:tr w14:paraId="2F20FB56">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4" w:type="pct"/>
            <w:noWrap/>
            <w:vAlign w:val="center"/>
          </w:tcPr>
          <w:p w14:paraId="50EF0AD6">
            <w:pPr>
              <w:pStyle w:val="37"/>
              <w:rPr>
                <w:rFonts w:ascii="Times New Roman" w:hAnsi="Times New Roman"/>
                <w:b w:val="0"/>
                <w:color w:val="auto"/>
                <w:highlight w:val="none"/>
              </w:rPr>
            </w:pPr>
            <w:r>
              <w:rPr>
                <w:rFonts w:ascii="Times New Roman" w:hAnsi="Times New Roman"/>
                <w:b w:val="0"/>
                <w:color w:val="auto"/>
                <w:highlight w:val="none"/>
              </w:rPr>
              <w:t>8</w:t>
            </w:r>
          </w:p>
        </w:tc>
        <w:tc>
          <w:tcPr>
            <w:tcW w:w="2542" w:type="pct"/>
            <w:noWrap/>
            <w:vAlign w:val="center"/>
          </w:tcPr>
          <w:p w14:paraId="7D7F936C">
            <w:pPr>
              <w:pStyle w:val="37"/>
              <w:rPr>
                <w:rFonts w:ascii="Times New Roman" w:hAnsi="Times New Roman"/>
                <w:b w:val="0"/>
                <w:color w:val="auto"/>
                <w:highlight w:val="none"/>
              </w:rPr>
            </w:pPr>
            <w:r>
              <w:rPr>
                <w:rFonts w:ascii="Times New Roman" w:hAnsi="Times New Roman"/>
                <w:b w:val="0"/>
                <w:color w:val="auto"/>
                <w:highlight w:val="none"/>
              </w:rPr>
              <w:t>存储稳定性，10次循环</w:t>
            </w:r>
          </w:p>
        </w:tc>
        <w:tc>
          <w:tcPr>
            <w:tcW w:w="1914" w:type="pct"/>
            <w:noWrap/>
            <w:vAlign w:val="center"/>
          </w:tcPr>
          <w:p w14:paraId="224794B7">
            <w:pPr>
              <w:pStyle w:val="37"/>
              <w:rPr>
                <w:rFonts w:ascii="Times New Roman" w:hAnsi="Times New Roman"/>
                <w:b w:val="0"/>
                <w:color w:val="auto"/>
                <w:highlight w:val="none"/>
              </w:rPr>
            </w:pPr>
            <w:r>
              <w:rPr>
                <w:rFonts w:ascii="Times New Roman" w:hAnsi="Times New Roman"/>
                <w:b w:val="0"/>
                <w:color w:val="auto"/>
                <w:highlight w:val="none"/>
              </w:rPr>
              <w:t>外观无变化</w:t>
            </w:r>
          </w:p>
        </w:tc>
      </w:tr>
    </w:tbl>
    <w:p w14:paraId="1F56D754">
      <w:pPr>
        <w:ind w:firstLine="480"/>
        <w:rPr>
          <w:rFonts w:ascii="Times New Roman" w:hAnsi="Times New Roman"/>
          <w:color w:val="auto"/>
          <w:highlight w:val="none"/>
        </w:rPr>
      </w:pPr>
      <w:r>
        <w:rPr>
          <w:rFonts w:hint="eastAsia" w:ascii="Times New Roman" w:hAnsi="Times New Roman"/>
          <w:color w:val="auto"/>
          <w:highlight w:val="none"/>
          <w:lang w:val="en-US" w:eastAsia="zh-CN"/>
        </w:rPr>
        <w:t>4）</w:t>
      </w:r>
      <w:r>
        <w:rPr>
          <w:rFonts w:ascii="Times New Roman" w:hAnsi="Times New Roman"/>
          <w:color w:val="auto"/>
          <w:highlight w:val="none"/>
        </w:rPr>
        <w:t>、地脚螺栓应满足《地脚螺栓》（GB799）的要求；螺母、垫片等紧固件应满足《钢结构用高强度大六角头螺栓、大六角螺母、垫圈技术条件》（GB/T 1231）的有关要求。</w:t>
      </w:r>
    </w:p>
    <w:p w14:paraId="57D9D6A6">
      <w:pPr>
        <w:pStyle w:val="3"/>
        <w:numPr>
          <w:ilvl w:val="0"/>
          <w:numId w:val="0"/>
        </w:numPr>
        <w:ind w:firstLine="280" w:firstLineChars="100"/>
        <w:rPr>
          <w:rFonts w:ascii="Times New Roman" w:hAnsi="Times New Roman"/>
          <w:color w:val="auto"/>
          <w:highlight w:val="none"/>
        </w:rPr>
      </w:pPr>
      <w:r>
        <w:rPr>
          <w:rFonts w:ascii="Times New Roman" w:hAnsi="Times New Roman"/>
          <w:color w:val="auto"/>
          <w:highlight w:val="none"/>
        </w:rPr>
        <w:t>5.5  新技术、新工艺</w:t>
      </w:r>
    </w:p>
    <w:p w14:paraId="085E75A2">
      <w:pPr>
        <w:ind w:firstLine="480"/>
        <w:rPr>
          <w:rFonts w:ascii="Times New Roman" w:hAnsi="Times New Roman"/>
          <w:color w:val="auto"/>
          <w:highlight w:val="none"/>
        </w:rPr>
      </w:pPr>
      <w:r>
        <w:rPr>
          <w:rFonts w:ascii="Times New Roman" w:hAnsi="Times New Roman"/>
          <w:color w:val="auto"/>
          <w:highlight w:val="none"/>
        </w:rPr>
        <w:t>梁顶面喷涂水性渗透型无机防水剂，增强梁体混凝土的抗渗、防水能力，提高梁体结构的耐久性。</w:t>
      </w:r>
    </w:p>
    <w:p w14:paraId="2AD38B5D">
      <w:pPr>
        <w:pStyle w:val="2"/>
        <w:numPr>
          <w:ilvl w:val="0"/>
          <w:numId w:val="0"/>
        </w:numPr>
        <w:spacing w:before="120"/>
        <w:rPr>
          <w:rFonts w:ascii="Times New Roman" w:hAnsi="Times New Roman"/>
          <w:color w:val="auto"/>
          <w:highlight w:val="none"/>
        </w:rPr>
      </w:pPr>
      <w:r>
        <w:rPr>
          <w:rFonts w:ascii="Times New Roman" w:hAnsi="Times New Roman"/>
          <w:color w:val="auto"/>
          <w:highlight w:val="none"/>
        </w:rPr>
        <w:t>6  桥梁耐久性设计及养护维修设施设计情况</w:t>
      </w:r>
    </w:p>
    <w:p w14:paraId="10963B84">
      <w:pPr>
        <w:ind w:firstLine="480"/>
        <w:rPr>
          <w:rFonts w:ascii="Times New Roman" w:hAnsi="Times New Roman"/>
          <w:color w:val="auto"/>
          <w:highlight w:val="none"/>
        </w:rPr>
      </w:pPr>
      <w:r>
        <w:rPr>
          <w:rFonts w:ascii="Times New Roman" w:hAnsi="Times New Roman"/>
          <w:color w:val="auto"/>
          <w:highlight w:val="none"/>
        </w:rPr>
        <w:t>1、钢筋最小保护层厚度按照满足《公路钢筋混凝土及预应力混凝土桥涵设计规范》（JTG 3362-2018）第9.1.1条I类环境的要求进行控制。</w:t>
      </w:r>
    </w:p>
    <w:p w14:paraId="6E75EA6D">
      <w:pPr>
        <w:ind w:firstLine="480"/>
        <w:rPr>
          <w:rFonts w:ascii="Times New Roman" w:hAnsi="Times New Roman"/>
          <w:color w:val="auto"/>
          <w:highlight w:val="none"/>
        </w:rPr>
      </w:pPr>
      <w:r>
        <w:rPr>
          <w:rFonts w:ascii="Times New Roman" w:hAnsi="Times New Roman"/>
          <w:color w:val="auto"/>
          <w:highlight w:val="none"/>
        </w:rPr>
        <w:t>2、钢筋混凝土各部桥梁结构计算最大裂缝宽度按不大于0.2mm控制设计。</w:t>
      </w:r>
    </w:p>
    <w:p w14:paraId="3CAF4FA2">
      <w:pPr>
        <w:ind w:firstLine="480"/>
        <w:rPr>
          <w:rFonts w:ascii="Times New Roman" w:hAnsi="Times New Roman"/>
          <w:color w:val="auto"/>
          <w:highlight w:val="none"/>
        </w:rPr>
      </w:pPr>
      <w:r>
        <w:rPr>
          <w:rFonts w:ascii="Times New Roman" w:hAnsi="Times New Roman"/>
          <w:color w:val="auto"/>
          <w:highlight w:val="none"/>
        </w:rPr>
        <w:t>3、结构混凝土耐久性要求不低于《公路钢筋混凝土及预应力混凝土桥涵设计规范》（JTG 3362-2018）第4.5条I类环境的各项指标。</w:t>
      </w:r>
    </w:p>
    <w:p w14:paraId="2C8ED364">
      <w:pPr>
        <w:ind w:firstLine="480"/>
        <w:rPr>
          <w:rFonts w:ascii="Times New Roman" w:hAnsi="Times New Roman"/>
          <w:color w:val="auto"/>
          <w:highlight w:val="none"/>
        </w:rPr>
      </w:pPr>
      <w:r>
        <w:rPr>
          <w:rFonts w:ascii="Times New Roman" w:hAnsi="Times New Roman"/>
          <w:color w:val="auto"/>
          <w:highlight w:val="none"/>
        </w:rPr>
        <w:t>4、水泥、集料、矿物参合料、水、外加剂等原材料的选用，按《公路工程混凝土结构耐久性设计规范》（JTG/T 3310-2019）第5.2条规定执行。</w:t>
      </w:r>
    </w:p>
    <w:p w14:paraId="7E507F7D">
      <w:pPr>
        <w:ind w:firstLine="480"/>
        <w:rPr>
          <w:rFonts w:ascii="Times New Roman" w:hAnsi="Times New Roman"/>
          <w:color w:val="auto"/>
          <w:highlight w:val="none"/>
        </w:rPr>
      </w:pPr>
      <w:r>
        <w:rPr>
          <w:rFonts w:ascii="Times New Roman" w:hAnsi="Times New Roman"/>
          <w:color w:val="auto"/>
          <w:highlight w:val="none"/>
        </w:rPr>
        <w:t>5、应严格遵守现行中华人民共和国交通部颁标准《公路钢筋混凝土及预应力混凝土桥涵设计规范》、《公路工程混凝土结构耐久性设计规范》、《公路桥涵施工技术规范》、《公路工程质量检验评定标准》有关要求，尚应注意以下要点：</w:t>
      </w:r>
    </w:p>
    <w:p w14:paraId="7137C848">
      <w:pPr>
        <w:ind w:firstLine="480"/>
        <w:rPr>
          <w:rFonts w:ascii="Times New Roman" w:hAnsi="Times New Roman"/>
          <w:color w:val="auto"/>
          <w:highlight w:val="none"/>
        </w:rPr>
      </w:pPr>
      <w:r>
        <w:rPr>
          <w:rFonts w:ascii="Times New Roman" w:hAnsi="Times New Roman"/>
          <w:color w:val="auto"/>
          <w:highlight w:val="none"/>
        </w:rPr>
        <w:t>1）本工程为一般环境（I类环境，仅受混凝土碳化影响），墩、台桩基础及桥墩等临水结构物按环境作用等级C级进行耐久性设计，其余结构环境作用等级为B级（轻度腐蚀），不需要做特殊的耐久性设计。</w:t>
      </w:r>
    </w:p>
    <w:p w14:paraId="443ADBAC">
      <w:pPr>
        <w:ind w:firstLine="480"/>
        <w:rPr>
          <w:rFonts w:ascii="Times New Roman" w:hAnsi="Times New Roman"/>
          <w:color w:val="auto"/>
          <w:highlight w:val="none"/>
        </w:rPr>
      </w:pPr>
      <w:r>
        <w:rPr>
          <w:rFonts w:ascii="Times New Roman" w:hAnsi="Times New Roman"/>
          <w:color w:val="auto"/>
          <w:highlight w:val="none"/>
        </w:rPr>
        <w:t>2）严格按要求控制钢筋保护层厚度。</w:t>
      </w:r>
    </w:p>
    <w:p w14:paraId="210A2A01">
      <w:pPr>
        <w:ind w:firstLine="480"/>
        <w:rPr>
          <w:rFonts w:ascii="Times New Roman" w:hAnsi="Times New Roman"/>
          <w:color w:val="auto"/>
          <w:highlight w:val="none"/>
        </w:rPr>
      </w:pPr>
      <w:r>
        <w:rPr>
          <w:rFonts w:hint="eastAsia" w:ascii="Times New Roman" w:hAnsi="Times New Roman"/>
          <w:color w:val="auto"/>
          <w:highlight w:val="none"/>
          <w:lang w:val="en-US" w:eastAsia="zh-CN"/>
        </w:rPr>
        <w:t>3</w:t>
      </w:r>
      <w:r>
        <w:rPr>
          <w:rFonts w:ascii="Times New Roman" w:hAnsi="Times New Roman"/>
          <w:color w:val="auto"/>
          <w:highlight w:val="none"/>
        </w:rPr>
        <w:t>）水泥混凝土桥面铺装浇筑前，应在主梁表面喷涂水性渗透型无机防水剂，以免因水渗入梁体导致钢筋锈蚀，进而影响上部结构的耐久性。</w:t>
      </w:r>
    </w:p>
    <w:p w14:paraId="24299DCF">
      <w:pPr>
        <w:ind w:firstLine="480"/>
        <w:rPr>
          <w:rFonts w:ascii="Times New Roman" w:hAnsi="Times New Roman"/>
          <w:color w:val="auto"/>
          <w:highlight w:val="none"/>
        </w:rPr>
      </w:pPr>
      <w:r>
        <w:rPr>
          <w:rFonts w:hint="eastAsia" w:ascii="Times New Roman" w:hAnsi="Times New Roman"/>
          <w:color w:val="auto"/>
          <w:highlight w:val="none"/>
          <w:lang w:val="en-US" w:eastAsia="zh-CN"/>
        </w:rPr>
        <w:t>4</w:t>
      </w:r>
      <w:r>
        <w:rPr>
          <w:rFonts w:ascii="Times New Roman" w:hAnsi="Times New Roman"/>
          <w:color w:val="auto"/>
          <w:highlight w:val="none"/>
        </w:rPr>
        <w:t>）伸缩装置除安装止水胶条外，两端均设置翘起，防止雨水渗流到梁端和桥台，侵蚀梁体。</w:t>
      </w:r>
    </w:p>
    <w:p w14:paraId="6B97C1D3">
      <w:pPr>
        <w:ind w:firstLine="480"/>
        <w:rPr>
          <w:rFonts w:ascii="Times New Roman" w:hAnsi="Times New Roman"/>
          <w:color w:val="auto"/>
          <w:highlight w:val="none"/>
        </w:rPr>
      </w:pPr>
      <w:r>
        <w:rPr>
          <w:rFonts w:hint="eastAsia" w:ascii="Times New Roman" w:hAnsi="Times New Roman"/>
          <w:color w:val="auto"/>
          <w:highlight w:val="none"/>
          <w:lang w:val="en-US" w:eastAsia="zh-CN"/>
        </w:rPr>
        <w:t>5</w:t>
      </w:r>
      <w:r>
        <w:rPr>
          <w:rFonts w:ascii="Times New Roman" w:hAnsi="Times New Roman"/>
          <w:color w:val="auto"/>
          <w:highlight w:val="none"/>
        </w:rPr>
        <w:t>）铸铁泄水管、钢板等外露的预埋金属构件采用表面涂层防腐，在涂防腐层前，表面需进行除锈处理。</w:t>
      </w:r>
    </w:p>
    <w:p w14:paraId="37F39B43">
      <w:pPr>
        <w:ind w:firstLine="480"/>
        <w:rPr>
          <w:rFonts w:ascii="Times New Roman" w:hAnsi="Times New Roman"/>
          <w:color w:val="auto"/>
          <w:highlight w:val="none"/>
        </w:rPr>
      </w:pPr>
      <w:r>
        <w:rPr>
          <w:rFonts w:hint="eastAsia" w:ascii="Times New Roman" w:hAnsi="Times New Roman"/>
          <w:color w:val="auto"/>
          <w:highlight w:val="none"/>
          <w:lang w:val="en-US" w:eastAsia="zh-CN"/>
        </w:rPr>
        <w:t>6</w:t>
      </w:r>
      <w:r>
        <w:rPr>
          <w:rFonts w:ascii="Times New Roman" w:hAnsi="Times New Roman"/>
          <w:color w:val="auto"/>
          <w:highlight w:val="none"/>
        </w:rPr>
        <w:t>）主梁梁端设置减震橡胶块，防止上构移动损伤梁体和桥台背墙。</w:t>
      </w:r>
    </w:p>
    <w:p w14:paraId="17982A7D">
      <w:pPr>
        <w:ind w:firstLine="480"/>
        <w:rPr>
          <w:rFonts w:ascii="Times New Roman" w:hAnsi="Times New Roman"/>
          <w:color w:val="auto"/>
          <w:highlight w:val="none"/>
        </w:rPr>
      </w:pPr>
      <w:r>
        <w:rPr>
          <w:rFonts w:hint="eastAsia" w:ascii="Times New Roman" w:hAnsi="Times New Roman"/>
          <w:color w:val="auto"/>
          <w:highlight w:val="none"/>
          <w:lang w:val="en-US" w:eastAsia="zh-CN"/>
        </w:rPr>
        <w:t>7</w:t>
      </w:r>
      <w:r>
        <w:rPr>
          <w:rFonts w:ascii="Times New Roman" w:hAnsi="Times New Roman"/>
          <w:color w:val="auto"/>
          <w:highlight w:val="none"/>
        </w:rPr>
        <w:t>）设计中要求梁底至盖梁（墩、台帽）顶具有一定的距离，便于支座的更换。</w:t>
      </w:r>
    </w:p>
    <w:p w14:paraId="43A2CC62">
      <w:pPr>
        <w:pStyle w:val="2"/>
        <w:numPr>
          <w:ilvl w:val="0"/>
          <w:numId w:val="0"/>
        </w:numPr>
        <w:rPr>
          <w:rFonts w:ascii="Times New Roman" w:hAnsi="Times New Roman"/>
          <w:color w:val="auto"/>
          <w:highlight w:val="none"/>
        </w:rPr>
      </w:pPr>
      <w:r>
        <w:rPr>
          <w:rFonts w:ascii="Times New Roman" w:hAnsi="Times New Roman"/>
          <w:color w:val="auto"/>
          <w:highlight w:val="none"/>
        </w:rPr>
        <w:t>7  施工方法及施工注意事项</w:t>
      </w:r>
    </w:p>
    <w:p w14:paraId="5787B6AC">
      <w:pPr>
        <w:pStyle w:val="3"/>
        <w:numPr>
          <w:ilvl w:val="0"/>
          <w:numId w:val="0"/>
        </w:numPr>
        <w:ind w:firstLine="280" w:firstLineChars="100"/>
        <w:rPr>
          <w:rFonts w:ascii="Times New Roman" w:hAnsi="Times New Roman"/>
          <w:color w:val="auto"/>
          <w:highlight w:val="none"/>
        </w:rPr>
      </w:pPr>
      <w:r>
        <w:rPr>
          <w:rFonts w:ascii="Times New Roman" w:hAnsi="Times New Roman"/>
          <w:color w:val="auto"/>
          <w:highlight w:val="none"/>
        </w:rPr>
        <w:t>7.1  下构施工</w:t>
      </w:r>
    </w:p>
    <w:p w14:paraId="0F3588D0">
      <w:pPr>
        <w:ind w:firstLine="480" w:firstLineChars="200"/>
        <w:rPr>
          <w:color w:val="auto"/>
          <w:highlight w:val="none"/>
        </w:rPr>
      </w:pPr>
      <w:r>
        <w:rPr>
          <w:color w:val="auto"/>
          <w:highlight w:val="none"/>
        </w:rPr>
        <w:t>1</w:t>
      </w:r>
      <w:r>
        <w:rPr>
          <w:rFonts w:hint="eastAsia"/>
          <w:color w:val="auto"/>
          <w:highlight w:val="none"/>
        </w:rPr>
        <w:t>、施工开始前应对墩台基础的放样控制点参数进行全面校核，确保无误后方可施工。</w:t>
      </w:r>
    </w:p>
    <w:p w14:paraId="1B4C7D4C">
      <w:pPr>
        <w:ind w:firstLine="480" w:firstLineChars="200"/>
        <w:rPr>
          <w:color w:val="auto"/>
          <w:highlight w:val="none"/>
        </w:rPr>
      </w:pPr>
      <w:r>
        <w:rPr>
          <w:color w:val="auto"/>
          <w:highlight w:val="none"/>
        </w:rPr>
        <w:t>2</w:t>
      </w:r>
      <w:r>
        <w:rPr>
          <w:rFonts w:hint="eastAsia"/>
          <w:color w:val="auto"/>
          <w:highlight w:val="none"/>
        </w:rPr>
        <w:t>、基础开挖或钻孔后，如实际地质情况与地勘资料不符，应及时与设计方联系，以便协商处理。</w:t>
      </w:r>
    </w:p>
    <w:p w14:paraId="32E5515D">
      <w:pPr>
        <w:ind w:firstLine="480" w:firstLineChars="200"/>
        <w:rPr>
          <w:color w:val="auto"/>
          <w:highlight w:val="none"/>
        </w:rPr>
      </w:pPr>
      <w:r>
        <w:rPr>
          <w:color w:val="auto"/>
          <w:highlight w:val="none"/>
        </w:rPr>
        <w:t>3</w:t>
      </w:r>
      <w:r>
        <w:rPr>
          <w:rFonts w:hint="eastAsia"/>
          <w:color w:val="auto"/>
          <w:highlight w:val="none"/>
        </w:rPr>
        <w:t>、盖梁施工</w:t>
      </w:r>
    </w:p>
    <w:p w14:paraId="6A23C3F8">
      <w:pPr>
        <w:ind w:firstLine="480" w:firstLineChars="200"/>
        <w:rPr>
          <w:color w:val="auto"/>
          <w:highlight w:val="none"/>
        </w:rPr>
      </w:pPr>
      <w:r>
        <w:rPr>
          <w:rFonts w:hint="eastAsia"/>
          <w:color w:val="auto"/>
          <w:highlight w:val="none"/>
        </w:rPr>
        <w:t>（</w:t>
      </w:r>
      <w:r>
        <w:rPr>
          <w:color w:val="auto"/>
          <w:highlight w:val="none"/>
        </w:rPr>
        <w:t>1</w:t>
      </w:r>
      <w:r>
        <w:rPr>
          <w:rFonts w:hint="eastAsia"/>
          <w:color w:val="auto"/>
          <w:highlight w:val="none"/>
        </w:rPr>
        <w:t>）要求模板尺寸准确，表面平整光滑。施工要求盖梁各部外露面均应保证无蜂窝、麻面、收缩裂缝，整个表面混凝土颜色应保持一致，表面应光洁无油污，确保混凝土振捣密实。不得在大风大雨天气施工，以确保混凝土质量及施工安全。</w:t>
      </w:r>
    </w:p>
    <w:p w14:paraId="19B25B16">
      <w:pPr>
        <w:ind w:firstLine="480" w:firstLineChars="200"/>
        <w:rPr>
          <w:color w:val="auto"/>
          <w:highlight w:val="none"/>
        </w:rPr>
      </w:pPr>
      <w:r>
        <w:rPr>
          <w:rFonts w:hint="eastAsia"/>
          <w:color w:val="auto"/>
          <w:highlight w:val="none"/>
        </w:rPr>
        <w:t>（</w:t>
      </w:r>
      <w:r>
        <w:rPr>
          <w:color w:val="auto"/>
          <w:highlight w:val="none"/>
        </w:rPr>
        <w:t>2</w:t>
      </w:r>
      <w:r>
        <w:rPr>
          <w:rFonts w:hint="eastAsia"/>
          <w:color w:val="auto"/>
          <w:highlight w:val="none"/>
        </w:rPr>
        <w:t>）盖梁主钢筋按设计要求焊接成骨架。</w:t>
      </w:r>
    </w:p>
    <w:p w14:paraId="79C021A8">
      <w:pPr>
        <w:ind w:firstLine="480" w:firstLineChars="200"/>
        <w:rPr>
          <w:color w:val="auto"/>
          <w:highlight w:val="none"/>
        </w:rPr>
      </w:pPr>
      <w:r>
        <w:rPr>
          <w:rFonts w:hint="eastAsia"/>
          <w:color w:val="auto"/>
          <w:highlight w:val="none"/>
        </w:rPr>
        <w:t>（</w:t>
      </w:r>
      <w:r>
        <w:rPr>
          <w:color w:val="auto"/>
          <w:highlight w:val="none"/>
        </w:rPr>
        <w:t>3</w:t>
      </w:r>
      <w:r>
        <w:rPr>
          <w:rFonts w:hint="eastAsia"/>
          <w:color w:val="auto"/>
          <w:highlight w:val="none"/>
        </w:rPr>
        <w:t>）盖梁支座垫石预埋件应在墩台盖梁施工时预埋，浇筑支座垫石混凝土时，要保证支座顶面标高准确无误，且垫石顶面必须保持平整、清洁。施工使用的预埋件在施工完毕后均应割除磨平并满足整体景观的要求。</w:t>
      </w:r>
    </w:p>
    <w:p w14:paraId="7867C3D9">
      <w:pPr>
        <w:ind w:firstLine="480" w:firstLineChars="200"/>
        <w:rPr>
          <w:color w:val="auto"/>
          <w:highlight w:val="none"/>
        </w:rPr>
      </w:pPr>
      <w:r>
        <w:rPr>
          <w:rFonts w:hint="eastAsia"/>
          <w:color w:val="auto"/>
          <w:highlight w:val="none"/>
          <w:lang w:val="en-US" w:eastAsia="zh-CN"/>
        </w:rPr>
        <w:t>4</w:t>
      </w:r>
      <w:r>
        <w:rPr>
          <w:rFonts w:hint="eastAsia"/>
          <w:color w:val="auto"/>
          <w:highlight w:val="none"/>
        </w:rPr>
        <w:t>、桩基施工</w:t>
      </w:r>
    </w:p>
    <w:p w14:paraId="4C70B1EB">
      <w:pPr>
        <w:ind w:firstLine="480" w:firstLineChars="200"/>
        <w:rPr>
          <w:color w:val="auto"/>
          <w:highlight w:val="none"/>
        </w:rPr>
      </w:pPr>
      <w:r>
        <w:rPr>
          <w:rFonts w:hint="eastAsia"/>
          <w:color w:val="auto"/>
          <w:highlight w:val="none"/>
        </w:rPr>
        <w:t>（</w:t>
      </w:r>
      <w:r>
        <w:rPr>
          <w:color w:val="auto"/>
          <w:highlight w:val="none"/>
        </w:rPr>
        <w:t>1</w:t>
      </w:r>
      <w:r>
        <w:rPr>
          <w:rFonts w:hint="eastAsia"/>
          <w:color w:val="auto"/>
          <w:highlight w:val="none"/>
        </w:rPr>
        <w:t>）施工放样前须认真复核各控制点高程及桩基坐标。</w:t>
      </w:r>
    </w:p>
    <w:p w14:paraId="4C1398C6">
      <w:pPr>
        <w:ind w:firstLine="480" w:firstLineChars="200"/>
        <w:rPr>
          <w:color w:val="auto"/>
          <w:highlight w:val="none"/>
        </w:rPr>
      </w:pPr>
      <w:r>
        <w:rPr>
          <w:rFonts w:hint="eastAsia"/>
          <w:color w:val="auto"/>
          <w:highlight w:val="none"/>
        </w:rPr>
        <w:t>（2）桩基根据实钻孔情况按摩擦桩设计，施工钻孔做好地质层面记录，严格终孔标高与设计标高相符，如发现实际地质情况与设计采用地质资料相差较大时，应报设计单位研究处理，不得自行修改。</w:t>
      </w:r>
    </w:p>
    <w:p w14:paraId="69164457">
      <w:pPr>
        <w:ind w:firstLine="480" w:firstLineChars="200"/>
        <w:rPr>
          <w:color w:val="auto"/>
          <w:highlight w:val="none"/>
        </w:rPr>
      </w:pPr>
      <w:r>
        <w:rPr>
          <w:rFonts w:hint="eastAsia"/>
          <w:color w:val="auto"/>
          <w:highlight w:val="none"/>
        </w:rPr>
        <w:t>（3）桩基施工中均不得搅动桩底、桩侧的土层，相邻两孔不得同时冲孔或浇注混凝土，以免搅动孔壁造成串孔和断桩。</w:t>
      </w:r>
    </w:p>
    <w:p w14:paraId="4F76C26E">
      <w:pPr>
        <w:ind w:firstLine="480" w:firstLineChars="200"/>
        <w:rPr>
          <w:color w:val="auto"/>
          <w:highlight w:val="none"/>
        </w:rPr>
      </w:pPr>
      <w:r>
        <w:rPr>
          <w:rFonts w:hint="eastAsia"/>
          <w:color w:val="auto"/>
          <w:highlight w:val="none"/>
        </w:rPr>
        <w:t>（4）桩基应严格清孔，灌注混凝土前应逐孔检测沉渣厚度，孔底沉碴厚度摩擦桩不大于</w:t>
      </w:r>
      <w:r>
        <w:rPr>
          <w:color w:val="auto"/>
          <w:highlight w:val="none"/>
        </w:rPr>
        <w:t>10cm</w:t>
      </w:r>
      <w:r>
        <w:rPr>
          <w:rFonts w:hint="eastAsia"/>
          <w:color w:val="auto"/>
          <w:highlight w:val="none"/>
        </w:rPr>
        <w:t>，端承桩不大于5cm。</w:t>
      </w:r>
    </w:p>
    <w:p w14:paraId="4F54667B">
      <w:pPr>
        <w:ind w:firstLine="480" w:firstLineChars="200"/>
        <w:rPr>
          <w:color w:val="auto"/>
          <w:highlight w:val="none"/>
        </w:rPr>
      </w:pPr>
      <w:r>
        <w:rPr>
          <w:rFonts w:hint="eastAsia"/>
          <w:color w:val="auto"/>
          <w:highlight w:val="none"/>
        </w:rPr>
        <w:t>（5）桩基成桩后，除做超声波检测外，还需采用其它无损伤法检测桩基质量，应根据相关规范，采用可靠方法，抽检部分桩基的承载力。</w:t>
      </w:r>
    </w:p>
    <w:p w14:paraId="30D228FA">
      <w:pPr>
        <w:ind w:firstLine="480" w:firstLineChars="200"/>
        <w:rPr>
          <w:color w:val="auto"/>
          <w:highlight w:val="none"/>
        </w:rPr>
      </w:pPr>
      <w:r>
        <w:rPr>
          <w:rFonts w:hint="eastAsia"/>
          <w:color w:val="auto"/>
          <w:highlight w:val="none"/>
        </w:rPr>
        <w:t>（6）桩基施工流程：测量放线→埋设护筒→钻机就位、泥浆制作→成孔→抽渣→补浆→检孔→清孔→检查沉渣→安放钢筋笼→下导管→灌注水下混凝土。</w:t>
      </w:r>
    </w:p>
    <w:p w14:paraId="498461A9">
      <w:pPr>
        <w:ind w:firstLine="480" w:firstLineChars="200"/>
        <w:rPr>
          <w:color w:val="auto"/>
          <w:highlight w:val="none"/>
        </w:rPr>
      </w:pPr>
      <w:r>
        <w:rPr>
          <w:rFonts w:hint="eastAsia"/>
          <w:color w:val="auto"/>
          <w:highlight w:val="none"/>
        </w:rPr>
        <w:t>（7）桥台桩基施工时应填土至桩顶标高后施工，填土压实度要求不小于</w:t>
      </w:r>
      <w:r>
        <w:rPr>
          <w:color w:val="auto"/>
          <w:highlight w:val="none"/>
        </w:rPr>
        <w:t xml:space="preserve"> 96%</w:t>
      </w:r>
      <w:r>
        <w:rPr>
          <w:rFonts w:hint="eastAsia"/>
          <w:color w:val="auto"/>
          <w:highlight w:val="none"/>
        </w:rPr>
        <w:t>。</w:t>
      </w:r>
    </w:p>
    <w:p w14:paraId="16062529">
      <w:pPr>
        <w:ind w:firstLine="480" w:firstLineChars="200"/>
        <w:rPr>
          <w:color w:val="auto"/>
          <w:highlight w:val="none"/>
        </w:rPr>
      </w:pPr>
      <w:r>
        <w:rPr>
          <w:rFonts w:hint="eastAsia"/>
          <w:color w:val="auto"/>
          <w:highlight w:val="none"/>
        </w:rPr>
        <w:t>（8）护筒有定位、保护孔口和维持水位高差等重要作用。设计要求采用钢护筒或施工单位认为可行的措施，壁厚不小于</w:t>
      </w:r>
      <w:r>
        <w:rPr>
          <w:color w:val="auto"/>
          <w:highlight w:val="none"/>
        </w:rPr>
        <w:t xml:space="preserve"> 10mm</w:t>
      </w:r>
      <w:r>
        <w:rPr>
          <w:rFonts w:hint="eastAsia"/>
          <w:color w:val="auto"/>
          <w:highlight w:val="none"/>
        </w:rPr>
        <w:t>，冲孔桩的护筒内径应比钻头直径大</w:t>
      </w:r>
      <w:r>
        <w:rPr>
          <w:color w:val="auto"/>
          <w:highlight w:val="none"/>
        </w:rPr>
        <w:t xml:space="preserve"> 200mm</w:t>
      </w:r>
      <w:r>
        <w:rPr>
          <w:rFonts w:hint="eastAsia"/>
          <w:color w:val="auto"/>
          <w:highlight w:val="none"/>
        </w:rPr>
        <w:t>，护筒顶面宜高出施工水位</w:t>
      </w:r>
      <w:r>
        <w:rPr>
          <w:color w:val="auto"/>
          <w:highlight w:val="none"/>
        </w:rPr>
        <w:t xml:space="preserve"> 1m</w:t>
      </w:r>
      <w:r>
        <w:rPr>
          <w:rFonts w:hint="eastAsia"/>
          <w:color w:val="auto"/>
          <w:highlight w:val="none"/>
        </w:rPr>
        <w:t>，并宜高出施工地面</w:t>
      </w:r>
      <w:r>
        <w:rPr>
          <w:color w:val="auto"/>
          <w:highlight w:val="none"/>
        </w:rPr>
        <w:t xml:space="preserve"> 0.3m</w:t>
      </w:r>
      <w:r>
        <w:rPr>
          <w:rFonts w:hint="eastAsia"/>
          <w:color w:val="auto"/>
          <w:highlight w:val="none"/>
        </w:rPr>
        <w:t>。</w:t>
      </w:r>
    </w:p>
    <w:p w14:paraId="7FBBC3D4">
      <w:pPr>
        <w:ind w:firstLine="480" w:firstLineChars="200"/>
        <w:rPr>
          <w:color w:val="auto"/>
          <w:highlight w:val="none"/>
        </w:rPr>
      </w:pPr>
      <w:r>
        <w:rPr>
          <w:rFonts w:hint="eastAsia"/>
          <w:color w:val="auto"/>
          <w:highlight w:val="none"/>
        </w:rPr>
        <w:t>（9）作护壁和排渣用的泥浆，其制作及其性能要求应严格按照相关规定进行。成孔必须保证泥浆的供给，使孔内浆液稳定。</w:t>
      </w:r>
    </w:p>
    <w:p w14:paraId="41318905">
      <w:pPr>
        <w:ind w:firstLine="480" w:firstLineChars="200"/>
        <w:rPr>
          <w:color w:val="auto"/>
          <w:highlight w:val="none"/>
        </w:rPr>
      </w:pPr>
      <w:r>
        <w:rPr>
          <w:rFonts w:hint="eastAsia"/>
          <w:color w:val="auto"/>
          <w:highlight w:val="none"/>
        </w:rPr>
        <w:t>（10）桩基施工若遇斜孔、弯孔、缩颈、塌孔或沿护筒周围冒浆以及地面沉陷等情况，应停止进钻，经采取有效措施后，方可继续施工。</w:t>
      </w:r>
    </w:p>
    <w:p w14:paraId="5D3AE79F">
      <w:pPr>
        <w:ind w:firstLine="480" w:firstLineChars="200"/>
        <w:rPr>
          <w:color w:val="auto"/>
          <w:highlight w:val="none"/>
        </w:rPr>
      </w:pPr>
      <w:r>
        <w:rPr>
          <w:rFonts w:hint="eastAsia"/>
          <w:color w:val="auto"/>
          <w:highlight w:val="none"/>
        </w:rPr>
        <w:t>（11）各项规定和允许偏差如下：</w:t>
      </w:r>
    </w:p>
    <w:p w14:paraId="3BDBEFB0">
      <w:pPr>
        <w:ind w:firstLine="480" w:firstLineChars="200"/>
        <w:rPr>
          <w:color w:val="auto"/>
          <w:highlight w:val="none"/>
        </w:rPr>
      </w:pPr>
      <w:r>
        <w:rPr>
          <w:rFonts w:hint="eastAsia"/>
          <w:color w:val="auto"/>
          <w:highlight w:val="none"/>
        </w:rPr>
        <w:t>轴线偏差：单桩为</w:t>
      </w:r>
      <w:r>
        <w:rPr>
          <w:color w:val="auto"/>
          <w:highlight w:val="none"/>
        </w:rPr>
        <w:t>50mm</w:t>
      </w:r>
      <w:r>
        <w:rPr>
          <w:rFonts w:hint="eastAsia"/>
          <w:color w:val="auto"/>
          <w:highlight w:val="none"/>
        </w:rPr>
        <w:t>倾斜度：小于</w:t>
      </w:r>
      <w:r>
        <w:rPr>
          <w:color w:val="auto"/>
          <w:highlight w:val="none"/>
        </w:rPr>
        <w:t>1/100</w:t>
      </w:r>
    </w:p>
    <w:p w14:paraId="03F04052">
      <w:pPr>
        <w:ind w:firstLine="480" w:firstLineChars="200"/>
        <w:rPr>
          <w:color w:val="auto"/>
          <w:highlight w:val="none"/>
        </w:rPr>
      </w:pPr>
      <w:r>
        <w:rPr>
          <w:rFonts w:hint="eastAsia"/>
          <w:color w:val="auto"/>
          <w:highlight w:val="none"/>
        </w:rPr>
        <w:t>沉淀厚度：摩擦桩桩不大于</w:t>
      </w:r>
      <w:r>
        <w:rPr>
          <w:color w:val="auto"/>
          <w:highlight w:val="none"/>
        </w:rPr>
        <w:t>15cm</w:t>
      </w:r>
      <w:r>
        <w:rPr>
          <w:rFonts w:hint="eastAsia"/>
          <w:color w:val="auto"/>
          <w:highlight w:val="none"/>
        </w:rPr>
        <w:t>。</w:t>
      </w:r>
    </w:p>
    <w:p w14:paraId="426C51E6">
      <w:pPr>
        <w:ind w:firstLine="480" w:firstLineChars="200"/>
        <w:rPr>
          <w:color w:val="auto"/>
          <w:highlight w:val="none"/>
        </w:rPr>
      </w:pPr>
      <w:r>
        <w:rPr>
          <w:rFonts w:hint="eastAsia"/>
          <w:color w:val="auto"/>
          <w:highlight w:val="none"/>
        </w:rPr>
        <w:t>（12）桩基采用</w:t>
      </w:r>
      <w:r>
        <w:rPr>
          <w:color w:val="auto"/>
          <w:highlight w:val="none"/>
        </w:rPr>
        <w:t>C30</w:t>
      </w:r>
      <w:r>
        <w:rPr>
          <w:rFonts w:hint="eastAsia"/>
          <w:color w:val="auto"/>
          <w:highlight w:val="none"/>
        </w:rPr>
        <w:t>水下混凝土，在施工前必须进行配合比试验，以保证泵送混凝土的流动性、和易性及缓凝、早强等性能。</w:t>
      </w:r>
    </w:p>
    <w:p w14:paraId="6D858268">
      <w:pPr>
        <w:ind w:firstLine="480" w:firstLineChars="200"/>
        <w:rPr>
          <w:color w:val="auto"/>
          <w:highlight w:val="none"/>
        </w:rPr>
      </w:pPr>
      <w:r>
        <w:rPr>
          <w:rFonts w:hint="eastAsia"/>
          <w:color w:val="auto"/>
          <w:highlight w:val="none"/>
        </w:rPr>
        <w:t>（13）钢筋笼吊运时应采取适当措施防止扭转、弯曲。为便于起吊，桩基钢筋骨架可分节吊装，就地焊接，两节主筋应对准，焊接质量要符合要求。安装钢筋笼时，应对准孔位，吊直扶稳，缓慢下沉，避免碰撞孔壁。钢筋笼下沉到设计位置后，应立即固定，防止移动。</w:t>
      </w:r>
    </w:p>
    <w:p w14:paraId="7BC40846">
      <w:pPr>
        <w:ind w:firstLine="480" w:firstLineChars="200"/>
        <w:rPr>
          <w:rFonts w:hint="eastAsia"/>
          <w:color w:val="auto"/>
          <w:highlight w:val="none"/>
        </w:rPr>
      </w:pPr>
      <w:r>
        <w:rPr>
          <w:rFonts w:hint="eastAsia"/>
          <w:color w:val="auto"/>
          <w:highlight w:val="none"/>
        </w:rPr>
        <w:t>（14）桩基浇筑前应预埋混凝土质量检测管。为确保桩基质量，成桩后应对基桩进行无破损检验，每根桩均须检验，并对桩的均质性进行检测。</w:t>
      </w:r>
    </w:p>
    <w:p w14:paraId="60EC365D">
      <w:pPr>
        <w:ind w:firstLine="480" w:firstLineChars="200"/>
        <w:rPr>
          <w:rFonts w:hint="eastAsia"/>
          <w:color w:val="auto"/>
          <w:highlight w:val="none"/>
        </w:rPr>
      </w:pPr>
      <w:r>
        <w:rPr>
          <w:rFonts w:hint="eastAsia"/>
          <w:color w:val="auto"/>
          <w:highlight w:val="none"/>
        </w:rPr>
        <w:t>（15）其他相关桩基检测要求详见《公路工程基桩检测技术规程》（JTG T 5312-2020）及</w:t>
      </w:r>
      <w:r>
        <w:rPr>
          <w:rFonts w:hint="eastAsia"/>
          <w:color w:val="auto"/>
          <w:szCs w:val="24"/>
          <w:highlight w:val="none"/>
        </w:rPr>
        <w:t>、《公路桥涵施工技术规范》（</w:t>
      </w:r>
      <w:r>
        <w:rPr>
          <w:color w:val="auto"/>
          <w:szCs w:val="24"/>
          <w:highlight w:val="none"/>
        </w:rPr>
        <w:t>JTG/T 3650</w:t>
      </w:r>
      <w:r>
        <w:rPr>
          <w:rFonts w:hint="eastAsia"/>
          <w:color w:val="auto"/>
          <w:szCs w:val="24"/>
          <w:highlight w:val="none"/>
        </w:rPr>
        <w:t>—</w:t>
      </w:r>
      <w:r>
        <w:rPr>
          <w:color w:val="auto"/>
          <w:szCs w:val="24"/>
          <w:highlight w:val="none"/>
        </w:rPr>
        <w:t>2020</w:t>
      </w:r>
      <w:r>
        <w:rPr>
          <w:rFonts w:hint="eastAsia"/>
          <w:color w:val="auto"/>
          <w:szCs w:val="24"/>
          <w:highlight w:val="none"/>
        </w:rPr>
        <w:t>）相关要求。</w:t>
      </w:r>
    </w:p>
    <w:p w14:paraId="11F24CBB">
      <w:pPr>
        <w:pStyle w:val="3"/>
        <w:numPr>
          <w:ilvl w:val="0"/>
          <w:numId w:val="0"/>
        </w:numPr>
        <w:ind w:firstLine="280" w:firstLineChars="100"/>
        <w:rPr>
          <w:rFonts w:ascii="Times New Roman" w:hAnsi="Times New Roman"/>
          <w:color w:val="auto"/>
          <w:highlight w:val="none"/>
        </w:rPr>
      </w:pPr>
      <w:r>
        <w:rPr>
          <w:rFonts w:ascii="Times New Roman" w:hAnsi="Times New Roman"/>
          <w:color w:val="auto"/>
          <w:highlight w:val="none"/>
        </w:rPr>
        <w:t>7.2  上构施工</w:t>
      </w:r>
    </w:p>
    <w:p w14:paraId="1789208C">
      <w:pPr>
        <w:ind w:firstLine="476" w:firstLineChars="200"/>
        <w:rPr>
          <w:color w:val="auto"/>
          <w:highlight w:val="none"/>
        </w:rPr>
      </w:pPr>
      <w:r>
        <w:rPr>
          <w:color w:val="auto"/>
          <w:spacing w:val="-1"/>
          <w:highlight w:val="none"/>
        </w:rPr>
        <w:t>1</w:t>
      </w:r>
      <w:r>
        <w:rPr>
          <w:rFonts w:hint="eastAsia"/>
          <w:color w:val="auto"/>
          <w:spacing w:val="-1"/>
          <w:highlight w:val="none"/>
        </w:rPr>
        <w:t>、浇筑空心板混凝土前应将预埋钢筋、钢板、预留孔按各图中位置准确地安装或预留。焊</w:t>
      </w:r>
      <w:r>
        <w:rPr>
          <w:rFonts w:hint="eastAsia"/>
          <w:color w:val="auto"/>
          <w:highlight w:val="none"/>
        </w:rPr>
        <w:t>接钢筋骨架要严格检查焊接质量和几何尺寸，施工时应保证钢筋位置准确。控制混凝土粗集料</w:t>
      </w:r>
      <w:r>
        <w:rPr>
          <w:rFonts w:hint="eastAsia"/>
          <w:color w:val="auto"/>
          <w:spacing w:val="-7"/>
          <w:highlight w:val="none"/>
        </w:rPr>
        <w:t>最大粒径不得大于</w:t>
      </w:r>
      <w:r>
        <w:rPr>
          <w:color w:val="auto"/>
          <w:spacing w:val="-7"/>
          <w:highlight w:val="none"/>
        </w:rPr>
        <w:t xml:space="preserve"> </w:t>
      </w:r>
      <w:r>
        <w:rPr>
          <w:color w:val="auto"/>
          <w:highlight w:val="none"/>
        </w:rPr>
        <w:t>20mm</w:t>
      </w:r>
      <w:r>
        <w:rPr>
          <w:rFonts w:hint="eastAsia"/>
          <w:color w:val="auto"/>
          <w:highlight w:val="none"/>
        </w:rPr>
        <w:t>。浇筑混凝土时应充分振捣密实，严格控制浇筑质量。</w:t>
      </w:r>
    </w:p>
    <w:p w14:paraId="53DE0624">
      <w:pPr>
        <w:ind w:firstLine="480" w:firstLineChars="200"/>
        <w:rPr>
          <w:color w:val="auto"/>
          <w:highlight w:val="none"/>
        </w:rPr>
      </w:pPr>
      <w:r>
        <w:rPr>
          <w:rFonts w:hint="eastAsia"/>
          <w:color w:val="auto"/>
          <w:highlight w:val="none"/>
        </w:rPr>
        <w:t>2、现浇板采用满堂支架就地浇筑，必须制定正确的浇筑程序，以保证工程质量。</w:t>
      </w:r>
    </w:p>
    <w:p w14:paraId="1974FE12">
      <w:pPr>
        <w:ind w:firstLine="480" w:firstLineChars="200"/>
        <w:rPr>
          <w:color w:val="auto"/>
          <w:highlight w:val="none"/>
        </w:rPr>
      </w:pPr>
      <w:r>
        <w:rPr>
          <w:rFonts w:hint="eastAsia"/>
          <w:color w:val="auto"/>
          <w:highlight w:val="none"/>
        </w:rPr>
        <w:t>3、施工时必须保证模板支架的强度及刚度。浇筑混凝土前应对模板支架预压，消除地基的</w:t>
      </w:r>
      <w:r>
        <w:rPr>
          <w:rFonts w:hint="eastAsia"/>
          <w:color w:val="auto"/>
          <w:spacing w:val="-1"/>
          <w:highlight w:val="none"/>
        </w:rPr>
        <w:t>不均匀沉降和支架的非弹性形变，预压荷载为支架所承受荷载的</w:t>
      </w:r>
      <w:r>
        <w:rPr>
          <w:color w:val="auto"/>
          <w:spacing w:val="-1"/>
          <w:highlight w:val="none"/>
        </w:rPr>
        <w:t xml:space="preserve"> </w:t>
      </w:r>
      <w:r>
        <w:rPr>
          <w:color w:val="auto"/>
          <w:highlight w:val="none"/>
        </w:rPr>
        <w:t>1.2</w:t>
      </w:r>
      <w:r>
        <w:rPr>
          <w:color w:val="auto"/>
          <w:spacing w:val="-5"/>
          <w:highlight w:val="none"/>
        </w:rPr>
        <w:t xml:space="preserve"> </w:t>
      </w:r>
      <w:r>
        <w:rPr>
          <w:rFonts w:hint="eastAsia"/>
          <w:color w:val="auto"/>
          <w:spacing w:val="-5"/>
          <w:highlight w:val="none"/>
        </w:rPr>
        <w:t>倍，预压前应布置支架基</w:t>
      </w:r>
      <w:r>
        <w:rPr>
          <w:rFonts w:hint="eastAsia"/>
          <w:color w:val="auto"/>
          <w:spacing w:val="-3"/>
          <w:highlight w:val="none"/>
        </w:rPr>
        <w:t>础的沉降监测点，支架预压过程中各监测点连续</w:t>
      </w:r>
      <w:r>
        <w:rPr>
          <w:color w:val="auto"/>
          <w:spacing w:val="-3"/>
          <w:highlight w:val="none"/>
        </w:rPr>
        <w:t xml:space="preserve"> </w:t>
      </w:r>
      <w:r>
        <w:rPr>
          <w:color w:val="auto"/>
          <w:highlight w:val="none"/>
        </w:rPr>
        <w:t>24h</w:t>
      </w:r>
      <w:r>
        <w:rPr>
          <w:color w:val="auto"/>
          <w:spacing w:val="-10"/>
          <w:highlight w:val="none"/>
        </w:rPr>
        <w:t xml:space="preserve"> </w:t>
      </w:r>
      <w:r>
        <w:rPr>
          <w:rFonts w:hint="eastAsia"/>
          <w:color w:val="auto"/>
          <w:spacing w:val="-10"/>
          <w:highlight w:val="none"/>
        </w:rPr>
        <w:t>的沉降量平均值小于</w:t>
      </w:r>
      <w:r>
        <w:rPr>
          <w:color w:val="auto"/>
          <w:spacing w:val="-10"/>
          <w:highlight w:val="none"/>
        </w:rPr>
        <w:t xml:space="preserve"> </w:t>
      </w:r>
      <w:r>
        <w:rPr>
          <w:color w:val="auto"/>
          <w:highlight w:val="none"/>
        </w:rPr>
        <w:t>1mm</w:t>
      </w:r>
      <w:r>
        <w:rPr>
          <w:color w:val="auto"/>
          <w:spacing w:val="-7"/>
          <w:highlight w:val="none"/>
        </w:rPr>
        <w:t xml:space="preserve"> </w:t>
      </w:r>
      <w:r>
        <w:rPr>
          <w:rFonts w:hint="eastAsia"/>
          <w:color w:val="auto"/>
          <w:spacing w:val="-7"/>
          <w:highlight w:val="none"/>
        </w:rPr>
        <w:t>或各监测点连续</w:t>
      </w:r>
      <w:r>
        <w:rPr>
          <w:color w:val="auto"/>
          <w:spacing w:val="-2"/>
          <w:highlight w:val="none"/>
        </w:rPr>
        <w:t>24h</w:t>
      </w:r>
      <w:r>
        <w:rPr>
          <w:color w:val="auto"/>
          <w:spacing w:val="-14"/>
          <w:highlight w:val="none"/>
        </w:rPr>
        <w:t xml:space="preserve"> </w:t>
      </w:r>
      <w:r>
        <w:rPr>
          <w:rFonts w:hint="eastAsia"/>
          <w:color w:val="auto"/>
          <w:spacing w:val="-14"/>
          <w:highlight w:val="none"/>
        </w:rPr>
        <w:t>的沉降量平均值小于</w:t>
      </w:r>
      <w:r>
        <w:rPr>
          <w:color w:val="auto"/>
          <w:spacing w:val="-14"/>
          <w:highlight w:val="none"/>
        </w:rPr>
        <w:t xml:space="preserve"> </w:t>
      </w:r>
      <w:r>
        <w:rPr>
          <w:color w:val="auto"/>
          <w:spacing w:val="-1"/>
          <w:highlight w:val="none"/>
        </w:rPr>
        <w:t>5mm</w:t>
      </w:r>
      <w:r>
        <w:rPr>
          <w:color w:val="auto"/>
          <w:spacing w:val="-12"/>
          <w:highlight w:val="none"/>
        </w:rPr>
        <w:t xml:space="preserve"> </w:t>
      </w:r>
      <w:r>
        <w:rPr>
          <w:rFonts w:hint="eastAsia"/>
          <w:color w:val="auto"/>
          <w:spacing w:val="-12"/>
          <w:highlight w:val="none"/>
        </w:rPr>
        <w:t>方可进行浇筑。在空心板混凝土强度达到</w:t>
      </w:r>
      <w:r>
        <w:rPr>
          <w:color w:val="auto"/>
          <w:spacing w:val="-12"/>
          <w:highlight w:val="none"/>
        </w:rPr>
        <w:t xml:space="preserve"> </w:t>
      </w:r>
      <w:r>
        <w:rPr>
          <w:color w:val="auto"/>
          <w:spacing w:val="-1"/>
          <w:highlight w:val="none"/>
        </w:rPr>
        <w:t>80%</w:t>
      </w:r>
      <w:r>
        <w:rPr>
          <w:rFonts w:hint="eastAsia"/>
          <w:color w:val="auto"/>
          <w:spacing w:val="-1"/>
          <w:highlight w:val="none"/>
        </w:rPr>
        <w:t>后，可拆除支架，然</w:t>
      </w:r>
      <w:r>
        <w:rPr>
          <w:rFonts w:hint="eastAsia"/>
          <w:color w:val="auto"/>
          <w:highlight w:val="none"/>
        </w:rPr>
        <w:t>后再进行桥面铺装和护栏的施工。</w:t>
      </w:r>
    </w:p>
    <w:p w14:paraId="51FF153C">
      <w:pPr>
        <w:ind w:firstLine="472" w:firstLineChars="200"/>
        <w:rPr>
          <w:color w:val="auto"/>
          <w:highlight w:val="none"/>
        </w:rPr>
      </w:pPr>
      <w:r>
        <w:rPr>
          <w:color w:val="auto"/>
          <w:spacing w:val="-2"/>
          <w:highlight w:val="none"/>
        </w:rPr>
        <w:t>4</w:t>
      </w:r>
      <w:r>
        <w:rPr>
          <w:rFonts w:hint="eastAsia"/>
          <w:color w:val="auto"/>
          <w:spacing w:val="-2"/>
          <w:highlight w:val="none"/>
        </w:rPr>
        <w:t>、支架的弹性、非弹性变形及基础的允许下沉量应满足施工后梁体设计标高的要求。整体</w:t>
      </w:r>
      <w:r>
        <w:rPr>
          <w:rFonts w:hint="eastAsia"/>
          <w:color w:val="auto"/>
          <w:highlight w:val="none"/>
        </w:rPr>
        <w:t>浇筑时应采取措施，防止梁体不均匀下沉产生裂缝。</w:t>
      </w:r>
    </w:p>
    <w:p w14:paraId="0FA062B1">
      <w:pPr>
        <w:ind w:firstLine="476" w:firstLineChars="200"/>
        <w:rPr>
          <w:color w:val="auto"/>
          <w:highlight w:val="none"/>
        </w:rPr>
      </w:pPr>
      <w:r>
        <w:rPr>
          <w:color w:val="auto"/>
          <w:spacing w:val="-1"/>
          <w:highlight w:val="none"/>
        </w:rPr>
        <w:t>5</w:t>
      </w:r>
      <w:r>
        <w:rPr>
          <w:rFonts w:hint="eastAsia"/>
          <w:color w:val="auto"/>
          <w:spacing w:val="-1"/>
          <w:highlight w:val="none"/>
        </w:rPr>
        <w:t>、施工时应对支架的变形、位移、节点和卸架设备的压缩及支架基础的沉降等进行观测，</w:t>
      </w:r>
      <w:r>
        <w:rPr>
          <w:color w:val="auto"/>
          <w:spacing w:val="-117"/>
          <w:highlight w:val="none"/>
        </w:rPr>
        <w:t xml:space="preserve"> </w:t>
      </w:r>
      <w:r>
        <w:rPr>
          <w:rFonts w:hint="eastAsia"/>
          <w:color w:val="auto"/>
          <w:highlight w:val="none"/>
        </w:rPr>
        <w:t>如发现超过允许值的变形、变位，应及时采取措施予以调整。</w:t>
      </w:r>
    </w:p>
    <w:p w14:paraId="2849EE13">
      <w:pPr>
        <w:ind w:firstLine="472" w:firstLineChars="200"/>
        <w:rPr>
          <w:color w:val="auto"/>
          <w:highlight w:val="none"/>
        </w:rPr>
      </w:pPr>
      <w:r>
        <w:rPr>
          <w:rFonts w:hint="eastAsia"/>
          <w:color w:val="auto"/>
          <w:spacing w:val="-2"/>
          <w:highlight w:val="none"/>
        </w:rPr>
        <w:t>6、在浇筑铺装层混凝土前，检查板与板之间的连接钢筋是否扳平，焊缝长度是否满足要求，</w:t>
      </w:r>
      <w:r>
        <w:rPr>
          <w:color w:val="auto"/>
          <w:spacing w:val="-117"/>
          <w:highlight w:val="none"/>
        </w:rPr>
        <w:t xml:space="preserve"> </w:t>
      </w:r>
      <w:r>
        <w:rPr>
          <w:rFonts w:hint="eastAsia"/>
          <w:color w:val="auto"/>
          <w:highlight w:val="none"/>
        </w:rPr>
        <w:t>确保铺装层钢筋网在混凝土中的高度。必须用钢刷清除结合面上的浮皮等杂质，并用水冲洗干净。</w:t>
      </w:r>
    </w:p>
    <w:p w14:paraId="68930829">
      <w:pPr>
        <w:ind w:firstLine="472" w:firstLineChars="200"/>
        <w:rPr>
          <w:color w:val="auto"/>
          <w:highlight w:val="none"/>
        </w:rPr>
      </w:pPr>
      <w:r>
        <w:rPr>
          <w:rFonts w:hint="eastAsia"/>
          <w:color w:val="auto"/>
          <w:spacing w:val="-2"/>
          <w:highlight w:val="none"/>
        </w:rPr>
        <w:t>7、所有混凝土浇筑后均需进行保湿养护。预制板拆模后应安装自动喷淋养护措施进行养护，</w:t>
      </w:r>
      <w:r>
        <w:rPr>
          <w:color w:val="auto"/>
          <w:spacing w:val="-117"/>
          <w:highlight w:val="none"/>
        </w:rPr>
        <w:t xml:space="preserve"> </w:t>
      </w:r>
      <w:r>
        <w:rPr>
          <w:rFonts w:hint="eastAsia"/>
          <w:color w:val="auto"/>
          <w:highlight w:val="none"/>
        </w:rPr>
        <w:t>并用土工布覆盖至板底保持足够的湿度和温度，不能只覆盖板顶部分，封锚混凝土浇筑后，静</w:t>
      </w:r>
      <w:r>
        <w:rPr>
          <w:rFonts w:hint="eastAsia"/>
          <w:color w:val="auto"/>
          <w:spacing w:val="-31"/>
          <w:highlight w:val="none"/>
        </w:rPr>
        <w:t>置</w:t>
      </w:r>
      <w:r>
        <w:rPr>
          <w:color w:val="auto"/>
          <w:spacing w:val="-31"/>
          <w:highlight w:val="none"/>
        </w:rPr>
        <w:t xml:space="preserve"> </w:t>
      </w:r>
      <w:r>
        <w:rPr>
          <w:color w:val="auto"/>
          <w:spacing w:val="-1"/>
          <w:highlight w:val="none"/>
        </w:rPr>
        <w:t>1</w:t>
      </w:r>
      <w:r>
        <w:rPr>
          <w:rFonts w:hint="eastAsia"/>
          <w:color w:val="auto"/>
          <w:spacing w:val="-1"/>
          <w:highlight w:val="none"/>
        </w:rPr>
        <w:t>～</w:t>
      </w:r>
      <w:r>
        <w:rPr>
          <w:color w:val="auto"/>
          <w:spacing w:val="-1"/>
          <w:highlight w:val="none"/>
        </w:rPr>
        <w:t>2h</w:t>
      </w:r>
      <w:r>
        <w:rPr>
          <w:rFonts w:hint="eastAsia"/>
          <w:color w:val="auto"/>
          <w:spacing w:val="-4"/>
          <w:highlight w:val="none"/>
        </w:rPr>
        <w:t>，带模浇水养护，常温下一般养护时间不少于</w:t>
      </w:r>
      <w:r>
        <w:rPr>
          <w:color w:val="auto"/>
          <w:spacing w:val="-4"/>
          <w:highlight w:val="none"/>
        </w:rPr>
        <w:t xml:space="preserve"> </w:t>
      </w:r>
      <w:r>
        <w:rPr>
          <w:color w:val="auto"/>
          <w:spacing w:val="-1"/>
          <w:highlight w:val="none"/>
        </w:rPr>
        <w:t>14d</w:t>
      </w:r>
      <w:r>
        <w:rPr>
          <w:rFonts w:hint="eastAsia"/>
          <w:color w:val="auto"/>
          <w:spacing w:val="-1"/>
          <w:highlight w:val="none"/>
        </w:rPr>
        <w:t>。现场浇筑的整体化层混凝土在收浆</w:t>
      </w:r>
      <w:r>
        <w:rPr>
          <w:rFonts w:hint="eastAsia"/>
          <w:color w:val="auto"/>
          <w:highlight w:val="none"/>
        </w:rPr>
        <w:t>后均需覆盖和洒水养护，覆盖时不得损伤或污染混凝土表面，混凝土面有模板覆盖时</w:t>
      </w:r>
      <w:r>
        <w:rPr>
          <w:color w:val="auto"/>
          <w:highlight w:val="none"/>
        </w:rPr>
        <w:t>,</w:t>
      </w:r>
      <w:r>
        <w:rPr>
          <w:rFonts w:hint="eastAsia"/>
          <w:color w:val="auto"/>
          <w:highlight w:val="none"/>
        </w:rPr>
        <w:t>应在养护</w:t>
      </w:r>
      <w:r>
        <w:rPr>
          <w:rFonts w:hint="eastAsia"/>
          <w:color w:val="auto"/>
          <w:spacing w:val="-6"/>
          <w:highlight w:val="none"/>
        </w:rPr>
        <w:t>期间使模板保持湿润，常温下需保湿养护</w:t>
      </w:r>
      <w:r>
        <w:rPr>
          <w:color w:val="auto"/>
          <w:spacing w:val="-6"/>
          <w:highlight w:val="none"/>
        </w:rPr>
        <w:t xml:space="preserve"> </w:t>
      </w:r>
      <w:r>
        <w:rPr>
          <w:color w:val="auto"/>
          <w:spacing w:val="-2"/>
          <w:highlight w:val="none"/>
        </w:rPr>
        <w:t>14d</w:t>
      </w:r>
      <w:r>
        <w:rPr>
          <w:color w:val="auto"/>
          <w:spacing w:val="-15"/>
          <w:highlight w:val="none"/>
        </w:rPr>
        <w:t xml:space="preserve"> </w:t>
      </w:r>
      <w:r>
        <w:rPr>
          <w:rFonts w:hint="eastAsia"/>
          <w:color w:val="auto"/>
          <w:spacing w:val="-15"/>
          <w:highlight w:val="none"/>
        </w:rPr>
        <w:t>以上。冬季气温低于</w:t>
      </w:r>
      <w:r>
        <w:rPr>
          <w:color w:val="auto"/>
          <w:spacing w:val="-15"/>
          <w:highlight w:val="none"/>
        </w:rPr>
        <w:t xml:space="preserve"> </w:t>
      </w:r>
      <w:r>
        <w:rPr>
          <w:color w:val="auto"/>
          <w:spacing w:val="-2"/>
          <w:highlight w:val="none"/>
        </w:rPr>
        <w:t>5</w:t>
      </w:r>
      <w:r>
        <w:rPr>
          <w:rFonts w:hint="eastAsia"/>
          <w:color w:val="auto"/>
          <w:spacing w:val="-2"/>
          <w:highlight w:val="none"/>
        </w:rPr>
        <w:t>℃时不得浇水，养护时间适</w:t>
      </w:r>
      <w:r>
        <w:rPr>
          <w:rFonts w:hint="eastAsia"/>
          <w:color w:val="auto"/>
          <w:highlight w:val="none"/>
        </w:rPr>
        <w:t>当增长，并采取保温措施。</w:t>
      </w:r>
    </w:p>
    <w:p w14:paraId="485256EA">
      <w:pPr>
        <w:ind w:firstLine="460" w:firstLineChars="200"/>
        <w:rPr>
          <w:color w:val="auto"/>
          <w:highlight w:val="none"/>
        </w:rPr>
      </w:pPr>
      <w:r>
        <w:rPr>
          <w:rFonts w:hint="eastAsia"/>
          <w:color w:val="auto"/>
          <w:spacing w:val="-5"/>
          <w:highlight w:val="none"/>
        </w:rPr>
        <w:t>8、空心板施工中钢筋的连接方式：如设计图纸中未说明，钢筋直径</w:t>
      </w:r>
      <w:r>
        <w:rPr>
          <w:rFonts w:hint="eastAsia"/>
          <w:color w:val="auto"/>
          <w:highlight w:val="none"/>
        </w:rPr>
        <w:t>≥</w:t>
      </w:r>
      <w:r>
        <w:rPr>
          <w:color w:val="auto"/>
          <w:highlight w:val="none"/>
        </w:rPr>
        <w:t>12mm</w:t>
      </w:r>
      <w:r>
        <w:rPr>
          <w:color w:val="auto"/>
          <w:spacing w:val="-16"/>
          <w:highlight w:val="none"/>
        </w:rPr>
        <w:t xml:space="preserve"> </w:t>
      </w:r>
      <w:r>
        <w:rPr>
          <w:rFonts w:hint="eastAsia"/>
          <w:color w:val="auto"/>
          <w:spacing w:val="-16"/>
          <w:highlight w:val="none"/>
        </w:rPr>
        <w:t>时，钢筋连接应</w:t>
      </w:r>
      <w:r>
        <w:rPr>
          <w:rFonts w:hint="eastAsia"/>
          <w:color w:val="auto"/>
          <w:spacing w:val="-1"/>
          <w:highlight w:val="none"/>
        </w:rPr>
        <w:t>采用焊接，钢筋直径＜</w:t>
      </w:r>
      <w:r>
        <w:rPr>
          <w:color w:val="auto"/>
          <w:spacing w:val="-1"/>
          <w:highlight w:val="none"/>
        </w:rPr>
        <w:t>12mm</w:t>
      </w:r>
      <w:r>
        <w:rPr>
          <w:color w:val="auto"/>
          <w:spacing w:val="-7"/>
          <w:highlight w:val="none"/>
        </w:rPr>
        <w:t xml:space="preserve"> </w:t>
      </w:r>
      <w:r>
        <w:rPr>
          <w:rFonts w:hint="eastAsia"/>
          <w:color w:val="auto"/>
          <w:spacing w:val="-7"/>
          <w:highlight w:val="none"/>
        </w:rPr>
        <w:t>时，钢筋连接可采用绑扎。绑扎及焊接长度应按照《公路桥涵施工</w:t>
      </w:r>
      <w:r>
        <w:rPr>
          <w:rFonts w:hint="eastAsia"/>
          <w:color w:val="auto"/>
          <w:highlight w:val="none"/>
        </w:rPr>
        <w:t>技术规范》（</w:t>
      </w:r>
      <w:r>
        <w:rPr>
          <w:color w:val="auto"/>
          <w:highlight w:val="none"/>
        </w:rPr>
        <w:t>JTG/T 3650-2020</w:t>
      </w:r>
      <w:r>
        <w:rPr>
          <w:rFonts w:hint="eastAsia"/>
          <w:color w:val="auto"/>
          <w:highlight w:val="none"/>
        </w:rPr>
        <w:t>）的有关规定严格执行。</w:t>
      </w:r>
    </w:p>
    <w:p w14:paraId="21A324C0">
      <w:pPr>
        <w:pStyle w:val="3"/>
        <w:numPr>
          <w:ilvl w:val="0"/>
          <w:numId w:val="0"/>
        </w:numPr>
        <w:ind w:firstLine="280" w:firstLineChars="100"/>
        <w:rPr>
          <w:rFonts w:ascii="Times New Roman" w:hAnsi="Times New Roman"/>
          <w:color w:val="auto"/>
          <w:highlight w:val="none"/>
        </w:rPr>
      </w:pPr>
      <w:r>
        <w:rPr>
          <w:rFonts w:ascii="Times New Roman" w:hAnsi="Times New Roman"/>
          <w:color w:val="auto"/>
          <w:highlight w:val="none"/>
        </w:rPr>
        <w:t>7.3  桥面</w:t>
      </w:r>
      <w:r>
        <w:rPr>
          <w:rFonts w:hint="eastAsia" w:ascii="Times New Roman" w:hAnsi="Times New Roman"/>
          <w:color w:val="auto"/>
          <w:highlight w:val="none"/>
          <w:lang w:val="en-US" w:eastAsia="zh-CN"/>
        </w:rPr>
        <w:t>系及附属工程</w:t>
      </w:r>
    </w:p>
    <w:p w14:paraId="4CEF227F">
      <w:pPr>
        <w:pStyle w:val="4"/>
        <w:ind w:firstLine="562"/>
        <w:rPr>
          <w:color w:val="auto"/>
          <w:highlight w:val="none"/>
        </w:rPr>
      </w:pPr>
      <w:bookmarkStart w:id="9" w:name="_Toc166147681"/>
      <w:r>
        <w:rPr>
          <w:rFonts w:hint="eastAsia"/>
          <w:color w:val="auto"/>
          <w:highlight w:val="none"/>
          <w:lang w:val="en-US" w:eastAsia="zh-CN"/>
        </w:rPr>
        <w:t>7.3.1</w:t>
      </w:r>
      <w:r>
        <w:rPr>
          <w:rFonts w:hint="eastAsia"/>
          <w:color w:val="auto"/>
          <w:highlight w:val="none"/>
        </w:rPr>
        <w:t>桥面铺装</w:t>
      </w:r>
      <w:bookmarkEnd w:id="9"/>
    </w:p>
    <w:p w14:paraId="434E1E71">
      <w:pPr>
        <w:ind w:firstLine="480" w:firstLineChars="200"/>
        <w:rPr>
          <w:color w:val="auto"/>
          <w:highlight w:val="none"/>
        </w:rPr>
      </w:pPr>
      <w:r>
        <w:rPr>
          <w:rFonts w:hint="eastAsia"/>
          <w:color w:val="auto"/>
          <w:highlight w:val="none"/>
        </w:rPr>
        <w:t>1、桥面铺装的厚度、材料、铺装层结构、混凝土强度、防水层设置等均应符合设计规定。施工时应按防水混凝土的相关规定执行。</w:t>
      </w:r>
    </w:p>
    <w:p w14:paraId="45B8B56F">
      <w:pPr>
        <w:ind w:firstLine="480" w:firstLineChars="200"/>
        <w:rPr>
          <w:color w:val="auto"/>
          <w:highlight w:val="none"/>
        </w:rPr>
      </w:pPr>
      <w:r>
        <w:rPr>
          <w:rFonts w:hint="eastAsia"/>
          <w:color w:val="auto"/>
          <w:highlight w:val="none"/>
        </w:rPr>
        <w:t>2、桥面铺装施工前应使板顶面粗糙，清洗干净，并应按设计要求铺设纵向接缝钢筋和桥面钢筋网。</w:t>
      </w:r>
    </w:p>
    <w:p w14:paraId="217C950A">
      <w:pPr>
        <w:ind w:firstLine="480" w:firstLineChars="200"/>
        <w:rPr>
          <w:color w:val="auto"/>
          <w:highlight w:val="none"/>
        </w:rPr>
      </w:pPr>
      <w:r>
        <w:rPr>
          <w:rFonts w:hint="eastAsia"/>
          <w:color w:val="auto"/>
          <w:highlight w:val="none"/>
        </w:rPr>
        <w:t>3、水泥混凝土桥面铺装，其做面应采取防滑措施，做面宜分两次进行，第二次抹平后，应沿横坡方向拉毛或采用机具压槽，拉毛或压槽的深度应符合现行《公路水泥混凝土路面施工技术细则》（</w:t>
      </w:r>
      <w:r>
        <w:rPr>
          <w:color w:val="auto"/>
          <w:highlight w:val="none"/>
        </w:rPr>
        <w:t>JTG/T F30</w:t>
      </w:r>
      <w:r>
        <w:rPr>
          <w:rFonts w:hint="eastAsia"/>
          <w:color w:val="auto"/>
          <w:highlight w:val="none"/>
        </w:rPr>
        <w:t>）的有关规定。</w:t>
      </w:r>
    </w:p>
    <w:p w14:paraId="712C5E06">
      <w:pPr>
        <w:pStyle w:val="4"/>
        <w:ind w:firstLine="562"/>
        <w:rPr>
          <w:color w:val="auto"/>
          <w:highlight w:val="none"/>
        </w:rPr>
      </w:pPr>
      <w:bookmarkStart w:id="10" w:name="_Toc166147682"/>
      <w:r>
        <w:rPr>
          <w:rFonts w:hint="eastAsia"/>
          <w:color w:val="auto"/>
          <w:highlight w:val="none"/>
          <w:lang w:val="en-US" w:eastAsia="zh-CN"/>
        </w:rPr>
        <w:t>7.3.2</w:t>
      </w:r>
      <w:r>
        <w:rPr>
          <w:rFonts w:hint="eastAsia"/>
          <w:color w:val="auto"/>
          <w:highlight w:val="none"/>
        </w:rPr>
        <w:t>支座</w:t>
      </w:r>
      <w:bookmarkEnd w:id="10"/>
    </w:p>
    <w:p w14:paraId="6501BD11">
      <w:pPr>
        <w:ind w:firstLine="480" w:firstLineChars="200"/>
        <w:rPr>
          <w:color w:val="auto"/>
          <w:highlight w:val="none"/>
        </w:rPr>
      </w:pPr>
      <w:r>
        <w:rPr>
          <w:rFonts w:hint="eastAsia"/>
          <w:color w:val="auto"/>
          <w:highlight w:val="none"/>
        </w:rPr>
        <w:t>1、</w:t>
      </w:r>
      <w:r>
        <w:rPr>
          <w:color w:val="auto"/>
          <w:highlight w:val="none"/>
        </w:rPr>
        <w:t xml:space="preserve"> </w:t>
      </w:r>
      <w:r>
        <w:rPr>
          <w:rFonts w:hint="eastAsia"/>
          <w:color w:val="auto"/>
          <w:highlight w:val="none"/>
        </w:rPr>
        <w:t>支座的规格、性能应符合设计要求，并应符合相应产品标准的规定。板式橡胶支座应符合现行《公路桥梁板式橡胶支座》（</w:t>
      </w:r>
      <w:r>
        <w:rPr>
          <w:color w:val="auto"/>
          <w:highlight w:val="none"/>
        </w:rPr>
        <w:t>JT/T 4</w:t>
      </w:r>
      <w:r>
        <w:rPr>
          <w:rFonts w:hint="eastAsia"/>
          <w:color w:val="auto"/>
          <w:highlight w:val="none"/>
        </w:rPr>
        <w:t>—</w:t>
      </w:r>
      <w:r>
        <w:rPr>
          <w:color w:val="auto"/>
          <w:highlight w:val="none"/>
        </w:rPr>
        <w:t>2019</w:t>
      </w:r>
      <w:r>
        <w:rPr>
          <w:rFonts w:hint="eastAsia"/>
          <w:color w:val="auto"/>
          <w:highlight w:val="none"/>
        </w:rPr>
        <w:t>）的规定。</w:t>
      </w:r>
    </w:p>
    <w:p w14:paraId="4D23AEAE">
      <w:pPr>
        <w:ind w:firstLine="480" w:firstLineChars="200"/>
        <w:rPr>
          <w:color w:val="auto"/>
          <w:highlight w:val="none"/>
        </w:rPr>
      </w:pPr>
      <w:r>
        <w:rPr>
          <w:rFonts w:hint="eastAsia"/>
          <w:color w:val="auto"/>
          <w:highlight w:val="none"/>
        </w:rPr>
        <w:t>2、支座在安装前，应对支座垫石的混凝土强度、平面位置、顶面高程、预留地脚螺栓孔和预埋钢垫板等进行复核检查，确认符合设计要求后方可进行安装。支座垫石的顶面高程应准确，表面应平整、清洁；对先安装后填灌浆料的支座，其垫石的顶面应预留出足够的灌浆料层的厚度。</w:t>
      </w:r>
    </w:p>
    <w:p w14:paraId="122871D3">
      <w:pPr>
        <w:pStyle w:val="4"/>
        <w:ind w:firstLine="562"/>
        <w:rPr>
          <w:color w:val="auto"/>
          <w:highlight w:val="none"/>
        </w:rPr>
      </w:pPr>
      <w:bookmarkStart w:id="11" w:name="_Toc166147683"/>
      <w:r>
        <w:rPr>
          <w:rFonts w:hint="eastAsia"/>
          <w:color w:val="auto"/>
          <w:highlight w:val="none"/>
          <w:lang w:val="en-US" w:eastAsia="zh-CN"/>
        </w:rPr>
        <w:t>7.3.3</w:t>
      </w:r>
      <w:r>
        <w:rPr>
          <w:rFonts w:hint="eastAsia"/>
          <w:color w:val="auto"/>
          <w:highlight w:val="none"/>
        </w:rPr>
        <w:t>桥面防排水</w:t>
      </w:r>
      <w:bookmarkEnd w:id="11"/>
    </w:p>
    <w:p w14:paraId="242FFBB8">
      <w:pPr>
        <w:ind w:firstLine="480" w:firstLineChars="200"/>
        <w:rPr>
          <w:color w:val="auto"/>
          <w:highlight w:val="none"/>
        </w:rPr>
      </w:pPr>
      <w:r>
        <w:rPr>
          <w:rFonts w:hint="eastAsia"/>
          <w:color w:val="auto"/>
          <w:highlight w:val="none"/>
        </w:rPr>
        <w:t>1、铺设防水材料前应清除桥面的浮浆和各类杂物。</w:t>
      </w:r>
    </w:p>
    <w:p w14:paraId="474A2798">
      <w:pPr>
        <w:ind w:firstLine="480" w:firstLineChars="200"/>
        <w:rPr>
          <w:color w:val="auto"/>
          <w:highlight w:val="none"/>
        </w:rPr>
      </w:pPr>
      <w:r>
        <w:rPr>
          <w:rFonts w:hint="eastAsia"/>
          <w:color w:val="auto"/>
          <w:highlight w:val="none"/>
        </w:rPr>
        <w:t>2、防水层在横桥向应闭合铺设，底层表面应平顺、干燥、干净。防水层不宜在雨天或低温下铺设。</w:t>
      </w:r>
    </w:p>
    <w:p w14:paraId="4B3F3E33">
      <w:pPr>
        <w:ind w:firstLine="480" w:firstLineChars="200"/>
        <w:rPr>
          <w:color w:val="auto"/>
          <w:highlight w:val="none"/>
        </w:rPr>
      </w:pPr>
      <w:r>
        <w:rPr>
          <w:rFonts w:hint="eastAsia"/>
          <w:color w:val="auto"/>
          <w:highlight w:val="none"/>
        </w:rPr>
        <w:t>3、空心板顶面设置非沥青基类防水层，顶面摊铺</w:t>
      </w:r>
      <w:r>
        <w:rPr>
          <w:color w:val="auto"/>
          <w:highlight w:val="none"/>
        </w:rPr>
        <w:t>1</w:t>
      </w:r>
      <w:r>
        <w:rPr>
          <w:rFonts w:hint="eastAsia"/>
          <w:color w:val="auto"/>
          <w:highlight w:val="none"/>
          <w:lang w:val="en-US" w:eastAsia="zh-CN"/>
        </w:rPr>
        <w:t>5</w:t>
      </w:r>
      <w:r>
        <w:rPr>
          <w:rFonts w:hint="eastAsia"/>
          <w:color w:val="auto"/>
          <w:highlight w:val="none"/>
        </w:rPr>
        <w:t>～</w:t>
      </w:r>
      <w:r>
        <w:rPr>
          <w:rFonts w:hint="eastAsia"/>
          <w:color w:val="auto"/>
          <w:highlight w:val="none"/>
          <w:lang w:val="en-US" w:eastAsia="zh-CN"/>
        </w:rPr>
        <w:t>21</w:t>
      </w:r>
      <w:r>
        <w:rPr>
          <w:color w:val="auto"/>
          <w:highlight w:val="none"/>
        </w:rPr>
        <w:t xml:space="preserve">.5cm </w:t>
      </w:r>
      <w:r>
        <w:rPr>
          <w:rFonts w:hint="eastAsia"/>
          <w:color w:val="auto"/>
          <w:highlight w:val="none"/>
        </w:rPr>
        <w:t>厚的</w:t>
      </w:r>
      <w:r>
        <w:rPr>
          <w:color w:val="auto"/>
          <w:highlight w:val="none"/>
        </w:rPr>
        <w:t>C</w:t>
      </w:r>
      <w:r>
        <w:rPr>
          <w:rFonts w:hint="eastAsia"/>
          <w:color w:val="auto"/>
          <w:highlight w:val="none"/>
          <w:lang w:val="en-US" w:eastAsia="zh-CN"/>
        </w:rPr>
        <w:t>5</w:t>
      </w:r>
      <w:r>
        <w:rPr>
          <w:color w:val="auto"/>
          <w:highlight w:val="none"/>
        </w:rPr>
        <w:t xml:space="preserve">0 </w:t>
      </w:r>
      <w:r>
        <w:rPr>
          <w:rFonts w:hint="eastAsia"/>
          <w:color w:val="auto"/>
          <w:highlight w:val="none"/>
        </w:rPr>
        <w:t>防水混凝土桥面铺</w:t>
      </w:r>
    </w:p>
    <w:p w14:paraId="3BC96638">
      <w:pPr>
        <w:rPr>
          <w:color w:val="auto"/>
          <w:highlight w:val="none"/>
        </w:rPr>
      </w:pPr>
      <w:r>
        <w:rPr>
          <w:rFonts w:hint="eastAsia"/>
          <w:color w:val="auto"/>
          <w:highlight w:val="none"/>
        </w:rPr>
        <w:t>装。</w:t>
      </w:r>
    </w:p>
    <w:p w14:paraId="5F137EEB">
      <w:pPr>
        <w:ind w:firstLine="480" w:firstLineChars="200"/>
        <w:rPr>
          <w:color w:val="auto"/>
          <w:highlight w:val="none"/>
        </w:rPr>
      </w:pPr>
      <w:r>
        <w:rPr>
          <w:color w:val="auto"/>
          <w:highlight w:val="none"/>
        </w:rPr>
        <w:t>4</w:t>
      </w:r>
      <w:r>
        <w:rPr>
          <w:rFonts w:hint="eastAsia"/>
          <w:color w:val="auto"/>
          <w:highlight w:val="none"/>
        </w:rPr>
        <w:t>、桥面排水采用直排式泄水管。泄水孔在桥面靠近防撞栏处设置，间距根据桥面宽度、纵</w:t>
      </w:r>
    </w:p>
    <w:p w14:paraId="736B98A1">
      <w:pPr>
        <w:rPr>
          <w:color w:val="auto"/>
          <w:highlight w:val="none"/>
        </w:rPr>
      </w:pPr>
      <w:r>
        <w:rPr>
          <w:rFonts w:hint="eastAsia"/>
          <w:color w:val="auto"/>
          <w:highlight w:val="none"/>
        </w:rPr>
        <w:t>坡、横坡及降雨强度综合考虑，取</w:t>
      </w:r>
      <w:r>
        <w:rPr>
          <w:rFonts w:hint="eastAsia"/>
          <w:color w:val="auto"/>
          <w:highlight w:val="none"/>
          <w:lang w:val="en-US" w:eastAsia="zh-CN"/>
        </w:rPr>
        <w:t>6</w:t>
      </w:r>
      <w:r>
        <w:rPr>
          <w:color w:val="auto"/>
          <w:highlight w:val="none"/>
        </w:rPr>
        <w:t>m</w:t>
      </w:r>
      <w:r>
        <w:rPr>
          <w:rFonts w:hint="eastAsia"/>
          <w:color w:val="auto"/>
          <w:highlight w:val="none"/>
        </w:rPr>
        <w:t>。</w:t>
      </w:r>
    </w:p>
    <w:p w14:paraId="38F16EBD">
      <w:pPr>
        <w:pStyle w:val="4"/>
        <w:ind w:firstLine="562"/>
        <w:rPr>
          <w:color w:val="auto"/>
          <w:highlight w:val="none"/>
        </w:rPr>
      </w:pPr>
      <w:r>
        <w:rPr>
          <w:rFonts w:hint="eastAsia"/>
          <w:color w:val="auto"/>
          <w:highlight w:val="none"/>
          <w:lang w:val="en-US" w:eastAsia="zh-CN"/>
        </w:rPr>
        <w:t>7.3.4</w:t>
      </w:r>
      <w:bookmarkStart w:id="12" w:name="_Toc166147684"/>
      <w:r>
        <w:rPr>
          <w:rFonts w:hint="eastAsia"/>
          <w:color w:val="auto"/>
          <w:highlight w:val="none"/>
        </w:rPr>
        <w:t>桥头搭板</w:t>
      </w:r>
      <w:bookmarkEnd w:id="12"/>
    </w:p>
    <w:p w14:paraId="4003A7F9">
      <w:pPr>
        <w:ind w:firstLine="480" w:firstLineChars="200"/>
        <w:rPr>
          <w:color w:val="auto"/>
          <w:highlight w:val="none"/>
        </w:rPr>
      </w:pPr>
      <w:r>
        <w:rPr>
          <w:rFonts w:hint="eastAsia"/>
          <w:color w:val="auto"/>
          <w:highlight w:val="none"/>
        </w:rPr>
        <w:t>1、桥头搭板下台后填土的填料应回填透水性良好的砂性土，并应分层填筑、压实。</w:t>
      </w:r>
    </w:p>
    <w:p w14:paraId="30326197">
      <w:pPr>
        <w:ind w:firstLine="480" w:firstLineChars="200"/>
        <w:rPr>
          <w:color w:val="auto"/>
          <w:highlight w:val="none"/>
        </w:rPr>
      </w:pPr>
      <w:r>
        <w:rPr>
          <w:rFonts w:hint="eastAsia"/>
          <w:color w:val="auto"/>
          <w:highlight w:val="none"/>
        </w:rPr>
        <w:t>2、</w:t>
      </w:r>
      <w:r>
        <w:rPr>
          <w:rFonts w:hint="eastAsia"/>
          <w:color w:val="auto"/>
          <w:highlight w:val="none"/>
          <w:lang w:val="en-US" w:eastAsia="zh-CN"/>
        </w:rPr>
        <w:t>搭</w:t>
      </w:r>
      <w:r>
        <w:rPr>
          <w:rFonts w:hint="eastAsia"/>
          <w:color w:val="auto"/>
          <w:highlight w:val="none"/>
        </w:rPr>
        <w:t>板钢筋与其下的垫层间宜设置垫块并应交错布置。在上、下两层钢筋之间应设置支撑，</w:t>
      </w:r>
    </w:p>
    <w:p w14:paraId="3C33E47A">
      <w:pPr>
        <w:rPr>
          <w:color w:val="auto"/>
          <w:highlight w:val="none"/>
        </w:rPr>
      </w:pPr>
      <w:r>
        <w:rPr>
          <w:rFonts w:hint="eastAsia"/>
          <w:color w:val="auto"/>
          <w:highlight w:val="none"/>
        </w:rPr>
        <w:t>保证其位置的准确。</w:t>
      </w:r>
    </w:p>
    <w:p w14:paraId="6FB25562">
      <w:pPr>
        <w:numPr>
          <w:ilvl w:val="0"/>
          <w:numId w:val="7"/>
        </w:numPr>
        <w:ind w:firstLine="480" w:firstLineChars="200"/>
        <w:rPr>
          <w:rFonts w:hint="eastAsia"/>
          <w:color w:val="auto"/>
          <w:highlight w:val="none"/>
        </w:rPr>
      </w:pPr>
      <w:r>
        <w:rPr>
          <w:rFonts w:hint="eastAsia"/>
          <w:color w:val="auto"/>
          <w:highlight w:val="none"/>
        </w:rPr>
        <w:t>浇筑搭板混凝土时应按搭板的坡度由低处向高处进行，振捣时应避免碰撞钢筋、模板。</w:t>
      </w:r>
    </w:p>
    <w:p w14:paraId="06E549B0">
      <w:pPr>
        <w:pStyle w:val="3"/>
        <w:numPr>
          <w:ilvl w:val="0"/>
          <w:numId w:val="0"/>
        </w:numPr>
        <w:ind w:firstLine="280" w:firstLineChars="100"/>
        <w:rPr>
          <w:rFonts w:ascii="Times New Roman" w:hAnsi="Times New Roman"/>
          <w:color w:val="auto"/>
          <w:highlight w:val="none"/>
        </w:rPr>
      </w:pPr>
      <w:r>
        <w:rPr>
          <w:rFonts w:ascii="Times New Roman" w:hAnsi="Times New Roman"/>
          <w:color w:val="auto"/>
          <w:highlight w:val="none"/>
        </w:rPr>
        <w:t>7.</w:t>
      </w:r>
      <w:r>
        <w:rPr>
          <w:rFonts w:hint="eastAsia" w:ascii="Times New Roman" w:hAnsi="Times New Roman"/>
          <w:color w:val="auto"/>
          <w:highlight w:val="none"/>
          <w:lang w:val="en-US" w:eastAsia="zh-CN"/>
        </w:rPr>
        <w:t>4</w:t>
      </w:r>
      <w:r>
        <w:rPr>
          <w:rFonts w:ascii="Times New Roman" w:hAnsi="Times New Roman"/>
          <w:color w:val="auto"/>
          <w:highlight w:val="none"/>
        </w:rPr>
        <w:t xml:space="preserve">  其他注意事项</w:t>
      </w:r>
    </w:p>
    <w:p w14:paraId="2548999D">
      <w:pPr>
        <w:ind w:firstLine="480"/>
        <w:rPr>
          <w:rFonts w:ascii="Times New Roman" w:hAnsi="Times New Roman"/>
          <w:color w:val="auto"/>
          <w:highlight w:val="none"/>
          <w:lang w:val="zh-CN"/>
        </w:rPr>
      </w:pPr>
      <w:r>
        <w:rPr>
          <w:rFonts w:ascii="Times New Roman" w:hAnsi="Times New Roman"/>
          <w:color w:val="auto"/>
          <w:highlight w:val="none"/>
          <w:lang w:val="zh-CN"/>
        </w:rPr>
        <w:t>1、必须做好高空作业的各项安全措施方能进行施工。施工过程中应做好防护措施，避免材料下落，污染环境。桥梁结构的拆除和维修过程中，应做好各项防落及缓冲措施，避免构件或机具坠落桥下造成损害。</w:t>
      </w:r>
    </w:p>
    <w:p w14:paraId="6D39EA1C">
      <w:pPr>
        <w:ind w:firstLine="480"/>
        <w:rPr>
          <w:rFonts w:ascii="Times New Roman" w:hAnsi="Times New Roman"/>
          <w:color w:val="auto"/>
          <w:szCs w:val="24"/>
          <w:highlight w:val="none"/>
        </w:rPr>
      </w:pPr>
      <w:r>
        <w:rPr>
          <w:rFonts w:ascii="Times New Roman" w:hAnsi="Times New Roman"/>
          <w:color w:val="auto"/>
          <w:szCs w:val="24"/>
          <w:highlight w:val="none"/>
        </w:rPr>
        <w:t>2、《公路水运工程淘汰危及生产安全施工工艺、设备和材料目录（第一批）》列出的工艺、设备、材料淘汰范围（禁止或限制使用）应禁止或限制使用，采用其他替代的施工工艺、设备、材料。</w:t>
      </w:r>
    </w:p>
    <w:p w14:paraId="61D71859">
      <w:pPr>
        <w:ind w:firstLine="480"/>
        <w:rPr>
          <w:rFonts w:ascii="Times New Roman" w:hAnsi="Times New Roman"/>
          <w:color w:val="auto"/>
          <w:highlight w:val="none"/>
          <w:lang w:val="zh-CN"/>
        </w:rPr>
      </w:pPr>
      <w:r>
        <w:rPr>
          <w:rFonts w:ascii="Times New Roman" w:hAnsi="Times New Roman"/>
          <w:color w:val="auto"/>
          <w:highlight w:val="none"/>
          <w:lang w:val="zh-CN"/>
        </w:rPr>
        <w:t>3、施工材料、机械等不应集中堆积于桥上，避免施工荷载过大危及桥梁安全。</w:t>
      </w:r>
    </w:p>
    <w:p w14:paraId="13CE08FE">
      <w:pPr>
        <w:ind w:firstLine="480"/>
        <w:rPr>
          <w:rFonts w:ascii="Times New Roman" w:hAnsi="Times New Roman"/>
          <w:color w:val="auto"/>
          <w:highlight w:val="none"/>
          <w:lang w:val="zh-CN"/>
        </w:rPr>
      </w:pPr>
      <w:r>
        <w:rPr>
          <w:rFonts w:ascii="Times New Roman" w:hAnsi="Times New Roman"/>
          <w:color w:val="auto"/>
          <w:highlight w:val="none"/>
          <w:lang w:val="zh-CN"/>
        </w:rPr>
        <w:t>4、施工用到的关键材料都应进行抽样检测，由监理现场鉴封处理后送至鉴定单位（要求鉴定单位具备相应资质）检测，各项指标应达到国家及行业相应技术规范和规程的要求。未尽事宜应严格遵照现行的</w:t>
      </w:r>
      <w:r>
        <w:rPr>
          <w:rFonts w:ascii="Times New Roman" w:hAnsi="Times New Roman"/>
          <w:color w:val="auto"/>
          <w:highlight w:val="none"/>
        </w:rPr>
        <w:t>《公路桥涵施工技术规范》（JTG/T 3350-2020）</w:t>
      </w:r>
      <w:r>
        <w:rPr>
          <w:rFonts w:ascii="Times New Roman" w:hAnsi="Times New Roman"/>
          <w:color w:val="auto"/>
          <w:highlight w:val="none"/>
          <w:lang w:val="zh-CN"/>
        </w:rPr>
        <w:t>的相关条款进行。</w:t>
      </w:r>
    </w:p>
    <w:p w14:paraId="623BB902">
      <w:pPr>
        <w:pStyle w:val="3"/>
        <w:numPr>
          <w:ilvl w:val="0"/>
          <w:numId w:val="0"/>
        </w:numPr>
        <w:ind w:firstLine="280" w:firstLineChars="100"/>
        <w:rPr>
          <w:rFonts w:ascii="Times New Roman" w:hAnsi="Times New Roman"/>
          <w:color w:val="auto"/>
          <w:highlight w:val="none"/>
        </w:rPr>
      </w:pPr>
      <w:r>
        <w:rPr>
          <w:rFonts w:ascii="Times New Roman" w:hAnsi="Times New Roman"/>
          <w:color w:val="auto"/>
          <w:highlight w:val="none"/>
        </w:rPr>
        <w:t>7.</w:t>
      </w:r>
      <w:r>
        <w:rPr>
          <w:rFonts w:hint="eastAsia" w:ascii="Times New Roman" w:hAnsi="Times New Roman"/>
          <w:color w:val="auto"/>
          <w:highlight w:val="none"/>
          <w:lang w:val="en-US" w:eastAsia="zh-CN"/>
        </w:rPr>
        <w:t>5</w:t>
      </w:r>
      <w:r>
        <w:rPr>
          <w:rFonts w:ascii="Times New Roman" w:hAnsi="Times New Roman"/>
          <w:color w:val="auto"/>
          <w:highlight w:val="none"/>
        </w:rPr>
        <w:t xml:space="preserve">  施工安全交底</w:t>
      </w:r>
    </w:p>
    <w:p w14:paraId="28357F88">
      <w:pPr>
        <w:ind w:firstLine="480"/>
        <w:rPr>
          <w:rFonts w:ascii="Times New Roman" w:hAnsi="Times New Roman"/>
          <w:color w:val="auto"/>
          <w:highlight w:val="none"/>
        </w:rPr>
      </w:pPr>
      <w:r>
        <w:rPr>
          <w:rFonts w:ascii="Times New Roman" w:hAnsi="Times New Roman"/>
          <w:color w:val="auto"/>
          <w:highlight w:val="none"/>
        </w:rPr>
        <w:t>1、工程开工前，施工单位必须详细核对设计文件，根据施工地段的地形、地质、水文、气象等资料，在编制施工组织设计的同时，制定相应的安全技术措施和各项规章制度。</w:t>
      </w:r>
    </w:p>
    <w:p w14:paraId="276A5D46">
      <w:pPr>
        <w:ind w:firstLine="480"/>
        <w:rPr>
          <w:rFonts w:ascii="Times New Roman" w:hAnsi="Times New Roman"/>
          <w:color w:val="auto"/>
          <w:highlight w:val="none"/>
        </w:rPr>
      </w:pPr>
      <w:r>
        <w:rPr>
          <w:rFonts w:ascii="Times New Roman" w:hAnsi="Times New Roman"/>
          <w:color w:val="auto"/>
          <w:highlight w:val="none"/>
        </w:rPr>
        <w:t>2、参加施工的人员，必须接受安全技术教育，熟知和遵守本工种的各项安全技术操作规程，并应定期进行安全技术考核，合格者方准上岗操作。对于从事电气、起重、建筑登高架设作业</w:t>
      </w:r>
      <w:r>
        <w:rPr>
          <w:rFonts w:ascii="Times New Roman" w:hAnsi="Times New Roman"/>
          <w:color w:val="auto"/>
          <w:szCs w:val="28"/>
          <w:highlight w:val="none"/>
        </w:rPr>
        <w:t>、</w:t>
      </w:r>
      <w:r>
        <w:rPr>
          <w:rFonts w:ascii="Times New Roman" w:hAnsi="Times New Roman"/>
          <w:color w:val="auto"/>
          <w:highlight w:val="none"/>
        </w:rPr>
        <w:t>焊接、车辆驾驶等高危特殊工种的人员，应经过专业培训，获得合格证书后，方准持证上岗。</w:t>
      </w:r>
    </w:p>
    <w:p w14:paraId="36890A3E">
      <w:pPr>
        <w:ind w:firstLine="480"/>
        <w:rPr>
          <w:rFonts w:ascii="Times New Roman" w:hAnsi="Times New Roman"/>
          <w:color w:val="auto"/>
          <w:highlight w:val="none"/>
        </w:rPr>
      </w:pPr>
      <w:r>
        <w:rPr>
          <w:rFonts w:ascii="Times New Roman" w:hAnsi="Times New Roman"/>
          <w:color w:val="auto"/>
          <w:highlight w:val="none"/>
        </w:rPr>
        <w:t>3、对于预应力张拉，主梁吊装，高墩、深水</w:t>
      </w:r>
      <w:r>
        <w:rPr>
          <w:rFonts w:ascii="Times New Roman" w:hAnsi="Times New Roman"/>
          <w:color w:val="auto"/>
          <w:szCs w:val="28"/>
          <w:highlight w:val="none"/>
        </w:rPr>
        <w:t>的桥梁</w:t>
      </w:r>
      <w:r>
        <w:rPr>
          <w:rFonts w:ascii="Times New Roman" w:hAnsi="Times New Roman"/>
          <w:color w:val="auto"/>
          <w:highlight w:val="none"/>
        </w:rPr>
        <w:t>等的施工，必须在深入调查研究现场情况的基础上，制定切实有效的安全技术措施和操作细则，并向施工人员进行安全交底。</w:t>
      </w:r>
    </w:p>
    <w:p w14:paraId="425AAEC3">
      <w:pPr>
        <w:ind w:firstLine="480"/>
        <w:rPr>
          <w:rFonts w:ascii="Times New Roman" w:hAnsi="Times New Roman"/>
          <w:color w:val="auto"/>
          <w:highlight w:val="none"/>
        </w:rPr>
      </w:pPr>
      <w:r>
        <w:rPr>
          <w:rFonts w:ascii="Times New Roman" w:hAnsi="Times New Roman"/>
          <w:color w:val="auto"/>
          <w:highlight w:val="none"/>
        </w:rPr>
        <w:t>4、其他施工安全事宜须按照《公路工程施工安全技术规范》（JTG F90-2015）及《公路桥涵施工技术规范》（JTG/T 3350-2020）的有关规定严格执行。</w:t>
      </w:r>
    </w:p>
    <w:p w14:paraId="2BEF3832">
      <w:pPr>
        <w:pStyle w:val="2"/>
        <w:numPr>
          <w:ilvl w:val="0"/>
          <w:numId w:val="0"/>
        </w:numPr>
        <w:spacing w:before="120"/>
        <w:rPr>
          <w:rFonts w:ascii="Times New Roman" w:hAnsi="Times New Roman"/>
          <w:color w:val="auto"/>
          <w:highlight w:val="none"/>
        </w:rPr>
      </w:pPr>
      <w:r>
        <w:rPr>
          <w:rFonts w:ascii="Times New Roman" w:hAnsi="Times New Roman"/>
          <w:color w:val="auto"/>
          <w:highlight w:val="none"/>
        </w:rPr>
        <w:t>8  施工交通组织</w:t>
      </w:r>
    </w:p>
    <w:p w14:paraId="08038FDD">
      <w:pPr>
        <w:pStyle w:val="3"/>
        <w:numPr>
          <w:ilvl w:val="0"/>
          <w:numId w:val="0"/>
        </w:numPr>
        <w:spacing w:before="72"/>
        <w:ind w:left="120" w:leftChars="50" w:firstLine="280" w:firstLineChars="100"/>
        <w:rPr>
          <w:rFonts w:ascii="Times New Roman" w:hAnsi="Times New Roman"/>
          <w:color w:val="auto"/>
          <w:highlight w:val="none"/>
        </w:rPr>
      </w:pPr>
      <w:r>
        <w:rPr>
          <w:rFonts w:ascii="Times New Roman" w:hAnsi="Times New Roman"/>
          <w:color w:val="auto"/>
          <w:highlight w:val="none"/>
        </w:rPr>
        <w:t>8.1  施工工期</w:t>
      </w:r>
    </w:p>
    <w:p w14:paraId="0BB2D313">
      <w:pPr>
        <w:ind w:firstLine="480"/>
        <w:rPr>
          <w:rFonts w:ascii="Times New Roman" w:hAnsi="Times New Roman"/>
          <w:color w:val="auto"/>
          <w:highlight w:val="none"/>
        </w:rPr>
      </w:pPr>
      <w:r>
        <w:rPr>
          <w:rFonts w:hint="eastAsia" w:ascii="Times New Roman" w:hAnsi="Times New Roman"/>
          <w:color w:val="auto"/>
          <w:highlight w:val="none"/>
          <w:lang w:val="en-US" w:eastAsia="zh-CN"/>
        </w:rPr>
        <w:t>那初三</w:t>
      </w:r>
      <w:r>
        <w:rPr>
          <w:rFonts w:ascii="Times New Roman" w:hAnsi="Times New Roman"/>
          <w:color w:val="auto"/>
          <w:highlight w:val="none"/>
        </w:rPr>
        <w:t>桥改造施工工期约为</w:t>
      </w:r>
      <w:r>
        <w:rPr>
          <w:rFonts w:hint="eastAsia" w:ascii="Times New Roman" w:hAnsi="Times New Roman"/>
          <w:color w:val="auto"/>
          <w:highlight w:val="none"/>
          <w:lang w:val="en-US" w:eastAsia="zh-CN"/>
        </w:rPr>
        <w:t>18</w:t>
      </w:r>
      <w:r>
        <w:rPr>
          <w:rFonts w:ascii="Times New Roman" w:hAnsi="Times New Roman"/>
          <w:color w:val="auto"/>
          <w:highlight w:val="none"/>
        </w:rPr>
        <w:t>0天，施工主要内容及进度概略见下表：</w:t>
      </w:r>
    </w:p>
    <w:p w14:paraId="1D03E8EE">
      <w:pPr>
        <w:pStyle w:val="23"/>
        <w:keepNext w:val="0"/>
        <w:keepLines w:val="0"/>
        <w:widowControl/>
        <w:suppressLineNumbers w:val="0"/>
        <w:spacing w:before="0" w:beforeAutospacing="0" w:after="0" w:afterAutospacing="0"/>
        <w:ind w:left="0" w:right="0" w:firstLine="0"/>
        <w:jc w:val="center"/>
        <w:rPr>
          <w:color w:val="auto"/>
          <w:highlight w:val="none"/>
        </w:rPr>
      </w:pPr>
      <w:r>
        <w:rPr>
          <w:color w:val="auto"/>
          <w:highlight w:val="none"/>
        </w:rPr>
        <w:drawing>
          <wp:inline distT="0" distB="0" distL="114300" distR="114300">
            <wp:extent cx="5492750" cy="2966085"/>
            <wp:effectExtent l="0" t="0" r="12700" b="5715"/>
            <wp:docPr id="2" name="图片 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IMG_256"/>
                    <pic:cNvPicPr>
                      <a:picLocks noChangeAspect="1"/>
                    </pic:cNvPicPr>
                  </pic:nvPicPr>
                  <pic:blipFill>
                    <a:blip r:embed="rId28"/>
                    <a:stretch>
                      <a:fillRect/>
                    </a:stretch>
                  </pic:blipFill>
                  <pic:spPr>
                    <a:xfrm>
                      <a:off x="0" y="0"/>
                      <a:ext cx="5492750" cy="2966085"/>
                    </a:xfrm>
                    <a:prstGeom prst="rect">
                      <a:avLst/>
                    </a:prstGeom>
                    <a:noFill/>
                    <a:ln w="9525">
                      <a:noFill/>
                    </a:ln>
                  </pic:spPr>
                </pic:pic>
              </a:graphicData>
            </a:graphic>
          </wp:inline>
        </w:drawing>
      </w:r>
    </w:p>
    <w:p w14:paraId="5F337C96">
      <w:pPr>
        <w:pStyle w:val="23"/>
        <w:keepNext w:val="0"/>
        <w:keepLines w:val="0"/>
        <w:widowControl/>
        <w:suppressLineNumbers w:val="0"/>
        <w:spacing w:before="0" w:beforeAutospacing="0" w:after="0" w:afterAutospacing="0"/>
        <w:ind w:left="0" w:right="0" w:firstLine="0"/>
        <w:jc w:val="center"/>
        <w:rPr>
          <w:color w:val="auto"/>
          <w:highlight w:val="none"/>
        </w:rPr>
      </w:pPr>
    </w:p>
    <w:p w14:paraId="637B0218">
      <w:pPr>
        <w:pStyle w:val="3"/>
        <w:numPr>
          <w:ilvl w:val="0"/>
          <w:numId w:val="0"/>
        </w:numPr>
        <w:spacing w:before="72"/>
        <w:ind w:left="120" w:leftChars="50" w:firstLine="280" w:firstLineChars="100"/>
        <w:rPr>
          <w:rFonts w:ascii="Times New Roman" w:hAnsi="Times New Roman"/>
          <w:color w:val="auto"/>
          <w:highlight w:val="none"/>
        </w:rPr>
      </w:pPr>
      <w:r>
        <w:rPr>
          <w:rFonts w:ascii="Times New Roman" w:hAnsi="Times New Roman"/>
          <w:color w:val="auto"/>
          <w:highlight w:val="none"/>
        </w:rPr>
        <w:t>8.2  施工期间交通组织</w:t>
      </w:r>
    </w:p>
    <w:p w14:paraId="193C4EEE">
      <w:pPr>
        <w:ind w:firstLine="480"/>
        <w:rPr>
          <w:rFonts w:ascii="Times New Roman" w:hAnsi="Times New Roman"/>
          <w:color w:val="auto"/>
          <w:highlight w:val="none"/>
        </w:rPr>
      </w:pPr>
      <w:r>
        <w:rPr>
          <w:rFonts w:hint="eastAsia" w:ascii="Times New Roman" w:hAnsi="Times New Roman"/>
          <w:color w:val="auto"/>
          <w:highlight w:val="none"/>
          <w:lang w:val="en-US" w:eastAsia="zh-CN"/>
        </w:rPr>
        <w:t>南百改扩建工程项目在本桥旁边设置便桥；本桥施工期间利用南百改扩建工程项目施工便桥通用。</w:t>
      </w:r>
    </w:p>
    <w:p w14:paraId="5FFC53B3">
      <w:pPr>
        <w:pStyle w:val="2"/>
        <w:numPr>
          <w:ilvl w:val="0"/>
          <w:numId w:val="0"/>
        </w:numPr>
        <w:spacing w:before="120"/>
        <w:rPr>
          <w:rFonts w:ascii="Times New Roman" w:hAnsi="Times New Roman"/>
          <w:color w:val="auto"/>
          <w:highlight w:val="none"/>
        </w:rPr>
      </w:pPr>
      <w:r>
        <w:rPr>
          <w:rFonts w:ascii="Times New Roman" w:hAnsi="Times New Roman"/>
          <w:color w:val="auto"/>
          <w:highlight w:val="none"/>
          <w:lang w:val="zh-CN"/>
        </w:rPr>
        <w:t xml:space="preserve"> </w:t>
      </w:r>
      <w:r>
        <w:rPr>
          <w:rFonts w:ascii="Times New Roman" w:hAnsi="Times New Roman"/>
          <w:color w:val="auto"/>
          <w:highlight w:val="none"/>
        </w:rPr>
        <w:t>9  施工安全</w:t>
      </w:r>
    </w:p>
    <w:p w14:paraId="6E23DA02">
      <w:pPr>
        <w:ind w:firstLine="504"/>
        <w:rPr>
          <w:rFonts w:ascii="Times New Roman" w:hAnsi="Times New Roman"/>
          <w:bCs/>
          <w:color w:val="auto"/>
          <w:spacing w:val="6"/>
          <w:szCs w:val="24"/>
          <w:highlight w:val="none"/>
        </w:rPr>
      </w:pPr>
      <w:r>
        <w:rPr>
          <w:rFonts w:ascii="Times New Roman" w:hAnsi="Times New Roman"/>
          <w:bCs/>
          <w:color w:val="auto"/>
          <w:spacing w:val="6"/>
          <w:szCs w:val="24"/>
          <w:highlight w:val="none"/>
        </w:rPr>
        <w:t>1、必须做好高空作业的各项安全措施方能进行施工。</w:t>
      </w:r>
    </w:p>
    <w:p w14:paraId="706F72B7">
      <w:pPr>
        <w:ind w:firstLine="504"/>
        <w:rPr>
          <w:rFonts w:ascii="Times New Roman" w:hAnsi="Times New Roman"/>
          <w:bCs/>
          <w:color w:val="auto"/>
          <w:spacing w:val="6"/>
          <w:szCs w:val="24"/>
          <w:highlight w:val="none"/>
        </w:rPr>
      </w:pPr>
      <w:r>
        <w:rPr>
          <w:rFonts w:ascii="Times New Roman" w:hAnsi="Times New Roman"/>
          <w:bCs/>
          <w:color w:val="auto"/>
          <w:spacing w:val="6"/>
          <w:szCs w:val="24"/>
          <w:highlight w:val="none"/>
        </w:rPr>
        <w:t>2、施工及养护期间做好交通管制工作，警示标识及交通疏导措施必须完善。</w:t>
      </w:r>
    </w:p>
    <w:p w14:paraId="7E90B736">
      <w:pPr>
        <w:ind w:firstLine="504"/>
        <w:rPr>
          <w:rFonts w:ascii="Times New Roman" w:hAnsi="Times New Roman"/>
          <w:bCs/>
          <w:color w:val="auto"/>
          <w:spacing w:val="6"/>
          <w:szCs w:val="24"/>
          <w:highlight w:val="none"/>
        </w:rPr>
      </w:pPr>
      <w:r>
        <w:rPr>
          <w:rFonts w:ascii="Times New Roman" w:hAnsi="Times New Roman"/>
          <w:bCs/>
          <w:color w:val="auto"/>
          <w:spacing w:val="6"/>
          <w:szCs w:val="24"/>
          <w:highlight w:val="none"/>
        </w:rPr>
        <w:t>3、要做好施工时的防落措施，以免影响桥下行人及行车通行安全。</w:t>
      </w:r>
    </w:p>
    <w:p w14:paraId="10D17FA4">
      <w:pPr>
        <w:ind w:firstLine="504"/>
        <w:rPr>
          <w:rFonts w:ascii="Times New Roman" w:hAnsi="Times New Roman"/>
          <w:bCs/>
          <w:color w:val="auto"/>
          <w:spacing w:val="6"/>
          <w:szCs w:val="24"/>
          <w:highlight w:val="none"/>
        </w:rPr>
      </w:pPr>
      <w:r>
        <w:rPr>
          <w:rFonts w:ascii="Times New Roman" w:hAnsi="Times New Roman"/>
          <w:bCs/>
          <w:color w:val="auto"/>
          <w:spacing w:val="6"/>
          <w:szCs w:val="24"/>
          <w:highlight w:val="none"/>
        </w:rPr>
        <w:t>4、加强施工观测，若施工过程中结构出现裂缝明显增大、增多及结构变形增大情况，应立即停止施工，并将人员撤离现场，待查明原因并落实解决措施后再进行施工。</w:t>
      </w:r>
    </w:p>
    <w:p w14:paraId="501A7525">
      <w:pPr>
        <w:ind w:firstLine="504"/>
        <w:rPr>
          <w:rFonts w:ascii="Times New Roman" w:hAnsi="Times New Roman"/>
          <w:bCs/>
          <w:color w:val="auto"/>
          <w:spacing w:val="6"/>
          <w:szCs w:val="24"/>
          <w:highlight w:val="none"/>
        </w:rPr>
      </w:pPr>
      <w:r>
        <w:rPr>
          <w:rFonts w:ascii="Times New Roman" w:hAnsi="Times New Roman"/>
          <w:bCs/>
          <w:color w:val="auto"/>
          <w:spacing w:val="6"/>
          <w:szCs w:val="24"/>
          <w:highlight w:val="none"/>
        </w:rPr>
        <w:t>5、施工过程中对各种材料及废料要进行严格管理，防止对环境造成污染以及坠入河中造成对水体的污染。</w:t>
      </w:r>
    </w:p>
    <w:p w14:paraId="220CD99F">
      <w:pPr>
        <w:ind w:firstLine="504"/>
        <w:rPr>
          <w:rFonts w:ascii="Times New Roman" w:hAnsi="Times New Roman"/>
          <w:bCs/>
          <w:color w:val="auto"/>
          <w:spacing w:val="6"/>
          <w:szCs w:val="24"/>
          <w:highlight w:val="none"/>
        </w:rPr>
      </w:pPr>
      <w:r>
        <w:rPr>
          <w:rFonts w:ascii="Times New Roman" w:hAnsi="Times New Roman"/>
          <w:bCs/>
          <w:color w:val="auto"/>
          <w:spacing w:val="6"/>
          <w:szCs w:val="24"/>
          <w:highlight w:val="none"/>
        </w:rPr>
        <w:t>6、做好施工现场安全用电、防火、防盗工作，特种工作人员需经培训考核合格方能从事工作。</w:t>
      </w:r>
    </w:p>
    <w:p w14:paraId="62055FAF">
      <w:pPr>
        <w:ind w:firstLine="504"/>
        <w:rPr>
          <w:rFonts w:ascii="Times New Roman" w:hAnsi="Times New Roman"/>
          <w:bCs/>
          <w:color w:val="auto"/>
          <w:spacing w:val="6"/>
          <w:szCs w:val="24"/>
          <w:highlight w:val="none"/>
        </w:rPr>
      </w:pPr>
      <w:r>
        <w:rPr>
          <w:rFonts w:ascii="Times New Roman" w:hAnsi="Times New Roman"/>
          <w:bCs/>
          <w:color w:val="auto"/>
          <w:spacing w:val="6"/>
          <w:szCs w:val="24"/>
          <w:highlight w:val="none"/>
        </w:rPr>
        <w:t>7、在打磨混凝土表面时，应采取相应除尘措施防止扬尘肆意飞扬，防止污染环境及危害工作人员身体健康。</w:t>
      </w:r>
    </w:p>
    <w:p w14:paraId="03349BE3">
      <w:pPr>
        <w:ind w:firstLine="504"/>
        <w:rPr>
          <w:rFonts w:ascii="Times New Roman" w:hAnsi="Times New Roman"/>
          <w:bCs/>
          <w:color w:val="auto"/>
          <w:spacing w:val="6"/>
          <w:szCs w:val="24"/>
          <w:highlight w:val="none"/>
        </w:rPr>
      </w:pPr>
      <w:r>
        <w:rPr>
          <w:rFonts w:ascii="Times New Roman" w:hAnsi="Times New Roman"/>
          <w:bCs/>
          <w:color w:val="auto"/>
          <w:spacing w:val="6"/>
          <w:szCs w:val="24"/>
          <w:highlight w:val="none"/>
        </w:rPr>
        <w:t>未尽事宜，按国家和自治区有关安全生产的法规及要求办理。</w:t>
      </w:r>
    </w:p>
    <w:p w14:paraId="144D08BE">
      <w:pPr>
        <w:pStyle w:val="2"/>
        <w:numPr>
          <w:ilvl w:val="0"/>
          <w:numId w:val="0"/>
        </w:numPr>
        <w:rPr>
          <w:rFonts w:ascii="Times New Roman" w:hAnsi="Times New Roman"/>
          <w:color w:val="auto"/>
          <w:highlight w:val="none"/>
        </w:rPr>
      </w:pPr>
      <w:r>
        <w:rPr>
          <w:rFonts w:ascii="Times New Roman" w:hAnsi="Times New Roman"/>
          <w:color w:val="auto"/>
          <w:highlight w:val="none"/>
        </w:rPr>
        <w:t>10  环境保护</w:t>
      </w:r>
    </w:p>
    <w:p w14:paraId="188AEC06">
      <w:pPr>
        <w:ind w:firstLine="480"/>
        <w:rPr>
          <w:rFonts w:ascii="Times New Roman" w:hAnsi="Times New Roman"/>
          <w:color w:val="auto"/>
          <w:highlight w:val="none"/>
        </w:rPr>
      </w:pPr>
      <w:r>
        <w:rPr>
          <w:rFonts w:ascii="Times New Roman" w:hAnsi="Times New Roman"/>
          <w:color w:val="auto"/>
          <w:highlight w:val="none"/>
        </w:rPr>
        <w:t>1、环境影响因素及污染因素的确定</w:t>
      </w:r>
    </w:p>
    <w:p w14:paraId="248D688A">
      <w:pPr>
        <w:ind w:firstLine="480"/>
        <w:rPr>
          <w:rFonts w:ascii="Times New Roman" w:hAnsi="Times New Roman"/>
          <w:color w:val="auto"/>
          <w:highlight w:val="none"/>
        </w:rPr>
      </w:pPr>
      <w:r>
        <w:rPr>
          <w:rFonts w:ascii="Times New Roman" w:hAnsi="Times New Roman"/>
          <w:color w:val="auto"/>
          <w:highlight w:val="none"/>
        </w:rPr>
        <w:t>1）施工期间主要为开挖土石方工程及振动对自然生态环境的影响。</w:t>
      </w:r>
    </w:p>
    <w:p w14:paraId="5FF03F1D">
      <w:pPr>
        <w:ind w:firstLine="480"/>
        <w:rPr>
          <w:rFonts w:ascii="Times New Roman" w:hAnsi="Times New Roman"/>
          <w:color w:val="auto"/>
          <w:highlight w:val="none"/>
        </w:rPr>
      </w:pPr>
      <w:r>
        <w:rPr>
          <w:rFonts w:ascii="Times New Roman" w:hAnsi="Times New Roman"/>
          <w:color w:val="auto"/>
          <w:highlight w:val="none"/>
        </w:rPr>
        <w:t>2）施工机械对环境噪声影响。</w:t>
      </w:r>
    </w:p>
    <w:p w14:paraId="1EB2123B">
      <w:pPr>
        <w:ind w:firstLine="480"/>
        <w:rPr>
          <w:rFonts w:ascii="Times New Roman" w:hAnsi="Times New Roman"/>
          <w:color w:val="auto"/>
          <w:highlight w:val="none"/>
        </w:rPr>
      </w:pPr>
      <w:r>
        <w:rPr>
          <w:rFonts w:ascii="Times New Roman" w:hAnsi="Times New Roman"/>
          <w:color w:val="auto"/>
          <w:highlight w:val="none"/>
        </w:rPr>
        <w:t>3）施工废水及生活污水对水环境的影响。</w:t>
      </w:r>
    </w:p>
    <w:p w14:paraId="30721AFB">
      <w:pPr>
        <w:ind w:firstLine="480"/>
        <w:rPr>
          <w:rFonts w:ascii="Times New Roman" w:hAnsi="Times New Roman"/>
          <w:color w:val="auto"/>
          <w:highlight w:val="none"/>
        </w:rPr>
      </w:pPr>
      <w:r>
        <w:rPr>
          <w:rFonts w:ascii="Times New Roman" w:hAnsi="Times New Roman"/>
          <w:color w:val="auto"/>
          <w:highlight w:val="none"/>
        </w:rPr>
        <w:t>2、施工期间应执行的标准</w:t>
      </w:r>
    </w:p>
    <w:p w14:paraId="2481D5D8">
      <w:pPr>
        <w:ind w:firstLine="480"/>
        <w:rPr>
          <w:rFonts w:ascii="Times New Roman" w:hAnsi="Times New Roman"/>
          <w:color w:val="auto"/>
          <w:highlight w:val="none"/>
        </w:rPr>
      </w:pPr>
      <w:r>
        <w:rPr>
          <w:rFonts w:ascii="Times New Roman" w:hAnsi="Times New Roman"/>
          <w:color w:val="auto"/>
          <w:highlight w:val="none"/>
        </w:rPr>
        <w:t>大气环境质量标准：执行《环境空气质量标准》（</w:t>
      </w:r>
      <w:r>
        <w:rPr>
          <w:rStyle w:val="29"/>
          <w:rFonts w:ascii="Times New Roman" w:hAnsi="Times New Roman"/>
          <w:b w:val="0"/>
          <w:color w:val="auto"/>
          <w:highlight w:val="none"/>
        </w:rPr>
        <w:t>GB 3095-2012</w:t>
      </w:r>
      <w:r>
        <w:rPr>
          <w:rFonts w:ascii="Times New Roman" w:hAnsi="Times New Roman"/>
          <w:color w:val="auto"/>
          <w:highlight w:val="none"/>
        </w:rPr>
        <w:t>）一级标准。</w:t>
      </w:r>
    </w:p>
    <w:p w14:paraId="23F57DF6">
      <w:pPr>
        <w:ind w:firstLine="480"/>
        <w:rPr>
          <w:rFonts w:ascii="Times New Roman" w:hAnsi="Times New Roman"/>
          <w:color w:val="auto"/>
          <w:highlight w:val="none"/>
        </w:rPr>
      </w:pPr>
      <w:r>
        <w:rPr>
          <w:rFonts w:ascii="Times New Roman" w:hAnsi="Times New Roman"/>
          <w:color w:val="auto"/>
          <w:highlight w:val="none"/>
        </w:rPr>
        <w:t>地面水环境质量标准：执行《地表水环境质量标准》（GB3838-2002）一级标准。</w:t>
      </w:r>
    </w:p>
    <w:p w14:paraId="1BEE0C94">
      <w:pPr>
        <w:ind w:firstLine="480"/>
        <w:rPr>
          <w:rStyle w:val="90"/>
          <w:rFonts w:ascii="Times New Roman" w:hAnsi="Times New Roman"/>
          <w:color w:val="auto"/>
          <w:highlight w:val="none"/>
        </w:rPr>
      </w:pPr>
      <w:r>
        <w:rPr>
          <w:rFonts w:ascii="Times New Roman" w:hAnsi="Times New Roman"/>
          <w:color w:val="auto"/>
          <w:highlight w:val="none"/>
        </w:rPr>
        <w:t>废气：执行《汽油车污染物排放限值及测量方法（双怠速法及简易工况法）》（</w:t>
      </w:r>
      <w:r>
        <w:rPr>
          <w:rStyle w:val="90"/>
          <w:rFonts w:ascii="Times New Roman" w:hAnsi="Times New Roman"/>
          <w:color w:val="auto"/>
          <w:highlight w:val="none"/>
        </w:rPr>
        <w:t>GB 18285-2018</w:t>
      </w:r>
      <w:r>
        <w:rPr>
          <w:rFonts w:ascii="Times New Roman" w:hAnsi="Times New Roman"/>
          <w:color w:val="auto"/>
          <w:highlight w:val="none"/>
        </w:rPr>
        <w:t>）。</w:t>
      </w:r>
    </w:p>
    <w:p w14:paraId="166544D0">
      <w:pPr>
        <w:ind w:firstLine="480"/>
        <w:rPr>
          <w:rFonts w:ascii="Times New Roman" w:hAnsi="Times New Roman"/>
          <w:color w:val="auto"/>
          <w:highlight w:val="none"/>
        </w:rPr>
      </w:pPr>
      <w:r>
        <w:rPr>
          <w:rFonts w:ascii="Times New Roman" w:hAnsi="Times New Roman"/>
          <w:color w:val="auto"/>
          <w:highlight w:val="none"/>
        </w:rPr>
        <w:t>噪声：执行</w:t>
      </w:r>
      <w:r>
        <w:rPr>
          <w:rFonts w:hint="eastAsia" w:ascii="Times New Roman" w:hAnsi="Times New Roman"/>
          <w:color w:val="auto"/>
          <w:highlight w:val="none"/>
        </w:rPr>
        <w:t>《建筑施工场界环境噪声排放标准》(GB12523-2011)</w:t>
      </w:r>
      <w:r>
        <w:rPr>
          <w:rFonts w:ascii="Times New Roman" w:hAnsi="Times New Roman"/>
          <w:color w:val="auto"/>
          <w:highlight w:val="none"/>
        </w:rPr>
        <w:t>。</w:t>
      </w:r>
    </w:p>
    <w:p w14:paraId="460D9822">
      <w:pPr>
        <w:ind w:firstLine="480"/>
        <w:rPr>
          <w:rFonts w:ascii="Times New Roman" w:hAnsi="Times New Roman"/>
          <w:color w:val="auto"/>
          <w:highlight w:val="none"/>
        </w:rPr>
      </w:pPr>
      <w:r>
        <w:rPr>
          <w:rFonts w:ascii="Times New Roman" w:hAnsi="Times New Roman"/>
          <w:color w:val="auto"/>
          <w:highlight w:val="none"/>
        </w:rPr>
        <w:t>3、采取的措施</w:t>
      </w:r>
    </w:p>
    <w:p w14:paraId="12922F83">
      <w:pPr>
        <w:ind w:firstLine="480"/>
        <w:rPr>
          <w:rFonts w:ascii="Times New Roman" w:hAnsi="Times New Roman"/>
          <w:color w:val="auto"/>
          <w:highlight w:val="none"/>
        </w:rPr>
      </w:pPr>
      <w:r>
        <w:rPr>
          <w:rFonts w:ascii="Times New Roman" w:hAnsi="Times New Roman"/>
          <w:color w:val="auto"/>
          <w:highlight w:val="none"/>
        </w:rPr>
        <w:t>环境保护措施应本着“预防为主，防治结合”的环境保护原则，</w:t>
      </w:r>
    </w:p>
    <w:p w14:paraId="0D35824B">
      <w:pPr>
        <w:ind w:firstLine="480"/>
        <w:rPr>
          <w:rFonts w:ascii="Times New Roman" w:hAnsi="Times New Roman"/>
          <w:color w:val="auto"/>
          <w:highlight w:val="none"/>
        </w:rPr>
      </w:pPr>
      <w:r>
        <w:rPr>
          <w:rFonts w:ascii="Times New Roman" w:hAnsi="Times New Roman"/>
          <w:color w:val="auto"/>
          <w:highlight w:val="none"/>
        </w:rPr>
        <w:t>设计阶段：在满足结构要求的前提下，尽可能减少墩台的开挖量，墩台施工完成后，对开挖处进行浆砌片石回填，尽可能恢复原地貌。</w:t>
      </w:r>
    </w:p>
    <w:p w14:paraId="58D43895">
      <w:pPr>
        <w:ind w:firstLine="480"/>
        <w:rPr>
          <w:rFonts w:ascii="Times New Roman" w:hAnsi="Times New Roman"/>
          <w:color w:val="auto"/>
          <w:highlight w:val="none"/>
        </w:rPr>
      </w:pPr>
      <w:r>
        <w:rPr>
          <w:rFonts w:ascii="Times New Roman" w:hAnsi="Times New Roman"/>
          <w:color w:val="auto"/>
          <w:highlight w:val="none"/>
        </w:rPr>
        <w:t>施工阶段：施工时，尽量采用低噪声的设备，合理选择施工时间和施工方法，以减少对居民休息的干扰。运输易扬尘、洒落的施工材料，车辆应加盖蓬布；对装卸中洒落的建筑材料应及时清扫处理。路基施工晴天应注意洒水降尘，雨季应避免路基土石方流失。料场选点和建筑材料堆放应远离居民区、医院、学校等，并选在下风向处。合理安排施工营地。</w:t>
      </w:r>
    </w:p>
    <w:p w14:paraId="608B94F4">
      <w:pPr>
        <w:ind w:firstLine="480"/>
        <w:rPr>
          <w:rFonts w:ascii="Times New Roman" w:hAnsi="Times New Roman"/>
          <w:color w:val="auto"/>
          <w:highlight w:val="none"/>
        </w:rPr>
      </w:pPr>
      <w:r>
        <w:rPr>
          <w:rFonts w:ascii="Times New Roman" w:hAnsi="Times New Roman"/>
          <w:color w:val="auto"/>
          <w:highlight w:val="none"/>
        </w:rPr>
        <w:t>营运阶段：住宅及其他建筑物与道路应保持足够距离，使噪音、灰尘影响控制在允许范围内；加强道路路面和沿线设施管理，经常修整路面，保持足够的平整度和清洁度以降低行车噪音和扬尘。</w:t>
      </w:r>
    </w:p>
    <w:p w14:paraId="1E98FF5D">
      <w:pPr>
        <w:pStyle w:val="2"/>
        <w:numPr>
          <w:ilvl w:val="0"/>
          <w:numId w:val="0"/>
        </w:numPr>
        <w:rPr>
          <w:rFonts w:ascii="Times New Roman" w:hAnsi="Times New Roman" w:eastAsiaTheme="minorEastAsia"/>
          <w:color w:val="auto"/>
          <w:highlight w:val="none"/>
        </w:rPr>
      </w:pPr>
      <w:r>
        <w:rPr>
          <w:rFonts w:ascii="Times New Roman" w:hAnsi="Times New Roman" w:eastAsiaTheme="minorEastAsia"/>
          <w:color w:val="auto"/>
          <w:highlight w:val="none"/>
        </w:rPr>
        <w:t>11  问题与建议</w:t>
      </w:r>
    </w:p>
    <w:p w14:paraId="0ADB6AB3">
      <w:pPr>
        <w:ind w:firstLine="480"/>
        <w:rPr>
          <w:rFonts w:ascii="Times New Roman" w:hAnsi="Times New Roman"/>
          <w:bCs/>
          <w:color w:val="auto"/>
          <w:spacing w:val="6"/>
          <w:szCs w:val="24"/>
          <w:highlight w:val="none"/>
        </w:rPr>
      </w:pPr>
      <w:r>
        <w:rPr>
          <w:rFonts w:hint="eastAsia" w:ascii="Times New Roman" w:hAnsi="Times New Roman" w:eastAsiaTheme="minorEastAsia"/>
          <w:color w:val="auto"/>
          <w:szCs w:val="28"/>
          <w:highlight w:val="none"/>
        </w:rPr>
        <w:t>本桥便道（便桥）采用南百高速公路扩建项目建设的施工便桥通行，本桥施工前需沟通便道（便桥）建设使用情况，确保不因此造成本桥施工阻滞。</w:t>
      </w:r>
    </w:p>
    <w:p w14:paraId="4D4AA758">
      <w:pPr>
        <w:pStyle w:val="37"/>
        <w:rPr>
          <w:rFonts w:ascii="Times New Roman" w:hAnsi="Times New Roman" w:eastAsiaTheme="minorEastAsia"/>
          <w:b w:val="0"/>
          <w:bCs/>
          <w:color w:val="auto"/>
          <w:szCs w:val="24"/>
          <w:highlight w:val="none"/>
        </w:rPr>
      </w:pPr>
    </w:p>
    <w:sectPr>
      <w:headerReference r:id="rId5" w:type="default"/>
      <w:footerReference r:id="rId6" w:type="default"/>
      <w:footerReference r:id="rId7" w:type="even"/>
      <w:type w:val="continuous"/>
      <w:pgSz w:w="23814" w:h="16839" w:orient="landscape"/>
      <w:pgMar w:top="851" w:right="851" w:bottom="851" w:left="1985" w:header="567" w:footer="680" w:gutter="0"/>
      <w:cols w:space="960" w:num="2"/>
      <w:docGrid w:type="lines" w:linePitch="326"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Courier New">
    <w:panose1 w:val="02070309020205020404"/>
    <w:charset w:val="00"/>
    <w:family w:val="modern"/>
    <w:pitch w:val="default"/>
    <w:sig w:usb0="E0002EFF" w:usb1="C0007843" w:usb2="00000009" w:usb3="00000000" w:csb0="400001FF" w:csb1="FFFF0000"/>
  </w:font>
  <w:font w:name="Arial">
    <w:panose1 w:val="020B0604020202020204"/>
    <w:charset w:val="00"/>
    <w:family w:val="swiss"/>
    <w:pitch w:val="default"/>
    <w:sig w:usb0="E0002EFF" w:usb1="C000785B" w:usb2="00000009" w:usb3="00000000" w:csb0="400001FF" w:csb1="FFFF0000"/>
  </w:font>
  <w:font w:name="华文新魏">
    <w:altName w:val="宋体"/>
    <w:panose1 w:val="02010800040101010101"/>
    <w:charset w:val="86"/>
    <w:family w:val="auto"/>
    <w:pitch w:val="default"/>
    <w:sig w:usb0="00000000" w:usb1="00000000" w:usb2="00000010" w:usb3="00000000" w:csb0="00040000" w:csb1="00000000"/>
  </w:font>
  <w:font w:name="楷体">
    <w:panose1 w:val="02010609060101010101"/>
    <w:charset w:val="86"/>
    <w:family w:val="modern"/>
    <w:pitch w:val="default"/>
    <w:sig w:usb0="800002BF" w:usb1="38CF7CFA" w:usb2="00000016" w:usb3="00000000" w:csb0="00040001" w:csb1="00000000"/>
  </w:font>
  <w:font w:name="仿宋_GB2312">
    <w:panose1 w:val="02010609030101010101"/>
    <w:charset w:val="86"/>
    <w:family w:val="modern"/>
    <w:pitch w:val="default"/>
    <w:sig w:usb0="00000001" w:usb1="080E0000" w:usb2="00000000" w:usb3="00000000" w:csb0="00040000"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BC1799E">
    <w:pPr>
      <w:pBdr>
        <w:top w:val="single" w:color="auto" w:sz="4" w:space="1"/>
      </w:pBdr>
      <w:spacing w:line="240" w:lineRule="auto"/>
      <w:ind w:firstLine="525" w:firstLineChars="250"/>
      <w:rPr>
        <w:rFonts w:hint="eastAsia" w:asciiTheme="minorEastAsia" w:hAnsiTheme="minorEastAsia" w:eastAsiaTheme="minorEastAsia"/>
        <w:sz w:val="21"/>
        <w:szCs w:val="21"/>
        <w:lang w:val="en-US" w:eastAsia="zh-CN"/>
      </w:rPr>
    </w:pPr>
    <w:r>
      <w:rPr>
        <w:rFonts w:asciiTheme="minorEastAsia" w:hAnsiTheme="minorEastAsia" w:eastAsiaTheme="minorEastAsia"/>
        <w:sz w:val="21"/>
        <w:szCs w:val="21"/>
      </w:rPr>
      <w:drawing>
        <wp:anchor distT="0" distB="0" distL="114300" distR="114300" simplePos="0" relativeHeight="251659264" behindDoc="0" locked="0" layoutInCell="1" allowOverlap="1">
          <wp:simplePos x="0" y="0"/>
          <wp:positionH relativeFrom="column">
            <wp:posOffset>-41275</wp:posOffset>
          </wp:positionH>
          <wp:positionV relativeFrom="paragraph">
            <wp:posOffset>40005</wp:posOffset>
          </wp:positionV>
          <wp:extent cx="309880" cy="341630"/>
          <wp:effectExtent l="19050" t="0" r="0" b="0"/>
          <wp:wrapNone/>
          <wp:docPr id="5" name="图片 83" descr="北投集团标志.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83" descr="北投集团标志.bmp"/>
                  <pic:cNvPicPr>
                    <a:picLocks noChangeAspect="1" noChangeArrowheads="1"/>
                  </pic:cNvPicPr>
                </pic:nvPicPr>
                <pic:blipFill>
                  <a:blip r:embed="rId1"/>
                  <a:srcRect/>
                  <a:stretch>
                    <a:fillRect/>
                  </a:stretch>
                </pic:blipFill>
                <pic:spPr>
                  <a:xfrm>
                    <a:off x="0" y="0"/>
                    <a:ext cx="309880" cy="341630"/>
                  </a:xfrm>
                  <a:prstGeom prst="rect">
                    <a:avLst/>
                  </a:prstGeom>
                  <a:noFill/>
                  <a:ln w="9525">
                    <a:noFill/>
                    <a:miter lim="800000"/>
                    <a:headEnd/>
                    <a:tailEnd/>
                  </a:ln>
                </pic:spPr>
              </pic:pic>
            </a:graphicData>
          </a:graphic>
        </wp:anchor>
      </w:drawing>
    </w:r>
    <w:r>
      <w:rPr>
        <w:rFonts w:hint="eastAsia" w:asciiTheme="minorEastAsia" w:hAnsiTheme="minorEastAsia" w:eastAsiaTheme="minorEastAsia"/>
        <w:sz w:val="21"/>
        <w:szCs w:val="21"/>
      </w:rPr>
      <w:t xml:space="preserve">广西交通设计集团有限公司 </w:t>
    </w:r>
    <w:r>
      <w:rPr>
        <w:rFonts w:asciiTheme="minorEastAsia" w:hAnsiTheme="minorEastAsia" w:eastAsiaTheme="minorEastAsia"/>
        <w:sz w:val="21"/>
        <w:szCs w:val="21"/>
      </w:rPr>
      <w:t xml:space="preserve">                                                                                                                                                                   </w:t>
    </w:r>
    <w:r>
      <w:rPr>
        <w:rFonts w:asciiTheme="minorEastAsia" w:hAnsiTheme="minorEastAsia" w:eastAsiaTheme="minorEastAsia"/>
        <w:sz w:val="21"/>
        <w:szCs w:val="21"/>
      </w:rPr>
      <w:fldChar w:fldCharType="begin"/>
    </w:r>
    <w:r>
      <w:rPr>
        <w:rFonts w:asciiTheme="minorEastAsia" w:hAnsiTheme="minorEastAsia" w:eastAsiaTheme="minorEastAsia"/>
        <w:sz w:val="21"/>
        <w:szCs w:val="21"/>
      </w:rPr>
      <w:instrText xml:space="preserve"> PAGE </w:instrText>
    </w:r>
    <w:r>
      <w:rPr>
        <w:rFonts w:asciiTheme="minorEastAsia" w:hAnsiTheme="minorEastAsia" w:eastAsiaTheme="minorEastAsia"/>
        <w:sz w:val="21"/>
        <w:szCs w:val="21"/>
      </w:rPr>
      <w:fldChar w:fldCharType="separate"/>
    </w:r>
    <w:r>
      <w:rPr>
        <w:rFonts w:asciiTheme="minorEastAsia" w:hAnsiTheme="minorEastAsia" w:eastAsiaTheme="minorEastAsia"/>
        <w:sz w:val="21"/>
        <w:szCs w:val="21"/>
      </w:rPr>
      <w:t>10</w:t>
    </w:r>
    <w:r>
      <w:rPr>
        <w:rFonts w:asciiTheme="minorEastAsia" w:hAnsiTheme="minorEastAsia" w:eastAsiaTheme="minorEastAsia"/>
        <w:sz w:val="21"/>
        <w:szCs w:val="21"/>
      </w:rPr>
      <w:fldChar w:fldCharType="end"/>
    </w:r>
    <w:r>
      <w:rPr>
        <w:rFonts w:asciiTheme="minorEastAsia" w:hAnsiTheme="minorEastAsia" w:eastAsiaTheme="minorEastAsia"/>
        <w:sz w:val="21"/>
        <w:szCs w:val="21"/>
        <w:lang w:val="zh-CN"/>
      </w:rPr>
      <w:t xml:space="preserve"> /</w:t>
    </w:r>
    <w:r>
      <w:rPr>
        <w:rFonts w:hint="eastAsia" w:asciiTheme="minorEastAsia" w:hAnsiTheme="minorEastAsia" w:eastAsiaTheme="minorEastAsia"/>
        <w:sz w:val="21"/>
        <w:szCs w:val="21"/>
        <w:lang w:val="en-US" w:eastAsia="zh-CN"/>
      </w:rPr>
      <w:t>9</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918AF3E">
    <w:pPr>
      <w:pStyle w:val="19"/>
    </w:pPr>
  </w:p>
  <w:p w14:paraId="33079D83"/>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pPr>
      <w:r>
        <w:separator/>
      </w:r>
    </w:p>
  </w:footnote>
  <w:footnote w:type="continuationSeparator" w:id="1">
    <w:p>
      <w:pPr>
        <w:spacing w:line="36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08BE8AD">
    <w:pPr>
      <w:pStyle w:val="20"/>
      <w:pBdr>
        <w:bottom w:val="single" w:color="auto" w:sz="6" w:space="0"/>
      </w:pBdr>
      <w:spacing w:line="240" w:lineRule="auto"/>
      <w:jc w:val="left"/>
      <w:rPr>
        <w:sz w:val="21"/>
        <w:szCs w:val="21"/>
      </w:rPr>
    </w:pPr>
    <w:r>
      <w:rPr>
        <w:rFonts w:hint="eastAsia" w:ascii="宋体" w:hAnsi="宋体"/>
        <w:sz w:val="21"/>
        <w:szCs w:val="21"/>
      </w:rPr>
      <w:t xml:space="preserve">  </w:t>
    </w:r>
    <w:r>
      <w:rPr>
        <w:rFonts w:hint="eastAsia" w:ascii="宋体" w:hAnsi="宋体"/>
        <w:sz w:val="24"/>
        <w:szCs w:val="24"/>
      </w:rPr>
      <w:t>C290田东县檀河至保群公路K4+921那初三桥工程项目</w:t>
    </w:r>
    <w:r>
      <w:rPr>
        <w:rFonts w:hint="eastAsia" w:ascii="宋体" w:hAnsi="宋体"/>
        <w:sz w:val="21"/>
        <w:szCs w:val="21"/>
      </w:rPr>
      <w:t xml:space="preserve"> </w:t>
    </w:r>
    <w:r>
      <w:rPr>
        <w:rFonts w:ascii="宋体" w:hAnsi="宋体"/>
        <w:sz w:val="21"/>
        <w:szCs w:val="21"/>
      </w:rPr>
      <w:t xml:space="preserve">                                                                                                                                       </w:t>
    </w:r>
    <w:r>
      <w:rPr>
        <w:rFonts w:hint="eastAsia" w:ascii="宋体" w:hAnsi="宋体"/>
        <w:sz w:val="21"/>
        <w:szCs w:val="21"/>
      </w:rPr>
      <w:t>S</w:t>
    </w:r>
    <w:r>
      <w:rPr>
        <w:rFonts w:ascii="宋体" w:hAnsi="宋体"/>
        <w:sz w:val="21"/>
        <w:szCs w:val="21"/>
      </w:rPr>
      <w:t>IV</w:t>
    </w:r>
    <w:r>
      <w:rPr>
        <w:rFonts w:hint="eastAsia" w:ascii="宋体" w:hAnsi="宋体"/>
        <w:sz w:val="21"/>
        <w:szCs w:val="21"/>
      </w:rPr>
      <w:t>-1</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32B9216E"/>
    <w:multiLevelType w:val="singleLevel"/>
    <w:tmpl w:val="32B9216E"/>
    <w:lvl w:ilvl="0" w:tentative="0">
      <w:start w:val="3"/>
      <w:numFmt w:val="decimal"/>
      <w:suff w:val="nothing"/>
      <w:lvlText w:val="%1、"/>
      <w:lvlJc w:val="left"/>
    </w:lvl>
  </w:abstractNum>
  <w:abstractNum w:abstractNumId="1">
    <w:nsid w:val="3DD01DE9"/>
    <w:multiLevelType w:val="multilevel"/>
    <w:tmpl w:val="3DD01DE9"/>
    <w:lvl w:ilvl="0" w:tentative="0">
      <w:start w:val="1"/>
      <w:numFmt w:val="decimal"/>
      <w:lvlText w:val="（%1）"/>
      <w:lvlJc w:val="left"/>
      <w:pPr>
        <w:ind w:left="397" w:firstLine="225"/>
      </w:pPr>
      <w:rPr>
        <w:rFonts w:hint="eastAsia"/>
      </w:rPr>
    </w:lvl>
    <w:lvl w:ilvl="1" w:tentative="0">
      <w:start w:val="1"/>
      <w:numFmt w:val="lowerLetter"/>
      <w:lvlText w:val="%2)"/>
      <w:lvlJc w:val="left"/>
      <w:pPr>
        <w:ind w:left="1462" w:hanging="420"/>
      </w:pPr>
    </w:lvl>
    <w:lvl w:ilvl="2" w:tentative="0">
      <w:start w:val="1"/>
      <w:numFmt w:val="lowerRoman"/>
      <w:lvlText w:val="%3."/>
      <w:lvlJc w:val="right"/>
      <w:pPr>
        <w:ind w:left="1882" w:hanging="420"/>
      </w:pPr>
    </w:lvl>
    <w:lvl w:ilvl="3" w:tentative="0">
      <w:start w:val="1"/>
      <w:numFmt w:val="decimal"/>
      <w:lvlText w:val="%4."/>
      <w:lvlJc w:val="left"/>
      <w:pPr>
        <w:ind w:left="2302" w:hanging="420"/>
      </w:pPr>
    </w:lvl>
    <w:lvl w:ilvl="4" w:tentative="0">
      <w:start w:val="1"/>
      <w:numFmt w:val="lowerLetter"/>
      <w:lvlText w:val="%5)"/>
      <w:lvlJc w:val="left"/>
      <w:pPr>
        <w:ind w:left="2722" w:hanging="420"/>
      </w:pPr>
    </w:lvl>
    <w:lvl w:ilvl="5" w:tentative="0">
      <w:start w:val="1"/>
      <w:numFmt w:val="lowerRoman"/>
      <w:lvlText w:val="%6."/>
      <w:lvlJc w:val="right"/>
      <w:pPr>
        <w:ind w:left="3142" w:hanging="420"/>
      </w:pPr>
    </w:lvl>
    <w:lvl w:ilvl="6" w:tentative="0">
      <w:start w:val="1"/>
      <w:numFmt w:val="decimal"/>
      <w:lvlText w:val="%7."/>
      <w:lvlJc w:val="left"/>
      <w:pPr>
        <w:ind w:left="3562" w:hanging="420"/>
      </w:pPr>
    </w:lvl>
    <w:lvl w:ilvl="7" w:tentative="0">
      <w:start w:val="1"/>
      <w:numFmt w:val="lowerLetter"/>
      <w:lvlText w:val="%8)"/>
      <w:lvlJc w:val="left"/>
      <w:pPr>
        <w:ind w:left="3982" w:hanging="420"/>
      </w:pPr>
    </w:lvl>
    <w:lvl w:ilvl="8" w:tentative="0">
      <w:start w:val="1"/>
      <w:numFmt w:val="lowerRoman"/>
      <w:lvlText w:val="%9."/>
      <w:lvlJc w:val="right"/>
      <w:pPr>
        <w:ind w:left="4402" w:hanging="420"/>
      </w:pPr>
    </w:lvl>
  </w:abstractNum>
  <w:abstractNum w:abstractNumId="2">
    <w:nsid w:val="41A63ED6"/>
    <w:multiLevelType w:val="multilevel"/>
    <w:tmpl w:val="41A63ED6"/>
    <w:lvl w:ilvl="0" w:tentative="0">
      <w:start w:val="1"/>
      <w:numFmt w:val="decimal"/>
      <w:lvlText w:val="%1、"/>
      <w:lvlJc w:val="left"/>
      <w:pPr>
        <w:ind w:left="840" w:hanging="360"/>
      </w:pPr>
      <w:rPr>
        <w:rFonts w:hint="default"/>
      </w:r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3">
    <w:nsid w:val="49464262"/>
    <w:multiLevelType w:val="multilevel"/>
    <w:tmpl w:val="49464262"/>
    <w:lvl w:ilvl="0" w:tentative="0">
      <w:start w:val="1"/>
      <w:numFmt w:val="decimal"/>
      <w:pStyle w:val="44"/>
      <w:lvlText w:val="(%1)"/>
      <w:lvlJc w:val="left"/>
      <w:pPr>
        <w:ind w:left="624" w:hanging="144"/>
      </w:pPr>
      <w:rPr>
        <w:rFonts w:hint="default"/>
      </w:rPr>
    </w:lvl>
    <w:lvl w:ilvl="1" w:tentative="0">
      <w:start w:val="1"/>
      <w:numFmt w:val="bullet"/>
      <w:lvlText w:val=""/>
      <w:lvlJc w:val="left"/>
      <w:pPr>
        <w:ind w:left="1320" w:hanging="420"/>
      </w:pPr>
      <w:rPr>
        <w:rFonts w:hint="default" w:ascii="Wingdings" w:hAnsi="Wingdings"/>
      </w:rPr>
    </w:lvl>
    <w:lvl w:ilvl="2" w:tentative="0">
      <w:start w:val="1"/>
      <w:numFmt w:val="bullet"/>
      <w:lvlText w:val=""/>
      <w:lvlJc w:val="left"/>
      <w:pPr>
        <w:ind w:left="1740" w:hanging="420"/>
      </w:pPr>
      <w:rPr>
        <w:rFonts w:hint="default" w:ascii="Wingdings" w:hAnsi="Wingdings"/>
      </w:rPr>
    </w:lvl>
    <w:lvl w:ilvl="3" w:tentative="0">
      <w:start w:val="1"/>
      <w:numFmt w:val="bullet"/>
      <w:lvlText w:val=""/>
      <w:lvlJc w:val="left"/>
      <w:pPr>
        <w:ind w:left="2160" w:hanging="420"/>
      </w:pPr>
      <w:rPr>
        <w:rFonts w:hint="default" w:ascii="Wingdings" w:hAnsi="Wingdings"/>
      </w:rPr>
    </w:lvl>
    <w:lvl w:ilvl="4" w:tentative="0">
      <w:start w:val="1"/>
      <w:numFmt w:val="bullet"/>
      <w:lvlText w:val=""/>
      <w:lvlJc w:val="left"/>
      <w:pPr>
        <w:ind w:left="2580" w:hanging="420"/>
      </w:pPr>
      <w:rPr>
        <w:rFonts w:hint="default" w:ascii="Wingdings" w:hAnsi="Wingdings"/>
      </w:rPr>
    </w:lvl>
    <w:lvl w:ilvl="5" w:tentative="0">
      <w:start w:val="1"/>
      <w:numFmt w:val="bullet"/>
      <w:lvlText w:val=""/>
      <w:lvlJc w:val="left"/>
      <w:pPr>
        <w:ind w:left="3000" w:hanging="420"/>
      </w:pPr>
      <w:rPr>
        <w:rFonts w:hint="default" w:ascii="Wingdings" w:hAnsi="Wingdings"/>
      </w:rPr>
    </w:lvl>
    <w:lvl w:ilvl="6" w:tentative="0">
      <w:start w:val="1"/>
      <w:numFmt w:val="bullet"/>
      <w:lvlText w:val=""/>
      <w:lvlJc w:val="left"/>
      <w:pPr>
        <w:ind w:left="3420" w:hanging="420"/>
      </w:pPr>
      <w:rPr>
        <w:rFonts w:hint="default" w:ascii="Wingdings" w:hAnsi="Wingdings"/>
      </w:rPr>
    </w:lvl>
    <w:lvl w:ilvl="7" w:tentative="0">
      <w:start w:val="1"/>
      <w:numFmt w:val="bullet"/>
      <w:lvlText w:val=""/>
      <w:lvlJc w:val="left"/>
      <w:pPr>
        <w:ind w:left="3840" w:hanging="420"/>
      </w:pPr>
      <w:rPr>
        <w:rFonts w:hint="default" w:ascii="Wingdings" w:hAnsi="Wingdings"/>
      </w:rPr>
    </w:lvl>
    <w:lvl w:ilvl="8" w:tentative="0">
      <w:start w:val="1"/>
      <w:numFmt w:val="bullet"/>
      <w:lvlText w:val=""/>
      <w:lvlJc w:val="left"/>
      <w:pPr>
        <w:ind w:left="4260" w:hanging="420"/>
      </w:pPr>
      <w:rPr>
        <w:rFonts w:hint="default" w:ascii="Wingdings" w:hAnsi="Wingdings"/>
      </w:rPr>
    </w:lvl>
  </w:abstractNum>
  <w:abstractNum w:abstractNumId="4">
    <w:nsid w:val="4A154461"/>
    <w:multiLevelType w:val="multilevel"/>
    <w:tmpl w:val="4A154461"/>
    <w:lvl w:ilvl="0" w:tentative="0">
      <w:start w:val="1"/>
      <w:numFmt w:val="decimal"/>
      <w:pStyle w:val="78"/>
      <w:suff w:val="space"/>
      <w:lvlText w:val="表2-%1"/>
      <w:lvlJc w:val="left"/>
      <w:pPr>
        <w:ind w:left="0" w:firstLine="0"/>
      </w:pPr>
      <w:rPr>
        <w:rFonts w:hint="eastAsia"/>
      </w:rPr>
    </w:lvl>
    <w:lvl w:ilvl="1" w:tentative="0">
      <w:start w:val="1"/>
      <w:numFmt w:val="decimal"/>
      <w:suff w:val="space"/>
      <w:lvlText w:val="%1.%2"/>
      <w:lvlJc w:val="left"/>
      <w:pPr>
        <w:ind w:left="0" w:firstLine="0"/>
      </w:pPr>
      <w:rPr>
        <w:rFonts w:hint="eastAsia"/>
      </w:rPr>
    </w:lvl>
    <w:lvl w:ilvl="2" w:tentative="0">
      <w:start w:val="1"/>
      <w:numFmt w:val="decimal"/>
      <w:suff w:val="space"/>
      <w:lvlText w:val="%1.%2.%3"/>
      <w:lvlJc w:val="left"/>
      <w:pPr>
        <w:ind w:left="0" w:firstLine="0"/>
      </w:pPr>
      <w:rPr>
        <w:rFonts w:hint="eastAsia"/>
      </w:rPr>
    </w:lvl>
    <w:lvl w:ilvl="3" w:tentative="0">
      <w:start w:val="1"/>
      <w:numFmt w:val="decimal"/>
      <w:suff w:val="space"/>
      <w:lvlText w:val="%1.%2.%3.%4"/>
      <w:lvlJc w:val="left"/>
      <w:pPr>
        <w:ind w:left="0" w:firstLine="0"/>
      </w:pPr>
      <w:rPr>
        <w:rFonts w:hint="eastAsia"/>
      </w:rPr>
    </w:lvl>
    <w:lvl w:ilvl="4" w:tentative="0">
      <w:start w:val="1"/>
      <w:numFmt w:val="decimal"/>
      <w:suff w:val="nothing"/>
      <w:lvlText w:val="%1.%2.%3.%4.%5"/>
      <w:lvlJc w:val="left"/>
      <w:pPr>
        <w:ind w:left="0" w:firstLine="0"/>
      </w:pPr>
      <w:rPr>
        <w:rFonts w:hint="eastAsia"/>
      </w:rPr>
    </w:lvl>
    <w:lvl w:ilvl="5" w:tentative="0">
      <w:start w:val="1"/>
      <w:numFmt w:val="decimal"/>
      <w:lvlText w:val="%1.%2.%3.%4.%5.%6"/>
      <w:lvlJc w:val="left"/>
      <w:pPr>
        <w:ind w:left="0" w:firstLine="0"/>
      </w:pPr>
      <w:rPr>
        <w:rFonts w:hint="eastAsia"/>
      </w:rPr>
    </w:lvl>
    <w:lvl w:ilvl="6" w:tentative="0">
      <w:start w:val="1"/>
      <w:numFmt w:val="decimal"/>
      <w:lvlText w:val="%1.%2.%3.%4.%5.%6.%7"/>
      <w:lvlJc w:val="left"/>
      <w:pPr>
        <w:ind w:left="0" w:firstLine="0"/>
      </w:pPr>
      <w:rPr>
        <w:rFonts w:hint="eastAsia"/>
      </w:rPr>
    </w:lvl>
    <w:lvl w:ilvl="7" w:tentative="0">
      <w:start w:val="1"/>
      <w:numFmt w:val="decimal"/>
      <w:lvlText w:val="%1.%2.%3.%4.%5.%6.%7.%8"/>
      <w:lvlJc w:val="left"/>
      <w:pPr>
        <w:ind w:left="0" w:firstLine="0"/>
      </w:pPr>
      <w:rPr>
        <w:rFonts w:hint="eastAsia"/>
      </w:rPr>
    </w:lvl>
    <w:lvl w:ilvl="8" w:tentative="0">
      <w:start w:val="1"/>
      <w:numFmt w:val="decimal"/>
      <w:lvlText w:val="%1.%2.%3.%4.%5.%6.%7.%8.%9"/>
      <w:lvlJc w:val="left"/>
      <w:pPr>
        <w:ind w:left="0" w:firstLine="0"/>
      </w:pPr>
      <w:rPr>
        <w:rFonts w:hint="eastAsia"/>
      </w:rPr>
    </w:lvl>
  </w:abstractNum>
  <w:abstractNum w:abstractNumId="5">
    <w:nsid w:val="646260FA"/>
    <w:multiLevelType w:val="multilevel"/>
    <w:tmpl w:val="646260FA"/>
    <w:lvl w:ilvl="0" w:tentative="0">
      <w:start w:val="1"/>
      <w:numFmt w:val="decimal"/>
      <w:pStyle w:val="22"/>
      <w:suff w:val="nothing"/>
      <w:lvlText w:val="表%1　"/>
      <w:lvlJc w:val="left"/>
      <w:pPr>
        <w:ind w:left="4395" w:firstLine="0"/>
      </w:pPr>
      <w:rPr>
        <w:rFonts w:hint="eastAsia" w:ascii="黑体" w:hAnsi="Times New Roman" w:eastAsia="黑体"/>
        <w:b w:val="0"/>
        <w:i w:val="0"/>
        <w:sz w:val="21"/>
        <w:lang w:val="en-US"/>
      </w:rPr>
    </w:lvl>
    <w:lvl w:ilvl="1" w:tentative="0">
      <w:start w:val="1"/>
      <w:numFmt w:val="decimal"/>
      <w:lvlText w:val="%1.%2"/>
      <w:lvlJc w:val="left"/>
      <w:pPr>
        <w:tabs>
          <w:tab w:val="left" w:pos="992"/>
        </w:tabs>
        <w:ind w:left="992" w:hanging="567"/>
      </w:pPr>
      <w:rPr>
        <w:rFonts w:hint="eastAsia"/>
      </w:rPr>
    </w:lvl>
    <w:lvl w:ilvl="2" w:tentative="0">
      <w:start w:val="1"/>
      <w:numFmt w:val="decimal"/>
      <w:lvlText w:val="%1.%2.%3"/>
      <w:lvlJc w:val="left"/>
      <w:pPr>
        <w:tabs>
          <w:tab w:val="left" w:pos="1418"/>
        </w:tabs>
        <w:ind w:left="1418" w:hanging="567"/>
      </w:pPr>
      <w:rPr>
        <w:rFonts w:hint="eastAsia"/>
      </w:rPr>
    </w:lvl>
    <w:lvl w:ilvl="3" w:tentative="0">
      <w:start w:val="1"/>
      <w:numFmt w:val="decimal"/>
      <w:lvlText w:val="%1.%2.%3.%4"/>
      <w:lvlJc w:val="left"/>
      <w:pPr>
        <w:tabs>
          <w:tab w:val="left" w:pos="1984"/>
        </w:tabs>
        <w:ind w:left="1984" w:hanging="708"/>
      </w:pPr>
      <w:rPr>
        <w:rFonts w:hint="eastAsia"/>
      </w:rPr>
    </w:lvl>
    <w:lvl w:ilvl="4" w:tentative="0">
      <w:start w:val="1"/>
      <w:numFmt w:val="decimal"/>
      <w:lvlText w:val="%1.%2.%3.%4.%5"/>
      <w:lvlJc w:val="left"/>
      <w:pPr>
        <w:tabs>
          <w:tab w:val="left" w:pos="2551"/>
        </w:tabs>
        <w:ind w:left="2551" w:hanging="850"/>
      </w:pPr>
      <w:rPr>
        <w:rFonts w:hint="eastAsia"/>
      </w:rPr>
    </w:lvl>
    <w:lvl w:ilvl="5" w:tentative="0">
      <w:start w:val="1"/>
      <w:numFmt w:val="decimal"/>
      <w:lvlText w:val="%1.%2.%3.%4.%5.%6"/>
      <w:lvlJc w:val="left"/>
      <w:pPr>
        <w:tabs>
          <w:tab w:val="left" w:pos="3260"/>
        </w:tabs>
        <w:ind w:left="3260" w:hanging="1134"/>
      </w:pPr>
      <w:rPr>
        <w:rFonts w:hint="eastAsia"/>
      </w:rPr>
    </w:lvl>
    <w:lvl w:ilvl="6" w:tentative="0">
      <w:start w:val="1"/>
      <w:numFmt w:val="decimal"/>
      <w:lvlText w:val="%1.%2.%3.%4.%5.%6.%7"/>
      <w:lvlJc w:val="left"/>
      <w:pPr>
        <w:tabs>
          <w:tab w:val="left" w:pos="3827"/>
        </w:tabs>
        <w:ind w:left="3827" w:hanging="1276"/>
      </w:pPr>
      <w:rPr>
        <w:rFonts w:hint="eastAsia"/>
      </w:rPr>
    </w:lvl>
    <w:lvl w:ilvl="7" w:tentative="0">
      <w:start w:val="1"/>
      <w:numFmt w:val="decimal"/>
      <w:lvlText w:val="%1.%2.%3.%4.%5.%6.%7.%8"/>
      <w:lvlJc w:val="left"/>
      <w:pPr>
        <w:tabs>
          <w:tab w:val="left" w:pos="4394"/>
        </w:tabs>
        <w:ind w:left="4394" w:hanging="1418"/>
      </w:pPr>
      <w:rPr>
        <w:rFonts w:hint="eastAsia"/>
      </w:rPr>
    </w:lvl>
    <w:lvl w:ilvl="8" w:tentative="0">
      <w:start w:val="1"/>
      <w:numFmt w:val="decimal"/>
      <w:lvlText w:val="%1.%2.%3.%4.%5.%6.%7.%8.%9"/>
      <w:lvlJc w:val="left"/>
      <w:pPr>
        <w:tabs>
          <w:tab w:val="left" w:pos="5102"/>
        </w:tabs>
        <w:ind w:left="5102" w:hanging="1700"/>
      </w:pPr>
      <w:rPr>
        <w:rFonts w:hint="eastAsia"/>
      </w:rPr>
    </w:lvl>
  </w:abstractNum>
  <w:abstractNum w:abstractNumId="6">
    <w:nsid w:val="782C7466"/>
    <w:multiLevelType w:val="multilevel"/>
    <w:tmpl w:val="782C7466"/>
    <w:lvl w:ilvl="0" w:tentative="0">
      <w:start w:val="1"/>
      <w:numFmt w:val="decimal"/>
      <w:pStyle w:val="2"/>
      <w:lvlText w:val="%1"/>
      <w:lvlJc w:val="left"/>
      <w:pPr>
        <w:ind w:left="10355" w:hanging="432"/>
      </w:pPr>
      <w:rPr>
        <w:rFonts w:ascii="Calibri" w:hAnsi="Calibri" w:eastAsia="宋体" w:cs="Times New Roman"/>
      </w:rPr>
    </w:lvl>
    <w:lvl w:ilvl="1" w:tentative="0">
      <w:start w:val="1"/>
      <w:numFmt w:val="decimal"/>
      <w:pStyle w:val="3"/>
      <w:lvlText w:val="%1.%2"/>
      <w:lvlJc w:val="left"/>
      <w:pPr>
        <w:ind w:left="576" w:hanging="576"/>
      </w:pPr>
      <w:rPr>
        <w:rFonts w:ascii="Times New Roman" w:hAnsi="Times New Roman" w:cs="Times New Roman"/>
        <w:b w:val="0"/>
        <w:bCs w:val="0"/>
        <w:i w:val="0"/>
        <w:iCs w:val="0"/>
        <w:caps w:val="0"/>
        <w:smallCaps w:val="0"/>
        <w:strike w:val="0"/>
        <w:dstrike w:val="0"/>
        <w:snapToGrid w:val="0"/>
        <w:vanish w:val="0"/>
        <w:color w:val="000000"/>
        <w:spacing w:val="0"/>
        <w:w w:val="0"/>
        <w:kern w:val="0"/>
        <w:position w:val="0"/>
        <w:szCs w:val="0"/>
        <w:u w:val="none"/>
        <w:vertAlign w:val="baseline"/>
      </w:rPr>
    </w:lvl>
    <w:lvl w:ilvl="2" w:tentative="0">
      <w:start w:val="1"/>
      <w:numFmt w:val="decimal"/>
      <w:lvlText w:val="%1.%2.%3"/>
      <w:lvlJc w:val="left"/>
      <w:pPr>
        <w:ind w:left="720" w:hanging="720"/>
      </w:pPr>
    </w:lvl>
    <w:lvl w:ilvl="3" w:tentative="0">
      <w:start w:val="1"/>
      <w:numFmt w:val="decimal"/>
      <w:pStyle w:val="5"/>
      <w:lvlText w:val="%1.%2.%3.%4"/>
      <w:lvlJc w:val="left"/>
      <w:pPr>
        <w:ind w:left="2237" w:hanging="864"/>
      </w:pPr>
    </w:lvl>
    <w:lvl w:ilvl="4" w:tentative="0">
      <w:start w:val="1"/>
      <w:numFmt w:val="decimal"/>
      <w:pStyle w:val="6"/>
      <w:lvlText w:val="%1.%2.%3.%4.%5"/>
      <w:lvlJc w:val="left"/>
      <w:pPr>
        <w:ind w:left="2381" w:hanging="1008"/>
      </w:pPr>
    </w:lvl>
    <w:lvl w:ilvl="5" w:tentative="0">
      <w:start w:val="1"/>
      <w:numFmt w:val="decimal"/>
      <w:pStyle w:val="7"/>
      <w:lvlText w:val="%1.%2.%3.%4.%5.%6"/>
      <w:lvlJc w:val="left"/>
      <w:pPr>
        <w:ind w:left="2525" w:hanging="1152"/>
      </w:pPr>
    </w:lvl>
    <w:lvl w:ilvl="6" w:tentative="0">
      <w:start w:val="1"/>
      <w:numFmt w:val="decimal"/>
      <w:pStyle w:val="8"/>
      <w:lvlText w:val="%1.%2.%3.%4.%5.%6.%7"/>
      <w:lvlJc w:val="left"/>
      <w:pPr>
        <w:ind w:left="2669" w:hanging="1296"/>
      </w:pPr>
    </w:lvl>
    <w:lvl w:ilvl="7" w:tentative="0">
      <w:start w:val="1"/>
      <w:numFmt w:val="decimal"/>
      <w:pStyle w:val="9"/>
      <w:lvlText w:val="%1.%2.%3.%4.%5.%6.%7.%8"/>
      <w:lvlJc w:val="left"/>
      <w:pPr>
        <w:ind w:left="2813" w:hanging="1440"/>
      </w:pPr>
    </w:lvl>
    <w:lvl w:ilvl="8" w:tentative="0">
      <w:start w:val="1"/>
      <w:numFmt w:val="decimal"/>
      <w:pStyle w:val="10"/>
      <w:lvlText w:val="%1.%2.%3.%4.%5.%6.%7.%8.%9"/>
      <w:lvlJc w:val="left"/>
      <w:pPr>
        <w:ind w:left="2957" w:hanging="1584"/>
      </w:pPr>
    </w:lvl>
  </w:abstractNum>
  <w:num w:numId="1">
    <w:abstractNumId w:val="6"/>
  </w:num>
  <w:num w:numId="2">
    <w:abstractNumId w:val="5"/>
  </w:num>
  <w:num w:numId="3">
    <w:abstractNumId w:val="3"/>
  </w:num>
  <w:num w:numId="4">
    <w:abstractNumId w:val="4"/>
  </w:num>
  <w:num w:numId="5">
    <w:abstractNumId w:val="1"/>
  </w:num>
  <w:num w:numId="6">
    <w:abstractNumId w:val="2"/>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bordersDoNotSurroundHeader w:val="1"/>
  <w:bordersDoNotSurroundFooter w:val="1"/>
  <w:hideSpellingErrors/>
  <w:documentProtection w:enforcement="0"/>
  <w:defaultTabStop w:val="420"/>
  <w:drawingGridHorizontalSpacing w:val="120"/>
  <w:drawingGridVerticalSpacing w:val="163"/>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2A27"/>
    <w:rsid w:val="00000C9C"/>
    <w:rsid w:val="000022BE"/>
    <w:rsid w:val="000025AE"/>
    <w:rsid w:val="000049A5"/>
    <w:rsid w:val="000056FA"/>
    <w:rsid w:val="00006007"/>
    <w:rsid w:val="00010F63"/>
    <w:rsid w:val="00015ECA"/>
    <w:rsid w:val="00016788"/>
    <w:rsid w:val="000173DB"/>
    <w:rsid w:val="000234F0"/>
    <w:rsid w:val="000238D0"/>
    <w:rsid w:val="000265C2"/>
    <w:rsid w:val="000334B9"/>
    <w:rsid w:val="00033FFA"/>
    <w:rsid w:val="0003400F"/>
    <w:rsid w:val="000343B5"/>
    <w:rsid w:val="00035604"/>
    <w:rsid w:val="000356CC"/>
    <w:rsid w:val="00037B0A"/>
    <w:rsid w:val="00037CB5"/>
    <w:rsid w:val="00040099"/>
    <w:rsid w:val="0004386B"/>
    <w:rsid w:val="00045015"/>
    <w:rsid w:val="000451D6"/>
    <w:rsid w:val="00046A45"/>
    <w:rsid w:val="00051413"/>
    <w:rsid w:val="000543AB"/>
    <w:rsid w:val="000544DD"/>
    <w:rsid w:val="0005628B"/>
    <w:rsid w:val="00057219"/>
    <w:rsid w:val="000579DB"/>
    <w:rsid w:val="00060706"/>
    <w:rsid w:val="00060B9A"/>
    <w:rsid w:val="0006104B"/>
    <w:rsid w:val="00064137"/>
    <w:rsid w:val="00064D4C"/>
    <w:rsid w:val="00065F01"/>
    <w:rsid w:val="00066AA0"/>
    <w:rsid w:val="00067143"/>
    <w:rsid w:val="0006752F"/>
    <w:rsid w:val="000711CA"/>
    <w:rsid w:val="00074C75"/>
    <w:rsid w:val="000754EC"/>
    <w:rsid w:val="0007582E"/>
    <w:rsid w:val="00075EB7"/>
    <w:rsid w:val="00077231"/>
    <w:rsid w:val="000802E8"/>
    <w:rsid w:val="00080CBD"/>
    <w:rsid w:val="00081867"/>
    <w:rsid w:val="00081FA2"/>
    <w:rsid w:val="000835FB"/>
    <w:rsid w:val="0008481E"/>
    <w:rsid w:val="00084E08"/>
    <w:rsid w:val="000858A6"/>
    <w:rsid w:val="00085F1C"/>
    <w:rsid w:val="000879EC"/>
    <w:rsid w:val="000904DD"/>
    <w:rsid w:val="000914A7"/>
    <w:rsid w:val="0009238B"/>
    <w:rsid w:val="00092827"/>
    <w:rsid w:val="00092ED2"/>
    <w:rsid w:val="00095F1A"/>
    <w:rsid w:val="00097111"/>
    <w:rsid w:val="000A02E0"/>
    <w:rsid w:val="000A058D"/>
    <w:rsid w:val="000A11D8"/>
    <w:rsid w:val="000A221E"/>
    <w:rsid w:val="000A38A5"/>
    <w:rsid w:val="000A593C"/>
    <w:rsid w:val="000A5A51"/>
    <w:rsid w:val="000A6C4F"/>
    <w:rsid w:val="000A7151"/>
    <w:rsid w:val="000A7441"/>
    <w:rsid w:val="000A78FD"/>
    <w:rsid w:val="000B48E9"/>
    <w:rsid w:val="000B49AD"/>
    <w:rsid w:val="000B4D0E"/>
    <w:rsid w:val="000B5632"/>
    <w:rsid w:val="000B6429"/>
    <w:rsid w:val="000B700B"/>
    <w:rsid w:val="000B790B"/>
    <w:rsid w:val="000C15EE"/>
    <w:rsid w:val="000C1F79"/>
    <w:rsid w:val="000C26FC"/>
    <w:rsid w:val="000C3D2B"/>
    <w:rsid w:val="000C5031"/>
    <w:rsid w:val="000C5869"/>
    <w:rsid w:val="000C779A"/>
    <w:rsid w:val="000D044C"/>
    <w:rsid w:val="000D13CF"/>
    <w:rsid w:val="000D227E"/>
    <w:rsid w:val="000D44F3"/>
    <w:rsid w:val="000D46F4"/>
    <w:rsid w:val="000E03D6"/>
    <w:rsid w:val="000E29F9"/>
    <w:rsid w:val="000E3C6E"/>
    <w:rsid w:val="000E3F5E"/>
    <w:rsid w:val="000E5597"/>
    <w:rsid w:val="000E6FF6"/>
    <w:rsid w:val="000F1722"/>
    <w:rsid w:val="000F1F99"/>
    <w:rsid w:val="000F66BB"/>
    <w:rsid w:val="00101CF6"/>
    <w:rsid w:val="00101D86"/>
    <w:rsid w:val="00103D02"/>
    <w:rsid w:val="00103F1D"/>
    <w:rsid w:val="00104063"/>
    <w:rsid w:val="00104850"/>
    <w:rsid w:val="00105344"/>
    <w:rsid w:val="00105383"/>
    <w:rsid w:val="0010629D"/>
    <w:rsid w:val="00106A76"/>
    <w:rsid w:val="00107E2A"/>
    <w:rsid w:val="00111E45"/>
    <w:rsid w:val="001131FF"/>
    <w:rsid w:val="001148C7"/>
    <w:rsid w:val="00114A45"/>
    <w:rsid w:val="001150B3"/>
    <w:rsid w:val="001155DB"/>
    <w:rsid w:val="00115963"/>
    <w:rsid w:val="001159F2"/>
    <w:rsid w:val="00117616"/>
    <w:rsid w:val="00120AE5"/>
    <w:rsid w:val="00120E7D"/>
    <w:rsid w:val="00122B01"/>
    <w:rsid w:val="00125673"/>
    <w:rsid w:val="00133A74"/>
    <w:rsid w:val="00136B18"/>
    <w:rsid w:val="00144DF9"/>
    <w:rsid w:val="001456D7"/>
    <w:rsid w:val="0015298A"/>
    <w:rsid w:val="00152CA9"/>
    <w:rsid w:val="00152FE5"/>
    <w:rsid w:val="00153168"/>
    <w:rsid w:val="0015513E"/>
    <w:rsid w:val="001613F6"/>
    <w:rsid w:val="00164F8D"/>
    <w:rsid w:val="00166013"/>
    <w:rsid w:val="0016750C"/>
    <w:rsid w:val="001701A3"/>
    <w:rsid w:val="001703CF"/>
    <w:rsid w:val="00170AAB"/>
    <w:rsid w:val="00170F1D"/>
    <w:rsid w:val="0017161C"/>
    <w:rsid w:val="001718B7"/>
    <w:rsid w:val="00172956"/>
    <w:rsid w:val="001729A2"/>
    <w:rsid w:val="00172A27"/>
    <w:rsid w:val="00173CC3"/>
    <w:rsid w:val="00174AE2"/>
    <w:rsid w:val="001754FB"/>
    <w:rsid w:val="00176B45"/>
    <w:rsid w:val="001773A0"/>
    <w:rsid w:val="00180868"/>
    <w:rsid w:val="00180A0B"/>
    <w:rsid w:val="00181240"/>
    <w:rsid w:val="00181725"/>
    <w:rsid w:val="001840FA"/>
    <w:rsid w:val="00185782"/>
    <w:rsid w:val="00185C06"/>
    <w:rsid w:val="0018673C"/>
    <w:rsid w:val="00190C1A"/>
    <w:rsid w:val="00193027"/>
    <w:rsid w:val="001938C4"/>
    <w:rsid w:val="001973B8"/>
    <w:rsid w:val="001A0F04"/>
    <w:rsid w:val="001A13CC"/>
    <w:rsid w:val="001A23F3"/>
    <w:rsid w:val="001A2A71"/>
    <w:rsid w:val="001A2BA2"/>
    <w:rsid w:val="001A5B13"/>
    <w:rsid w:val="001A5F3F"/>
    <w:rsid w:val="001A79B7"/>
    <w:rsid w:val="001B11CA"/>
    <w:rsid w:val="001B11D1"/>
    <w:rsid w:val="001B43B0"/>
    <w:rsid w:val="001B4D5F"/>
    <w:rsid w:val="001B70F1"/>
    <w:rsid w:val="001B7864"/>
    <w:rsid w:val="001C04DA"/>
    <w:rsid w:val="001C162F"/>
    <w:rsid w:val="001C2FC8"/>
    <w:rsid w:val="001C3E32"/>
    <w:rsid w:val="001C42CC"/>
    <w:rsid w:val="001C4729"/>
    <w:rsid w:val="001C47B2"/>
    <w:rsid w:val="001C47FB"/>
    <w:rsid w:val="001C519F"/>
    <w:rsid w:val="001C5963"/>
    <w:rsid w:val="001C61F9"/>
    <w:rsid w:val="001C7F5E"/>
    <w:rsid w:val="001D065E"/>
    <w:rsid w:val="001D2377"/>
    <w:rsid w:val="001D5D95"/>
    <w:rsid w:val="001D6203"/>
    <w:rsid w:val="001E0488"/>
    <w:rsid w:val="001E13D9"/>
    <w:rsid w:val="001E39D8"/>
    <w:rsid w:val="001E46B6"/>
    <w:rsid w:val="001E4760"/>
    <w:rsid w:val="001E4AEF"/>
    <w:rsid w:val="001E7761"/>
    <w:rsid w:val="001F07BD"/>
    <w:rsid w:val="001F15AF"/>
    <w:rsid w:val="001F2247"/>
    <w:rsid w:val="001F2A67"/>
    <w:rsid w:val="001F2E31"/>
    <w:rsid w:val="001F3837"/>
    <w:rsid w:val="001F483F"/>
    <w:rsid w:val="001F5AF9"/>
    <w:rsid w:val="001F7269"/>
    <w:rsid w:val="00200D2B"/>
    <w:rsid w:val="00201EFA"/>
    <w:rsid w:val="00202129"/>
    <w:rsid w:val="00203B7F"/>
    <w:rsid w:val="00204A2F"/>
    <w:rsid w:val="00205AB3"/>
    <w:rsid w:val="00206712"/>
    <w:rsid w:val="002076E5"/>
    <w:rsid w:val="002103DB"/>
    <w:rsid w:val="00213DD3"/>
    <w:rsid w:val="00215D85"/>
    <w:rsid w:val="002172D0"/>
    <w:rsid w:val="0022017B"/>
    <w:rsid w:val="00224000"/>
    <w:rsid w:val="002240E4"/>
    <w:rsid w:val="00224F59"/>
    <w:rsid w:val="002267B9"/>
    <w:rsid w:val="00226889"/>
    <w:rsid w:val="00230905"/>
    <w:rsid w:val="00231416"/>
    <w:rsid w:val="00232618"/>
    <w:rsid w:val="00233BAA"/>
    <w:rsid w:val="00235B00"/>
    <w:rsid w:val="00241718"/>
    <w:rsid w:val="00241732"/>
    <w:rsid w:val="00243765"/>
    <w:rsid w:val="002440A8"/>
    <w:rsid w:val="00244BD7"/>
    <w:rsid w:val="00250538"/>
    <w:rsid w:val="002514C2"/>
    <w:rsid w:val="0025265D"/>
    <w:rsid w:val="002538F1"/>
    <w:rsid w:val="002556B8"/>
    <w:rsid w:val="00256026"/>
    <w:rsid w:val="00256034"/>
    <w:rsid w:val="00262DEC"/>
    <w:rsid w:val="0026313D"/>
    <w:rsid w:val="00263910"/>
    <w:rsid w:val="002640C3"/>
    <w:rsid w:val="002646AE"/>
    <w:rsid w:val="0026768F"/>
    <w:rsid w:val="00267CAD"/>
    <w:rsid w:val="002710C2"/>
    <w:rsid w:val="0027315D"/>
    <w:rsid w:val="00273CFA"/>
    <w:rsid w:val="00274CD7"/>
    <w:rsid w:val="00276BE8"/>
    <w:rsid w:val="00276E06"/>
    <w:rsid w:val="002819EC"/>
    <w:rsid w:val="00281A67"/>
    <w:rsid w:val="002837D5"/>
    <w:rsid w:val="002852E6"/>
    <w:rsid w:val="00287FA1"/>
    <w:rsid w:val="00291285"/>
    <w:rsid w:val="00294CD0"/>
    <w:rsid w:val="00297797"/>
    <w:rsid w:val="002A00D5"/>
    <w:rsid w:val="002A1342"/>
    <w:rsid w:val="002A21D0"/>
    <w:rsid w:val="002A4173"/>
    <w:rsid w:val="002A68B3"/>
    <w:rsid w:val="002A707E"/>
    <w:rsid w:val="002A7424"/>
    <w:rsid w:val="002B1600"/>
    <w:rsid w:val="002B1C2B"/>
    <w:rsid w:val="002B3FE2"/>
    <w:rsid w:val="002B434C"/>
    <w:rsid w:val="002B5B6E"/>
    <w:rsid w:val="002B676C"/>
    <w:rsid w:val="002B6BAD"/>
    <w:rsid w:val="002B709C"/>
    <w:rsid w:val="002C0224"/>
    <w:rsid w:val="002C30F2"/>
    <w:rsid w:val="002C33F4"/>
    <w:rsid w:val="002C3C6D"/>
    <w:rsid w:val="002C46DF"/>
    <w:rsid w:val="002C656A"/>
    <w:rsid w:val="002C77C1"/>
    <w:rsid w:val="002D0744"/>
    <w:rsid w:val="002D13CA"/>
    <w:rsid w:val="002D26D7"/>
    <w:rsid w:val="002D6AC3"/>
    <w:rsid w:val="002D7A48"/>
    <w:rsid w:val="002E0DAD"/>
    <w:rsid w:val="002E50E1"/>
    <w:rsid w:val="002E6598"/>
    <w:rsid w:val="002E78D7"/>
    <w:rsid w:val="002E7DB4"/>
    <w:rsid w:val="002F022B"/>
    <w:rsid w:val="002F0278"/>
    <w:rsid w:val="002F3182"/>
    <w:rsid w:val="002F3B92"/>
    <w:rsid w:val="00300205"/>
    <w:rsid w:val="00300F9E"/>
    <w:rsid w:val="003020FE"/>
    <w:rsid w:val="00303071"/>
    <w:rsid w:val="003063C1"/>
    <w:rsid w:val="0030688A"/>
    <w:rsid w:val="00306AAF"/>
    <w:rsid w:val="00307924"/>
    <w:rsid w:val="003107AC"/>
    <w:rsid w:val="00310BFB"/>
    <w:rsid w:val="00312678"/>
    <w:rsid w:val="00312D82"/>
    <w:rsid w:val="00313521"/>
    <w:rsid w:val="00320CA2"/>
    <w:rsid w:val="00320F0B"/>
    <w:rsid w:val="00321207"/>
    <w:rsid w:val="0032150A"/>
    <w:rsid w:val="00321687"/>
    <w:rsid w:val="00321875"/>
    <w:rsid w:val="00324EBD"/>
    <w:rsid w:val="00325775"/>
    <w:rsid w:val="0032658F"/>
    <w:rsid w:val="00327F66"/>
    <w:rsid w:val="00333623"/>
    <w:rsid w:val="00336B38"/>
    <w:rsid w:val="00337203"/>
    <w:rsid w:val="00340A04"/>
    <w:rsid w:val="00343848"/>
    <w:rsid w:val="00343FC0"/>
    <w:rsid w:val="00345763"/>
    <w:rsid w:val="00345D4B"/>
    <w:rsid w:val="00346A2C"/>
    <w:rsid w:val="00346F97"/>
    <w:rsid w:val="00347DEE"/>
    <w:rsid w:val="00353B05"/>
    <w:rsid w:val="00354944"/>
    <w:rsid w:val="003552FA"/>
    <w:rsid w:val="0035756B"/>
    <w:rsid w:val="00357A48"/>
    <w:rsid w:val="0036483A"/>
    <w:rsid w:val="003665F2"/>
    <w:rsid w:val="003705D1"/>
    <w:rsid w:val="00370CD8"/>
    <w:rsid w:val="00371C38"/>
    <w:rsid w:val="00373FF3"/>
    <w:rsid w:val="003754A5"/>
    <w:rsid w:val="003755DB"/>
    <w:rsid w:val="003759E0"/>
    <w:rsid w:val="0037765C"/>
    <w:rsid w:val="003807D1"/>
    <w:rsid w:val="00385E0E"/>
    <w:rsid w:val="00386188"/>
    <w:rsid w:val="003874F9"/>
    <w:rsid w:val="003948C0"/>
    <w:rsid w:val="00394C44"/>
    <w:rsid w:val="00395F57"/>
    <w:rsid w:val="00396FA9"/>
    <w:rsid w:val="00397C39"/>
    <w:rsid w:val="003A219F"/>
    <w:rsid w:val="003A2D5A"/>
    <w:rsid w:val="003A326F"/>
    <w:rsid w:val="003A6B13"/>
    <w:rsid w:val="003B00EB"/>
    <w:rsid w:val="003B3E5A"/>
    <w:rsid w:val="003B4226"/>
    <w:rsid w:val="003B424A"/>
    <w:rsid w:val="003B4295"/>
    <w:rsid w:val="003B7241"/>
    <w:rsid w:val="003C0467"/>
    <w:rsid w:val="003C051B"/>
    <w:rsid w:val="003C1360"/>
    <w:rsid w:val="003C25A0"/>
    <w:rsid w:val="003C2A02"/>
    <w:rsid w:val="003C39C5"/>
    <w:rsid w:val="003C4ED0"/>
    <w:rsid w:val="003C6B46"/>
    <w:rsid w:val="003C70BF"/>
    <w:rsid w:val="003C7D66"/>
    <w:rsid w:val="003D172C"/>
    <w:rsid w:val="003D3A56"/>
    <w:rsid w:val="003D475F"/>
    <w:rsid w:val="003D511A"/>
    <w:rsid w:val="003D59D3"/>
    <w:rsid w:val="003D6835"/>
    <w:rsid w:val="003D7457"/>
    <w:rsid w:val="003E2BC0"/>
    <w:rsid w:val="003E639B"/>
    <w:rsid w:val="003E6DB0"/>
    <w:rsid w:val="003E763A"/>
    <w:rsid w:val="003F2027"/>
    <w:rsid w:val="003F2FBA"/>
    <w:rsid w:val="003F3F14"/>
    <w:rsid w:val="003F3FEC"/>
    <w:rsid w:val="0040251E"/>
    <w:rsid w:val="00403A69"/>
    <w:rsid w:val="00407C21"/>
    <w:rsid w:val="0041011D"/>
    <w:rsid w:val="00410C42"/>
    <w:rsid w:val="00411A81"/>
    <w:rsid w:val="00412DA0"/>
    <w:rsid w:val="00413048"/>
    <w:rsid w:val="00413F9D"/>
    <w:rsid w:val="00414902"/>
    <w:rsid w:val="00416614"/>
    <w:rsid w:val="00420733"/>
    <w:rsid w:val="004227C2"/>
    <w:rsid w:val="0042386C"/>
    <w:rsid w:val="00425D5D"/>
    <w:rsid w:val="00425F2B"/>
    <w:rsid w:val="004269D4"/>
    <w:rsid w:val="00427982"/>
    <w:rsid w:val="0043163A"/>
    <w:rsid w:val="004337B4"/>
    <w:rsid w:val="004354BC"/>
    <w:rsid w:val="00435940"/>
    <w:rsid w:val="00436BE6"/>
    <w:rsid w:val="004373D3"/>
    <w:rsid w:val="0044011B"/>
    <w:rsid w:val="00440BA0"/>
    <w:rsid w:val="0044130C"/>
    <w:rsid w:val="00442716"/>
    <w:rsid w:val="004440E3"/>
    <w:rsid w:val="004451F7"/>
    <w:rsid w:val="00445CEC"/>
    <w:rsid w:val="00446037"/>
    <w:rsid w:val="00446FD5"/>
    <w:rsid w:val="00447010"/>
    <w:rsid w:val="004502FC"/>
    <w:rsid w:val="004515CD"/>
    <w:rsid w:val="0045390F"/>
    <w:rsid w:val="00454CB3"/>
    <w:rsid w:val="00454DD0"/>
    <w:rsid w:val="00455E07"/>
    <w:rsid w:val="00462FE1"/>
    <w:rsid w:val="00473EF1"/>
    <w:rsid w:val="004757ED"/>
    <w:rsid w:val="004777EB"/>
    <w:rsid w:val="00480239"/>
    <w:rsid w:val="00480B06"/>
    <w:rsid w:val="00480FAE"/>
    <w:rsid w:val="0048211C"/>
    <w:rsid w:val="00483B71"/>
    <w:rsid w:val="00483F5D"/>
    <w:rsid w:val="00485476"/>
    <w:rsid w:val="00486466"/>
    <w:rsid w:val="00491596"/>
    <w:rsid w:val="00491DB8"/>
    <w:rsid w:val="00491FAA"/>
    <w:rsid w:val="00492234"/>
    <w:rsid w:val="00492A80"/>
    <w:rsid w:val="00492B57"/>
    <w:rsid w:val="00495B07"/>
    <w:rsid w:val="00495EE9"/>
    <w:rsid w:val="00496EB6"/>
    <w:rsid w:val="00497EBD"/>
    <w:rsid w:val="004A1188"/>
    <w:rsid w:val="004A616C"/>
    <w:rsid w:val="004A77B9"/>
    <w:rsid w:val="004B0B30"/>
    <w:rsid w:val="004B183D"/>
    <w:rsid w:val="004B2775"/>
    <w:rsid w:val="004B380C"/>
    <w:rsid w:val="004B3A56"/>
    <w:rsid w:val="004B401E"/>
    <w:rsid w:val="004B64D4"/>
    <w:rsid w:val="004B7229"/>
    <w:rsid w:val="004B79EE"/>
    <w:rsid w:val="004C0643"/>
    <w:rsid w:val="004C0999"/>
    <w:rsid w:val="004C348E"/>
    <w:rsid w:val="004C4437"/>
    <w:rsid w:val="004C501B"/>
    <w:rsid w:val="004C59D9"/>
    <w:rsid w:val="004C61A1"/>
    <w:rsid w:val="004C7269"/>
    <w:rsid w:val="004D257E"/>
    <w:rsid w:val="004D575B"/>
    <w:rsid w:val="004D5CA8"/>
    <w:rsid w:val="004D629A"/>
    <w:rsid w:val="004D6AC6"/>
    <w:rsid w:val="004D75E0"/>
    <w:rsid w:val="004D771D"/>
    <w:rsid w:val="004E036B"/>
    <w:rsid w:val="004E269C"/>
    <w:rsid w:val="004E3586"/>
    <w:rsid w:val="004E5AFD"/>
    <w:rsid w:val="004E5B4E"/>
    <w:rsid w:val="004E604D"/>
    <w:rsid w:val="004E6BF3"/>
    <w:rsid w:val="004E6EBD"/>
    <w:rsid w:val="004E7B0B"/>
    <w:rsid w:val="004F03D5"/>
    <w:rsid w:val="004F1EBD"/>
    <w:rsid w:val="004F2681"/>
    <w:rsid w:val="004F2819"/>
    <w:rsid w:val="004F6E17"/>
    <w:rsid w:val="004F7DFB"/>
    <w:rsid w:val="00503796"/>
    <w:rsid w:val="005042C6"/>
    <w:rsid w:val="00504A6C"/>
    <w:rsid w:val="00505325"/>
    <w:rsid w:val="00505E46"/>
    <w:rsid w:val="00507959"/>
    <w:rsid w:val="00510E53"/>
    <w:rsid w:val="00512137"/>
    <w:rsid w:val="005128C1"/>
    <w:rsid w:val="00512D31"/>
    <w:rsid w:val="005135EA"/>
    <w:rsid w:val="005135FB"/>
    <w:rsid w:val="00515A86"/>
    <w:rsid w:val="00515C47"/>
    <w:rsid w:val="00516CE2"/>
    <w:rsid w:val="0051775C"/>
    <w:rsid w:val="00517B14"/>
    <w:rsid w:val="00520994"/>
    <w:rsid w:val="005213C9"/>
    <w:rsid w:val="005233DC"/>
    <w:rsid w:val="00523EE7"/>
    <w:rsid w:val="005260D4"/>
    <w:rsid w:val="0052663F"/>
    <w:rsid w:val="00526A33"/>
    <w:rsid w:val="00526D0E"/>
    <w:rsid w:val="00527293"/>
    <w:rsid w:val="00527351"/>
    <w:rsid w:val="00530BD3"/>
    <w:rsid w:val="005316DB"/>
    <w:rsid w:val="00531875"/>
    <w:rsid w:val="005327ED"/>
    <w:rsid w:val="00534B1A"/>
    <w:rsid w:val="00534E2D"/>
    <w:rsid w:val="0053681F"/>
    <w:rsid w:val="00540F30"/>
    <w:rsid w:val="00542563"/>
    <w:rsid w:val="00543B6F"/>
    <w:rsid w:val="005445BB"/>
    <w:rsid w:val="00544F19"/>
    <w:rsid w:val="005452D5"/>
    <w:rsid w:val="00545B92"/>
    <w:rsid w:val="00546397"/>
    <w:rsid w:val="005465A5"/>
    <w:rsid w:val="00547076"/>
    <w:rsid w:val="00547347"/>
    <w:rsid w:val="00550950"/>
    <w:rsid w:val="00551AFA"/>
    <w:rsid w:val="00554A6A"/>
    <w:rsid w:val="00555FCB"/>
    <w:rsid w:val="00561E0C"/>
    <w:rsid w:val="00562EE5"/>
    <w:rsid w:val="00563D6D"/>
    <w:rsid w:val="00563DA8"/>
    <w:rsid w:val="00565559"/>
    <w:rsid w:val="0056724B"/>
    <w:rsid w:val="00570DA1"/>
    <w:rsid w:val="005757B4"/>
    <w:rsid w:val="005772F7"/>
    <w:rsid w:val="005778B2"/>
    <w:rsid w:val="00580C4D"/>
    <w:rsid w:val="00580E3A"/>
    <w:rsid w:val="00580EE5"/>
    <w:rsid w:val="005814F4"/>
    <w:rsid w:val="00582FA4"/>
    <w:rsid w:val="00583D58"/>
    <w:rsid w:val="0058635A"/>
    <w:rsid w:val="00586E33"/>
    <w:rsid w:val="005870E9"/>
    <w:rsid w:val="00587524"/>
    <w:rsid w:val="00591079"/>
    <w:rsid w:val="0059329F"/>
    <w:rsid w:val="0059559D"/>
    <w:rsid w:val="00595E8C"/>
    <w:rsid w:val="005A0621"/>
    <w:rsid w:val="005A105F"/>
    <w:rsid w:val="005A2C3F"/>
    <w:rsid w:val="005A3F82"/>
    <w:rsid w:val="005B0CA3"/>
    <w:rsid w:val="005B243A"/>
    <w:rsid w:val="005B41AA"/>
    <w:rsid w:val="005B5D98"/>
    <w:rsid w:val="005B600B"/>
    <w:rsid w:val="005B612D"/>
    <w:rsid w:val="005B6E80"/>
    <w:rsid w:val="005C15D9"/>
    <w:rsid w:val="005C19C4"/>
    <w:rsid w:val="005C373C"/>
    <w:rsid w:val="005C39FA"/>
    <w:rsid w:val="005C3C57"/>
    <w:rsid w:val="005C3D2E"/>
    <w:rsid w:val="005C4442"/>
    <w:rsid w:val="005C68C3"/>
    <w:rsid w:val="005D1033"/>
    <w:rsid w:val="005D2549"/>
    <w:rsid w:val="005D2E50"/>
    <w:rsid w:val="005D3D6D"/>
    <w:rsid w:val="005D46B2"/>
    <w:rsid w:val="005D67B9"/>
    <w:rsid w:val="005D6DBA"/>
    <w:rsid w:val="005D735B"/>
    <w:rsid w:val="005D7B82"/>
    <w:rsid w:val="005E0D97"/>
    <w:rsid w:val="005E196B"/>
    <w:rsid w:val="005E1CB8"/>
    <w:rsid w:val="005E1CB9"/>
    <w:rsid w:val="005E319F"/>
    <w:rsid w:val="005E49BA"/>
    <w:rsid w:val="005E5410"/>
    <w:rsid w:val="005E5F1F"/>
    <w:rsid w:val="005E6354"/>
    <w:rsid w:val="005E6EE4"/>
    <w:rsid w:val="005E7178"/>
    <w:rsid w:val="005E726E"/>
    <w:rsid w:val="005F21C8"/>
    <w:rsid w:val="005F4651"/>
    <w:rsid w:val="005F4717"/>
    <w:rsid w:val="005F7754"/>
    <w:rsid w:val="00600493"/>
    <w:rsid w:val="00600E14"/>
    <w:rsid w:val="00601CFD"/>
    <w:rsid w:val="00602A05"/>
    <w:rsid w:val="00603B04"/>
    <w:rsid w:val="00604618"/>
    <w:rsid w:val="00604C06"/>
    <w:rsid w:val="006054BA"/>
    <w:rsid w:val="006069EB"/>
    <w:rsid w:val="0060710A"/>
    <w:rsid w:val="00612171"/>
    <w:rsid w:val="00612970"/>
    <w:rsid w:val="0061348B"/>
    <w:rsid w:val="006141F6"/>
    <w:rsid w:val="006146D7"/>
    <w:rsid w:val="00615BCE"/>
    <w:rsid w:val="0061654D"/>
    <w:rsid w:val="00616A2F"/>
    <w:rsid w:val="0061754F"/>
    <w:rsid w:val="0062316A"/>
    <w:rsid w:val="006257DD"/>
    <w:rsid w:val="00626503"/>
    <w:rsid w:val="0063013D"/>
    <w:rsid w:val="006303F3"/>
    <w:rsid w:val="0063253C"/>
    <w:rsid w:val="006336AC"/>
    <w:rsid w:val="00634073"/>
    <w:rsid w:val="00636618"/>
    <w:rsid w:val="00640ED6"/>
    <w:rsid w:val="006415B7"/>
    <w:rsid w:val="006421AA"/>
    <w:rsid w:val="00642B1E"/>
    <w:rsid w:val="0064383B"/>
    <w:rsid w:val="00643CD8"/>
    <w:rsid w:val="00644DD0"/>
    <w:rsid w:val="006454F1"/>
    <w:rsid w:val="00645759"/>
    <w:rsid w:val="00645A14"/>
    <w:rsid w:val="006460BE"/>
    <w:rsid w:val="00652E80"/>
    <w:rsid w:val="006531C9"/>
    <w:rsid w:val="00653D11"/>
    <w:rsid w:val="006556B4"/>
    <w:rsid w:val="00655906"/>
    <w:rsid w:val="00655C67"/>
    <w:rsid w:val="00660D4A"/>
    <w:rsid w:val="00662B02"/>
    <w:rsid w:val="006630C3"/>
    <w:rsid w:val="0066318C"/>
    <w:rsid w:val="00670466"/>
    <w:rsid w:val="00670AEB"/>
    <w:rsid w:val="00670B89"/>
    <w:rsid w:val="00671A0C"/>
    <w:rsid w:val="00671EF0"/>
    <w:rsid w:val="00672D1B"/>
    <w:rsid w:val="00673CB3"/>
    <w:rsid w:val="006740E4"/>
    <w:rsid w:val="006834C9"/>
    <w:rsid w:val="006837DB"/>
    <w:rsid w:val="006839ED"/>
    <w:rsid w:val="00683A1E"/>
    <w:rsid w:val="006840B9"/>
    <w:rsid w:val="00684649"/>
    <w:rsid w:val="00685CB8"/>
    <w:rsid w:val="00686888"/>
    <w:rsid w:val="006922A1"/>
    <w:rsid w:val="00692EFB"/>
    <w:rsid w:val="00694B62"/>
    <w:rsid w:val="006963AD"/>
    <w:rsid w:val="006A4E75"/>
    <w:rsid w:val="006A6C12"/>
    <w:rsid w:val="006A6D5A"/>
    <w:rsid w:val="006A7159"/>
    <w:rsid w:val="006B0EA9"/>
    <w:rsid w:val="006B1402"/>
    <w:rsid w:val="006B1852"/>
    <w:rsid w:val="006B1EC4"/>
    <w:rsid w:val="006B1F74"/>
    <w:rsid w:val="006B31EB"/>
    <w:rsid w:val="006B34D1"/>
    <w:rsid w:val="006B4681"/>
    <w:rsid w:val="006B56F0"/>
    <w:rsid w:val="006B5E4A"/>
    <w:rsid w:val="006B78EE"/>
    <w:rsid w:val="006B7C03"/>
    <w:rsid w:val="006C19FC"/>
    <w:rsid w:val="006C2B2B"/>
    <w:rsid w:val="006C2B3D"/>
    <w:rsid w:val="006C7F8B"/>
    <w:rsid w:val="006D02C3"/>
    <w:rsid w:val="006D0700"/>
    <w:rsid w:val="006D3D58"/>
    <w:rsid w:val="006D3F20"/>
    <w:rsid w:val="006D494E"/>
    <w:rsid w:val="006D558D"/>
    <w:rsid w:val="006D6C08"/>
    <w:rsid w:val="006D6D54"/>
    <w:rsid w:val="006D7BA2"/>
    <w:rsid w:val="006E0D91"/>
    <w:rsid w:val="006E2EB5"/>
    <w:rsid w:val="006E5527"/>
    <w:rsid w:val="006E5AE2"/>
    <w:rsid w:val="006E648D"/>
    <w:rsid w:val="006E7EB7"/>
    <w:rsid w:val="006F0549"/>
    <w:rsid w:val="006F2184"/>
    <w:rsid w:val="006F3B4C"/>
    <w:rsid w:val="006F40AB"/>
    <w:rsid w:val="006F431F"/>
    <w:rsid w:val="006F464F"/>
    <w:rsid w:val="006F58F9"/>
    <w:rsid w:val="006F6B04"/>
    <w:rsid w:val="0070046B"/>
    <w:rsid w:val="00702A21"/>
    <w:rsid w:val="007047D6"/>
    <w:rsid w:val="007057C1"/>
    <w:rsid w:val="0070661F"/>
    <w:rsid w:val="00710286"/>
    <w:rsid w:val="00710833"/>
    <w:rsid w:val="00713A17"/>
    <w:rsid w:val="00715B90"/>
    <w:rsid w:val="007169A4"/>
    <w:rsid w:val="0071739C"/>
    <w:rsid w:val="00720602"/>
    <w:rsid w:val="007206F8"/>
    <w:rsid w:val="00722571"/>
    <w:rsid w:val="0072386A"/>
    <w:rsid w:val="0072386D"/>
    <w:rsid w:val="007250FC"/>
    <w:rsid w:val="00725F1F"/>
    <w:rsid w:val="00726B02"/>
    <w:rsid w:val="00730829"/>
    <w:rsid w:val="00730A66"/>
    <w:rsid w:val="007322DE"/>
    <w:rsid w:val="0073257C"/>
    <w:rsid w:val="007340EC"/>
    <w:rsid w:val="00734534"/>
    <w:rsid w:val="00734907"/>
    <w:rsid w:val="00737580"/>
    <w:rsid w:val="007415D9"/>
    <w:rsid w:val="00742EEC"/>
    <w:rsid w:val="00745702"/>
    <w:rsid w:val="00750EE1"/>
    <w:rsid w:val="007514A7"/>
    <w:rsid w:val="0075573F"/>
    <w:rsid w:val="00760446"/>
    <w:rsid w:val="00762DAD"/>
    <w:rsid w:val="00763142"/>
    <w:rsid w:val="0076557F"/>
    <w:rsid w:val="00767998"/>
    <w:rsid w:val="00767BA5"/>
    <w:rsid w:val="00772226"/>
    <w:rsid w:val="00773BFE"/>
    <w:rsid w:val="0077592F"/>
    <w:rsid w:val="0077794D"/>
    <w:rsid w:val="00777BA0"/>
    <w:rsid w:val="00777EB4"/>
    <w:rsid w:val="007816BC"/>
    <w:rsid w:val="0078404A"/>
    <w:rsid w:val="00784C40"/>
    <w:rsid w:val="00785A08"/>
    <w:rsid w:val="00786628"/>
    <w:rsid w:val="00792233"/>
    <w:rsid w:val="007924B7"/>
    <w:rsid w:val="007936BF"/>
    <w:rsid w:val="007936F0"/>
    <w:rsid w:val="00794ABC"/>
    <w:rsid w:val="00794BC8"/>
    <w:rsid w:val="00795AEE"/>
    <w:rsid w:val="00795AF7"/>
    <w:rsid w:val="007A2E93"/>
    <w:rsid w:val="007A3A74"/>
    <w:rsid w:val="007A4257"/>
    <w:rsid w:val="007B1C4B"/>
    <w:rsid w:val="007B297E"/>
    <w:rsid w:val="007B375C"/>
    <w:rsid w:val="007B5204"/>
    <w:rsid w:val="007B6F44"/>
    <w:rsid w:val="007B751A"/>
    <w:rsid w:val="007C1C3A"/>
    <w:rsid w:val="007C2AFB"/>
    <w:rsid w:val="007C4AE2"/>
    <w:rsid w:val="007C6E1C"/>
    <w:rsid w:val="007C6F07"/>
    <w:rsid w:val="007C7218"/>
    <w:rsid w:val="007C7466"/>
    <w:rsid w:val="007C7D2E"/>
    <w:rsid w:val="007D1A77"/>
    <w:rsid w:val="007D23D9"/>
    <w:rsid w:val="007D42BA"/>
    <w:rsid w:val="007D4571"/>
    <w:rsid w:val="007D5DAC"/>
    <w:rsid w:val="007D5F48"/>
    <w:rsid w:val="007D6BF7"/>
    <w:rsid w:val="007D7C6B"/>
    <w:rsid w:val="007E276E"/>
    <w:rsid w:val="007E6672"/>
    <w:rsid w:val="007E681F"/>
    <w:rsid w:val="007E79FD"/>
    <w:rsid w:val="007F05BB"/>
    <w:rsid w:val="007F0A75"/>
    <w:rsid w:val="007F1E9F"/>
    <w:rsid w:val="007F2BE1"/>
    <w:rsid w:val="007F50CC"/>
    <w:rsid w:val="007F5C08"/>
    <w:rsid w:val="00800B4F"/>
    <w:rsid w:val="008018FB"/>
    <w:rsid w:val="00801C93"/>
    <w:rsid w:val="00801F3A"/>
    <w:rsid w:val="008044D6"/>
    <w:rsid w:val="00805669"/>
    <w:rsid w:val="00806046"/>
    <w:rsid w:val="00807791"/>
    <w:rsid w:val="00810A2C"/>
    <w:rsid w:val="00810B89"/>
    <w:rsid w:val="00814568"/>
    <w:rsid w:val="0081470E"/>
    <w:rsid w:val="00815484"/>
    <w:rsid w:val="00816EDF"/>
    <w:rsid w:val="00820DAF"/>
    <w:rsid w:val="008217C2"/>
    <w:rsid w:val="008231FB"/>
    <w:rsid w:val="00823589"/>
    <w:rsid w:val="008239AC"/>
    <w:rsid w:val="00824CBD"/>
    <w:rsid w:val="00831955"/>
    <w:rsid w:val="00832841"/>
    <w:rsid w:val="00832E76"/>
    <w:rsid w:val="008339B8"/>
    <w:rsid w:val="00836956"/>
    <w:rsid w:val="00837864"/>
    <w:rsid w:val="00837DC7"/>
    <w:rsid w:val="00841732"/>
    <w:rsid w:val="00845305"/>
    <w:rsid w:val="00847E54"/>
    <w:rsid w:val="00850367"/>
    <w:rsid w:val="008503D9"/>
    <w:rsid w:val="0085117E"/>
    <w:rsid w:val="0085177B"/>
    <w:rsid w:val="00852E8E"/>
    <w:rsid w:val="008538EC"/>
    <w:rsid w:val="00854DE0"/>
    <w:rsid w:val="00857768"/>
    <w:rsid w:val="00860A33"/>
    <w:rsid w:val="00861208"/>
    <w:rsid w:val="008618E8"/>
    <w:rsid w:val="00863CBC"/>
    <w:rsid w:val="00866D2E"/>
    <w:rsid w:val="008713E6"/>
    <w:rsid w:val="00871C77"/>
    <w:rsid w:val="00872589"/>
    <w:rsid w:val="00873E04"/>
    <w:rsid w:val="008742E4"/>
    <w:rsid w:val="00876008"/>
    <w:rsid w:val="008763D0"/>
    <w:rsid w:val="008801D1"/>
    <w:rsid w:val="00881737"/>
    <w:rsid w:val="00884FAA"/>
    <w:rsid w:val="00887042"/>
    <w:rsid w:val="00890AC3"/>
    <w:rsid w:val="008914FD"/>
    <w:rsid w:val="00892252"/>
    <w:rsid w:val="008924FA"/>
    <w:rsid w:val="008929F6"/>
    <w:rsid w:val="00896141"/>
    <w:rsid w:val="00896613"/>
    <w:rsid w:val="00897593"/>
    <w:rsid w:val="008A03F5"/>
    <w:rsid w:val="008A1A5D"/>
    <w:rsid w:val="008A3195"/>
    <w:rsid w:val="008A36AE"/>
    <w:rsid w:val="008A4F56"/>
    <w:rsid w:val="008A538F"/>
    <w:rsid w:val="008A5E11"/>
    <w:rsid w:val="008A6123"/>
    <w:rsid w:val="008A77AB"/>
    <w:rsid w:val="008B2058"/>
    <w:rsid w:val="008B54D9"/>
    <w:rsid w:val="008B78EB"/>
    <w:rsid w:val="008C160B"/>
    <w:rsid w:val="008C572B"/>
    <w:rsid w:val="008D41E6"/>
    <w:rsid w:val="008D7292"/>
    <w:rsid w:val="008D761C"/>
    <w:rsid w:val="008E1797"/>
    <w:rsid w:val="008E597F"/>
    <w:rsid w:val="008F0FC2"/>
    <w:rsid w:val="008F4B5A"/>
    <w:rsid w:val="008F4F72"/>
    <w:rsid w:val="008F67DA"/>
    <w:rsid w:val="00900755"/>
    <w:rsid w:val="009015DF"/>
    <w:rsid w:val="00901E99"/>
    <w:rsid w:val="00902C04"/>
    <w:rsid w:val="009051FC"/>
    <w:rsid w:val="009054EF"/>
    <w:rsid w:val="0090608E"/>
    <w:rsid w:val="00907A41"/>
    <w:rsid w:val="00907FF7"/>
    <w:rsid w:val="009106F0"/>
    <w:rsid w:val="00910F43"/>
    <w:rsid w:val="009120D4"/>
    <w:rsid w:val="0091270C"/>
    <w:rsid w:val="009154B0"/>
    <w:rsid w:val="009161CF"/>
    <w:rsid w:val="00916BB6"/>
    <w:rsid w:val="00917CC5"/>
    <w:rsid w:val="00917DAB"/>
    <w:rsid w:val="00920AFC"/>
    <w:rsid w:val="009228B7"/>
    <w:rsid w:val="009234C7"/>
    <w:rsid w:val="00924521"/>
    <w:rsid w:val="00924A12"/>
    <w:rsid w:val="00925BEE"/>
    <w:rsid w:val="0092712F"/>
    <w:rsid w:val="00927920"/>
    <w:rsid w:val="009317BD"/>
    <w:rsid w:val="00936BD8"/>
    <w:rsid w:val="009378E8"/>
    <w:rsid w:val="00937B96"/>
    <w:rsid w:val="00940B1D"/>
    <w:rsid w:val="00940B3F"/>
    <w:rsid w:val="00940D24"/>
    <w:rsid w:val="00944308"/>
    <w:rsid w:val="009447A1"/>
    <w:rsid w:val="00944C3C"/>
    <w:rsid w:val="009451E5"/>
    <w:rsid w:val="00954863"/>
    <w:rsid w:val="00954A9D"/>
    <w:rsid w:val="00954BAA"/>
    <w:rsid w:val="009603F7"/>
    <w:rsid w:val="00971335"/>
    <w:rsid w:val="00971C04"/>
    <w:rsid w:val="009729EA"/>
    <w:rsid w:val="00972D41"/>
    <w:rsid w:val="0097499B"/>
    <w:rsid w:val="00974A74"/>
    <w:rsid w:val="009755D8"/>
    <w:rsid w:val="00980A2F"/>
    <w:rsid w:val="00983843"/>
    <w:rsid w:val="0098393C"/>
    <w:rsid w:val="009858DE"/>
    <w:rsid w:val="009870E7"/>
    <w:rsid w:val="009873E9"/>
    <w:rsid w:val="009917DF"/>
    <w:rsid w:val="009918B2"/>
    <w:rsid w:val="00991D4B"/>
    <w:rsid w:val="0099343E"/>
    <w:rsid w:val="00995202"/>
    <w:rsid w:val="00995793"/>
    <w:rsid w:val="00997162"/>
    <w:rsid w:val="009A0109"/>
    <w:rsid w:val="009A2D35"/>
    <w:rsid w:val="009A5192"/>
    <w:rsid w:val="009B281D"/>
    <w:rsid w:val="009B364F"/>
    <w:rsid w:val="009B3A98"/>
    <w:rsid w:val="009B4BC7"/>
    <w:rsid w:val="009B6EE6"/>
    <w:rsid w:val="009C097E"/>
    <w:rsid w:val="009C0E1F"/>
    <w:rsid w:val="009C0F34"/>
    <w:rsid w:val="009C1E9D"/>
    <w:rsid w:val="009C2E1D"/>
    <w:rsid w:val="009C3093"/>
    <w:rsid w:val="009C335D"/>
    <w:rsid w:val="009C3B82"/>
    <w:rsid w:val="009C3E34"/>
    <w:rsid w:val="009C7AA9"/>
    <w:rsid w:val="009D00F4"/>
    <w:rsid w:val="009D03A4"/>
    <w:rsid w:val="009D05FE"/>
    <w:rsid w:val="009D71B2"/>
    <w:rsid w:val="009D7457"/>
    <w:rsid w:val="009D7D83"/>
    <w:rsid w:val="009E13C5"/>
    <w:rsid w:val="009E2726"/>
    <w:rsid w:val="009E29AB"/>
    <w:rsid w:val="009E2C79"/>
    <w:rsid w:val="009E4249"/>
    <w:rsid w:val="009E57EB"/>
    <w:rsid w:val="009E595C"/>
    <w:rsid w:val="009E6794"/>
    <w:rsid w:val="009E7EFB"/>
    <w:rsid w:val="009F3040"/>
    <w:rsid w:val="009F46C8"/>
    <w:rsid w:val="009F77F7"/>
    <w:rsid w:val="009F781F"/>
    <w:rsid w:val="00A00E4E"/>
    <w:rsid w:val="00A00E87"/>
    <w:rsid w:val="00A01018"/>
    <w:rsid w:val="00A0177A"/>
    <w:rsid w:val="00A0321A"/>
    <w:rsid w:val="00A06C12"/>
    <w:rsid w:val="00A07DE5"/>
    <w:rsid w:val="00A13002"/>
    <w:rsid w:val="00A139AA"/>
    <w:rsid w:val="00A13ED1"/>
    <w:rsid w:val="00A15577"/>
    <w:rsid w:val="00A17FA1"/>
    <w:rsid w:val="00A209F9"/>
    <w:rsid w:val="00A22ABC"/>
    <w:rsid w:val="00A24A14"/>
    <w:rsid w:val="00A26CB9"/>
    <w:rsid w:val="00A323BC"/>
    <w:rsid w:val="00A368A8"/>
    <w:rsid w:val="00A37208"/>
    <w:rsid w:val="00A3750A"/>
    <w:rsid w:val="00A404BF"/>
    <w:rsid w:val="00A416AF"/>
    <w:rsid w:val="00A4226D"/>
    <w:rsid w:val="00A4410B"/>
    <w:rsid w:val="00A44DC3"/>
    <w:rsid w:val="00A461F4"/>
    <w:rsid w:val="00A468DB"/>
    <w:rsid w:val="00A50261"/>
    <w:rsid w:val="00A53725"/>
    <w:rsid w:val="00A54120"/>
    <w:rsid w:val="00A5500B"/>
    <w:rsid w:val="00A5768B"/>
    <w:rsid w:val="00A5775F"/>
    <w:rsid w:val="00A57AB0"/>
    <w:rsid w:val="00A57BB7"/>
    <w:rsid w:val="00A57EB6"/>
    <w:rsid w:val="00A57EFC"/>
    <w:rsid w:val="00A6122C"/>
    <w:rsid w:val="00A633CE"/>
    <w:rsid w:val="00A66873"/>
    <w:rsid w:val="00A71156"/>
    <w:rsid w:val="00A719A0"/>
    <w:rsid w:val="00A73BB5"/>
    <w:rsid w:val="00A7406C"/>
    <w:rsid w:val="00A74664"/>
    <w:rsid w:val="00A74F65"/>
    <w:rsid w:val="00A7575F"/>
    <w:rsid w:val="00A75E6F"/>
    <w:rsid w:val="00A77844"/>
    <w:rsid w:val="00A77DC1"/>
    <w:rsid w:val="00A80420"/>
    <w:rsid w:val="00A82B46"/>
    <w:rsid w:val="00A82F56"/>
    <w:rsid w:val="00A908A8"/>
    <w:rsid w:val="00A911FF"/>
    <w:rsid w:val="00A91BAF"/>
    <w:rsid w:val="00AA2E10"/>
    <w:rsid w:val="00AA439C"/>
    <w:rsid w:val="00AA439F"/>
    <w:rsid w:val="00AA79AA"/>
    <w:rsid w:val="00AA7E58"/>
    <w:rsid w:val="00AB10DE"/>
    <w:rsid w:val="00AB22F4"/>
    <w:rsid w:val="00AB31FB"/>
    <w:rsid w:val="00AB3A25"/>
    <w:rsid w:val="00AB61BA"/>
    <w:rsid w:val="00AB6EF0"/>
    <w:rsid w:val="00AB7B39"/>
    <w:rsid w:val="00AC1C7F"/>
    <w:rsid w:val="00AC2083"/>
    <w:rsid w:val="00AC21FF"/>
    <w:rsid w:val="00AC283B"/>
    <w:rsid w:val="00AC4CE2"/>
    <w:rsid w:val="00AC54EC"/>
    <w:rsid w:val="00AC6FDC"/>
    <w:rsid w:val="00AD052D"/>
    <w:rsid w:val="00AD0E81"/>
    <w:rsid w:val="00AD347E"/>
    <w:rsid w:val="00AD568F"/>
    <w:rsid w:val="00AD69C4"/>
    <w:rsid w:val="00AD7ADF"/>
    <w:rsid w:val="00AE1EEE"/>
    <w:rsid w:val="00AE4E7C"/>
    <w:rsid w:val="00AE5BD2"/>
    <w:rsid w:val="00AE5EDE"/>
    <w:rsid w:val="00AE7112"/>
    <w:rsid w:val="00AE7260"/>
    <w:rsid w:val="00AE7726"/>
    <w:rsid w:val="00AF1B1E"/>
    <w:rsid w:val="00AF1C1B"/>
    <w:rsid w:val="00AF2001"/>
    <w:rsid w:val="00AF361D"/>
    <w:rsid w:val="00AF4B14"/>
    <w:rsid w:val="00AF4B37"/>
    <w:rsid w:val="00AF4C69"/>
    <w:rsid w:val="00AF570A"/>
    <w:rsid w:val="00AF7052"/>
    <w:rsid w:val="00B02217"/>
    <w:rsid w:val="00B03461"/>
    <w:rsid w:val="00B03B67"/>
    <w:rsid w:val="00B03F26"/>
    <w:rsid w:val="00B056CC"/>
    <w:rsid w:val="00B060F3"/>
    <w:rsid w:val="00B067A3"/>
    <w:rsid w:val="00B06CAB"/>
    <w:rsid w:val="00B073DA"/>
    <w:rsid w:val="00B1027C"/>
    <w:rsid w:val="00B10307"/>
    <w:rsid w:val="00B10357"/>
    <w:rsid w:val="00B10C76"/>
    <w:rsid w:val="00B1165E"/>
    <w:rsid w:val="00B167E1"/>
    <w:rsid w:val="00B16F13"/>
    <w:rsid w:val="00B21142"/>
    <w:rsid w:val="00B22765"/>
    <w:rsid w:val="00B2378D"/>
    <w:rsid w:val="00B242C0"/>
    <w:rsid w:val="00B24A13"/>
    <w:rsid w:val="00B2774B"/>
    <w:rsid w:val="00B30099"/>
    <w:rsid w:val="00B31B53"/>
    <w:rsid w:val="00B31C90"/>
    <w:rsid w:val="00B32846"/>
    <w:rsid w:val="00B3662A"/>
    <w:rsid w:val="00B36E0F"/>
    <w:rsid w:val="00B40DA2"/>
    <w:rsid w:val="00B414E8"/>
    <w:rsid w:val="00B426C0"/>
    <w:rsid w:val="00B42EEF"/>
    <w:rsid w:val="00B434A1"/>
    <w:rsid w:val="00B43D11"/>
    <w:rsid w:val="00B46643"/>
    <w:rsid w:val="00B46D24"/>
    <w:rsid w:val="00B4754D"/>
    <w:rsid w:val="00B47B1C"/>
    <w:rsid w:val="00B50435"/>
    <w:rsid w:val="00B525E1"/>
    <w:rsid w:val="00B5269D"/>
    <w:rsid w:val="00B52AEF"/>
    <w:rsid w:val="00B5378C"/>
    <w:rsid w:val="00B55972"/>
    <w:rsid w:val="00B5625D"/>
    <w:rsid w:val="00B57151"/>
    <w:rsid w:val="00B57310"/>
    <w:rsid w:val="00B57C9E"/>
    <w:rsid w:val="00B6026B"/>
    <w:rsid w:val="00B61D5F"/>
    <w:rsid w:val="00B6287C"/>
    <w:rsid w:val="00B62A1E"/>
    <w:rsid w:val="00B635EF"/>
    <w:rsid w:val="00B655A8"/>
    <w:rsid w:val="00B658C3"/>
    <w:rsid w:val="00B66EE1"/>
    <w:rsid w:val="00B67C70"/>
    <w:rsid w:val="00B71824"/>
    <w:rsid w:val="00B73D6B"/>
    <w:rsid w:val="00B743DA"/>
    <w:rsid w:val="00B75D67"/>
    <w:rsid w:val="00B762A8"/>
    <w:rsid w:val="00B80980"/>
    <w:rsid w:val="00B80EB6"/>
    <w:rsid w:val="00B81B2A"/>
    <w:rsid w:val="00B82685"/>
    <w:rsid w:val="00B83029"/>
    <w:rsid w:val="00B85006"/>
    <w:rsid w:val="00B855AA"/>
    <w:rsid w:val="00B876D3"/>
    <w:rsid w:val="00B904D5"/>
    <w:rsid w:val="00B904EA"/>
    <w:rsid w:val="00B91D45"/>
    <w:rsid w:val="00B92B91"/>
    <w:rsid w:val="00B9339D"/>
    <w:rsid w:val="00B958C4"/>
    <w:rsid w:val="00B96C3D"/>
    <w:rsid w:val="00BA02FC"/>
    <w:rsid w:val="00BA03D9"/>
    <w:rsid w:val="00BA32C5"/>
    <w:rsid w:val="00BA3712"/>
    <w:rsid w:val="00BA3771"/>
    <w:rsid w:val="00BA3A12"/>
    <w:rsid w:val="00BA4BAC"/>
    <w:rsid w:val="00BA6269"/>
    <w:rsid w:val="00BA7044"/>
    <w:rsid w:val="00BB2896"/>
    <w:rsid w:val="00BB33FE"/>
    <w:rsid w:val="00BB5646"/>
    <w:rsid w:val="00BB6A4B"/>
    <w:rsid w:val="00BC29E5"/>
    <w:rsid w:val="00BC32AB"/>
    <w:rsid w:val="00BC3BE4"/>
    <w:rsid w:val="00BC3E81"/>
    <w:rsid w:val="00BC5F07"/>
    <w:rsid w:val="00BD07B2"/>
    <w:rsid w:val="00BD0B41"/>
    <w:rsid w:val="00BD2900"/>
    <w:rsid w:val="00BD2F51"/>
    <w:rsid w:val="00BD397C"/>
    <w:rsid w:val="00BD4035"/>
    <w:rsid w:val="00BD413C"/>
    <w:rsid w:val="00BD4A03"/>
    <w:rsid w:val="00BD7AFD"/>
    <w:rsid w:val="00BD7B63"/>
    <w:rsid w:val="00BE008F"/>
    <w:rsid w:val="00BE088B"/>
    <w:rsid w:val="00BE1056"/>
    <w:rsid w:val="00BE2310"/>
    <w:rsid w:val="00BE2DCA"/>
    <w:rsid w:val="00BE324A"/>
    <w:rsid w:val="00BF2685"/>
    <w:rsid w:val="00BF3241"/>
    <w:rsid w:val="00BF3F87"/>
    <w:rsid w:val="00BF5569"/>
    <w:rsid w:val="00BF6BC4"/>
    <w:rsid w:val="00BF7539"/>
    <w:rsid w:val="00BF7AAD"/>
    <w:rsid w:val="00C02354"/>
    <w:rsid w:val="00C0274F"/>
    <w:rsid w:val="00C04E7D"/>
    <w:rsid w:val="00C06E60"/>
    <w:rsid w:val="00C10CD5"/>
    <w:rsid w:val="00C112DA"/>
    <w:rsid w:val="00C12107"/>
    <w:rsid w:val="00C1647A"/>
    <w:rsid w:val="00C169EE"/>
    <w:rsid w:val="00C1760E"/>
    <w:rsid w:val="00C21B93"/>
    <w:rsid w:val="00C21CB1"/>
    <w:rsid w:val="00C25B54"/>
    <w:rsid w:val="00C264B5"/>
    <w:rsid w:val="00C2657C"/>
    <w:rsid w:val="00C27663"/>
    <w:rsid w:val="00C27702"/>
    <w:rsid w:val="00C303F8"/>
    <w:rsid w:val="00C30509"/>
    <w:rsid w:val="00C30BB6"/>
    <w:rsid w:val="00C31885"/>
    <w:rsid w:val="00C320AA"/>
    <w:rsid w:val="00C3309E"/>
    <w:rsid w:val="00C35604"/>
    <w:rsid w:val="00C36DBC"/>
    <w:rsid w:val="00C373EE"/>
    <w:rsid w:val="00C377CE"/>
    <w:rsid w:val="00C420F6"/>
    <w:rsid w:val="00C42C92"/>
    <w:rsid w:val="00C447E4"/>
    <w:rsid w:val="00C45005"/>
    <w:rsid w:val="00C45611"/>
    <w:rsid w:val="00C459FD"/>
    <w:rsid w:val="00C470F2"/>
    <w:rsid w:val="00C508B2"/>
    <w:rsid w:val="00C50FBD"/>
    <w:rsid w:val="00C51017"/>
    <w:rsid w:val="00C54107"/>
    <w:rsid w:val="00C55179"/>
    <w:rsid w:val="00C55627"/>
    <w:rsid w:val="00C567C8"/>
    <w:rsid w:val="00C6099A"/>
    <w:rsid w:val="00C6189A"/>
    <w:rsid w:val="00C61C2B"/>
    <w:rsid w:val="00C62429"/>
    <w:rsid w:val="00C6351C"/>
    <w:rsid w:val="00C64A5F"/>
    <w:rsid w:val="00C64EC2"/>
    <w:rsid w:val="00C705EC"/>
    <w:rsid w:val="00C70BBA"/>
    <w:rsid w:val="00C72FD4"/>
    <w:rsid w:val="00C7462C"/>
    <w:rsid w:val="00C74BE0"/>
    <w:rsid w:val="00C763BF"/>
    <w:rsid w:val="00C8207F"/>
    <w:rsid w:val="00C82A04"/>
    <w:rsid w:val="00C83A09"/>
    <w:rsid w:val="00C8468E"/>
    <w:rsid w:val="00C850FF"/>
    <w:rsid w:val="00C8698F"/>
    <w:rsid w:val="00C871D0"/>
    <w:rsid w:val="00C87628"/>
    <w:rsid w:val="00C87CBA"/>
    <w:rsid w:val="00C91C30"/>
    <w:rsid w:val="00C93193"/>
    <w:rsid w:val="00C93E1D"/>
    <w:rsid w:val="00C97DDE"/>
    <w:rsid w:val="00C97E80"/>
    <w:rsid w:val="00CA1A85"/>
    <w:rsid w:val="00CA26BD"/>
    <w:rsid w:val="00CA4780"/>
    <w:rsid w:val="00CA5A9F"/>
    <w:rsid w:val="00CA5C12"/>
    <w:rsid w:val="00CA6EEA"/>
    <w:rsid w:val="00CA7251"/>
    <w:rsid w:val="00CB0251"/>
    <w:rsid w:val="00CB0296"/>
    <w:rsid w:val="00CB25BC"/>
    <w:rsid w:val="00CB3173"/>
    <w:rsid w:val="00CB349E"/>
    <w:rsid w:val="00CB3A54"/>
    <w:rsid w:val="00CB3D92"/>
    <w:rsid w:val="00CB41C8"/>
    <w:rsid w:val="00CB48BF"/>
    <w:rsid w:val="00CB7B28"/>
    <w:rsid w:val="00CC271A"/>
    <w:rsid w:val="00CC3F5C"/>
    <w:rsid w:val="00CC407B"/>
    <w:rsid w:val="00CC5C74"/>
    <w:rsid w:val="00CC6CFC"/>
    <w:rsid w:val="00CC6F71"/>
    <w:rsid w:val="00CC7129"/>
    <w:rsid w:val="00CC7DF1"/>
    <w:rsid w:val="00CD0543"/>
    <w:rsid w:val="00CD546C"/>
    <w:rsid w:val="00CD7C18"/>
    <w:rsid w:val="00CE24D4"/>
    <w:rsid w:val="00CE34CE"/>
    <w:rsid w:val="00CE4EF3"/>
    <w:rsid w:val="00CE5106"/>
    <w:rsid w:val="00CE602A"/>
    <w:rsid w:val="00CE6B38"/>
    <w:rsid w:val="00CE71C3"/>
    <w:rsid w:val="00CE75A3"/>
    <w:rsid w:val="00CF1111"/>
    <w:rsid w:val="00CF1B5E"/>
    <w:rsid w:val="00CF1C90"/>
    <w:rsid w:val="00CF223A"/>
    <w:rsid w:val="00CF514F"/>
    <w:rsid w:val="00CF53BC"/>
    <w:rsid w:val="00CF5563"/>
    <w:rsid w:val="00D00034"/>
    <w:rsid w:val="00D028B2"/>
    <w:rsid w:val="00D02B5C"/>
    <w:rsid w:val="00D03842"/>
    <w:rsid w:val="00D055BD"/>
    <w:rsid w:val="00D058E2"/>
    <w:rsid w:val="00D0686C"/>
    <w:rsid w:val="00D069C2"/>
    <w:rsid w:val="00D06B6C"/>
    <w:rsid w:val="00D0783F"/>
    <w:rsid w:val="00D1276A"/>
    <w:rsid w:val="00D17F0A"/>
    <w:rsid w:val="00D203CA"/>
    <w:rsid w:val="00D20F55"/>
    <w:rsid w:val="00D22C18"/>
    <w:rsid w:val="00D2424D"/>
    <w:rsid w:val="00D24856"/>
    <w:rsid w:val="00D248C0"/>
    <w:rsid w:val="00D24C75"/>
    <w:rsid w:val="00D25106"/>
    <w:rsid w:val="00D34D2F"/>
    <w:rsid w:val="00D361C4"/>
    <w:rsid w:val="00D3666F"/>
    <w:rsid w:val="00D36E3E"/>
    <w:rsid w:val="00D370B0"/>
    <w:rsid w:val="00D41860"/>
    <w:rsid w:val="00D429BA"/>
    <w:rsid w:val="00D44191"/>
    <w:rsid w:val="00D4421A"/>
    <w:rsid w:val="00D444C0"/>
    <w:rsid w:val="00D44583"/>
    <w:rsid w:val="00D4575D"/>
    <w:rsid w:val="00D46A9B"/>
    <w:rsid w:val="00D476C6"/>
    <w:rsid w:val="00D513CF"/>
    <w:rsid w:val="00D53000"/>
    <w:rsid w:val="00D5358E"/>
    <w:rsid w:val="00D55F94"/>
    <w:rsid w:val="00D56AE5"/>
    <w:rsid w:val="00D57E01"/>
    <w:rsid w:val="00D63633"/>
    <w:rsid w:val="00D65B6E"/>
    <w:rsid w:val="00D67CF5"/>
    <w:rsid w:val="00D70440"/>
    <w:rsid w:val="00D71613"/>
    <w:rsid w:val="00D71F4E"/>
    <w:rsid w:val="00D71F63"/>
    <w:rsid w:val="00D748F2"/>
    <w:rsid w:val="00D74B45"/>
    <w:rsid w:val="00D76C22"/>
    <w:rsid w:val="00D82DF3"/>
    <w:rsid w:val="00D82ED2"/>
    <w:rsid w:val="00D836C5"/>
    <w:rsid w:val="00D8374D"/>
    <w:rsid w:val="00D83BC8"/>
    <w:rsid w:val="00D86B6D"/>
    <w:rsid w:val="00D86C32"/>
    <w:rsid w:val="00D87173"/>
    <w:rsid w:val="00D90652"/>
    <w:rsid w:val="00D90831"/>
    <w:rsid w:val="00D911CB"/>
    <w:rsid w:val="00D914C1"/>
    <w:rsid w:val="00D920EB"/>
    <w:rsid w:val="00D928C0"/>
    <w:rsid w:val="00D92E87"/>
    <w:rsid w:val="00D93C03"/>
    <w:rsid w:val="00D93FE6"/>
    <w:rsid w:val="00D968F6"/>
    <w:rsid w:val="00DA00F7"/>
    <w:rsid w:val="00DA0125"/>
    <w:rsid w:val="00DA28CE"/>
    <w:rsid w:val="00DA330E"/>
    <w:rsid w:val="00DA504D"/>
    <w:rsid w:val="00DA5CFB"/>
    <w:rsid w:val="00DA697A"/>
    <w:rsid w:val="00DA7B9B"/>
    <w:rsid w:val="00DB0EA0"/>
    <w:rsid w:val="00DB1460"/>
    <w:rsid w:val="00DB146C"/>
    <w:rsid w:val="00DB3603"/>
    <w:rsid w:val="00DB3AB0"/>
    <w:rsid w:val="00DB57F0"/>
    <w:rsid w:val="00DB60AF"/>
    <w:rsid w:val="00DB6652"/>
    <w:rsid w:val="00DC1C36"/>
    <w:rsid w:val="00DC1DB8"/>
    <w:rsid w:val="00DC313C"/>
    <w:rsid w:val="00DC487E"/>
    <w:rsid w:val="00DC4CEB"/>
    <w:rsid w:val="00DC4D3A"/>
    <w:rsid w:val="00DC6138"/>
    <w:rsid w:val="00DC70A4"/>
    <w:rsid w:val="00DD09D0"/>
    <w:rsid w:val="00DD0F89"/>
    <w:rsid w:val="00DD1FAF"/>
    <w:rsid w:val="00DD2C60"/>
    <w:rsid w:val="00DD3202"/>
    <w:rsid w:val="00DD3F68"/>
    <w:rsid w:val="00DD401E"/>
    <w:rsid w:val="00DD4AD0"/>
    <w:rsid w:val="00DD6306"/>
    <w:rsid w:val="00DD7517"/>
    <w:rsid w:val="00DE1571"/>
    <w:rsid w:val="00DE2D79"/>
    <w:rsid w:val="00DE411C"/>
    <w:rsid w:val="00DE49FC"/>
    <w:rsid w:val="00DE5792"/>
    <w:rsid w:val="00DE6137"/>
    <w:rsid w:val="00DE689F"/>
    <w:rsid w:val="00DE7D6A"/>
    <w:rsid w:val="00DF09B9"/>
    <w:rsid w:val="00DF5E30"/>
    <w:rsid w:val="00DF7ACA"/>
    <w:rsid w:val="00DF7EE9"/>
    <w:rsid w:val="00E01607"/>
    <w:rsid w:val="00E017A9"/>
    <w:rsid w:val="00E024B8"/>
    <w:rsid w:val="00E02D49"/>
    <w:rsid w:val="00E02DB5"/>
    <w:rsid w:val="00E04067"/>
    <w:rsid w:val="00E0487E"/>
    <w:rsid w:val="00E062EB"/>
    <w:rsid w:val="00E10E51"/>
    <w:rsid w:val="00E12398"/>
    <w:rsid w:val="00E13095"/>
    <w:rsid w:val="00E156ED"/>
    <w:rsid w:val="00E214EC"/>
    <w:rsid w:val="00E2243D"/>
    <w:rsid w:val="00E23633"/>
    <w:rsid w:val="00E23EAB"/>
    <w:rsid w:val="00E24CB4"/>
    <w:rsid w:val="00E27846"/>
    <w:rsid w:val="00E31293"/>
    <w:rsid w:val="00E326DB"/>
    <w:rsid w:val="00E3634E"/>
    <w:rsid w:val="00E36486"/>
    <w:rsid w:val="00E36943"/>
    <w:rsid w:val="00E369E0"/>
    <w:rsid w:val="00E4050D"/>
    <w:rsid w:val="00E40897"/>
    <w:rsid w:val="00E443A5"/>
    <w:rsid w:val="00E452A1"/>
    <w:rsid w:val="00E4599D"/>
    <w:rsid w:val="00E459A8"/>
    <w:rsid w:val="00E45B94"/>
    <w:rsid w:val="00E4672A"/>
    <w:rsid w:val="00E46AE0"/>
    <w:rsid w:val="00E47D96"/>
    <w:rsid w:val="00E5252C"/>
    <w:rsid w:val="00E5446B"/>
    <w:rsid w:val="00E54AAA"/>
    <w:rsid w:val="00E55C59"/>
    <w:rsid w:val="00E6177E"/>
    <w:rsid w:val="00E61A57"/>
    <w:rsid w:val="00E623A1"/>
    <w:rsid w:val="00E664FA"/>
    <w:rsid w:val="00E66584"/>
    <w:rsid w:val="00E702E0"/>
    <w:rsid w:val="00E733B4"/>
    <w:rsid w:val="00E75827"/>
    <w:rsid w:val="00E76F8E"/>
    <w:rsid w:val="00E77145"/>
    <w:rsid w:val="00E81E17"/>
    <w:rsid w:val="00E83012"/>
    <w:rsid w:val="00E85B04"/>
    <w:rsid w:val="00E86EE9"/>
    <w:rsid w:val="00E90679"/>
    <w:rsid w:val="00E90A30"/>
    <w:rsid w:val="00E9409D"/>
    <w:rsid w:val="00E9489E"/>
    <w:rsid w:val="00E9490C"/>
    <w:rsid w:val="00E9628A"/>
    <w:rsid w:val="00E96304"/>
    <w:rsid w:val="00E97983"/>
    <w:rsid w:val="00EA0C29"/>
    <w:rsid w:val="00EA3C00"/>
    <w:rsid w:val="00EA7F42"/>
    <w:rsid w:val="00EB0C81"/>
    <w:rsid w:val="00EB3FC1"/>
    <w:rsid w:val="00EB4E22"/>
    <w:rsid w:val="00EB5159"/>
    <w:rsid w:val="00EB582A"/>
    <w:rsid w:val="00EB5A20"/>
    <w:rsid w:val="00EB69A4"/>
    <w:rsid w:val="00EC1964"/>
    <w:rsid w:val="00EC1D41"/>
    <w:rsid w:val="00EC4281"/>
    <w:rsid w:val="00EC4A88"/>
    <w:rsid w:val="00EC5C4D"/>
    <w:rsid w:val="00EC6E8D"/>
    <w:rsid w:val="00ED01D3"/>
    <w:rsid w:val="00ED0203"/>
    <w:rsid w:val="00ED1AF2"/>
    <w:rsid w:val="00ED795A"/>
    <w:rsid w:val="00ED7FC7"/>
    <w:rsid w:val="00EE0924"/>
    <w:rsid w:val="00EE304C"/>
    <w:rsid w:val="00EE30A2"/>
    <w:rsid w:val="00EE4C42"/>
    <w:rsid w:val="00EE622B"/>
    <w:rsid w:val="00EE6861"/>
    <w:rsid w:val="00EE6BF1"/>
    <w:rsid w:val="00EE700F"/>
    <w:rsid w:val="00EE74A0"/>
    <w:rsid w:val="00EF056B"/>
    <w:rsid w:val="00EF1288"/>
    <w:rsid w:val="00EF25FC"/>
    <w:rsid w:val="00EF32A9"/>
    <w:rsid w:val="00EF68C3"/>
    <w:rsid w:val="00EF6C21"/>
    <w:rsid w:val="00EF6EE2"/>
    <w:rsid w:val="00EF78CC"/>
    <w:rsid w:val="00F0107E"/>
    <w:rsid w:val="00F032A7"/>
    <w:rsid w:val="00F045D4"/>
    <w:rsid w:val="00F051F7"/>
    <w:rsid w:val="00F0542A"/>
    <w:rsid w:val="00F054D0"/>
    <w:rsid w:val="00F06CCE"/>
    <w:rsid w:val="00F06E5A"/>
    <w:rsid w:val="00F07526"/>
    <w:rsid w:val="00F07AC8"/>
    <w:rsid w:val="00F10D09"/>
    <w:rsid w:val="00F14356"/>
    <w:rsid w:val="00F158AF"/>
    <w:rsid w:val="00F15A98"/>
    <w:rsid w:val="00F17A6B"/>
    <w:rsid w:val="00F208DB"/>
    <w:rsid w:val="00F2367B"/>
    <w:rsid w:val="00F2414F"/>
    <w:rsid w:val="00F25127"/>
    <w:rsid w:val="00F25F7F"/>
    <w:rsid w:val="00F26E88"/>
    <w:rsid w:val="00F30B61"/>
    <w:rsid w:val="00F32B8B"/>
    <w:rsid w:val="00F33A94"/>
    <w:rsid w:val="00F3422D"/>
    <w:rsid w:val="00F34E20"/>
    <w:rsid w:val="00F355A5"/>
    <w:rsid w:val="00F3574D"/>
    <w:rsid w:val="00F40CD5"/>
    <w:rsid w:val="00F41D2B"/>
    <w:rsid w:val="00F4240E"/>
    <w:rsid w:val="00F424CB"/>
    <w:rsid w:val="00F42C1F"/>
    <w:rsid w:val="00F42E74"/>
    <w:rsid w:val="00F43E82"/>
    <w:rsid w:val="00F43EA8"/>
    <w:rsid w:val="00F44639"/>
    <w:rsid w:val="00F4519D"/>
    <w:rsid w:val="00F45888"/>
    <w:rsid w:val="00F45C2B"/>
    <w:rsid w:val="00F46E9D"/>
    <w:rsid w:val="00F47AE4"/>
    <w:rsid w:val="00F508A0"/>
    <w:rsid w:val="00F51215"/>
    <w:rsid w:val="00F51375"/>
    <w:rsid w:val="00F51E80"/>
    <w:rsid w:val="00F55865"/>
    <w:rsid w:val="00F55FEC"/>
    <w:rsid w:val="00F567FF"/>
    <w:rsid w:val="00F56AE3"/>
    <w:rsid w:val="00F56C21"/>
    <w:rsid w:val="00F64273"/>
    <w:rsid w:val="00F65A42"/>
    <w:rsid w:val="00F65EF7"/>
    <w:rsid w:val="00F6616E"/>
    <w:rsid w:val="00F67C85"/>
    <w:rsid w:val="00F708EE"/>
    <w:rsid w:val="00F713F7"/>
    <w:rsid w:val="00F7197E"/>
    <w:rsid w:val="00F7226B"/>
    <w:rsid w:val="00F722BB"/>
    <w:rsid w:val="00F72946"/>
    <w:rsid w:val="00F73857"/>
    <w:rsid w:val="00F74007"/>
    <w:rsid w:val="00F74E3B"/>
    <w:rsid w:val="00F761C5"/>
    <w:rsid w:val="00F77666"/>
    <w:rsid w:val="00F81148"/>
    <w:rsid w:val="00F820CF"/>
    <w:rsid w:val="00F8254B"/>
    <w:rsid w:val="00F8293F"/>
    <w:rsid w:val="00F84AE9"/>
    <w:rsid w:val="00F8539C"/>
    <w:rsid w:val="00F87EBD"/>
    <w:rsid w:val="00F87F70"/>
    <w:rsid w:val="00F92E62"/>
    <w:rsid w:val="00F9306B"/>
    <w:rsid w:val="00F95690"/>
    <w:rsid w:val="00F956BA"/>
    <w:rsid w:val="00F95A19"/>
    <w:rsid w:val="00FA01B9"/>
    <w:rsid w:val="00FA37E8"/>
    <w:rsid w:val="00FB32C9"/>
    <w:rsid w:val="00FB6323"/>
    <w:rsid w:val="00FB64E7"/>
    <w:rsid w:val="00FC18EA"/>
    <w:rsid w:val="00FC339D"/>
    <w:rsid w:val="00FC398E"/>
    <w:rsid w:val="00FC41DE"/>
    <w:rsid w:val="00FC43AD"/>
    <w:rsid w:val="00FC5E23"/>
    <w:rsid w:val="00FC6AA2"/>
    <w:rsid w:val="00FC6BEC"/>
    <w:rsid w:val="00FD2EF7"/>
    <w:rsid w:val="00FD3A78"/>
    <w:rsid w:val="00FD445B"/>
    <w:rsid w:val="00FD4F8C"/>
    <w:rsid w:val="00FD66A6"/>
    <w:rsid w:val="00FD7C65"/>
    <w:rsid w:val="00FE156C"/>
    <w:rsid w:val="00FE1A15"/>
    <w:rsid w:val="00FE2B19"/>
    <w:rsid w:val="00FE49DA"/>
    <w:rsid w:val="00FE5F3F"/>
    <w:rsid w:val="00FF5608"/>
    <w:rsid w:val="00FF5644"/>
    <w:rsid w:val="00FF638A"/>
    <w:rsid w:val="06DF1122"/>
    <w:rsid w:val="09293187"/>
    <w:rsid w:val="11EC5875"/>
    <w:rsid w:val="1F5111A4"/>
    <w:rsid w:val="24967F5F"/>
    <w:rsid w:val="33171B59"/>
    <w:rsid w:val="427E1112"/>
    <w:rsid w:val="49CB3B7E"/>
    <w:rsid w:val="4DA05A2E"/>
    <w:rsid w:val="51F83758"/>
    <w:rsid w:val="63FF035D"/>
    <w:rsid w:val="641B2AD0"/>
    <w:rsid w:val="641E704E"/>
    <w:rsid w:val="642D7291"/>
    <w:rsid w:val="66AB4532"/>
    <w:rsid w:val="6B2E1693"/>
    <w:rsid w:val="6D9F2F04"/>
    <w:rsid w:val="6DE2733E"/>
    <w:rsid w:val="71B7463E"/>
    <w:rsid w:val="76E626BF"/>
    <w:rsid w:val="7820118F"/>
    <w:rsid w:val="78300CA6"/>
    <w:rsid w:val="79557BFC"/>
    <w:rsid w:val="798C568D"/>
    <w:rsid w:val="7BEF6D51"/>
    <w:rsid w:val="7CE8684C"/>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9" w:semiHidden="0" w:name="heading 2"/>
    <w:lsdException w:qFormat="1" w:uiPriority="0" w:semiHidden="0" w:name="heading 3"/>
    <w:lsdException w:qFormat="1" w:uiPriority="0" w:semiHidden="0" w:name="heading 4"/>
    <w:lsdException w:qFormat="1" w:uiPriority="0" w:semiHidden="0"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nhideWhenUsed="0" w:uiPriority="0" w:semiHidden="0"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uiPriority="1" w:name="Default Paragraph Font"/>
    <w:lsdException w:qFormat="1" w:uiPriority="99" w:semiHidden="0" w:name="Body Text"/>
    <w:lsdException w:qFormat="1" w:uiPriority="99"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nhideWhenUsed="0" w:uiPriority="0" w:semiHidden="0" w:name="Date"/>
    <w:lsdException w:qFormat="1" w:uiPriority="99" w:semiHidden="0" w:name="Body Text First Indent"/>
    <w:lsdException w:uiPriority="99" w:name="Body Text First Indent 2"/>
    <w:lsdException w:uiPriority="99" w:name="Note Heading"/>
    <w:lsdException w:uiPriority="99" w:name="Body Text 2"/>
    <w:lsdException w:uiPriority="99" w:name="Body Text 3"/>
    <w:lsdException w:qFormat="1" w:unhideWhenUsed="0" w:uiPriority="0" w:semiHidden="0"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qFormat="1" w:uiPriority="99" w:name="Document Map"/>
    <w:lsdException w:qFormat="1" w:unhideWhenUsed="0" w:uiPriority="0" w:semiHidden="0" w:name="Plain Text"/>
    <w:lsdException w:uiPriority="99" w:name="E-mail Signature"/>
    <w:lsdException w:qFormat="1"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qFormat="1" w:unhideWhenUsed="0" w:uiPriority="0" w:semiHidden="0"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99" w:semiHidden="0" w:name="Table Grid"/>
    <w:lsdException w:uiPriority="99" w:name="Table Theme"/>
    <w:lsdException w:qFormat="1" w:unhideWhenUsed="0" w:uiPriority="99" w:name="Placeholder Text"/>
    <w:lsdException w:qFormat="1" w:unhideWhenUsed="0" w:uiPriority="0"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pPr>
    <w:rPr>
      <w:rFonts w:ascii="Calibri" w:hAnsi="Calibri" w:eastAsia="宋体" w:cs="Times New Roman"/>
      <w:kern w:val="2"/>
      <w:sz w:val="24"/>
      <w:szCs w:val="22"/>
      <w:lang w:val="en-US" w:eastAsia="zh-CN" w:bidi="ar-SA"/>
    </w:rPr>
  </w:style>
  <w:style w:type="paragraph" w:styleId="2">
    <w:name w:val="heading 1"/>
    <w:basedOn w:val="1"/>
    <w:next w:val="1"/>
    <w:link w:val="32"/>
    <w:qFormat/>
    <w:uiPriority w:val="0"/>
    <w:pPr>
      <w:keepNext/>
      <w:keepLines/>
      <w:numPr>
        <w:ilvl w:val="0"/>
        <w:numId w:val="1"/>
      </w:numPr>
      <w:ind w:left="0" w:firstLine="0"/>
      <w:outlineLvl w:val="0"/>
    </w:pPr>
    <w:rPr>
      <w:b/>
      <w:bCs/>
      <w:kern w:val="44"/>
      <w:sz w:val="30"/>
      <w:szCs w:val="44"/>
    </w:rPr>
  </w:style>
  <w:style w:type="paragraph" w:styleId="3">
    <w:name w:val="heading 2"/>
    <w:basedOn w:val="1"/>
    <w:next w:val="1"/>
    <w:link w:val="34"/>
    <w:unhideWhenUsed/>
    <w:qFormat/>
    <w:uiPriority w:val="9"/>
    <w:pPr>
      <w:keepNext/>
      <w:keepLines/>
      <w:numPr>
        <w:ilvl w:val="1"/>
        <w:numId w:val="1"/>
      </w:numPr>
      <w:outlineLvl w:val="1"/>
    </w:pPr>
    <w:rPr>
      <w:rFonts w:ascii="Cambria" w:hAnsi="Cambria"/>
      <w:sz w:val="28"/>
      <w:szCs w:val="32"/>
    </w:rPr>
  </w:style>
  <w:style w:type="paragraph" w:styleId="4">
    <w:name w:val="heading 3"/>
    <w:basedOn w:val="1"/>
    <w:next w:val="1"/>
    <w:link w:val="35"/>
    <w:autoRedefine/>
    <w:unhideWhenUsed/>
    <w:qFormat/>
    <w:uiPriority w:val="0"/>
    <w:pPr>
      <w:keepNext/>
      <w:keepLines/>
      <w:ind w:firstLine="200" w:firstLineChars="200"/>
      <w:outlineLvl w:val="2"/>
    </w:pPr>
    <w:rPr>
      <w:rFonts w:ascii="Times New Roman" w:hAnsi="Times New Roman"/>
      <w:b/>
      <w:bCs/>
      <w:szCs w:val="24"/>
    </w:rPr>
  </w:style>
  <w:style w:type="paragraph" w:styleId="5">
    <w:name w:val="heading 4"/>
    <w:basedOn w:val="1"/>
    <w:next w:val="1"/>
    <w:link w:val="36"/>
    <w:unhideWhenUsed/>
    <w:qFormat/>
    <w:uiPriority w:val="0"/>
    <w:pPr>
      <w:keepNext/>
      <w:keepLines/>
      <w:numPr>
        <w:ilvl w:val="3"/>
        <w:numId w:val="1"/>
      </w:numPr>
      <w:spacing w:line="240" w:lineRule="auto"/>
      <w:ind w:left="0" w:firstLine="0"/>
      <w:outlineLvl w:val="3"/>
    </w:pPr>
    <w:rPr>
      <w:rFonts w:ascii="Cambria" w:hAnsi="Cambria"/>
      <w:b/>
      <w:bCs/>
      <w:sz w:val="28"/>
      <w:szCs w:val="28"/>
    </w:rPr>
  </w:style>
  <w:style w:type="paragraph" w:styleId="6">
    <w:name w:val="heading 5"/>
    <w:basedOn w:val="1"/>
    <w:next w:val="1"/>
    <w:link w:val="39"/>
    <w:unhideWhenUsed/>
    <w:qFormat/>
    <w:uiPriority w:val="0"/>
    <w:pPr>
      <w:keepNext/>
      <w:keepLines/>
      <w:numPr>
        <w:ilvl w:val="4"/>
        <w:numId w:val="1"/>
      </w:numPr>
      <w:spacing w:before="280" w:after="290" w:line="376" w:lineRule="auto"/>
      <w:outlineLvl w:val="4"/>
    </w:pPr>
    <w:rPr>
      <w:b/>
      <w:bCs/>
      <w:szCs w:val="28"/>
    </w:rPr>
  </w:style>
  <w:style w:type="paragraph" w:styleId="7">
    <w:name w:val="heading 6"/>
    <w:basedOn w:val="1"/>
    <w:next w:val="1"/>
    <w:link w:val="56"/>
    <w:semiHidden/>
    <w:unhideWhenUsed/>
    <w:qFormat/>
    <w:uiPriority w:val="9"/>
    <w:pPr>
      <w:keepNext/>
      <w:keepLines/>
      <w:numPr>
        <w:ilvl w:val="5"/>
        <w:numId w:val="1"/>
      </w:numPr>
      <w:spacing w:before="240" w:after="64" w:line="320" w:lineRule="auto"/>
      <w:outlineLvl w:val="5"/>
    </w:pPr>
    <w:rPr>
      <w:rFonts w:ascii="Cambria" w:hAnsi="Cambria"/>
      <w:b/>
      <w:bCs/>
      <w:szCs w:val="24"/>
    </w:rPr>
  </w:style>
  <w:style w:type="paragraph" w:styleId="8">
    <w:name w:val="heading 7"/>
    <w:basedOn w:val="1"/>
    <w:next w:val="1"/>
    <w:link w:val="57"/>
    <w:semiHidden/>
    <w:unhideWhenUsed/>
    <w:qFormat/>
    <w:uiPriority w:val="9"/>
    <w:pPr>
      <w:keepNext/>
      <w:keepLines/>
      <w:numPr>
        <w:ilvl w:val="6"/>
        <w:numId w:val="1"/>
      </w:numPr>
      <w:spacing w:before="240" w:after="64" w:line="320" w:lineRule="auto"/>
      <w:outlineLvl w:val="6"/>
    </w:pPr>
    <w:rPr>
      <w:b/>
      <w:bCs/>
      <w:szCs w:val="24"/>
    </w:rPr>
  </w:style>
  <w:style w:type="paragraph" w:styleId="9">
    <w:name w:val="heading 8"/>
    <w:basedOn w:val="1"/>
    <w:next w:val="1"/>
    <w:link w:val="58"/>
    <w:semiHidden/>
    <w:unhideWhenUsed/>
    <w:qFormat/>
    <w:uiPriority w:val="9"/>
    <w:pPr>
      <w:keepNext/>
      <w:keepLines/>
      <w:numPr>
        <w:ilvl w:val="7"/>
        <w:numId w:val="1"/>
      </w:numPr>
      <w:spacing w:before="240" w:after="64" w:line="320" w:lineRule="auto"/>
      <w:outlineLvl w:val="7"/>
    </w:pPr>
    <w:rPr>
      <w:rFonts w:ascii="Cambria" w:hAnsi="Cambria"/>
      <w:szCs w:val="24"/>
    </w:rPr>
  </w:style>
  <w:style w:type="paragraph" w:styleId="10">
    <w:name w:val="heading 9"/>
    <w:basedOn w:val="1"/>
    <w:next w:val="1"/>
    <w:link w:val="59"/>
    <w:semiHidden/>
    <w:unhideWhenUsed/>
    <w:qFormat/>
    <w:uiPriority w:val="9"/>
    <w:pPr>
      <w:keepNext/>
      <w:keepLines/>
      <w:numPr>
        <w:ilvl w:val="8"/>
        <w:numId w:val="1"/>
      </w:numPr>
      <w:spacing w:before="240" w:after="64" w:line="320" w:lineRule="auto"/>
      <w:outlineLvl w:val="8"/>
    </w:pPr>
    <w:rPr>
      <w:rFonts w:ascii="Cambria" w:hAnsi="Cambria"/>
      <w:sz w:val="21"/>
      <w:szCs w:val="21"/>
    </w:rPr>
  </w:style>
  <w:style w:type="character" w:default="1" w:styleId="28">
    <w:name w:val="Default Paragraph Font"/>
    <w:semiHidden/>
    <w:unhideWhenUsed/>
    <w:uiPriority w:val="1"/>
  </w:style>
  <w:style w:type="table" w:default="1" w:styleId="26">
    <w:name w:val="Normal Table"/>
    <w:semiHidden/>
    <w:unhideWhenUsed/>
    <w:uiPriority w:val="99"/>
    <w:tblPr>
      <w:tblCellMar>
        <w:top w:w="0" w:type="dxa"/>
        <w:left w:w="108" w:type="dxa"/>
        <w:bottom w:w="0" w:type="dxa"/>
        <w:right w:w="108" w:type="dxa"/>
      </w:tblCellMar>
    </w:tblPr>
  </w:style>
  <w:style w:type="paragraph" w:styleId="11">
    <w:name w:val="Document Map"/>
    <w:basedOn w:val="1"/>
    <w:link w:val="33"/>
    <w:semiHidden/>
    <w:unhideWhenUsed/>
    <w:qFormat/>
    <w:uiPriority w:val="99"/>
    <w:rPr>
      <w:rFonts w:ascii="宋体"/>
      <w:sz w:val="18"/>
      <w:szCs w:val="18"/>
    </w:rPr>
  </w:style>
  <w:style w:type="paragraph" w:styleId="12">
    <w:name w:val="annotation text"/>
    <w:basedOn w:val="1"/>
    <w:link w:val="67"/>
    <w:qFormat/>
    <w:uiPriority w:val="0"/>
    <w:pPr>
      <w:spacing w:line="240" w:lineRule="auto"/>
    </w:pPr>
    <w:rPr>
      <w:kern w:val="0"/>
      <w:sz w:val="20"/>
      <w:szCs w:val="24"/>
    </w:rPr>
  </w:style>
  <w:style w:type="paragraph" w:styleId="13">
    <w:name w:val="Body Text"/>
    <w:basedOn w:val="1"/>
    <w:link w:val="61"/>
    <w:unhideWhenUsed/>
    <w:qFormat/>
    <w:uiPriority w:val="99"/>
    <w:pPr>
      <w:spacing w:after="120"/>
    </w:pPr>
  </w:style>
  <w:style w:type="paragraph" w:styleId="14">
    <w:name w:val="Body Text Indent"/>
    <w:basedOn w:val="1"/>
    <w:link w:val="53"/>
    <w:unhideWhenUsed/>
    <w:qFormat/>
    <w:uiPriority w:val="99"/>
    <w:pPr>
      <w:spacing w:after="120"/>
      <w:ind w:left="420" w:leftChars="200"/>
    </w:pPr>
  </w:style>
  <w:style w:type="paragraph" w:styleId="15">
    <w:name w:val="Plain Text"/>
    <w:basedOn w:val="1"/>
    <w:link w:val="46"/>
    <w:qFormat/>
    <w:uiPriority w:val="0"/>
    <w:pPr>
      <w:ind w:firstLine="200" w:firstLineChars="200"/>
    </w:pPr>
    <w:rPr>
      <w:rFonts w:ascii="Times New Roman" w:hAnsi="Courier New"/>
      <w:szCs w:val="20"/>
    </w:rPr>
  </w:style>
  <w:style w:type="paragraph" w:styleId="16">
    <w:name w:val="Date"/>
    <w:basedOn w:val="1"/>
    <w:next w:val="1"/>
    <w:link w:val="41"/>
    <w:qFormat/>
    <w:uiPriority w:val="0"/>
    <w:pPr>
      <w:ind w:firstLine="420"/>
    </w:pPr>
    <w:rPr>
      <w:rFonts w:ascii="Times New Roman" w:hAnsi="Times New Roman"/>
      <w:kern w:val="0"/>
      <w:szCs w:val="20"/>
    </w:rPr>
  </w:style>
  <w:style w:type="paragraph" w:styleId="17">
    <w:name w:val="Body Text Indent 2"/>
    <w:basedOn w:val="1"/>
    <w:link w:val="52"/>
    <w:qFormat/>
    <w:uiPriority w:val="0"/>
    <w:pPr>
      <w:adjustRightInd w:val="0"/>
      <w:spacing w:after="120" w:line="480" w:lineRule="auto"/>
      <w:ind w:left="420" w:leftChars="200"/>
      <w:textAlignment w:val="baseline"/>
    </w:pPr>
    <w:rPr>
      <w:rFonts w:ascii="Times New Roman" w:hAnsi="Times New Roman"/>
      <w:kern w:val="0"/>
      <w:sz w:val="21"/>
      <w:szCs w:val="21"/>
    </w:rPr>
  </w:style>
  <w:style w:type="paragraph" w:styleId="18">
    <w:name w:val="Balloon Text"/>
    <w:basedOn w:val="1"/>
    <w:link w:val="38"/>
    <w:semiHidden/>
    <w:unhideWhenUsed/>
    <w:qFormat/>
    <w:uiPriority w:val="99"/>
    <w:pPr>
      <w:spacing w:line="240" w:lineRule="auto"/>
    </w:pPr>
    <w:rPr>
      <w:sz w:val="18"/>
      <w:szCs w:val="18"/>
    </w:rPr>
  </w:style>
  <w:style w:type="paragraph" w:styleId="19">
    <w:name w:val="footer"/>
    <w:basedOn w:val="1"/>
    <w:link w:val="31"/>
    <w:unhideWhenUsed/>
    <w:qFormat/>
    <w:uiPriority w:val="99"/>
    <w:pPr>
      <w:tabs>
        <w:tab w:val="center" w:pos="4153"/>
        <w:tab w:val="right" w:pos="8306"/>
      </w:tabs>
      <w:snapToGrid w:val="0"/>
    </w:pPr>
    <w:rPr>
      <w:sz w:val="18"/>
      <w:szCs w:val="18"/>
    </w:rPr>
  </w:style>
  <w:style w:type="paragraph" w:styleId="20">
    <w:name w:val="header"/>
    <w:basedOn w:val="1"/>
    <w:link w:val="30"/>
    <w:unhideWhenUsed/>
    <w:qFormat/>
    <w:uiPriority w:val="99"/>
    <w:pPr>
      <w:pBdr>
        <w:bottom w:val="single" w:color="auto" w:sz="6" w:space="1"/>
      </w:pBdr>
      <w:tabs>
        <w:tab w:val="center" w:pos="4153"/>
        <w:tab w:val="right" w:pos="8306"/>
      </w:tabs>
      <w:snapToGrid w:val="0"/>
      <w:jc w:val="center"/>
    </w:pPr>
    <w:rPr>
      <w:sz w:val="18"/>
      <w:szCs w:val="18"/>
    </w:rPr>
  </w:style>
  <w:style w:type="paragraph" w:styleId="21">
    <w:name w:val="Subtitle"/>
    <w:basedOn w:val="1"/>
    <w:next w:val="1"/>
    <w:link w:val="87"/>
    <w:qFormat/>
    <w:uiPriority w:val="11"/>
    <w:pPr>
      <w:adjustRightInd w:val="0"/>
      <w:snapToGrid w:val="0"/>
      <w:jc w:val="center"/>
    </w:pPr>
    <w:rPr>
      <w:rFonts w:ascii="Times New Roman" w:hAnsi="Times New Roman"/>
      <w:b/>
      <w:bCs/>
      <w:kern w:val="28"/>
      <w:sz w:val="21"/>
      <w:szCs w:val="32"/>
    </w:rPr>
  </w:style>
  <w:style w:type="paragraph" w:styleId="22">
    <w:name w:val="HTML Preformatted"/>
    <w:basedOn w:val="1"/>
    <w:link w:val="85"/>
    <w:qFormat/>
    <w:uiPriority w:val="0"/>
    <w:pPr>
      <w:widowControl/>
      <w:numPr>
        <w:ilvl w:val="0"/>
        <w:numId w:val="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200" w:firstLineChars="200"/>
    </w:pPr>
    <w:rPr>
      <w:rFonts w:ascii="Arial" w:hAnsi="Arial"/>
      <w:kern w:val="0"/>
      <w:szCs w:val="24"/>
    </w:rPr>
  </w:style>
  <w:style w:type="paragraph" w:styleId="23">
    <w:name w:val="Normal (Web)"/>
    <w:basedOn w:val="1"/>
    <w:unhideWhenUsed/>
    <w:qFormat/>
    <w:uiPriority w:val="0"/>
    <w:pPr>
      <w:widowControl/>
      <w:spacing w:before="100" w:beforeAutospacing="1" w:after="100" w:afterAutospacing="1" w:line="240" w:lineRule="auto"/>
    </w:pPr>
    <w:rPr>
      <w:rFonts w:ascii="宋体" w:hAnsi="宋体" w:cs="宋体"/>
      <w:kern w:val="0"/>
      <w:szCs w:val="24"/>
    </w:rPr>
  </w:style>
  <w:style w:type="paragraph" w:styleId="24">
    <w:name w:val="Title"/>
    <w:basedOn w:val="1"/>
    <w:next w:val="1"/>
    <w:link w:val="54"/>
    <w:qFormat/>
    <w:uiPriority w:val="0"/>
    <w:pPr>
      <w:outlineLvl w:val="4"/>
    </w:pPr>
    <w:rPr>
      <w:rFonts w:ascii="Cambria" w:hAnsi="Cambria"/>
      <w:b/>
      <w:bCs/>
      <w:szCs w:val="32"/>
    </w:rPr>
  </w:style>
  <w:style w:type="paragraph" w:styleId="25">
    <w:name w:val="Body Text First Indent"/>
    <w:basedOn w:val="13"/>
    <w:link w:val="64"/>
    <w:unhideWhenUsed/>
    <w:qFormat/>
    <w:uiPriority w:val="99"/>
    <w:pPr>
      <w:ind w:firstLine="420" w:firstLineChars="100"/>
    </w:pPr>
  </w:style>
  <w:style w:type="table" w:styleId="27">
    <w:name w:val="Table Grid"/>
    <w:basedOn w:val="26"/>
    <w:qFormat/>
    <w:uiPriority w:val="99"/>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character" w:styleId="29">
    <w:name w:val="Strong"/>
    <w:qFormat/>
    <w:uiPriority w:val="22"/>
    <w:rPr>
      <w:b/>
      <w:bCs/>
    </w:rPr>
  </w:style>
  <w:style w:type="character" w:customStyle="1" w:styleId="30">
    <w:name w:val="页眉 字符"/>
    <w:basedOn w:val="28"/>
    <w:link w:val="20"/>
    <w:qFormat/>
    <w:uiPriority w:val="99"/>
    <w:rPr>
      <w:sz w:val="18"/>
      <w:szCs w:val="18"/>
    </w:rPr>
  </w:style>
  <w:style w:type="character" w:customStyle="1" w:styleId="31">
    <w:name w:val="页脚 字符"/>
    <w:basedOn w:val="28"/>
    <w:link w:val="19"/>
    <w:qFormat/>
    <w:uiPriority w:val="99"/>
    <w:rPr>
      <w:sz w:val="18"/>
      <w:szCs w:val="18"/>
    </w:rPr>
  </w:style>
  <w:style w:type="character" w:customStyle="1" w:styleId="32">
    <w:name w:val="标题 1 字符"/>
    <w:basedOn w:val="28"/>
    <w:link w:val="2"/>
    <w:qFormat/>
    <w:uiPriority w:val="0"/>
    <w:rPr>
      <w:b/>
      <w:bCs/>
      <w:kern w:val="44"/>
      <w:sz w:val="30"/>
      <w:szCs w:val="44"/>
    </w:rPr>
  </w:style>
  <w:style w:type="character" w:customStyle="1" w:styleId="33">
    <w:name w:val="文档结构图 字符"/>
    <w:basedOn w:val="28"/>
    <w:link w:val="11"/>
    <w:semiHidden/>
    <w:qFormat/>
    <w:uiPriority w:val="99"/>
    <w:rPr>
      <w:rFonts w:ascii="宋体" w:eastAsia="宋体"/>
      <w:sz w:val="18"/>
      <w:szCs w:val="18"/>
    </w:rPr>
  </w:style>
  <w:style w:type="character" w:customStyle="1" w:styleId="34">
    <w:name w:val="标题 2 字符"/>
    <w:basedOn w:val="28"/>
    <w:link w:val="3"/>
    <w:qFormat/>
    <w:uiPriority w:val="9"/>
    <w:rPr>
      <w:rFonts w:ascii="Cambria" w:hAnsi="Cambria"/>
      <w:b/>
      <w:bCs/>
      <w:kern w:val="2"/>
      <w:sz w:val="28"/>
      <w:szCs w:val="32"/>
    </w:rPr>
  </w:style>
  <w:style w:type="character" w:customStyle="1" w:styleId="35">
    <w:name w:val="标题 3 字符"/>
    <w:basedOn w:val="28"/>
    <w:link w:val="4"/>
    <w:qFormat/>
    <w:uiPriority w:val="0"/>
    <w:rPr>
      <w:rFonts w:ascii="Times New Roman" w:hAnsi="Times New Roman"/>
      <w:b/>
      <w:bCs/>
      <w:kern w:val="2"/>
      <w:sz w:val="24"/>
      <w:szCs w:val="24"/>
    </w:rPr>
  </w:style>
  <w:style w:type="character" w:customStyle="1" w:styleId="36">
    <w:name w:val="标题 4 字符"/>
    <w:basedOn w:val="28"/>
    <w:link w:val="5"/>
    <w:qFormat/>
    <w:uiPriority w:val="0"/>
    <w:rPr>
      <w:rFonts w:ascii="Cambria" w:hAnsi="Cambria"/>
      <w:b/>
      <w:bCs/>
      <w:kern w:val="2"/>
      <w:sz w:val="28"/>
      <w:szCs w:val="28"/>
    </w:rPr>
  </w:style>
  <w:style w:type="paragraph" w:styleId="37">
    <w:name w:val="No Spacing"/>
    <w:link w:val="55"/>
    <w:qFormat/>
    <w:uiPriority w:val="0"/>
    <w:pPr>
      <w:widowControl w:val="0"/>
      <w:adjustRightInd w:val="0"/>
      <w:snapToGrid w:val="0"/>
      <w:jc w:val="center"/>
    </w:pPr>
    <w:rPr>
      <w:rFonts w:ascii="Calibri" w:hAnsi="Calibri" w:eastAsia="宋体" w:cs="Times New Roman"/>
      <w:b/>
      <w:kern w:val="2"/>
      <w:sz w:val="21"/>
      <w:szCs w:val="22"/>
      <w:lang w:val="en-US" w:eastAsia="zh-CN" w:bidi="ar-SA"/>
    </w:rPr>
  </w:style>
  <w:style w:type="character" w:customStyle="1" w:styleId="38">
    <w:name w:val="批注框文本 字符"/>
    <w:basedOn w:val="28"/>
    <w:link w:val="18"/>
    <w:semiHidden/>
    <w:qFormat/>
    <w:uiPriority w:val="99"/>
    <w:rPr>
      <w:sz w:val="18"/>
      <w:szCs w:val="18"/>
    </w:rPr>
  </w:style>
  <w:style w:type="character" w:customStyle="1" w:styleId="39">
    <w:name w:val="标题 5 字符"/>
    <w:basedOn w:val="28"/>
    <w:link w:val="6"/>
    <w:qFormat/>
    <w:uiPriority w:val="0"/>
    <w:rPr>
      <w:b/>
      <w:bCs/>
      <w:kern w:val="2"/>
      <w:sz w:val="24"/>
      <w:szCs w:val="28"/>
    </w:rPr>
  </w:style>
  <w:style w:type="paragraph" w:customStyle="1" w:styleId="40">
    <w:name w:val="表格（居中）"/>
    <w:basedOn w:val="1"/>
    <w:qFormat/>
    <w:uiPriority w:val="0"/>
    <w:pPr>
      <w:widowControl/>
      <w:spacing w:line="240" w:lineRule="auto"/>
      <w:jc w:val="center"/>
    </w:pPr>
    <w:rPr>
      <w:rFonts w:ascii="Times New Roman" w:hAnsi="Times New Roman"/>
      <w:kern w:val="0"/>
      <w:sz w:val="21"/>
      <w:szCs w:val="21"/>
    </w:rPr>
  </w:style>
  <w:style w:type="character" w:customStyle="1" w:styleId="41">
    <w:name w:val="日期 字符"/>
    <w:basedOn w:val="28"/>
    <w:link w:val="16"/>
    <w:qFormat/>
    <w:uiPriority w:val="0"/>
    <w:rPr>
      <w:rFonts w:ascii="Times New Roman" w:hAnsi="Times New Roman" w:eastAsia="宋体" w:cs="Times New Roman"/>
      <w:kern w:val="0"/>
      <w:sz w:val="24"/>
      <w:szCs w:val="20"/>
    </w:rPr>
  </w:style>
  <w:style w:type="character" w:customStyle="1" w:styleId="42">
    <w:name w:val="！正体"/>
    <w:qFormat/>
    <w:uiPriority w:val="0"/>
  </w:style>
  <w:style w:type="paragraph" w:customStyle="1" w:styleId="43">
    <w:name w:val="！正文无缩进"/>
    <w:qFormat/>
    <w:uiPriority w:val="0"/>
    <w:rPr>
      <w:rFonts w:ascii="Times New Roman" w:hAnsi="Times New Roman" w:eastAsia="宋体" w:cs="Times New Roman"/>
      <w:kern w:val="2"/>
      <w:sz w:val="21"/>
      <w:szCs w:val="24"/>
      <w:lang w:val="en-US" w:eastAsia="zh-CN" w:bidi="ar-SA"/>
    </w:rPr>
  </w:style>
  <w:style w:type="paragraph" w:customStyle="1" w:styleId="44">
    <w:name w:val="(1) 小括号数字序号"/>
    <w:basedOn w:val="16"/>
    <w:link w:val="45"/>
    <w:qFormat/>
    <w:uiPriority w:val="0"/>
    <w:pPr>
      <w:numPr>
        <w:ilvl w:val="0"/>
        <w:numId w:val="3"/>
      </w:numPr>
      <w:tabs>
        <w:tab w:val="left" w:pos="993"/>
      </w:tabs>
    </w:pPr>
    <w:rPr>
      <w:rFonts w:ascii="宋体" w:hAnsi="宋体"/>
      <w:szCs w:val="24"/>
    </w:rPr>
  </w:style>
  <w:style w:type="character" w:customStyle="1" w:styleId="45">
    <w:name w:val="(1) 小括号数字序号 Char"/>
    <w:link w:val="44"/>
    <w:qFormat/>
    <w:uiPriority w:val="0"/>
    <w:rPr>
      <w:rFonts w:ascii="宋体" w:hAnsi="宋体"/>
      <w:sz w:val="24"/>
      <w:szCs w:val="24"/>
    </w:rPr>
  </w:style>
  <w:style w:type="character" w:customStyle="1" w:styleId="46">
    <w:name w:val="纯文本 字符"/>
    <w:basedOn w:val="28"/>
    <w:link w:val="15"/>
    <w:qFormat/>
    <w:uiPriority w:val="0"/>
    <w:rPr>
      <w:rFonts w:ascii="Times New Roman" w:hAnsi="Courier New" w:eastAsia="宋体" w:cs="Times New Roman"/>
      <w:sz w:val="24"/>
      <w:szCs w:val="20"/>
    </w:rPr>
  </w:style>
  <w:style w:type="character" w:customStyle="1" w:styleId="47">
    <w:name w:val="A正文小四 Char"/>
    <w:link w:val="48"/>
    <w:qFormat/>
    <w:uiPriority w:val="0"/>
    <w:rPr>
      <w:rFonts w:ascii="Calibri" w:hAnsi="Calibri" w:eastAsia="宋体" w:cs="Times New Roman"/>
      <w:sz w:val="24"/>
      <w:szCs w:val="24"/>
    </w:rPr>
  </w:style>
  <w:style w:type="paragraph" w:customStyle="1" w:styleId="48">
    <w:name w:val="A正文小四"/>
    <w:basedOn w:val="1"/>
    <w:link w:val="47"/>
    <w:qFormat/>
    <w:uiPriority w:val="0"/>
    <w:pPr>
      <w:ind w:firstLine="200" w:firstLineChars="200"/>
    </w:pPr>
    <w:rPr>
      <w:kern w:val="0"/>
      <w:szCs w:val="24"/>
    </w:rPr>
  </w:style>
  <w:style w:type="paragraph" w:styleId="49">
    <w:name w:val="List Paragraph"/>
    <w:basedOn w:val="1"/>
    <w:link w:val="94"/>
    <w:qFormat/>
    <w:uiPriority w:val="34"/>
    <w:pPr>
      <w:ind w:firstLine="420" w:firstLineChars="200"/>
    </w:pPr>
  </w:style>
  <w:style w:type="paragraph" w:customStyle="1" w:styleId="50">
    <w:name w:val="样式 标题 3 + 段前: 0.5 行 段后: 0.2 行"/>
    <w:basedOn w:val="4"/>
    <w:autoRedefine/>
    <w:qFormat/>
    <w:uiPriority w:val="0"/>
    <w:pPr>
      <w:keepNext w:val="0"/>
      <w:keepLines w:val="0"/>
      <w:widowControl/>
      <w:spacing w:beforeLines="50" w:afterLines="20"/>
      <w:ind w:firstLine="480"/>
    </w:pPr>
    <w:rPr>
      <w:rFonts w:ascii="宋体" w:hAnsi="宋体" w:cs="宋体"/>
      <w:kern w:val="0"/>
    </w:rPr>
  </w:style>
  <w:style w:type="paragraph" w:customStyle="1" w:styleId="51">
    <w:name w:val="默认段落字体 Para Char"/>
    <w:basedOn w:val="1"/>
    <w:link w:val="77"/>
    <w:qFormat/>
    <w:uiPriority w:val="0"/>
    <w:pPr>
      <w:ind w:firstLine="200" w:firstLineChars="200"/>
    </w:pPr>
    <w:rPr>
      <w:rFonts w:ascii="宋体" w:hAnsi="宋体" w:cs="宋体"/>
      <w:szCs w:val="24"/>
    </w:rPr>
  </w:style>
  <w:style w:type="character" w:customStyle="1" w:styleId="52">
    <w:name w:val="正文文本缩进 2 字符"/>
    <w:basedOn w:val="28"/>
    <w:link w:val="17"/>
    <w:qFormat/>
    <w:uiPriority w:val="0"/>
    <w:rPr>
      <w:rFonts w:ascii="Times New Roman" w:hAnsi="Times New Roman" w:eastAsia="宋体" w:cs="Times New Roman"/>
      <w:kern w:val="0"/>
      <w:szCs w:val="21"/>
    </w:rPr>
  </w:style>
  <w:style w:type="character" w:customStyle="1" w:styleId="53">
    <w:name w:val="正文文本缩进 字符"/>
    <w:basedOn w:val="28"/>
    <w:link w:val="14"/>
    <w:qFormat/>
    <w:uiPriority w:val="99"/>
    <w:rPr>
      <w:sz w:val="24"/>
    </w:rPr>
  </w:style>
  <w:style w:type="character" w:customStyle="1" w:styleId="54">
    <w:name w:val="标题 字符"/>
    <w:basedOn w:val="28"/>
    <w:link w:val="24"/>
    <w:qFormat/>
    <w:uiPriority w:val="10"/>
    <w:rPr>
      <w:rFonts w:ascii="Cambria" w:hAnsi="Cambria" w:eastAsia="宋体" w:cs="Times New Roman"/>
      <w:b/>
      <w:bCs/>
      <w:sz w:val="24"/>
      <w:szCs w:val="32"/>
    </w:rPr>
  </w:style>
  <w:style w:type="character" w:customStyle="1" w:styleId="55">
    <w:name w:val="无间隔 字符"/>
    <w:basedOn w:val="28"/>
    <w:link w:val="37"/>
    <w:qFormat/>
    <w:uiPriority w:val="0"/>
    <w:rPr>
      <w:b/>
      <w:kern w:val="2"/>
      <w:sz w:val="21"/>
      <w:szCs w:val="22"/>
      <w:lang w:val="en-US" w:eastAsia="zh-CN" w:bidi="ar-SA"/>
    </w:rPr>
  </w:style>
  <w:style w:type="character" w:customStyle="1" w:styleId="56">
    <w:name w:val="标题 6 字符"/>
    <w:basedOn w:val="28"/>
    <w:link w:val="7"/>
    <w:semiHidden/>
    <w:qFormat/>
    <w:uiPriority w:val="9"/>
    <w:rPr>
      <w:rFonts w:ascii="Cambria" w:hAnsi="Cambria"/>
      <w:b/>
      <w:bCs/>
      <w:kern w:val="2"/>
      <w:sz w:val="24"/>
      <w:szCs w:val="24"/>
    </w:rPr>
  </w:style>
  <w:style w:type="character" w:customStyle="1" w:styleId="57">
    <w:name w:val="标题 7 字符"/>
    <w:basedOn w:val="28"/>
    <w:link w:val="8"/>
    <w:semiHidden/>
    <w:qFormat/>
    <w:uiPriority w:val="9"/>
    <w:rPr>
      <w:b/>
      <w:bCs/>
      <w:kern w:val="2"/>
      <w:sz w:val="24"/>
      <w:szCs w:val="24"/>
    </w:rPr>
  </w:style>
  <w:style w:type="character" w:customStyle="1" w:styleId="58">
    <w:name w:val="标题 8 字符"/>
    <w:basedOn w:val="28"/>
    <w:link w:val="9"/>
    <w:semiHidden/>
    <w:qFormat/>
    <w:uiPriority w:val="9"/>
    <w:rPr>
      <w:rFonts w:ascii="Cambria" w:hAnsi="Cambria"/>
      <w:kern w:val="2"/>
      <w:sz w:val="24"/>
      <w:szCs w:val="24"/>
    </w:rPr>
  </w:style>
  <w:style w:type="character" w:customStyle="1" w:styleId="59">
    <w:name w:val="标题 9 字符"/>
    <w:basedOn w:val="28"/>
    <w:link w:val="10"/>
    <w:semiHidden/>
    <w:qFormat/>
    <w:uiPriority w:val="9"/>
    <w:rPr>
      <w:rFonts w:ascii="Cambria" w:hAnsi="Cambria"/>
      <w:kern w:val="2"/>
      <w:sz w:val="21"/>
      <w:szCs w:val="21"/>
    </w:rPr>
  </w:style>
  <w:style w:type="character" w:customStyle="1" w:styleId="60">
    <w:name w:val="日期 Char2"/>
    <w:qFormat/>
    <w:uiPriority w:val="0"/>
    <w:rPr>
      <w:rFonts w:ascii="宋体"/>
      <w:sz w:val="28"/>
    </w:rPr>
  </w:style>
  <w:style w:type="character" w:customStyle="1" w:styleId="61">
    <w:name w:val="正文文本 字符"/>
    <w:basedOn w:val="28"/>
    <w:link w:val="13"/>
    <w:qFormat/>
    <w:uiPriority w:val="99"/>
    <w:rPr>
      <w:sz w:val="24"/>
    </w:rPr>
  </w:style>
  <w:style w:type="paragraph" w:customStyle="1" w:styleId="62">
    <w:name w:val="zxf"/>
    <w:basedOn w:val="1"/>
    <w:qFormat/>
    <w:uiPriority w:val="0"/>
    <w:pPr>
      <w:adjustRightInd w:val="0"/>
      <w:ind w:firstLine="567"/>
      <w:textAlignment w:val="baseline"/>
    </w:pPr>
    <w:rPr>
      <w:rFonts w:ascii="宋体" w:hAnsi="宋体"/>
      <w:spacing w:val="5"/>
      <w:kern w:val="0"/>
      <w:szCs w:val="20"/>
    </w:rPr>
  </w:style>
  <w:style w:type="paragraph" w:customStyle="1" w:styleId="63">
    <w:name w:val="图表题注"/>
    <w:link w:val="76"/>
    <w:qFormat/>
    <w:uiPriority w:val="0"/>
    <w:pPr>
      <w:adjustRightInd w:val="0"/>
      <w:snapToGrid w:val="0"/>
      <w:spacing w:before="120" w:after="120"/>
      <w:ind w:firstLine="200" w:firstLineChars="200"/>
      <w:jc w:val="center"/>
    </w:pPr>
    <w:rPr>
      <w:rFonts w:ascii="Times New Roman" w:hAnsi="Times New Roman" w:eastAsia="宋体" w:cs="Times New Roman"/>
      <w:b/>
      <w:kern w:val="2"/>
      <w:sz w:val="21"/>
      <w:szCs w:val="24"/>
      <w:lang w:val="en-US" w:eastAsia="zh-CN" w:bidi="ar-SA"/>
    </w:rPr>
  </w:style>
  <w:style w:type="character" w:customStyle="1" w:styleId="64">
    <w:name w:val="正文文本首行缩进 字符"/>
    <w:basedOn w:val="61"/>
    <w:link w:val="25"/>
    <w:qFormat/>
    <w:uiPriority w:val="99"/>
    <w:rPr>
      <w:sz w:val="24"/>
    </w:rPr>
  </w:style>
  <w:style w:type="paragraph" w:customStyle="1" w:styleId="65">
    <w:name w:val="段"/>
    <w:link w:val="66"/>
    <w:qFormat/>
    <w:uiPriority w:val="0"/>
    <w:pPr>
      <w:tabs>
        <w:tab w:val="center" w:pos="4201"/>
        <w:tab w:val="right" w:leader="dot" w:pos="9298"/>
      </w:tabs>
      <w:autoSpaceDE w:val="0"/>
      <w:autoSpaceDN w:val="0"/>
      <w:ind w:firstLine="420" w:firstLineChars="200"/>
      <w:jc w:val="both"/>
    </w:pPr>
    <w:rPr>
      <w:rFonts w:ascii="宋体" w:hAnsi="Times New Roman" w:eastAsia="宋体" w:cs="Times New Roman"/>
      <w:sz w:val="21"/>
      <w:lang w:val="en-US" w:eastAsia="zh-CN" w:bidi="ar-SA"/>
    </w:rPr>
  </w:style>
  <w:style w:type="character" w:customStyle="1" w:styleId="66">
    <w:name w:val="段 Char"/>
    <w:basedOn w:val="28"/>
    <w:link w:val="65"/>
    <w:qFormat/>
    <w:uiPriority w:val="0"/>
    <w:rPr>
      <w:rFonts w:ascii="宋体" w:hAnsi="Times New Roman"/>
      <w:sz w:val="21"/>
      <w:lang w:val="en-US" w:eastAsia="zh-CN" w:bidi="ar-SA"/>
    </w:rPr>
  </w:style>
  <w:style w:type="character" w:customStyle="1" w:styleId="67">
    <w:name w:val="批注文字 字符"/>
    <w:link w:val="12"/>
    <w:qFormat/>
    <w:uiPriority w:val="0"/>
    <w:rPr>
      <w:szCs w:val="24"/>
    </w:rPr>
  </w:style>
  <w:style w:type="character" w:customStyle="1" w:styleId="68">
    <w:name w:val="批注文字 Char1"/>
    <w:basedOn w:val="28"/>
    <w:semiHidden/>
    <w:qFormat/>
    <w:uiPriority w:val="99"/>
    <w:rPr>
      <w:sz w:val="24"/>
    </w:rPr>
  </w:style>
  <w:style w:type="character" w:customStyle="1" w:styleId="69">
    <w:name w:val="页眉 Char2"/>
    <w:qFormat/>
    <w:uiPriority w:val="0"/>
    <w:rPr>
      <w:kern w:val="2"/>
      <w:sz w:val="18"/>
      <w:szCs w:val="18"/>
    </w:rPr>
  </w:style>
  <w:style w:type="character" w:customStyle="1" w:styleId="70">
    <w:name w:val="日期 Char3"/>
    <w:qFormat/>
    <w:uiPriority w:val="0"/>
    <w:rPr>
      <w:rFonts w:ascii="宋体"/>
      <w:sz w:val="28"/>
    </w:rPr>
  </w:style>
  <w:style w:type="character" w:styleId="71">
    <w:name w:val="Placeholder Text"/>
    <w:semiHidden/>
    <w:qFormat/>
    <w:uiPriority w:val="99"/>
    <w:rPr>
      <w:color w:val="808080"/>
    </w:rPr>
  </w:style>
  <w:style w:type="paragraph" w:customStyle="1" w:styleId="72">
    <w:name w:val="样式 华文新魏 初号 居中 行距: 多倍行距 1.15 字行"/>
    <w:basedOn w:val="1"/>
    <w:qFormat/>
    <w:uiPriority w:val="0"/>
    <w:pPr>
      <w:spacing w:line="276" w:lineRule="auto"/>
      <w:jc w:val="center"/>
    </w:pPr>
    <w:rPr>
      <w:rFonts w:ascii="华文新魏" w:hAnsi="宋体" w:cs="宋体"/>
      <w:w w:val="95"/>
      <w:sz w:val="84"/>
      <w:szCs w:val="20"/>
    </w:rPr>
  </w:style>
  <w:style w:type="character" w:customStyle="1" w:styleId="73">
    <w:name w:val="Char Char Char1"/>
    <w:qFormat/>
    <w:uiPriority w:val="0"/>
    <w:rPr>
      <w:kern w:val="2"/>
      <w:sz w:val="21"/>
      <w:szCs w:val="24"/>
      <w:lang w:val="en-US" w:eastAsia="zh-CN" w:bidi="ar-SA"/>
    </w:rPr>
  </w:style>
  <w:style w:type="paragraph" w:customStyle="1" w:styleId="74">
    <w:name w:val="正文2"/>
    <w:basedOn w:val="1"/>
    <w:qFormat/>
    <w:uiPriority w:val="0"/>
    <w:pPr>
      <w:adjustRightInd w:val="0"/>
      <w:spacing w:line="460" w:lineRule="exact"/>
      <w:jc w:val="both"/>
      <w:textAlignment w:val="baseline"/>
    </w:pPr>
    <w:rPr>
      <w:rFonts w:ascii="宋体" w:hAnsi="宋体"/>
      <w:kern w:val="0"/>
      <w:szCs w:val="20"/>
    </w:rPr>
  </w:style>
  <w:style w:type="paragraph" w:customStyle="1" w:styleId="75">
    <w:name w:val="Default"/>
    <w:qFormat/>
    <w:uiPriority w:val="0"/>
    <w:pPr>
      <w:widowControl w:val="0"/>
      <w:autoSpaceDE w:val="0"/>
      <w:autoSpaceDN w:val="0"/>
      <w:adjustRightInd w:val="0"/>
    </w:pPr>
    <w:rPr>
      <w:rFonts w:ascii="Times New Roman" w:hAnsi="Times New Roman" w:eastAsia="宋体" w:cs="Times New Roman"/>
      <w:color w:val="000000"/>
      <w:sz w:val="24"/>
      <w:szCs w:val="24"/>
      <w:lang w:val="en-US" w:eastAsia="zh-CN" w:bidi="ar-SA"/>
    </w:rPr>
  </w:style>
  <w:style w:type="character" w:customStyle="1" w:styleId="76">
    <w:name w:val="图表题注 Char"/>
    <w:link w:val="63"/>
    <w:qFormat/>
    <w:uiPriority w:val="0"/>
    <w:rPr>
      <w:rFonts w:ascii="Times New Roman" w:hAnsi="Times New Roman"/>
      <w:b/>
      <w:kern w:val="2"/>
      <w:sz w:val="21"/>
      <w:szCs w:val="24"/>
    </w:rPr>
  </w:style>
  <w:style w:type="character" w:customStyle="1" w:styleId="77">
    <w:name w:val="默认段落字体 Para Char Char"/>
    <w:link w:val="51"/>
    <w:qFormat/>
    <w:uiPriority w:val="0"/>
    <w:rPr>
      <w:rFonts w:ascii="宋体" w:hAnsi="宋体" w:cs="宋体"/>
      <w:kern w:val="2"/>
      <w:sz w:val="24"/>
      <w:szCs w:val="24"/>
    </w:rPr>
  </w:style>
  <w:style w:type="paragraph" w:customStyle="1" w:styleId="78">
    <w:name w:val="表2"/>
    <w:basedOn w:val="1"/>
    <w:link w:val="79"/>
    <w:qFormat/>
    <w:uiPriority w:val="0"/>
    <w:pPr>
      <w:numPr>
        <w:ilvl w:val="0"/>
        <w:numId w:val="4"/>
      </w:numPr>
      <w:spacing w:beforeLines="50" w:line="240" w:lineRule="auto"/>
      <w:jc w:val="center"/>
    </w:pPr>
    <w:rPr>
      <w:rFonts w:ascii="Times New Roman" w:hAnsi="宋体"/>
      <w:b/>
      <w:sz w:val="21"/>
      <w:szCs w:val="21"/>
    </w:rPr>
  </w:style>
  <w:style w:type="character" w:customStyle="1" w:styleId="79">
    <w:name w:val="表2 Char"/>
    <w:link w:val="78"/>
    <w:qFormat/>
    <w:uiPriority w:val="0"/>
    <w:rPr>
      <w:rFonts w:ascii="Times New Roman" w:hAnsi="宋体"/>
      <w:b/>
      <w:kern w:val="2"/>
      <w:sz w:val="21"/>
      <w:szCs w:val="21"/>
    </w:rPr>
  </w:style>
  <w:style w:type="paragraph" w:customStyle="1" w:styleId="80">
    <w:name w:val="表格图名"/>
    <w:basedOn w:val="1"/>
    <w:link w:val="81"/>
    <w:qFormat/>
    <w:uiPriority w:val="0"/>
    <w:pPr>
      <w:spacing w:line="240" w:lineRule="auto"/>
      <w:jc w:val="center"/>
    </w:pPr>
    <w:rPr>
      <w:rFonts w:ascii="Times New Roman" w:hAnsi="Times New Roman"/>
      <w:b/>
      <w:kern w:val="0"/>
      <w:sz w:val="21"/>
      <w:szCs w:val="21"/>
    </w:rPr>
  </w:style>
  <w:style w:type="character" w:customStyle="1" w:styleId="81">
    <w:name w:val="表格图名 Char"/>
    <w:basedOn w:val="28"/>
    <w:link w:val="80"/>
    <w:qFormat/>
    <w:uiPriority w:val="0"/>
    <w:rPr>
      <w:rFonts w:ascii="Times New Roman" w:hAnsi="Times New Roman"/>
      <w:b/>
      <w:sz w:val="21"/>
      <w:szCs w:val="21"/>
    </w:rPr>
  </w:style>
  <w:style w:type="paragraph" w:customStyle="1" w:styleId="82">
    <w:name w:val="正文加宽"/>
    <w:basedOn w:val="1"/>
    <w:next w:val="1"/>
    <w:link w:val="83"/>
    <w:qFormat/>
    <w:uiPriority w:val="0"/>
    <w:pPr>
      <w:ind w:firstLine="560" w:firstLineChars="200"/>
    </w:pPr>
    <w:rPr>
      <w:rFonts w:ascii="Times New Roman" w:hAnsi="Times New Roman"/>
      <w:spacing w:val="20"/>
      <w:szCs w:val="21"/>
    </w:rPr>
  </w:style>
  <w:style w:type="character" w:customStyle="1" w:styleId="83">
    <w:name w:val="正文加宽 Char"/>
    <w:basedOn w:val="28"/>
    <w:link w:val="82"/>
    <w:qFormat/>
    <w:uiPriority w:val="0"/>
    <w:rPr>
      <w:rFonts w:ascii="Times New Roman" w:hAnsi="Times New Roman"/>
      <w:spacing w:val="20"/>
      <w:kern w:val="2"/>
      <w:sz w:val="24"/>
      <w:szCs w:val="21"/>
    </w:rPr>
  </w:style>
  <w:style w:type="character" w:customStyle="1" w:styleId="84">
    <w:name w:val="纯文本 Char"/>
    <w:qFormat/>
    <w:uiPriority w:val="0"/>
    <w:rPr>
      <w:rFonts w:ascii="宋体" w:hAnsi="Courier New" w:cs="Courier New"/>
      <w:kern w:val="2"/>
      <w:sz w:val="21"/>
      <w:szCs w:val="21"/>
    </w:rPr>
  </w:style>
  <w:style w:type="character" w:customStyle="1" w:styleId="85">
    <w:name w:val="HTML 预设格式 字符"/>
    <w:basedOn w:val="28"/>
    <w:link w:val="22"/>
    <w:qFormat/>
    <w:uiPriority w:val="0"/>
    <w:rPr>
      <w:rFonts w:ascii="Arial" w:hAnsi="Arial"/>
      <w:sz w:val="24"/>
      <w:szCs w:val="24"/>
    </w:rPr>
  </w:style>
  <w:style w:type="character" w:customStyle="1" w:styleId="86">
    <w:name w:val="副标题 字符"/>
    <w:basedOn w:val="28"/>
    <w:qFormat/>
    <w:uiPriority w:val="11"/>
    <w:rPr>
      <w:rFonts w:asciiTheme="minorHAnsi" w:hAnsiTheme="minorHAnsi" w:eastAsiaTheme="minorEastAsia" w:cstheme="minorBidi"/>
      <w:b/>
      <w:bCs/>
      <w:kern w:val="28"/>
      <w:sz w:val="32"/>
      <w:szCs w:val="32"/>
    </w:rPr>
  </w:style>
  <w:style w:type="character" w:customStyle="1" w:styleId="87">
    <w:name w:val="副标题 字符1"/>
    <w:link w:val="21"/>
    <w:qFormat/>
    <w:uiPriority w:val="11"/>
    <w:rPr>
      <w:rFonts w:ascii="Times New Roman" w:hAnsi="Times New Roman"/>
      <w:b/>
      <w:bCs/>
      <w:kern w:val="28"/>
      <w:sz w:val="21"/>
      <w:szCs w:val="32"/>
    </w:rPr>
  </w:style>
  <w:style w:type="character" w:customStyle="1" w:styleId="88">
    <w:name w:val="正文1 Char"/>
    <w:link w:val="89"/>
    <w:qFormat/>
    <w:uiPriority w:val="0"/>
    <w:rPr>
      <w:rFonts w:ascii="Times New Roman" w:hAnsi="Times New Roman"/>
      <w:kern w:val="2"/>
      <w:sz w:val="24"/>
      <w:szCs w:val="28"/>
    </w:rPr>
  </w:style>
  <w:style w:type="paragraph" w:customStyle="1" w:styleId="89">
    <w:name w:val="正文1"/>
    <w:basedOn w:val="1"/>
    <w:link w:val="88"/>
    <w:qFormat/>
    <w:uiPriority w:val="0"/>
    <w:pPr>
      <w:snapToGrid w:val="0"/>
      <w:spacing w:line="240" w:lineRule="auto"/>
      <w:jc w:val="center"/>
    </w:pPr>
    <w:rPr>
      <w:rFonts w:ascii="Times New Roman" w:hAnsi="Times New Roman"/>
      <w:szCs w:val="28"/>
    </w:rPr>
  </w:style>
  <w:style w:type="character" w:customStyle="1" w:styleId="90">
    <w:name w:val="sh14"/>
    <w:basedOn w:val="28"/>
    <w:qFormat/>
    <w:uiPriority w:val="0"/>
  </w:style>
  <w:style w:type="character" w:customStyle="1" w:styleId="91">
    <w:name w:val="副标题 Char"/>
    <w:qFormat/>
    <w:uiPriority w:val="11"/>
    <w:rPr>
      <w:rFonts w:ascii="Times New Roman" w:hAnsi="Times New Roman"/>
      <w:b/>
      <w:bCs/>
      <w:kern w:val="28"/>
      <w:sz w:val="21"/>
      <w:szCs w:val="32"/>
    </w:rPr>
  </w:style>
  <w:style w:type="paragraph" w:customStyle="1" w:styleId="92">
    <w:name w:val="样式 宋体 黑色"/>
    <w:basedOn w:val="1"/>
    <w:qFormat/>
    <w:uiPriority w:val="0"/>
    <w:pPr>
      <w:ind w:firstLine="200" w:firstLineChars="200"/>
      <w:jc w:val="both"/>
    </w:pPr>
    <w:rPr>
      <w:rFonts w:ascii="宋体" w:hAnsi="宋体"/>
      <w:color w:val="000000"/>
      <w:szCs w:val="24"/>
    </w:rPr>
  </w:style>
  <w:style w:type="paragraph" w:customStyle="1" w:styleId="93">
    <w:name w:val="CM7"/>
    <w:basedOn w:val="75"/>
    <w:next w:val="75"/>
    <w:qFormat/>
    <w:uiPriority w:val="99"/>
    <w:pPr>
      <w:spacing w:line="460" w:lineRule="atLeast"/>
    </w:pPr>
    <w:rPr>
      <w:rFonts w:ascii="楷体" w:eastAsia="楷体" w:hAnsiTheme="minorHAnsi" w:cstheme="minorBidi"/>
      <w:color w:val="auto"/>
    </w:rPr>
  </w:style>
  <w:style w:type="character" w:customStyle="1" w:styleId="94">
    <w:name w:val="列表段落 字符"/>
    <w:link w:val="49"/>
    <w:qFormat/>
    <w:uiPriority w:val="99"/>
    <w:rPr>
      <w:kern w:val="2"/>
      <w:sz w:val="24"/>
      <w:szCs w:val="22"/>
    </w:rPr>
  </w:style>
  <w:style w:type="character" w:customStyle="1" w:styleId="95">
    <w:name w:val="列出段落 Char"/>
    <w:qFormat/>
    <w:uiPriority w:val="34"/>
    <w:rPr>
      <w:kern w:val="2"/>
      <w:sz w:val="24"/>
      <w:szCs w:val="24"/>
    </w:rPr>
  </w:style>
  <w:style w:type="paragraph" w:customStyle="1" w:styleId="96">
    <w:name w:val="样式 居中"/>
    <w:basedOn w:val="1"/>
    <w:qFormat/>
    <w:uiPriority w:val="0"/>
    <w:pPr>
      <w:spacing w:line="240" w:lineRule="auto"/>
      <w:jc w:val="center"/>
    </w:pPr>
    <w:rPr>
      <w:rFonts w:ascii="Times New Roman" w:hAnsi="Times New Roman" w:cs="宋体"/>
      <w:sz w:val="21"/>
      <w:szCs w:val="20"/>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theme" Target="theme/theme1.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1.xml"/><Relationship Id="rId4" Type="http://schemas.openxmlformats.org/officeDocument/2006/relationships/endnotes" Target="endnotes.xml"/><Relationship Id="rId30" Type="http://schemas.openxmlformats.org/officeDocument/2006/relationships/fontTable" Target="fontTable.xml"/><Relationship Id="rId3" Type="http://schemas.openxmlformats.org/officeDocument/2006/relationships/footnotes" Target="footnotes.xml"/><Relationship Id="rId29" Type="http://schemas.openxmlformats.org/officeDocument/2006/relationships/numbering" Target="numbering.xml"/><Relationship Id="rId28" Type="http://schemas.openxmlformats.org/officeDocument/2006/relationships/image" Target="media/image17.png"/><Relationship Id="rId27" Type="http://schemas.openxmlformats.org/officeDocument/2006/relationships/image" Target="media/image16.png"/><Relationship Id="rId26" Type="http://schemas.openxmlformats.org/officeDocument/2006/relationships/oleObject" Target="embeddings/oleObject4.bin"/><Relationship Id="rId25" Type="http://schemas.openxmlformats.org/officeDocument/2006/relationships/image" Target="media/image15.png"/><Relationship Id="rId24" Type="http://schemas.openxmlformats.org/officeDocument/2006/relationships/image" Target="media/image14.jpeg"/><Relationship Id="rId23" Type="http://schemas.openxmlformats.org/officeDocument/2006/relationships/image" Target="media/image13.jpeg"/><Relationship Id="rId22" Type="http://schemas.openxmlformats.org/officeDocument/2006/relationships/image" Target="media/image12.jpeg"/><Relationship Id="rId21" Type="http://schemas.openxmlformats.org/officeDocument/2006/relationships/image" Target="media/image11.jpeg"/><Relationship Id="rId20" Type="http://schemas.openxmlformats.org/officeDocument/2006/relationships/image" Target="media/image10.jpeg"/><Relationship Id="rId2" Type="http://schemas.openxmlformats.org/officeDocument/2006/relationships/settings" Target="settings.xml"/><Relationship Id="rId19" Type="http://schemas.openxmlformats.org/officeDocument/2006/relationships/image" Target="media/image9.jpeg"/><Relationship Id="rId18" Type="http://schemas.openxmlformats.org/officeDocument/2006/relationships/image" Target="media/image8.jpeg"/><Relationship Id="rId17" Type="http://schemas.openxmlformats.org/officeDocument/2006/relationships/image" Target="media/image7.jpeg"/><Relationship Id="rId16" Type="http://schemas.openxmlformats.org/officeDocument/2006/relationships/image" Target="media/image6.wmf"/><Relationship Id="rId15" Type="http://schemas.openxmlformats.org/officeDocument/2006/relationships/oleObject" Target="embeddings/oleObject3.bin"/><Relationship Id="rId14" Type="http://schemas.openxmlformats.org/officeDocument/2006/relationships/image" Target="media/image5.wmf"/><Relationship Id="rId13" Type="http://schemas.openxmlformats.org/officeDocument/2006/relationships/oleObject" Target="embeddings/oleObject2.bin"/><Relationship Id="rId12" Type="http://schemas.openxmlformats.org/officeDocument/2006/relationships/image" Target="media/image4.wmf"/><Relationship Id="rId11" Type="http://schemas.openxmlformats.org/officeDocument/2006/relationships/oleObject" Target="embeddings/oleObject1.bin"/><Relationship Id="rId10" Type="http://schemas.openxmlformats.org/officeDocument/2006/relationships/image" Target="media/image3.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9</Pages>
  <Words>5001</Words>
  <Characters>5879</Characters>
  <Lines>46</Lines>
  <Paragraphs>13</Paragraphs>
  <TotalTime>3</TotalTime>
  <ScaleCrop>false</ScaleCrop>
  <LinksUpToDate>false</LinksUpToDate>
  <CharactersWithSpaces>6126</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2021-07-29T16:48:00Z</dcterms:created>
  <dc:creator>User</dc:creator>
  <cp:lastModifiedBy>玄灵轩</cp:lastModifiedBy>
  <cp:lastPrinted>2021-05-20T01:27:00Z</cp:lastPrinted>
  <dcterms:modified xsi:type="dcterms:W3CDTF">2025-04-10T02:05:27Z</dcterms:modified>
  <cp:revision>29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TemplateDocerSaveRecord">
    <vt:lpwstr>eyJoZGlkIjoiZjhjYmIyYWUyMTA1YWJlN2UxMDFkZTBhYzM4OTg0YjkiLCJ1c2VySWQiOiIxMDc1NTcyODQxIn0=</vt:lpwstr>
  </property>
  <property fmtid="{D5CDD505-2E9C-101B-9397-08002B2CF9AE}" pid="3" name="KSOProductBuildVer">
    <vt:lpwstr>2052-12.1.0.20305</vt:lpwstr>
  </property>
  <property fmtid="{D5CDD505-2E9C-101B-9397-08002B2CF9AE}" pid="4" name="ICV">
    <vt:lpwstr>ECFA48DFF8C44E859E618C254EAA444D_12</vt:lpwstr>
  </property>
</Properties>
</file>