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C079F">
      <w:pPr>
        <w:jc w:val="center"/>
        <w:rPr>
          <w:b/>
          <w:sz w:val="32"/>
        </w:rPr>
      </w:pPr>
      <w:r>
        <w:rPr>
          <w:rFonts w:hint="eastAsia"/>
          <w:b/>
          <w:sz w:val="32"/>
          <w:lang w:eastAsia="zh-CN"/>
        </w:rPr>
        <w:t>附件：</w:t>
      </w:r>
      <w:r>
        <w:rPr>
          <w:rFonts w:hint="eastAsia"/>
          <w:b/>
          <w:sz w:val="32"/>
        </w:rPr>
        <w:t>工业机器人应用与维护优质专业建设设备采购</w:t>
      </w:r>
      <w:r>
        <w:rPr>
          <w:rFonts w:hint="eastAsia"/>
          <w:b/>
          <w:sz w:val="32"/>
          <w:lang w:eastAsia="zh-CN"/>
        </w:rPr>
        <w:t>清单</w:t>
      </w:r>
    </w:p>
    <w:p w14:paraId="39BB9873"/>
    <w:p w14:paraId="3AF7ECC9">
      <w:r>
        <w:drawing>
          <wp:inline distT="0" distB="0" distL="0" distR="0">
            <wp:extent cx="5778500" cy="2590800"/>
            <wp:effectExtent l="0" t="0" r="0" b="0"/>
            <wp:docPr id="6" name="图片 2" descr="电视游戏的萤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电视游戏的萤幕截图&#10;&#10;描述已自动生成"/>
                    <pic:cNvPicPr>
                      <a:picLocks noChangeAspect="1"/>
                    </pic:cNvPicPr>
                  </pic:nvPicPr>
                  <pic:blipFill>
                    <a:blip r:embed="rId4" cstate="print">
                      <a:extLst>
                        <a:ext uri="{28A0092B-C50C-407E-A947-70E740481C1C}">
                          <a14:useLocalDpi xmlns:a14="http://schemas.microsoft.com/office/drawing/2010/main" val="0"/>
                        </a:ext>
                      </a:extLst>
                    </a:blip>
                    <a:srcRect l="1398" t="16095" r="782" b="23750"/>
                    <a:stretch>
                      <a:fillRect/>
                    </a:stretch>
                  </pic:blipFill>
                  <pic:spPr>
                    <a:xfrm>
                      <a:off x="0" y="0"/>
                      <a:ext cx="5788254" cy="2595006"/>
                    </a:xfrm>
                    <a:prstGeom prst="rect">
                      <a:avLst/>
                    </a:prstGeom>
                  </pic:spPr>
                </pic:pic>
              </a:graphicData>
            </a:graphic>
          </wp:inline>
        </w:drawing>
      </w:r>
      <w:bookmarkStart w:id="0" w:name="_GoBack"/>
      <w:bookmarkEnd w:id="0"/>
    </w:p>
    <w:p w14:paraId="48577360">
      <w:pPr>
        <w:jc w:val="center"/>
      </w:pPr>
      <w:r>
        <w:rPr>
          <w:rFonts w:hint="eastAsia"/>
        </w:rPr>
        <w:t>参考效果图</w:t>
      </w:r>
    </w:p>
    <w:p w14:paraId="478AF5FA"/>
    <w:p w14:paraId="091FEEF8">
      <w:r>
        <w:drawing>
          <wp:inline distT="0" distB="0" distL="114300" distR="114300">
            <wp:extent cx="5819775" cy="37814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819775" cy="3781425"/>
                    </a:xfrm>
                    <a:prstGeom prst="rect">
                      <a:avLst/>
                    </a:prstGeom>
                    <a:noFill/>
                    <a:ln>
                      <a:noFill/>
                    </a:ln>
                  </pic:spPr>
                </pic:pic>
              </a:graphicData>
            </a:graphic>
          </wp:inline>
        </w:drawing>
      </w:r>
    </w:p>
    <w:p w14:paraId="073C4CD4">
      <w:pPr>
        <w:rPr>
          <w:b/>
          <w:sz w:val="24"/>
        </w:rPr>
      </w:pPr>
    </w:p>
    <w:p w14:paraId="5780C07C">
      <w:pPr>
        <w:rPr>
          <w:b/>
          <w:sz w:val="24"/>
        </w:rPr>
      </w:pPr>
    </w:p>
    <w:p w14:paraId="345947C1">
      <w:pPr>
        <w:rPr>
          <w:b/>
          <w:sz w:val="24"/>
        </w:rPr>
      </w:pPr>
    </w:p>
    <w:p w14:paraId="13040D7D">
      <w:pPr>
        <w:rPr>
          <w:b/>
          <w:sz w:val="24"/>
        </w:rPr>
      </w:pPr>
    </w:p>
    <w:p w14:paraId="1122047E">
      <w:pPr>
        <w:rPr>
          <w:b/>
          <w:sz w:val="24"/>
        </w:rPr>
      </w:pPr>
    </w:p>
    <w:p w14:paraId="031AEEF6">
      <w:pPr>
        <w:rPr>
          <w:b/>
          <w:sz w:val="24"/>
        </w:rPr>
      </w:pPr>
      <w:r>
        <w:rPr>
          <w:rFonts w:hint="eastAsia"/>
          <w:b/>
          <w:sz w:val="24"/>
        </w:rPr>
        <w:t>设备清单：</w:t>
      </w:r>
    </w:p>
    <w:p w14:paraId="24442710">
      <w:pPr>
        <w:rPr>
          <w:b/>
          <w:sz w:val="24"/>
        </w:rPr>
      </w:pPr>
    </w:p>
    <w:tbl>
      <w:tblPr>
        <w:tblStyle w:val="5"/>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663"/>
        <w:gridCol w:w="1700"/>
        <w:gridCol w:w="900"/>
        <w:gridCol w:w="1300"/>
        <w:gridCol w:w="1500"/>
      </w:tblGrid>
      <w:tr w14:paraId="7582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673" w:type="dxa"/>
            <w:vAlign w:val="center"/>
          </w:tcPr>
          <w:p w14:paraId="6F9234D4">
            <w:pPr>
              <w:jc w:val="center"/>
            </w:pPr>
            <w:r>
              <w:rPr>
                <w:rFonts w:hint="eastAsia"/>
              </w:rPr>
              <w:t>序号</w:t>
            </w:r>
          </w:p>
        </w:tc>
        <w:tc>
          <w:tcPr>
            <w:tcW w:w="2663" w:type="dxa"/>
            <w:vAlign w:val="center"/>
          </w:tcPr>
          <w:p w14:paraId="37811270">
            <w:pPr>
              <w:jc w:val="center"/>
            </w:pPr>
            <w:r>
              <w:rPr>
                <w:rFonts w:hint="eastAsia"/>
              </w:rPr>
              <w:t>设备名称</w:t>
            </w:r>
          </w:p>
        </w:tc>
        <w:tc>
          <w:tcPr>
            <w:tcW w:w="1700" w:type="dxa"/>
            <w:vAlign w:val="center"/>
          </w:tcPr>
          <w:p w14:paraId="297E067B">
            <w:pPr>
              <w:jc w:val="center"/>
            </w:pPr>
            <w:r>
              <w:rPr>
                <w:rFonts w:hint="eastAsia"/>
              </w:rPr>
              <w:t>技术参数</w:t>
            </w:r>
          </w:p>
        </w:tc>
        <w:tc>
          <w:tcPr>
            <w:tcW w:w="900" w:type="dxa"/>
            <w:vAlign w:val="center"/>
          </w:tcPr>
          <w:p w14:paraId="2C76C6AD">
            <w:pPr>
              <w:jc w:val="center"/>
            </w:pPr>
            <w:r>
              <w:rPr>
                <w:rFonts w:hint="eastAsia"/>
              </w:rPr>
              <w:t>数量</w:t>
            </w:r>
          </w:p>
        </w:tc>
        <w:tc>
          <w:tcPr>
            <w:tcW w:w="1300" w:type="dxa"/>
            <w:vAlign w:val="center"/>
          </w:tcPr>
          <w:p w14:paraId="6F64B7E5">
            <w:pPr>
              <w:jc w:val="center"/>
            </w:pPr>
            <w:r>
              <w:rPr>
                <w:rFonts w:hint="eastAsia"/>
              </w:rPr>
              <w:t>单价（元）</w:t>
            </w:r>
          </w:p>
        </w:tc>
        <w:tc>
          <w:tcPr>
            <w:tcW w:w="1500" w:type="dxa"/>
            <w:vAlign w:val="center"/>
          </w:tcPr>
          <w:p w14:paraId="0EAC76E2">
            <w:pPr>
              <w:jc w:val="center"/>
            </w:pPr>
            <w:r>
              <w:rPr>
                <w:rFonts w:hint="eastAsia"/>
              </w:rPr>
              <w:t>总价（元）</w:t>
            </w:r>
          </w:p>
        </w:tc>
      </w:tr>
      <w:tr w14:paraId="061D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07CB540E">
            <w:pPr>
              <w:jc w:val="center"/>
              <w:rPr>
                <w:rFonts w:ascii="宋体" w:hAnsi="宋体" w:eastAsia="宋体" w:cs="宋体"/>
                <w:sz w:val="18"/>
                <w:szCs w:val="18"/>
              </w:rPr>
            </w:pPr>
            <w:r>
              <w:rPr>
                <w:rFonts w:hint="eastAsia" w:ascii="宋体" w:hAnsi="宋体" w:eastAsia="宋体" w:cs="宋体"/>
                <w:sz w:val="18"/>
                <w:szCs w:val="18"/>
              </w:rPr>
              <w:t>1</w:t>
            </w:r>
          </w:p>
        </w:tc>
        <w:tc>
          <w:tcPr>
            <w:tcW w:w="2663" w:type="dxa"/>
            <w:vAlign w:val="center"/>
          </w:tcPr>
          <w:p w14:paraId="1937502B">
            <w:pPr>
              <w:rPr>
                <w:rFonts w:ascii="宋体" w:hAnsi="宋体" w:eastAsia="宋体"/>
                <w:sz w:val="18"/>
                <w:szCs w:val="18"/>
              </w:rPr>
            </w:pPr>
            <w:r>
              <w:rPr>
                <w:rFonts w:hint="eastAsia" w:ascii="宋体" w:hAnsi="宋体" w:eastAsia="宋体"/>
                <w:sz w:val="18"/>
                <w:szCs w:val="18"/>
              </w:rPr>
              <w:t>人工智能机器人与视觉研训平台</w:t>
            </w:r>
          </w:p>
        </w:tc>
        <w:tc>
          <w:tcPr>
            <w:tcW w:w="1700" w:type="dxa"/>
            <w:vAlign w:val="center"/>
          </w:tcPr>
          <w:p w14:paraId="07E773C3">
            <w:pPr>
              <w:rPr>
                <w:rFonts w:ascii="宋体" w:hAnsi="宋体" w:eastAsia="宋体"/>
                <w:sz w:val="18"/>
                <w:szCs w:val="18"/>
              </w:rPr>
            </w:pPr>
            <w:r>
              <w:rPr>
                <w:rFonts w:hint="eastAsia" w:ascii="宋体" w:hAnsi="宋体" w:eastAsia="宋体"/>
                <w:sz w:val="18"/>
                <w:szCs w:val="18"/>
              </w:rPr>
              <w:t>详见附件一</w:t>
            </w:r>
          </w:p>
        </w:tc>
        <w:tc>
          <w:tcPr>
            <w:tcW w:w="900" w:type="dxa"/>
            <w:vAlign w:val="center"/>
          </w:tcPr>
          <w:p w14:paraId="71A16FC2">
            <w:pPr>
              <w:jc w:val="center"/>
              <w:rPr>
                <w:rFonts w:ascii="宋体" w:hAnsi="宋体" w:eastAsia="宋体" w:cs="宋体"/>
                <w:sz w:val="18"/>
                <w:szCs w:val="18"/>
              </w:rPr>
            </w:pPr>
            <w:r>
              <w:rPr>
                <w:rFonts w:hint="eastAsia" w:ascii="宋体" w:hAnsi="宋体" w:eastAsia="宋体" w:cs="宋体"/>
                <w:sz w:val="18"/>
                <w:szCs w:val="18"/>
              </w:rPr>
              <w:t>2</w:t>
            </w:r>
          </w:p>
        </w:tc>
        <w:tc>
          <w:tcPr>
            <w:tcW w:w="1300" w:type="dxa"/>
            <w:vAlign w:val="center"/>
          </w:tcPr>
          <w:p w14:paraId="40715E70">
            <w:pPr>
              <w:widowControl/>
              <w:jc w:val="center"/>
              <w:textAlignment w:val="center"/>
              <w:rPr>
                <w:rFonts w:ascii="宋体" w:hAnsi="宋体" w:eastAsia="宋体" w:cs="宋体"/>
                <w:sz w:val="18"/>
                <w:szCs w:val="18"/>
              </w:rPr>
            </w:pPr>
          </w:p>
        </w:tc>
        <w:tc>
          <w:tcPr>
            <w:tcW w:w="1500" w:type="dxa"/>
            <w:vAlign w:val="center"/>
          </w:tcPr>
          <w:p w14:paraId="38D7DA93">
            <w:pPr>
              <w:widowControl/>
              <w:jc w:val="center"/>
              <w:textAlignment w:val="center"/>
              <w:rPr>
                <w:rFonts w:ascii="宋体" w:hAnsi="宋体" w:eastAsia="宋体" w:cs="宋体"/>
                <w:sz w:val="18"/>
                <w:szCs w:val="18"/>
              </w:rPr>
            </w:pPr>
          </w:p>
        </w:tc>
      </w:tr>
      <w:tr w14:paraId="577B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22FC8500">
            <w:pPr>
              <w:jc w:val="center"/>
              <w:rPr>
                <w:rFonts w:ascii="宋体" w:hAnsi="宋体" w:eastAsia="宋体" w:cs="宋体"/>
                <w:sz w:val="18"/>
                <w:szCs w:val="18"/>
              </w:rPr>
            </w:pPr>
            <w:r>
              <w:rPr>
                <w:rFonts w:hint="eastAsia" w:ascii="宋体" w:hAnsi="宋体" w:eastAsia="宋体" w:cs="宋体"/>
                <w:sz w:val="18"/>
                <w:szCs w:val="18"/>
              </w:rPr>
              <w:t>2</w:t>
            </w:r>
          </w:p>
        </w:tc>
        <w:tc>
          <w:tcPr>
            <w:tcW w:w="2663" w:type="dxa"/>
            <w:vAlign w:val="center"/>
          </w:tcPr>
          <w:p w14:paraId="4232EB2B">
            <w:pPr>
              <w:rPr>
                <w:rFonts w:ascii="宋体" w:hAnsi="宋体" w:eastAsia="宋体"/>
                <w:sz w:val="18"/>
                <w:szCs w:val="18"/>
              </w:rPr>
            </w:pPr>
            <w:r>
              <w:rPr>
                <w:rFonts w:hint="eastAsia" w:ascii="宋体" w:hAnsi="宋体" w:eastAsia="宋体"/>
                <w:sz w:val="18"/>
                <w:szCs w:val="18"/>
              </w:rPr>
              <w:t>数字化大屏</w:t>
            </w:r>
          </w:p>
        </w:tc>
        <w:tc>
          <w:tcPr>
            <w:tcW w:w="1700" w:type="dxa"/>
            <w:vAlign w:val="center"/>
          </w:tcPr>
          <w:p w14:paraId="52698A50">
            <w:pPr>
              <w:rPr>
                <w:rFonts w:ascii="宋体" w:hAnsi="宋体" w:eastAsia="宋体"/>
                <w:sz w:val="18"/>
                <w:szCs w:val="18"/>
              </w:rPr>
            </w:pPr>
            <w:r>
              <w:rPr>
                <w:rFonts w:hint="eastAsia" w:ascii="宋体" w:hAnsi="宋体" w:eastAsia="宋体"/>
                <w:sz w:val="18"/>
                <w:szCs w:val="18"/>
              </w:rPr>
              <w:t>详见附件一</w:t>
            </w:r>
          </w:p>
        </w:tc>
        <w:tc>
          <w:tcPr>
            <w:tcW w:w="900" w:type="dxa"/>
            <w:vAlign w:val="center"/>
          </w:tcPr>
          <w:p w14:paraId="223FC066">
            <w:pPr>
              <w:jc w:val="center"/>
              <w:rPr>
                <w:rFonts w:ascii="宋体" w:hAnsi="宋体" w:eastAsia="宋体" w:cs="宋体"/>
                <w:sz w:val="18"/>
                <w:szCs w:val="18"/>
              </w:rPr>
            </w:pPr>
            <w:r>
              <w:rPr>
                <w:rFonts w:hint="eastAsia" w:ascii="宋体" w:hAnsi="宋体" w:eastAsia="宋体" w:cs="宋体"/>
                <w:sz w:val="18"/>
                <w:szCs w:val="18"/>
              </w:rPr>
              <w:t>1</w:t>
            </w:r>
          </w:p>
        </w:tc>
        <w:tc>
          <w:tcPr>
            <w:tcW w:w="1300" w:type="dxa"/>
            <w:vAlign w:val="center"/>
          </w:tcPr>
          <w:p w14:paraId="7AEA700F">
            <w:pPr>
              <w:widowControl/>
              <w:jc w:val="center"/>
              <w:textAlignment w:val="center"/>
              <w:rPr>
                <w:rFonts w:ascii="宋体" w:hAnsi="宋体" w:eastAsia="宋体" w:cs="宋体"/>
                <w:sz w:val="18"/>
                <w:szCs w:val="18"/>
              </w:rPr>
            </w:pPr>
          </w:p>
        </w:tc>
        <w:tc>
          <w:tcPr>
            <w:tcW w:w="1500" w:type="dxa"/>
            <w:vAlign w:val="center"/>
          </w:tcPr>
          <w:p w14:paraId="52BAB7AD">
            <w:pPr>
              <w:widowControl/>
              <w:jc w:val="center"/>
              <w:textAlignment w:val="center"/>
              <w:rPr>
                <w:rFonts w:ascii="宋体" w:hAnsi="宋体" w:eastAsia="宋体" w:cs="宋体"/>
                <w:sz w:val="18"/>
                <w:szCs w:val="18"/>
              </w:rPr>
            </w:pPr>
          </w:p>
        </w:tc>
      </w:tr>
      <w:tr w14:paraId="3350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7B918708">
            <w:pPr>
              <w:jc w:val="center"/>
              <w:rPr>
                <w:rFonts w:ascii="宋体" w:hAnsi="宋体" w:eastAsia="宋体" w:cs="宋体"/>
                <w:sz w:val="18"/>
                <w:szCs w:val="18"/>
              </w:rPr>
            </w:pPr>
            <w:r>
              <w:rPr>
                <w:rFonts w:hint="eastAsia" w:ascii="宋体" w:hAnsi="宋体" w:eastAsia="宋体" w:cs="宋体"/>
                <w:sz w:val="18"/>
                <w:szCs w:val="18"/>
              </w:rPr>
              <w:t>3</w:t>
            </w:r>
          </w:p>
        </w:tc>
        <w:tc>
          <w:tcPr>
            <w:tcW w:w="2663" w:type="dxa"/>
            <w:vAlign w:val="center"/>
          </w:tcPr>
          <w:p w14:paraId="6924ACDB">
            <w:pPr>
              <w:rPr>
                <w:rFonts w:ascii="宋体" w:hAnsi="宋体" w:eastAsia="宋体"/>
                <w:sz w:val="18"/>
                <w:szCs w:val="18"/>
              </w:rPr>
            </w:pPr>
            <w:r>
              <w:rPr>
                <w:rFonts w:hint="eastAsia" w:ascii="宋体" w:hAnsi="宋体" w:eastAsia="宋体"/>
                <w:sz w:val="18"/>
                <w:szCs w:val="18"/>
              </w:rPr>
              <w:t>六方形方桌</w:t>
            </w:r>
          </w:p>
        </w:tc>
        <w:tc>
          <w:tcPr>
            <w:tcW w:w="1700" w:type="dxa"/>
            <w:vAlign w:val="center"/>
          </w:tcPr>
          <w:p w14:paraId="18A527B1">
            <w:pPr>
              <w:rPr>
                <w:rFonts w:ascii="宋体" w:hAnsi="宋体" w:eastAsia="宋体"/>
                <w:sz w:val="18"/>
                <w:szCs w:val="18"/>
              </w:rPr>
            </w:pPr>
            <w:r>
              <w:rPr>
                <w:rFonts w:hint="eastAsia" w:ascii="宋体" w:hAnsi="宋体" w:eastAsia="宋体"/>
                <w:sz w:val="18"/>
                <w:szCs w:val="18"/>
              </w:rPr>
              <w:t>详见附件一</w:t>
            </w:r>
          </w:p>
        </w:tc>
        <w:tc>
          <w:tcPr>
            <w:tcW w:w="900" w:type="dxa"/>
            <w:vAlign w:val="center"/>
          </w:tcPr>
          <w:p w14:paraId="2D1EE4ED">
            <w:pPr>
              <w:jc w:val="center"/>
              <w:rPr>
                <w:rFonts w:ascii="宋体" w:hAnsi="宋体" w:eastAsia="宋体" w:cs="宋体"/>
                <w:sz w:val="18"/>
                <w:szCs w:val="18"/>
              </w:rPr>
            </w:pPr>
            <w:r>
              <w:rPr>
                <w:rFonts w:ascii="宋体" w:hAnsi="宋体" w:eastAsia="宋体" w:cs="宋体"/>
                <w:sz w:val="18"/>
                <w:szCs w:val="18"/>
              </w:rPr>
              <w:t>8</w:t>
            </w:r>
          </w:p>
        </w:tc>
        <w:tc>
          <w:tcPr>
            <w:tcW w:w="1300" w:type="dxa"/>
            <w:vAlign w:val="center"/>
          </w:tcPr>
          <w:p w14:paraId="1BD24E68">
            <w:pPr>
              <w:widowControl/>
              <w:jc w:val="center"/>
              <w:textAlignment w:val="center"/>
              <w:rPr>
                <w:rFonts w:ascii="宋体" w:hAnsi="宋体" w:eastAsia="宋体" w:cs="宋体"/>
                <w:sz w:val="18"/>
                <w:szCs w:val="18"/>
              </w:rPr>
            </w:pPr>
          </w:p>
        </w:tc>
        <w:tc>
          <w:tcPr>
            <w:tcW w:w="1500" w:type="dxa"/>
            <w:vAlign w:val="center"/>
          </w:tcPr>
          <w:p w14:paraId="4F0078C4">
            <w:pPr>
              <w:widowControl/>
              <w:jc w:val="center"/>
              <w:textAlignment w:val="center"/>
              <w:rPr>
                <w:rFonts w:ascii="宋体" w:hAnsi="宋体" w:eastAsia="宋体" w:cs="宋体"/>
                <w:sz w:val="18"/>
                <w:szCs w:val="18"/>
              </w:rPr>
            </w:pPr>
          </w:p>
        </w:tc>
      </w:tr>
      <w:tr w14:paraId="5293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73D3385E">
            <w:pPr>
              <w:jc w:val="center"/>
              <w:rPr>
                <w:rFonts w:ascii="宋体" w:hAnsi="宋体" w:eastAsia="宋体" w:cs="宋体"/>
                <w:sz w:val="18"/>
                <w:szCs w:val="18"/>
              </w:rPr>
            </w:pPr>
            <w:r>
              <w:rPr>
                <w:rFonts w:hint="eastAsia" w:ascii="宋体" w:hAnsi="宋体" w:eastAsia="宋体" w:cs="宋体"/>
                <w:sz w:val="18"/>
                <w:szCs w:val="18"/>
              </w:rPr>
              <w:t>4</w:t>
            </w:r>
          </w:p>
        </w:tc>
        <w:tc>
          <w:tcPr>
            <w:tcW w:w="2663" w:type="dxa"/>
            <w:vAlign w:val="center"/>
          </w:tcPr>
          <w:p w14:paraId="70B33556">
            <w:pPr>
              <w:rPr>
                <w:rFonts w:ascii="宋体" w:hAnsi="宋体" w:eastAsia="宋体"/>
                <w:sz w:val="18"/>
                <w:szCs w:val="18"/>
              </w:rPr>
            </w:pPr>
            <w:r>
              <w:rPr>
                <w:rFonts w:hint="eastAsia" w:ascii="宋体" w:hAnsi="宋体" w:eastAsia="宋体"/>
                <w:sz w:val="18"/>
                <w:szCs w:val="18"/>
              </w:rPr>
              <w:t>文化建设及环境改造</w:t>
            </w:r>
          </w:p>
        </w:tc>
        <w:tc>
          <w:tcPr>
            <w:tcW w:w="1700" w:type="dxa"/>
            <w:vAlign w:val="center"/>
          </w:tcPr>
          <w:p w14:paraId="27CD07A6">
            <w:pPr>
              <w:rPr>
                <w:rFonts w:ascii="宋体" w:hAnsi="宋体" w:eastAsia="宋体"/>
                <w:sz w:val="18"/>
                <w:szCs w:val="18"/>
              </w:rPr>
            </w:pPr>
            <w:r>
              <w:rPr>
                <w:rFonts w:hint="eastAsia" w:ascii="宋体" w:hAnsi="宋体" w:eastAsia="宋体"/>
                <w:sz w:val="18"/>
                <w:szCs w:val="18"/>
              </w:rPr>
              <w:t>详见附件一</w:t>
            </w:r>
          </w:p>
        </w:tc>
        <w:tc>
          <w:tcPr>
            <w:tcW w:w="900" w:type="dxa"/>
            <w:vAlign w:val="center"/>
          </w:tcPr>
          <w:p w14:paraId="45BE67D8">
            <w:pPr>
              <w:jc w:val="center"/>
              <w:rPr>
                <w:rFonts w:ascii="宋体" w:hAnsi="宋体" w:eastAsia="宋体" w:cs="宋体"/>
                <w:sz w:val="18"/>
                <w:szCs w:val="18"/>
              </w:rPr>
            </w:pPr>
            <w:r>
              <w:rPr>
                <w:rFonts w:hint="eastAsia" w:ascii="宋体" w:hAnsi="宋体" w:eastAsia="宋体" w:cs="宋体"/>
                <w:sz w:val="18"/>
                <w:szCs w:val="18"/>
              </w:rPr>
              <w:t>1</w:t>
            </w:r>
          </w:p>
        </w:tc>
        <w:tc>
          <w:tcPr>
            <w:tcW w:w="1300" w:type="dxa"/>
            <w:vAlign w:val="center"/>
          </w:tcPr>
          <w:p w14:paraId="1DB76DAF">
            <w:pPr>
              <w:widowControl/>
              <w:jc w:val="center"/>
              <w:textAlignment w:val="center"/>
              <w:rPr>
                <w:rFonts w:ascii="宋体" w:hAnsi="宋体" w:eastAsia="宋体" w:cs="宋体"/>
                <w:sz w:val="18"/>
                <w:szCs w:val="18"/>
              </w:rPr>
            </w:pPr>
          </w:p>
        </w:tc>
        <w:tc>
          <w:tcPr>
            <w:tcW w:w="1500" w:type="dxa"/>
            <w:vAlign w:val="center"/>
          </w:tcPr>
          <w:p w14:paraId="6B13C457">
            <w:pPr>
              <w:widowControl/>
              <w:jc w:val="center"/>
              <w:textAlignment w:val="center"/>
              <w:rPr>
                <w:rFonts w:ascii="宋体" w:hAnsi="宋体" w:eastAsia="宋体" w:cs="宋体"/>
                <w:sz w:val="18"/>
                <w:szCs w:val="18"/>
              </w:rPr>
            </w:pPr>
          </w:p>
        </w:tc>
      </w:tr>
      <w:tr w14:paraId="1E7D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5464E0FC">
            <w:pPr>
              <w:jc w:val="center"/>
              <w:rPr>
                <w:rFonts w:ascii="宋体" w:hAnsi="宋体" w:eastAsia="宋体" w:cs="宋体"/>
                <w:sz w:val="18"/>
                <w:szCs w:val="18"/>
              </w:rPr>
            </w:pPr>
            <w:r>
              <w:rPr>
                <w:rFonts w:hint="eastAsia" w:ascii="宋体" w:hAnsi="宋体" w:eastAsia="宋体" w:cs="宋体"/>
                <w:sz w:val="18"/>
                <w:szCs w:val="18"/>
              </w:rPr>
              <w:t>5</w:t>
            </w:r>
          </w:p>
        </w:tc>
        <w:tc>
          <w:tcPr>
            <w:tcW w:w="2663" w:type="dxa"/>
            <w:vAlign w:val="center"/>
          </w:tcPr>
          <w:p w14:paraId="04667B60">
            <w:pPr>
              <w:rPr>
                <w:rFonts w:ascii="宋体" w:hAnsi="宋体" w:eastAsia="宋体"/>
                <w:sz w:val="18"/>
                <w:szCs w:val="18"/>
              </w:rPr>
            </w:pPr>
            <w:r>
              <w:rPr>
                <w:rFonts w:hint="eastAsia" w:ascii="宋体" w:hAnsi="宋体" w:eastAsia="宋体"/>
                <w:sz w:val="18"/>
                <w:szCs w:val="18"/>
              </w:rPr>
              <w:t>讲台</w:t>
            </w:r>
          </w:p>
        </w:tc>
        <w:tc>
          <w:tcPr>
            <w:tcW w:w="1700" w:type="dxa"/>
            <w:vAlign w:val="center"/>
          </w:tcPr>
          <w:p w14:paraId="4214E5C8">
            <w:pPr>
              <w:rPr>
                <w:rFonts w:ascii="宋体" w:hAnsi="宋体" w:eastAsia="宋体"/>
                <w:sz w:val="18"/>
                <w:szCs w:val="18"/>
              </w:rPr>
            </w:pPr>
            <w:r>
              <w:rPr>
                <w:rFonts w:hint="eastAsia" w:ascii="宋体" w:hAnsi="宋体" w:eastAsia="宋体"/>
                <w:sz w:val="18"/>
                <w:szCs w:val="18"/>
              </w:rPr>
              <w:t>详见附件一</w:t>
            </w:r>
          </w:p>
        </w:tc>
        <w:tc>
          <w:tcPr>
            <w:tcW w:w="900" w:type="dxa"/>
            <w:vAlign w:val="center"/>
          </w:tcPr>
          <w:p w14:paraId="29727233">
            <w:pPr>
              <w:jc w:val="center"/>
              <w:rPr>
                <w:rFonts w:ascii="宋体" w:hAnsi="宋体" w:eastAsia="宋体" w:cs="宋体"/>
                <w:sz w:val="18"/>
                <w:szCs w:val="18"/>
              </w:rPr>
            </w:pPr>
            <w:r>
              <w:rPr>
                <w:rFonts w:hint="eastAsia" w:ascii="宋体" w:hAnsi="宋体" w:eastAsia="宋体" w:cs="宋体"/>
                <w:sz w:val="18"/>
                <w:szCs w:val="18"/>
              </w:rPr>
              <w:t>1</w:t>
            </w:r>
          </w:p>
        </w:tc>
        <w:tc>
          <w:tcPr>
            <w:tcW w:w="1300" w:type="dxa"/>
            <w:vAlign w:val="center"/>
          </w:tcPr>
          <w:p w14:paraId="741C5B1D">
            <w:pPr>
              <w:widowControl/>
              <w:jc w:val="center"/>
              <w:textAlignment w:val="center"/>
              <w:rPr>
                <w:rFonts w:ascii="宋体" w:hAnsi="宋体" w:eastAsia="宋体" w:cs="宋体"/>
                <w:sz w:val="18"/>
                <w:szCs w:val="18"/>
              </w:rPr>
            </w:pPr>
          </w:p>
        </w:tc>
        <w:tc>
          <w:tcPr>
            <w:tcW w:w="1500" w:type="dxa"/>
            <w:vAlign w:val="center"/>
          </w:tcPr>
          <w:p w14:paraId="159921D1">
            <w:pPr>
              <w:widowControl/>
              <w:jc w:val="center"/>
              <w:textAlignment w:val="center"/>
              <w:rPr>
                <w:rFonts w:ascii="宋体" w:hAnsi="宋体" w:eastAsia="宋体" w:cs="宋体"/>
                <w:sz w:val="18"/>
                <w:szCs w:val="18"/>
              </w:rPr>
            </w:pPr>
          </w:p>
        </w:tc>
      </w:tr>
      <w:tr w14:paraId="686B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3BA07D0C">
            <w:pPr>
              <w:jc w:val="center"/>
              <w:rPr>
                <w:rFonts w:ascii="宋体" w:hAnsi="宋体" w:eastAsia="宋体" w:cs="宋体"/>
                <w:sz w:val="18"/>
                <w:szCs w:val="18"/>
              </w:rPr>
            </w:pPr>
            <w:r>
              <w:rPr>
                <w:rFonts w:hint="eastAsia" w:ascii="宋体" w:hAnsi="宋体" w:eastAsia="宋体" w:cs="宋体"/>
                <w:sz w:val="18"/>
                <w:szCs w:val="18"/>
              </w:rPr>
              <w:t>6</w:t>
            </w:r>
          </w:p>
        </w:tc>
        <w:tc>
          <w:tcPr>
            <w:tcW w:w="2663" w:type="dxa"/>
            <w:vAlign w:val="center"/>
          </w:tcPr>
          <w:p w14:paraId="6E64662A">
            <w:pPr>
              <w:rPr>
                <w:rFonts w:ascii="宋体" w:hAnsi="宋体" w:eastAsia="宋体"/>
                <w:sz w:val="18"/>
                <w:szCs w:val="18"/>
              </w:rPr>
            </w:pPr>
            <w:r>
              <w:rPr>
                <w:rFonts w:hint="eastAsia" w:ascii="宋体" w:hAnsi="宋体" w:eastAsia="宋体"/>
                <w:sz w:val="18"/>
                <w:szCs w:val="18"/>
              </w:rPr>
              <w:t>工具柜</w:t>
            </w:r>
          </w:p>
        </w:tc>
        <w:tc>
          <w:tcPr>
            <w:tcW w:w="1700" w:type="dxa"/>
            <w:vAlign w:val="center"/>
          </w:tcPr>
          <w:p w14:paraId="34AFCCA8">
            <w:pPr>
              <w:rPr>
                <w:rFonts w:ascii="宋体" w:hAnsi="宋体" w:eastAsia="宋体"/>
                <w:sz w:val="18"/>
                <w:szCs w:val="18"/>
              </w:rPr>
            </w:pPr>
            <w:r>
              <w:rPr>
                <w:rFonts w:hint="eastAsia" w:ascii="宋体" w:hAnsi="宋体" w:eastAsia="宋体"/>
                <w:sz w:val="18"/>
                <w:szCs w:val="18"/>
              </w:rPr>
              <w:t>详见附件一</w:t>
            </w:r>
          </w:p>
        </w:tc>
        <w:tc>
          <w:tcPr>
            <w:tcW w:w="900" w:type="dxa"/>
            <w:vAlign w:val="center"/>
          </w:tcPr>
          <w:p w14:paraId="5B49033D">
            <w:pPr>
              <w:jc w:val="center"/>
              <w:rPr>
                <w:rFonts w:ascii="宋体" w:hAnsi="宋体" w:eastAsia="宋体" w:cs="宋体"/>
                <w:sz w:val="18"/>
                <w:szCs w:val="18"/>
              </w:rPr>
            </w:pPr>
            <w:r>
              <w:rPr>
                <w:rFonts w:hint="eastAsia" w:ascii="宋体" w:hAnsi="宋体" w:eastAsia="宋体" w:cs="宋体"/>
                <w:sz w:val="18"/>
                <w:szCs w:val="18"/>
              </w:rPr>
              <w:t>2</w:t>
            </w:r>
          </w:p>
        </w:tc>
        <w:tc>
          <w:tcPr>
            <w:tcW w:w="1300" w:type="dxa"/>
            <w:vAlign w:val="center"/>
          </w:tcPr>
          <w:p w14:paraId="7DC277D4">
            <w:pPr>
              <w:widowControl/>
              <w:jc w:val="center"/>
              <w:textAlignment w:val="center"/>
              <w:rPr>
                <w:rFonts w:ascii="宋体" w:hAnsi="宋体" w:eastAsia="宋体" w:cs="宋体"/>
                <w:color w:val="000000"/>
                <w:kern w:val="0"/>
                <w:sz w:val="18"/>
                <w:szCs w:val="18"/>
                <w:lang w:bidi="ar"/>
              </w:rPr>
            </w:pPr>
          </w:p>
        </w:tc>
        <w:tc>
          <w:tcPr>
            <w:tcW w:w="1500" w:type="dxa"/>
            <w:vAlign w:val="center"/>
          </w:tcPr>
          <w:p w14:paraId="3DC7291F">
            <w:pPr>
              <w:widowControl/>
              <w:jc w:val="center"/>
              <w:textAlignment w:val="center"/>
              <w:rPr>
                <w:rFonts w:ascii="宋体" w:hAnsi="宋体" w:eastAsia="宋体" w:cs="宋体"/>
                <w:color w:val="000000"/>
                <w:kern w:val="0"/>
                <w:sz w:val="18"/>
                <w:szCs w:val="18"/>
                <w:lang w:bidi="ar"/>
              </w:rPr>
            </w:pPr>
          </w:p>
        </w:tc>
      </w:tr>
      <w:tr w14:paraId="1FD2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1A776FB0">
            <w:pPr>
              <w:jc w:val="center"/>
              <w:rPr>
                <w:rFonts w:ascii="宋体" w:hAnsi="宋体" w:eastAsia="宋体" w:cs="宋体"/>
                <w:sz w:val="18"/>
                <w:szCs w:val="18"/>
              </w:rPr>
            </w:pPr>
            <w:r>
              <w:rPr>
                <w:rFonts w:hint="eastAsia" w:ascii="宋体" w:hAnsi="宋体" w:eastAsia="宋体" w:cs="宋体"/>
                <w:sz w:val="18"/>
                <w:szCs w:val="18"/>
              </w:rPr>
              <w:t>7</w:t>
            </w:r>
          </w:p>
        </w:tc>
        <w:tc>
          <w:tcPr>
            <w:tcW w:w="2663" w:type="dxa"/>
            <w:vAlign w:val="center"/>
          </w:tcPr>
          <w:p w14:paraId="685D3030">
            <w:pPr>
              <w:rPr>
                <w:rFonts w:ascii="宋体" w:hAnsi="宋体" w:eastAsia="宋体"/>
                <w:sz w:val="18"/>
                <w:szCs w:val="18"/>
              </w:rPr>
            </w:pPr>
            <w:r>
              <w:rPr>
                <w:rFonts w:hint="eastAsia" w:ascii="宋体" w:hAnsi="宋体" w:eastAsia="宋体"/>
                <w:sz w:val="18"/>
                <w:szCs w:val="18"/>
              </w:rPr>
              <w:t>工业机器人结构拆装实训台</w:t>
            </w:r>
          </w:p>
        </w:tc>
        <w:tc>
          <w:tcPr>
            <w:tcW w:w="1700" w:type="dxa"/>
            <w:vAlign w:val="center"/>
          </w:tcPr>
          <w:p w14:paraId="186AEEB7">
            <w:pPr>
              <w:rPr>
                <w:rFonts w:ascii="宋体" w:hAnsi="宋体" w:eastAsia="宋体"/>
                <w:sz w:val="18"/>
                <w:szCs w:val="18"/>
              </w:rPr>
            </w:pPr>
            <w:r>
              <w:rPr>
                <w:rFonts w:hint="eastAsia" w:ascii="宋体" w:hAnsi="宋体" w:eastAsia="宋体"/>
                <w:sz w:val="18"/>
                <w:szCs w:val="18"/>
              </w:rPr>
              <w:t>详见附件一</w:t>
            </w:r>
          </w:p>
        </w:tc>
        <w:tc>
          <w:tcPr>
            <w:tcW w:w="900" w:type="dxa"/>
            <w:vAlign w:val="center"/>
          </w:tcPr>
          <w:p w14:paraId="2241A277">
            <w:pPr>
              <w:jc w:val="center"/>
              <w:rPr>
                <w:rFonts w:ascii="宋体" w:hAnsi="宋体" w:eastAsia="宋体" w:cs="宋体"/>
                <w:sz w:val="18"/>
                <w:szCs w:val="18"/>
              </w:rPr>
            </w:pPr>
            <w:r>
              <w:rPr>
                <w:rFonts w:ascii="宋体" w:hAnsi="宋体" w:eastAsia="宋体" w:cs="宋体"/>
                <w:sz w:val="18"/>
                <w:szCs w:val="18"/>
              </w:rPr>
              <w:t>3</w:t>
            </w:r>
          </w:p>
        </w:tc>
        <w:tc>
          <w:tcPr>
            <w:tcW w:w="1300" w:type="dxa"/>
            <w:vAlign w:val="center"/>
          </w:tcPr>
          <w:p w14:paraId="784A342B">
            <w:pPr>
              <w:widowControl/>
              <w:jc w:val="center"/>
              <w:textAlignment w:val="center"/>
              <w:rPr>
                <w:rFonts w:ascii="宋体" w:hAnsi="宋体" w:eastAsia="宋体" w:cs="宋体"/>
                <w:color w:val="000000"/>
                <w:kern w:val="0"/>
                <w:sz w:val="18"/>
                <w:szCs w:val="18"/>
                <w:lang w:bidi="ar"/>
              </w:rPr>
            </w:pPr>
          </w:p>
        </w:tc>
        <w:tc>
          <w:tcPr>
            <w:tcW w:w="1500" w:type="dxa"/>
            <w:vAlign w:val="center"/>
          </w:tcPr>
          <w:p w14:paraId="6EC1ED5E">
            <w:pPr>
              <w:widowControl/>
              <w:jc w:val="center"/>
              <w:textAlignment w:val="center"/>
              <w:rPr>
                <w:rFonts w:ascii="宋体" w:hAnsi="宋体" w:eastAsia="宋体" w:cs="宋体"/>
                <w:color w:val="000000"/>
                <w:kern w:val="0"/>
                <w:sz w:val="18"/>
                <w:szCs w:val="18"/>
                <w:lang w:bidi="ar"/>
              </w:rPr>
            </w:pPr>
          </w:p>
        </w:tc>
      </w:tr>
      <w:tr w14:paraId="1A5B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33D47D87">
            <w:pPr>
              <w:jc w:val="center"/>
              <w:rPr>
                <w:rFonts w:ascii="宋体" w:hAnsi="宋体" w:eastAsia="宋体" w:cs="宋体"/>
                <w:sz w:val="18"/>
                <w:szCs w:val="18"/>
              </w:rPr>
            </w:pPr>
            <w:r>
              <w:rPr>
                <w:rFonts w:hint="eastAsia" w:ascii="宋体" w:hAnsi="宋体" w:eastAsia="宋体" w:cs="宋体"/>
                <w:sz w:val="18"/>
                <w:szCs w:val="18"/>
              </w:rPr>
              <w:t>8</w:t>
            </w:r>
          </w:p>
        </w:tc>
        <w:tc>
          <w:tcPr>
            <w:tcW w:w="2663" w:type="dxa"/>
            <w:vAlign w:val="center"/>
          </w:tcPr>
          <w:p w14:paraId="479A75A5">
            <w:pPr>
              <w:rPr>
                <w:rFonts w:ascii="宋体" w:hAnsi="宋体" w:eastAsia="宋体"/>
                <w:sz w:val="18"/>
                <w:szCs w:val="18"/>
              </w:rPr>
            </w:pPr>
            <w:r>
              <w:rPr>
                <w:rFonts w:hint="eastAsia" w:ascii="宋体" w:hAnsi="宋体" w:eastAsia="宋体"/>
                <w:sz w:val="18"/>
                <w:szCs w:val="18"/>
              </w:rPr>
              <w:t>工业机器人拆装教学资源、工业机器人结构认知与拆装软件</w:t>
            </w:r>
          </w:p>
        </w:tc>
        <w:tc>
          <w:tcPr>
            <w:tcW w:w="1700" w:type="dxa"/>
            <w:vAlign w:val="center"/>
          </w:tcPr>
          <w:p w14:paraId="5703B3C5">
            <w:pPr>
              <w:rPr>
                <w:rFonts w:ascii="宋体" w:hAnsi="宋体" w:eastAsia="宋体"/>
                <w:sz w:val="18"/>
                <w:szCs w:val="18"/>
              </w:rPr>
            </w:pPr>
            <w:r>
              <w:rPr>
                <w:rFonts w:hint="eastAsia" w:ascii="宋体" w:hAnsi="宋体" w:eastAsia="宋体"/>
                <w:sz w:val="18"/>
                <w:szCs w:val="18"/>
              </w:rPr>
              <w:t>详见附件一</w:t>
            </w:r>
          </w:p>
        </w:tc>
        <w:tc>
          <w:tcPr>
            <w:tcW w:w="900" w:type="dxa"/>
            <w:vAlign w:val="center"/>
          </w:tcPr>
          <w:p w14:paraId="59CA5E93">
            <w:pPr>
              <w:jc w:val="center"/>
              <w:rPr>
                <w:rFonts w:ascii="宋体" w:hAnsi="宋体" w:eastAsia="宋体" w:cs="宋体"/>
                <w:sz w:val="18"/>
                <w:szCs w:val="18"/>
              </w:rPr>
            </w:pPr>
            <w:r>
              <w:rPr>
                <w:rFonts w:hint="eastAsia" w:ascii="宋体" w:hAnsi="宋体" w:eastAsia="宋体" w:cs="宋体"/>
                <w:sz w:val="18"/>
                <w:szCs w:val="18"/>
              </w:rPr>
              <w:t>1</w:t>
            </w:r>
          </w:p>
        </w:tc>
        <w:tc>
          <w:tcPr>
            <w:tcW w:w="1300" w:type="dxa"/>
            <w:vAlign w:val="center"/>
          </w:tcPr>
          <w:p w14:paraId="2AB14489">
            <w:pPr>
              <w:widowControl/>
              <w:jc w:val="center"/>
              <w:textAlignment w:val="center"/>
              <w:rPr>
                <w:rFonts w:ascii="宋体" w:hAnsi="宋体" w:eastAsia="宋体" w:cs="宋体"/>
                <w:color w:val="000000"/>
                <w:kern w:val="0"/>
                <w:sz w:val="18"/>
                <w:szCs w:val="18"/>
                <w:lang w:bidi="ar"/>
              </w:rPr>
            </w:pPr>
          </w:p>
        </w:tc>
        <w:tc>
          <w:tcPr>
            <w:tcW w:w="1500" w:type="dxa"/>
            <w:vAlign w:val="center"/>
          </w:tcPr>
          <w:p w14:paraId="102DCE0C">
            <w:pPr>
              <w:widowControl/>
              <w:jc w:val="center"/>
              <w:textAlignment w:val="center"/>
              <w:rPr>
                <w:rFonts w:ascii="宋体" w:hAnsi="宋体" w:eastAsia="宋体" w:cs="宋体"/>
                <w:color w:val="000000"/>
                <w:kern w:val="0"/>
                <w:sz w:val="18"/>
                <w:szCs w:val="18"/>
                <w:lang w:bidi="ar"/>
              </w:rPr>
            </w:pPr>
          </w:p>
        </w:tc>
      </w:tr>
      <w:tr w14:paraId="59E8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52CCB57C">
            <w:pPr>
              <w:jc w:val="center"/>
              <w:rPr>
                <w:rFonts w:ascii="宋体" w:hAnsi="宋体" w:eastAsia="宋体" w:cs="宋体"/>
                <w:sz w:val="18"/>
                <w:szCs w:val="18"/>
              </w:rPr>
            </w:pPr>
            <w:r>
              <w:rPr>
                <w:rFonts w:hint="eastAsia" w:ascii="宋体" w:hAnsi="宋体" w:eastAsia="宋体" w:cs="宋体"/>
                <w:sz w:val="18"/>
                <w:szCs w:val="18"/>
              </w:rPr>
              <w:t>9</w:t>
            </w:r>
          </w:p>
        </w:tc>
        <w:tc>
          <w:tcPr>
            <w:tcW w:w="2663" w:type="dxa"/>
            <w:vAlign w:val="center"/>
          </w:tcPr>
          <w:p w14:paraId="4C86D7BB">
            <w:pP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工业物联网平台</w:t>
            </w:r>
          </w:p>
        </w:tc>
        <w:tc>
          <w:tcPr>
            <w:tcW w:w="1700" w:type="dxa"/>
            <w:vAlign w:val="center"/>
          </w:tcPr>
          <w:p w14:paraId="50A4C322">
            <w:pPr>
              <w:rPr>
                <w:rFonts w:ascii="宋体" w:hAnsi="宋体" w:eastAsia="宋体"/>
                <w:sz w:val="18"/>
                <w:szCs w:val="18"/>
              </w:rPr>
            </w:pPr>
            <w:r>
              <w:rPr>
                <w:rFonts w:hint="eastAsia" w:ascii="宋体" w:hAnsi="宋体" w:eastAsia="宋体"/>
                <w:sz w:val="18"/>
                <w:szCs w:val="18"/>
              </w:rPr>
              <w:t>详见附件一</w:t>
            </w:r>
          </w:p>
        </w:tc>
        <w:tc>
          <w:tcPr>
            <w:tcW w:w="900" w:type="dxa"/>
            <w:vAlign w:val="center"/>
          </w:tcPr>
          <w:p w14:paraId="76F1C79A">
            <w:pPr>
              <w:jc w:val="center"/>
              <w:rPr>
                <w:rFonts w:ascii="宋体" w:hAnsi="宋体" w:eastAsia="宋体" w:cs="宋体"/>
                <w:sz w:val="18"/>
                <w:szCs w:val="18"/>
              </w:rPr>
            </w:pPr>
            <w:r>
              <w:rPr>
                <w:rFonts w:hint="eastAsia" w:ascii="宋体" w:hAnsi="宋体" w:eastAsia="宋体" w:cs="宋体"/>
                <w:sz w:val="18"/>
                <w:szCs w:val="18"/>
              </w:rPr>
              <w:t>1</w:t>
            </w:r>
          </w:p>
        </w:tc>
        <w:tc>
          <w:tcPr>
            <w:tcW w:w="1300" w:type="dxa"/>
            <w:vAlign w:val="center"/>
          </w:tcPr>
          <w:p w14:paraId="20AB8680">
            <w:pPr>
              <w:widowControl/>
              <w:jc w:val="center"/>
              <w:textAlignment w:val="center"/>
              <w:rPr>
                <w:rFonts w:ascii="宋体" w:hAnsi="宋体" w:eastAsia="宋体" w:cs="宋体"/>
                <w:color w:val="000000"/>
                <w:kern w:val="0"/>
                <w:sz w:val="18"/>
                <w:szCs w:val="18"/>
                <w:lang w:bidi="ar"/>
              </w:rPr>
            </w:pPr>
          </w:p>
        </w:tc>
        <w:tc>
          <w:tcPr>
            <w:tcW w:w="1500" w:type="dxa"/>
            <w:vAlign w:val="center"/>
          </w:tcPr>
          <w:p w14:paraId="35E6D79B">
            <w:pPr>
              <w:widowControl/>
              <w:jc w:val="center"/>
              <w:textAlignment w:val="center"/>
              <w:rPr>
                <w:rFonts w:ascii="宋体" w:hAnsi="宋体" w:eastAsia="宋体" w:cs="宋体"/>
                <w:color w:val="000000"/>
                <w:kern w:val="0"/>
                <w:sz w:val="18"/>
                <w:szCs w:val="18"/>
                <w:lang w:bidi="ar"/>
              </w:rPr>
            </w:pPr>
          </w:p>
        </w:tc>
      </w:tr>
      <w:tr w14:paraId="20E5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0BD629BF">
            <w:pPr>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0</w:t>
            </w:r>
          </w:p>
        </w:tc>
        <w:tc>
          <w:tcPr>
            <w:tcW w:w="2663" w:type="dxa"/>
            <w:vAlign w:val="center"/>
          </w:tcPr>
          <w:p w14:paraId="1A3E5808">
            <w:pP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人工智能机器人与视觉研训平台配套教学资源可及校本教材开发</w:t>
            </w:r>
          </w:p>
        </w:tc>
        <w:tc>
          <w:tcPr>
            <w:tcW w:w="1700" w:type="dxa"/>
            <w:vAlign w:val="center"/>
          </w:tcPr>
          <w:p w14:paraId="615A995E">
            <w:pPr>
              <w:rPr>
                <w:rFonts w:ascii="宋体" w:hAnsi="宋体" w:eastAsia="宋体"/>
                <w:sz w:val="18"/>
                <w:szCs w:val="18"/>
              </w:rPr>
            </w:pPr>
            <w:r>
              <w:rPr>
                <w:rFonts w:hint="eastAsia" w:ascii="宋体" w:hAnsi="宋体" w:eastAsia="宋体"/>
                <w:sz w:val="18"/>
                <w:szCs w:val="18"/>
              </w:rPr>
              <w:t>详见附件一</w:t>
            </w:r>
          </w:p>
        </w:tc>
        <w:tc>
          <w:tcPr>
            <w:tcW w:w="900" w:type="dxa"/>
            <w:vAlign w:val="center"/>
          </w:tcPr>
          <w:p w14:paraId="2420C40D">
            <w:pPr>
              <w:jc w:val="center"/>
              <w:rPr>
                <w:rFonts w:ascii="宋体" w:hAnsi="宋体" w:eastAsia="宋体" w:cs="宋体"/>
                <w:sz w:val="18"/>
                <w:szCs w:val="18"/>
              </w:rPr>
            </w:pPr>
            <w:r>
              <w:rPr>
                <w:rFonts w:hint="eastAsia" w:ascii="宋体" w:hAnsi="宋体" w:eastAsia="宋体" w:cs="宋体"/>
                <w:sz w:val="18"/>
                <w:szCs w:val="18"/>
              </w:rPr>
              <w:t>1</w:t>
            </w:r>
          </w:p>
        </w:tc>
        <w:tc>
          <w:tcPr>
            <w:tcW w:w="1300" w:type="dxa"/>
            <w:vAlign w:val="center"/>
          </w:tcPr>
          <w:p w14:paraId="4D8EACA4">
            <w:pPr>
              <w:widowControl/>
              <w:jc w:val="center"/>
              <w:textAlignment w:val="center"/>
              <w:rPr>
                <w:rFonts w:ascii="宋体" w:hAnsi="宋体" w:eastAsia="宋体" w:cs="宋体"/>
                <w:color w:val="000000"/>
                <w:kern w:val="0"/>
                <w:sz w:val="18"/>
                <w:szCs w:val="18"/>
                <w:lang w:bidi="ar"/>
              </w:rPr>
            </w:pPr>
          </w:p>
        </w:tc>
        <w:tc>
          <w:tcPr>
            <w:tcW w:w="1500" w:type="dxa"/>
            <w:vAlign w:val="center"/>
          </w:tcPr>
          <w:p w14:paraId="1863AE5A">
            <w:pPr>
              <w:widowControl/>
              <w:jc w:val="center"/>
              <w:textAlignment w:val="center"/>
              <w:rPr>
                <w:rFonts w:ascii="宋体" w:hAnsi="宋体" w:eastAsia="宋体" w:cs="宋体"/>
                <w:color w:val="000000"/>
                <w:kern w:val="0"/>
                <w:sz w:val="18"/>
                <w:szCs w:val="18"/>
                <w:lang w:bidi="ar"/>
              </w:rPr>
            </w:pPr>
          </w:p>
        </w:tc>
      </w:tr>
      <w:tr w14:paraId="5B8B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3BC925F5">
            <w:pPr>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1</w:t>
            </w:r>
          </w:p>
        </w:tc>
        <w:tc>
          <w:tcPr>
            <w:tcW w:w="2663" w:type="dxa"/>
            <w:vAlign w:val="center"/>
          </w:tcPr>
          <w:p w14:paraId="4E43CF52">
            <w:pP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人工智能机器人与视觉研训平台培训</w:t>
            </w:r>
          </w:p>
        </w:tc>
        <w:tc>
          <w:tcPr>
            <w:tcW w:w="1700" w:type="dxa"/>
            <w:vAlign w:val="center"/>
          </w:tcPr>
          <w:p w14:paraId="74CE6807">
            <w:pPr>
              <w:rPr>
                <w:rFonts w:ascii="宋体" w:hAnsi="宋体" w:eastAsia="宋体"/>
                <w:sz w:val="18"/>
                <w:szCs w:val="18"/>
              </w:rPr>
            </w:pPr>
            <w:r>
              <w:rPr>
                <w:rFonts w:hint="eastAsia" w:ascii="宋体" w:hAnsi="宋体" w:eastAsia="宋体"/>
                <w:sz w:val="18"/>
                <w:szCs w:val="18"/>
              </w:rPr>
              <w:t>详见附件一</w:t>
            </w:r>
          </w:p>
        </w:tc>
        <w:tc>
          <w:tcPr>
            <w:tcW w:w="900" w:type="dxa"/>
            <w:vAlign w:val="center"/>
          </w:tcPr>
          <w:p w14:paraId="30EBA7DC">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1300" w:type="dxa"/>
            <w:vAlign w:val="center"/>
          </w:tcPr>
          <w:p w14:paraId="11106B16">
            <w:pPr>
              <w:widowControl/>
              <w:jc w:val="center"/>
              <w:textAlignment w:val="center"/>
              <w:rPr>
                <w:rFonts w:ascii="宋体" w:hAnsi="宋体" w:eastAsia="宋体" w:cs="宋体"/>
                <w:color w:val="000000"/>
                <w:kern w:val="0"/>
                <w:sz w:val="18"/>
                <w:szCs w:val="18"/>
                <w:lang w:bidi="ar"/>
              </w:rPr>
            </w:pPr>
          </w:p>
        </w:tc>
        <w:tc>
          <w:tcPr>
            <w:tcW w:w="1500" w:type="dxa"/>
            <w:vAlign w:val="center"/>
          </w:tcPr>
          <w:p w14:paraId="52FAC4E0">
            <w:pPr>
              <w:widowControl/>
              <w:jc w:val="center"/>
              <w:textAlignment w:val="center"/>
              <w:rPr>
                <w:rFonts w:ascii="宋体" w:hAnsi="宋体" w:eastAsia="宋体" w:cs="宋体"/>
                <w:color w:val="000000"/>
                <w:kern w:val="0"/>
                <w:sz w:val="18"/>
                <w:szCs w:val="18"/>
                <w:lang w:bidi="ar"/>
              </w:rPr>
            </w:pPr>
          </w:p>
        </w:tc>
      </w:tr>
      <w:tr w14:paraId="7FA0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3" w:type="dxa"/>
            <w:vAlign w:val="center"/>
          </w:tcPr>
          <w:p w14:paraId="0B4DA476">
            <w:pPr>
              <w:rPr>
                <w:rFonts w:ascii="宋体" w:hAnsi="宋体" w:eastAsia="宋体"/>
                <w:sz w:val="18"/>
                <w:szCs w:val="18"/>
              </w:rPr>
            </w:pPr>
          </w:p>
        </w:tc>
        <w:tc>
          <w:tcPr>
            <w:tcW w:w="2663" w:type="dxa"/>
            <w:vAlign w:val="center"/>
          </w:tcPr>
          <w:p w14:paraId="75E90E03">
            <w:pPr>
              <w:jc w:val="center"/>
              <w:rPr>
                <w:rFonts w:ascii="宋体" w:hAnsi="宋体" w:eastAsia="宋体"/>
                <w:sz w:val="18"/>
                <w:szCs w:val="18"/>
              </w:rPr>
            </w:pPr>
            <w:r>
              <w:rPr>
                <w:rFonts w:hint="eastAsia" w:ascii="宋体" w:hAnsi="宋体" w:eastAsia="宋体"/>
                <w:sz w:val="18"/>
                <w:szCs w:val="18"/>
              </w:rPr>
              <w:t>合计（元）</w:t>
            </w:r>
          </w:p>
        </w:tc>
        <w:tc>
          <w:tcPr>
            <w:tcW w:w="1700" w:type="dxa"/>
            <w:vAlign w:val="center"/>
          </w:tcPr>
          <w:p w14:paraId="17709E8C">
            <w:pPr>
              <w:rPr>
                <w:rFonts w:ascii="宋体" w:hAnsi="宋体" w:eastAsia="宋体"/>
                <w:sz w:val="18"/>
                <w:szCs w:val="18"/>
              </w:rPr>
            </w:pPr>
          </w:p>
        </w:tc>
        <w:tc>
          <w:tcPr>
            <w:tcW w:w="900" w:type="dxa"/>
            <w:vAlign w:val="center"/>
          </w:tcPr>
          <w:p w14:paraId="29C2556F">
            <w:pPr>
              <w:rPr>
                <w:rFonts w:ascii="宋体" w:hAnsi="宋体" w:eastAsia="宋体"/>
                <w:sz w:val="18"/>
                <w:szCs w:val="18"/>
              </w:rPr>
            </w:pPr>
          </w:p>
        </w:tc>
        <w:tc>
          <w:tcPr>
            <w:tcW w:w="1300" w:type="dxa"/>
            <w:vAlign w:val="center"/>
          </w:tcPr>
          <w:p w14:paraId="0086C18B">
            <w:pPr>
              <w:rPr>
                <w:rFonts w:ascii="宋体" w:hAnsi="宋体" w:eastAsia="宋体"/>
                <w:sz w:val="18"/>
                <w:szCs w:val="18"/>
              </w:rPr>
            </w:pPr>
          </w:p>
        </w:tc>
        <w:tc>
          <w:tcPr>
            <w:tcW w:w="1500" w:type="dxa"/>
            <w:vAlign w:val="center"/>
          </w:tcPr>
          <w:p w14:paraId="05AAE611">
            <w:pPr>
              <w:jc w:val="center"/>
              <w:rPr>
                <w:rFonts w:ascii="宋体" w:hAnsi="宋体" w:eastAsia="宋体"/>
                <w:sz w:val="18"/>
                <w:szCs w:val="18"/>
              </w:rPr>
            </w:pPr>
            <w:r>
              <w:rPr>
                <w:rFonts w:ascii="宋体" w:hAnsi="宋体" w:eastAsia="宋体" w:cs="宋体"/>
                <w:color w:val="000000"/>
                <w:kern w:val="0"/>
                <w:sz w:val="18"/>
                <w:szCs w:val="18"/>
                <w:lang w:bidi="ar"/>
              </w:rPr>
              <w:t>1000000</w:t>
            </w:r>
          </w:p>
        </w:tc>
      </w:tr>
    </w:tbl>
    <w:p w14:paraId="3EFD2B54">
      <w:pPr>
        <w:sectPr>
          <w:pgSz w:w="11906" w:h="16838"/>
          <w:pgMar w:top="1440" w:right="1800" w:bottom="1440" w:left="1800" w:header="851" w:footer="992" w:gutter="0"/>
          <w:cols w:space="425" w:num="1"/>
          <w:docGrid w:type="lines" w:linePitch="312" w:charSpace="0"/>
        </w:sectPr>
      </w:pPr>
    </w:p>
    <w:p w14:paraId="49C8C414">
      <w:r>
        <w:rPr>
          <w:rFonts w:hint="eastAsia"/>
        </w:rPr>
        <w:t>附件一：</w:t>
      </w:r>
    </w:p>
    <w:tbl>
      <w:tblPr>
        <w:tblStyle w:val="5"/>
        <w:tblW w:w="8998"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845"/>
        <w:gridCol w:w="6498"/>
      </w:tblGrid>
      <w:tr w14:paraId="1CB8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5" w:type="dxa"/>
            <w:vAlign w:val="center"/>
          </w:tcPr>
          <w:p w14:paraId="50C8D20F">
            <w:pPr>
              <w:jc w:val="center"/>
              <w:rPr>
                <w:rFonts w:ascii="仿宋" w:hAnsi="仿宋" w:eastAsia="仿宋" w:cs="仿宋"/>
                <w:szCs w:val="21"/>
              </w:rPr>
            </w:pPr>
            <w:r>
              <w:rPr>
                <w:rFonts w:hint="eastAsia" w:ascii="仿宋" w:hAnsi="仿宋" w:eastAsia="仿宋" w:cs="仿宋"/>
                <w:szCs w:val="21"/>
              </w:rPr>
              <w:t>序号</w:t>
            </w:r>
          </w:p>
        </w:tc>
        <w:tc>
          <w:tcPr>
            <w:tcW w:w="1845" w:type="dxa"/>
            <w:vAlign w:val="center"/>
          </w:tcPr>
          <w:p w14:paraId="453669E7">
            <w:pPr>
              <w:jc w:val="center"/>
              <w:rPr>
                <w:rFonts w:ascii="仿宋" w:hAnsi="仿宋" w:eastAsia="仿宋" w:cs="仿宋"/>
                <w:szCs w:val="21"/>
              </w:rPr>
            </w:pPr>
            <w:r>
              <w:rPr>
                <w:rFonts w:hint="eastAsia" w:ascii="仿宋" w:hAnsi="仿宋" w:eastAsia="仿宋" w:cs="仿宋"/>
                <w:szCs w:val="21"/>
              </w:rPr>
              <w:t>设备名称</w:t>
            </w:r>
          </w:p>
        </w:tc>
        <w:tc>
          <w:tcPr>
            <w:tcW w:w="6498" w:type="dxa"/>
            <w:vAlign w:val="center"/>
          </w:tcPr>
          <w:p w14:paraId="0D37777A">
            <w:pPr>
              <w:jc w:val="center"/>
              <w:rPr>
                <w:rFonts w:ascii="仿宋" w:hAnsi="仿宋" w:eastAsia="仿宋" w:cs="仿宋"/>
                <w:szCs w:val="21"/>
              </w:rPr>
            </w:pPr>
            <w:r>
              <w:rPr>
                <w:rFonts w:hint="eastAsia" w:ascii="仿宋" w:hAnsi="仿宋" w:eastAsia="仿宋" w:cs="仿宋"/>
                <w:szCs w:val="21"/>
              </w:rPr>
              <w:t>技术参数</w:t>
            </w:r>
          </w:p>
        </w:tc>
      </w:tr>
      <w:tr w14:paraId="57AE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AD1423F">
            <w:pPr>
              <w:jc w:val="center"/>
              <w:rPr>
                <w:rFonts w:ascii="仿宋" w:hAnsi="仿宋" w:eastAsia="仿宋" w:cs="仿宋"/>
                <w:szCs w:val="21"/>
              </w:rPr>
            </w:pPr>
            <w:r>
              <w:rPr>
                <w:rFonts w:hint="eastAsia" w:ascii="仿宋" w:hAnsi="仿宋" w:eastAsia="仿宋" w:cs="仿宋"/>
                <w:szCs w:val="21"/>
              </w:rPr>
              <w:t>1</w:t>
            </w:r>
          </w:p>
        </w:tc>
        <w:tc>
          <w:tcPr>
            <w:tcW w:w="1845" w:type="dxa"/>
            <w:vAlign w:val="center"/>
          </w:tcPr>
          <w:p w14:paraId="587CA980">
            <w:pPr>
              <w:jc w:val="left"/>
              <w:rPr>
                <w:rFonts w:ascii="仿宋" w:hAnsi="仿宋" w:eastAsia="仿宋" w:cs="仿宋"/>
                <w:szCs w:val="21"/>
              </w:rPr>
            </w:pPr>
            <w:r>
              <w:rPr>
                <w:rFonts w:hint="eastAsia" w:ascii="仿宋" w:hAnsi="仿宋" w:eastAsia="仿宋" w:cs="仿宋"/>
                <w:szCs w:val="21"/>
              </w:rPr>
              <w:t>人工智能机器人与视觉研训平台</w:t>
            </w:r>
          </w:p>
        </w:tc>
        <w:tc>
          <w:tcPr>
            <w:tcW w:w="6498" w:type="dxa"/>
          </w:tcPr>
          <w:p w14:paraId="2C557937">
            <w:pPr>
              <w:pStyle w:val="7"/>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 xml:space="preserve"> 整体参数1套</w:t>
            </w:r>
          </w:p>
          <w:p w14:paraId="034BF44C">
            <w:pPr>
              <w:pStyle w:val="7"/>
              <w:rPr>
                <w:rFonts w:ascii="仿宋" w:hAnsi="仿宋" w:eastAsia="仿宋" w:cs="仿宋"/>
                <w:sz w:val="21"/>
                <w:szCs w:val="21"/>
              </w:rPr>
            </w:pPr>
            <w:r>
              <w:rPr>
                <w:rFonts w:hint="eastAsia" w:ascii="仿宋" w:hAnsi="仿宋" w:eastAsia="仿宋" w:cs="仿宋"/>
                <w:sz w:val="21"/>
                <w:szCs w:val="21"/>
              </w:rPr>
              <w:t>输入电源:交流220V</w:t>
            </w:r>
          </w:p>
          <w:p w14:paraId="5FBA8842">
            <w:pPr>
              <w:pStyle w:val="7"/>
              <w:rPr>
                <w:rFonts w:ascii="仿宋" w:hAnsi="仿宋" w:eastAsia="仿宋" w:cs="仿宋"/>
                <w:sz w:val="21"/>
                <w:szCs w:val="21"/>
              </w:rPr>
            </w:pPr>
            <w:r>
              <w:rPr>
                <w:rFonts w:hint="eastAsia" w:ascii="仿宋" w:hAnsi="仿宋" w:eastAsia="仿宋" w:cs="仿宋"/>
                <w:sz w:val="21"/>
                <w:szCs w:val="21"/>
              </w:rPr>
              <w:t>最大功率:不大于1600W</w:t>
            </w:r>
          </w:p>
          <w:p w14:paraId="599B3CEC">
            <w:pPr>
              <w:pStyle w:val="7"/>
              <w:rPr>
                <w:rFonts w:ascii="仿宋" w:hAnsi="仿宋" w:eastAsia="仿宋" w:cs="仿宋"/>
                <w:sz w:val="21"/>
                <w:szCs w:val="21"/>
              </w:rPr>
            </w:pPr>
            <w:r>
              <w:rPr>
                <w:rFonts w:hint="eastAsia" w:ascii="仿宋" w:hAnsi="仿宋" w:eastAsia="仿宋" w:cs="仿宋"/>
                <w:sz w:val="21"/>
                <w:szCs w:val="21"/>
              </w:rPr>
              <w:t>主要零部件：协作机器人、计算平台、高精3D相机、双目3D相机、2D视觉相机、电夹爪、气泵、软爪、吸盘。</w:t>
            </w:r>
          </w:p>
          <w:p w14:paraId="2438B15C">
            <w:pPr>
              <w:pStyle w:val="7"/>
              <w:rPr>
                <w:rFonts w:ascii="仿宋" w:hAnsi="仿宋" w:eastAsia="仿宋" w:cs="仿宋"/>
                <w:sz w:val="21"/>
                <w:szCs w:val="21"/>
              </w:rPr>
            </w:pPr>
            <w:r>
              <w:rPr>
                <w:rFonts w:hint="eastAsia" w:ascii="仿宋" w:hAnsi="仿宋" w:eastAsia="仿宋" w:cs="仿宋"/>
                <w:sz w:val="21"/>
                <w:szCs w:val="21"/>
              </w:rPr>
              <w:t>整体尺寸：不大于2050mm x 1300m</w:t>
            </w:r>
          </w:p>
          <w:p w14:paraId="338C2C8B">
            <w:pPr>
              <w:pStyle w:val="7"/>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 xml:space="preserve"> </w:t>
            </w:r>
            <w:r>
              <w:rPr>
                <w:rFonts w:hint="eastAsia" w:ascii="仿宋" w:hAnsi="仿宋" w:eastAsia="仿宋" w:cs="仿宋"/>
                <w:sz w:val="21"/>
                <w:szCs w:val="21"/>
              </w:rPr>
              <w:t>协作机器人1台</w:t>
            </w:r>
          </w:p>
          <w:p w14:paraId="0DCB4EC1">
            <w:pPr>
              <w:pStyle w:val="7"/>
              <w:rPr>
                <w:rFonts w:ascii="仿宋" w:hAnsi="仿宋" w:eastAsia="仿宋" w:cs="仿宋"/>
                <w:sz w:val="21"/>
                <w:szCs w:val="21"/>
              </w:rPr>
            </w:pPr>
            <w:r>
              <w:rPr>
                <w:rFonts w:hint="eastAsia" w:ascii="仿宋" w:hAnsi="仿宋" w:eastAsia="仿宋" w:cs="仿宋"/>
                <w:sz w:val="21"/>
                <w:szCs w:val="21"/>
              </w:rPr>
              <w:t>性能不低于以下参数</w:t>
            </w:r>
          </w:p>
          <w:p w14:paraId="03085E9B">
            <w:pPr>
              <w:pStyle w:val="7"/>
              <w:rPr>
                <w:rFonts w:ascii="仿宋" w:hAnsi="仿宋" w:eastAsia="仿宋" w:cs="仿宋"/>
                <w:sz w:val="21"/>
                <w:szCs w:val="21"/>
              </w:rPr>
            </w:pPr>
            <w:r>
              <w:rPr>
                <w:rFonts w:hint="eastAsia" w:ascii="仿宋" w:hAnsi="仿宋" w:eastAsia="仿宋" w:cs="仿宋"/>
                <w:sz w:val="21"/>
                <w:szCs w:val="21"/>
              </w:rPr>
              <w:t>负载：3 kg</w:t>
            </w:r>
          </w:p>
          <w:p w14:paraId="1737BCC1">
            <w:pPr>
              <w:pStyle w:val="7"/>
              <w:rPr>
                <w:rFonts w:ascii="仿宋" w:hAnsi="仿宋" w:eastAsia="仿宋" w:cs="仿宋"/>
                <w:sz w:val="21"/>
                <w:szCs w:val="21"/>
              </w:rPr>
            </w:pPr>
            <w:r>
              <w:rPr>
                <w:rFonts w:hint="eastAsia" w:ascii="仿宋" w:hAnsi="仿宋" w:eastAsia="仿宋" w:cs="仿宋"/>
                <w:sz w:val="21"/>
                <w:szCs w:val="21"/>
              </w:rPr>
              <w:t>工作半径不小于590 mm</w:t>
            </w:r>
          </w:p>
          <w:p w14:paraId="4471EFF3">
            <w:pPr>
              <w:pStyle w:val="7"/>
              <w:rPr>
                <w:rFonts w:ascii="仿宋" w:hAnsi="仿宋" w:eastAsia="仿宋" w:cs="仿宋"/>
                <w:sz w:val="21"/>
                <w:szCs w:val="21"/>
              </w:rPr>
            </w:pPr>
            <w:r>
              <w:rPr>
                <w:rFonts w:hint="eastAsia" w:ascii="仿宋" w:hAnsi="仿宋" w:eastAsia="仿宋" w:cs="仿宋"/>
                <w:sz w:val="21"/>
                <w:szCs w:val="21"/>
              </w:rPr>
              <w:t>自由度：6</w:t>
            </w:r>
          </w:p>
          <w:p w14:paraId="00D44F1E">
            <w:pPr>
              <w:pStyle w:val="7"/>
              <w:rPr>
                <w:rFonts w:ascii="仿宋" w:hAnsi="仿宋" w:eastAsia="仿宋" w:cs="仿宋"/>
                <w:sz w:val="21"/>
                <w:szCs w:val="21"/>
              </w:rPr>
            </w:pPr>
            <w:r>
              <w:rPr>
                <w:rFonts w:hint="eastAsia" w:ascii="仿宋" w:hAnsi="仿宋" w:eastAsia="仿宋" w:cs="仿宋"/>
                <w:sz w:val="21"/>
                <w:szCs w:val="21"/>
              </w:rPr>
              <w:t>IP防护等级： IP54</w:t>
            </w:r>
          </w:p>
          <w:p w14:paraId="2F438CFC">
            <w:pPr>
              <w:pStyle w:val="7"/>
              <w:rPr>
                <w:rFonts w:ascii="仿宋" w:hAnsi="仿宋" w:eastAsia="仿宋" w:cs="仿宋"/>
                <w:sz w:val="21"/>
                <w:szCs w:val="21"/>
              </w:rPr>
            </w:pPr>
            <w:r>
              <w:rPr>
                <w:rFonts w:hint="eastAsia" w:ascii="仿宋" w:hAnsi="仿宋" w:eastAsia="仿宋" w:cs="仿宋"/>
                <w:sz w:val="21"/>
                <w:szCs w:val="21"/>
              </w:rPr>
              <w:t>重复定位精度：±0.02 mm</w:t>
            </w:r>
          </w:p>
          <w:p w14:paraId="66616BAC">
            <w:pPr>
              <w:pStyle w:val="7"/>
              <w:rPr>
                <w:rFonts w:ascii="仿宋" w:hAnsi="仿宋" w:eastAsia="仿宋" w:cs="仿宋"/>
                <w:sz w:val="21"/>
                <w:szCs w:val="21"/>
              </w:rPr>
            </w:pPr>
            <w:r>
              <w:rPr>
                <w:rFonts w:hint="eastAsia" w:ascii="仿宋" w:hAnsi="仿宋" w:eastAsia="仿宋" w:cs="仿宋"/>
                <w:sz w:val="21"/>
                <w:szCs w:val="21"/>
              </w:rPr>
              <w:t>通讯: TCP/IP ， ModbusTCP</w:t>
            </w:r>
          </w:p>
          <w:p w14:paraId="1809E411">
            <w:pPr>
              <w:pStyle w:val="7"/>
              <w:rPr>
                <w:rFonts w:ascii="仿宋" w:hAnsi="仿宋" w:eastAsia="仿宋" w:cs="仿宋"/>
                <w:sz w:val="21"/>
                <w:szCs w:val="21"/>
              </w:rPr>
            </w:pPr>
            <w:r>
              <w:rPr>
                <w:rFonts w:hint="eastAsia" w:ascii="仿宋" w:hAnsi="仿宋" w:eastAsia="仿宋" w:cs="仿宋"/>
                <w:sz w:val="21"/>
                <w:szCs w:val="21"/>
              </w:rPr>
              <w:t>编程:图形化编程，远程调用接口</w:t>
            </w:r>
          </w:p>
          <w:p w14:paraId="034992B5">
            <w:pPr>
              <w:pStyle w:val="7"/>
              <w:rPr>
                <w:rFonts w:ascii="仿宋" w:hAnsi="仿宋" w:eastAsia="仿宋" w:cs="仿宋"/>
                <w:sz w:val="21"/>
                <w:szCs w:val="21"/>
              </w:rPr>
            </w:pPr>
            <w:r>
              <w:rPr>
                <w:rFonts w:hint="eastAsia" w:ascii="仿宋" w:hAnsi="仿宋" w:eastAsia="仿宋" w:cs="仿宋"/>
                <w:sz w:val="21"/>
                <w:szCs w:val="21"/>
              </w:rPr>
              <w:t>工作温度范围：0~+50℃</w:t>
            </w:r>
          </w:p>
          <w:p w14:paraId="4F02510E">
            <w:pPr>
              <w:pStyle w:val="7"/>
              <w:rPr>
                <w:rFonts w:ascii="仿宋" w:hAnsi="仿宋" w:eastAsia="仿宋" w:cs="仿宋"/>
                <w:sz w:val="21"/>
                <w:szCs w:val="21"/>
              </w:rPr>
            </w:pPr>
            <w:r>
              <w:rPr>
                <w:rFonts w:hint="eastAsia" w:ascii="仿宋" w:hAnsi="仿宋" w:eastAsia="仿宋" w:cs="仿宋"/>
                <w:sz w:val="21"/>
                <w:szCs w:val="21"/>
              </w:rPr>
              <w:t>拖拽示教：支持</w:t>
            </w:r>
          </w:p>
          <w:p w14:paraId="1A277C0C">
            <w:pPr>
              <w:pStyle w:val="7"/>
              <w:rPr>
                <w:rFonts w:ascii="仿宋" w:hAnsi="仿宋" w:eastAsia="仿宋" w:cs="仿宋"/>
                <w:sz w:val="21"/>
                <w:szCs w:val="21"/>
              </w:rPr>
            </w:pPr>
            <w:r>
              <w:rPr>
                <w:rFonts w:hint="eastAsia" w:ascii="仿宋" w:hAnsi="仿宋" w:eastAsia="仿宋" w:cs="仿宋"/>
                <w:sz w:val="21"/>
                <w:szCs w:val="21"/>
              </w:rPr>
              <w:t>图形化编程界面：支持</w:t>
            </w:r>
          </w:p>
          <w:p w14:paraId="12C84BBB">
            <w:pPr>
              <w:pStyle w:val="7"/>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 xml:space="preserve"> </w:t>
            </w:r>
            <w:r>
              <w:rPr>
                <w:rFonts w:hint="eastAsia" w:ascii="仿宋" w:hAnsi="仿宋" w:eastAsia="仿宋" w:cs="仿宋"/>
                <w:sz w:val="21"/>
                <w:szCs w:val="21"/>
              </w:rPr>
              <w:t>2D相机1套</w:t>
            </w:r>
          </w:p>
          <w:p w14:paraId="35FFFC21">
            <w:pPr>
              <w:pStyle w:val="7"/>
              <w:rPr>
                <w:rFonts w:ascii="仿宋" w:hAnsi="仿宋" w:eastAsia="仿宋" w:cs="仿宋"/>
                <w:sz w:val="21"/>
                <w:szCs w:val="21"/>
              </w:rPr>
            </w:pPr>
            <w:r>
              <w:rPr>
                <w:rFonts w:hint="eastAsia" w:ascii="仿宋" w:hAnsi="仿宋" w:eastAsia="仿宋" w:cs="仿宋"/>
                <w:sz w:val="21"/>
                <w:szCs w:val="21"/>
              </w:rPr>
              <w:t>性能不低于以下参数</w:t>
            </w:r>
          </w:p>
          <w:p w14:paraId="24ECA754">
            <w:pPr>
              <w:pStyle w:val="7"/>
              <w:rPr>
                <w:rFonts w:ascii="仿宋" w:hAnsi="仿宋" w:eastAsia="仿宋" w:cs="仿宋"/>
                <w:sz w:val="21"/>
                <w:szCs w:val="21"/>
              </w:rPr>
            </w:pPr>
            <w:r>
              <w:rPr>
                <w:rFonts w:hint="eastAsia" w:ascii="仿宋" w:hAnsi="仿宋" w:eastAsia="仿宋" w:cs="仿宋"/>
                <w:sz w:val="21"/>
                <w:szCs w:val="21"/>
              </w:rPr>
              <w:t>分辨率：3072 × 2048，最大帧率：19.1 fps @3072 × 2048 Bayer RG 8，快门模式：支持自动曝光、手动曝光、一键曝光模式，支持 Global Reset 和 Trigger Rolling 功能，数据接口： Gigabit Ethernet（1000Mbit/s）兼容 Fast Ethernet（100Mbit/s），供电：9 ~ 24 VDC，支持 PoE 供电， IP 防护等级： IP40</w:t>
            </w:r>
          </w:p>
          <w:p w14:paraId="6FEB2879">
            <w:pPr>
              <w:pStyle w:val="7"/>
              <w:rPr>
                <w:rFonts w:ascii="仿宋" w:hAnsi="仿宋" w:eastAsia="仿宋" w:cs="仿宋"/>
                <w:sz w:val="21"/>
                <w:szCs w:val="21"/>
              </w:rPr>
            </w:pPr>
            <w:r>
              <w:rPr>
                <w:rFonts w:hint="eastAsia" w:ascii="仿宋" w:hAnsi="仿宋" w:eastAsia="仿宋" w:cs="仿宋"/>
                <w:sz w:val="21"/>
                <w:szCs w:val="21"/>
              </w:rPr>
              <w:t>4.</w:t>
            </w:r>
            <w:r>
              <w:rPr>
                <w:rFonts w:ascii="仿宋" w:hAnsi="仿宋" w:eastAsia="仿宋" w:cs="仿宋"/>
                <w:sz w:val="21"/>
                <w:szCs w:val="21"/>
              </w:rPr>
              <w:t xml:space="preserve"> </w:t>
            </w:r>
            <w:r>
              <w:rPr>
                <w:rFonts w:hint="eastAsia" w:ascii="仿宋" w:hAnsi="仿宋" w:eastAsia="仿宋" w:cs="仿宋"/>
                <w:sz w:val="21"/>
                <w:szCs w:val="21"/>
              </w:rPr>
              <w:t>3D相机1套</w:t>
            </w:r>
          </w:p>
          <w:p w14:paraId="045A73C8">
            <w:pPr>
              <w:pStyle w:val="7"/>
              <w:rPr>
                <w:rFonts w:ascii="仿宋" w:hAnsi="仿宋" w:eastAsia="仿宋" w:cs="仿宋"/>
                <w:sz w:val="21"/>
                <w:szCs w:val="21"/>
              </w:rPr>
            </w:pPr>
            <w:r>
              <w:rPr>
                <w:rFonts w:hint="eastAsia" w:ascii="仿宋" w:hAnsi="仿宋" w:eastAsia="仿宋" w:cs="仿宋"/>
                <w:sz w:val="21"/>
                <w:szCs w:val="21"/>
              </w:rPr>
              <w:t>性能不低于以下参数</w:t>
            </w:r>
          </w:p>
          <w:p w14:paraId="050187A8">
            <w:pPr>
              <w:pStyle w:val="7"/>
              <w:rPr>
                <w:rFonts w:ascii="仿宋" w:hAnsi="仿宋" w:eastAsia="仿宋" w:cs="仿宋"/>
                <w:sz w:val="21"/>
                <w:szCs w:val="21"/>
              </w:rPr>
            </w:pPr>
            <w:r>
              <w:rPr>
                <w:rFonts w:hint="eastAsia" w:ascii="仿宋" w:hAnsi="仿宋" w:eastAsia="仿宋" w:cs="仿宋"/>
                <w:sz w:val="21"/>
                <w:szCs w:val="21"/>
              </w:rPr>
              <w:t>近视场：310 mm × 210 mm，远视场：9200 mm × 5200 mm，净距离（CD）：200 mm，测量范围（MR）：4800 mm，视场角：84° × 55°，分辨率：1280 × 720 @30 fps 640 × 360 @30 fps，最大帧率：30 fps，激光安全等级： Class 1</w:t>
            </w:r>
          </w:p>
          <w:p w14:paraId="1A4536D0">
            <w:pPr>
              <w:pStyle w:val="7"/>
              <w:rPr>
                <w:rFonts w:ascii="仿宋" w:hAnsi="仿宋" w:eastAsia="仿宋" w:cs="仿宋"/>
                <w:sz w:val="21"/>
                <w:szCs w:val="21"/>
              </w:rPr>
            </w:pPr>
            <w:r>
              <w:rPr>
                <w:rFonts w:hint="eastAsia" w:ascii="仿宋" w:hAnsi="仿宋" w:eastAsia="仿宋" w:cs="仿宋"/>
                <w:sz w:val="21"/>
                <w:szCs w:val="21"/>
              </w:rPr>
              <w:t>5.</w:t>
            </w:r>
            <w:r>
              <w:rPr>
                <w:rFonts w:ascii="仿宋" w:hAnsi="仿宋" w:eastAsia="仿宋" w:cs="仿宋"/>
                <w:sz w:val="21"/>
                <w:szCs w:val="21"/>
              </w:rPr>
              <w:t xml:space="preserve"> </w:t>
            </w:r>
            <w:r>
              <w:rPr>
                <w:rFonts w:hint="eastAsia" w:ascii="仿宋" w:hAnsi="仿宋" w:eastAsia="仿宋" w:cs="仿宋"/>
                <w:sz w:val="21"/>
                <w:szCs w:val="21"/>
              </w:rPr>
              <w:t>高精3D相机1套</w:t>
            </w:r>
          </w:p>
          <w:p w14:paraId="13B6FBA6">
            <w:pPr>
              <w:pStyle w:val="7"/>
              <w:rPr>
                <w:rFonts w:ascii="仿宋" w:hAnsi="仿宋" w:eastAsia="仿宋" w:cs="仿宋"/>
                <w:sz w:val="21"/>
                <w:szCs w:val="21"/>
              </w:rPr>
            </w:pPr>
            <w:r>
              <w:rPr>
                <w:rFonts w:hint="eastAsia" w:ascii="仿宋" w:hAnsi="仿宋" w:eastAsia="仿宋" w:cs="仿宋"/>
                <w:sz w:val="21"/>
                <w:szCs w:val="21"/>
              </w:rPr>
              <w:t>性能不低于以下参数</w:t>
            </w:r>
          </w:p>
          <w:p w14:paraId="41466643">
            <w:pPr>
              <w:pStyle w:val="7"/>
              <w:rPr>
                <w:rFonts w:ascii="仿宋" w:hAnsi="仿宋" w:eastAsia="仿宋" w:cs="仿宋"/>
                <w:sz w:val="21"/>
                <w:szCs w:val="21"/>
              </w:rPr>
            </w:pPr>
            <w:r>
              <w:rPr>
                <w:rFonts w:hint="eastAsia" w:ascii="仿宋" w:hAnsi="仿宋" w:eastAsia="仿宋" w:cs="仿宋"/>
                <w:sz w:val="21"/>
                <w:szCs w:val="21"/>
              </w:rPr>
              <w:t>近端视场：400 × 270mm @ 0.4m ，远端视场：770 × 550mm @ 0.8m ，工作距离400~800mm ，分辨率：2400 × 1800，像素数：4.3MP ， 尺寸：125 × 46 × 76mm ，IP 防护等级：IP65，工作温度 0 ~ 45℃</w:t>
            </w:r>
          </w:p>
          <w:p w14:paraId="166D8441">
            <w:pPr>
              <w:pStyle w:val="7"/>
              <w:rPr>
                <w:rFonts w:ascii="仿宋" w:hAnsi="仿宋" w:eastAsia="仿宋" w:cs="仿宋"/>
                <w:sz w:val="21"/>
                <w:szCs w:val="21"/>
              </w:rPr>
            </w:pPr>
            <w:r>
              <w:rPr>
                <w:rFonts w:hint="eastAsia" w:ascii="仿宋" w:hAnsi="仿宋" w:eastAsia="仿宋" w:cs="仿宋"/>
                <w:sz w:val="21"/>
                <w:szCs w:val="21"/>
              </w:rPr>
              <w:t>6.</w:t>
            </w:r>
            <w:r>
              <w:rPr>
                <w:rFonts w:ascii="仿宋" w:hAnsi="仿宋" w:eastAsia="仿宋" w:cs="仿宋"/>
                <w:sz w:val="21"/>
                <w:szCs w:val="21"/>
              </w:rPr>
              <w:t xml:space="preserve"> </w:t>
            </w:r>
            <w:r>
              <w:rPr>
                <w:rFonts w:hint="eastAsia" w:ascii="仿宋" w:hAnsi="仿宋" w:eastAsia="仿宋" w:cs="仿宋"/>
                <w:sz w:val="21"/>
                <w:szCs w:val="21"/>
              </w:rPr>
              <w:t>编程平台1套</w:t>
            </w:r>
          </w:p>
          <w:p w14:paraId="546B7022">
            <w:pPr>
              <w:pStyle w:val="7"/>
              <w:rPr>
                <w:rFonts w:ascii="仿宋" w:hAnsi="仿宋" w:eastAsia="仿宋" w:cs="仿宋"/>
                <w:sz w:val="21"/>
                <w:szCs w:val="21"/>
              </w:rPr>
            </w:pPr>
            <w:r>
              <w:rPr>
                <w:rFonts w:hint="eastAsia" w:ascii="仿宋" w:hAnsi="仿宋" w:eastAsia="仿宋" w:cs="仿宋"/>
                <w:sz w:val="21"/>
                <w:szCs w:val="21"/>
              </w:rPr>
              <w:t>性能不低于以下参数</w:t>
            </w:r>
          </w:p>
          <w:p w14:paraId="710F2FD6">
            <w:pPr>
              <w:pStyle w:val="7"/>
              <w:rPr>
                <w:rFonts w:ascii="仿宋" w:hAnsi="仿宋" w:eastAsia="仿宋" w:cs="仿宋"/>
                <w:sz w:val="21"/>
                <w:szCs w:val="21"/>
              </w:rPr>
            </w:pPr>
            <w:r>
              <w:rPr>
                <w:rFonts w:hint="eastAsia" w:ascii="仿宋" w:hAnsi="仿宋" w:eastAsia="仿宋" w:cs="仿宋"/>
                <w:sz w:val="21"/>
                <w:szCs w:val="21"/>
              </w:rPr>
              <w:t>CPU： Intel Core I7处理器，显卡： 8GB独立显卡，内存：32GB ，硬盘：1T 硬盘</w:t>
            </w:r>
          </w:p>
          <w:p w14:paraId="75A81C12">
            <w:pPr>
              <w:pStyle w:val="7"/>
              <w:rPr>
                <w:rFonts w:ascii="仿宋" w:hAnsi="仿宋" w:eastAsia="仿宋" w:cs="仿宋"/>
                <w:sz w:val="21"/>
                <w:szCs w:val="21"/>
              </w:rPr>
            </w:pPr>
            <w:r>
              <w:rPr>
                <w:rFonts w:hint="eastAsia" w:ascii="仿宋" w:hAnsi="仿宋" w:eastAsia="仿宋" w:cs="仿宋"/>
                <w:sz w:val="21"/>
                <w:szCs w:val="21"/>
              </w:rPr>
              <w:t>7.</w:t>
            </w:r>
            <w:r>
              <w:rPr>
                <w:rFonts w:ascii="仿宋" w:hAnsi="仿宋" w:eastAsia="仿宋" w:cs="仿宋"/>
                <w:sz w:val="21"/>
                <w:szCs w:val="21"/>
              </w:rPr>
              <w:t xml:space="preserve"> </w:t>
            </w:r>
            <w:r>
              <w:rPr>
                <w:rFonts w:hint="eastAsia" w:ascii="仿宋" w:hAnsi="仿宋" w:eastAsia="仿宋" w:cs="仿宋"/>
                <w:sz w:val="21"/>
                <w:szCs w:val="21"/>
              </w:rPr>
              <w:t>实验台1套</w:t>
            </w:r>
          </w:p>
          <w:p w14:paraId="151DC826">
            <w:pPr>
              <w:pStyle w:val="7"/>
              <w:rPr>
                <w:rFonts w:ascii="仿宋" w:hAnsi="仿宋" w:eastAsia="仿宋" w:cs="仿宋"/>
                <w:sz w:val="21"/>
                <w:szCs w:val="21"/>
              </w:rPr>
            </w:pPr>
            <w:r>
              <w:rPr>
                <w:rFonts w:hint="eastAsia" w:ascii="仿宋" w:hAnsi="仿宋" w:eastAsia="仿宋" w:cs="仿宋"/>
                <w:sz w:val="21"/>
                <w:szCs w:val="21"/>
              </w:rPr>
              <w:t>至少包含以下实验工具：</w:t>
            </w:r>
          </w:p>
          <w:p w14:paraId="73890E86">
            <w:pPr>
              <w:pStyle w:val="7"/>
              <w:rPr>
                <w:rFonts w:ascii="仿宋" w:hAnsi="仿宋" w:eastAsia="仿宋" w:cs="仿宋"/>
                <w:sz w:val="21"/>
                <w:szCs w:val="21"/>
              </w:rPr>
            </w:pPr>
            <w:r>
              <w:rPr>
                <w:rFonts w:hint="eastAsia" w:ascii="仿宋" w:hAnsi="仿宋" w:eastAsia="仿宋" w:cs="仿宋"/>
                <w:sz w:val="21"/>
                <w:szCs w:val="21"/>
              </w:rPr>
              <w:t>实验桌 x 1张，PCB贴片实验物料x 1套，物流拆码垛实验物料 x 1套，无序分拣实验物料 x 1套，螺丝拣选实验物料 x 1套，水果采摘实验物料 x 1套</w:t>
            </w:r>
          </w:p>
          <w:p w14:paraId="40A098D5">
            <w:pPr>
              <w:pStyle w:val="7"/>
              <w:rPr>
                <w:rFonts w:ascii="仿宋" w:hAnsi="仿宋" w:eastAsia="仿宋" w:cs="仿宋"/>
                <w:sz w:val="21"/>
                <w:szCs w:val="21"/>
              </w:rPr>
            </w:pPr>
            <w:r>
              <w:rPr>
                <w:rFonts w:hint="eastAsia" w:ascii="仿宋" w:hAnsi="仿宋" w:eastAsia="仿宋" w:cs="仿宋"/>
                <w:sz w:val="21"/>
                <w:szCs w:val="21"/>
              </w:rPr>
              <w:t>8.</w:t>
            </w:r>
            <w:r>
              <w:rPr>
                <w:rFonts w:ascii="仿宋" w:hAnsi="仿宋" w:eastAsia="仿宋" w:cs="仿宋"/>
                <w:sz w:val="21"/>
                <w:szCs w:val="21"/>
              </w:rPr>
              <w:t xml:space="preserve"> </w:t>
            </w:r>
            <w:r>
              <w:rPr>
                <w:rFonts w:hint="eastAsia" w:ascii="仿宋" w:hAnsi="仿宋" w:eastAsia="仿宋" w:cs="仿宋"/>
                <w:sz w:val="21"/>
                <w:szCs w:val="21"/>
              </w:rPr>
              <w:t>桌椅1套</w:t>
            </w:r>
          </w:p>
          <w:p w14:paraId="0EEFCCF4">
            <w:pPr>
              <w:pStyle w:val="7"/>
              <w:rPr>
                <w:rFonts w:ascii="仿宋" w:hAnsi="仿宋" w:eastAsia="仿宋" w:cs="仿宋"/>
                <w:sz w:val="21"/>
                <w:szCs w:val="21"/>
              </w:rPr>
            </w:pPr>
            <w:r>
              <w:rPr>
                <w:rFonts w:hint="eastAsia" w:ascii="仿宋" w:hAnsi="仿宋" w:eastAsia="仿宋" w:cs="仿宋"/>
                <w:sz w:val="21"/>
                <w:szCs w:val="21"/>
              </w:rPr>
              <w:t>桌子x1张，椅子x 1把</w:t>
            </w:r>
          </w:p>
          <w:p w14:paraId="108B8ADB">
            <w:pPr>
              <w:pStyle w:val="7"/>
              <w:rPr>
                <w:rFonts w:ascii="仿宋" w:hAnsi="仿宋" w:eastAsia="仿宋" w:cs="仿宋"/>
                <w:sz w:val="21"/>
                <w:szCs w:val="21"/>
              </w:rPr>
            </w:pPr>
            <w:r>
              <w:rPr>
                <w:rFonts w:hint="eastAsia" w:ascii="仿宋" w:hAnsi="仿宋" w:eastAsia="仿宋" w:cs="仿宋"/>
                <w:sz w:val="21"/>
                <w:szCs w:val="21"/>
              </w:rPr>
              <w:t>9.</w:t>
            </w:r>
            <w:r>
              <w:rPr>
                <w:rFonts w:ascii="仿宋" w:hAnsi="仿宋" w:eastAsia="仿宋" w:cs="仿宋"/>
                <w:sz w:val="21"/>
                <w:szCs w:val="21"/>
              </w:rPr>
              <w:t xml:space="preserve"> </w:t>
            </w:r>
            <w:r>
              <w:rPr>
                <w:rFonts w:hint="eastAsia" w:ascii="仿宋" w:hAnsi="仿宋" w:eastAsia="仿宋" w:cs="仿宋"/>
                <w:sz w:val="21"/>
                <w:szCs w:val="21"/>
              </w:rPr>
              <w:t>工具1套</w:t>
            </w:r>
          </w:p>
          <w:p w14:paraId="79123B88">
            <w:pPr>
              <w:pStyle w:val="7"/>
              <w:rPr>
                <w:rFonts w:ascii="仿宋" w:hAnsi="仿宋" w:eastAsia="仿宋" w:cs="仿宋"/>
                <w:sz w:val="21"/>
                <w:szCs w:val="21"/>
              </w:rPr>
            </w:pPr>
            <w:r>
              <w:rPr>
                <w:rFonts w:hint="eastAsia" w:ascii="仿宋" w:hAnsi="仿宋" w:eastAsia="仿宋" w:cs="仿宋"/>
                <w:sz w:val="21"/>
                <w:szCs w:val="21"/>
              </w:rPr>
              <w:t>插排 x 1个，工具箱 x 1套，</w:t>
            </w:r>
          </w:p>
          <w:p w14:paraId="1FCD51C4">
            <w:pPr>
              <w:pStyle w:val="7"/>
              <w:rPr>
                <w:rFonts w:ascii="仿宋" w:hAnsi="仿宋" w:eastAsia="仿宋" w:cs="仿宋"/>
                <w:sz w:val="21"/>
                <w:szCs w:val="21"/>
              </w:rPr>
            </w:pPr>
            <w:r>
              <w:rPr>
                <w:rFonts w:hint="eastAsia" w:ascii="仿宋" w:hAnsi="仿宋" w:eastAsia="仿宋" w:cs="仿宋"/>
                <w:sz w:val="21"/>
                <w:szCs w:val="21"/>
              </w:rPr>
              <w:t>10.</w:t>
            </w:r>
            <w:r>
              <w:rPr>
                <w:rFonts w:ascii="仿宋" w:hAnsi="仿宋" w:eastAsia="仿宋" w:cs="仿宋"/>
                <w:sz w:val="21"/>
                <w:szCs w:val="21"/>
              </w:rPr>
              <w:t xml:space="preserve"> </w:t>
            </w:r>
            <w:r>
              <w:rPr>
                <w:rFonts w:hint="eastAsia" w:ascii="仿宋" w:hAnsi="仿宋" w:eastAsia="仿宋" w:cs="仿宋"/>
                <w:sz w:val="21"/>
                <w:szCs w:val="21"/>
              </w:rPr>
              <w:t>视觉软件1套</w:t>
            </w:r>
          </w:p>
          <w:p w14:paraId="68DA839D">
            <w:pPr>
              <w:pStyle w:val="7"/>
              <w:rPr>
                <w:rFonts w:ascii="仿宋" w:hAnsi="仿宋" w:eastAsia="仿宋" w:cs="仿宋"/>
                <w:sz w:val="21"/>
                <w:szCs w:val="21"/>
              </w:rPr>
            </w:pPr>
            <w:r>
              <w:rPr>
                <w:rFonts w:hint="eastAsia" w:ascii="仿宋" w:hAnsi="仿宋" w:eastAsia="仿宋" w:cs="仿宋"/>
                <w:sz w:val="21"/>
                <w:szCs w:val="21"/>
              </w:rPr>
              <w:t>支持以下功能：</w:t>
            </w:r>
          </w:p>
          <w:p w14:paraId="6E64DE21">
            <w:pPr>
              <w:pStyle w:val="7"/>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1</w:t>
            </w:r>
            <w:r>
              <w:rPr>
                <w:rFonts w:ascii="仿宋" w:hAnsi="仿宋" w:eastAsia="仿宋" w:cs="仿宋"/>
                <w:sz w:val="21"/>
                <w:szCs w:val="21"/>
              </w:rPr>
              <w:t>)</w:t>
            </w:r>
            <w:r>
              <w:rPr>
                <w:rFonts w:hint="eastAsia" w:ascii="仿宋" w:hAnsi="仿宋" w:eastAsia="仿宋" w:cs="仿宋"/>
                <w:sz w:val="21"/>
                <w:szCs w:val="21"/>
              </w:rPr>
              <w:t>场景搭建：机器人场景搭建、相机场景搭建、末端工具场景搭建、工件场景搭建。</w:t>
            </w:r>
          </w:p>
          <w:p w14:paraId="1F352B1D">
            <w:pPr>
              <w:pStyle w:val="7"/>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通讯配置：支持TCP、ModBus、S7格式的通讯协议。</w:t>
            </w:r>
          </w:p>
          <w:p w14:paraId="2E9485E8">
            <w:pPr>
              <w:pStyle w:val="7"/>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任务流程搭建及配置：接受数据、分支、触发视觉流程、获取视觉结果、视觉排序、位姿转欧拉角、协议解析、协议封装、发送数据。</w:t>
            </w:r>
          </w:p>
          <w:p w14:paraId="7FB0E737">
            <w:pPr>
              <w:pStyle w:val="7"/>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4</w:t>
            </w:r>
            <w:r>
              <w:rPr>
                <w:rFonts w:ascii="仿宋" w:hAnsi="仿宋" w:eastAsia="仿宋" w:cs="仿宋"/>
                <w:sz w:val="21"/>
                <w:szCs w:val="21"/>
              </w:rPr>
              <w:t>)</w:t>
            </w:r>
            <w:r>
              <w:rPr>
                <w:rFonts w:hint="eastAsia" w:ascii="仿宋" w:hAnsi="仿宋" w:eastAsia="仿宋" w:cs="仿宋"/>
                <w:sz w:val="21"/>
                <w:szCs w:val="21"/>
              </w:rPr>
              <w:t>视觉定位、尺寸测量、缺陷检测以及信息识别等机器视觉功能应用。</w:t>
            </w:r>
          </w:p>
          <w:p w14:paraId="5F09BFED">
            <w:pPr>
              <w:pStyle w:val="7"/>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5</w:t>
            </w:r>
            <w:r>
              <w:rPr>
                <w:rFonts w:ascii="仿宋" w:hAnsi="仿宋" w:eastAsia="仿宋" w:cs="仿宋"/>
                <w:sz w:val="21"/>
                <w:szCs w:val="21"/>
              </w:rPr>
              <w:t>)</w:t>
            </w:r>
            <w:r>
              <w:rPr>
                <w:rFonts w:hint="eastAsia" w:ascii="仿宋" w:hAnsi="仿宋" w:eastAsia="仿宋" w:cs="仿宋"/>
                <w:sz w:val="21"/>
                <w:szCs w:val="21"/>
              </w:rPr>
              <w:t>定位与测量工具：精确高效定位图像中的任意几何体元素。</w:t>
            </w:r>
          </w:p>
          <w:p w14:paraId="76311C1F">
            <w:pPr>
              <w:pStyle w:val="7"/>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6</w:t>
            </w:r>
            <w:r>
              <w:rPr>
                <w:rFonts w:ascii="仿宋" w:hAnsi="仿宋" w:eastAsia="仿宋" w:cs="仿宋"/>
                <w:sz w:val="21"/>
                <w:szCs w:val="21"/>
              </w:rPr>
              <w:t>)</w:t>
            </w:r>
            <w:r>
              <w:rPr>
                <w:rFonts w:hint="eastAsia" w:ascii="仿宋" w:hAnsi="仿宋" w:eastAsia="仿宋" w:cs="仿宋"/>
                <w:sz w:val="21"/>
                <w:szCs w:val="21"/>
              </w:rPr>
              <w:t>识别工具：快速准确地进行数字信息码读取。</w:t>
            </w:r>
          </w:p>
          <w:p w14:paraId="55830C63">
            <w:pPr>
              <w:pStyle w:val="7"/>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7</w:t>
            </w:r>
            <w:r>
              <w:rPr>
                <w:rFonts w:ascii="仿宋" w:hAnsi="仿宋" w:eastAsia="仿宋" w:cs="仿宋"/>
                <w:sz w:val="21"/>
                <w:szCs w:val="21"/>
              </w:rPr>
              <w:t>)</w:t>
            </w:r>
            <w:r>
              <w:rPr>
                <w:rFonts w:hint="eastAsia" w:ascii="仿宋" w:hAnsi="仿宋" w:eastAsia="仿宋" w:cs="仿宋"/>
                <w:sz w:val="21"/>
                <w:szCs w:val="21"/>
              </w:rPr>
              <w:t>缺陷检测工具：准确识别工件表面、形状、轮廓的缺陷。</w:t>
            </w:r>
          </w:p>
          <w:p w14:paraId="19CF7A04">
            <w:pPr>
              <w:pStyle w:val="7"/>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8</w:t>
            </w:r>
            <w:r>
              <w:rPr>
                <w:rFonts w:ascii="仿宋" w:hAnsi="仿宋" w:eastAsia="仿宋" w:cs="仿宋"/>
                <w:sz w:val="21"/>
                <w:szCs w:val="21"/>
              </w:rPr>
              <w:t>)</w:t>
            </w:r>
            <w:r>
              <w:rPr>
                <w:rFonts w:hint="eastAsia" w:ascii="仿宋" w:hAnsi="仿宋" w:eastAsia="仿宋" w:cs="仿宋"/>
                <w:sz w:val="21"/>
                <w:szCs w:val="21"/>
              </w:rPr>
              <w:t>深度学习工具：适应复杂工业环境，保证算法效果。</w:t>
            </w:r>
          </w:p>
          <w:p w14:paraId="37FB3BB8">
            <w:pPr>
              <w:pStyle w:val="7"/>
              <w:rPr>
                <w:rFonts w:ascii="仿宋" w:hAnsi="仿宋" w:eastAsia="仿宋" w:cs="仿宋"/>
                <w:sz w:val="21"/>
                <w:szCs w:val="21"/>
              </w:rPr>
            </w:pPr>
            <w:r>
              <w:rPr>
                <w:rFonts w:hint="eastAsia" w:ascii="仿宋" w:hAnsi="仿宋" w:eastAsia="仿宋" w:cs="仿宋"/>
                <w:sz w:val="21"/>
                <w:szCs w:val="21"/>
              </w:rPr>
              <w:t>11.</w:t>
            </w:r>
            <w:r>
              <w:rPr>
                <w:rFonts w:ascii="仿宋" w:hAnsi="仿宋" w:eastAsia="仿宋" w:cs="仿宋"/>
                <w:sz w:val="21"/>
                <w:szCs w:val="21"/>
              </w:rPr>
              <w:t xml:space="preserve"> </w:t>
            </w:r>
            <w:r>
              <w:rPr>
                <w:rFonts w:hint="eastAsia" w:ascii="仿宋" w:hAnsi="仿宋" w:eastAsia="仿宋" w:cs="仿宋"/>
                <w:sz w:val="21"/>
                <w:szCs w:val="21"/>
              </w:rPr>
              <w:t>深度学习训练软件1套</w:t>
            </w:r>
          </w:p>
          <w:p w14:paraId="30DE1969">
            <w:pPr>
              <w:pStyle w:val="7"/>
              <w:rPr>
                <w:rFonts w:ascii="仿宋" w:hAnsi="仿宋" w:eastAsia="仿宋" w:cs="仿宋"/>
                <w:sz w:val="21"/>
                <w:szCs w:val="21"/>
              </w:rPr>
            </w:pPr>
            <w:r>
              <w:rPr>
                <w:rFonts w:hint="eastAsia" w:ascii="仿宋" w:hAnsi="仿宋" w:eastAsia="仿宋" w:cs="仿宋"/>
                <w:sz w:val="21"/>
                <w:szCs w:val="21"/>
              </w:rPr>
              <w:t>支持以下功能：</w:t>
            </w:r>
          </w:p>
          <w:p w14:paraId="03637504">
            <w:pPr>
              <w:pStyle w:val="7"/>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1</w:t>
            </w:r>
            <w:r>
              <w:rPr>
                <w:rFonts w:ascii="仿宋" w:hAnsi="仿宋" w:eastAsia="仿宋" w:cs="仿宋"/>
                <w:sz w:val="21"/>
                <w:szCs w:val="21"/>
              </w:rPr>
              <w:t>)</w:t>
            </w:r>
            <w:r>
              <w:rPr>
                <w:rFonts w:hint="eastAsia" w:ascii="仿宋" w:hAnsi="仿宋" w:eastAsia="仿宋" w:cs="仿宋"/>
                <w:sz w:val="21"/>
                <w:szCs w:val="21"/>
              </w:rPr>
              <w:t>内置深度学习算法：实例分割、目标检测、图像分类、缺陷分割、快速定位、文本检测、文本识别。</w:t>
            </w:r>
          </w:p>
          <w:p w14:paraId="29F2B8CB">
            <w:pPr>
              <w:pStyle w:val="7"/>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支持图形化操作界面。</w:t>
            </w:r>
          </w:p>
          <w:p w14:paraId="23D04191">
            <w:pPr>
              <w:pStyle w:val="7"/>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支持本地数据标注、模型训练。</w:t>
            </w:r>
          </w:p>
        </w:tc>
      </w:tr>
      <w:tr w14:paraId="6BCE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4B198CE">
            <w:pPr>
              <w:jc w:val="center"/>
              <w:rPr>
                <w:rFonts w:ascii="仿宋" w:hAnsi="仿宋" w:eastAsia="仿宋" w:cs="仿宋"/>
                <w:szCs w:val="21"/>
              </w:rPr>
            </w:pPr>
            <w:r>
              <w:rPr>
                <w:rFonts w:hint="eastAsia" w:ascii="仿宋" w:hAnsi="仿宋" w:eastAsia="仿宋" w:cs="仿宋"/>
                <w:szCs w:val="21"/>
              </w:rPr>
              <w:t>2</w:t>
            </w:r>
          </w:p>
        </w:tc>
        <w:tc>
          <w:tcPr>
            <w:tcW w:w="1845" w:type="dxa"/>
            <w:vAlign w:val="center"/>
          </w:tcPr>
          <w:p w14:paraId="7D1FF17F">
            <w:pPr>
              <w:jc w:val="left"/>
              <w:rPr>
                <w:rFonts w:ascii="仿宋" w:hAnsi="仿宋" w:eastAsia="仿宋" w:cs="仿宋"/>
                <w:szCs w:val="21"/>
              </w:rPr>
            </w:pPr>
            <w:r>
              <w:rPr>
                <w:rFonts w:hint="eastAsia" w:ascii="仿宋" w:hAnsi="仿宋" w:eastAsia="仿宋" w:cs="仿宋"/>
                <w:szCs w:val="21"/>
              </w:rPr>
              <w:t>数字化大屏</w:t>
            </w:r>
          </w:p>
        </w:tc>
        <w:tc>
          <w:tcPr>
            <w:tcW w:w="6498" w:type="dxa"/>
          </w:tcPr>
          <w:p w14:paraId="65F84E3B">
            <w:pPr>
              <w:rPr>
                <w:rFonts w:ascii="仿宋" w:hAnsi="仿宋" w:eastAsia="仿宋" w:cs="仿宋"/>
                <w:szCs w:val="21"/>
              </w:rPr>
            </w:pPr>
            <w:r>
              <w:rPr>
                <w:rFonts w:hint="eastAsia" w:ascii="仿宋" w:hAnsi="仿宋" w:eastAsia="仿宋" w:cs="仿宋"/>
                <w:szCs w:val="21"/>
              </w:rPr>
              <w:t>一、LED显示屏10平方</w:t>
            </w:r>
          </w:p>
          <w:p w14:paraId="3AF89D48">
            <w:pPr>
              <w:rPr>
                <w:rFonts w:ascii="仿宋" w:hAnsi="仿宋" w:eastAsia="仿宋" w:cs="仿宋"/>
                <w:szCs w:val="21"/>
              </w:rPr>
            </w:pPr>
            <w:r>
              <w:rPr>
                <w:rFonts w:hint="eastAsia" w:ascii="仿宋" w:hAnsi="仿宋" w:eastAsia="仿宋" w:cs="仿宋"/>
                <w:szCs w:val="21"/>
              </w:rPr>
              <w:t>1.像素点间距：≤2.5mm，模组尺寸：320mm*160mm，像素密度：≥160000Dots/㎡，平整度：≤0.1mm；</w:t>
            </w:r>
          </w:p>
          <w:p w14:paraId="1930D1F3">
            <w:pPr>
              <w:rPr>
                <w:rFonts w:ascii="仿宋" w:hAnsi="仿宋" w:eastAsia="仿宋" w:cs="仿宋"/>
                <w:szCs w:val="21"/>
              </w:rPr>
            </w:pPr>
            <w:r>
              <w:rPr>
                <w:rFonts w:hint="eastAsia" w:ascii="仿宋" w:hAnsi="仿宋" w:eastAsia="仿宋" w:cs="仿宋"/>
                <w:szCs w:val="21"/>
              </w:rPr>
              <w:t>2.衰减率：测试条件:Ta=25±5℃，RH≤75%RH，10mA×1000HR，衰减率≤8%；</w:t>
            </w:r>
          </w:p>
          <w:p w14:paraId="63EBEE74">
            <w:pPr>
              <w:rPr>
                <w:rFonts w:ascii="仿宋" w:hAnsi="仿宋" w:eastAsia="仿宋" w:cs="仿宋"/>
                <w:szCs w:val="21"/>
              </w:rPr>
            </w:pPr>
            <w:r>
              <w:rPr>
                <w:rFonts w:hint="eastAsia" w:ascii="仿宋" w:hAnsi="仿宋" w:eastAsia="仿宋" w:cs="仿宋"/>
                <w:szCs w:val="21"/>
              </w:rPr>
              <w:t>3.视觉修正功能：支持对图像清晰度、饱和度、色度调节、对比度、亮度进行综合式一键视觉修正；</w:t>
            </w:r>
          </w:p>
          <w:p w14:paraId="40F6C131">
            <w:pPr>
              <w:rPr>
                <w:rFonts w:ascii="仿宋" w:hAnsi="仿宋" w:eastAsia="仿宋" w:cs="仿宋"/>
                <w:szCs w:val="21"/>
              </w:rPr>
            </w:pPr>
            <w:r>
              <w:rPr>
                <w:rFonts w:hint="eastAsia" w:ascii="仿宋" w:hAnsi="仿宋" w:eastAsia="仿宋" w:cs="仿宋"/>
                <w:szCs w:val="21"/>
              </w:rPr>
              <w:t>4.LED显示屏的静态图像清晰度、运动图像清晰度、大面积色彩还原、图像均匀性、回扫线或频闪现象、灰度表现力2（伪轮廓现象)、拼装精度根据SJ/T 11590-2016 LED显示屏图像质量主观评价方法检测结果评分:5分，主观评价优；</w:t>
            </w:r>
          </w:p>
          <w:p w14:paraId="0498D84B">
            <w:pPr>
              <w:rPr>
                <w:rFonts w:ascii="仿宋" w:hAnsi="仿宋" w:eastAsia="仿宋" w:cs="仿宋"/>
                <w:szCs w:val="21"/>
              </w:rPr>
            </w:pPr>
            <w:r>
              <w:rPr>
                <w:rFonts w:hint="eastAsia" w:ascii="仿宋" w:hAnsi="仿宋" w:eastAsia="仿宋" w:cs="仿宋"/>
                <w:szCs w:val="21"/>
              </w:rPr>
              <w:t>▲5.安全特性：符合GB 4943.1-2022 音视频、信息技术和通信技术设备 第1部分：安全要求、IEC 60950-1、EN60950-1要求；</w:t>
            </w:r>
          </w:p>
          <w:p w14:paraId="5BA6AB1B">
            <w:pPr>
              <w:rPr>
                <w:rFonts w:ascii="仿宋" w:hAnsi="仿宋" w:eastAsia="仿宋" w:cs="仿宋"/>
                <w:szCs w:val="21"/>
              </w:rPr>
            </w:pPr>
            <w:r>
              <w:rPr>
                <w:rFonts w:hint="eastAsia" w:ascii="仿宋" w:hAnsi="仿宋" w:eastAsia="仿宋" w:cs="仿宋"/>
                <w:szCs w:val="21"/>
              </w:rPr>
              <w:t>6.色坐标偏差：U’：±0.015，V’±0.015；</w:t>
            </w:r>
          </w:p>
          <w:p w14:paraId="7274B9E2">
            <w:pPr>
              <w:rPr>
                <w:rFonts w:ascii="仿宋" w:hAnsi="仿宋" w:eastAsia="仿宋" w:cs="仿宋"/>
                <w:szCs w:val="21"/>
              </w:rPr>
            </w:pPr>
            <w:r>
              <w:rPr>
                <w:rFonts w:hint="eastAsia" w:ascii="仿宋" w:hAnsi="仿宋" w:eastAsia="仿宋" w:cs="仿宋"/>
                <w:szCs w:val="21"/>
              </w:rPr>
              <w:t>▲7.谐波电流：符合GB 17625.1-2012中A类设备的限制要求；</w:t>
            </w:r>
          </w:p>
          <w:p w14:paraId="2D58F7A2">
            <w:pPr>
              <w:rPr>
                <w:rFonts w:ascii="仿宋" w:hAnsi="仿宋" w:eastAsia="仿宋" w:cs="仿宋"/>
                <w:szCs w:val="21"/>
              </w:rPr>
            </w:pPr>
            <w:r>
              <w:rPr>
                <w:rFonts w:hint="eastAsia" w:ascii="仿宋" w:hAnsi="仿宋" w:eastAsia="仿宋" w:cs="仿宋"/>
                <w:szCs w:val="21"/>
              </w:rPr>
              <w:t>8.漏光度：≤0.01cd/㎡；</w:t>
            </w:r>
          </w:p>
          <w:p w14:paraId="141B5637">
            <w:pPr>
              <w:rPr>
                <w:rFonts w:ascii="仿宋" w:hAnsi="仿宋" w:eastAsia="仿宋" w:cs="仿宋"/>
                <w:szCs w:val="21"/>
              </w:rPr>
            </w:pPr>
            <w:r>
              <w:rPr>
                <w:rFonts w:hint="eastAsia" w:ascii="仿宋" w:hAnsi="仿宋" w:eastAsia="仿宋" w:cs="仿宋"/>
                <w:szCs w:val="21"/>
              </w:rPr>
              <w:t>9.亮度均匀性：LMJ≤5％；</w:t>
            </w:r>
          </w:p>
          <w:p w14:paraId="0E1C3806">
            <w:pPr>
              <w:rPr>
                <w:rFonts w:ascii="仿宋" w:hAnsi="仿宋" w:eastAsia="仿宋" w:cs="仿宋"/>
                <w:szCs w:val="21"/>
              </w:rPr>
            </w:pPr>
            <w:r>
              <w:rPr>
                <w:rFonts w:hint="eastAsia" w:ascii="仿宋" w:hAnsi="仿宋" w:eastAsia="仿宋" w:cs="仿宋"/>
                <w:szCs w:val="21"/>
              </w:rPr>
              <w:t>10.电压波动和闪烁：电压波动和闪烁应符合GB/T 17625.2标准第5章节限值要求：Pst≤1；P1t≤0.65；</w:t>
            </w:r>
          </w:p>
          <w:p w14:paraId="0AD5F2DE">
            <w:pPr>
              <w:rPr>
                <w:rFonts w:ascii="仿宋" w:hAnsi="仿宋" w:eastAsia="仿宋" w:cs="仿宋"/>
                <w:szCs w:val="21"/>
              </w:rPr>
            </w:pPr>
            <w:r>
              <w:rPr>
                <w:rFonts w:hint="eastAsia" w:ascii="仿宋" w:hAnsi="仿宋" w:eastAsia="仿宋" w:cs="仿宋"/>
                <w:szCs w:val="21"/>
              </w:rPr>
              <w:t>▲11.发光曲线：LED灯发光曲线，一级一级灰度进行亮度、色度修正。分段多套校正数据，实现显示自动匹灰阶校正数据；</w:t>
            </w:r>
          </w:p>
          <w:p w14:paraId="286DACE0">
            <w:pPr>
              <w:rPr>
                <w:rFonts w:ascii="仿宋" w:hAnsi="仿宋" w:eastAsia="仿宋" w:cs="仿宋"/>
                <w:szCs w:val="21"/>
              </w:rPr>
            </w:pPr>
            <w:r>
              <w:rPr>
                <w:rFonts w:hint="eastAsia" w:ascii="仿宋" w:hAnsi="仿宋" w:eastAsia="仿宋" w:cs="仿宋"/>
                <w:szCs w:val="21"/>
              </w:rPr>
              <w:t>12.像素排列：线性排列；</w:t>
            </w:r>
          </w:p>
          <w:p w14:paraId="31F58DB1">
            <w:pPr>
              <w:rPr>
                <w:rFonts w:ascii="仿宋" w:hAnsi="仿宋" w:eastAsia="仿宋" w:cs="仿宋"/>
                <w:szCs w:val="21"/>
              </w:rPr>
            </w:pPr>
            <w:r>
              <w:rPr>
                <w:rFonts w:hint="eastAsia" w:ascii="仿宋" w:hAnsi="仿宋" w:eastAsia="仿宋" w:cs="仿宋"/>
                <w:szCs w:val="21"/>
              </w:rPr>
              <w:t>▲13.色度补偿：在最常规的白场应用场景下，具有白场亮色度补偿技术，能够快速准确地对当前LED显示屏亮色度进行补偿，使显示屏白场亮色度达到目标状态；</w:t>
            </w:r>
          </w:p>
          <w:p w14:paraId="565CC607">
            <w:pPr>
              <w:rPr>
                <w:rFonts w:ascii="仿宋" w:hAnsi="仿宋" w:eastAsia="仿宋" w:cs="仿宋"/>
                <w:szCs w:val="21"/>
              </w:rPr>
            </w:pPr>
            <w:r>
              <w:rPr>
                <w:rFonts w:hint="eastAsia" w:ascii="仿宋" w:hAnsi="仿宋" w:eastAsia="仿宋" w:cs="仿宋"/>
                <w:szCs w:val="21"/>
              </w:rPr>
              <w:t>▲14.延迟时间：≤1帧，降低视频源播放延迟效果；</w:t>
            </w:r>
          </w:p>
          <w:p w14:paraId="0415885B">
            <w:pPr>
              <w:rPr>
                <w:rFonts w:ascii="仿宋" w:hAnsi="仿宋" w:eastAsia="仿宋" w:cs="仿宋"/>
                <w:szCs w:val="21"/>
              </w:rPr>
            </w:pPr>
            <w:r>
              <w:rPr>
                <w:rFonts w:hint="eastAsia" w:ascii="仿宋" w:hAnsi="仿宋" w:eastAsia="仿宋" w:cs="仿宋"/>
                <w:szCs w:val="21"/>
              </w:rPr>
              <w:t>▲15.像素光强均匀性：LRJ≤10％、LGJ≤10％、LBJ≤10％；</w:t>
            </w:r>
          </w:p>
          <w:p w14:paraId="4DAAE8C3">
            <w:pPr>
              <w:rPr>
                <w:rFonts w:ascii="仿宋" w:hAnsi="仿宋" w:eastAsia="仿宋" w:cs="仿宋"/>
                <w:szCs w:val="21"/>
              </w:rPr>
            </w:pPr>
            <w:r>
              <w:rPr>
                <w:rFonts w:hint="eastAsia" w:ascii="仿宋" w:hAnsi="仿宋" w:eastAsia="仿宋" w:cs="仿宋"/>
                <w:szCs w:val="21"/>
              </w:rPr>
              <w:t>▲16.温度变化试验：-40℃~85℃、循环次数：6次、暴露时间：4h、温度变化速率：1K/min，试验前后样品无异常；</w:t>
            </w:r>
          </w:p>
          <w:p w14:paraId="75A5542B">
            <w:pPr>
              <w:rPr>
                <w:rFonts w:ascii="仿宋" w:hAnsi="仿宋" w:eastAsia="仿宋" w:cs="仿宋"/>
                <w:szCs w:val="21"/>
              </w:rPr>
            </w:pPr>
            <w:r>
              <w:rPr>
                <w:rFonts w:hint="eastAsia" w:ascii="仿宋" w:hAnsi="仿宋" w:eastAsia="仿宋" w:cs="仿宋"/>
                <w:szCs w:val="21"/>
              </w:rPr>
              <w:t>17.蓝光辐射等级：具有蓝光护眼功能，符合A级要求；</w:t>
            </w:r>
          </w:p>
          <w:p w14:paraId="5B42AC63">
            <w:pPr>
              <w:rPr>
                <w:rFonts w:ascii="仿宋" w:hAnsi="仿宋" w:eastAsia="仿宋" w:cs="仿宋"/>
                <w:szCs w:val="21"/>
              </w:rPr>
            </w:pPr>
            <w:r>
              <w:rPr>
                <w:rFonts w:hint="eastAsia" w:ascii="仿宋" w:hAnsi="仿宋" w:eastAsia="仿宋" w:cs="仿宋"/>
                <w:szCs w:val="21"/>
              </w:rPr>
              <w:t>▲18.屏幕温升：显示屏在点亮5分钟后的温度升幅≤5℃，点亮15分钟后的温度升幅＜10℃，点亮30分钟以上温度＜15℃，最大亮度白色连续工作2小时，表面温升＜18℃，符合GB 4943.1-2022要求；</w:t>
            </w:r>
          </w:p>
          <w:p w14:paraId="20B63D27">
            <w:pPr>
              <w:rPr>
                <w:rFonts w:ascii="仿宋" w:hAnsi="仿宋" w:eastAsia="仿宋" w:cs="仿宋"/>
                <w:szCs w:val="21"/>
              </w:rPr>
            </w:pPr>
            <w:r>
              <w:rPr>
                <w:rFonts w:hint="eastAsia" w:ascii="仿宋" w:hAnsi="仿宋" w:eastAsia="仿宋" w:cs="仿宋"/>
                <w:szCs w:val="21"/>
              </w:rPr>
              <w:t>▲19.防电击保护分类：依据GB 4943.1-2022标准，使用基本绝缘作为基本安全防护，同时使用保护连接和保护接地作为附加安全防护，达到防电击保护I类设备；</w:t>
            </w:r>
          </w:p>
          <w:p w14:paraId="5F96372A">
            <w:pPr>
              <w:rPr>
                <w:rFonts w:ascii="仿宋" w:hAnsi="仿宋" w:eastAsia="仿宋" w:cs="仿宋"/>
                <w:szCs w:val="21"/>
              </w:rPr>
            </w:pPr>
            <w:r>
              <w:rPr>
                <w:rFonts w:hint="eastAsia" w:ascii="仿宋" w:hAnsi="仿宋" w:eastAsia="仿宋" w:cs="仿宋"/>
                <w:szCs w:val="21"/>
              </w:rPr>
              <w:t>▲20.具有可防信息泄露功能；</w:t>
            </w:r>
          </w:p>
          <w:p w14:paraId="2AB7EEE5">
            <w:pPr>
              <w:rPr>
                <w:rFonts w:ascii="仿宋" w:hAnsi="仿宋" w:eastAsia="仿宋" w:cs="仿宋"/>
                <w:szCs w:val="21"/>
              </w:rPr>
            </w:pPr>
            <w:r>
              <w:rPr>
                <w:rFonts w:hint="eastAsia" w:ascii="仿宋" w:hAnsi="仿宋" w:eastAsia="仿宋" w:cs="仿宋"/>
                <w:szCs w:val="21"/>
              </w:rPr>
              <w:t>▲21.显示特点：具有隐亮消除功能，无隐亮，全黑场信号下灯管发光；</w:t>
            </w:r>
          </w:p>
          <w:p w14:paraId="2B95FC72">
            <w:pPr>
              <w:rPr>
                <w:rFonts w:ascii="仿宋" w:hAnsi="仿宋" w:eastAsia="仿宋" w:cs="仿宋"/>
                <w:szCs w:val="21"/>
              </w:rPr>
            </w:pPr>
            <w:r>
              <w:rPr>
                <w:rFonts w:hint="eastAsia" w:ascii="仿宋" w:hAnsi="仿宋" w:eastAsia="仿宋" w:cs="仿宋"/>
                <w:szCs w:val="21"/>
              </w:rPr>
              <w:t>▲22.以上技术参数竞标时提供由权威检测机构出具首页带有“CNAS”和“CMA”标志的检测报告，为防止供应商虚假应标，供应商在中标后签订合同时需提供检测报告复印件加盖LED显示屏生产企业公章，使用方有权查验检测报告的真实性，如发现虚假应标取消中标资格并上报采购中心。</w:t>
            </w:r>
          </w:p>
          <w:p w14:paraId="4C85CBE7">
            <w:pPr>
              <w:rPr>
                <w:rFonts w:ascii="仿宋" w:hAnsi="仿宋" w:eastAsia="仿宋" w:cs="仿宋"/>
                <w:szCs w:val="21"/>
              </w:rPr>
            </w:pPr>
            <w:r>
              <w:rPr>
                <w:rFonts w:hint="eastAsia" w:ascii="仿宋" w:hAnsi="仿宋" w:eastAsia="仿宋" w:cs="仿宋"/>
                <w:szCs w:val="21"/>
              </w:rPr>
              <w:t>▲23.为确保屏体显示效果，LED显示屏具备吸收静电功能,竞标时需提供证书证明。</w:t>
            </w:r>
          </w:p>
          <w:p w14:paraId="1EEA5A4C">
            <w:pPr>
              <w:numPr>
                <w:ilvl w:val="0"/>
                <w:numId w:val="1"/>
              </w:numPr>
              <w:rPr>
                <w:rFonts w:ascii="仿宋" w:hAnsi="仿宋" w:eastAsia="仿宋" w:cs="仿宋"/>
                <w:szCs w:val="21"/>
              </w:rPr>
            </w:pPr>
            <w:r>
              <w:rPr>
                <w:rFonts w:hint="eastAsia" w:ascii="仿宋" w:hAnsi="仿宋" w:eastAsia="仿宋" w:cs="仿宋"/>
                <w:szCs w:val="21"/>
              </w:rPr>
              <w:t>竞标时需提供LED显示屏：CCC认证。</w:t>
            </w:r>
          </w:p>
          <w:p w14:paraId="5CFFEAD3">
            <w:pPr>
              <w:numPr>
                <w:ilvl w:val="0"/>
                <w:numId w:val="2"/>
              </w:numPr>
              <w:rPr>
                <w:rFonts w:ascii="仿宋" w:hAnsi="仿宋" w:eastAsia="仿宋" w:cs="仿宋"/>
                <w:szCs w:val="21"/>
              </w:rPr>
            </w:pPr>
            <w:r>
              <w:rPr>
                <w:rFonts w:hint="eastAsia" w:ascii="仿宋" w:hAnsi="仿宋" w:eastAsia="仿宋" w:cs="仿宋"/>
                <w:szCs w:val="21"/>
              </w:rPr>
              <w:t>全彩控制系统1套</w:t>
            </w:r>
          </w:p>
          <w:p w14:paraId="4C7DAB9D">
            <w:pPr>
              <w:rPr>
                <w:rFonts w:ascii="仿宋" w:hAnsi="仿宋" w:eastAsia="仿宋" w:cs="仿宋"/>
                <w:szCs w:val="21"/>
              </w:rPr>
            </w:pPr>
            <w:r>
              <w:rPr>
                <w:rFonts w:hint="eastAsia" w:ascii="仿宋" w:hAnsi="仿宋" w:eastAsia="仿宋" w:cs="仿宋"/>
                <w:szCs w:val="21"/>
              </w:rPr>
              <w:t>1.单卡最大带载 512×512像素，最多支持 32 组RGB 并行数据；</w:t>
            </w:r>
          </w:p>
          <w:p w14:paraId="60AD6888">
            <w:pPr>
              <w:rPr>
                <w:rFonts w:ascii="仿宋" w:hAnsi="仿宋" w:eastAsia="仿宋" w:cs="仿宋"/>
                <w:szCs w:val="21"/>
              </w:rPr>
            </w:pPr>
            <w:r>
              <w:rPr>
                <w:rFonts w:hint="eastAsia" w:ascii="仿宋" w:hAnsi="仿宋" w:eastAsia="仿宋" w:cs="仿宋"/>
                <w:szCs w:val="21"/>
              </w:rPr>
              <w:t>2.采用 16个标准HUB75接口，具有高稳定性和高可靠性，适用于多种环境的搭建；</w:t>
            </w:r>
          </w:p>
          <w:p w14:paraId="39CC8045">
            <w:pPr>
              <w:rPr>
                <w:rFonts w:ascii="仿宋" w:hAnsi="仿宋" w:eastAsia="仿宋" w:cs="仿宋"/>
                <w:szCs w:val="21"/>
              </w:rPr>
            </w:pPr>
            <w:r>
              <w:rPr>
                <w:rFonts w:hint="eastAsia" w:ascii="仿宋" w:hAnsi="仿宋" w:eastAsia="仿宋" w:cs="仿宋"/>
                <w:szCs w:val="21"/>
              </w:rPr>
              <w:t>3.支持逐点亮度校正，可以对每个灯点的亮度进行校正，使整屏的亮度达到高度均匀一致，提高显示屏的画质</w:t>
            </w:r>
          </w:p>
          <w:p w14:paraId="2B209638">
            <w:pPr>
              <w:rPr>
                <w:rFonts w:ascii="仿宋" w:hAnsi="仿宋" w:eastAsia="仿宋" w:cs="仿宋"/>
                <w:szCs w:val="21"/>
              </w:rPr>
            </w:pPr>
            <w:r>
              <w:rPr>
                <w:rFonts w:hint="eastAsia" w:ascii="仿宋" w:hAnsi="仿宋" w:eastAsia="仿宋" w:cs="仿宋"/>
                <w:szCs w:val="21"/>
              </w:rPr>
              <w:t>4.快速亮暗线调节在调试软件上进行快速亮暗线调节，快速解决因箱体及模组拼接造成的显示屏亮暗线，调节过程中即时生效，简单易用。</w:t>
            </w:r>
          </w:p>
          <w:p w14:paraId="5D0A7740">
            <w:pPr>
              <w:rPr>
                <w:rFonts w:ascii="仿宋" w:hAnsi="仿宋" w:eastAsia="仿宋" w:cs="仿宋"/>
                <w:szCs w:val="21"/>
              </w:rPr>
            </w:pPr>
            <w:r>
              <w:rPr>
                <w:rFonts w:hint="eastAsia" w:ascii="仿宋" w:hAnsi="仿宋" w:eastAsia="仿宋" w:cs="仿宋"/>
                <w:szCs w:val="21"/>
              </w:rPr>
              <w:t>5.配合支持 3D 功能的独立主控，在软件或独立主控的操作面板上开启 3D 功能，并设置 3D 参数，使画面显示 3D 效果。</w:t>
            </w:r>
          </w:p>
          <w:p w14:paraId="54867E1E">
            <w:pPr>
              <w:rPr>
                <w:rFonts w:ascii="仿宋" w:hAnsi="仿宋" w:eastAsia="仿宋" w:cs="仿宋"/>
                <w:szCs w:val="21"/>
              </w:rPr>
            </w:pPr>
            <w:r>
              <w:rPr>
                <w:rFonts w:hint="eastAsia" w:ascii="仿宋" w:hAnsi="仿宋" w:eastAsia="仿宋" w:cs="仿宋"/>
                <w:szCs w:val="21"/>
              </w:rPr>
              <w:t>6.支持Mapping功能开启，每个箱体上会显示数字，清楚告诉您当前箱体是哪个网口下的哪张接收卡，直观的看到显示屏连接状况。</w:t>
            </w:r>
          </w:p>
          <w:p w14:paraId="4DEFC85A">
            <w:pPr>
              <w:rPr>
                <w:rFonts w:ascii="仿宋" w:hAnsi="仿宋" w:eastAsia="仿宋" w:cs="仿宋"/>
                <w:szCs w:val="21"/>
              </w:rPr>
            </w:pPr>
            <w:r>
              <w:rPr>
                <w:rFonts w:hint="eastAsia" w:ascii="仿宋" w:hAnsi="仿宋" w:eastAsia="仿宋" w:cs="仿宋"/>
                <w:szCs w:val="21"/>
              </w:rPr>
              <w:t>7.可以将指定图片设置为显示屏的开机、网线断开或无视频源信号时的画面或者最后一帧画面</w:t>
            </w:r>
          </w:p>
          <w:p w14:paraId="678518D7">
            <w:pPr>
              <w:rPr>
                <w:rFonts w:ascii="仿宋" w:hAnsi="仿宋" w:eastAsia="仿宋" w:cs="仿宋"/>
                <w:szCs w:val="21"/>
              </w:rPr>
            </w:pPr>
            <w:r>
              <w:rPr>
                <w:rFonts w:hint="eastAsia" w:ascii="仿宋" w:hAnsi="仿宋" w:eastAsia="仿宋" w:cs="仿宋"/>
                <w:szCs w:val="21"/>
              </w:rPr>
              <w:t>8.可以监测自身的温度和电压，无需其他外设，在软件上可以查看接收卡的温度和电压，检测发送设备与接收卡间或接收卡与接收卡间的网络通讯质量，记录错误包数，协助排除网络通讯隐患。</w:t>
            </w:r>
          </w:p>
          <w:p w14:paraId="44C50540">
            <w:pPr>
              <w:rPr>
                <w:rFonts w:ascii="仿宋" w:hAnsi="仿宋" w:eastAsia="仿宋" w:cs="仿宋"/>
                <w:szCs w:val="21"/>
              </w:rPr>
            </w:pPr>
            <w:r>
              <w:rPr>
                <w:rFonts w:hint="eastAsia" w:ascii="仿宋" w:hAnsi="仿宋" w:eastAsia="仿宋" w:cs="仿宋"/>
                <w:szCs w:val="21"/>
              </w:rPr>
              <w:t>三、视频处理器1台</w:t>
            </w:r>
          </w:p>
          <w:p w14:paraId="780A884D">
            <w:pPr>
              <w:rPr>
                <w:rFonts w:ascii="仿宋" w:hAnsi="仿宋" w:eastAsia="仿宋" w:cs="仿宋"/>
                <w:szCs w:val="21"/>
              </w:rPr>
            </w:pPr>
            <w:r>
              <w:rPr>
                <w:rFonts w:hint="eastAsia" w:ascii="仿宋" w:hAnsi="仿宋" w:eastAsia="仿宋" w:cs="仿宋"/>
                <w:szCs w:val="21"/>
              </w:rPr>
              <w:t>1.拥有完备的视频输入接口，1路HDMI 2.0，1路DP 1.2，4路HDMI 1.3，选配1路3G-SDI (IN+LOOP)多输出，大带载，24 路网口输出，最大带载 1560 万像素，单台设备输出最大宽度 16384，高度 8192音频输入输出，HDMI、DP 支持伴随音频输入，支持 3.5mm 独立音频输入输出</w:t>
            </w:r>
          </w:p>
          <w:p w14:paraId="1814B74D">
            <w:pPr>
              <w:rPr>
                <w:rFonts w:ascii="仿宋" w:hAnsi="仿宋" w:eastAsia="仿宋" w:cs="仿宋"/>
                <w:szCs w:val="21"/>
              </w:rPr>
            </w:pPr>
            <w:r>
              <w:rPr>
                <w:rFonts w:hint="eastAsia" w:ascii="仿宋" w:hAnsi="仿宋" w:eastAsia="仿宋" w:cs="仿宋"/>
                <w:szCs w:val="21"/>
              </w:rPr>
              <w:t>2.支持个性化的画面缩放，支持三种画面缩放模式，包括点对点模式、全屏缩放、自定义缩放</w:t>
            </w:r>
          </w:p>
          <w:p w14:paraId="73D0384D">
            <w:pPr>
              <w:rPr>
                <w:rFonts w:ascii="仿宋" w:hAnsi="仿宋" w:eastAsia="仿宋" w:cs="仿宋"/>
                <w:szCs w:val="21"/>
              </w:rPr>
            </w:pPr>
            <w:r>
              <w:rPr>
                <w:rFonts w:hint="eastAsia" w:ascii="仿宋" w:hAnsi="仿宋" w:eastAsia="仿宋" w:cs="仿宋"/>
                <w:szCs w:val="21"/>
              </w:rPr>
              <w:t>3.多窗口显示：支持 2 个 4K×2K+4 个 2K×1K 规格的窗口，窗口大小和位置可单独调节，窗口优先级可调整</w:t>
            </w:r>
          </w:p>
          <w:p w14:paraId="09EFC8B6">
            <w:pPr>
              <w:rPr>
                <w:rFonts w:ascii="仿宋" w:hAnsi="仿宋" w:eastAsia="仿宋" w:cs="仿宋"/>
                <w:szCs w:val="21"/>
              </w:rPr>
            </w:pPr>
            <w:r>
              <w:rPr>
                <w:rFonts w:hint="eastAsia" w:ascii="仿宋" w:hAnsi="仿宋" w:eastAsia="仿宋" w:cs="仿宋"/>
                <w:szCs w:val="21"/>
              </w:rPr>
              <w:t>4.强大视频处理能力，搭载 SuperView III 画质处理技术，支持输出画面无级缩放， 支持一键全屏缩放，支持输入源任意截取，支持 EDID 管理，支持用户自定义 EDID 和预设 EDID，画质调整，支持输出画质管理，包括亮度、饱和度、对比度、色调调整，多场景保存和调用，支持 10 个自定义场景，一键即可载入，支持场景删除、覆盖保存及复制等操作。</w:t>
            </w:r>
          </w:p>
          <w:p w14:paraId="2FB28F94">
            <w:pPr>
              <w:rPr>
                <w:rFonts w:ascii="仿宋" w:hAnsi="仿宋" w:eastAsia="仿宋" w:cs="仿宋"/>
                <w:szCs w:val="21"/>
              </w:rPr>
            </w:pPr>
            <w:r>
              <w:rPr>
                <w:rFonts w:hint="eastAsia" w:ascii="仿宋" w:hAnsi="仿宋" w:eastAsia="仿宋" w:cs="仿宋"/>
                <w:szCs w:val="21"/>
              </w:rPr>
              <w:t>四、LED全彩电源</w:t>
            </w:r>
          </w:p>
          <w:p w14:paraId="3DA045CB">
            <w:pPr>
              <w:rPr>
                <w:rFonts w:ascii="仿宋" w:hAnsi="仿宋" w:eastAsia="仿宋" w:cs="仿宋"/>
                <w:szCs w:val="21"/>
              </w:rPr>
            </w:pPr>
            <w:r>
              <w:rPr>
                <w:rFonts w:hint="eastAsia" w:ascii="仿宋" w:hAnsi="仿宋" w:eastAsia="仿宋" w:cs="仿宋"/>
                <w:szCs w:val="21"/>
              </w:rPr>
              <w:t>1.输入电压：176VAC~264VAC，输出电压：4.5V-5V，输出电流：40A；</w:t>
            </w:r>
          </w:p>
          <w:p w14:paraId="26CB3F0F">
            <w:pPr>
              <w:rPr>
                <w:rFonts w:ascii="仿宋" w:hAnsi="仿宋" w:eastAsia="仿宋" w:cs="仿宋"/>
                <w:szCs w:val="21"/>
              </w:rPr>
            </w:pPr>
            <w:r>
              <w:rPr>
                <w:rFonts w:hint="eastAsia" w:ascii="仿宋" w:hAnsi="仿宋" w:eastAsia="仿宋" w:cs="仿宋"/>
                <w:szCs w:val="21"/>
              </w:rPr>
              <w:t>2.工作温度：-40℃-70℃，工作湿度：20%RH-90%RH；</w:t>
            </w:r>
          </w:p>
          <w:p w14:paraId="36E5797B">
            <w:pPr>
              <w:rPr>
                <w:rFonts w:ascii="仿宋" w:hAnsi="仿宋" w:eastAsia="仿宋" w:cs="仿宋"/>
                <w:szCs w:val="21"/>
              </w:rPr>
            </w:pPr>
            <w:r>
              <w:rPr>
                <w:rFonts w:hint="eastAsia" w:ascii="仿宋" w:hAnsi="仿宋" w:eastAsia="仿宋" w:cs="仿宋"/>
                <w:szCs w:val="21"/>
              </w:rPr>
              <w:t>3.散热方式：自然对流散热，需紧贴金属机箱外壳散热；</w:t>
            </w:r>
          </w:p>
          <w:p w14:paraId="38A746B5">
            <w:pPr>
              <w:rPr>
                <w:rFonts w:ascii="仿宋" w:hAnsi="仿宋" w:eastAsia="仿宋" w:cs="仿宋"/>
                <w:szCs w:val="21"/>
              </w:rPr>
            </w:pPr>
            <w:r>
              <w:rPr>
                <w:rFonts w:hint="eastAsia" w:ascii="仿宋" w:hAnsi="仿宋" w:eastAsia="仿宋" w:cs="仿宋"/>
                <w:szCs w:val="21"/>
              </w:rPr>
              <w:t>4.耐压：I/P-O/P：3.0KVAC I/P-FG：1.5KVAC O/P-FG：0.5KVAC；</w:t>
            </w:r>
          </w:p>
          <w:p w14:paraId="664A772D">
            <w:pPr>
              <w:rPr>
                <w:rFonts w:ascii="仿宋" w:hAnsi="仿宋" w:eastAsia="仿宋" w:cs="仿宋"/>
                <w:szCs w:val="21"/>
              </w:rPr>
            </w:pPr>
            <w:r>
              <w:rPr>
                <w:rFonts w:hint="eastAsia" w:ascii="仿宋" w:hAnsi="仿宋" w:eastAsia="仿宋" w:cs="仿宋"/>
                <w:szCs w:val="21"/>
              </w:rPr>
              <w:t>5.所投开关电源符合EN55022, EN55024, FCC PART 15  CLASS B；</w:t>
            </w:r>
          </w:p>
          <w:p w14:paraId="6CC5A595">
            <w:pPr>
              <w:rPr>
                <w:rFonts w:ascii="仿宋" w:hAnsi="仿宋" w:eastAsia="仿宋" w:cs="仿宋"/>
                <w:szCs w:val="21"/>
              </w:rPr>
            </w:pPr>
            <w:r>
              <w:rPr>
                <w:rFonts w:hint="eastAsia" w:ascii="仿宋" w:hAnsi="仿宋" w:eastAsia="仿宋" w:cs="仿宋"/>
                <w:szCs w:val="21"/>
              </w:rPr>
              <w:t>6.所投开关电源通过过载保护测试。</w:t>
            </w:r>
          </w:p>
          <w:p w14:paraId="43329E1E">
            <w:pPr>
              <w:rPr>
                <w:rFonts w:ascii="仿宋" w:hAnsi="仿宋" w:eastAsia="仿宋" w:cs="仿宋"/>
                <w:szCs w:val="21"/>
              </w:rPr>
            </w:pPr>
            <w:r>
              <w:rPr>
                <w:rFonts w:hint="eastAsia" w:ascii="仿宋" w:hAnsi="仿宋" w:eastAsia="仿宋" w:cs="仿宋"/>
                <w:szCs w:val="21"/>
              </w:rPr>
              <w:t>▲7.为保证系统的一致性与稳定性，开关电源必须与LED显示屏为同一品牌，以上参数需提供首页具有“CNAS”和“ilac-MRA”标识的第三方权威检测报告；为防止供应商虚假应标，竞标时需提供开关电源CCC、CE、ROHS、FCC认证证书复印件加盖LED显示屏生产企业公章加以佐证；使用方有权查验检测报告及资质证书的真实性，如发现虚假应标取消中标资格并上报采购中心。</w:t>
            </w:r>
          </w:p>
          <w:p w14:paraId="3EFF83E7">
            <w:pPr>
              <w:numPr>
                <w:ilvl w:val="0"/>
                <w:numId w:val="3"/>
              </w:numPr>
              <w:rPr>
                <w:rFonts w:ascii="仿宋" w:hAnsi="仿宋" w:eastAsia="仿宋" w:cs="仿宋"/>
                <w:szCs w:val="21"/>
              </w:rPr>
            </w:pPr>
            <w:r>
              <w:rPr>
                <w:rFonts w:hint="eastAsia" w:ascii="仿宋" w:hAnsi="仿宋" w:eastAsia="仿宋" w:cs="仿宋"/>
                <w:szCs w:val="21"/>
              </w:rPr>
              <w:t>LED专用配电柜1个</w:t>
            </w:r>
          </w:p>
          <w:p w14:paraId="23155DDD">
            <w:pPr>
              <w:rPr>
                <w:rFonts w:ascii="仿宋" w:hAnsi="仿宋" w:eastAsia="仿宋" w:cs="仿宋"/>
                <w:szCs w:val="21"/>
              </w:rPr>
            </w:pPr>
            <w:r>
              <w:rPr>
                <w:rFonts w:hint="eastAsia" w:ascii="仿宋" w:hAnsi="仿宋" w:eastAsia="仿宋" w:cs="仿宋"/>
                <w:szCs w:val="21"/>
              </w:rPr>
              <w:t>1.控制方式：手动+时控+干接点+电脑配电箱同启</w:t>
            </w:r>
          </w:p>
          <w:p w14:paraId="01B205B6">
            <w:pPr>
              <w:rPr>
                <w:rFonts w:ascii="仿宋" w:hAnsi="仿宋" w:eastAsia="仿宋" w:cs="仿宋"/>
                <w:szCs w:val="21"/>
              </w:rPr>
            </w:pPr>
            <w:r>
              <w:rPr>
                <w:rFonts w:hint="eastAsia" w:ascii="仿宋" w:hAnsi="仿宋" w:eastAsia="仿宋" w:cs="仿宋"/>
                <w:szCs w:val="21"/>
              </w:rPr>
              <w:t>2.手动控制：一键启停，分步上电、断电</w:t>
            </w:r>
          </w:p>
          <w:p w14:paraId="0ECAD316">
            <w:pPr>
              <w:rPr>
                <w:rFonts w:ascii="仿宋" w:hAnsi="仿宋" w:eastAsia="仿宋" w:cs="仿宋"/>
                <w:szCs w:val="21"/>
              </w:rPr>
            </w:pPr>
            <w:r>
              <w:rPr>
                <w:rFonts w:hint="eastAsia" w:ascii="仿宋" w:hAnsi="仿宋" w:eastAsia="仿宋" w:cs="仿宋"/>
                <w:szCs w:val="21"/>
              </w:rPr>
              <w:t>3.时控控制：设置4组控制时间段</w:t>
            </w:r>
          </w:p>
          <w:p w14:paraId="6FA3165F">
            <w:pPr>
              <w:rPr>
                <w:rFonts w:ascii="仿宋" w:hAnsi="仿宋" w:eastAsia="仿宋" w:cs="仿宋"/>
                <w:szCs w:val="21"/>
              </w:rPr>
            </w:pPr>
            <w:r>
              <w:rPr>
                <w:rFonts w:hint="eastAsia" w:ascii="仿宋" w:hAnsi="仿宋" w:eastAsia="仿宋" w:cs="仿宋"/>
                <w:szCs w:val="21"/>
              </w:rPr>
              <w:t>4.遥控控制：100米，吸盘天线</w:t>
            </w:r>
          </w:p>
          <w:p w14:paraId="7B3946E7">
            <w:pPr>
              <w:rPr>
                <w:rFonts w:ascii="仿宋" w:hAnsi="仿宋" w:eastAsia="仿宋" w:cs="仿宋"/>
                <w:szCs w:val="21"/>
              </w:rPr>
            </w:pPr>
            <w:r>
              <w:rPr>
                <w:rFonts w:hint="eastAsia" w:ascii="仿宋" w:hAnsi="仿宋" w:eastAsia="仿宋" w:cs="仿宋"/>
                <w:szCs w:val="21"/>
              </w:rPr>
              <w:t>5.电脑同启：电脑启动电箱启动，电脑关闭电箱关闭</w:t>
            </w:r>
          </w:p>
          <w:p w14:paraId="381B34C9">
            <w:pPr>
              <w:rPr>
                <w:rFonts w:ascii="仿宋" w:hAnsi="仿宋" w:eastAsia="仿宋" w:cs="仿宋"/>
                <w:szCs w:val="21"/>
              </w:rPr>
            </w:pPr>
            <w:r>
              <w:rPr>
                <w:rFonts w:hint="eastAsia" w:ascii="仿宋" w:hAnsi="仿宋" w:eastAsia="仿宋" w:cs="仿宋"/>
                <w:szCs w:val="21"/>
              </w:rPr>
              <w:t>6.接线方式：上进下出</w:t>
            </w:r>
          </w:p>
          <w:p w14:paraId="4C7F7714">
            <w:pPr>
              <w:rPr>
                <w:rFonts w:ascii="仿宋" w:hAnsi="仿宋" w:eastAsia="仿宋" w:cs="仿宋"/>
                <w:szCs w:val="21"/>
              </w:rPr>
            </w:pPr>
            <w:r>
              <w:rPr>
                <w:rFonts w:hint="eastAsia" w:ascii="仿宋" w:hAnsi="仿宋" w:eastAsia="仿宋" w:cs="仿宋"/>
                <w:szCs w:val="21"/>
              </w:rPr>
              <w:t>7.显示模式：数码显示+时间显示</w:t>
            </w:r>
          </w:p>
        </w:tc>
      </w:tr>
      <w:tr w14:paraId="19AE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433BE14">
            <w:pPr>
              <w:jc w:val="center"/>
              <w:rPr>
                <w:rFonts w:ascii="仿宋" w:hAnsi="仿宋" w:eastAsia="仿宋" w:cs="仿宋"/>
                <w:szCs w:val="21"/>
              </w:rPr>
            </w:pPr>
            <w:r>
              <w:rPr>
                <w:rFonts w:hint="eastAsia" w:ascii="仿宋" w:hAnsi="仿宋" w:eastAsia="仿宋" w:cs="仿宋"/>
                <w:szCs w:val="21"/>
              </w:rPr>
              <w:t>3</w:t>
            </w:r>
          </w:p>
        </w:tc>
        <w:tc>
          <w:tcPr>
            <w:tcW w:w="1845" w:type="dxa"/>
            <w:vAlign w:val="center"/>
          </w:tcPr>
          <w:p w14:paraId="53CA0FB4">
            <w:pPr>
              <w:jc w:val="left"/>
              <w:rPr>
                <w:rFonts w:ascii="仿宋" w:hAnsi="仿宋" w:eastAsia="仿宋" w:cs="仿宋"/>
                <w:szCs w:val="21"/>
              </w:rPr>
            </w:pPr>
            <w:r>
              <w:rPr>
                <w:rFonts w:hint="eastAsia" w:ascii="仿宋" w:hAnsi="仿宋" w:eastAsia="仿宋" w:cs="仿宋"/>
                <w:szCs w:val="21"/>
              </w:rPr>
              <w:t>六方形方桌</w:t>
            </w:r>
          </w:p>
        </w:tc>
        <w:tc>
          <w:tcPr>
            <w:tcW w:w="6498" w:type="dxa"/>
          </w:tcPr>
          <w:p w14:paraId="482FE7DF">
            <w:pPr>
              <w:rPr>
                <w:rFonts w:ascii="仿宋" w:hAnsi="仿宋" w:eastAsia="仿宋" w:cs="仿宋"/>
                <w:szCs w:val="21"/>
              </w:rPr>
            </w:pPr>
            <w:r>
              <w:rPr>
                <w:rFonts w:hint="eastAsia" w:ascii="仿宋" w:hAnsi="仿宋" w:eastAsia="仿宋" w:cs="仿宋"/>
                <w:szCs w:val="21"/>
              </w:rPr>
              <w:t>一、六角桌：</w:t>
            </w:r>
          </w:p>
          <w:p w14:paraId="20B9D4E6">
            <w:pPr>
              <w:rPr>
                <w:rFonts w:ascii="仿宋" w:hAnsi="仿宋" w:eastAsia="仿宋" w:cs="仿宋"/>
                <w:szCs w:val="21"/>
              </w:rPr>
            </w:pPr>
            <w:r>
              <w:rPr>
                <w:rFonts w:hint="eastAsia" w:ascii="仿宋" w:hAnsi="仿宋" w:eastAsia="仿宋" w:cs="仿宋"/>
                <w:szCs w:val="21"/>
              </w:rPr>
              <w:t>1.边长80cm，板材采用优质三聚氰胺板制作，基材采用E1级优质环保刨花板，甲醛释放量2.5-2.7mg/100g,含水率低于12%，密度0.73g/cm³,强度高、刚性好、不易变形、比重合理，所有板材均经防虫防腐化学处理，表面握钉力及静曲强度均达到国家标准；</w:t>
            </w:r>
          </w:p>
          <w:p w14:paraId="04237545">
            <w:pPr>
              <w:rPr>
                <w:rFonts w:ascii="仿宋" w:hAnsi="仿宋" w:eastAsia="仿宋" w:cs="仿宋"/>
                <w:szCs w:val="21"/>
              </w:rPr>
            </w:pPr>
            <w:r>
              <w:rPr>
                <w:rFonts w:hint="eastAsia" w:ascii="仿宋" w:hAnsi="仿宋" w:eastAsia="仿宋" w:cs="仿宋"/>
                <w:szCs w:val="21"/>
              </w:rPr>
              <w:t xml:space="preserve">2.脚架采用优质钢脚，简洁、时尚、大方；                      </w:t>
            </w:r>
          </w:p>
          <w:p w14:paraId="0CD0779F">
            <w:pPr>
              <w:rPr>
                <w:rFonts w:ascii="仿宋" w:hAnsi="仿宋" w:eastAsia="仿宋" w:cs="仿宋"/>
                <w:szCs w:val="21"/>
              </w:rPr>
            </w:pPr>
            <w:r>
              <w:rPr>
                <w:rFonts w:hint="eastAsia" w:ascii="仿宋" w:hAnsi="仿宋" w:eastAsia="仿宋" w:cs="仿宋"/>
                <w:szCs w:val="21"/>
              </w:rPr>
              <w:t>3.五金配件：采用优质铰链，优质导轨；平滑度及滑动性好，承载力强，安全系数高。</w:t>
            </w:r>
          </w:p>
          <w:p w14:paraId="47017F23">
            <w:pPr>
              <w:rPr>
                <w:rFonts w:ascii="仿宋" w:hAnsi="仿宋" w:eastAsia="仿宋" w:cs="仿宋"/>
                <w:szCs w:val="21"/>
              </w:rPr>
            </w:pPr>
            <w:r>
              <w:rPr>
                <w:rFonts w:hint="eastAsia" w:ascii="仿宋" w:hAnsi="仿宋" w:eastAsia="仿宋" w:cs="仿宋"/>
                <w:szCs w:val="21"/>
              </w:rPr>
              <w:t>4.胶粘剂:采用优质胶粘剂，粘性强，具有防水性、防潮性等特点 ；</w:t>
            </w:r>
          </w:p>
          <w:p w14:paraId="6216FA07">
            <w:pPr>
              <w:rPr>
                <w:rFonts w:ascii="仿宋" w:hAnsi="仿宋" w:eastAsia="仿宋" w:cs="仿宋"/>
                <w:szCs w:val="21"/>
              </w:rPr>
            </w:pPr>
            <w:r>
              <w:rPr>
                <w:rFonts w:hint="eastAsia" w:ascii="仿宋" w:hAnsi="仿宋" w:eastAsia="仿宋" w:cs="仿宋"/>
                <w:szCs w:val="21"/>
              </w:rPr>
              <w:t>二、配套方凳参数(6张）：</w:t>
            </w:r>
          </w:p>
          <w:p w14:paraId="38F042D1">
            <w:pPr>
              <w:rPr>
                <w:rFonts w:ascii="仿宋" w:hAnsi="仿宋" w:eastAsia="仿宋" w:cs="仿宋"/>
                <w:szCs w:val="21"/>
              </w:rPr>
            </w:pPr>
            <w:r>
              <w:rPr>
                <w:rFonts w:hint="eastAsia" w:ascii="仿宋" w:hAnsi="仿宋" w:eastAsia="仿宋" w:cs="仿宋"/>
                <w:szCs w:val="21"/>
              </w:rPr>
              <w:t>1、规格：320*240*440mm；</w:t>
            </w:r>
          </w:p>
          <w:p w14:paraId="2D4C515C">
            <w:pPr>
              <w:rPr>
                <w:rFonts w:ascii="仿宋" w:hAnsi="仿宋" w:eastAsia="仿宋" w:cs="仿宋"/>
                <w:szCs w:val="21"/>
              </w:rPr>
            </w:pPr>
            <w:r>
              <w:rPr>
                <w:rFonts w:hint="eastAsia" w:ascii="仿宋" w:hAnsi="仿宋" w:eastAsia="仿宋" w:cs="仿宋"/>
                <w:szCs w:val="21"/>
              </w:rPr>
              <w:t>2、材质：25mm厚E1级OSB板面，表面三聚氰胺贴面，1.5mm厚PVC封边条封边，钢制脚架</w:t>
            </w:r>
          </w:p>
        </w:tc>
      </w:tr>
      <w:tr w14:paraId="3126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33010EC">
            <w:pPr>
              <w:jc w:val="center"/>
              <w:rPr>
                <w:rFonts w:ascii="仿宋" w:hAnsi="仿宋" w:eastAsia="仿宋" w:cs="仿宋"/>
                <w:szCs w:val="21"/>
              </w:rPr>
            </w:pPr>
            <w:r>
              <w:rPr>
                <w:rFonts w:hint="eastAsia" w:ascii="仿宋" w:hAnsi="仿宋" w:eastAsia="仿宋" w:cs="仿宋"/>
                <w:szCs w:val="21"/>
              </w:rPr>
              <w:t>4</w:t>
            </w:r>
          </w:p>
        </w:tc>
        <w:tc>
          <w:tcPr>
            <w:tcW w:w="1845" w:type="dxa"/>
            <w:vAlign w:val="center"/>
          </w:tcPr>
          <w:p w14:paraId="20606088">
            <w:pPr>
              <w:jc w:val="left"/>
              <w:rPr>
                <w:rFonts w:ascii="仿宋" w:hAnsi="仿宋" w:eastAsia="仿宋" w:cs="仿宋"/>
                <w:szCs w:val="21"/>
              </w:rPr>
            </w:pPr>
            <w:r>
              <w:rPr>
                <w:rFonts w:hint="eastAsia" w:ascii="仿宋" w:hAnsi="仿宋" w:eastAsia="仿宋" w:cs="仿宋"/>
                <w:szCs w:val="21"/>
              </w:rPr>
              <w:t>文化建设及环境改造</w:t>
            </w:r>
          </w:p>
        </w:tc>
        <w:tc>
          <w:tcPr>
            <w:tcW w:w="6498" w:type="dxa"/>
          </w:tcPr>
          <w:p w14:paraId="098831DE">
            <w:pPr>
              <w:numPr>
                <w:ilvl w:val="0"/>
                <w:numId w:val="4"/>
              </w:numPr>
              <w:rPr>
                <w:rFonts w:ascii="仿宋" w:hAnsi="仿宋" w:eastAsia="仿宋" w:cs="仿宋"/>
                <w:szCs w:val="21"/>
              </w:rPr>
            </w:pPr>
            <w:r>
              <w:rPr>
                <w:rFonts w:hint="eastAsia" w:ascii="仿宋" w:hAnsi="仿宋" w:eastAsia="仿宋" w:cs="仿宋"/>
                <w:szCs w:val="21"/>
              </w:rPr>
              <w:t>文化建设</w:t>
            </w:r>
          </w:p>
          <w:p w14:paraId="2664B6EB">
            <w:pPr>
              <w:rPr>
                <w:rFonts w:ascii="仿宋" w:hAnsi="仿宋" w:eastAsia="仿宋" w:cs="仿宋"/>
                <w:szCs w:val="21"/>
              </w:rPr>
            </w:pPr>
            <w:r>
              <w:rPr>
                <w:rFonts w:hint="eastAsia" w:ascii="仿宋" w:hAnsi="仿宋" w:eastAsia="仿宋" w:cs="仿宋"/>
                <w:szCs w:val="21"/>
              </w:rPr>
              <w:t>1、主材：采用1.5厘厚UV喷绘，根据专业相关内容设计，打印制作安装。规格：UV板的宽度通常为1220毫米，长度为2440毫米，厚度18毫米。</w:t>
            </w:r>
          </w:p>
          <w:p w14:paraId="5A4C5298">
            <w:pPr>
              <w:rPr>
                <w:rFonts w:ascii="仿宋" w:hAnsi="仿宋" w:eastAsia="仿宋" w:cs="仿宋"/>
                <w:szCs w:val="21"/>
              </w:rPr>
            </w:pPr>
            <w:r>
              <w:rPr>
                <w:rFonts w:hint="eastAsia" w:ascii="仿宋" w:hAnsi="仿宋" w:eastAsia="仿宋" w:cs="仿宋"/>
                <w:szCs w:val="21"/>
              </w:rPr>
              <w:t>2、表面光滑度：UV板具有镜面高光效果，表面光滑度高，色彩丰满诱人。</w:t>
            </w:r>
          </w:p>
          <w:p w14:paraId="79639F36">
            <w:pPr>
              <w:rPr>
                <w:rFonts w:ascii="仿宋" w:hAnsi="仿宋" w:eastAsia="仿宋" w:cs="仿宋"/>
                <w:szCs w:val="21"/>
              </w:rPr>
            </w:pPr>
            <w:r>
              <w:rPr>
                <w:rFonts w:hint="eastAsia" w:ascii="仿宋" w:hAnsi="仿宋" w:eastAsia="仿宋" w:cs="仿宋"/>
                <w:szCs w:val="21"/>
              </w:rPr>
              <w:t>环保性能：UV板解决了传统板材中存在的环保问题。它本身不含苯等易挥发性物质，并且通过紫外光固化，形成致密固化膜，降低了基材气体的释放量。</w:t>
            </w:r>
          </w:p>
          <w:p w14:paraId="21FA0FBA">
            <w:pPr>
              <w:numPr>
                <w:ilvl w:val="0"/>
                <w:numId w:val="5"/>
              </w:numPr>
              <w:rPr>
                <w:rFonts w:ascii="仿宋" w:hAnsi="仿宋" w:eastAsia="仿宋" w:cs="仿宋"/>
                <w:szCs w:val="21"/>
              </w:rPr>
            </w:pPr>
            <w:r>
              <w:rPr>
                <w:rFonts w:hint="eastAsia" w:ascii="仿宋" w:hAnsi="仿宋" w:eastAsia="仿宋" w:cs="仿宋"/>
                <w:szCs w:val="21"/>
              </w:rPr>
              <w:t>耐久性：UV板具有不褪色的特点，通过对比实验证明，UV饰面板与传统板材比较，具有更优良的理化性能，保证UV板经久不失色，并解决了色差现象。同时，它还具有耐刮擦和耐酸碱抗腐蚀的特性</w:t>
            </w:r>
          </w:p>
          <w:p w14:paraId="5F9ED1F9">
            <w:pPr>
              <w:pStyle w:val="8"/>
              <w:widowControl w:val="0"/>
              <w:numPr>
                <w:ilvl w:val="0"/>
                <w:numId w:val="5"/>
              </w:numPr>
              <w:jc w:val="left"/>
              <w:rPr>
                <w:rFonts w:ascii="仿宋" w:hAnsi="仿宋" w:eastAsia="仿宋" w:cs="仿宋"/>
                <w:kern w:val="2"/>
                <w:sz w:val="21"/>
                <w:szCs w:val="21"/>
              </w:rPr>
            </w:pPr>
            <w:r>
              <w:rPr>
                <w:rFonts w:hint="eastAsia" w:ascii="仿宋" w:hAnsi="仿宋" w:eastAsia="仿宋" w:cs="仿宋"/>
                <w:kern w:val="2"/>
                <w:sz w:val="21"/>
                <w:szCs w:val="21"/>
              </w:rPr>
              <w:t>配合实训室的功能定位进行室内环境文化建设，营造整体的文化氛围效果。</w:t>
            </w:r>
          </w:p>
          <w:p w14:paraId="5CB1FCC9">
            <w:pPr>
              <w:pStyle w:val="8"/>
              <w:widowControl w:val="0"/>
              <w:jc w:val="left"/>
              <w:rPr>
                <w:rFonts w:ascii="仿宋" w:hAnsi="仿宋" w:eastAsia="仿宋" w:cs="仿宋"/>
                <w:kern w:val="2"/>
                <w:sz w:val="21"/>
                <w:szCs w:val="21"/>
              </w:rPr>
            </w:pPr>
            <w:r>
              <w:rPr>
                <w:rFonts w:hint="eastAsia" w:ascii="仿宋" w:hAnsi="仿宋" w:eastAsia="仿宋" w:cs="仿宋"/>
                <w:kern w:val="2"/>
                <w:sz w:val="21"/>
                <w:szCs w:val="21"/>
              </w:rPr>
              <w:t>5、根据实训室面积130㎡需求进行文化打造,打造效果需采购人确认才能实施。</w:t>
            </w:r>
          </w:p>
          <w:p w14:paraId="71E50C7F">
            <w:pPr>
              <w:rPr>
                <w:rFonts w:ascii="仿宋" w:hAnsi="仿宋" w:eastAsia="仿宋" w:cs="仿宋"/>
                <w:szCs w:val="21"/>
              </w:rPr>
            </w:pPr>
            <w:r>
              <w:rPr>
                <w:rFonts w:hint="eastAsia" w:ascii="仿宋" w:hAnsi="仿宋" w:eastAsia="仿宋" w:cs="仿宋"/>
                <w:szCs w:val="21"/>
              </w:rPr>
              <w:t>二、全打孔铝扣板（130㎡）</w:t>
            </w:r>
          </w:p>
          <w:p w14:paraId="39C32FFB">
            <w:pPr>
              <w:numPr>
                <w:ilvl w:val="0"/>
                <w:numId w:val="6"/>
              </w:numPr>
              <w:rPr>
                <w:rFonts w:ascii="仿宋" w:hAnsi="仿宋" w:eastAsia="仿宋" w:cs="仿宋"/>
                <w:szCs w:val="21"/>
              </w:rPr>
            </w:pPr>
            <w:r>
              <w:rPr>
                <w:rFonts w:hint="eastAsia" w:ascii="仿宋" w:hAnsi="仿宋" w:eastAsia="仿宋" w:cs="仿宋"/>
                <w:szCs w:val="21"/>
              </w:rPr>
              <w:t>龙骨：直径8全牙吊杆,,900~1200mm，60轻钢主龙骨，专用叁角卡骨。</w:t>
            </w:r>
          </w:p>
          <w:p w14:paraId="272D7A9F">
            <w:pPr>
              <w:numPr>
                <w:ilvl w:val="0"/>
                <w:numId w:val="6"/>
              </w:numPr>
              <w:rPr>
                <w:rFonts w:ascii="仿宋" w:hAnsi="仿宋" w:eastAsia="仿宋" w:cs="仿宋"/>
                <w:szCs w:val="21"/>
              </w:rPr>
            </w:pPr>
            <w:r>
              <w:rPr>
                <w:rFonts w:hint="eastAsia" w:ascii="仿宋" w:hAnsi="仿宋" w:eastAsia="仿宋" w:cs="仿宋"/>
                <w:szCs w:val="21"/>
              </w:rPr>
              <w:t>饰面：600*1200MM全打孔铝扣板</w:t>
            </w:r>
          </w:p>
          <w:p w14:paraId="1C004B43">
            <w:pPr>
              <w:rPr>
                <w:rFonts w:ascii="仿宋" w:hAnsi="仿宋" w:eastAsia="仿宋" w:cs="仿宋"/>
                <w:szCs w:val="21"/>
              </w:rPr>
            </w:pPr>
            <w:r>
              <w:rPr>
                <w:rFonts w:hint="eastAsia" w:ascii="仿宋" w:hAnsi="仿宋" w:eastAsia="仿宋" w:cs="仿宋"/>
                <w:szCs w:val="21"/>
              </w:rPr>
              <w:t>三、LED平板灯18盏</w:t>
            </w:r>
          </w:p>
          <w:p w14:paraId="1961CB7E">
            <w:pPr>
              <w:numPr>
                <w:ilvl w:val="0"/>
                <w:numId w:val="7"/>
              </w:numPr>
              <w:rPr>
                <w:rFonts w:ascii="仿宋" w:hAnsi="仿宋" w:eastAsia="仿宋" w:cs="仿宋"/>
                <w:szCs w:val="21"/>
              </w:rPr>
            </w:pPr>
            <w:r>
              <w:rPr>
                <w:rFonts w:hint="eastAsia" w:ascii="仿宋" w:hAnsi="仿宋" w:eastAsia="仿宋" w:cs="仿宋"/>
                <w:szCs w:val="21"/>
              </w:rPr>
              <w:t>功率：48W，色温范围在3000 - 6500K且可调节，这个范围能满足不同场景对光色的需求</w:t>
            </w:r>
          </w:p>
          <w:p w14:paraId="797E0C15">
            <w:pPr>
              <w:numPr>
                <w:ilvl w:val="0"/>
                <w:numId w:val="7"/>
              </w:numPr>
              <w:rPr>
                <w:rFonts w:ascii="仿宋" w:hAnsi="仿宋" w:eastAsia="仿宋" w:cs="仿宋"/>
                <w:szCs w:val="21"/>
              </w:rPr>
            </w:pPr>
            <w:r>
              <w:rPr>
                <w:rFonts w:hint="eastAsia" w:ascii="仿宋" w:hAnsi="仿宋" w:eastAsia="仿宋" w:cs="仿宋"/>
                <w:szCs w:val="21"/>
              </w:rPr>
              <w:t>暖白光（3000 - 4000K）营造温馨氛围，正白光（4000 - 5000K）适合办公场所，冷白光（5000 - 6500K）可用于需要高亮度的地方</w:t>
            </w:r>
          </w:p>
          <w:p w14:paraId="44415221">
            <w:pPr>
              <w:rPr>
                <w:rFonts w:ascii="仿宋" w:hAnsi="仿宋" w:eastAsia="仿宋" w:cs="仿宋"/>
                <w:szCs w:val="21"/>
              </w:rPr>
            </w:pPr>
            <w:r>
              <w:rPr>
                <w:rFonts w:hint="eastAsia" w:ascii="仿宋" w:hAnsi="仿宋" w:eastAsia="仿宋" w:cs="仿宋"/>
                <w:szCs w:val="21"/>
              </w:rPr>
              <w:t>四、腻子</w:t>
            </w:r>
          </w:p>
          <w:p w14:paraId="761E54D0">
            <w:pPr>
              <w:rPr>
                <w:rFonts w:ascii="仿宋" w:hAnsi="仿宋" w:eastAsia="仿宋" w:cs="仿宋"/>
                <w:szCs w:val="21"/>
              </w:rPr>
            </w:pPr>
            <w:r>
              <w:rPr>
                <w:rFonts w:hint="eastAsia" w:ascii="仿宋" w:hAnsi="仿宋" w:eastAsia="仿宋" w:cs="仿宋"/>
                <w:szCs w:val="21"/>
              </w:rPr>
              <w:t>1、喷无机涂料面漆二道</w:t>
            </w:r>
          </w:p>
          <w:p w14:paraId="3BC2ADB0">
            <w:pPr>
              <w:rPr>
                <w:rFonts w:ascii="仿宋" w:hAnsi="仿宋" w:eastAsia="仿宋" w:cs="仿宋"/>
                <w:szCs w:val="21"/>
              </w:rPr>
            </w:pPr>
            <w:r>
              <w:rPr>
                <w:rFonts w:hint="eastAsia" w:ascii="仿宋" w:hAnsi="仿宋" w:eastAsia="仿宋" w:cs="仿宋"/>
                <w:szCs w:val="21"/>
              </w:rPr>
              <w:t>2、刷抗碱底漆一道</w:t>
            </w:r>
          </w:p>
          <w:p w14:paraId="4F6DAEA6">
            <w:pPr>
              <w:rPr>
                <w:rFonts w:ascii="仿宋" w:hAnsi="仿宋" w:eastAsia="仿宋" w:cs="仿宋"/>
                <w:szCs w:val="21"/>
              </w:rPr>
            </w:pPr>
            <w:r>
              <w:rPr>
                <w:rFonts w:hint="eastAsia" w:ascii="仿宋" w:hAnsi="仿宋" w:eastAsia="仿宋" w:cs="仿宋"/>
                <w:szCs w:val="21"/>
              </w:rPr>
              <w:t>3、刮白胶腻子找平二遍1、基层处理，纤维网，防裂宝</w:t>
            </w:r>
          </w:p>
          <w:p w14:paraId="0B5261D8">
            <w:pPr>
              <w:rPr>
                <w:rFonts w:ascii="仿宋" w:hAnsi="仿宋" w:eastAsia="仿宋" w:cs="仿宋"/>
                <w:szCs w:val="21"/>
              </w:rPr>
            </w:pPr>
            <w:r>
              <w:rPr>
                <w:rFonts w:hint="eastAsia" w:ascii="仿宋" w:hAnsi="仿宋" w:eastAsia="仿宋" w:cs="仿宋"/>
                <w:szCs w:val="21"/>
              </w:rPr>
              <w:t>4、刮白胶腻子找平二遍</w:t>
            </w:r>
          </w:p>
          <w:p w14:paraId="1576482F">
            <w:pPr>
              <w:rPr>
                <w:rFonts w:ascii="仿宋" w:hAnsi="仿宋" w:eastAsia="仿宋" w:cs="仿宋"/>
                <w:szCs w:val="21"/>
              </w:rPr>
            </w:pPr>
            <w:r>
              <w:rPr>
                <w:rFonts w:hint="eastAsia" w:ascii="仿宋" w:hAnsi="仿宋" w:eastAsia="仿宋" w:cs="仿宋"/>
                <w:szCs w:val="21"/>
              </w:rPr>
              <w:t>5、满足设计图纸、相关规范及方案需求</w:t>
            </w:r>
          </w:p>
          <w:p w14:paraId="6FE26901">
            <w:pPr>
              <w:rPr>
                <w:rFonts w:ascii="仿宋" w:hAnsi="仿宋" w:eastAsia="仿宋" w:cs="仿宋"/>
                <w:szCs w:val="21"/>
              </w:rPr>
            </w:pPr>
            <w:r>
              <w:rPr>
                <w:rFonts w:hint="eastAsia" w:ascii="仿宋" w:hAnsi="仿宋" w:eastAsia="仿宋" w:cs="仿宋"/>
                <w:szCs w:val="21"/>
              </w:rPr>
              <w:t>五、地坪漆（130㎡）</w:t>
            </w:r>
          </w:p>
          <w:p w14:paraId="0FD3119A">
            <w:pPr>
              <w:rPr>
                <w:rFonts w:ascii="仿宋" w:hAnsi="仿宋" w:eastAsia="仿宋" w:cs="仿宋"/>
                <w:szCs w:val="21"/>
              </w:rPr>
            </w:pPr>
            <w:r>
              <w:rPr>
                <w:rFonts w:hint="eastAsia" w:ascii="仿宋" w:hAnsi="仿宋" w:eastAsia="仿宋" w:cs="仿宋"/>
                <w:szCs w:val="21"/>
              </w:rPr>
              <w:t>采用环氧面漆，搅拌混合后均匀无硬块，表面平整、无明显可见的缩孔、浮色、发花、起皱、针孔、开裂等现象</w:t>
            </w:r>
          </w:p>
          <w:p w14:paraId="0D27DA89">
            <w:pPr>
              <w:pStyle w:val="8"/>
              <w:widowControl w:val="0"/>
              <w:jc w:val="left"/>
              <w:rPr>
                <w:rFonts w:ascii="仿宋" w:hAnsi="仿宋" w:eastAsia="仿宋" w:cs="仿宋"/>
                <w:sz w:val="21"/>
                <w:szCs w:val="21"/>
              </w:rPr>
            </w:pPr>
            <w:r>
              <w:rPr>
                <w:rFonts w:hint="eastAsia" w:ascii="仿宋" w:hAnsi="仿宋" w:eastAsia="仿宋" w:cs="仿宋"/>
                <w:sz w:val="21"/>
                <w:szCs w:val="21"/>
              </w:rPr>
              <w:t>六、综合布线</w:t>
            </w:r>
          </w:p>
          <w:p w14:paraId="7DE1C3FE">
            <w:pPr>
              <w:pStyle w:val="8"/>
              <w:widowControl w:val="0"/>
              <w:jc w:val="left"/>
              <w:rPr>
                <w:rFonts w:ascii="仿宋" w:hAnsi="仿宋" w:eastAsia="仿宋" w:cs="仿宋"/>
                <w:kern w:val="2"/>
                <w:sz w:val="21"/>
                <w:szCs w:val="21"/>
              </w:rPr>
            </w:pPr>
            <w:r>
              <w:rPr>
                <w:rFonts w:hint="eastAsia" w:ascii="仿宋" w:hAnsi="仿宋" w:eastAsia="仿宋" w:cs="仿宋"/>
                <w:kern w:val="2"/>
                <w:sz w:val="21"/>
                <w:szCs w:val="21"/>
              </w:rPr>
              <w:t xml:space="preserve">1、超六类全铜网线、网络水晶头、线槽、单控开关、插座等满足安装所需全部辅材、线材 。                    </w:t>
            </w:r>
          </w:p>
          <w:p w14:paraId="246FC9FD">
            <w:pPr>
              <w:rPr>
                <w:rFonts w:ascii="仿宋" w:hAnsi="仿宋" w:eastAsia="仿宋" w:cs="仿宋"/>
                <w:szCs w:val="21"/>
              </w:rPr>
            </w:pPr>
            <w:r>
              <w:rPr>
                <w:rFonts w:hint="eastAsia" w:ascii="仿宋" w:hAnsi="仿宋" w:eastAsia="仿宋" w:cs="仿宋"/>
                <w:szCs w:val="21"/>
              </w:rPr>
              <w:t>2、完成整个项目的改造建设及安装调试工作。</w:t>
            </w:r>
          </w:p>
        </w:tc>
      </w:tr>
      <w:tr w14:paraId="292E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D4F566D">
            <w:pPr>
              <w:jc w:val="center"/>
              <w:rPr>
                <w:rFonts w:ascii="仿宋" w:hAnsi="仿宋" w:eastAsia="仿宋" w:cs="仿宋"/>
                <w:szCs w:val="21"/>
              </w:rPr>
            </w:pPr>
            <w:r>
              <w:rPr>
                <w:rFonts w:hint="eastAsia" w:ascii="仿宋" w:hAnsi="仿宋" w:eastAsia="仿宋" w:cs="仿宋"/>
                <w:szCs w:val="21"/>
              </w:rPr>
              <w:t>5</w:t>
            </w:r>
          </w:p>
        </w:tc>
        <w:tc>
          <w:tcPr>
            <w:tcW w:w="1845" w:type="dxa"/>
            <w:vAlign w:val="center"/>
          </w:tcPr>
          <w:p w14:paraId="3A1BC9E1">
            <w:pPr>
              <w:jc w:val="left"/>
              <w:rPr>
                <w:rFonts w:ascii="仿宋" w:hAnsi="仿宋" w:eastAsia="仿宋" w:cs="仿宋"/>
                <w:szCs w:val="21"/>
              </w:rPr>
            </w:pPr>
            <w:r>
              <w:rPr>
                <w:rFonts w:hint="eastAsia" w:ascii="仿宋" w:hAnsi="仿宋" w:eastAsia="仿宋" w:cs="仿宋"/>
                <w:szCs w:val="21"/>
              </w:rPr>
              <w:t>讲台</w:t>
            </w:r>
          </w:p>
        </w:tc>
        <w:tc>
          <w:tcPr>
            <w:tcW w:w="6498" w:type="dxa"/>
          </w:tcPr>
          <w:p w14:paraId="58244BC7">
            <w:pPr>
              <w:rPr>
                <w:rFonts w:ascii="仿宋" w:hAnsi="仿宋" w:eastAsia="仿宋" w:cs="仿宋"/>
                <w:szCs w:val="21"/>
              </w:rPr>
            </w:pPr>
            <w:r>
              <w:rPr>
                <w:rFonts w:hint="eastAsia" w:ascii="仿宋" w:hAnsi="仿宋" w:eastAsia="仿宋" w:cs="仿宋"/>
                <w:kern w:val="0"/>
                <w:szCs w:val="21"/>
                <w:lang w:bidi="ar"/>
              </w:rPr>
              <w:t>1、整体设计符合人机工程学，规格：1150mm*780mm*1000mm（长宽高）；</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2、讲桌主体材料采用1.0-1.5mm冷轧钢板。讲桌采用钢木结合构造，桌体上部分采用圆弧设计。讲台整体设计符合人体力学原理，提供左右海南橡木实木扶手，供使用者扶用。</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3、工艺：脱脂、磷化、静电喷塑、溜平固化，重点部位须采用一次冲压成型技术；所有钣金部分均采用激光切割加工，所有尖角倒圆角不小于R3，保证使用者和维护者不划伤。</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4、讲桌桌面采用木黄色耐划木质材料，耐腐蚀环保台面（非吸塑工艺），扶手采用橡木扶手，L型橡木装饰板，整体布局简洁、美观。</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5、桌面由一把机械锁控制，采用环环相扣设计，显示器盖板、键盘打开，展示台抽屉逐步打开。关闭时只要把显示器翻转锁住，此时整个桌面成一个平面状态，操作更简易，使用更安全。或者讲台上设置输入电源控制总开关，用IC卡的形式，能防一定的技术性开启。桌面配有不少于4个USB接口，1个HDMI接口，1个网线接口，1个MIC,1个VGA,2个三孔电源接口。</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6、讲桌上下层采用分体式设计，桌面部分和桌体部分自成一体，方便进出设计比较窄的教室门。讲桌内置固定螺丝孔位，安装简单，安全防盗；独立包装，运输轻便。</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7、图像展示设备盖板和键盘、鼠标部分采用联动式设计。图像展示设备盖板可装置23.8寸图像展示设备；安装图像展示设备无任何螺丝结构。键盘前面放置一体中控或者分体中控系统.</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8、右侧抽屉可放置实物展示台，承重6公斤,关闭后,所有设备都隐藏在讲台内。</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9、上柜尺寸1150*780*340mm，下柜尺寸810*630*660mm，桌面到地面尺寸为900mm高，图像展示设备开孔为550mm</w:t>
            </w:r>
          </w:p>
        </w:tc>
      </w:tr>
      <w:tr w14:paraId="35DD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E63344B">
            <w:pPr>
              <w:jc w:val="center"/>
              <w:rPr>
                <w:rFonts w:ascii="仿宋" w:hAnsi="仿宋" w:eastAsia="仿宋" w:cs="仿宋"/>
                <w:szCs w:val="21"/>
              </w:rPr>
            </w:pPr>
            <w:r>
              <w:rPr>
                <w:rFonts w:hint="eastAsia" w:ascii="仿宋" w:hAnsi="仿宋" w:eastAsia="仿宋" w:cs="仿宋"/>
                <w:szCs w:val="21"/>
              </w:rPr>
              <w:t>6</w:t>
            </w:r>
          </w:p>
        </w:tc>
        <w:tc>
          <w:tcPr>
            <w:tcW w:w="1845" w:type="dxa"/>
            <w:vAlign w:val="center"/>
          </w:tcPr>
          <w:p w14:paraId="46ED17C3">
            <w:pPr>
              <w:jc w:val="left"/>
              <w:rPr>
                <w:rFonts w:ascii="仿宋" w:hAnsi="仿宋" w:eastAsia="仿宋" w:cs="仿宋"/>
                <w:szCs w:val="21"/>
              </w:rPr>
            </w:pPr>
            <w:r>
              <w:rPr>
                <w:rFonts w:hint="eastAsia" w:ascii="仿宋" w:hAnsi="仿宋" w:eastAsia="仿宋" w:cs="仿宋"/>
                <w:szCs w:val="21"/>
              </w:rPr>
              <w:t>工具柜</w:t>
            </w:r>
          </w:p>
        </w:tc>
        <w:tc>
          <w:tcPr>
            <w:tcW w:w="6498" w:type="dxa"/>
          </w:tcPr>
          <w:p w14:paraId="11B99914">
            <w:pPr>
              <w:numPr>
                <w:ilvl w:val="0"/>
                <w:numId w:val="8"/>
              </w:numPr>
              <w:rPr>
                <w:rFonts w:ascii="仿宋" w:hAnsi="仿宋" w:eastAsia="仿宋" w:cs="仿宋"/>
                <w:kern w:val="0"/>
                <w:szCs w:val="21"/>
                <w:lang w:bidi="ar"/>
              </w:rPr>
            </w:pPr>
            <w:r>
              <w:rPr>
                <w:rFonts w:hint="eastAsia" w:ascii="仿宋" w:hAnsi="仿宋" w:eastAsia="仿宋" w:cs="仿宋"/>
                <w:kern w:val="0"/>
                <w:szCs w:val="21"/>
                <w:lang w:bidi="ar"/>
              </w:rPr>
              <w:t xml:space="preserve">尺寸：高1.8 长1米 深度0.5米 </w:t>
            </w:r>
          </w:p>
          <w:p w14:paraId="5810AD73">
            <w:pPr>
              <w:pStyle w:val="7"/>
              <w:rPr>
                <w:rFonts w:ascii="仿宋" w:hAnsi="仿宋" w:eastAsia="仿宋" w:cs="仿宋"/>
                <w:sz w:val="21"/>
                <w:szCs w:val="21"/>
              </w:rPr>
            </w:pPr>
            <w:r>
              <w:rPr>
                <w:rFonts w:hint="eastAsia" w:ascii="仿宋" w:hAnsi="仿宋" w:eastAsia="仿宋" w:cs="仿宋"/>
                <w:bCs w:val="0"/>
                <w:spacing w:val="0"/>
                <w:sz w:val="21"/>
                <w:szCs w:val="21"/>
                <w:lang w:bidi="ar"/>
              </w:rPr>
              <w:t>2、内层：5层</w:t>
            </w:r>
          </w:p>
          <w:p w14:paraId="2C3946AB">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sz w:val="21"/>
                <w:szCs w:val="21"/>
              </w:rPr>
              <w:t>3、材质：</w:t>
            </w:r>
            <w:r>
              <w:rPr>
                <w:rFonts w:ascii="仿宋" w:hAnsi="仿宋" w:eastAsia="仿宋" w:cs="仿宋"/>
                <w:color w:val="333333"/>
                <w:sz w:val="21"/>
                <w:szCs w:val="21"/>
                <w:shd w:val="clear" w:color="auto" w:fill="FFFFFF"/>
              </w:rPr>
              <w:t>冷轧钢</w:t>
            </w:r>
          </w:p>
          <w:p w14:paraId="758BC912">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4、门数：双门</w:t>
            </w:r>
          </w:p>
        </w:tc>
      </w:tr>
      <w:tr w14:paraId="2BF0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9725534">
            <w:pPr>
              <w:jc w:val="center"/>
              <w:rPr>
                <w:rFonts w:ascii="仿宋" w:hAnsi="仿宋" w:eastAsia="仿宋" w:cs="仿宋"/>
                <w:szCs w:val="21"/>
              </w:rPr>
            </w:pPr>
            <w:r>
              <w:rPr>
                <w:rFonts w:hint="eastAsia" w:ascii="仿宋" w:hAnsi="仿宋" w:eastAsia="仿宋" w:cs="仿宋"/>
                <w:szCs w:val="21"/>
              </w:rPr>
              <w:t>7</w:t>
            </w:r>
          </w:p>
        </w:tc>
        <w:tc>
          <w:tcPr>
            <w:tcW w:w="1845" w:type="dxa"/>
            <w:vAlign w:val="center"/>
          </w:tcPr>
          <w:p w14:paraId="1D719D80">
            <w:pPr>
              <w:jc w:val="left"/>
              <w:rPr>
                <w:rFonts w:ascii="仿宋" w:hAnsi="仿宋" w:eastAsia="仿宋" w:cs="仿宋"/>
                <w:szCs w:val="21"/>
              </w:rPr>
            </w:pPr>
            <w:r>
              <w:rPr>
                <w:rFonts w:hint="eastAsia" w:ascii="仿宋" w:hAnsi="仿宋" w:eastAsia="仿宋" w:cs="仿宋"/>
                <w:szCs w:val="21"/>
              </w:rPr>
              <w:t>工业机器人结构拆装实训台</w:t>
            </w:r>
          </w:p>
        </w:tc>
        <w:tc>
          <w:tcPr>
            <w:tcW w:w="6498" w:type="dxa"/>
          </w:tcPr>
          <w:p w14:paraId="2DC4F000">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一、机械拆装平台</w:t>
            </w:r>
          </w:p>
          <w:p w14:paraId="0941E086">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1．机械拆装平台主要用于机器人本体1-6轴的拆装实训。</w:t>
            </w:r>
          </w:p>
          <w:p w14:paraId="223609C2">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2．平台分为两部分：一部分为机器人本体拆装实训区域，一部分为拆装好定位及精度调试区域。</w:t>
            </w:r>
          </w:p>
          <w:p w14:paraId="2F2F0A3D">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3．由铝型材搭建，尺寸约：长1.5米，宽1米。</w:t>
            </w:r>
          </w:p>
          <w:p w14:paraId="4204A88D">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4．配置码垛及轨迹两套实训模块，用于拆装后的定位及、精度调试。</w:t>
            </w:r>
          </w:p>
          <w:p w14:paraId="28EA985F">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5．设有内层抽屉收纳。拆装后将机器人零部件，减速机，伺服电机等放入相对应的抽屉中，这样更加有利于同学们记忆机器人的结构组成，从而达到拆装工作站的建设目的。</w:t>
            </w:r>
          </w:p>
          <w:p w14:paraId="731DB9CA">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二、工业机器人本体 </w:t>
            </w:r>
          </w:p>
          <w:p w14:paraId="773C7878">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（1）自由度：6自由度</w:t>
            </w:r>
          </w:p>
          <w:p w14:paraId="60F87800">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（2）驱动方式：全伺服电机驱动</w:t>
            </w:r>
          </w:p>
          <w:p w14:paraId="22AE7520">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（3）负载能力：额定3KG</w:t>
            </w:r>
          </w:p>
          <w:p w14:paraId="6D626B78">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（4）最大负载能力：3KG</w:t>
            </w:r>
          </w:p>
          <w:p w14:paraId="08098997">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（5）重复定位精度： ±0.05mm</w:t>
            </w:r>
          </w:p>
          <w:p w14:paraId="11B65FF1">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（6）每轴运动范围：关节1   ±170°；关节2   ±100°；关节3   +140°/-60°；关节4   ±180°；关节5   ±115°；关节6   ±360°</w:t>
            </w:r>
          </w:p>
          <w:p w14:paraId="2176EED3">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（7）每轴运动速度：关节1   266°/s；关节2   280°/s；关节3   315°/s；关节4   280°/s；关节5   280°/s；关节6   300°/s</w:t>
            </w:r>
          </w:p>
          <w:p w14:paraId="3A338D69">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（8）最大扭矩：关节5  35Nm；关节6  24Nm</w:t>
            </w:r>
          </w:p>
          <w:p w14:paraId="27FCEB5E">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（9）最大工作半径： 700mm</w:t>
            </w:r>
          </w:p>
          <w:p w14:paraId="463EB3B9">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（10）通信方式：MODBUS TCP/以太网</w:t>
            </w:r>
          </w:p>
          <w:p w14:paraId="39478C0E">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（11）操作方式：示教再现/编程</w:t>
            </w:r>
          </w:p>
          <w:p w14:paraId="292707D7">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（12）供电电源：两相/220V/50Hz</w:t>
            </w:r>
          </w:p>
          <w:p w14:paraId="37C2FA43">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三、手持示教器</w:t>
            </w:r>
          </w:p>
          <w:p w14:paraId="6F7B21E5">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  防尘防摔的控制系统手持器，可以通过手持器进行机器人的操作，全中文的工艺编程指令，方便学习。</w:t>
            </w:r>
          </w:p>
          <w:p w14:paraId="79E7FB9B">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硬件配置：</w:t>
            </w:r>
          </w:p>
          <w:p w14:paraId="2A60366B">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1.800X600 LCD；2.14bit 触摸屏；3.ARM-A8 1GH CPU 主频；4. 512M 内存；5. 2G EMMC存储；6. 5M拖链线</w:t>
            </w:r>
          </w:p>
          <w:p w14:paraId="18207B5E">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功能：1.程序编辑；2. 程序和参数管理；3. 手动示教；4. 工具和工作台管理；5. 参数从U盘导入导出；6. 系统镜像还原，可以从另外的机台导入全部设定，方便批量生产。</w:t>
            </w:r>
          </w:p>
          <w:p w14:paraId="78BAAED3">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四、机器人控制柜</w:t>
            </w:r>
          </w:p>
          <w:p w14:paraId="1E03BDA8">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 一体化设计的控制机柜，整合运动控制和电机控制系统，可以支持4-6轴的机器人本体，只需对接好重载线后即可使用，节省电气工程师工作。接口丰富，可以对接各种外部设备。</w:t>
            </w:r>
          </w:p>
          <w:p w14:paraId="2BBFD7EF">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（一）硬件配置:</w:t>
            </w:r>
          </w:p>
          <w:p w14:paraId="0E4C9514">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 ARM-A8 1GH CPU 主频；2. 512M 内存；3. 2G EMMC存储；4.支持多摩川17bit和23bit编码器协议电机；5. 单轴支持50w-2000w功率范围</w:t>
            </w:r>
          </w:p>
          <w:p w14:paraId="0658E4A0">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6. 1路网口，2路RS485接口，1路CAN口，1路PWM脉冲输出，1路ABZ编码器输入接口。32输入，32输出</w:t>
            </w:r>
          </w:p>
          <w:p w14:paraId="48643439">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（二）功能：</w:t>
            </w:r>
          </w:p>
          <w:p w14:paraId="559C0A1B">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 支持2扩展轴，满足6轴联动；2. 支持串联4-6轴，Delta机型；3. 控制精度0.001mm；4. 支持视觉跟随，焊机，冲压，码垛，喷涂，取片等工艺包，加速工艺编程。</w:t>
            </w:r>
          </w:p>
          <w:p w14:paraId="19C17052">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（三）．基本参数</w:t>
            </w:r>
          </w:p>
          <w:p w14:paraId="7C07941A">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（1）噪声：≤70dB；（2）电源：DC24V 50HZ；（3）机器人控制系统、驱动和电机、减速器均为国产自主品牌工业机器人夹具及典型应用实训组件</w:t>
            </w:r>
          </w:p>
          <w:p w14:paraId="4DF8BF1A">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五、工具、夹具及模块：</w:t>
            </w:r>
          </w:p>
          <w:p w14:paraId="5E15394F">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（一）轨迹焊机模块一套；搬运模块一套；双位夹具模块一套。</w:t>
            </w:r>
          </w:p>
          <w:p w14:paraId="7DE518E2">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二）工具：内六角扳手（12-2.5MM)、电工胶带*1、一字起子*1、十字起子*1、电笔*1、小螺丝刀*2、剥线钳*1、美工刀*1、梅花开口两用扳手套装*1；棘轮扳手5种型号，包括8/9mm、10/11mm、12/13mm、14/15mm以及16/18mm；活动扳手*1、手套*1、拉马*1、平口钳*1、胶锤*1、套筒扳手*1、拔销器*1、勾扳手*1、铁锤*1、棘轮扳手*1</w:t>
            </w:r>
          </w:p>
          <w:p w14:paraId="52854589">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六、电气拆装实训平台：</w:t>
            </w:r>
          </w:p>
          <w:p w14:paraId="662729A3">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1．钣金喷塑材质；</w:t>
            </w:r>
          </w:p>
          <w:p w14:paraId="4FF148BB">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2．加工件：铝合金表面氧化处理；钣金件表面喷涂处理；</w:t>
            </w:r>
          </w:p>
          <w:p w14:paraId="1A4A4811">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3．模块展示挂板用钣金喷塑处理，用于挂机器人控制柜各大模块；</w:t>
            </w:r>
          </w:p>
          <w:p w14:paraId="50830B4D">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4．所有模块进行电气过流过压等保护；</w:t>
            </w:r>
          </w:p>
          <w:p w14:paraId="72493A41">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5．外形尺寸：长*宽*高≥800mm×400mm×1500mm。</w:t>
            </w:r>
          </w:p>
          <w:p w14:paraId="4FFF48B4">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七、实训台设备配置具体清单信息：</w:t>
            </w:r>
          </w:p>
          <w:p w14:paraId="03BAFBAB">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序号   配件名称         规格/型号                数量 </w:t>
            </w:r>
          </w:p>
          <w:p w14:paraId="403DAA2A">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1      机器人本体        臂展700                 1 </w:t>
            </w:r>
          </w:p>
          <w:p w14:paraId="2769A037">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2      伺服电机、驱动    100W-400W               6 </w:t>
            </w:r>
          </w:p>
          <w:p w14:paraId="79480478">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3      机器人控制柜      HC-06C                  1 </w:t>
            </w:r>
          </w:p>
          <w:p w14:paraId="1E383747">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4      机器人减速机      ZLCS-06                 6 </w:t>
            </w:r>
          </w:p>
          <w:p w14:paraId="1956295D">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5      实训拆装平台      1500*1000mm             1</w:t>
            </w:r>
          </w:p>
          <w:p w14:paraId="166E218E">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6      实训电柜          800*400mm               1</w:t>
            </w:r>
          </w:p>
          <w:p w14:paraId="75BAA717">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7      电脑整套          CPU：intel,系统Win7      1 </w:t>
            </w:r>
          </w:p>
          <w:p w14:paraId="1A0F4D14">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8      轨迹焊机模块                              1 </w:t>
            </w:r>
          </w:p>
          <w:p w14:paraId="753DB6F4">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9      搬运模块                                  1 </w:t>
            </w:r>
          </w:p>
          <w:p w14:paraId="77FC6A1C">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10     双位夹具模块                              1 </w:t>
            </w:r>
          </w:p>
          <w:p w14:paraId="4BE45437">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11     空压机             30L                    1 </w:t>
            </w:r>
          </w:p>
          <w:p w14:paraId="30EFB3C4">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 xml:space="preserve">12     零件放置区                                1 </w:t>
            </w:r>
          </w:p>
        </w:tc>
      </w:tr>
      <w:tr w14:paraId="047E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9DD8642">
            <w:pPr>
              <w:jc w:val="center"/>
              <w:rPr>
                <w:rFonts w:ascii="仿宋" w:hAnsi="仿宋" w:eastAsia="仿宋" w:cs="仿宋"/>
                <w:szCs w:val="21"/>
              </w:rPr>
            </w:pPr>
            <w:r>
              <w:rPr>
                <w:rFonts w:hint="eastAsia" w:ascii="仿宋" w:hAnsi="仿宋" w:eastAsia="仿宋" w:cs="仿宋"/>
                <w:szCs w:val="21"/>
              </w:rPr>
              <w:t>8</w:t>
            </w:r>
          </w:p>
        </w:tc>
        <w:tc>
          <w:tcPr>
            <w:tcW w:w="1845" w:type="dxa"/>
            <w:vAlign w:val="center"/>
          </w:tcPr>
          <w:p w14:paraId="692E6CF2">
            <w:pPr>
              <w:jc w:val="left"/>
              <w:rPr>
                <w:rFonts w:ascii="仿宋" w:hAnsi="仿宋" w:eastAsia="仿宋" w:cs="仿宋"/>
                <w:szCs w:val="21"/>
              </w:rPr>
            </w:pPr>
            <w:r>
              <w:rPr>
                <w:rFonts w:hint="eastAsia" w:ascii="仿宋" w:hAnsi="仿宋" w:eastAsia="仿宋" w:cs="仿宋"/>
                <w:szCs w:val="21"/>
              </w:rPr>
              <w:t>工业机器人拆装教学资源、工业机器人结构认知与拆装软件</w:t>
            </w:r>
          </w:p>
        </w:tc>
        <w:tc>
          <w:tcPr>
            <w:tcW w:w="6498" w:type="dxa"/>
          </w:tcPr>
          <w:p w14:paraId="1D56AA65">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1、包含教学所需的指导教材；</w:t>
            </w:r>
          </w:p>
          <w:p w14:paraId="6DE36EED">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包含所有功能模块的实训项目指导，含具体操作步骤。</w:t>
            </w:r>
          </w:p>
          <w:p w14:paraId="66AF867C">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2、包含教学所需课程资源1套，如课件、视频、试题库等；</w:t>
            </w:r>
          </w:p>
          <w:p w14:paraId="121D77E7">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2.1 课程资源包含多种形式，至少包括PPT、实拍操作视频、微课。</w:t>
            </w:r>
          </w:p>
          <w:p w14:paraId="1A892590">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2.2 PPT提供源文件，可编辑，采用最新版本软件制作，设计风格统一，可作为素材库满足教学课程使用，数量不少于10个。</w:t>
            </w:r>
          </w:p>
          <w:p w14:paraId="6112D96F">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2.3 实拍操作视频，视频精美，采用抠像、实景、实操等方式制作。</w:t>
            </w:r>
          </w:p>
          <w:p w14:paraId="459E094B">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2.4 结构认知与拆装软件：可以展示机械模型内部各零件间的位置结构关系，机构运动原理动画、模型爆炸图、包含拆装规则、安装流程、拆除流程内容。</w:t>
            </w:r>
          </w:p>
        </w:tc>
      </w:tr>
      <w:tr w14:paraId="330E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DD4E63D">
            <w:pPr>
              <w:jc w:val="center"/>
              <w:rPr>
                <w:rFonts w:ascii="仿宋" w:hAnsi="仿宋" w:eastAsia="仿宋" w:cs="仿宋"/>
                <w:szCs w:val="21"/>
              </w:rPr>
            </w:pPr>
            <w:r>
              <w:rPr>
                <w:rFonts w:hint="eastAsia" w:ascii="仿宋" w:hAnsi="仿宋" w:eastAsia="仿宋" w:cs="仿宋"/>
                <w:szCs w:val="21"/>
              </w:rPr>
              <w:t>9</w:t>
            </w:r>
          </w:p>
        </w:tc>
        <w:tc>
          <w:tcPr>
            <w:tcW w:w="1845" w:type="dxa"/>
            <w:vAlign w:val="center"/>
          </w:tcPr>
          <w:p w14:paraId="19864D84">
            <w:pPr>
              <w:jc w:val="left"/>
              <w:rPr>
                <w:rFonts w:ascii="仿宋" w:hAnsi="仿宋" w:eastAsia="仿宋" w:cs="仿宋"/>
                <w:szCs w:val="21"/>
              </w:rPr>
            </w:pPr>
            <w:r>
              <w:rPr>
                <w:rFonts w:hint="eastAsia" w:ascii="仿宋" w:hAnsi="仿宋" w:eastAsia="仿宋" w:cs="仿宋"/>
                <w:szCs w:val="21"/>
              </w:rPr>
              <w:t>工业物联网平台</w:t>
            </w:r>
          </w:p>
        </w:tc>
        <w:tc>
          <w:tcPr>
            <w:tcW w:w="6498" w:type="dxa"/>
          </w:tcPr>
          <w:p w14:paraId="53C967F7">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"一、系统需具备自主知识产权，正版软件，全中文操作界面，可提供持续的中文技术支持服务。</w:t>
            </w:r>
          </w:p>
          <w:p w14:paraId="340CE31A">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二、系统应为B/S架构，支持大规模并发用户在线使用，同时提供快速、优化的查询处理算法，保证系统的及时响应。</w:t>
            </w:r>
          </w:p>
          <w:p w14:paraId="32C77DB0">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三、系统应提供完整的软件安装手册、系统操作手册，提供全面的用户指导与培训。</w:t>
            </w:r>
          </w:p>
          <w:p w14:paraId="639EFC88">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四、系统应提供标准API接口及接口文档，支持二次开发集成和调用。</w:t>
            </w:r>
          </w:p>
          <w:p w14:paraId="4B98D5E2">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五、系统功能应包括但不限于以下功能：</w:t>
            </w:r>
          </w:p>
          <w:p w14:paraId="2013EA4F">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1)★多租户：系统支持多学校、多班级、多小组独立实训，做到租户间数据隔离，租户间独立运行数据互不干扰，实现实训独立性和考核公平性。</w:t>
            </w:r>
          </w:p>
          <w:p w14:paraId="38158E0B">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2)用户管理：系统支持按租户（小组）独立管理用户，分配用户所属角色、管理用户数据权限、配置用户密码等功能。</w:t>
            </w:r>
          </w:p>
          <w:p w14:paraId="0DD931FA">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3)★接入注册：系统后台支持管理网关和NB-IOT窄带直连设备，支持管理员将网关或直连设备在系统内进行注册并分配使用权限给指定租户。</w:t>
            </w:r>
          </w:p>
          <w:p w14:paraId="5DC36A62">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4)系统首页：系统支持在首页查看系统内项目、产品、设备、网关、直连设备等数字资产，网关和直连设备在地图中做分布标记，支持展示网关和直连设备实时在线率及近一周系统接入消息数据量走势。</w:t>
            </w:r>
          </w:p>
          <w:p w14:paraId="0376FF83">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5)项目管理：系统支持按项目管理接入设备，项目支持不同的行业类型,项目下包含设备数量直观体现到项目数据卡。</w:t>
            </w:r>
          </w:p>
          <w:p w14:paraId="0E0E8B49">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6)产品管理：系统支持按产品管理接入的设备，支持通过产品属性简历产品物模型，对于同一款产品，只需要在系统中维护一次即可按产品进行实例化设备的创建和管理。</w:t>
            </w:r>
          </w:p>
          <w:p w14:paraId="215654F0">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7)设备管理：系统支持按产品实例化设备，且设备动态继承其所属产品全部属性，支持用户自动义绑定子设备与网关子设备关联关系，系统自动将网关上报点位与设备属性进行数据匹配，支持实时查看设备数字画像，支持手动下发属性点位数据，支持查看属性点位历史数据。</w:t>
            </w:r>
          </w:p>
          <w:p w14:paraId="33C0B7A4">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8)★网关管理：系统支持用户按后台注册分配进行网关激活接入，网关下可创建多个网关子设备，支持用户自定义绑定网关子设备与子设备关联关系，支持查看网关实时在离线状态，支持查看网关实时通讯报文，支持查看网关相关的订阅与下发主题。</w:t>
            </w:r>
          </w:p>
          <w:p w14:paraId="2826B1C8">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9)直连设备：系统支持用户按后台注册分配进行直连设备激活接入，直连设备下支持接入温湿度变送器或智能电表等直连子设备，支持查看直连设备实时通讯报文，支持查看直连子设备属性最新实时数据。</w:t>
            </w:r>
          </w:p>
          <w:p w14:paraId="5F2E179D">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10)数据备份：系统支持通过数据库操作工具软件进行数据库的备份和恢复备份，以支持阶段性的教学实训。</w:t>
            </w:r>
          </w:p>
          <w:p w14:paraId="5B6365FF">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11)★可视化数据大屏：系统提供可视化大屏配置工具，内置柱状图、折线图、饼图、散点图等统计图表组件，支持文本类、图片类、视频类、表格类等多种数据组件，内置丰富的组件案例，支持静态数据、API接口数据、SQL数据、实时数据等多种数据源可配置，支持用户组态化配置可视化数据大屏。</w:t>
            </w:r>
          </w:p>
          <w:p w14:paraId="55BD3F62">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任务流程引擎：系统提供任务流程引擎工具，内置监听、控制、API等类型组件用于流程编排，支持预定义流程变量，支持调用流程变量和产品属性点位进行设备任务流程逻辑的组件化编排实现，支持发布流程模型，支持查看发布的流程模型，支持第三方业务系统调用基于已发布定版的流程模型产生流程实例，流程引擎按照流程模型配置执行流程实例并自动记录详细的执行日志。</w:t>
            </w:r>
          </w:p>
          <w:p w14:paraId="6A448506">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12)显示设备信息、状态、参数"</w:t>
            </w:r>
          </w:p>
        </w:tc>
      </w:tr>
      <w:tr w14:paraId="164B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9816177">
            <w:pPr>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0</w:t>
            </w:r>
          </w:p>
        </w:tc>
        <w:tc>
          <w:tcPr>
            <w:tcW w:w="1845" w:type="dxa"/>
            <w:vAlign w:val="center"/>
          </w:tcPr>
          <w:p w14:paraId="191C4BCB">
            <w:pPr>
              <w:jc w:val="left"/>
              <w:rPr>
                <w:rFonts w:ascii="仿宋" w:hAnsi="仿宋" w:eastAsia="仿宋" w:cs="仿宋"/>
                <w:szCs w:val="21"/>
              </w:rPr>
            </w:pPr>
            <w:r>
              <w:rPr>
                <w:rFonts w:hint="eastAsia" w:ascii="仿宋" w:hAnsi="仿宋" w:eastAsia="仿宋" w:cs="仿宋"/>
                <w:szCs w:val="21"/>
              </w:rPr>
              <w:t>人工智能机器人与视觉研训平台配套教学资源可及校本教材开发</w:t>
            </w:r>
          </w:p>
        </w:tc>
        <w:tc>
          <w:tcPr>
            <w:tcW w:w="6498" w:type="dxa"/>
          </w:tcPr>
          <w:p w14:paraId="1C7C0F7D">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"投标人负责协助学校结合学校现有实训教学设备完成《工业机器视觉基础应用》一体化系列校本教材的编写。</w:t>
            </w:r>
          </w:p>
          <w:p w14:paraId="6E6D4C22">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1.协调专家开展教材编写培训，指导1门教材的编写；</w:t>
            </w:r>
          </w:p>
          <w:p w14:paraId="5219FF4A">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2.根据课程标准，指导专业教师制定教材编写计划（包含教材建设方案、学校组成编写小组确定名单及分工、校企分工等信息）；</w:t>
            </w:r>
          </w:p>
          <w:p w14:paraId="637DB8FA">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3、校本教材内容包含：</w:t>
            </w:r>
          </w:p>
          <w:p w14:paraId="6ECF5AD7">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3.1 机器视觉测量原理及常用技术</w:t>
            </w:r>
          </w:p>
          <w:p w14:paraId="5C57A114">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3.1机器视觉测量应用</w:t>
            </w:r>
          </w:p>
          <w:p w14:paraId="486E6CFE">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3.2机器视觉引导定位应用</w:t>
            </w:r>
          </w:p>
          <w:p w14:paraId="6F0B16A0">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3.3机器视觉识别应用</w:t>
            </w:r>
          </w:p>
          <w:p w14:paraId="2C782D54">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3.4机器视觉检测应用</w:t>
            </w:r>
          </w:p>
          <w:p w14:paraId="510E3B9C">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3.5 课程资源包含多种形式，至少包括PPT、实拍操作视频、微课。</w:t>
            </w:r>
          </w:p>
          <w:p w14:paraId="1C45FB29">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3.6 PPT提供源文件，可编辑，采用最新版本软件制作，设计风格统一，可作为素材库满足教学课程使用，数量不少于10个。</w:t>
            </w:r>
          </w:p>
          <w:p w14:paraId="53BEEA49">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3.7 实拍操作视频数量不少于10个，每个时长5-8分钟；视频精美，采用抠像、实景、实操等方式制作。</w:t>
            </w:r>
          </w:p>
          <w:p w14:paraId="6F8653D5">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3.8 题库一套，包含操作视频知识点测试题、指导书章节测试题、培训考证考试等试题。"</w:t>
            </w:r>
          </w:p>
        </w:tc>
      </w:tr>
      <w:tr w14:paraId="2CDA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BDD9515">
            <w:pPr>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1</w:t>
            </w:r>
          </w:p>
        </w:tc>
        <w:tc>
          <w:tcPr>
            <w:tcW w:w="1845" w:type="dxa"/>
            <w:vAlign w:val="center"/>
          </w:tcPr>
          <w:p w14:paraId="1DBB2530">
            <w:pPr>
              <w:jc w:val="left"/>
              <w:rPr>
                <w:rFonts w:ascii="仿宋" w:hAnsi="仿宋" w:eastAsia="仿宋" w:cs="仿宋"/>
                <w:szCs w:val="21"/>
              </w:rPr>
            </w:pPr>
            <w:r>
              <w:rPr>
                <w:rFonts w:hint="eastAsia" w:ascii="仿宋" w:hAnsi="仿宋" w:eastAsia="仿宋" w:cs="仿宋"/>
                <w:szCs w:val="21"/>
              </w:rPr>
              <w:t>人工智能机器人与视觉研训平台培训</w:t>
            </w:r>
          </w:p>
        </w:tc>
        <w:tc>
          <w:tcPr>
            <w:tcW w:w="6498" w:type="dxa"/>
          </w:tcPr>
          <w:p w14:paraId="1E6B327A">
            <w:pPr>
              <w:pStyle w:val="3"/>
              <w:widowControl/>
              <w:shd w:val="clear" w:color="auto" w:fill="FFFFFF"/>
              <w:wordWrap w:val="0"/>
              <w:rPr>
                <w:rFonts w:hint="default" w:ascii="仿宋" w:hAnsi="仿宋" w:eastAsia="仿宋" w:cs="仿宋"/>
                <w:color w:val="333333"/>
                <w:sz w:val="21"/>
                <w:szCs w:val="21"/>
                <w:shd w:val="clear" w:color="auto" w:fill="FFFFFF"/>
              </w:rPr>
            </w:pPr>
            <w:r>
              <w:rPr>
                <w:rFonts w:ascii="仿宋" w:hAnsi="仿宋" w:eastAsia="仿宋" w:cs="仿宋"/>
                <w:color w:val="333333"/>
                <w:sz w:val="21"/>
                <w:szCs w:val="21"/>
                <w:shd w:val="clear" w:color="auto" w:fill="FFFFFF"/>
              </w:rPr>
              <w:t>不少于20人次的培训</w:t>
            </w:r>
          </w:p>
        </w:tc>
      </w:tr>
      <w:tr w14:paraId="558A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FBB5201">
            <w:pPr>
              <w:jc w:val="center"/>
              <w:rPr>
                <w:rFonts w:ascii="仿宋" w:hAnsi="仿宋" w:eastAsia="仿宋" w:cs="仿宋"/>
                <w:szCs w:val="21"/>
              </w:rPr>
            </w:pPr>
          </w:p>
        </w:tc>
        <w:tc>
          <w:tcPr>
            <w:tcW w:w="1845" w:type="dxa"/>
            <w:vAlign w:val="center"/>
          </w:tcPr>
          <w:p w14:paraId="067C174E">
            <w:pPr>
              <w:jc w:val="left"/>
              <w:rPr>
                <w:rFonts w:ascii="仿宋" w:hAnsi="仿宋" w:eastAsia="仿宋" w:cs="仿宋"/>
                <w:szCs w:val="21"/>
              </w:rPr>
            </w:pPr>
          </w:p>
        </w:tc>
        <w:tc>
          <w:tcPr>
            <w:tcW w:w="6498" w:type="dxa"/>
          </w:tcPr>
          <w:p w14:paraId="12EA397E">
            <w:pPr>
              <w:pStyle w:val="3"/>
              <w:widowControl/>
              <w:shd w:val="clear" w:color="auto" w:fill="FFFFFF"/>
              <w:wordWrap w:val="0"/>
              <w:rPr>
                <w:rFonts w:hint="default" w:ascii="仿宋" w:hAnsi="仿宋" w:eastAsia="仿宋" w:cs="仿宋"/>
                <w:color w:val="333333"/>
                <w:sz w:val="21"/>
                <w:szCs w:val="21"/>
                <w:shd w:val="clear" w:color="auto" w:fill="FFFFFF"/>
              </w:rPr>
            </w:pPr>
          </w:p>
        </w:tc>
      </w:tr>
    </w:tbl>
    <w:p w14:paraId="6A3F1C33">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FE767"/>
    <w:multiLevelType w:val="singleLevel"/>
    <w:tmpl w:val="031FE767"/>
    <w:lvl w:ilvl="0" w:tentative="0">
      <w:start w:val="24"/>
      <w:numFmt w:val="decimal"/>
      <w:lvlText w:val="%1."/>
      <w:lvlJc w:val="left"/>
      <w:pPr>
        <w:tabs>
          <w:tab w:val="left" w:pos="312"/>
        </w:tabs>
      </w:pPr>
    </w:lvl>
  </w:abstractNum>
  <w:abstractNum w:abstractNumId="1">
    <w:nsid w:val="04302EC0"/>
    <w:multiLevelType w:val="singleLevel"/>
    <w:tmpl w:val="04302EC0"/>
    <w:lvl w:ilvl="0" w:tentative="0">
      <w:start w:val="5"/>
      <w:numFmt w:val="chineseCounting"/>
      <w:suff w:val="nothing"/>
      <w:lvlText w:val="%1、"/>
      <w:lvlJc w:val="left"/>
      <w:rPr>
        <w:rFonts w:hint="eastAsia"/>
      </w:rPr>
    </w:lvl>
  </w:abstractNum>
  <w:abstractNum w:abstractNumId="2">
    <w:nsid w:val="1C1F2F58"/>
    <w:multiLevelType w:val="singleLevel"/>
    <w:tmpl w:val="1C1F2F58"/>
    <w:lvl w:ilvl="0" w:tentative="0">
      <w:start w:val="1"/>
      <w:numFmt w:val="chineseCounting"/>
      <w:suff w:val="nothing"/>
      <w:lvlText w:val="%1、"/>
      <w:lvlJc w:val="left"/>
      <w:rPr>
        <w:rFonts w:hint="eastAsia"/>
      </w:rPr>
    </w:lvl>
  </w:abstractNum>
  <w:abstractNum w:abstractNumId="3">
    <w:nsid w:val="282D1D1C"/>
    <w:multiLevelType w:val="singleLevel"/>
    <w:tmpl w:val="282D1D1C"/>
    <w:lvl w:ilvl="0" w:tentative="0">
      <w:start w:val="3"/>
      <w:numFmt w:val="decimal"/>
      <w:suff w:val="nothing"/>
      <w:lvlText w:val="%1、"/>
      <w:lvlJc w:val="left"/>
    </w:lvl>
  </w:abstractNum>
  <w:abstractNum w:abstractNumId="4">
    <w:nsid w:val="3F459865"/>
    <w:multiLevelType w:val="singleLevel"/>
    <w:tmpl w:val="3F459865"/>
    <w:lvl w:ilvl="0" w:tentative="0">
      <w:start w:val="1"/>
      <w:numFmt w:val="decimal"/>
      <w:suff w:val="nothing"/>
      <w:lvlText w:val="%1、"/>
      <w:lvlJc w:val="left"/>
    </w:lvl>
  </w:abstractNum>
  <w:abstractNum w:abstractNumId="5">
    <w:nsid w:val="4104E24B"/>
    <w:multiLevelType w:val="singleLevel"/>
    <w:tmpl w:val="4104E24B"/>
    <w:lvl w:ilvl="0" w:tentative="0">
      <w:start w:val="1"/>
      <w:numFmt w:val="decimal"/>
      <w:suff w:val="nothing"/>
      <w:lvlText w:val="%1、"/>
      <w:lvlJc w:val="left"/>
    </w:lvl>
  </w:abstractNum>
  <w:abstractNum w:abstractNumId="6">
    <w:nsid w:val="41107269"/>
    <w:multiLevelType w:val="singleLevel"/>
    <w:tmpl w:val="41107269"/>
    <w:lvl w:ilvl="0" w:tentative="0">
      <w:start w:val="2"/>
      <w:numFmt w:val="chineseCounting"/>
      <w:suff w:val="nothing"/>
      <w:lvlText w:val="%1、"/>
      <w:lvlJc w:val="left"/>
      <w:rPr>
        <w:rFonts w:hint="eastAsia"/>
      </w:rPr>
    </w:lvl>
  </w:abstractNum>
  <w:abstractNum w:abstractNumId="7">
    <w:nsid w:val="5FF8CAE0"/>
    <w:multiLevelType w:val="singleLevel"/>
    <w:tmpl w:val="5FF8CAE0"/>
    <w:lvl w:ilvl="0" w:tentative="0">
      <w:start w:val="1"/>
      <w:numFmt w:val="decimal"/>
      <w:suff w:val="nothing"/>
      <w:lvlText w:val="%1、"/>
      <w:lvlJc w:val="left"/>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A7B8C"/>
    <w:rsid w:val="00093184"/>
    <w:rsid w:val="00350842"/>
    <w:rsid w:val="004657B2"/>
    <w:rsid w:val="00710F88"/>
    <w:rsid w:val="007F61E0"/>
    <w:rsid w:val="00AC3BDF"/>
    <w:rsid w:val="00E70733"/>
    <w:rsid w:val="08C747EE"/>
    <w:rsid w:val="1DF40308"/>
    <w:rsid w:val="2DDA67FA"/>
    <w:rsid w:val="34086670"/>
    <w:rsid w:val="38780A98"/>
    <w:rsid w:val="3C0D46EC"/>
    <w:rsid w:val="3C8A7B8C"/>
    <w:rsid w:val="42B02A99"/>
    <w:rsid w:val="46840346"/>
    <w:rsid w:val="4E5B1955"/>
    <w:rsid w:val="5D9F4A07"/>
    <w:rsid w:val="6FD46AA0"/>
    <w:rsid w:val="74354385"/>
    <w:rsid w:val="77FF5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表格文字"/>
    <w:basedOn w:val="1"/>
    <w:qFormat/>
    <w:uiPriority w:val="99"/>
    <w:pPr>
      <w:spacing w:before="25" w:after="25"/>
      <w:jc w:val="left"/>
    </w:pPr>
    <w:rPr>
      <w:bCs/>
      <w:spacing w:val="10"/>
      <w:kern w:val="0"/>
      <w:sz w:val="24"/>
    </w:rPr>
  </w:style>
  <w:style w:type="paragraph" w:styleId="8">
    <w:name w:val="No Spacing"/>
    <w:qFormat/>
    <w:uiPriority w:val="1"/>
    <w:pPr>
      <w:adjustRightInd w:val="0"/>
      <w:snapToGrid w:val="0"/>
      <w:jc w:val="both"/>
    </w:pPr>
    <w:rPr>
      <w:rFonts w:ascii="Tahoma" w:hAnsi="Tahoma" w:eastAsia="微软雅黑" w:cs="宋体"/>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12</Pages>
  <Words>4976</Words>
  <Characters>5979</Characters>
  <Lines>76</Lines>
  <Paragraphs>21</Paragraphs>
  <TotalTime>43</TotalTime>
  <ScaleCrop>false</ScaleCrop>
  <LinksUpToDate>false</LinksUpToDate>
  <CharactersWithSpaces>6212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2025-04-29T02:49:00Z</dcterms:created>
  <dc:creator>拿铁</dc:creator>
  <cp:lastModifiedBy>Administrator</cp:lastModifiedBy>
  <dcterms:modified xsi:type="dcterms:W3CDTF">2025-08-05T03:36:28Z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31193FB7EBE97D1ECBB00F687B24C3C1_43</vt:lpwstr>
  </property>
  <property fmtid="{D5CDD505-2E9C-101B-9397-08002B2CF9AE}" pid="4" name="KSOTemplateDocerSaveRecord">
    <vt:lpwstr>eyJoZGlkIjoiOTZlNWJhNDdmOTMzZDRjM2I0NGExNDNhYTdkMjk0ZDMifQ==</vt:lpwstr>
  </property>
</Properties>
</file>