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BD6A0">
      <w:pPr>
        <w:spacing w:beforeLines="50"/>
        <w:jc w:val="center"/>
        <w:rPr>
          <w:rFonts w:ascii="宋体" w:hAnsi="宋体" w:cs="宋体"/>
          <w:color w:val="auto"/>
          <w:sz w:val="36"/>
          <w:szCs w:val="36"/>
          <w:highlight w:val="none"/>
        </w:rPr>
      </w:pPr>
      <w:r>
        <w:rPr>
          <w:rFonts w:hint="eastAsia" w:ascii="宋体" w:hAnsi="宋体" w:cs="宋体"/>
          <w:color w:val="auto"/>
          <w:highlight w:val="none"/>
        </w:rPr>
        <w:drawing>
          <wp:inline distT="0" distB="0" distL="114300" distR="114300">
            <wp:extent cx="1212850" cy="1105535"/>
            <wp:effectExtent l="0" t="0" r="6350" b="18415"/>
            <wp:docPr id="1" name="图片 1" descr="广西众鼎标志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西众鼎标志 2019"/>
                    <pic:cNvPicPr>
                      <a:picLocks noChangeAspect="1"/>
                    </pic:cNvPicPr>
                  </pic:nvPicPr>
                  <pic:blipFill>
                    <a:blip r:embed="rId12"/>
                    <a:stretch>
                      <a:fillRect/>
                    </a:stretch>
                  </pic:blipFill>
                  <pic:spPr>
                    <a:xfrm>
                      <a:off x="0" y="0"/>
                      <a:ext cx="1212850" cy="1105535"/>
                    </a:xfrm>
                    <a:prstGeom prst="rect">
                      <a:avLst/>
                    </a:prstGeom>
                    <a:noFill/>
                    <a:ln>
                      <a:noFill/>
                    </a:ln>
                  </pic:spPr>
                </pic:pic>
              </a:graphicData>
            </a:graphic>
          </wp:inline>
        </w:drawing>
      </w:r>
    </w:p>
    <w:p w14:paraId="382771A4">
      <w:pPr>
        <w:snapToGrid w:val="0"/>
        <w:spacing w:before="165" w:beforeLines="50"/>
        <w:jc w:val="center"/>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广西众鼎建设工程咨询有限公司</w:t>
      </w:r>
    </w:p>
    <w:p w14:paraId="02201E87">
      <w:pPr>
        <w:snapToGrid w:val="0"/>
        <w:spacing w:before="165" w:beforeLines="50"/>
        <w:jc w:val="center"/>
        <w:rPr>
          <w:rFonts w:ascii="宋体" w:hAnsi="宋体" w:cs="宋体"/>
          <w:b/>
          <w:bCs/>
          <w:color w:val="auto"/>
          <w:sz w:val="44"/>
          <w:szCs w:val="44"/>
          <w:highlight w:val="none"/>
        </w:rPr>
      </w:pPr>
      <w:r>
        <w:rPr>
          <w:rFonts w:hint="eastAsia" w:ascii="宋体" w:hAnsi="宋体" w:cs="宋体"/>
          <w:b/>
          <w:bCs/>
          <w:color w:val="auto"/>
          <w:sz w:val="72"/>
          <w:szCs w:val="72"/>
          <w:highlight w:val="none"/>
        </w:rPr>
        <w:t>公开招标文件</w:t>
      </w:r>
    </w:p>
    <w:p w14:paraId="7E96C95A">
      <w:pPr>
        <w:spacing w:before="331" w:beforeLines="100" w:after="165" w:afterLine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（全流程电子化评标）</w:t>
      </w:r>
    </w:p>
    <w:p w14:paraId="2095B82C">
      <w:pPr>
        <w:rPr>
          <w:rFonts w:ascii="宋体" w:hAnsi="宋体" w:cs="宋体"/>
          <w:b/>
          <w:bCs/>
          <w:color w:val="auto"/>
          <w:sz w:val="32"/>
          <w:szCs w:val="32"/>
          <w:highlight w:val="none"/>
        </w:rPr>
      </w:pPr>
    </w:p>
    <w:p w14:paraId="7E5D72AF">
      <w:pPr>
        <w:pStyle w:val="2"/>
        <w:snapToGrid w:val="0"/>
        <w:spacing w:line="360" w:lineRule="auto"/>
        <w:rPr>
          <w:rFonts w:ascii="仿宋" w:hAnsi="仿宋" w:eastAsia="仿宋"/>
          <w:b/>
          <w:bCs/>
          <w:color w:val="auto"/>
          <w:w w:val="95"/>
          <w:sz w:val="30"/>
          <w:szCs w:val="30"/>
          <w:highlight w:val="none"/>
        </w:rPr>
      </w:pPr>
    </w:p>
    <w:p w14:paraId="3C9A185D">
      <w:pPr>
        <w:pStyle w:val="129"/>
        <w:spacing w:after="80"/>
        <w:ind w:left="2645" w:leftChars="456" w:hanging="1687" w:hangingChars="525"/>
        <w:rPr>
          <w:color w:val="auto"/>
          <w:highlight w:val="none"/>
        </w:rPr>
      </w:pPr>
      <w:r>
        <w:rPr>
          <w:color w:val="auto"/>
          <w:sz w:val="32"/>
          <w:szCs w:val="32"/>
          <w:highlight w:val="none"/>
        </w:rPr>
        <w:t>项目名称：</w:t>
      </w:r>
      <w:r>
        <w:rPr>
          <w:rFonts w:hint="eastAsia"/>
          <w:color w:val="auto"/>
          <w:sz w:val="32"/>
          <w:szCs w:val="32"/>
          <w:highlight w:val="none"/>
          <w:u w:val="single"/>
          <w:lang w:val="en-US"/>
        </w:rPr>
        <w:t>贵港覃塘产业园区新材料科技园重大安全风险防控项目</w:t>
      </w:r>
    </w:p>
    <w:p w14:paraId="049BDD38">
      <w:pPr>
        <w:pStyle w:val="129"/>
        <w:spacing w:after="80"/>
        <w:ind w:left="1038" w:leftChars="456" w:hanging="80" w:hangingChars="25"/>
        <w:rPr>
          <w:rFonts w:hint="eastAsia" w:eastAsia="宋体"/>
          <w:color w:val="auto"/>
          <w:highlight w:val="none"/>
          <w:lang w:val="en-US" w:eastAsia="zh-CN" w:bidi="en-US"/>
        </w:rPr>
      </w:pPr>
      <w:r>
        <w:rPr>
          <w:color w:val="auto"/>
          <w:sz w:val="32"/>
          <w:szCs w:val="32"/>
          <w:highlight w:val="none"/>
        </w:rPr>
        <w:t>项目编号：</w:t>
      </w:r>
      <w:r>
        <w:rPr>
          <w:rFonts w:hint="eastAsia"/>
          <w:color w:val="auto"/>
          <w:szCs w:val="21"/>
          <w:highlight w:val="none"/>
          <w:lang w:eastAsia="zh-CN"/>
        </w:rPr>
        <w:t>GGZC2025-G1-040048-ZDJS</w:t>
      </w:r>
    </w:p>
    <w:p w14:paraId="68B1972A">
      <w:pPr>
        <w:pStyle w:val="129"/>
        <w:spacing w:after="80" w:line="480" w:lineRule="auto"/>
        <w:ind w:firstLine="828" w:firstLineChars="275"/>
        <w:rPr>
          <w:color w:val="auto"/>
          <w:highlight w:val="none"/>
        </w:rPr>
      </w:pPr>
    </w:p>
    <w:p w14:paraId="62A362E2">
      <w:pPr>
        <w:pStyle w:val="129"/>
        <w:spacing w:after="80" w:line="480" w:lineRule="auto"/>
        <w:ind w:firstLine="828" w:firstLineChars="275"/>
        <w:rPr>
          <w:color w:val="auto"/>
          <w:highlight w:val="none"/>
        </w:rPr>
      </w:pPr>
    </w:p>
    <w:p w14:paraId="0F4C4374">
      <w:pPr>
        <w:pStyle w:val="129"/>
        <w:spacing w:after="80" w:line="480" w:lineRule="auto"/>
        <w:ind w:firstLine="828" w:firstLineChars="275"/>
        <w:rPr>
          <w:color w:val="auto"/>
          <w:highlight w:val="none"/>
        </w:rPr>
      </w:pPr>
    </w:p>
    <w:p w14:paraId="3DB86C85">
      <w:pPr>
        <w:pStyle w:val="129"/>
        <w:spacing w:after="80" w:line="480" w:lineRule="auto"/>
        <w:ind w:firstLine="828" w:firstLineChars="275"/>
        <w:rPr>
          <w:color w:val="auto"/>
          <w:highlight w:val="none"/>
        </w:rPr>
      </w:pPr>
      <w:r>
        <w:rPr>
          <w:color w:val="auto"/>
          <w:highlight w:val="none"/>
        </w:rPr>
        <w:t>采购单位：</w:t>
      </w:r>
      <w:r>
        <w:rPr>
          <w:rFonts w:hint="eastAsia"/>
          <w:color w:val="auto"/>
          <w:highlight w:val="none"/>
          <w:lang w:val="en-US"/>
        </w:rPr>
        <w:t>贵港覃塘工业园区管理委员会</w:t>
      </w:r>
    </w:p>
    <w:p w14:paraId="56A01DC2">
      <w:pPr>
        <w:pStyle w:val="129"/>
        <w:spacing w:after="80" w:line="480" w:lineRule="auto"/>
        <w:ind w:firstLine="828" w:firstLineChars="275"/>
        <w:rPr>
          <w:rFonts w:hint="eastAsia" w:eastAsia="宋体"/>
          <w:color w:val="auto"/>
          <w:highlight w:val="none"/>
          <w:lang w:eastAsia="zh-CN"/>
        </w:rPr>
      </w:pPr>
      <w:r>
        <w:rPr>
          <w:color w:val="auto"/>
          <w:highlight w:val="none"/>
        </w:rPr>
        <w:t>采购代理机构：</w:t>
      </w:r>
      <w:r>
        <w:rPr>
          <w:rFonts w:hint="eastAsia"/>
          <w:color w:val="auto"/>
          <w:highlight w:val="none"/>
          <w:lang w:eastAsia="zh-CN"/>
        </w:rPr>
        <w:t>广西众鼎建设工程咨询有限公司</w:t>
      </w:r>
    </w:p>
    <w:p w14:paraId="6AAD433E">
      <w:pPr>
        <w:pStyle w:val="129"/>
        <w:spacing w:after="1680"/>
        <w:ind w:firstLine="828" w:firstLineChars="275"/>
        <w:jc w:val="center"/>
        <w:rPr>
          <w:color w:val="auto"/>
          <w:highlight w:val="none"/>
          <w:lang w:val="en-US"/>
        </w:rPr>
      </w:pPr>
      <w:r>
        <w:rPr>
          <w:color w:val="auto"/>
          <w:highlight w:val="none"/>
        </w:rPr>
        <w:t>202</w:t>
      </w:r>
      <w:r>
        <w:rPr>
          <w:rFonts w:hint="eastAsia"/>
          <w:color w:val="auto"/>
          <w:highlight w:val="none"/>
          <w:lang w:val="en-US"/>
        </w:rPr>
        <w:t>5</w:t>
      </w:r>
      <w:r>
        <w:rPr>
          <w:color w:val="auto"/>
          <w:highlight w:val="none"/>
        </w:rPr>
        <w:t>年</w:t>
      </w:r>
      <w:r>
        <w:rPr>
          <w:rFonts w:hint="eastAsia"/>
          <w:color w:val="auto"/>
          <w:highlight w:val="none"/>
          <w:lang w:val="en-US" w:eastAsia="zh-CN"/>
        </w:rPr>
        <w:t>7</w:t>
      </w:r>
      <w:r>
        <w:rPr>
          <w:color w:val="auto"/>
          <w:highlight w:val="none"/>
        </w:rPr>
        <w:t>月</w:t>
      </w:r>
    </w:p>
    <w:p w14:paraId="48AFD11C">
      <w:pPr>
        <w:pStyle w:val="2"/>
        <w:snapToGrid w:val="0"/>
        <w:spacing w:line="360" w:lineRule="auto"/>
        <w:ind w:firstLine="1125" w:firstLineChars="393"/>
        <w:rPr>
          <w:rFonts w:ascii="仿宋" w:hAnsi="仿宋" w:eastAsia="仿宋"/>
          <w:b/>
          <w:bCs/>
          <w:color w:val="auto"/>
          <w:w w:val="95"/>
          <w:sz w:val="30"/>
          <w:szCs w:val="30"/>
          <w:highlight w:val="none"/>
        </w:rPr>
        <w:sectPr>
          <w:pgSz w:w="11906" w:h="16838"/>
          <w:pgMar w:top="1417" w:right="1417" w:bottom="1417" w:left="1417" w:header="720" w:footer="720" w:gutter="0"/>
          <w:pgNumType w:start="0"/>
          <w:cols w:space="720" w:num="1"/>
          <w:docGrid w:type="lines" w:linePitch="331" w:charSpace="0"/>
        </w:sectPr>
      </w:pPr>
    </w:p>
    <w:p w14:paraId="0EA590CD">
      <w:pPr>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49066EE2">
      <w:pPr>
        <w:pStyle w:val="35"/>
        <w:tabs>
          <w:tab w:val="right" w:leader="dot" w:pos="8312"/>
          <w:tab w:val="clear" w:pos="8398"/>
        </w:tabs>
        <w:rPr>
          <w:rFonts w:cs="宋体"/>
          <w:color w:val="auto"/>
          <w:highlight w:val="none"/>
        </w:rPr>
      </w:pPr>
      <w:r>
        <w:rPr>
          <w:rFonts w:hint="eastAsia" w:cs="宋体"/>
          <w:b w:val="0"/>
          <w:color w:val="auto"/>
          <w:highlight w:val="none"/>
        </w:rPr>
        <w:fldChar w:fldCharType="begin"/>
      </w:r>
      <w:r>
        <w:rPr>
          <w:rFonts w:hint="eastAsia" w:cs="宋体"/>
          <w:b w:val="0"/>
          <w:color w:val="auto"/>
          <w:highlight w:val="none"/>
        </w:rPr>
        <w:instrText xml:space="preserve"> TOC \o "1-2" \h \z \u </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"_Toc13902" </w:instrText>
      </w:r>
      <w:r>
        <w:rPr>
          <w:color w:val="auto"/>
          <w:highlight w:val="none"/>
        </w:rPr>
        <w:fldChar w:fldCharType="separate"/>
      </w:r>
      <w:r>
        <w:rPr>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_Toc13902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14:paraId="7589FEF2">
      <w:pPr>
        <w:pStyle w:val="35"/>
        <w:tabs>
          <w:tab w:val="right" w:leader="dot" w:pos="8312"/>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"_Toc10608" </w:instrText>
      </w:r>
      <w:r>
        <w:rPr>
          <w:color w:val="auto"/>
          <w:highlight w:val="none"/>
        </w:rPr>
        <w:fldChar w:fldCharType="separate"/>
      </w:r>
      <w:r>
        <w:rPr>
          <w:rFonts w:hint="eastAsia" w:cs="宋体"/>
          <w:color w:val="auto"/>
          <w:highlight w:val="none"/>
        </w:rPr>
        <w:t>第二章  采购需求</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_Toc10608 </w:instrText>
      </w:r>
      <w:r>
        <w:rPr>
          <w:rFonts w:hint="eastAsia" w:cs="宋体"/>
          <w:color w:val="auto"/>
          <w:highlight w:val="none"/>
        </w:rPr>
        <w:fldChar w:fldCharType="separate"/>
      </w:r>
      <w:r>
        <w:rPr>
          <w:rFonts w:hint="eastAsia" w:cs="宋体"/>
          <w:color w:val="auto"/>
          <w:highlight w:val="none"/>
        </w:rPr>
        <w:t>6</w:t>
      </w:r>
      <w:r>
        <w:rPr>
          <w:rFonts w:hint="eastAsia" w:cs="宋体"/>
          <w:color w:val="auto"/>
          <w:highlight w:val="none"/>
        </w:rPr>
        <w:fldChar w:fldCharType="end"/>
      </w:r>
      <w:r>
        <w:rPr>
          <w:rFonts w:hint="eastAsia" w:cs="宋体"/>
          <w:color w:val="auto"/>
          <w:highlight w:val="none"/>
        </w:rPr>
        <w:fldChar w:fldCharType="end"/>
      </w:r>
    </w:p>
    <w:p w14:paraId="224A44DF">
      <w:pPr>
        <w:pStyle w:val="35"/>
        <w:tabs>
          <w:tab w:val="right" w:leader="dot" w:pos="8312"/>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"_Toc16411" </w:instrText>
      </w:r>
      <w:r>
        <w:rPr>
          <w:color w:val="auto"/>
          <w:highlight w:val="none"/>
        </w:rPr>
        <w:fldChar w:fldCharType="separate"/>
      </w:r>
      <w:r>
        <w:rPr>
          <w:rFonts w:hint="eastAsia" w:cs="宋体"/>
          <w:color w:val="auto"/>
          <w:highlight w:val="none"/>
        </w:rPr>
        <w:t>第三章 投标人须知</w:t>
      </w:r>
      <w:bookmarkStart w:id="205" w:name="_GoBack"/>
      <w:bookmarkEnd w:id="205"/>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_Toc16411 </w:instrText>
      </w:r>
      <w:r>
        <w:rPr>
          <w:rFonts w:hint="eastAsia" w:cs="宋体"/>
          <w:color w:val="auto"/>
          <w:highlight w:val="none"/>
        </w:rPr>
        <w:fldChar w:fldCharType="separate"/>
      </w:r>
      <w:r>
        <w:rPr>
          <w:rFonts w:hint="eastAsia" w:cs="宋体"/>
          <w:color w:val="auto"/>
          <w:highlight w:val="none"/>
        </w:rPr>
        <w:t>160</w:t>
      </w:r>
      <w:r>
        <w:rPr>
          <w:rFonts w:hint="eastAsia" w:cs="宋体"/>
          <w:color w:val="auto"/>
          <w:highlight w:val="none"/>
        </w:rPr>
        <w:fldChar w:fldCharType="end"/>
      </w:r>
      <w:r>
        <w:rPr>
          <w:rFonts w:hint="eastAsia" w:cs="宋体"/>
          <w:color w:val="auto"/>
          <w:highlight w:val="none"/>
        </w:rPr>
        <w:fldChar w:fldCharType="end"/>
      </w:r>
    </w:p>
    <w:p w14:paraId="1C4ED7AD">
      <w:pPr>
        <w:pStyle w:val="35"/>
        <w:tabs>
          <w:tab w:val="right" w:leader="dot" w:pos="8312"/>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"_Toc4916" </w:instrText>
      </w:r>
      <w:r>
        <w:rPr>
          <w:color w:val="auto"/>
          <w:highlight w:val="none"/>
        </w:rPr>
        <w:fldChar w:fldCharType="separate"/>
      </w:r>
      <w:r>
        <w:rPr>
          <w:rFonts w:hint="eastAsia" w:cs="宋体"/>
          <w:color w:val="auto"/>
          <w:szCs w:val="36"/>
          <w:highlight w:val="none"/>
        </w:rPr>
        <w:t>投标人须知前附表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_Toc4916 </w:instrText>
      </w:r>
      <w:r>
        <w:rPr>
          <w:rFonts w:hint="eastAsia" w:cs="宋体"/>
          <w:color w:val="auto"/>
          <w:highlight w:val="none"/>
        </w:rPr>
        <w:fldChar w:fldCharType="separate"/>
      </w:r>
      <w:r>
        <w:rPr>
          <w:rFonts w:hint="eastAsia" w:cs="宋体"/>
          <w:color w:val="auto"/>
          <w:highlight w:val="none"/>
        </w:rPr>
        <w:t>160</w:t>
      </w:r>
      <w:r>
        <w:rPr>
          <w:rFonts w:hint="eastAsia" w:cs="宋体"/>
          <w:color w:val="auto"/>
          <w:highlight w:val="none"/>
        </w:rPr>
        <w:fldChar w:fldCharType="end"/>
      </w:r>
      <w:r>
        <w:rPr>
          <w:rFonts w:hint="eastAsia" w:cs="宋体"/>
          <w:color w:val="auto"/>
          <w:highlight w:val="none"/>
        </w:rPr>
        <w:fldChar w:fldCharType="end"/>
      </w:r>
    </w:p>
    <w:p w14:paraId="72224E1B">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"_Toc28688" </w:instrText>
      </w:r>
      <w:r>
        <w:rPr>
          <w:color w:val="auto"/>
          <w:highlight w:val="none"/>
        </w:rPr>
        <w:fldChar w:fldCharType="separate"/>
      </w:r>
      <w:r>
        <w:rPr>
          <w:rFonts w:hint="eastAsia" w:ascii="宋体" w:hAnsi="宋体" w:cs="宋体"/>
          <w:color w:val="auto"/>
          <w:highlight w:val="none"/>
        </w:rPr>
        <w:t>一、总  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_Toc28688 </w:instrText>
      </w:r>
      <w:r>
        <w:rPr>
          <w:rFonts w:hint="eastAsia" w:ascii="宋体" w:hAnsi="宋体" w:cs="宋体"/>
          <w:color w:val="auto"/>
          <w:highlight w:val="none"/>
        </w:rPr>
        <w:fldChar w:fldCharType="separate"/>
      </w:r>
      <w:r>
        <w:rPr>
          <w:rFonts w:hint="eastAsia" w:ascii="宋体" w:hAnsi="宋体" w:cs="宋体"/>
          <w:color w:val="auto"/>
          <w:highlight w:val="none"/>
        </w:rPr>
        <w:t>165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0B0E7ED">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"_Toc27767" </w:instrText>
      </w:r>
      <w:r>
        <w:rPr>
          <w:color w:val="auto"/>
          <w:highlight w:val="none"/>
        </w:rPr>
        <w:fldChar w:fldCharType="separate"/>
      </w:r>
      <w:r>
        <w:rPr>
          <w:rFonts w:hint="eastAsia" w:ascii="宋体" w:hAnsi="宋体" w:cs="宋体"/>
          <w:color w:val="auto"/>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_Toc27767 </w:instrText>
      </w:r>
      <w:r>
        <w:rPr>
          <w:rFonts w:hint="eastAsia" w:ascii="宋体" w:hAnsi="宋体" w:cs="宋体"/>
          <w:color w:val="auto"/>
          <w:highlight w:val="none"/>
        </w:rPr>
        <w:fldChar w:fldCharType="separate"/>
      </w:r>
      <w:r>
        <w:rPr>
          <w:rFonts w:hint="eastAsia" w:ascii="宋体" w:hAnsi="宋体" w:cs="宋体"/>
          <w:color w:val="auto"/>
          <w:highlight w:val="none"/>
        </w:rPr>
        <w:t>168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0F7B01D">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"_Toc15869" </w:instrText>
      </w:r>
      <w:r>
        <w:rPr>
          <w:color w:val="auto"/>
          <w:highlight w:val="none"/>
        </w:rPr>
        <w:fldChar w:fldCharType="separate"/>
      </w:r>
      <w:r>
        <w:rPr>
          <w:rFonts w:hint="eastAsia" w:ascii="宋体" w:hAnsi="宋体" w:cs="宋体"/>
          <w:color w:val="auto"/>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_Toc15869 </w:instrText>
      </w:r>
      <w:r>
        <w:rPr>
          <w:rFonts w:hint="eastAsia" w:ascii="宋体" w:hAnsi="宋体" w:cs="宋体"/>
          <w:color w:val="auto"/>
          <w:highlight w:val="none"/>
        </w:rPr>
        <w:fldChar w:fldCharType="separate"/>
      </w:r>
      <w:r>
        <w:rPr>
          <w:rFonts w:hint="eastAsia" w:ascii="宋体" w:hAnsi="宋体" w:cs="宋体"/>
          <w:color w:val="auto"/>
          <w:highlight w:val="none"/>
        </w:rPr>
        <w:t>169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BA71BFB">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"_Toc13864" </w:instrText>
      </w:r>
      <w:r>
        <w:rPr>
          <w:color w:val="auto"/>
          <w:highlight w:val="none"/>
        </w:rPr>
        <w:fldChar w:fldCharType="separate"/>
      </w:r>
      <w:r>
        <w:rPr>
          <w:rFonts w:hint="eastAsia" w:ascii="宋体" w:hAnsi="宋体" w:cs="宋体"/>
          <w:color w:val="auto"/>
          <w:highlight w:val="none"/>
        </w:rPr>
        <w:t>四、开    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_Toc13864 </w:instrText>
      </w:r>
      <w:r>
        <w:rPr>
          <w:rFonts w:hint="eastAsia" w:ascii="宋体" w:hAnsi="宋体" w:cs="宋体"/>
          <w:color w:val="auto"/>
          <w:highlight w:val="none"/>
        </w:rPr>
        <w:fldChar w:fldCharType="separate"/>
      </w:r>
      <w:r>
        <w:rPr>
          <w:rFonts w:hint="eastAsia" w:ascii="宋体" w:hAnsi="宋体" w:cs="宋体"/>
          <w:color w:val="auto"/>
          <w:highlight w:val="none"/>
        </w:rPr>
        <w:t>171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CBA7BBE">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"_Toc1182" </w:instrText>
      </w:r>
      <w:r>
        <w:rPr>
          <w:color w:val="auto"/>
          <w:highlight w:val="none"/>
        </w:rPr>
        <w:fldChar w:fldCharType="separate"/>
      </w:r>
      <w:r>
        <w:rPr>
          <w:rFonts w:hint="eastAsia" w:ascii="宋体" w:hAnsi="宋体" w:cs="宋体"/>
          <w:color w:val="auto"/>
          <w:highlight w:val="none"/>
        </w:rPr>
        <w:t>五、资格审查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_Toc1182 </w:instrText>
      </w:r>
      <w:r>
        <w:rPr>
          <w:rFonts w:hint="eastAsia" w:ascii="宋体" w:hAnsi="宋体" w:cs="宋体"/>
          <w:color w:val="auto"/>
          <w:highlight w:val="none"/>
        </w:rPr>
        <w:fldChar w:fldCharType="separate"/>
      </w:r>
      <w:r>
        <w:rPr>
          <w:rFonts w:hint="eastAsia" w:ascii="宋体" w:hAnsi="宋体" w:cs="宋体"/>
          <w:color w:val="auto"/>
          <w:highlight w:val="none"/>
        </w:rPr>
        <w:t>172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2002B41">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"_Toc15559" </w:instrText>
      </w:r>
      <w:r>
        <w:rPr>
          <w:color w:val="auto"/>
          <w:highlight w:val="none"/>
        </w:rPr>
        <w:fldChar w:fldCharType="separate"/>
      </w:r>
      <w:r>
        <w:rPr>
          <w:rFonts w:hint="eastAsia" w:ascii="宋体" w:hAnsi="宋体" w:cs="宋体"/>
          <w:color w:val="auto"/>
          <w:highlight w:val="none"/>
        </w:rPr>
        <w:t>六、评   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_Toc15559 </w:instrText>
      </w:r>
      <w:r>
        <w:rPr>
          <w:rFonts w:hint="eastAsia" w:ascii="宋体" w:hAnsi="宋体" w:cs="宋体"/>
          <w:color w:val="auto"/>
          <w:highlight w:val="none"/>
        </w:rPr>
        <w:fldChar w:fldCharType="separate"/>
      </w:r>
      <w:r>
        <w:rPr>
          <w:rFonts w:hint="eastAsia" w:ascii="宋体" w:hAnsi="宋体" w:cs="宋体"/>
          <w:color w:val="auto"/>
          <w:highlight w:val="none"/>
        </w:rPr>
        <w:t>173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DBB3820">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"_Toc4190" </w:instrText>
      </w:r>
      <w:r>
        <w:rPr>
          <w:color w:val="auto"/>
          <w:highlight w:val="none"/>
        </w:rPr>
        <w:fldChar w:fldCharType="separate"/>
      </w:r>
      <w:r>
        <w:rPr>
          <w:rFonts w:hint="eastAsia" w:ascii="宋体" w:hAnsi="宋体" w:cs="宋体"/>
          <w:color w:val="auto"/>
          <w:highlight w:val="none"/>
        </w:rPr>
        <w:t>七、中标和合同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_Toc4190 </w:instrText>
      </w:r>
      <w:r>
        <w:rPr>
          <w:rFonts w:hint="eastAsia" w:ascii="宋体" w:hAnsi="宋体" w:cs="宋体"/>
          <w:color w:val="auto"/>
          <w:highlight w:val="none"/>
        </w:rPr>
        <w:fldChar w:fldCharType="separate"/>
      </w:r>
      <w:r>
        <w:rPr>
          <w:rFonts w:hint="eastAsia" w:ascii="宋体" w:hAnsi="宋体" w:cs="宋体"/>
          <w:color w:val="auto"/>
          <w:highlight w:val="none"/>
        </w:rPr>
        <w:t>174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D8E75DB">
      <w:pPr>
        <w:pStyle w:val="41"/>
        <w:tabs>
          <w:tab w:val="right" w:leader="dot" w:pos="8312"/>
        </w:tabs>
        <w:rPr>
          <w:rFonts w:ascii="宋体" w:hAnsi="宋体" w:cs="宋体"/>
          <w:color w:val="auto"/>
          <w:highlight w:val="none"/>
        </w:rPr>
      </w:pPr>
      <w:r>
        <w:rPr>
          <w:color w:val="auto"/>
          <w:highlight w:val="none"/>
        </w:rPr>
        <w:fldChar w:fldCharType="begin"/>
      </w:r>
      <w:r>
        <w:rPr>
          <w:color w:val="auto"/>
          <w:highlight w:val="none"/>
        </w:rPr>
        <w:instrText xml:space="preserve"> HYPERLINK \l "_Toc11602" </w:instrText>
      </w:r>
      <w:r>
        <w:rPr>
          <w:color w:val="auto"/>
          <w:highlight w:val="none"/>
        </w:rPr>
        <w:fldChar w:fldCharType="separate"/>
      </w:r>
      <w:r>
        <w:rPr>
          <w:rFonts w:hint="eastAsia" w:ascii="宋体" w:hAnsi="宋体" w:cs="宋体"/>
          <w:color w:val="auto"/>
          <w:highlight w:val="none"/>
        </w:rPr>
        <w:t>八、其他事项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_Toc11602 </w:instrText>
      </w:r>
      <w:r>
        <w:rPr>
          <w:rFonts w:hint="eastAsia" w:ascii="宋体" w:hAnsi="宋体" w:cs="宋体"/>
          <w:color w:val="auto"/>
          <w:highlight w:val="none"/>
        </w:rPr>
        <w:fldChar w:fldCharType="separate"/>
      </w:r>
      <w:r>
        <w:rPr>
          <w:rFonts w:hint="eastAsia" w:ascii="宋体" w:hAnsi="宋体" w:cs="宋体"/>
          <w:color w:val="auto"/>
          <w:highlight w:val="none"/>
        </w:rPr>
        <w:t>177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B62E0F3">
      <w:pPr>
        <w:pStyle w:val="35"/>
        <w:tabs>
          <w:tab w:val="right" w:leader="dot" w:pos="8312"/>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"_Toc11131" </w:instrText>
      </w:r>
      <w:r>
        <w:rPr>
          <w:color w:val="auto"/>
          <w:highlight w:val="none"/>
        </w:rPr>
        <w:fldChar w:fldCharType="separate"/>
      </w:r>
      <w:r>
        <w:rPr>
          <w:rFonts w:hint="eastAsia" w:cs="宋体"/>
          <w:color w:val="auto"/>
          <w:highlight w:val="none"/>
        </w:rPr>
        <w:t>第四章 评标方法及评标标准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_Toc11131 </w:instrText>
      </w:r>
      <w:r>
        <w:rPr>
          <w:rFonts w:hint="eastAsia" w:cs="宋体"/>
          <w:color w:val="auto"/>
          <w:highlight w:val="none"/>
        </w:rPr>
        <w:fldChar w:fldCharType="separate"/>
      </w:r>
      <w:r>
        <w:rPr>
          <w:rFonts w:hint="eastAsia" w:cs="宋体"/>
          <w:color w:val="auto"/>
          <w:highlight w:val="none"/>
        </w:rPr>
        <w:t>179</w:t>
      </w:r>
      <w:r>
        <w:rPr>
          <w:rFonts w:hint="eastAsia" w:cs="宋体"/>
          <w:color w:val="auto"/>
          <w:highlight w:val="none"/>
        </w:rPr>
        <w:fldChar w:fldCharType="end"/>
      </w:r>
      <w:r>
        <w:rPr>
          <w:rFonts w:hint="eastAsia" w:cs="宋体"/>
          <w:color w:val="auto"/>
          <w:highlight w:val="none"/>
        </w:rPr>
        <w:fldChar w:fldCharType="end"/>
      </w:r>
    </w:p>
    <w:p w14:paraId="48D41928">
      <w:pPr>
        <w:pStyle w:val="35"/>
        <w:tabs>
          <w:tab w:val="right" w:leader="dot" w:pos="8312"/>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"_Toc21169" </w:instrText>
      </w:r>
      <w:r>
        <w:rPr>
          <w:color w:val="auto"/>
          <w:highlight w:val="none"/>
        </w:rPr>
        <w:fldChar w:fldCharType="separate"/>
      </w:r>
      <w:r>
        <w:rPr>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_Toc21169 </w:instrText>
      </w:r>
      <w:r>
        <w:rPr>
          <w:rFonts w:hint="eastAsia" w:cs="宋体"/>
          <w:color w:val="auto"/>
          <w:highlight w:val="none"/>
        </w:rPr>
        <w:fldChar w:fldCharType="separate"/>
      </w:r>
      <w:r>
        <w:rPr>
          <w:rFonts w:hint="eastAsia" w:cs="宋体"/>
          <w:color w:val="auto"/>
          <w:highlight w:val="none"/>
        </w:rPr>
        <w:t>196</w:t>
      </w:r>
      <w:r>
        <w:rPr>
          <w:rFonts w:hint="eastAsia" w:cs="宋体"/>
          <w:color w:val="auto"/>
          <w:highlight w:val="none"/>
        </w:rPr>
        <w:fldChar w:fldCharType="end"/>
      </w:r>
      <w:r>
        <w:rPr>
          <w:rFonts w:hint="eastAsia" w:cs="宋体"/>
          <w:color w:val="auto"/>
          <w:highlight w:val="none"/>
        </w:rPr>
        <w:fldChar w:fldCharType="end"/>
      </w:r>
    </w:p>
    <w:p w14:paraId="107EEB06">
      <w:pPr>
        <w:pStyle w:val="35"/>
        <w:tabs>
          <w:tab w:val="right" w:leader="dot" w:pos="8312"/>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"_Toc30182" </w:instrText>
      </w:r>
      <w:r>
        <w:rPr>
          <w:color w:val="auto"/>
          <w:highlight w:val="none"/>
        </w:rPr>
        <w:fldChar w:fldCharType="separate"/>
      </w:r>
      <w:r>
        <w:rPr>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_Toc30182 </w:instrText>
      </w:r>
      <w:r>
        <w:rPr>
          <w:rFonts w:hint="eastAsia" w:cs="宋体"/>
          <w:color w:val="auto"/>
          <w:highlight w:val="none"/>
        </w:rPr>
        <w:fldChar w:fldCharType="separate"/>
      </w:r>
      <w:r>
        <w:rPr>
          <w:rFonts w:hint="eastAsia" w:cs="宋体"/>
          <w:color w:val="auto"/>
          <w:highlight w:val="none"/>
        </w:rPr>
        <w:t>215</w:t>
      </w:r>
      <w:r>
        <w:rPr>
          <w:rFonts w:hint="eastAsia" w:cs="宋体"/>
          <w:color w:val="auto"/>
          <w:highlight w:val="none"/>
        </w:rPr>
        <w:fldChar w:fldCharType="end"/>
      </w:r>
      <w:r>
        <w:rPr>
          <w:rFonts w:hint="eastAsia" w:cs="宋体"/>
          <w:color w:val="auto"/>
          <w:highlight w:val="none"/>
        </w:rPr>
        <w:fldChar w:fldCharType="end"/>
      </w:r>
      <w:r>
        <w:rPr>
          <w:rFonts w:hint="eastAsia" w:cs="宋体"/>
          <w:color w:val="auto"/>
          <w:highlight w:val="none"/>
        </w:rPr>
        <w:fldChar w:fldCharType="end"/>
      </w:r>
    </w:p>
    <w:p w14:paraId="464916F7">
      <w:pPr>
        <w:spacing w:before="120" w:beforeLines="50" w:line="480" w:lineRule="exact"/>
        <w:rPr>
          <w:rFonts w:ascii="仿宋" w:hAnsi="仿宋" w:eastAsia="仿宋"/>
          <w:color w:val="auto"/>
          <w:sz w:val="30"/>
          <w:highlight w:val="none"/>
        </w:rPr>
      </w:pPr>
    </w:p>
    <w:p w14:paraId="21A67786">
      <w:pPr>
        <w:rPr>
          <w:rFonts w:ascii="仿宋" w:hAnsi="仿宋" w:eastAsia="仿宋"/>
          <w:color w:val="auto"/>
          <w:highlight w:val="none"/>
        </w:rPr>
      </w:pPr>
    </w:p>
    <w:p w14:paraId="6E68B115">
      <w:pPr>
        <w:spacing w:before="120" w:beforeLines="50" w:line="480" w:lineRule="exact"/>
        <w:rPr>
          <w:rFonts w:ascii="仿宋" w:hAnsi="仿宋" w:eastAsia="仿宋"/>
          <w:color w:val="auto"/>
          <w:sz w:val="30"/>
          <w:highlight w:val="none"/>
        </w:rPr>
      </w:pPr>
    </w:p>
    <w:p w14:paraId="2C1F9221">
      <w:pPr>
        <w:spacing w:before="120" w:beforeLines="50" w:line="480" w:lineRule="exact"/>
        <w:rPr>
          <w:rFonts w:ascii="仿宋" w:hAnsi="仿宋" w:eastAsia="仿宋"/>
          <w:color w:val="auto"/>
          <w:sz w:val="30"/>
          <w:highlight w:val="none"/>
        </w:rPr>
      </w:pPr>
    </w:p>
    <w:p w14:paraId="72257965">
      <w:pPr>
        <w:rPr>
          <w:rFonts w:ascii="仿宋" w:hAnsi="仿宋" w:eastAsia="仿宋" w:cs="宋体"/>
          <w:b/>
          <w:bCs/>
          <w:color w:val="auto"/>
          <w:highlight w:val="none"/>
        </w:rPr>
      </w:pPr>
      <w:bookmarkStart w:id="0" w:name="_Toc254970630"/>
      <w:bookmarkStart w:id="1" w:name="_Toc254970489"/>
    </w:p>
    <w:p w14:paraId="66E05040">
      <w:pPr>
        <w:pStyle w:val="3"/>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bCs w:val="0"/>
          <w:color w:val="auto"/>
          <w:kern w:val="2"/>
          <w:sz w:val="28"/>
          <w:szCs w:val="36"/>
          <w:highlight w:val="none"/>
        </w:rPr>
      </w:pPr>
      <w:r>
        <w:rPr>
          <w:rFonts w:ascii="仿宋" w:hAnsi="仿宋" w:eastAsia="仿宋" w:cs="宋体"/>
          <w:b w:val="0"/>
          <w:bCs w:val="0"/>
          <w:color w:val="auto"/>
          <w:highlight w:val="none"/>
        </w:rPr>
        <w:br w:type="page"/>
      </w:r>
      <w:bookmarkStart w:id="2" w:name="_Toc13902"/>
      <w:r>
        <w:rPr>
          <w:rFonts w:hint="eastAsia" w:ascii="仿宋" w:hAnsi="仿宋" w:eastAsia="仿宋"/>
          <w:color w:val="auto"/>
          <w:highlight w:val="none"/>
        </w:rPr>
        <w:t>第一章</w:t>
      </w:r>
      <w:bookmarkEnd w:id="0"/>
      <w:bookmarkEnd w:id="1"/>
      <w:bookmarkStart w:id="3" w:name="_Toc35393789"/>
      <w:bookmarkStart w:id="4" w:name="_Toc28359001"/>
      <w:r>
        <w:rPr>
          <w:rFonts w:hint="eastAsia" w:ascii="仿宋" w:hAnsi="仿宋" w:eastAsia="仿宋"/>
          <w:color w:val="auto"/>
          <w:highlight w:val="none"/>
        </w:rPr>
        <w:t xml:space="preserve"> 招标公告</w:t>
      </w:r>
      <w:bookmarkEnd w:id="2"/>
      <w:bookmarkEnd w:id="3"/>
      <w:bookmarkEnd w:id="4"/>
    </w:p>
    <w:p w14:paraId="394FA70A">
      <w:pPr>
        <w:pStyle w:val="130"/>
        <w:keepNext/>
        <w:keepLines/>
        <w:spacing w:after="0" w:line="360" w:lineRule="auto"/>
        <w:jc w:val="center"/>
        <w:rPr>
          <w:rFonts w:asciiTheme="minorEastAsia" w:hAnsiTheme="minorEastAsia" w:eastAsiaTheme="minorEastAsia"/>
          <w:color w:val="auto"/>
          <w:kern w:val="0"/>
          <w:highlight w:val="none"/>
        </w:rPr>
      </w:pPr>
      <w:bookmarkStart w:id="5" w:name="_Toc4385"/>
      <w:r>
        <w:rPr>
          <w:rFonts w:hint="eastAsia" w:asciiTheme="minorEastAsia" w:hAnsiTheme="minorEastAsia" w:eastAsiaTheme="minorEastAsia"/>
          <w:color w:val="auto"/>
          <w:highlight w:val="none"/>
          <w:lang w:eastAsia="zh-CN"/>
        </w:rPr>
        <w:t>广西众鼎建设工程咨询有限公司</w:t>
      </w:r>
      <w:r>
        <w:rPr>
          <w:rFonts w:hint="eastAsia" w:asciiTheme="minorEastAsia" w:hAnsiTheme="minorEastAsia" w:eastAsiaTheme="minorEastAsia"/>
          <w:color w:val="auto"/>
          <w:kern w:val="0"/>
          <w:highlight w:val="none"/>
        </w:rPr>
        <w:t>贵港覃塘产业园区新材料科技园重大安全风险防控项目(</w:t>
      </w:r>
      <w:r>
        <w:rPr>
          <w:rFonts w:hint="eastAsia" w:asciiTheme="minorEastAsia" w:hAnsiTheme="minorEastAsia" w:eastAsiaTheme="minorEastAsia"/>
          <w:color w:val="auto"/>
          <w:kern w:val="0"/>
          <w:highlight w:val="none"/>
          <w:lang w:eastAsia="zh-CN"/>
        </w:rPr>
        <w:t>GGZC2025-G1-040048-ZDJS</w:t>
      </w:r>
      <w:r>
        <w:rPr>
          <w:rFonts w:hint="eastAsia" w:asciiTheme="minorEastAsia" w:hAnsiTheme="minorEastAsia" w:eastAsiaTheme="minorEastAsia"/>
          <w:color w:val="auto"/>
          <w:kern w:val="0"/>
          <w:highlight w:val="none"/>
        </w:rPr>
        <w:t>)</w:t>
      </w:r>
      <w:bookmarkEnd w:id="5"/>
    </w:p>
    <w:p w14:paraId="0F3972E5">
      <w:pPr>
        <w:pStyle w:val="130"/>
        <w:keepNext/>
        <w:keepLines/>
        <w:spacing w:after="0" w:line="360" w:lineRule="auto"/>
        <w:jc w:val="center"/>
        <w:rPr>
          <w:rFonts w:asciiTheme="minorEastAsia" w:hAnsiTheme="minorEastAsia" w:eastAsiaTheme="minorEastAsia"/>
          <w:color w:val="auto"/>
          <w:kern w:val="0"/>
          <w:highlight w:val="none"/>
        </w:rPr>
      </w:pPr>
      <w:bookmarkStart w:id="6" w:name="_Toc10340"/>
      <w:r>
        <w:rPr>
          <w:rFonts w:hint="eastAsia" w:asciiTheme="minorEastAsia" w:hAnsiTheme="minorEastAsia" w:eastAsiaTheme="minorEastAsia"/>
          <w:color w:val="auto"/>
          <w:kern w:val="0"/>
          <w:highlight w:val="none"/>
        </w:rPr>
        <w:t>公开招标公告</w:t>
      </w:r>
      <w:bookmarkEnd w:id="6"/>
    </w:p>
    <w:p w14:paraId="5053D940">
      <w:pPr>
        <w:pBdr>
          <w:top w:val="single" w:color="auto" w:sz="4" w:space="1"/>
          <w:left w:val="single" w:color="auto" w:sz="4" w:space="4"/>
          <w:bottom w:val="single" w:color="auto" w:sz="4" w:space="1"/>
          <w:right w:val="single" w:color="auto" w:sz="4" w:space="4"/>
        </w:pBdr>
        <w:spacing w:line="36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项目概况</w:t>
      </w:r>
    </w:p>
    <w:p w14:paraId="1DD1127E">
      <w:pPr>
        <w:pBdr>
          <w:top w:val="single" w:color="auto" w:sz="4" w:space="1"/>
          <w:left w:val="single" w:color="auto" w:sz="4" w:space="4"/>
          <w:bottom w:val="single" w:color="auto" w:sz="4" w:space="1"/>
          <w:right w:val="single" w:color="auto" w:sz="4" w:space="4"/>
        </w:pBdr>
        <w:spacing w:line="360" w:lineRule="exact"/>
        <w:ind w:firstLine="442" w:firstLineChars="200"/>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贵港覃塘产业园区新材料科技园重大安全风险防控项目</w:t>
      </w:r>
      <w:r>
        <w:rPr>
          <w:rFonts w:hint="eastAsia" w:ascii="宋体" w:hAnsi="宋体" w:cs="宋体"/>
          <w:color w:val="auto"/>
          <w:szCs w:val="21"/>
          <w:highlight w:val="none"/>
          <w:lang w:val="zh-CN" w:bidi="zh-CN"/>
        </w:rPr>
        <w:t>的潜在投标人应在广西政府采购云平台</w:t>
      </w:r>
      <w:r>
        <w:rPr>
          <w:color w:val="auto"/>
          <w:highlight w:val="none"/>
        </w:rPr>
        <w:fldChar w:fldCharType="begin"/>
      </w:r>
      <w:r>
        <w:rPr>
          <w:color w:val="auto"/>
          <w:highlight w:val="none"/>
        </w:rPr>
        <w:instrText xml:space="preserve"> HYPERLINK "https://www.gcy.zfcg.gxzf.gov.cn/）获取（下载）招标文件，并于2024年5月XX日9" </w:instrText>
      </w:r>
      <w:r>
        <w:rPr>
          <w:color w:val="auto"/>
          <w:highlight w:val="none"/>
        </w:rPr>
        <w:fldChar w:fldCharType="separate"/>
      </w:r>
      <w:r>
        <w:rPr>
          <w:rFonts w:hint="eastAsia" w:ascii="宋体" w:hAnsi="宋体" w:cs="宋体"/>
          <w:color w:val="auto"/>
          <w:szCs w:val="21"/>
          <w:highlight w:val="none"/>
          <w:lang w:val="zh-CN" w:bidi="zh-CN"/>
        </w:rPr>
        <w:t>获取招标文件，并于2025年</w:t>
      </w:r>
      <w:r>
        <w:rPr>
          <w:rFonts w:hint="eastAsia" w:ascii="宋体" w:hAnsi="宋体" w:cs="宋体"/>
          <w:color w:val="auto"/>
          <w:szCs w:val="21"/>
          <w:highlight w:val="none"/>
          <w:lang w:bidi="zh-CN"/>
        </w:rPr>
        <w:t xml:space="preserve">  </w:t>
      </w:r>
      <w:r>
        <w:rPr>
          <w:rFonts w:hint="eastAsia" w:ascii="宋体" w:hAnsi="宋体" w:cs="宋体"/>
          <w:color w:val="auto"/>
          <w:szCs w:val="21"/>
          <w:highlight w:val="none"/>
          <w:lang w:val="zh-CN" w:bidi="zh-CN"/>
        </w:rPr>
        <w:t>月</w:t>
      </w:r>
      <w:r>
        <w:rPr>
          <w:rFonts w:hint="eastAsia" w:ascii="宋体" w:hAnsi="宋体" w:cs="宋体"/>
          <w:color w:val="auto"/>
          <w:szCs w:val="21"/>
          <w:highlight w:val="none"/>
          <w:lang w:bidi="zh-CN"/>
        </w:rPr>
        <w:t xml:space="preserve">   </w:t>
      </w:r>
      <w:r>
        <w:rPr>
          <w:rFonts w:hint="eastAsia" w:ascii="宋体" w:hAnsi="宋体" w:cs="宋体"/>
          <w:color w:val="auto"/>
          <w:szCs w:val="21"/>
          <w:highlight w:val="none"/>
          <w:lang w:val="zh-CN" w:bidi="zh-CN"/>
        </w:rPr>
        <w:t>日</w:t>
      </w:r>
      <w:r>
        <w:rPr>
          <w:rFonts w:hint="eastAsia" w:ascii="宋体" w:hAnsi="宋体" w:cs="宋体"/>
          <w:color w:val="auto"/>
          <w:szCs w:val="21"/>
          <w:highlight w:val="none"/>
          <w:lang w:bidi="zh-CN"/>
        </w:rPr>
        <w:t xml:space="preserve"> </w:t>
      </w:r>
      <w:r>
        <w:rPr>
          <w:rFonts w:hint="eastAsia" w:ascii="宋体" w:hAnsi="宋体" w:cs="宋体"/>
          <w:color w:val="auto"/>
          <w:szCs w:val="21"/>
          <w:highlight w:val="none"/>
          <w:lang w:bidi="zh-CN"/>
        </w:rPr>
        <w:fldChar w:fldCharType="end"/>
      </w:r>
      <w:r>
        <w:rPr>
          <w:rFonts w:hint="eastAsia" w:ascii="宋体" w:hAnsi="宋体" w:cs="宋体"/>
          <w:color w:val="auto"/>
          <w:szCs w:val="21"/>
          <w:highlight w:val="none"/>
          <w:lang w:bidi="zh-CN"/>
        </w:rPr>
        <w:t xml:space="preserve"> </w:t>
      </w:r>
      <w:r>
        <w:rPr>
          <w:rFonts w:hint="eastAsia" w:ascii="宋体" w:hAnsi="宋体" w:cs="宋体"/>
          <w:color w:val="auto"/>
          <w:szCs w:val="21"/>
          <w:highlight w:val="none"/>
          <w:lang w:val="zh-CN" w:bidi="zh-CN"/>
        </w:rPr>
        <w:t>时</w:t>
      </w:r>
      <w:r>
        <w:rPr>
          <w:rFonts w:hint="eastAsia" w:ascii="宋体" w:hAnsi="宋体" w:cs="宋体"/>
          <w:color w:val="auto"/>
          <w:szCs w:val="21"/>
          <w:highlight w:val="none"/>
          <w:lang w:bidi="zh-CN"/>
        </w:rPr>
        <w:t xml:space="preserve">  </w:t>
      </w:r>
      <w:r>
        <w:rPr>
          <w:rFonts w:hint="eastAsia" w:ascii="宋体" w:hAnsi="宋体" w:cs="宋体"/>
          <w:color w:val="auto"/>
          <w:szCs w:val="21"/>
          <w:highlight w:val="none"/>
          <w:lang w:val="zh-CN" w:bidi="zh-CN"/>
        </w:rPr>
        <w:t>分（北京时间）前递交投标文件。</w:t>
      </w:r>
    </w:p>
    <w:p w14:paraId="69206FA7">
      <w:pPr>
        <w:spacing w:line="400" w:lineRule="exact"/>
        <w:rPr>
          <w:rFonts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一、项目基本情况</w:t>
      </w:r>
    </w:p>
    <w:p w14:paraId="6DF38FD5">
      <w:pPr>
        <w:spacing w:line="400" w:lineRule="exact"/>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项目编号：</w:t>
      </w:r>
      <w:r>
        <w:rPr>
          <w:rFonts w:hint="eastAsia" w:ascii="宋体" w:hAnsi="宋体" w:cs="宋体"/>
          <w:color w:val="auto"/>
          <w:szCs w:val="21"/>
          <w:highlight w:val="none"/>
          <w:lang w:val="zh-CN" w:bidi="zh-CN"/>
        </w:rPr>
        <w:t>GGZC2025-G1-040048-ZDJS</w:t>
      </w:r>
    </w:p>
    <w:p w14:paraId="743EEB63">
      <w:pPr>
        <w:spacing w:line="400" w:lineRule="exact"/>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项目名称：贵港覃塘产业园区新材料科技园重大安全风险防控项目</w:t>
      </w:r>
    </w:p>
    <w:p w14:paraId="25542AEF">
      <w:pPr>
        <w:pStyle w:val="30"/>
        <w:ind w:firstLine="420" w:firstLineChars="200"/>
        <w:rPr>
          <w:rFonts w:ascii="宋体" w:hAnsi="宋体" w:cs="宋体"/>
          <w:color w:val="auto"/>
          <w:kern w:val="2"/>
          <w:sz w:val="21"/>
          <w:szCs w:val="21"/>
          <w:highlight w:val="none"/>
          <w:lang w:bidi="zh-CN"/>
        </w:rPr>
      </w:pPr>
      <w:r>
        <w:rPr>
          <w:rFonts w:hint="eastAsia" w:ascii="宋体" w:hAnsi="宋体" w:cs="宋体"/>
          <w:color w:val="auto"/>
          <w:kern w:val="2"/>
          <w:sz w:val="21"/>
          <w:szCs w:val="21"/>
          <w:highlight w:val="none"/>
          <w:lang w:val="zh-CN" w:bidi="zh-CN"/>
        </w:rPr>
        <w:t>采购方式：公开招标</w:t>
      </w:r>
    </w:p>
    <w:p w14:paraId="0242F945">
      <w:pPr>
        <w:pStyle w:val="131"/>
        <w:ind w:firstLine="420"/>
        <w:rPr>
          <w:rFonts w:hint="eastAsia" w:eastAsia="宋体"/>
          <w:color w:val="auto"/>
          <w:sz w:val="21"/>
          <w:szCs w:val="21"/>
          <w:highlight w:val="none"/>
          <w:lang w:val="en-US" w:eastAsia="zh-CN"/>
        </w:rPr>
      </w:pPr>
      <w:r>
        <w:rPr>
          <w:rFonts w:hint="eastAsia"/>
          <w:color w:val="auto"/>
          <w:sz w:val="21"/>
          <w:szCs w:val="21"/>
          <w:highlight w:val="none"/>
        </w:rPr>
        <w:t>预算总金额（元）:</w:t>
      </w:r>
      <w:r>
        <w:rPr>
          <w:rFonts w:hint="eastAsia"/>
          <w:color w:val="auto"/>
          <w:sz w:val="21"/>
          <w:szCs w:val="21"/>
          <w:highlight w:val="none"/>
          <w:lang w:val="en-US" w:eastAsia="zh-CN"/>
        </w:rPr>
        <w:t>22716038</w:t>
      </w:r>
    </w:p>
    <w:p w14:paraId="3EF3B3F3">
      <w:pPr>
        <w:spacing w:line="400" w:lineRule="exact"/>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采购需求：</w:t>
      </w:r>
    </w:p>
    <w:p w14:paraId="0978F61A">
      <w:pPr>
        <w:spacing w:after="0" w:line="24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标项一</w:t>
      </w:r>
    </w:p>
    <w:p w14:paraId="602DDFCC">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bookmarkStart w:id="7" w:name="OLE_LINK39"/>
      <w:r>
        <w:rPr>
          <w:rFonts w:hint="eastAsia" w:ascii="宋体" w:hAnsi="宋体" w:cs="宋体"/>
          <w:color w:val="auto"/>
          <w:szCs w:val="21"/>
          <w:highlight w:val="none"/>
          <w:lang w:val="zh-CN" w:bidi="zh-CN"/>
        </w:rPr>
        <w:t>贵港覃塘产业园区新材料科技园重大安全风险防控项目(覃塘化工园区安全风险智能化管控平台)-分标1</w:t>
      </w:r>
      <w:bookmarkEnd w:id="7"/>
    </w:p>
    <w:p w14:paraId="54B93BD1">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560956AB">
      <w:pPr>
        <w:spacing w:after="0" w:line="24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17058086</w:t>
      </w:r>
    </w:p>
    <w:p w14:paraId="035520C9">
      <w:pPr>
        <w:pStyle w:val="131"/>
        <w:spacing w:after="0" w:line="240" w:lineRule="auto"/>
        <w:ind w:firstLine="420"/>
        <w:rPr>
          <w:color w:val="auto"/>
          <w:sz w:val="21"/>
          <w:szCs w:val="21"/>
          <w:highlight w:val="none"/>
        </w:rPr>
      </w:pPr>
      <w:r>
        <w:rPr>
          <w:rFonts w:hint="eastAsia"/>
          <w:color w:val="auto"/>
          <w:sz w:val="21"/>
          <w:szCs w:val="21"/>
          <w:highlight w:val="none"/>
        </w:rPr>
        <w:t>简要规格描述或项目基本概况介绍、用途：</w:t>
      </w:r>
      <w:r>
        <w:rPr>
          <w:rFonts w:hint="eastAsia"/>
          <w:color w:val="auto"/>
          <w:kern w:val="0"/>
          <w:sz w:val="21"/>
          <w:szCs w:val="21"/>
          <w:highlight w:val="none"/>
          <w:lang w:val="en-US"/>
        </w:rPr>
        <w:t>1、</w:t>
      </w:r>
      <w:bookmarkStart w:id="8" w:name="OLE_LINK14"/>
      <w:r>
        <w:rPr>
          <w:rFonts w:hint="eastAsia"/>
          <w:color w:val="auto"/>
          <w:kern w:val="0"/>
          <w:sz w:val="21"/>
          <w:szCs w:val="21"/>
          <w:highlight w:val="none"/>
        </w:rPr>
        <w:t>覃塘化工园区安全风险智能化管控平台（园区端）</w:t>
      </w:r>
      <w:bookmarkEnd w:id="8"/>
      <w:r>
        <w:rPr>
          <w:rFonts w:hint="eastAsia"/>
          <w:color w:val="auto"/>
          <w:kern w:val="0"/>
          <w:sz w:val="21"/>
          <w:szCs w:val="21"/>
          <w:highlight w:val="none"/>
          <w:lang w:val="en-US"/>
        </w:rPr>
        <w:t>建设；2、</w:t>
      </w:r>
      <w:r>
        <w:rPr>
          <w:rFonts w:hint="eastAsia"/>
          <w:color w:val="auto"/>
          <w:kern w:val="0"/>
          <w:sz w:val="21"/>
          <w:szCs w:val="21"/>
          <w:highlight w:val="none"/>
        </w:rPr>
        <w:t>覃塘化工园区企业安全风险智能化管控平台（企业端）</w:t>
      </w:r>
      <w:r>
        <w:rPr>
          <w:rFonts w:hint="eastAsia"/>
          <w:color w:val="auto"/>
          <w:kern w:val="0"/>
          <w:sz w:val="21"/>
          <w:szCs w:val="21"/>
          <w:highlight w:val="none"/>
          <w:lang w:val="en-US"/>
        </w:rPr>
        <w:t>建设；3、</w:t>
      </w:r>
      <w:r>
        <w:rPr>
          <w:rFonts w:hint="eastAsia"/>
          <w:color w:val="auto"/>
          <w:kern w:val="0"/>
          <w:sz w:val="21"/>
          <w:szCs w:val="21"/>
          <w:highlight w:val="none"/>
        </w:rPr>
        <w:t>基础设施建设</w:t>
      </w:r>
      <w:r>
        <w:rPr>
          <w:rFonts w:hint="eastAsia"/>
          <w:color w:val="auto"/>
          <w:sz w:val="21"/>
          <w:szCs w:val="21"/>
          <w:highlight w:val="none"/>
        </w:rPr>
        <w:t>。</w:t>
      </w:r>
      <w:bookmarkStart w:id="9" w:name="OLE_LINK2"/>
      <w:r>
        <w:rPr>
          <w:rFonts w:hint="eastAsia"/>
          <w:color w:val="auto"/>
          <w:sz w:val="21"/>
          <w:szCs w:val="21"/>
          <w:highlight w:val="none"/>
        </w:rPr>
        <w:t>如需进一步了解详细内容，详见招标文件第二章采购需求。</w:t>
      </w:r>
    </w:p>
    <w:bookmarkEnd w:id="9"/>
    <w:p w14:paraId="68480668">
      <w:pPr>
        <w:spacing w:after="0" w:line="24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最高限价（如有）：</w:t>
      </w:r>
      <w:r>
        <w:rPr>
          <w:rFonts w:hint="eastAsia" w:ascii="宋体" w:hAnsi="宋体" w:cs="宋体"/>
          <w:color w:val="auto"/>
          <w:szCs w:val="21"/>
          <w:highlight w:val="none"/>
          <w:lang w:eastAsia="zh-CN"/>
        </w:rPr>
        <w:t>17058086</w:t>
      </w:r>
    </w:p>
    <w:p w14:paraId="29554E25">
      <w:pPr>
        <w:widowControl/>
        <w:ind w:firstLine="420" w:firstLineChars="200"/>
        <w:textAlignment w:val="center"/>
        <w:rPr>
          <w:rFonts w:ascii="宋体" w:hAnsi="宋体" w:cs="宋体"/>
          <w:color w:val="auto"/>
          <w:szCs w:val="21"/>
          <w:highlight w:val="none"/>
        </w:rPr>
      </w:pPr>
      <w:bookmarkStart w:id="10" w:name="OLE_LINK66"/>
      <w:r>
        <w:rPr>
          <w:rFonts w:hint="eastAsia" w:ascii="宋体" w:hAnsi="宋体" w:cs="宋体"/>
          <w:color w:val="auto"/>
          <w:szCs w:val="21"/>
          <w:highlight w:val="none"/>
        </w:rPr>
        <w:t>合同履约期限</w:t>
      </w:r>
      <w:bookmarkEnd w:id="10"/>
      <w:r>
        <w:rPr>
          <w:rFonts w:hint="eastAsia" w:ascii="宋体" w:hAnsi="宋体" w:cs="宋体"/>
          <w:color w:val="auto"/>
          <w:szCs w:val="21"/>
          <w:highlight w:val="none"/>
        </w:rPr>
        <w:t>：2025年8月21日前达到试运行条件，试运行不低于1个月，2025年9月30日前项目须通过覃塘区工业园区组织相关部门、专家开展的自验收，形成自验收报告报贵港市应急管理局；2025年10月31日前，项目须通过贵港市应急管理局组织有关部门、专家，按照建设任务验收评分表验收。贵港市应急管理局形成初步验收报告后，再向广西壮族自治区应急管理厅申请验收，2025年11月30日前完成项目验收，直至通过国家应急部组织验收。</w:t>
      </w:r>
    </w:p>
    <w:p w14:paraId="62ADBE65">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val="zh-CN" w:bidi="zh-CN"/>
        </w:rPr>
        <w:t>否</w:t>
      </w:r>
      <w:r>
        <w:rPr>
          <w:rFonts w:hint="eastAsia" w:ascii="宋体" w:hAnsi="宋体" w:cs="宋体"/>
          <w:color w:val="auto"/>
          <w:szCs w:val="21"/>
          <w:highlight w:val="none"/>
        </w:rPr>
        <w:t>）接受联合体投标</w:t>
      </w:r>
    </w:p>
    <w:p w14:paraId="5CAE643D">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r>
        <w:rPr>
          <w:rFonts w:hint="eastAsia"/>
          <w:color w:val="auto"/>
          <w:szCs w:val="21"/>
          <w:highlight w:val="none"/>
        </w:rPr>
        <w:t>/</w:t>
      </w:r>
    </w:p>
    <w:p w14:paraId="35AD8C02">
      <w:pPr>
        <w:ind w:firstLine="420" w:firstLineChars="200"/>
        <w:rPr>
          <w:rFonts w:ascii="宋体" w:hAnsi="宋体" w:cs="宋体"/>
          <w:color w:val="auto"/>
          <w:szCs w:val="21"/>
          <w:highlight w:val="none"/>
          <w:lang w:val="zh-CN" w:bidi="zh-CN"/>
        </w:rPr>
      </w:pPr>
    </w:p>
    <w:p w14:paraId="21D54989">
      <w:pPr>
        <w:spacing w:after="0" w:line="240"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标项二</w:t>
      </w:r>
    </w:p>
    <w:p w14:paraId="30034BE0">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bookmarkStart w:id="11" w:name="OLE_LINK12"/>
      <w:r>
        <w:rPr>
          <w:rFonts w:hint="eastAsia" w:ascii="宋体" w:hAnsi="宋体" w:cs="宋体"/>
          <w:color w:val="auto"/>
          <w:szCs w:val="21"/>
          <w:highlight w:val="none"/>
          <w:lang w:val="zh-CN" w:bidi="zh-CN"/>
        </w:rPr>
        <w:t>贵港覃塘产业园区新材料科技园重大安全风险防控项目(易燃易爆有毒有害气体泄漏探测设备)-</w:t>
      </w:r>
      <w:bookmarkEnd w:id="11"/>
      <w:r>
        <w:rPr>
          <w:rFonts w:hint="eastAsia" w:ascii="宋体" w:hAnsi="宋体" w:cs="宋体"/>
          <w:color w:val="auto"/>
          <w:szCs w:val="21"/>
          <w:highlight w:val="none"/>
          <w:lang w:val="zh-CN" w:bidi="zh-CN"/>
        </w:rPr>
        <w:t>分标2</w:t>
      </w:r>
    </w:p>
    <w:p w14:paraId="49436AE1">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7DAC5209">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预算金额（元）:4209952</w:t>
      </w:r>
    </w:p>
    <w:p w14:paraId="0FA77DA2">
      <w:pPr>
        <w:pStyle w:val="131"/>
        <w:spacing w:after="0" w:line="240" w:lineRule="auto"/>
        <w:ind w:firstLine="420"/>
        <w:rPr>
          <w:color w:val="auto"/>
          <w:sz w:val="21"/>
          <w:szCs w:val="21"/>
          <w:highlight w:val="none"/>
        </w:rPr>
      </w:pPr>
      <w:r>
        <w:rPr>
          <w:rFonts w:hint="eastAsia"/>
          <w:color w:val="auto"/>
          <w:sz w:val="21"/>
          <w:szCs w:val="21"/>
          <w:highlight w:val="none"/>
        </w:rPr>
        <w:t>简要规格描述或项目基本概况介绍、用途：</w:t>
      </w:r>
      <w:r>
        <w:rPr>
          <w:rFonts w:hint="eastAsia"/>
          <w:color w:val="auto"/>
          <w:kern w:val="0"/>
          <w:sz w:val="21"/>
          <w:szCs w:val="21"/>
          <w:highlight w:val="none"/>
          <w:lang w:val="en-US"/>
        </w:rPr>
        <w:t>1、</w:t>
      </w:r>
      <w:r>
        <w:rPr>
          <w:rFonts w:hint="eastAsia"/>
          <w:color w:val="auto"/>
          <w:kern w:val="0"/>
          <w:sz w:val="21"/>
          <w:szCs w:val="21"/>
          <w:highlight w:val="none"/>
        </w:rPr>
        <w:t>易燃易爆有毒有害气体泄漏探测设备</w:t>
      </w:r>
      <w:r>
        <w:rPr>
          <w:rFonts w:hint="eastAsia"/>
          <w:color w:val="auto"/>
          <w:kern w:val="0"/>
          <w:sz w:val="21"/>
          <w:szCs w:val="21"/>
          <w:highlight w:val="none"/>
          <w:lang w:val="en-US"/>
        </w:rPr>
        <w:t>；2、</w:t>
      </w:r>
      <w:r>
        <w:rPr>
          <w:rFonts w:hint="eastAsia"/>
          <w:color w:val="auto"/>
          <w:kern w:val="0"/>
          <w:sz w:val="21"/>
          <w:szCs w:val="21"/>
          <w:highlight w:val="none"/>
        </w:rPr>
        <w:t>公用工程安全风险感知设备</w:t>
      </w:r>
      <w:r>
        <w:rPr>
          <w:rFonts w:hint="eastAsia"/>
          <w:color w:val="auto"/>
          <w:kern w:val="0"/>
          <w:sz w:val="21"/>
          <w:szCs w:val="21"/>
          <w:highlight w:val="none"/>
          <w:lang w:val="en-US"/>
        </w:rPr>
        <w:t>；3、</w:t>
      </w:r>
      <w:r>
        <w:rPr>
          <w:rFonts w:hint="eastAsia"/>
          <w:color w:val="auto"/>
          <w:kern w:val="0"/>
          <w:sz w:val="21"/>
          <w:szCs w:val="21"/>
          <w:highlight w:val="none"/>
        </w:rPr>
        <w:t>区域安全风险隔离管控设备</w:t>
      </w:r>
      <w:r>
        <w:rPr>
          <w:rFonts w:hint="eastAsia"/>
          <w:color w:val="auto"/>
          <w:sz w:val="21"/>
          <w:szCs w:val="21"/>
          <w:highlight w:val="none"/>
        </w:rPr>
        <w:t>。如需进一步了解详细内容，详见招标文件第二章采购需求。</w:t>
      </w:r>
    </w:p>
    <w:p w14:paraId="13991A78">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最高限价（如有）：4209952</w:t>
      </w:r>
    </w:p>
    <w:p w14:paraId="7BCF8D20">
      <w:pPr>
        <w:spacing w:after="0" w:line="240" w:lineRule="auto"/>
        <w:ind w:firstLine="420" w:firstLineChars="200"/>
        <w:rPr>
          <w:rFonts w:ascii="宋体" w:hAnsi="宋体" w:cs="宋体"/>
          <w:color w:val="auto"/>
          <w:szCs w:val="21"/>
          <w:highlight w:val="none"/>
        </w:rPr>
      </w:pPr>
      <w:bookmarkStart w:id="12" w:name="OLE_LINK13"/>
      <w:r>
        <w:rPr>
          <w:rFonts w:hint="eastAsia" w:ascii="宋体" w:hAnsi="宋体" w:cs="宋体"/>
          <w:color w:val="auto"/>
          <w:szCs w:val="21"/>
          <w:highlight w:val="none"/>
        </w:rPr>
        <w:t>合同履约期限</w:t>
      </w:r>
      <w:bookmarkEnd w:id="12"/>
      <w:r>
        <w:rPr>
          <w:rFonts w:hint="eastAsia" w:ascii="宋体" w:hAnsi="宋体" w:cs="宋体"/>
          <w:color w:val="auto"/>
          <w:szCs w:val="21"/>
          <w:highlight w:val="none"/>
        </w:rPr>
        <w:t>：项目建设期：2025年8月21日前达到试运行条件，试运行不低于1个月，2025年9月30日前项目须通过覃塘区工业园区组织相关部门、专家开展的自验收，形成自验收报告报贵港市应急管理局；2025年10月31日前，项目须通过贵港市应急管理局组织有关部门、专家，按照建设任务验收评分表验收。贵港市应急管理局形成初步验收报告后，再向广西壮族自治区应急管理厅申请验收，2025年11月30日前完成项目验收，直至通过国家应急部组织验收。</w:t>
      </w:r>
    </w:p>
    <w:p w14:paraId="7AB9C970">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bidi="zh-CN"/>
        </w:rPr>
        <w:t>否</w:t>
      </w:r>
      <w:r>
        <w:rPr>
          <w:rFonts w:hint="eastAsia" w:ascii="宋体" w:hAnsi="宋体" w:cs="宋体"/>
          <w:color w:val="auto"/>
          <w:szCs w:val="21"/>
          <w:highlight w:val="none"/>
        </w:rPr>
        <w:t>）接受联合体投标</w:t>
      </w:r>
    </w:p>
    <w:p w14:paraId="0177BBBF">
      <w:pPr>
        <w:spacing w:after="0" w:line="240" w:lineRule="auto"/>
        <w:ind w:firstLine="420" w:firstLineChars="200"/>
        <w:rPr>
          <w:color w:val="auto"/>
          <w:szCs w:val="21"/>
          <w:highlight w:val="none"/>
        </w:rPr>
      </w:pPr>
      <w:r>
        <w:rPr>
          <w:rFonts w:hint="eastAsia" w:ascii="宋体" w:hAnsi="宋体" w:cs="宋体"/>
          <w:color w:val="auto"/>
          <w:szCs w:val="21"/>
          <w:highlight w:val="none"/>
        </w:rPr>
        <w:t>备注：</w:t>
      </w:r>
      <w:r>
        <w:rPr>
          <w:rFonts w:hint="eastAsia"/>
          <w:color w:val="auto"/>
          <w:szCs w:val="21"/>
          <w:highlight w:val="none"/>
        </w:rPr>
        <w:t>/</w:t>
      </w:r>
    </w:p>
    <w:p w14:paraId="610D1D57">
      <w:pPr>
        <w:rPr>
          <w:color w:val="auto"/>
          <w:szCs w:val="21"/>
          <w:highlight w:val="none"/>
        </w:rPr>
      </w:pPr>
    </w:p>
    <w:p w14:paraId="62D785D7">
      <w:pPr>
        <w:spacing w:after="0" w:line="240" w:lineRule="auto"/>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val="zh-CN" w:bidi="zh-CN"/>
        </w:rPr>
        <w:t>标项</w:t>
      </w:r>
      <w:r>
        <w:rPr>
          <w:rFonts w:hint="eastAsia" w:ascii="宋体" w:hAnsi="宋体" w:cs="宋体"/>
          <w:color w:val="auto"/>
          <w:szCs w:val="21"/>
          <w:highlight w:val="none"/>
          <w:lang w:bidi="zh-CN"/>
        </w:rPr>
        <w:t>三</w:t>
      </w:r>
    </w:p>
    <w:p w14:paraId="3E99FB5D">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val="zh-CN" w:bidi="zh-CN"/>
        </w:rPr>
        <w:t>贵港覃塘产业园区新材料科技园重大安全风险防控项目(危险化学品安全预防控制体系服务)-</w:t>
      </w:r>
      <w:r>
        <w:rPr>
          <w:rFonts w:hint="eastAsia" w:ascii="宋体" w:hAnsi="宋体" w:cs="宋体"/>
          <w:color w:val="auto"/>
          <w:szCs w:val="21"/>
          <w:highlight w:val="none"/>
          <w:lang w:bidi="zh-CN"/>
        </w:rPr>
        <w:t>分标3</w:t>
      </w:r>
    </w:p>
    <w:p w14:paraId="07F1B094">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5D23B3E7">
      <w:pPr>
        <w:spacing w:after="0" w:line="24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1448000</w:t>
      </w:r>
    </w:p>
    <w:p w14:paraId="0FD5D4F1">
      <w:pPr>
        <w:pStyle w:val="131"/>
        <w:spacing w:after="0" w:line="240" w:lineRule="auto"/>
        <w:ind w:firstLine="420"/>
        <w:rPr>
          <w:color w:val="auto"/>
          <w:sz w:val="21"/>
          <w:szCs w:val="21"/>
          <w:highlight w:val="none"/>
        </w:rPr>
      </w:pPr>
      <w:r>
        <w:rPr>
          <w:rFonts w:hint="eastAsia"/>
          <w:color w:val="auto"/>
          <w:sz w:val="21"/>
          <w:szCs w:val="21"/>
          <w:highlight w:val="none"/>
        </w:rPr>
        <w:t>简要规格描述或项目基本概况介绍、用途：</w:t>
      </w:r>
      <w:r>
        <w:rPr>
          <w:rFonts w:hint="eastAsia"/>
          <w:color w:val="auto"/>
          <w:kern w:val="0"/>
          <w:sz w:val="21"/>
          <w:szCs w:val="21"/>
          <w:highlight w:val="none"/>
          <w:lang w:val="en-US"/>
        </w:rPr>
        <w:t>1、</w:t>
      </w:r>
      <w:r>
        <w:rPr>
          <w:rFonts w:hint="eastAsia"/>
          <w:color w:val="auto"/>
          <w:kern w:val="0"/>
          <w:sz w:val="21"/>
          <w:szCs w:val="21"/>
          <w:highlight w:val="none"/>
        </w:rPr>
        <w:t>安全检查技术服务</w:t>
      </w:r>
      <w:r>
        <w:rPr>
          <w:rFonts w:hint="eastAsia"/>
          <w:color w:val="auto"/>
          <w:kern w:val="0"/>
          <w:sz w:val="21"/>
          <w:szCs w:val="21"/>
          <w:highlight w:val="none"/>
          <w:lang w:val="en-US"/>
        </w:rPr>
        <w:t>；2、</w:t>
      </w:r>
      <w:r>
        <w:rPr>
          <w:rFonts w:hint="eastAsia"/>
          <w:color w:val="auto"/>
          <w:kern w:val="0"/>
          <w:sz w:val="21"/>
          <w:szCs w:val="21"/>
          <w:highlight w:val="none"/>
        </w:rPr>
        <w:t>指挥中心安全评估服务</w:t>
      </w:r>
      <w:r>
        <w:rPr>
          <w:rFonts w:hint="eastAsia"/>
          <w:color w:val="auto"/>
          <w:kern w:val="0"/>
          <w:sz w:val="21"/>
          <w:szCs w:val="21"/>
          <w:highlight w:val="none"/>
          <w:lang w:val="en-US"/>
        </w:rPr>
        <w:t>；3、</w:t>
      </w:r>
      <w:r>
        <w:rPr>
          <w:rFonts w:hint="eastAsia"/>
          <w:color w:val="auto"/>
          <w:kern w:val="0"/>
          <w:sz w:val="21"/>
          <w:szCs w:val="21"/>
          <w:highlight w:val="none"/>
        </w:rPr>
        <w:t>园区安全管家服务</w:t>
      </w:r>
      <w:r>
        <w:rPr>
          <w:rFonts w:hint="eastAsia"/>
          <w:color w:val="auto"/>
          <w:kern w:val="0"/>
          <w:sz w:val="21"/>
          <w:szCs w:val="21"/>
          <w:highlight w:val="none"/>
          <w:lang w:val="en-US"/>
        </w:rPr>
        <w:t>；4、园区总体应急预案</w:t>
      </w:r>
      <w:r>
        <w:rPr>
          <w:rFonts w:hint="eastAsia"/>
          <w:color w:val="auto"/>
          <w:sz w:val="21"/>
          <w:szCs w:val="21"/>
          <w:highlight w:val="none"/>
        </w:rPr>
        <w:t>。如需进一步了解详细内容，详见招标文件第二章采购需求。</w:t>
      </w:r>
    </w:p>
    <w:p w14:paraId="08276D4E">
      <w:pPr>
        <w:spacing w:after="0" w:line="24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最高限价（如有）：</w:t>
      </w:r>
      <w:r>
        <w:rPr>
          <w:rFonts w:hint="eastAsia" w:ascii="宋体" w:hAnsi="宋体" w:cs="宋体"/>
          <w:color w:val="auto"/>
          <w:szCs w:val="21"/>
          <w:highlight w:val="none"/>
          <w:lang w:eastAsia="zh-CN"/>
        </w:rPr>
        <w:t>1448000</w:t>
      </w:r>
    </w:p>
    <w:p w14:paraId="72FB8CDA">
      <w:pPr>
        <w:spacing w:line="240" w:lineRule="auto"/>
        <w:ind w:firstLine="420" w:firstLineChars="200"/>
        <w:rPr>
          <w:rFonts w:ascii="宋体" w:hAnsi="宋体" w:cs="宋体" w:eastAsiaTheme="minorEastAsia"/>
          <w:color w:val="auto"/>
          <w:kern w:val="0"/>
          <w:szCs w:val="21"/>
          <w:highlight w:val="none"/>
          <w:lang w:bidi="ar"/>
        </w:rPr>
      </w:pPr>
      <w:bookmarkStart w:id="13" w:name="OLE_LINK67"/>
      <w:r>
        <w:rPr>
          <w:rFonts w:hint="eastAsia" w:ascii="宋体" w:hAnsi="宋体" w:cs="宋体"/>
          <w:color w:val="auto"/>
          <w:szCs w:val="21"/>
          <w:highlight w:val="none"/>
        </w:rPr>
        <w:t>合同履约期限：</w:t>
      </w:r>
      <w:bookmarkStart w:id="14" w:name="OLE_LINK49"/>
      <w:r>
        <w:rPr>
          <w:rFonts w:hint="eastAsia" w:ascii="宋体" w:hAnsi="宋体" w:cs="宋体"/>
          <w:color w:val="auto"/>
          <w:kern w:val="0"/>
          <w:szCs w:val="21"/>
          <w:highlight w:val="none"/>
          <w:lang w:bidi="ar"/>
        </w:rPr>
        <w:t>于2025年12月20日前提交服务成果，后续服务自合同签订之日起至项目验收之日止。</w:t>
      </w:r>
    </w:p>
    <w:bookmarkEnd w:id="13"/>
    <w:bookmarkEnd w:id="14"/>
    <w:p w14:paraId="09D4F72F">
      <w:pPr>
        <w:spacing w:after="0"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bidi="zh-CN"/>
        </w:rPr>
        <w:t>否</w:t>
      </w:r>
      <w:r>
        <w:rPr>
          <w:rFonts w:hint="eastAsia" w:ascii="宋体" w:hAnsi="宋体" w:cs="宋体"/>
          <w:color w:val="auto"/>
          <w:szCs w:val="21"/>
          <w:highlight w:val="none"/>
        </w:rPr>
        <w:t>）接受联合体投标</w:t>
      </w:r>
    </w:p>
    <w:p w14:paraId="4C347B80">
      <w:pPr>
        <w:spacing w:after="0" w:line="240" w:lineRule="auto"/>
        <w:ind w:firstLine="420" w:firstLineChars="200"/>
        <w:rPr>
          <w:color w:val="auto"/>
          <w:szCs w:val="21"/>
          <w:highlight w:val="none"/>
        </w:rPr>
      </w:pPr>
      <w:r>
        <w:rPr>
          <w:rFonts w:hint="eastAsia" w:ascii="宋体" w:hAnsi="宋体" w:cs="宋体"/>
          <w:color w:val="auto"/>
          <w:szCs w:val="21"/>
          <w:highlight w:val="none"/>
        </w:rPr>
        <w:t>备注：</w:t>
      </w:r>
      <w:r>
        <w:rPr>
          <w:rFonts w:hint="eastAsia"/>
          <w:color w:val="auto"/>
          <w:szCs w:val="21"/>
          <w:highlight w:val="none"/>
        </w:rPr>
        <w:t>/</w:t>
      </w:r>
    </w:p>
    <w:p w14:paraId="23163E40">
      <w:pPr>
        <w:spacing w:line="360" w:lineRule="exact"/>
        <w:rPr>
          <w:rFonts w:asciiTheme="majorEastAsia" w:hAnsiTheme="majorEastAsia" w:eastAsiaTheme="majorEastAsia" w:cstheme="majorEastAsia"/>
          <w:b/>
          <w:bCs/>
          <w:color w:val="auto"/>
          <w:sz w:val="22"/>
          <w:szCs w:val="21"/>
          <w:highlight w:val="none"/>
        </w:rPr>
      </w:pPr>
      <w:r>
        <w:rPr>
          <w:rFonts w:hint="eastAsia" w:asciiTheme="majorEastAsia" w:hAnsiTheme="majorEastAsia" w:eastAsiaTheme="majorEastAsia" w:cstheme="majorEastAsia"/>
          <w:b/>
          <w:bCs/>
          <w:color w:val="auto"/>
          <w:sz w:val="22"/>
          <w:szCs w:val="21"/>
          <w:highlight w:val="none"/>
        </w:rPr>
        <w:t>二、申请人的资格要求：</w:t>
      </w:r>
    </w:p>
    <w:p w14:paraId="754EA654">
      <w:pPr>
        <w:spacing w:line="240" w:lineRule="auto"/>
        <w:ind w:firstLine="440" w:firstLineChars="200"/>
        <w:rPr>
          <w:rFonts w:asciiTheme="majorEastAsia" w:hAnsiTheme="majorEastAsia" w:eastAsiaTheme="majorEastAsia" w:cstheme="majorEastAsia"/>
          <w:color w:val="auto"/>
          <w:sz w:val="22"/>
          <w:szCs w:val="21"/>
          <w:highlight w:val="none"/>
        </w:rPr>
      </w:pPr>
      <w:r>
        <w:rPr>
          <w:rFonts w:hint="eastAsia" w:asciiTheme="majorEastAsia" w:hAnsiTheme="majorEastAsia" w:eastAsiaTheme="majorEastAsia" w:cstheme="majorEastAsia"/>
          <w:color w:val="auto"/>
          <w:sz w:val="22"/>
          <w:szCs w:val="21"/>
          <w:highlight w:val="none"/>
        </w:rPr>
        <w:t>1、满足《中华人民共和国政府采购法》第二十二条规定；</w:t>
      </w:r>
    </w:p>
    <w:p w14:paraId="1E209BCE">
      <w:pPr>
        <w:spacing w:line="240" w:lineRule="auto"/>
        <w:ind w:firstLine="440" w:firstLineChars="200"/>
        <w:rPr>
          <w:rFonts w:asciiTheme="majorEastAsia" w:hAnsiTheme="majorEastAsia" w:eastAsiaTheme="majorEastAsia" w:cstheme="majorEastAsia"/>
          <w:bCs/>
          <w:color w:val="auto"/>
          <w:kern w:val="0"/>
          <w:sz w:val="22"/>
          <w:szCs w:val="22"/>
          <w:highlight w:val="none"/>
        </w:rPr>
      </w:pPr>
      <w:r>
        <w:rPr>
          <w:rFonts w:hint="eastAsia" w:asciiTheme="majorEastAsia" w:hAnsiTheme="majorEastAsia" w:eastAsiaTheme="majorEastAsia" w:cstheme="majorEastAsia"/>
          <w:bCs/>
          <w:color w:val="auto"/>
          <w:kern w:val="0"/>
          <w:sz w:val="22"/>
          <w:szCs w:val="22"/>
          <w:highlight w:val="none"/>
        </w:rPr>
        <w:t>2、落实政府采购政策需满足的资格要求：分标1：</w:t>
      </w:r>
      <w:r>
        <w:rPr>
          <w:rFonts w:hint="eastAsia" w:ascii="宋体" w:hAnsi="宋体" w:cs="宋体"/>
          <w:color w:val="auto"/>
          <w:kern w:val="0"/>
          <w:szCs w:val="21"/>
          <w:highlight w:val="none"/>
          <w:lang w:val="zh-CN" w:bidi="zh-CN"/>
        </w:rPr>
        <w:t>无</w:t>
      </w:r>
      <w:r>
        <w:rPr>
          <w:rFonts w:hint="eastAsia" w:asciiTheme="majorEastAsia" w:hAnsiTheme="majorEastAsia" w:eastAsiaTheme="majorEastAsia" w:cstheme="majorEastAsia"/>
          <w:bCs/>
          <w:color w:val="auto"/>
          <w:kern w:val="0"/>
          <w:sz w:val="22"/>
          <w:szCs w:val="22"/>
          <w:highlight w:val="none"/>
        </w:rPr>
        <w:t>；</w:t>
      </w:r>
      <w:bookmarkStart w:id="15" w:name="OLE_LINK4"/>
      <w:r>
        <w:rPr>
          <w:rFonts w:hint="eastAsia" w:asciiTheme="majorEastAsia" w:hAnsiTheme="majorEastAsia" w:eastAsiaTheme="majorEastAsia" w:cstheme="majorEastAsia"/>
          <w:bCs/>
          <w:color w:val="auto"/>
          <w:kern w:val="0"/>
          <w:sz w:val="22"/>
          <w:szCs w:val="22"/>
          <w:highlight w:val="none"/>
        </w:rPr>
        <w:t>分标2：</w:t>
      </w:r>
      <w:r>
        <w:rPr>
          <w:rFonts w:hint="eastAsia" w:ascii="宋体" w:hAnsi="宋体" w:cs="宋体"/>
          <w:color w:val="auto"/>
          <w:kern w:val="0"/>
          <w:szCs w:val="21"/>
          <w:highlight w:val="none"/>
          <w:lang w:bidi="zh-CN"/>
        </w:rPr>
        <w:t>无</w:t>
      </w:r>
      <w:bookmarkEnd w:id="15"/>
      <w:r>
        <w:rPr>
          <w:rFonts w:hint="eastAsia" w:asciiTheme="majorEastAsia" w:hAnsiTheme="majorEastAsia" w:eastAsiaTheme="majorEastAsia" w:cstheme="majorEastAsia"/>
          <w:bCs/>
          <w:color w:val="auto"/>
          <w:kern w:val="0"/>
          <w:sz w:val="22"/>
          <w:szCs w:val="22"/>
          <w:highlight w:val="none"/>
          <w:u w:val="dotted"/>
        </w:rPr>
        <w:t>；</w:t>
      </w:r>
      <w:r>
        <w:rPr>
          <w:rFonts w:hint="eastAsia" w:ascii="宋体" w:hAnsi="宋体" w:cs="宋体"/>
          <w:color w:val="auto"/>
          <w:kern w:val="0"/>
          <w:szCs w:val="21"/>
          <w:highlight w:val="none"/>
        </w:rPr>
        <w:t>分标3：</w:t>
      </w:r>
      <w:r>
        <w:rPr>
          <w:rFonts w:hint="eastAsia" w:ascii="宋体" w:hAnsi="宋体" w:cs="宋体"/>
          <w:color w:val="auto"/>
          <w:kern w:val="0"/>
          <w:szCs w:val="21"/>
          <w:highlight w:val="none"/>
          <w:lang w:bidi="zh-CN"/>
        </w:rPr>
        <w:t xml:space="preserve">无 </w:t>
      </w:r>
    </w:p>
    <w:p w14:paraId="3F6A0C72">
      <w:pPr>
        <w:spacing w:line="240" w:lineRule="auto"/>
        <w:ind w:firstLine="440" w:firstLineChars="200"/>
        <w:rPr>
          <w:rFonts w:asciiTheme="majorEastAsia" w:hAnsiTheme="majorEastAsia" w:eastAsiaTheme="majorEastAsia" w:cstheme="majorEastAsia"/>
          <w:color w:val="auto"/>
          <w:sz w:val="22"/>
          <w:szCs w:val="21"/>
          <w:highlight w:val="none"/>
        </w:rPr>
      </w:pPr>
      <w:r>
        <w:rPr>
          <w:rFonts w:hint="eastAsia" w:asciiTheme="majorEastAsia" w:hAnsiTheme="majorEastAsia" w:eastAsiaTheme="majorEastAsia" w:cstheme="majorEastAsia"/>
          <w:color w:val="auto"/>
          <w:sz w:val="22"/>
          <w:szCs w:val="21"/>
          <w:highlight w:val="none"/>
        </w:rPr>
        <w:t>3、本项目的特定资格要求：</w:t>
      </w:r>
      <w:r>
        <w:rPr>
          <w:rFonts w:hint="eastAsia" w:ascii="宋体" w:hAnsi="宋体" w:cs="宋体"/>
          <w:color w:val="auto"/>
          <w:kern w:val="0"/>
          <w:szCs w:val="21"/>
          <w:highlight w:val="none"/>
          <w:lang w:val="zh-CN" w:bidi="zh-CN"/>
        </w:rPr>
        <w:t>无</w:t>
      </w:r>
      <w:r>
        <w:rPr>
          <w:rFonts w:hint="eastAsia" w:asciiTheme="majorEastAsia" w:hAnsiTheme="majorEastAsia" w:eastAsiaTheme="majorEastAsia" w:cstheme="majorEastAsia"/>
          <w:color w:val="auto"/>
          <w:sz w:val="22"/>
          <w:szCs w:val="21"/>
          <w:highlight w:val="none"/>
        </w:rPr>
        <w:t>。</w:t>
      </w:r>
    </w:p>
    <w:p w14:paraId="0C187D3D">
      <w:pPr>
        <w:spacing w:line="360" w:lineRule="exact"/>
        <w:ind w:firstLine="440" w:firstLineChars="200"/>
        <w:rPr>
          <w:rFonts w:asciiTheme="majorEastAsia" w:hAnsiTheme="majorEastAsia" w:eastAsiaTheme="majorEastAsia" w:cstheme="majorEastAsia"/>
          <w:color w:val="auto"/>
          <w:sz w:val="22"/>
          <w:szCs w:val="21"/>
          <w:highlight w:val="none"/>
        </w:rPr>
      </w:pPr>
      <w:r>
        <w:rPr>
          <w:rFonts w:hint="eastAsia" w:asciiTheme="majorEastAsia" w:hAnsiTheme="majorEastAsia" w:eastAsiaTheme="majorEastAsia" w:cstheme="majorEastAsia"/>
          <w:color w:val="auto"/>
          <w:sz w:val="22"/>
          <w:szCs w:val="21"/>
          <w:highlight w:val="none"/>
        </w:rPr>
        <w:t>4、根据财政部《关于在政府采购活动中查询及使用信用记录有关问题的通知》（财库〔2016〕125号）的规定，对在“信用中国”网站(www.creditchina.gov.cn)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3FA7BA8">
      <w:pPr>
        <w:pStyle w:val="30"/>
        <w:rPr>
          <w:rFonts w:asciiTheme="majorEastAsia" w:hAnsiTheme="majorEastAsia" w:eastAsiaTheme="majorEastAsia" w:cstheme="majorEastAsia"/>
          <w:color w:val="auto"/>
          <w:kern w:val="2"/>
          <w:sz w:val="22"/>
          <w:szCs w:val="21"/>
          <w:highlight w:val="none"/>
        </w:rPr>
      </w:pPr>
      <w:r>
        <w:rPr>
          <w:rFonts w:hint="eastAsia" w:asciiTheme="majorEastAsia" w:hAnsiTheme="majorEastAsia" w:eastAsiaTheme="majorEastAsia" w:cstheme="majorEastAsia"/>
          <w:color w:val="auto"/>
          <w:sz w:val="22"/>
          <w:szCs w:val="21"/>
          <w:highlight w:val="none"/>
        </w:rPr>
        <w:t>5、</w:t>
      </w:r>
      <w:r>
        <w:rPr>
          <w:rFonts w:hint="eastAsia" w:asciiTheme="majorEastAsia" w:hAnsiTheme="majorEastAsia" w:eastAsiaTheme="majorEastAsia" w:cstheme="majorEastAsia"/>
          <w:color w:val="auto"/>
          <w:kern w:val="2"/>
          <w:sz w:val="22"/>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的采购活动。</w:t>
      </w:r>
    </w:p>
    <w:p w14:paraId="471E18D6">
      <w:pPr>
        <w:spacing w:line="360" w:lineRule="exact"/>
        <w:rPr>
          <w:rFonts w:asciiTheme="minorEastAsia" w:hAnsiTheme="minorEastAsia" w:eastAsiaTheme="minorEastAsia" w:cstheme="minorEastAsia"/>
          <w:b/>
          <w:bCs/>
          <w:color w:val="auto"/>
          <w:sz w:val="22"/>
          <w:szCs w:val="21"/>
          <w:highlight w:val="none"/>
        </w:rPr>
      </w:pPr>
      <w:r>
        <w:rPr>
          <w:rFonts w:hint="eastAsia" w:asciiTheme="minorEastAsia" w:hAnsiTheme="minorEastAsia" w:eastAsiaTheme="minorEastAsia" w:cstheme="minorEastAsia"/>
          <w:b/>
          <w:bCs/>
          <w:color w:val="auto"/>
          <w:sz w:val="22"/>
          <w:szCs w:val="21"/>
          <w:highlight w:val="none"/>
        </w:rPr>
        <w:t>三、获取招标文件</w:t>
      </w:r>
    </w:p>
    <w:p w14:paraId="5973AEA2">
      <w:pPr>
        <w:spacing w:line="360" w:lineRule="exact"/>
        <w:ind w:firstLine="440" w:firstLineChars="200"/>
        <w:rPr>
          <w:rFonts w:asciiTheme="majorEastAsia" w:hAnsiTheme="majorEastAsia" w:eastAsiaTheme="majorEastAsia" w:cstheme="majorEastAsia"/>
          <w:bCs/>
          <w:color w:val="auto"/>
          <w:kern w:val="0"/>
          <w:sz w:val="22"/>
          <w:szCs w:val="22"/>
          <w:highlight w:val="none"/>
        </w:rPr>
      </w:pPr>
      <w:r>
        <w:rPr>
          <w:rFonts w:hint="eastAsia" w:asciiTheme="majorEastAsia" w:hAnsiTheme="majorEastAsia" w:eastAsiaTheme="majorEastAsia" w:cstheme="majorEastAsia"/>
          <w:bCs/>
          <w:color w:val="auto"/>
          <w:kern w:val="0"/>
          <w:sz w:val="22"/>
          <w:szCs w:val="21"/>
          <w:highlight w:val="none"/>
        </w:rPr>
        <w:t>时间：</w:t>
      </w:r>
      <w:r>
        <w:rPr>
          <w:rFonts w:hint="eastAsia" w:asciiTheme="majorEastAsia" w:hAnsiTheme="majorEastAsia" w:eastAsiaTheme="majorEastAsia" w:cstheme="majorEastAsia"/>
          <w:color w:val="auto"/>
          <w:sz w:val="22"/>
          <w:szCs w:val="21"/>
          <w:highlight w:val="none"/>
        </w:rPr>
        <w:t>2025年  月  日至</w:t>
      </w:r>
      <w:bookmarkStart w:id="16" w:name="OLE_LINK5"/>
      <w:r>
        <w:rPr>
          <w:rFonts w:hint="eastAsia" w:asciiTheme="majorEastAsia" w:hAnsiTheme="majorEastAsia" w:eastAsiaTheme="majorEastAsia" w:cstheme="majorEastAsia"/>
          <w:color w:val="auto"/>
          <w:sz w:val="22"/>
          <w:szCs w:val="21"/>
          <w:highlight w:val="none"/>
        </w:rPr>
        <w:t>2025年  月  日</w:t>
      </w:r>
      <w:bookmarkEnd w:id="16"/>
      <w:r>
        <w:rPr>
          <w:rFonts w:hint="eastAsia" w:asciiTheme="majorEastAsia" w:hAnsiTheme="majorEastAsia" w:eastAsiaTheme="majorEastAsia" w:cstheme="majorEastAsia"/>
          <w:color w:val="auto"/>
          <w:sz w:val="22"/>
          <w:szCs w:val="21"/>
          <w:highlight w:val="none"/>
        </w:rPr>
        <w:t>，每天上午00:00-12:00；</w:t>
      </w:r>
      <w:r>
        <w:rPr>
          <w:rFonts w:hint="eastAsia" w:asciiTheme="majorEastAsia" w:hAnsiTheme="majorEastAsia" w:eastAsiaTheme="majorEastAsia" w:cstheme="majorEastAsia"/>
          <w:color w:val="auto"/>
          <w:sz w:val="22"/>
          <w:szCs w:val="22"/>
          <w:highlight w:val="none"/>
        </w:rPr>
        <w:t>下午12:00-23:59（北京时间，法定节假日除外）。</w:t>
      </w:r>
    </w:p>
    <w:p w14:paraId="248EAA45">
      <w:pPr>
        <w:spacing w:line="360" w:lineRule="exact"/>
        <w:ind w:firstLine="440" w:firstLineChars="200"/>
        <w:rPr>
          <w:rFonts w:asciiTheme="majorEastAsia" w:hAnsiTheme="majorEastAsia" w:eastAsiaTheme="majorEastAsia" w:cstheme="majorEastAsia"/>
          <w:bCs/>
          <w:color w:val="auto"/>
          <w:kern w:val="0"/>
          <w:sz w:val="22"/>
          <w:szCs w:val="22"/>
          <w:highlight w:val="none"/>
        </w:rPr>
      </w:pPr>
      <w:r>
        <w:rPr>
          <w:rFonts w:hint="eastAsia" w:asciiTheme="majorEastAsia" w:hAnsiTheme="majorEastAsia" w:eastAsiaTheme="majorEastAsia" w:cstheme="majorEastAsia"/>
          <w:bCs/>
          <w:color w:val="auto"/>
          <w:kern w:val="0"/>
          <w:sz w:val="22"/>
          <w:szCs w:val="22"/>
          <w:highlight w:val="none"/>
        </w:rPr>
        <w:t>地点</w:t>
      </w:r>
      <w:bookmarkStart w:id="17" w:name="OLE_LINK6"/>
      <w:r>
        <w:rPr>
          <w:rFonts w:hint="eastAsia" w:asciiTheme="majorEastAsia" w:hAnsiTheme="majorEastAsia" w:eastAsiaTheme="majorEastAsia" w:cstheme="majorEastAsia"/>
          <w:bCs/>
          <w:color w:val="auto"/>
          <w:kern w:val="0"/>
          <w:sz w:val="22"/>
          <w:szCs w:val="22"/>
          <w:highlight w:val="none"/>
        </w:rPr>
        <w:t>（网址）</w:t>
      </w:r>
      <w:bookmarkEnd w:id="17"/>
      <w:r>
        <w:rPr>
          <w:rFonts w:hint="eastAsia" w:asciiTheme="majorEastAsia" w:hAnsiTheme="majorEastAsia" w:eastAsiaTheme="majorEastAsia" w:cstheme="majorEastAsia"/>
          <w:bCs/>
          <w:color w:val="auto"/>
          <w:kern w:val="0"/>
          <w:sz w:val="22"/>
          <w:szCs w:val="22"/>
          <w:highlight w:val="none"/>
        </w:rPr>
        <w:t>：广西政府采购云平台（https://www.gcy.zfcg.gxzf.gov.cn/）</w:t>
      </w:r>
    </w:p>
    <w:p w14:paraId="6EA0F1C9">
      <w:pPr>
        <w:spacing w:line="360" w:lineRule="exact"/>
        <w:ind w:firstLine="440" w:firstLineChars="200"/>
        <w:rPr>
          <w:rFonts w:asciiTheme="majorEastAsia" w:hAnsiTheme="majorEastAsia" w:eastAsiaTheme="majorEastAsia" w:cstheme="majorEastAsia"/>
          <w:bCs/>
          <w:color w:val="auto"/>
          <w:kern w:val="0"/>
          <w:sz w:val="22"/>
          <w:szCs w:val="22"/>
          <w:highlight w:val="none"/>
        </w:rPr>
      </w:pPr>
      <w:r>
        <w:rPr>
          <w:rFonts w:hint="eastAsia" w:asciiTheme="majorEastAsia" w:hAnsiTheme="majorEastAsia" w:eastAsiaTheme="majorEastAsia" w:cstheme="majorEastAsia"/>
          <w:bCs/>
          <w:color w:val="auto"/>
          <w:kern w:val="0"/>
          <w:sz w:val="22"/>
          <w:szCs w:val="22"/>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Theme="majorEastAsia" w:hAnsiTheme="majorEastAsia" w:eastAsiaTheme="majorEastAsia" w:cstheme="majorEastAsia"/>
          <w:bCs/>
          <w:color w:val="auto"/>
          <w:kern w:val="0"/>
          <w:sz w:val="22"/>
          <w:szCs w:val="22"/>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55C9C569">
      <w:pPr>
        <w:spacing w:line="360" w:lineRule="exact"/>
        <w:ind w:firstLine="440" w:firstLineChars="20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Cs/>
          <w:color w:val="auto"/>
          <w:kern w:val="0"/>
          <w:sz w:val="22"/>
          <w:szCs w:val="22"/>
          <w:highlight w:val="none"/>
        </w:rPr>
        <w:t>售价：0元。</w:t>
      </w:r>
    </w:p>
    <w:p w14:paraId="1C637107">
      <w:pPr>
        <w:spacing w:line="360" w:lineRule="exact"/>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四、提交投标文件截止时间、开标时间和地点</w:t>
      </w:r>
    </w:p>
    <w:p w14:paraId="00CD98E7">
      <w:pPr>
        <w:spacing w:line="360" w:lineRule="exact"/>
        <w:ind w:firstLine="440" w:firstLineChars="200"/>
        <w:rPr>
          <w:rFonts w:asciiTheme="majorEastAsia" w:hAnsiTheme="majorEastAsia" w:eastAsiaTheme="majorEastAsia" w:cstheme="majorEastAsia"/>
          <w:bCs/>
          <w:color w:val="auto"/>
          <w:kern w:val="0"/>
          <w:sz w:val="22"/>
          <w:szCs w:val="22"/>
          <w:highlight w:val="none"/>
        </w:rPr>
      </w:pPr>
      <w:r>
        <w:rPr>
          <w:rFonts w:hint="eastAsia" w:asciiTheme="majorEastAsia" w:hAnsiTheme="majorEastAsia" w:eastAsiaTheme="majorEastAsia" w:cstheme="majorEastAsia"/>
          <w:bCs/>
          <w:color w:val="auto"/>
          <w:kern w:val="0"/>
          <w:sz w:val="22"/>
          <w:szCs w:val="22"/>
          <w:highlight w:val="none"/>
        </w:rPr>
        <w:t>提交投标文件截止时间：2025年  月  日   时  分（北京时间）</w:t>
      </w:r>
    </w:p>
    <w:p w14:paraId="54524D5E">
      <w:pPr>
        <w:spacing w:line="360" w:lineRule="exact"/>
        <w:ind w:firstLine="440" w:firstLineChars="200"/>
        <w:rPr>
          <w:rFonts w:ascii="宋体" w:hAnsi="宋体" w:cs="宋体"/>
          <w:color w:val="auto"/>
          <w:szCs w:val="21"/>
          <w:highlight w:val="none"/>
          <w:lang w:bidi="ar"/>
        </w:rPr>
      </w:pPr>
      <w:r>
        <w:rPr>
          <w:rFonts w:hint="eastAsia" w:asciiTheme="majorEastAsia" w:hAnsiTheme="majorEastAsia" w:eastAsiaTheme="majorEastAsia" w:cstheme="majorEastAsia"/>
          <w:color w:val="auto"/>
          <w:sz w:val="22"/>
          <w:szCs w:val="22"/>
          <w:highlight w:val="none"/>
        </w:rPr>
        <w:t>投标地点</w:t>
      </w:r>
      <w:r>
        <w:rPr>
          <w:rFonts w:hint="eastAsia" w:asciiTheme="majorEastAsia" w:hAnsiTheme="majorEastAsia" w:eastAsiaTheme="majorEastAsia" w:cstheme="majorEastAsia"/>
          <w:bCs/>
          <w:color w:val="auto"/>
          <w:kern w:val="0"/>
          <w:sz w:val="22"/>
          <w:szCs w:val="22"/>
          <w:highlight w:val="none"/>
        </w:rPr>
        <w:t>（网址）</w:t>
      </w:r>
      <w:r>
        <w:rPr>
          <w:rFonts w:hint="eastAsia" w:asciiTheme="majorEastAsia" w:hAnsiTheme="majorEastAsia" w:eastAsiaTheme="majorEastAsia" w:cstheme="majorEastAsia"/>
          <w:color w:val="auto"/>
          <w:sz w:val="22"/>
          <w:szCs w:val="22"/>
          <w:highlight w:val="none"/>
        </w:rPr>
        <w:t>：</w:t>
      </w:r>
      <w:r>
        <w:rPr>
          <w:rFonts w:hint="eastAsia" w:ascii="宋体" w:hAnsi="宋体" w:cs="宋体"/>
          <w:color w:val="auto"/>
          <w:szCs w:val="21"/>
          <w:highlight w:val="none"/>
          <w:lang w:bidi="ar"/>
        </w:rPr>
        <w:t>请登录广西政府采购云平台投标客户端投标。</w:t>
      </w:r>
    </w:p>
    <w:p w14:paraId="58C3479D">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开标时间：2025年  月  日</w:t>
      </w:r>
      <w:r>
        <w:rPr>
          <w:rFonts w:hint="eastAsia" w:asciiTheme="majorEastAsia" w:hAnsiTheme="majorEastAsia" w:eastAsiaTheme="majorEastAsia" w:cstheme="majorEastAsia"/>
          <w:bCs/>
          <w:color w:val="auto"/>
          <w:kern w:val="0"/>
          <w:sz w:val="22"/>
          <w:szCs w:val="22"/>
          <w:highlight w:val="none"/>
        </w:rPr>
        <w:t xml:space="preserve">  时  分</w:t>
      </w:r>
    </w:p>
    <w:p w14:paraId="1CA5E571">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开标地点：通过</w:t>
      </w:r>
      <w:r>
        <w:rPr>
          <w:rFonts w:hint="eastAsia" w:ascii="宋体" w:hAnsi="宋体" w:cs="宋体"/>
          <w:color w:val="auto"/>
          <w:szCs w:val="21"/>
          <w:highlight w:val="none"/>
        </w:rPr>
        <w:t>广西政府采购云平台</w:t>
      </w:r>
      <w:r>
        <w:rPr>
          <w:rFonts w:hint="eastAsia" w:ascii="宋体" w:hAnsi="宋体" w:cs="宋体"/>
          <w:color w:val="auto"/>
          <w:szCs w:val="21"/>
          <w:highlight w:val="none"/>
          <w:lang w:bidi="ar"/>
        </w:rPr>
        <w:t>电子开标大厅解密、开标。</w:t>
      </w:r>
    </w:p>
    <w:p w14:paraId="566A0A6B">
      <w:pPr>
        <w:spacing w:line="360" w:lineRule="exact"/>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五、公告期限</w:t>
      </w:r>
    </w:p>
    <w:p w14:paraId="686EA91B">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D635C96">
      <w:pPr>
        <w:spacing w:line="360" w:lineRule="exact"/>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六、其他补充事宜</w:t>
      </w:r>
    </w:p>
    <w:p w14:paraId="49CA4387">
      <w:pPr>
        <w:spacing w:line="360" w:lineRule="exact"/>
        <w:ind w:firstLine="440" w:firstLineChars="200"/>
        <w:rPr>
          <w:rFonts w:asciiTheme="majorEastAsia" w:hAnsiTheme="majorEastAsia" w:eastAsiaTheme="majorEastAsia" w:cstheme="majorEastAsia"/>
          <w:color w:val="auto"/>
          <w:kern w:val="0"/>
          <w:sz w:val="22"/>
          <w:szCs w:val="22"/>
          <w:highlight w:val="none"/>
        </w:rPr>
      </w:pPr>
      <w:r>
        <w:rPr>
          <w:rFonts w:hint="eastAsia" w:asciiTheme="majorEastAsia" w:hAnsiTheme="majorEastAsia" w:eastAsiaTheme="majorEastAsia" w:cstheme="majorEastAsia"/>
          <w:color w:val="auto"/>
          <w:kern w:val="0"/>
          <w:sz w:val="22"/>
          <w:szCs w:val="22"/>
          <w:highlight w:val="none"/>
        </w:rPr>
        <w:t>1、项目不收取投标保证金。</w:t>
      </w:r>
    </w:p>
    <w:p w14:paraId="1F94AAF3">
      <w:pPr>
        <w:spacing w:line="360" w:lineRule="exact"/>
        <w:ind w:firstLine="440" w:firstLineChars="200"/>
        <w:rPr>
          <w:rFonts w:asciiTheme="majorEastAsia" w:hAnsiTheme="majorEastAsia" w:eastAsiaTheme="majorEastAsia" w:cstheme="majorEastAsia"/>
          <w:color w:val="auto"/>
          <w:kern w:val="0"/>
          <w:sz w:val="22"/>
          <w:szCs w:val="22"/>
          <w:highlight w:val="none"/>
        </w:rPr>
      </w:pPr>
      <w:r>
        <w:rPr>
          <w:rFonts w:hint="eastAsia" w:asciiTheme="majorEastAsia" w:hAnsiTheme="majorEastAsia" w:eastAsiaTheme="majorEastAsia" w:cstheme="majorEastAsia"/>
          <w:color w:val="auto"/>
          <w:kern w:val="0"/>
          <w:sz w:val="22"/>
          <w:szCs w:val="22"/>
          <w:highlight w:val="none"/>
        </w:rPr>
        <w:t>2、本项目需要落实的政府采购政策：</w:t>
      </w:r>
    </w:p>
    <w:p w14:paraId="1956121F">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（1）政府采购促进中小企业发展</w:t>
      </w:r>
    </w:p>
    <w:p w14:paraId="52BF1FFC">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（2）政府采购支持采用本国产品的政策</w:t>
      </w:r>
    </w:p>
    <w:p w14:paraId="19408C64">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（3）强制采购节能产品；优先采购节能产品、环境标志产品</w:t>
      </w:r>
    </w:p>
    <w:p w14:paraId="47AA6FA5">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（4）政府采购促进残疾人就业政策</w:t>
      </w:r>
    </w:p>
    <w:p w14:paraId="04B98681">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（5）政府采购支持监狱企业发展</w:t>
      </w:r>
    </w:p>
    <w:p w14:paraId="32F92939">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（6）扶持不发达地区和少数民族地区政策</w:t>
      </w:r>
    </w:p>
    <w:p w14:paraId="60DBDA1C">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3、网上公告媒体查询：本次公告同时在中国政府采购网（</w:t>
      </w:r>
      <w:bookmarkStart w:id="18" w:name="OLE_LINK33"/>
      <w:r>
        <w:rPr>
          <w:rFonts w:hint="eastAsia" w:ascii="宋体" w:hAnsi="宋体" w:cs="宋体"/>
          <w:color w:val="auto"/>
          <w:kern w:val="0"/>
          <w:szCs w:val="21"/>
          <w:highlight w:val="none"/>
        </w:rPr>
        <w:t>http://www.ccgp.gov.cn</w:t>
      </w:r>
      <w:bookmarkEnd w:id="18"/>
      <w:r>
        <w:rPr>
          <w:rFonts w:hint="eastAsia" w:ascii="宋体" w:hAnsi="宋体" w:cs="宋体"/>
          <w:color w:val="auto"/>
          <w:kern w:val="0"/>
          <w:szCs w:val="21"/>
          <w:highlight w:val="none"/>
        </w:rPr>
        <w:t>）、广西壮族自治区政府采购网（</w:t>
      </w:r>
      <w:bookmarkStart w:id="19" w:name="OLE_LINK11"/>
      <w:r>
        <w:rPr>
          <w:rFonts w:hint="eastAsia" w:ascii="宋体" w:hAnsi="宋体" w:cs="宋体"/>
          <w:color w:val="auto"/>
          <w:kern w:val="0"/>
          <w:szCs w:val="21"/>
          <w:highlight w:val="none"/>
        </w:rPr>
        <w:t>http://zfcg.gxzf.gov.cn/</w:t>
      </w:r>
      <w:bookmarkEnd w:id="19"/>
      <w:r>
        <w:rPr>
          <w:rFonts w:hint="eastAsia" w:ascii="宋体" w:hAnsi="宋体" w:cs="宋体"/>
          <w:color w:val="auto"/>
          <w:kern w:val="0"/>
          <w:szCs w:val="21"/>
          <w:highlight w:val="none"/>
        </w:rPr>
        <w:t xml:space="preserve"> ）、贵港市政府采购网（</w:t>
      </w:r>
      <w:bookmarkStart w:id="20" w:name="OLE_LINK32"/>
      <w:r>
        <w:rPr>
          <w:rFonts w:hint="eastAsia" w:ascii="宋体" w:hAnsi="宋体" w:cs="宋体"/>
          <w:color w:val="auto"/>
          <w:kern w:val="0"/>
          <w:szCs w:val="21"/>
          <w:highlight w:val="none"/>
        </w:rPr>
        <w:t>http://zfcg.czj.gxgg.gov.cn</w:t>
      </w:r>
      <w:bookmarkEnd w:id="20"/>
      <w:r>
        <w:rPr>
          <w:rFonts w:hint="eastAsia" w:ascii="宋体" w:hAnsi="宋体" w:cs="宋体"/>
          <w:color w:val="auto"/>
          <w:kern w:val="0"/>
          <w:szCs w:val="21"/>
          <w:highlight w:val="none"/>
        </w:rPr>
        <w:t xml:space="preserve"> ）、全国公共资源交易平台（广西·贵港）（http://ggzy.jgswj.gxzf.gov.cn/ggggzy/）发布。</w:t>
      </w:r>
    </w:p>
    <w:p w14:paraId="364521AB">
      <w:pPr>
        <w:pStyle w:val="131"/>
        <w:ind w:firstLine="420"/>
        <w:rPr>
          <w:color w:val="auto"/>
          <w:sz w:val="21"/>
          <w:szCs w:val="21"/>
          <w:highlight w:val="none"/>
          <w:lang w:val="en-US"/>
        </w:rPr>
      </w:pPr>
      <w:r>
        <w:rPr>
          <w:rFonts w:hint="eastAsia"/>
          <w:color w:val="auto"/>
          <w:sz w:val="21"/>
          <w:szCs w:val="21"/>
          <w:highlight w:val="none"/>
          <w:lang w:val="en-US"/>
        </w:rPr>
        <w:t>4.</w:t>
      </w:r>
      <w:r>
        <w:rPr>
          <w:rFonts w:hint="eastAsia"/>
          <w:color w:val="auto"/>
          <w:sz w:val="21"/>
          <w:szCs w:val="21"/>
          <w:highlight w:val="none"/>
        </w:rPr>
        <w:t>投标人投标注意事项</w:t>
      </w:r>
    </w:p>
    <w:p w14:paraId="594222B6">
      <w:pPr>
        <w:pStyle w:val="131"/>
        <w:ind w:firstLine="420"/>
        <w:rPr>
          <w:color w:val="auto"/>
          <w:sz w:val="21"/>
          <w:szCs w:val="21"/>
          <w:highlight w:val="none"/>
        </w:rPr>
      </w:pPr>
      <w:r>
        <w:rPr>
          <w:rFonts w:hint="eastAsia"/>
          <w:color w:val="auto"/>
          <w:sz w:val="21"/>
          <w:szCs w:val="21"/>
          <w:highlight w:val="none"/>
          <w:lang w:val="en-US"/>
        </w:rPr>
        <w:t>（1）</w:t>
      </w:r>
      <w:r>
        <w:rPr>
          <w:rFonts w:hint="eastAsia"/>
          <w:color w:val="auto"/>
          <w:sz w:val="21"/>
          <w:szCs w:val="21"/>
          <w:highlight w:val="none"/>
        </w:rPr>
        <w:t>本项目为全流程电子化采购项目</w:t>
      </w:r>
      <w:r>
        <w:rPr>
          <w:rFonts w:hint="eastAsia"/>
          <w:color w:val="auto"/>
          <w:sz w:val="21"/>
          <w:szCs w:val="21"/>
          <w:highlight w:val="none"/>
          <w:lang w:val="en-US"/>
        </w:rPr>
        <w:t>，</w:t>
      </w:r>
      <w:r>
        <w:rPr>
          <w:rFonts w:hint="eastAsia"/>
          <w:color w:val="auto"/>
          <w:sz w:val="21"/>
          <w:szCs w:val="21"/>
          <w:highlight w:val="none"/>
        </w:rPr>
        <w:t>通过广西政府采购云平台</w:t>
      </w:r>
      <w:r>
        <w:rPr>
          <w:rFonts w:hint="eastAsia"/>
          <w:color w:val="auto"/>
          <w:sz w:val="21"/>
          <w:szCs w:val="21"/>
          <w:highlight w:val="none"/>
          <w:lang w:val="en-US"/>
        </w:rPr>
        <w:t>（https://www.gcy.zfcg.gxzf.gov.cn/）</w:t>
      </w:r>
      <w:r>
        <w:rPr>
          <w:rFonts w:hint="eastAsia"/>
          <w:color w:val="auto"/>
          <w:sz w:val="21"/>
          <w:szCs w:val="21"/>
          <w:highlight w:val="none"/>
        </w:rPr>
        <w:t>实行在线电子招标</w:t>
      </w:r>
      <w:r>
        <w:rPr>
          <w:rFonts w:hint="eastAsia"/>
          <w:color w:val="auto"/>
          <w:sz w:val="21"/>
          <w:szCs w:val="21"/>
          <w:highlight w:val="none"/>
          <w:lang w:val="en-US"/>
        </w:rPr>
        <w:t>，</w:t>
      </w:r>
      <w:r>
        <w:rPr>
          <w:rFonts w:hint="eastAsia"/>
          <w:color w:val="auto"/>
          <w:sz w:val="21"/>
          <w:szCs w:val="21"/>
          <w:highlight w:val="none"/>
        </w:rPr>
        <w:t>投标人应先安装</w:t>
      </w:r>
      <w:r>
        <w:rPr>
          <w:rFonts w:hint="eastAsia"/>
          <w:color w:val="auto"/>
          <w:sz w:val="21"/>
          <w:szCs w:val="21"/>
          <w:highlight w:val="none"/>
          <w:lang w:val="en-US"/>
        </w:rPr>
        <w:t>“</w:t>
      </w:r>
      <w:r>
        <w:rPr>
          <w:rFonts w:hint="eastAsia"/>
          <w:color w:val="auto"/>
          <w:sz w:val="21"/>
          <w:szCs w:val="21"/>
          <w:highlight w:val="none"/>
        </w:rPr>
        <w:t>广西政府采购云平台电子交易客户端</w:t>
      </w:r>
      <w:r>
        <w:rPr>
          <w:rFonts w:hint="eastAsia"/>
          <w:color w:val="auto"/>
          <w:sz w:val="21"/>
          <w:szCs w:val="21"/>
          <w:highlight w:val="none"/>
          <w:lang w:val="en-US"/>
        </w:rPr>
        <w:t>”（</w:t>
      </w:r>
      <w:r>
        <w:rPr>
          <w:rFonts w:hint="eastAsia"/>
          <w:color w:val="auto"/>
          <w:sz w:val="21"/>
          <w:szCs w:val="21"/>
          <w:highlight w:val="none"/>
        </w:rPr>
        <w:t>请自行前往广西政府采购云平台进行下载</w:t>
      </w:r>
      <w:r>
        <w:rPr>
          <w:rFonts w:hint="eastAsia"/>
          <w:color w:val="auto"/>
          <w:sz w:val="21"/>
          <w:szCs w:val="21"/>
          <w:highlight w:val="none"/>
          <w:lang w:val="en-US"/>
        </w:rPr>
        <w:t>），</w:t>
      </w:r>
      <w:r>
        <w:rPr>
          <w:rFonts w:hint="eastAsia"/>
          <w:color w:val="auto"/>
          <w:sz w:val="21"/>
          <w:szCs w:val="21"/>
          <w:highlight w:val="none"/>
        </w:rPr>
        <w:t>并按照本项目招标文件和广西政府采购云平台的要求编制、加密后在提交响应文件截止时间前通过网络上传至广西政府采购云平台</w:t>
      </w:r>
      <w:r>
        <w:rPr>
          <w:rFonts w:hint="eastAsia"/>
          <w:color w:val="auto"/>
          <w:sz w:val="21"/>
          <w:szCs w:val="21"/>
          <w:highlight w:val="none"/>
          <w:lang w:val="en-US"/>
        </w:rPr>
        <w:t>（</w:t>
      </w:r>
      <w:r>
        <w:rPr>
          <w:rFonts w:hint="eastAsia"/>
          <w:color w:val="auto"/>
          <w:sz w:val="21"/>
          <w:szCs w:val="21"/>
          <w:highlight w:val="none"/>
        </w:rPr>
        <w:t>加密的电子响应文件是指后缀名为</w:t>
      </w:r>
      <w:r>
        <w:rPr>
          <w:rFonts w:hint="eastAsia"/>
          <w:color w:val="auto"/>
          <w:sz w:val="21"/>
          <w:szCs w:val="21"/>
          <w:highlight w:val="none"/>
          <w:lang w:val="en-US"/>
        </w:rPr>
        <w:t>“jmbs”</w:t>
      </w:r>
      <w:r>
        <w:rPr>
          <w:rFonts w:hint="eastAsia"/>
          <w:color w:val="auto"/>
          <w:sz w:val="21"/>
          <w:szCs w:val="21"/>
          <w:highlight w:val="none"/>
        </w:rPr>
        <w:t>的文件</w:t>
      </w:r>
      <w:r>
        <w:rPr>
          <w:rFonts w:hint="eastAsia"/>
          <w:color w:val="auto"/>
          <w:sz w:val="21"/>
          <w:szCs w:val="21"/>
          <w:highlight w:val="none"/>
          <w:lang w:val="en-US"/>
        </w:rPr>
        <w:t>），</w:t>
      </w:r>
      <w:r>
        <w:rPr>
          <w:rFonts w:hint="eastAsia"/>
          <w:color w:val="auto"/>
          <w:sz w:val="21"/>
          <w:szCs w:val="21"/>
          <w:highlight w:val="none"/>
        </w:rPr>
        <w:t>投标人在广西政府采购云平台提交电子响应文件时</w:t>
      </w:r>
      <w:r>
        <w:rPr>
          <w:rFonts w:hint="eastAsia"/>
          <w:color w:val="auto"/>
          <w:sz w:val="21"/>
          <w:szCs w:val="21"/>
          <w:highlight w:val="none"/>
          <w:lang w:val="en-US"/>
        </w:rPr>
        <w:t>，</w:t>
      </w:r>
      <w:r>
        <w:rPr>
          <w:rFonts w:hint="eastAsia"/>
          <w:color w:val="auto"/>
          <w:sz w:val="21"/>
          <w:szCs w:val="21"/>
          <w:highlight w:val="none"/>
        </w:rPr>
        <w:t>请填写参加远程采购活动经办人联系方式。投标人登录广西政府采购云平台，依次进入“服务中心-项目采购-操作流程-电子招投标-政府采购项目电子交易管理操作指南-投标人”查看电子投标具体操作流程。</w:t>
      </w:r>
    </w:p>
    <w:p w14:paraId="00077224">
      <w:pPr>
        <w:pStyle w:val="131"/>
        <w:ind w:firstLine="42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2</w:t>
      </w:r>
      <w:r>
        <w:rPr>
          <w:rFonts w:hint="eastAsia"/>
          <w:color w:val="auto"/>
          <w:sz w:val="21"/>
          <w:szCs w:val="21"/>
          <w:highlight w:val="none"/>
        </w:rPr>
        <w:t>）投标人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DC7675C">
      <w:pPr>
        <w:pStyle w:val="131"/>
        <w:ind w:firstLine="42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电子响应文件递交截止时间后，广西政府采购云平台（电子交易平台）自动提取所有电子响应文件，各投标人须在提交电子响应文件提交截止后30分钟内对上传广西政府采购云平台的电子响应文件进行解密或“异常处理”解密，所有投标人在规定的解密时限内解密完成或解密时限到后，采购代理机构开启电子响应文件；投标人超过解密时限的，系统默认自动放弃。</w:t>
      </w:r>
    </w:p>
    <w:p w14:paraId="46511EAD">
      <w:pPr>
        <w:pStyle w:val="131"/>
        <w:ind w:firstLine="420"/>
        <w:rPr>
          <w:color w:val="auto"/>
          <w:sz w:val="21"/>
          <w:szCs w:val="21"/>
          <w:highlight w:val="none"/>
        </w:rPr>
      </w:pPr>
      <w:r>
        <w:rPr>
          <w:rFonts w:hint="eastAsia"/>
          <w:color w:val="auto"/>
          <w:sz w:val="21"/>
          <w:szCs w:val="21"/>
          <w:highlight w:val="none"/>
          <w:lang w:val="en-US"/>
        </w:rPr>
        <w:t>5</w:t>
      </w:r>
      <w:r>
        <w:rPr>
          <w:rFonts w:hint="eastAsia"/>
          <w:color w:val="auto"/>
          <w:sz w:val="21"/>
          <w:szCs w:val="21"/>
          <w:highlight w:val="none"/>
        </w:rPr>
        <w:t>.监督部门：贵港市覃塘区财政局综合股，</w:t>
      </w:r>
      <w:r>
        <w:rPr>
          <w:rFonts w:hint="eastAsia"/>
          <w:color w:val="auto"/>
          <w:sz w:val="21"/>
          <w:szCs w:val="21"/>
          <w:highlight w:val="none"/>
          <w:lang w:val="en-US"/>
        </w:rPr>
        <w:t xml:space="preserve"> </w:t>
      </w:r>
      <w:r>
        <w:rPr>
          <w:rFonts w:hint="eastAsia"/>
          <w:color w:val="auto"/>
          <w:sz w:val="21"/>
          <w:szCs w:val="21"/>
          <w:highlight w:val="none"/>
        </w:rPr>
        <w:t>联系电话：0775-4721505</w:t>
      </w:r>
    </w:p>
    <w:p w14:paraId="281D9DCC">
      <w:pPr>
        <w:pStyle w:val="132"/>
        <w:ind w:firstLine="420" w:firstLineChars="200"/>
        <w:rPr>
          <w:color w:val="auto"/>
          <w:sz w:val="21"/>
          <w:szCs w:val="21"/>
          <w:highlight w:val="none"/>
        </w:rPr>
      </w:pPr>
      <w:r>
        <w:rPr>
          <w:rFonts w:hint="eastAsia" w:ascii="宋体" w:hAnsi="宋体" w:cs="宋体"/>
          <w:color w:val="auto"/>
          <w:kern w:val="2"/>
          <w:sz w:val="21"/>
          <w:szCs w:val="21"/>
          <w:highlight w:val="none"/>
          <w:lang w:bidi="ar"/>
        </w:rPr>
        <w:t>6、本项目采用远程异地评标方式。</w:t>
      </w:r>
    </w:p>
    <w:p w14:paraId="22EBA84C">
      <w:pPr>
        <w:spacing w:line="360" w:lineRule="exact"/>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七、对本次招标提出询问，请按以下方式联系</w:t>
      </w:r>
    </w:p>
    <w:p w14:paraId="41FF6525">
      <w:pPr>
        <w:spacing w:after="120" w:line="240" w:lineRule="auto"/>
        <w:ind w:firstLine="594" w:firstLineChars="27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1、采购人信息</w:t>
      </w:r>
    </w:p>
    <w:p w14:paraId="133D63FD">
      <w:pPr>
        <w:spacing w:after="120" w:line="240" w:lineRule="auto"/>
        <w:ind w:firstLine="594" w:firstLineChars="270"/>
        <w:jc w:val="left"/>
        <w:rPr>
          <w:rFonts w:asciiTheme="majorEastAsia" w:hAnsiTheme="majorEastAsia" w:eastAsiaTheme="majorEastAsia" w:cstheme="majorEastAsia"/>
          <w:color w:val="auto"/>
          <w:sz w:val="22"/>
          <w:szCs w:val="22"/>
          <w:highlight w:val="none"/>
        </w:rPr>
      </w:pPr>
      <w:bookmarkStart w:id="21" w:name="OLE_LINK7"/>
      <w:r>
        <w:rPr>
          <w:rFonts w:hint="eastAsia" w:asciiTheme="majorEastAsia" w:hAnsiTheme="majorEastAsia" w:eastAsiaTheme="majorEastAsia" w:cstheme="majorEastAsia"/>
          <w:color w:val="auto"/>
          <w:sz w:val="22"/>
          <w:szCs w:val="22"/>
          <w:highlight w:val="none"/>
        </w:rPr>
        <w:t>名称：贵港覃塘工业园区管理委员会</w:t>
      </w:r>
    </w:p>
    <w:p w14:paraId="5DF85B61">
      <w:pPr>
        <w:spacing w:after="120" w:line="240" w:lineRule="auto"/>
        <w:ind w:firstLine="594" w:firstLineChars="270"/>
        <w:jc w:val="left"/>
        <w:rPr>
          <w:color w:val="auto"/>
          <w:szCs w:val="21"/>
          <w:highlight w:val="none"/>
        </w:rPr>
      </w:pPr>
      <w:r>
        <w:rPr>
          <w:rFonts w:hint="eastAsia" w:asciiTheme="majorEastAsia" w:hAnsiTheme="majorEastAsia" w:eastAsiaTheme="majorEastAsia" w:cstheme="majorEastAsia"/>
          <w:color w:val="auto"/>
          <w:sz w:val="22"/>
          <w:szCs w:val="22"/>
          <w:highlight w:val="none"/>
        </w:rPr>
        <w:t>地址：</w:t>
      </w:r>
      <w:r>
        <w:rPr>
          <w:rFonts w:hint="eastAsia"/>
          <w:color w:val="auto"/>
          <w:szCs w:val="21"/>
          <w:highlight w:val="none"/>
        </w:rPr>
        <w:t>贵港市覃塘区</w:t>
      </w:r>
    </w:p>
    <w:p w14:paraId="30C49F09">
      <w:pPr>
        <w:spacing w:after="120" w:line="240" w:lineRule="auto"/>
        <w:ind w:firstLine="594" w:firstLineChars="27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项目联系人：郑杏礼   </w:t>
      </w:r>
    </w:p>
    <w:p w14:paraId="2C8605F8">
      <w:pPr>
        <w:spacing w:after="120" w:line="240" w:lineRule="auto"/>
        <w:ind w:firstLine="594" w:firstLineChars="27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项目联系方式：0775-4656639 </w:t>
      </w:r>
    </w:p>
    <w:bookmarkEnd w:id="21"/>
    <w:p w14:paraId="4D6F2526">
      <w:pPr>
        <w:spacing w:after="120" w:line="240" w:lineRule="auto"/>
        <w:ind w:firstLine="594" w:firstLineChars="27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2、采购代理机构信息</w:t>
      </w:r>
    </w:p>
    <w:p w14:paraId="6F610530">
      <w:pPr>
        <w:spacing w:after="120" w:line="240" w:lineRule="auto"/>
        <w:ind w:firstLine="594" w:firstLineChars="27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名 称：</w:t>
      </w:r>
      <w:r>
        <w:rPr>
          <w:rFonts w:hint="eastAsia" w:asciiTheme="majorEastAsia" w:hAnsiTheme="majorEastAsia" w:eastAsiaTheme="majorEastAsia" w:cstheme="majorEastAsia"/>
          <w:color w:val="auto"/>
          <w:sz w:val="22"/>
          <w:szCs w:val="22"/>
          <w:highlight w:val="none"/>
          <w:lang w:eastAsia="zh-CN"/>
        </w:rPr>
        <w:t>广西众鼎建设工程咨询有限公司</w:t>
      </w:r>
    </w:p>
    <w:p w14:paraId="4031E4B5">
      <w:pPr>
        <w:spacing w:after="120" w:line="240" w:lineRule="auto"/>
        <w:ind w:firstLine="594" w:firstLineChars="27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地　址：</w:t>
      </w:r>
      <w:r>
        <w:rPr>
          <w:rFonts w:hint="eastAsia" w:asciiTheme="majorEastAsia" w:hAnsiTheme="majorEastAsia" w:eastAsiaTheme="majorEastAsia" w:cstheme="majorEastAsia"/>
          <w:color w:val="auto"/>
          <w:sz w:val="22"/>
          <w:szCs w:val="22"/>
          <w:highlight w:val="none"/>
          <w:lang w:eastAsia="zh-CN"/>
        </w:rPr>
        <w:t>贵港市港北区民生路555号（华泰荣御一期）15幢108号</w:t>
      </w:r>
    </w:p>
    <w:p w14:paraId="15BAF8DD">
      <w:pPr>
        <w:pStyle w:val="2"/>
        <w:spacing w:after="120" w:line="240" w:lineRule="auto"/>
        <w:ind w:firstLine="594" w:firstLineChars="27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项目联系人：</w:t>
      </w:r>
      <w:r>
        <w:rPr>
          <w:rFonts w:hint="eastAsia" w:asciiTheme="majorEastAsia" w:hAnsiTheme="majorEastAsia" w:eastAsiaTheme="majorEastAsia" w:cstheme="majorEastAsia"/>
          <w:color w:val="auto"/>
          <w:sz w:val="22"/>
          <w:szCs w:val="22"/>
          <w:highlight w:val="none"/>
          <w:lang w:eastAsia="zh-CN"/>
        </w:rPr>
        <w:t>陈柳华</w:t>
      </w:r>
    </w:p>
    <w:p w14:paraId="06B665D1">
      <w:pPr>
        <w:pStyle w:val="131"/>
        <w:spacing w:after="120" w:line="240" w:lineRule="auto"/>
        <w:ind w:firstLine="420"/>
        <w:rPr>
          <w:rFonts w:hint="eastAsia" w:eastAsia="宋体"/>
          <w:color w:val="auto"/>
          <w:sz w:val="21"/>
          <w:szCs w:val="21"/>
          <w:highlight w:val="none"/>
          <w:lang w:val="en-US" w:eastAsia="zh-CN"/>
        </w:rPr>
      </w:pPr>
      <w:r>
        <w:rPr>
          <w:rFonts w:hint="eastAsia"/>
          <w:color w:val="auto"/>
          <w:sz w:val="21"/>
          <w:szCs w:val="21"/>
          <w:highlight w:val="none"/>
          <w:lang w:val="en-US"/>
        </w:rPr>
        <w:t>项目</w:t>
      </w:r>
      <w:r>
        <w:rPr>
          <w:rFonts w:hint="eastAsia"/>
          <w:color w:val="auto"/>
          <w:sz w:val="21"/>
          <w:szCs w:val="21"/>
          <w:highlight w:val="none"/>
        </w:rPr>
        <w:t>联系方式：</w:t>
      </w:r>
      <w:bookmarkStart w:id="22" w:name="OLE_LINK10"/>
      <w:r>
        <w:rPr>
          <w:rFonts w:hint="eastAsia" w:asciiTheme="majorEastAsia" w:hAnsiTheme="majorEastAsia" w:eastAsiaTheme="majorEastAsia" w:cstheme="majorEastAsia"/>
          <w:color w:val="auto"/>
          <w:sz w:val="22"/>
          <w:szCs w:val="22"/>
          <w:highlight w:val="none"/>
          <w:lang w:val="en-US" w:bidi="ar-SA"/>
        </w:rPr>
        <w:t>0775-</w:t>
      </w:r>
      <w:bookmarkEnd w:id="22"/>
      <w:r>
        <w:rPr>
          <w:rFonts w:hint="eastAsia" w:asciiTheme="majorEastAsia" w:hAnsiTheme="majorEastAsia" w:eastAsiaTheme="majorEastAsia" w:cstheme="majorEastAsia"/>
          <w:color w:val="auto"/>
          <w:sz w:val="22"/>
          <w:szCs w:val="22"/>
          <w:highlight w:val="none"/>
          <w:lang w:val="en-US" w:eastAsia="zh-CN" w:bidi="ar-SA"/>
        </w:rPr>
        <w:t>4364841</w:t>
      </w:r>
    </w:p>
    <w:p w14:paraId="6BA7B1D4">
      <w:pPr>
        <w:spacing w:line="360" w:lineRule="exact"/>
        <w:jc w:val="right"/>
        <w:rPr>
          <w:rFonts w:ascii="宋体" w:hAnsi="宋体" w:cs="宋体"/>
          <w:color w:val="auto"/>
          <w:szCs w:val="21"/>
          <w:highlight w:val="none"/>
          <w:lang w:bidi="zh-CN"/>
        </w:rPr>
      </w:pPr>
      <w:r>
        <w:rPr>
          <w:rFonts w:hint="eastAsia" w:ascii="宋体" w:hAnsi="宋体" w:cs="宋体"/>
          <w:color w:val="auto"/>
          <w:szCs w:val="21"/>
          <w:highlight w:val="none"/>
          <w:lang w:bidi="zh-CN"/>
        </w:rPr>
        <w:t>广西众鼎建设工程咨询有限公司</w:t>
      </w:r>
    </w:p>
    <w:p w14:paraId="66095C62">
      <w:pPr>
        <w:snapToGrid w:val="0"/>
        <w:spacing w:line="360" w:lineRule="exact"/>
        <w:ind w:left="238"/>
        <w:rPr>
          <w:rFonts w:ascii="宋体" w:hAnsi="宋体" w:cs="宋体"/>
          <w:color w:val="auto"/>
          <w:szCs w:val="21"/>
          <w:highlight w:val="none"/>
          <w:lang w:bidi="zh-CN"/>
        </w:rPr>
      </w:pPr>
      <w:r>
        <w:rPr>
          <w:rFonts w:hint="eastAsia" w:ascii="宋体" w:hAnsi="宋体" w:cs="宋体"/>
          <w:color w:val="auto"/>
          <w:szCs w:val="21"/>
          <w:highlight w:val="none"/>
          <w:lang w:bidi="zh-CN"/>
        </w:rPr>
        <w:t xml:space="preserve">                                                            2025年  月  日</w:t>
      </w:r>
    </w:p>
    <w:p w14:paraId="1AE0C11D">
      <w:pPr>
        <w:snapToGrid w:val="0"/>
        <w:spacing w:line="320" w:lineRule="exact"/>
        <w:rPr>
          <w:rFonts w:ascii="仿宋" w:hAnsi="仿宋" w:eastAsia="仿宋"/>
          <w:color w:val="auto"/>
          <w:sz w:val="24"/>
          <w:szCs w:val="20"/>
          <w:highlight w:val="none"/>
        </w:rPr>
      </w:pPr>
      <w:r>
        <w:rPr>
          <w:rFonts w:hint="eastAsia" w:ascii="仿宋" w:hAnsi="仿宋" w:eastAsia="仿宋" w:cs="仿宋"/>
          <w:color w:val="auto"/>
          <w:sz w:val="24"/>
          <w:szCs w:val="20"/>
          <w:highlight w:val="none"/>
        </w:rPr>
        <w:br w:type="page"/>
      </w:r>
    </w:p>
    <w:p w14:paraId="401FFAD2">
      <w:pPr>
        <w:pStyle w:val="3"/>
        <w:jc w:val="center"/>
        <w:rPr>
          <w:rFonts w:asciiTheme="majorEastAsia" w:hAnsiTheme="majorEastAsia" w:eastAsiaTheme="majorEastAsia" w:cstheme="majorEastAsia"/>
          <w:color w:val="auto"/>
          <w:highlight w:val="none"/>
        </w:rPr>
      </w:pPr>
      <w:bookmarkStart w:id="23" w:name="_Toc10608"/>
      <w:r>
        <w:rPr>
          <w:rFonts w:hint="eastAsia" w:asciiTheme="majorEastAsia" w:hAnsiTheme="majorEastAsia" w:eastAsiaTheme="majorEastAsia" w:cstheme="majorEastAsia"/>
          <w:color w:val="auto"/>
          <w:highlight w:val="none"/>
        </w:rPr>
        <w:t>第二章  采购需求</w:t>
      </w:r>
      <w:bookmarkEnd w:id="23"/>
    </w:p>
    <w:p w14:paraId="5A74AE24">
      <w:pPr>
        <w:spacing w:line="360" w:lineRule="auto"/>
        <w:jc w:val="left"/>
        <w:rPr>
          <w:rFonts w:asciiTheme="majorEastAsia" w:hAnsiTheme="majorEastAsia" w:eastAsiaTheme="majorEastAsia" w:cstheme="majorEastAsia"/>
          <w:b/>
          <w:color w:val="auto"/>
          <w:szCs w:val="21"/>
          <w:highlight w:val="none"/>
        </w:rPr>
      </w:pPr>
      <w:bookmarkStart w:id="24" w:name="_Toc254970490"/>
      <w:bookmarkStart w:id="25" w:name="_Toc254970631"/>
      <w:r>
        <w:rPr>
          <w:rFonts w:hint="eastAsia" w:asciiTheme="majorEastAsia" w:hAnsiTheme="majorEastAsia" w:eastAsiaTheme="majorEastAsia" w:cstheme="majorEastAsia"/>
          <w:b/>
          <w:color w:val="auto"/>
          <w:szCs w:val="21"/>
          <w:highlight w:val="none"/>
        </w:rPr>
        <w:t>说明：</w:t>
      </w:r>
    </w:p>
    <w:p w14:paraId="43F905A3">
      <w:pPr>
        <w:spacing w:line="360" w:lineRule="exact"/>
        <w:ind w:left="-10" w:leftChars="-5" w:right="2" w:rightChars="1"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bookmarkStart w:id="26" w:name="OLE_LINK3"/>
      <w:r>
        <w:rPr>
          <w:rFonts w:hint="eastAsia" w:asciiTheme="majorEastAsia" w:hAnsiTheme="majorEastAsia" w:eastAsiaTheme="majorEastAsia" w:cstheme="majorEastAsia"/>
          <w:color w:val="auto"/>
          <w:highlight w:val="none"/>
        </w:rPr>
        <w:t>采购需求中如出现品牌</w:t>
      </w:r>
      <w:bookmarkEnd w:id="26"/>
      <w:r>
        <w:rPr>
          <w:rFonts w:hint="eastAsia" w:asciiTheme="majorEastAsia" w:hAnsiTheme="majorEastAsia" w:eastAsiaTheme="majorEastAsia" w:cstheme="majorEastAsia"/>
          <w:color w:val="auto"/>
          <w:highlight w:val="none"/>
        </w:rPr>
        <w:t>、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21419377">
      <w:pPr>
        <w:spacing w:line="360" w:lineRule="exact"/>
        <w:ind w:left="-10" w:leftChars="-5" w:right="2" w:rightChars="1"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2、凡在“技术要求”中表述为“标配”或“标准配置”的设备，投标人应在投标设备性能配置清单中将其标配参数详细列明。</w:t>
      </w:r>
    </w:p>
    <w:p w14:paraId="1073D07A">
      <w:pPr>
        <w:spacing w:line="360" w:lineRule="exact"/>
        <w:ind w:left="-10" w:leftChars="-5" w:right="2" w:rightChars="1"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inorEastAsia" w:hAnsiTheme="minorEastAsia" w:eastAsiaTheme="minorEastAsia" w:cstheme="minorEastAsia"/>
          <w:color w:val="auto"/>
          <w:kern w:val="0"/>
          <w:szCs w:val="21"/>
          <w:highlight w:val="none"/>
        </w:rPr>
        <w:t>落实政府采购政策需满足的要求：</w:t>
      </w:r>
    </w:p>
    <w:p w14:paraId="7CAEA9B2">
      <w:pPr>
        <w:spacing w:line="360" w:lineRule="exact"/>
        <w:ind w:left="-10" w:leftChars="-5" w:right="2" w:rightChars="1" w:firstLine="420" w:firstLineChars="200"/>
        <w:rPr>
          <w:rFonts w:asciiTheme="majorEastAsia" w:hAnsiTheme="majorEastAsia" w:eastAsiaTheme="majorEastAsia" w:cstheme="majorEastAsia"/>
          <w:color w:val="auto"/>
          <w:szCs w:val="21"/>
          <w:highlight w:val="none"/>
        </w:rPr>
      </w:pPr>
      <w:r>
        <w:rPr>
          <w:rFonts w:hint="eastAsia" w:ascii="宋体" w:hAnsi="宋体" w:cs="宋体"/>
          <w:color w:val="auto"/>
          <w:sz w:val="21"/>
          <w:szCs w:val="21"/>
          <w:highlight w:val="none"/>
        </w:rPr>
        <w:t>（1）本招标文件所称中小企业必须符合《政府采购促进中小企业发展管理办法》（财库〔2020〕46号）的规定。</w:t>
      </w:r>
    </w:p>
    <w:p w14:paraId="0882FF21">
      <w:pPr>
        <w:spacing w:line="360" w:lineRule="exact"/>
        <w:ind w:left="-10" w:leftChars="-5" w:right="2" w:rightChars="1"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（2）根据《财政部 发展改革委 生态环境部 市场监管总局关于调整优化节能产品、环境标志产品政府采购执行机制的通知》（财库〔2019〕9号）和《关于印发节能产品政府采购品目清单的通知》（</w:t>
      </w:r>
      <w:bookmarkStart w:id="27" w:name="OLE_LINK34"/>
      <w:r>
        <w:rPr>
          <w:rFonts w:hint="eastAsia" w:asciiTheme="majorEastAsia" w:hAnsiTheme="majorEastAsia" w:eastAsiaTheme="majorEastAsia" w:cstheme="majorEastAsia"/>
          <w:color w:val="auto"/>
          <w:highlight w:val="none"/>
        </w:rPr>
        <w:t>财库〔2019〕19号</w:t>
      </w:r>
      <w:bookmarkEnd w:id="27"/>
      <w:r>
        <w:rPr>
          <w:rFonts w:hint="eastAsia" w:asciiTheme="majorEastAsia" w:hAnsiTheme="majorEastAsia" w:eastAsiaTheme="majorEastAsia" w:cstheme="majorEastAsia"/>
          <w:color w:val="auto"/>
          <w:highlight w:val="none"/>
        </w:rPr>
        <w:t>）的规定，</w:t>
      </w:r>
      <w:r>
        <w:rPr>
          <w:rFonts w:hint="eastAsia" w:asciiTheme="minorEastAsia" w:hAnsiTheme="minorEastAsia" w:eastAsiaTheme="minorEastAsia" w:cstheme="minorEastAsia"/>
          <w:color w:val="auto"/>
          <w:kern w:val="0"/>
          <w:szCs w:val="21"/>
          <w:highlight w:val="none"/>
        </w:rPr>
        <w:t>台式计算机，便携式计算机、平板式微型计算机，激光打印机，针式打印机，液晶显示器，制冷压缩机（冷水机组、水源热泵机组、溴化锂吸收式冷水机组），空调机组[多联式空调（热泵）机组（制冷量＞14000W），单元式空气调节机（制冷量＞ 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w:t>
      </w:r>
      <w:r>
        <w:rPr>
          <w:rFonts w:hint="eastAsia" w:asciiTheme="majorEastAsia" w:hAnsiTheme="majorEastAsia" w:eastAsiaTheme="majorEastAsia" w:cstheme="majorEastAsia"/>
          <w:color w:val="auto"/>
          <w:highlight w:val="none"/>
        </w:rPr>
        <w:t>（详见本章后附件2的</w:t>
      </w:r>
      <w:bookmarkStart w:id="28" w:name="OLE_LINK24"/>
      <w:r>
        <w:rPr>
          <w:rFonts w:hint="eastAsia" w:asciiTheme="majorEastAsia" w:hAnsiTheme="majorEastAsia" w:eastAsiaTheme="majorEastAsia" w:cstheme="majorEastAsia"/>
          <w:color w:val="auto"/>
          <w:highlight w:val="none"/>
        </w:rPr>
        <w:t>节能产品</w:t>
      </w:r>
      <w:bookmarkEnd w:id="28"/>
      <w:r>
        <w:rPr>
          <w:rFonts w:hint="eastAsia" w:asciiTheme="majorEastAsia" w:hAnsiTheme="majorEastAsia" w:eastAsiaTheme="majorEastAsia" w:cstheme="majorEastAsia"/>
          <w:color w:val="auto"/>
          <w:highlight w:val="none"/>
        </w:rPr>
        <w:t>政府采购品目清单）</w:t>
      </w:r>
      <w:r>
        <w:rPr>
          <w:rFonts w:ascii="宋体" w:hAnsi="宋体" w:cs="宋体"/>
          <w:color w:val="auto"/>
          <w:sz w:val="24"/>
          <w:highlight w:val="none"/>
        </w:rPr>
        <w:t>。</w:t>
      </w:r>
      <w:r>
        <w:rPr>
          <w:rFonts w:hint="eastAsia" w:asciiTheme="majorEastAsia" w:hAnsiTheme="majorEastAsia" w:eastAsiaTheme="majorEastAsia" w:cstheme="majorEastAsia"/>
          <w:color w:val="auto"/>
          <w:highlight w:val="none"/>
        </w:rPr>
        <w:t>采购需求中的产品属于节能产品政府采购品目清单内标注“★”的，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应优先采购。</w:t>
      </w:r>
    </w:p>
    <w:p w14:paraId="063C5225">
      <w:pPr>
        <w:pStyle w:val="3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hint="eastAsia" w:asciiTheme="minorEastAsia" w:hAnsiTheme="minorEastAsia" w:eastAsiaTheme="minorEastAsia" w:cstheme="minorEastAsia"/>
          <w:b/>
          <w:color w:val="auto"/>
          <w:sz w:val="21"/>
          <w:szCs w:val="21"/>
          <w:highlight w:val="none"/>
        </w:rPr>
        <w:t>不在《网络关键设备和网络安全专用产品安全认证和安全检测结果》中或不在有效期内的，按无效投标处理</w:t>
      </w:r>
      <w:r>
        <w:rPr>
          <w:rFonts w:hint="eastAsia" w:asciiTheme="minorEastAsia" w:hAnsiTheme="minorEastAsia" w:eastAsiaTheme="minorEastAsia" w:cstheme="minorEastAsia"/>
          <w:color w:val="auto"/>
          <w:sz w:val="21"/>
          <w:szCs w:val="21"/>
          <w:highlight w:val="none"/>
        </w:rPr>
        <w:t>。如属于《网络关键设备和网络安全专用产品目录》中“二、网络安全专用产品”内“产品类别”中的所描述的产品，但不属于所列“产品描述”情形的，应提供相应的说明及证明材料。</w:t>
      </w:r>
    </w:p>
    <w:p w14:paraId="485CCB9F">
      <w:pPr>
        <w:spacing w:line="360" w:lineRule="exact"/>
        <w:ind w:left="-10" w:leftChars="-5" w:right="2" w:rightChars="1" w:firstLine="42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5、投标人</w:t>
      </w:r>
      <w:r>
        <w:rPr>
          <w:rFonts w:hint="eastAsia" w:ascii="宋体" w:hAnsi="宋体" w:cs="宋体"/>
          <w:color w:val="auto"/>
          <w:sz w:val="22"/>
          <w:szCs w:val="22"/>
          <w:highlight w:val="none"/>
        </w:rPr>
        <w:t>应对投标内容所涉及的专利承担法律责任，并负责保护采购人的利益不受任何损害。一切由于文字、商标、技术和软件专利授权引起的法律裁决、诉讼和赔偿费用均由中标供应商负责。</w:t>
      </w:r>
    </w:p>
    <w:p w14:paraId="4184062A">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6、投标人对所投设备的技术指标应做到真实响应，如发现有虚假应标情形的，除投标无效外，还将报财政监管部门处理。投标人提供假冒伪劣产品的，将依照政府采购法第七十七条第一款的规定追究法律责任。</w:t>
      </w:r>
    </w:p>
    <w:p w14:paraId="4A661BAA">
      <w:pPr>
        <w:spacing w:line="360" w:lineRule="exact"/>
        <w:ind w:left="-10" w:leftChars="-5" w:right="2" w:rightChars="1" w:firstLine="42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7、“</w:t>
      </w:r>
      <w:bookmarkStart w:id="29" w:name="OLE_LINK15"/>
      <w:r>
        <w:rPr>
          <w:rFonts w:hint="eastAsia" w:asciiTheme="majorEastAsia" w:hAnsiTheme="majorEastAsia" w:eastAsiaTheme="majorEastAsia" w:cstheme="majorEastAsia"/>
          <w:b/>
          <w:bCs/>
          <w:color w:val="auto"/>
          <w:highlight w:val="none"/>
        </w:rPr>
        <w:t>实质性要求</w:t>
      </w:r>
      <w:bookmarkEnd w:id="29"/>
      <w:r>
        <w:rPr>
          <w:rFonts w:hint="eastAsia" w:asciiTheme="majorEastAsia" w:hAnsiTheme="majorEastAsia" w:eastAsiaTheme="majorEastAsia" w:cstheme="majorEastAsia"/>
          <w:b/>
          <w:bCs/>
          <w:color w:val="auto"/>
          <w:highlight w:val="none"/>
        </w:rPr>
        <w:t>”是指招标文件中已经指明不满足则投标无效的条款，或者不能负偏离的条款，或者采购需求中带“</w:t>
      </w:r>
      <w:bookmarkStart w:id="30" w:name="OLE_LINK8"/>
      <w:r>
        <w:rPr>
          <w:rFonts w:hint="eastAsia" w:asciiTheme="majorEastAsia" w:hAnsiTheme="majorEastAsia" w:eastAsiaTheme="majorEastAsia" w:cstheme="majorEastAsia"/>
          <w:b/>
          <w:bCs/>
          <w:color w:val="auto"/>
          <w:highlight w:val="none"/>
        </w:rPr>
        <w:t>▲</w:t>
      </w:r>
      <w:bookmarkEnd w:id="30"/>
      <w:r>
        <w:rPr>
          <w:rFonts w:hint="eastAsia" w:asciiTheme="majorEastAsia" w:hAnsiTheme="majorEastAsia" w:eastAsiaTheme="majorEastAsia" w:cstheme="majorEastAsia"/>
          <w:b/>
          <w:bCs/>
          <w:color w:val="auto"/>
          <w:highlight w:val="none"/>
        </w:rPr>
        <w:t>”的条款。</w:t>
      </w:r>
      <w:bookmarkEnd w:id="24"/>
      <w:bookmarkEnd w:id="25"/>
    </w:p>
    <w:p w14:paraId="44EFEBC2">
      <w:pPr>
        <w:spacing w:line="400" w:lineRule="exact"/>
        <w:ind w:firstLine="424" w:firstLineChars="202"/>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pacing w:val="-6"/>
          <w:szCs w:val="21"/>
          <w:highlight w:val="none"/>
        </w:rPr>
        <w:t>本采购需求表中凡标注“</w:t>
      </w:r>
      <w:r>
        <w:rPr>
          <w:rFonts w:hint="eastAsia" w:asciiTheme="majorEastAsia" w:hAnsiTheme="majorEastAsia" w:eastAsiaTheme="majorEastAsia" w:cstheme="majorEastAsia"/>
          <w:b/>
          <w:bCs/>
          <w:color w:val="auto"/>
          <w:highlight w:val="none"/>
        </w:rPr>
        <w:t>▲</w:t>
      </w:r>
      <w:r>
        <w:rPr>
          <w:rFonts w:hint="eastAsia" w:ascii="宋体" w:hAnsi="宋体" w:cs="宋体"/>
          <w:bCs/>
          <w:color w:val="auto"/>
          <w:spacing w:val="-6"/>
          <w:szCs w:val="21"/>
          <w:highlight w:val="none"/>
        </w:rPr>
        <w:t>”的条款或要求不响应或不满足的，投标文件即作无效处理</w:t>
      </w:r>
      <w:r>
        <w:rPr>
          <w:rFonts w:hint="eastAsia" w:ascii="宋体" w:hAnsi="宋体" w:cs="宋体"/>
          <w:bCs/>
          <w:color w:val="auto"/>
          <w:szCs w:val="21"/>
          <w:highlight w:val="none"/>
        </w:rPr>
        <w:t>。</w:t>
      </w:r>
    </w:p>
    <w:p w14:paraId="61483E43">
      <w:pPr>
        <w:spacing w:line="400" w:lineRule="exact"/>
        <w:ind w:firstLine="424" w:firstLineChars="202"/>
        <w:jc w:val="left"/>
        <w:rPr>
          <w:rFonts w:ascii="宋体" w:hAnsi="宋体"/>
          <w:bCs/>
          <w:color w:val="auto"/>
          <w:szCs w:val="21"/>
          <w:highlight w:val="none"/>
          <w:u w:val="single"/>
        </w:rPr>
      </w:pPr>
      <w:r>
        <w:rPr>
          <w:rFonts w:hint="eastAsia" w:ascii="宋体" w:hAnsi="宋体"/>
          <w:bCs/>
          <w:color w:val="auto"/>
          <w:szCs w:val="21"/>
          <w:highlight w:val="none"/>
          <w:u w:val="single"/>
        </w:rPr>
        <w:t>（2）“技术要求”中除已列明“如有请提供”外，其余未标注“</w:t>
      </w:r>
      <w:bookmarkStart w:id="31" w:name="OLE_LINK9"/>
      <w:r>
        <w:rPr>
          <w:rFonts w:hint="eastAsia" w:ascii="宋体" w:hAnsi="宋体"/>
          <w:bCs/>
          <w:color w:val="auto"/>
          <w:szCs w:val="21"/>
          <w:highlight w:val="none"/>
          <w:u w:val="single"/>
        </w:rPr>
        <w:t>▲</w:t>
      </w:r>
      <w:bookmarkEnd w:id="31"/>
      <w:r>
        <w:rPr>
          <w:rFonts w:hint="eastAsia" w:ascii="宋体" w:hAnsi="宋体"/>
          <w:bCs/>
          <w:color w:val="auto"/>
          <w:szCs w:val="21"/>
          <w:highlight w:val="none"/>
          <w:u w:val="single"/>
        </w:rPr>
        <w:t>”的项目条款或技术要求（包括</w:t>
      </w:r>
      <w:bookmarkStart w:id="32" w:name="OLE_LINK37"/>
      <w:r>
        <w:rPr>
          <w:rFonts w:hint="eastAsia" w:ascii="宋体" w:hAnsi="宋体"/>
          <w:bCs/>
          <w:color w:val="auto"/>
          <w:szCs w:val="21"/>
          <w:highlight w:val="none"/>
          <w:u w:val="single"/>
        </w:rPr>
        <w:t>“●”</w:t>
      </w:r>
      <w:bookmarkEnd w:id="32"/>
      <w:r>
        <w:rPr>
          <w:rFonts w:hint="eastAsia" w:ascii="宋体" w:hAnsi="宋体"/>
          <w:bCs/>
          <w:color w:val="auto"/>
          <w:szCs w:val="21"/>
          <w:highlight w:val="none"/>
          <w:u w:val="single"/>
        </w:rPr>
        <w:t>号）有负偏离或未作响应达6项（含）数以上的按投标无效处理。</w:t>
      </w:r>
    </w:p>
    <w:p w14:paraId="184F532A">
      <w:pPr>
        <w:spacing w:line="400" w:lineRule="exact"/>
        <w:ind w:firstLine="424" w:firstLineChars="202"/>
        <w:jc w:val="left"/>
        <w:rPr>
          <w:rFonts w:ascii="宋体" w:hAnsi="宋体"/>
          <w:bCs/>
          <w:color w:val="auto"/>
          <w:szCs w:val="21"/>
          <w:highlight w:val="none"/>
          <w:u w:val="single"/>
        </w:rPr>
      </w:pPr>
      <w:r>
        <w:rPr>
          <w:rFonts w:hint="eastAsia" w:ascii="宋体" w:hAnsi="宋体"/>
          <w:bCs/>
          <w:color w:val="auto"/>
          <w:szCs w:val="21"/>
          <w:highlight w:val="none"/>
          <w:u w:val="single"/>
        </w:rPr>
        <w:t>（3）“技术要求”中标注“</w:t>
      </w:r>
      <w:r>
        <w:rPr>
          <w:rFonts w:hint="eastAsia" w:asciiTheme="majorEastAsia" w:hAnsiTheme="majorEastAsia" w:eastAsiaTheme="majorEastAsia" w:cstheme="majorEastAsia"/>
          <w:b/>
          <w:bCs/>
          <w:color w:val="auto"/>
          <w:highlight w:val="none"/>
          <w:u w:val="single"/>
        </w:rPr>
        <w:t>▲</w:t>
      </w:r>
      <w:r>
        <w:rPr>
          <w:rFonts w:hint="eastAsia" w:ascii="宋体" w:hAnsi="宋体"/>
          <w:bCs/>
          <w:color w:val="auto"/>
          <w:szCs w:val="21"/>
          <w:highlight w:val="none"/>
          <w:u w:val="single"/>
        </w:rPr>
        <w:t>”或““●”号的项目条款或技术要求作为评审依据进行考核，具体见本招标文件第四章评标方法及评标标准。</w:t>
      </w:r>
    </w:p>
    <w:p w14:paraId="4E6EB0ED">
      <w:pPr>
        <w:pStyle w:val="30"/>
        <w:rPr>
          <w:color w:val="auto"/>
          <w:highlight w:val="none"/>
        </w:rPr>
      </w:pPr>
    </w:p>
    <w:p w14:paraId="28B81FE1">
      <w:pPr>
        <w:pStyle w:val="4"/>
        <w:numPr>
          <w:ilvl w:val="0"/>
          <w:numId w:val="2"/>
        </w:numPr>
        <w:spacing w:line="460" w:lineRule="exact"/>
        <w:ind w:firstLine="641"/>
        <w:rPr>
          <w:rFonts w:asciiTheme="majorEastAsia" w:hAnsiTheme="majorEastAsia" w:eastAsiaTheme="majorEastAsia" w:cstheme="majorEastAsia"/>
          <w:color w:val="auto"/>
          <w:highlight w:val="none"/>
        </w:rPr>
      </w:pPr>
      <w:bookmarkStart w:id="33" w:name="_Toc10190"/>
      <w:r>
        <w:rPr>
          <w:rFonts w:hint="eastAsia" w:asciiTheme="majorEastAsia" w:hAnsiTheme="majorEastAsia" w:eastAsiaTheme="majorEastAsia" w:cstheme="majorEastAsia"/>
          <w:color w:val="auto"/>
          <w:highlight w:val="none"/>
        </w:rPr>
        <w:t>项目建设目标</w:t>
      </w:r>
      <w:bookmarkEnd w:id="33"/>
    </w:p>
    <w:p w14:paraId="081C5DB8">
      <w:pPr>
        <w:spacing w:line="400" w:lineRule="exact"/>
        <w:ind w:firstLine="399" w:firstLineChars="202"/>
        <w:jc w:val="left"/>
        <w:rPr>
          <w:rFonts w:ascii="宋体" w:hAnsi="宋体" w:cs="宋体"/>
          <w:bCs/>
          <w:color w:val="auto"/>
          <w:spacing w:val="-6"/>
          <w:szCs w:val="21"/>
          <w:highlight w:val="none"/>
        </w:rPr>
      </w:pPr>
      <w:r>
        <w:rPr>
          <w:rFonts w:hint="eastAsia" w:ascii="宋体" w:hAnsi="宋体" w:cs="宋体"/>
          <w:bCs/>
          <w:color w:val="auto"/>
          <w:spacing w:val="-6"/>
          <w:szCs w:val="21"/>
          <w:highlight w:val="none"/>
        </w:rPr>
        <w:t>根据《财政部 应急部 国家矿山安监局关于印发〈安全生产预防和应急救援能力建设补助资金管理办法〉的通知》（财资环〔2022〕93号）、《广西壮族自治区应急管理厅 广西壮族自治区财政厅 关于加强化工园区重大安全风险防控项目建设管理的通知》（桂应急发〔2024〕70号）、《化工园区安全风险智能化管控平台建设指南（试行）》、《应急管理部 财政部 关于印发〈重点化工产业聚集区重大安全风险防控工作总体方案〉的通知》（应急〔2022〕104号）等文件要求，通过物联网、大数据、云计算、人工智能（AI）、5G等新一代信息技术与化工园区安全风险管控深度融合，建设化工园区安全风险智能化管控平台，配置易燃易爆有毒有害气体泄漏监测管控设备，构建危险化学品安全预防控制体系，对化工园区内生产经营单位、重点场所、重大危险源、基础设施进行实时安全风险监测预警，并与上级监管平台信息共享，实现上下贯通、业务协同、应急联动，强化安全风险管控能力建设，提升本质安全水平，进一步推动落实生产经营单位主体责任和地方监管责任，消除监管盲区漏洞，增强化工产业聚集区安全风险防控能力。运用信息数字等先进技术手段强化安全风险防控能力，推进化工园区安全风险管控信息化、数字化、网络化、智能化。</w:t>
      </w:r>
    </w:p>
    <w:p w14:paraId="136E9E7A">
      <w:pPr>
        <w:pStyle w:val="4"/>
        <w:numPr>
          <w:ilvl w:val="0"/>
          <w:numId w:val="2"/>
        </w:numPr>
        <w:spacing w:line="460" w:lineRule="exact"/>
        <w:ind w:firstLine="641"/>
        <w:rPr>
          <w:rFonts w:asciiTheme="majorEastAsia" w:hAnsiTheme="majorEastAsia" w:eastAsiaTheme="majorEastAsia" w:cstheme="majorEastAsia"/>
          <w:color w:val="auto"/>
          <w:highlight w:val="none"/>
        </w:rPr>
      </w:pPr>
      <w:bookmarkStart w:id="34" w:name="_Toc26388"/>
      <w:r>
        <w:rPr>
          <w:rFonts w:hint="eastAsia" w:asciiTheme="majorEastAsia" w:hAnsiTheme="majorEastAsia" w:eastAsiaTheme="majorEastAsia" w:cstheme="majorEastAsia"/>
          <w:color w:val="auto"/>
          <w:highlight w:val="none"/>
        </w:rPr>
        <w:t>项目建设内容及规模</w:t>
      </w:r>
      <w:bookmarkEnd w:id="34"/>
    </w:p>
    <w:p w14:paraId="054468F9">
      <w:pPr>
        <w:spacing w:line="400" w:lineRule="exact"/>
        <w:ind w:firstLine="399" w:firstLineChars="202"/>
        <w:jc w:val="left"/>
        <w:rPr>
          <w:rFonts w:ascii="宋体" w:hAnsi="宋体" w:cs="宋体"/>
          <w:bCs/>
          <w:color w:val="auto"/>
          <w:spacing w:val="-6"/>
          <w:szCs w:val="21"/>
          <w:highlight w:val="none"/>
        </w:rPr>
      </w:pPr>
      <w:r>
        <w:rPr>
          <w:rFonts w:hint="eastAsia" w:ascii="宋体" w:hAnsi="宋体" w:cs="宋体"/>
          <w:bCs/>
          <w:color w:val="auto"/>
          <w:spacing w:val="-6"/>
          <w:szCs w:val="21"/>
          <w:highlight w:val="none"/>
        </w:rPr>
        <w:t>本项目平台端建设覃塘新材料科技园安全风险智能化管控平台、覃塘新材料科技园企业安全风险智能化管控平台等2个系统，及平台配套基础设施，平台的用户涵盖了贵港覃塘工业园区管理委员会负责监管的新材料科技园内的52家企业；前端检测部分布设易燃易爆有害气体泄漏监测管控设备，建设内容包括易燃易爆有毒有害其他泄漏监测管控设备、公用工程安全风险感知设备、区域安全风险隔离管控设备三部分；构建一套危险化学品安全预防控制体系。平台需全面满足</w:t>
      </w:r>
      <w:bookmarkStart w:id="35" w:name="OLE_LINK17"/>
      <w:r>
        <w:rPr>
          <w:rFonts w:hint="eastAsia" w:ascii="宋体" w:hAnsi="宋体" w:cs="宋体"/>
          <w:bCs/>
          <w:color w:val="auto"/>
          <w:spacing w:val="-6"/>
          <w:szCs w:val="21"/>
          <w:highlight w:val="none"/>
        </w:rPr>
        <w:t>等保2.0</w:t>
      </w:r>
      <w:bookmarkEnd w:id="35"/>
      <w:bookmarkStart w:id="36" w:name="OLE_LINK16"/>
      <w:r>
        <w:rPr>
          <w:rFonts w:hint="eastAsia" w:ascii="宋体" w:hAnsi="宋体" w:cs="宋体"/>
          <w:bCs/>
          <w:color w:val="auto"/>
          <w:spacing w:val="-6"/>
          <w:szCs w:val="21"/>
          <w:highlight w:val="none"/>
        </w:rPr>
        <w:t>第三级</w:t>
      </w:r>
      <w:bookmarkEnd w:id="36"/>
      <w:r>
        <w:rPr>
          <w:rFonts w:hint="eastAsia" w:ascii="宋体" w:hAnsi="宋体" w:cs="宋体"/>
          <w:bCs/>
          <w:color w:val="auto"/>
          <w:spacing w:val="-6"/>
          <w:szCs w:val="21"/>
          <w:highlight w:val="none"/>
        </w:rPr>
        <w:t>安全防护要求，并通过测评认证。</w:t>
      </w:r>
    </w:p>
    <w:p w14:paraId="6E161F07">
      <w:pPr>
        <w:pStyle w:val="30"/>
        <w:numPr>
          <w:ilvl w:val="0"/>
          <w:numId w:val="2"/>
        </w:numPr>
        <w:ind w:firstLine="641"/>
        <w:rPr>
          <w:rFonts w:asciiTheme="majorEastAsia" w:hAnsiTheme="majorEastAsia" w:eastAsiaTheme="majorEastAsia" w:cstheme="majorEastAsia"/>
          <w:b/>
          <w:bCs/>
          <w:color w:val="auto"/>
          <w:szCs w:val="32"/>
          <w:highlight w:val="none"/>
        </w:rPr>
      </w:pPr>
      <w:r>
        <w:rPr>
          <w:rFonts w:hint="eastAsia" w:asciiTheme="majorEastAsia" w:hAnsiTheme="majorEastAsia" w:eastAsiaTheme="majorEastAsia" w:cstheme="majorEastAsia"/>
          <w:b/>
          <w:bCs/>
          <w:color w:val="auto"/>
          <w:szCs w:val="32"/>
          <w:highlight w:val="none"/>
        </w:rPr>
        <w:t>项目地址</w:t>
      </w:r>
    </w:p>
    <w:p w14:paraId="389FC6D3">
      <w:pPr>
        <w:pStyle w:val="30"/>
        <w:ind w:left="641" w:firstLine="0"/>
        <w:rPr>
          <w:rFonts w:ascii="宋体" w:hAnsi="宋体" w:cs="宋体"/>
          <w:bCs/>
          <w:color w:val="auto"/>
          <w:spacing w:val="-6"/>
          <w:kern w:val="2"/>
          <w:sz w:val="21"/>
          <w:szCs w:val="21"/>
          <w:highlight w:val="none"/>
        </w:rPr>
      </w:pPr>
      <w:r>
        <w:rPr>
          <w:rFonts w:hint="eastAsia" w:ascii="宋体" w:hAnsi="宋体" w:cs="宋体"/>
          <w:bCs/>
          <w:color w:val="auto"/>
          <w:spacing w:val="-6"/>
          <w:kern w:val="2"/>
          <w:sz w:val="21"/>
          <w:szCs w:val="21"/>
          <w:highlight w:val="none"/>
        </w:rPr>
        <w:t>贵港覃塘产业园区新材料科技园内</w:t>
      </w:r>
    </w:p>
    <w:p w14:paraId="69FFF532">
      <w:pPr>
        <w:pStyle w:val="30"/>
        <w:ind w:left="641" w:firstLine="0"/>
        <w:rPr>
          <w:color w:val="auto"/>
          <w:highlight w:val="none"/>
        </w:rPr>
      </w:pPr>
      <w:r>
        <w:rPr>
          <w:rFonts w:hint="eastAsia" w:asciiTheme="majorEastAsia" w:hAnsiTheme="majorEastAsia" w:eastAsiaTheme="majorEastAsia" w:cstheme="majorEastAsia"/>
          <w:b/>
          <w:bCs/>
          <w:color w:val="auto"/>
          <w:szCs w:val="32"/>
          <w:highlight w:val="none"/>
        </w:rPr>
        <w:t>四、项目需求表</w:t>
      </w:r>
    </w:p>
    <w:p w14:paraId="45B28C99">
      <w:pPr>
        <w:pStyle w:val="4"/>
        <w:spacing w:line="460" w:lineRule="exact"/>
        <w:rPr>
          <w:rFonts w:asciiTheme="majorEastAsia" w:hAnsiTheme="majorEastAsia" w:eastAsiaTheme="majorEastAsia" w:cstheme="majorEastAsia"/>
          <w:color w:val="auto"/>
          <w:highlight w:val="none"/>
        </w:rPr>
      </w:pPr>
      <w:bookmarkStart w:id="37" w:name="_Toc29966"/>
      <w:bookmarkStart w:id="38" w:name="OLE_LINK40"/>
      <w:r>
        <w:rPr>
          <w:rFonts w:hint="eastAsia" w:ascii="宋体" w:hAnsi="宋体" w:eastAsia="宋体" w:cs="宋体"/>
          <w:color w:val="auto"/>
          <w:sz w:val="28"/>
          <w:szCs w:val="28"/>
          <w:highlight w:val="none"/>
          <w:lang w:bidi="zh-CN"/>
        </w:rPr>
        <w:t>标项一：</w:t>
      </w:r>
      <w:r>
        <w:rPr>
          <w:rFonts w:hint="eastAsia" w:ascii="宋体" w:hAnsi="宋体" w:eastAsia="宋体" w:cs="宋体"/>
          <w:color w:val="auto"/>
          <w:sz w:val="28"/>
          <w:szCs w:val="28"/>
          <w:highlight w:val="none"/>
          <w:lang w:val="zh-CN" w:bidi="zh-CN"/>
        </w:rPr>
        <w:t>贵港覃塘产业园区新材料科技园重大安全风险防控项目(覃塘化工园区安全风险智能化管控平台)-分标1</w:t>
      </w:r>
      <w:bookmarkEnd w:id="37"/>
    </w:p>
    <w:bookmarkEnd w:id="38"/>
    <w:p w14:paraId="5F2FD4FC">
      <w:pPr>
        <w:spacing w:line="360" w:lineRule="auto"/>
        <w:jc w:val="left"/>
        <w:rPr>
          <w:rFonts w:ascii="宋体" w:hAnsi="宋体" w:cs="宋体"/>
          <w:color w:val="auto"/>
          <w:szCs w:val="21"/>
          <w:highlight w:val="none"/>
          <w:u w:val="single"/>
        </w:rPr>
      </w:pPr>
      <w:bookmarkStart w:id="39" w:name="_Toc10290"/>
      <w:r>
        <w:rPr>
          <w:rFonts w:hint="eastAsia" w:ascii="宋体" w:hAnsi="宋体" w:cs="宋体"/>
          <w:b/>
          <w:bCs/>
          <w:color w:val="auto"/>
          <w:szCs w:val="21"/>
          <w:highlight w:val="none"/>
        </w:rPr>
        <w:t>注：</w:t>
      </w:r>
      <w:r>
        <w:rPr>
          <w:rFonts w:hint="eastAsia" w:ascii="宋体" w:hAnsi="宋体" w:cs="宋体"/>
          <w:color w:val="auto"/>
          <w:szCs w:val="21"/>
          <w:highlight w:val="none"/>
        </w:rPr>
        <w:t>1、本标项中小企业划分标准所属行业名称（行业名称及划分见本章附件1）：</w:t>
      </w:r>
      <w:r>
        <w:rPr>
          <w:rFonts w:hint="eastAsia" w:ascii="宋体" w:hAnsi="宋体" w:cs="宋体"/>
          <w:color w:val="auto"/>
          <w:szCs w:val="21"/>
          <w:highlight w:val="none"/>
          <w:u w:val="single"/>
        </w:rPr>
        <w:t xml:space="preserve"> 工业 。</w:t>
      </w:r>
    </w:p>
    <w:p w14:paraId="7A0E9B9B">
      <w:pPr>
        <w:numPr>
          <w:ilvl w:val="0"/>
          <w:numId w:val="3"/>
        </w:numPr>
        <w:tabs>
          <w:tab w:val="left" w:pos="180"/>
          <w:tab w:val="left" w:pos="162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本标项为非单一产品采购项目，</w:t>
      </w:r>
      <w:r>
        <w:rPr>
          <w:rFonts w:hint="eastAsia" w:asciiTheme="majorEastAsia" w:hAnsiTheme="majorEastAsia" w:eastAsiaTheme="majorEastAsia" w:cstheme="majorEastAsia"/>
          <w:color w:val="auto"/>
          <w:kern w:val="0"/>
          <w:szCs w:val="21"/>
          <w:highlight w:val="none"/>
        </w:rPr>
        <w:t>分标1</w:t>
      </w:r>
      <w:r>
        <w:rPr>
          <w:rFonts w:hint="eastAsia" w:ascii="宋体" w:hAnsi="宋体" w:cs="宋体"/>
          <w:color w:val="auto"/>
          <w:kern w:val="0"/>
          <w:szCs w:val="21"/>
          <w:highlight w:val="none"/>
        </w:rPr>
        <w:t>的核心产品为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bidi="ar"/>
        </w:rPr>
        <w:t xml:space="preserve">LED显示屏 </w:t>
      </w:r>
      <w:r>
        <w:rPr>
          <w:rFonts w:hint="eastAsia" w:ascii="宋体" w:hAnsi="宋体" w:cs="宋体"/>
          <w:color w:val="auto"/>
          <w:kern w:val="0"/>
          <w:szCs w:val="21"/>
          <w:highlight w:val="none"/>
        </w:rPr>
        <w:t>。核心产品提供相同品牌产品且通过资格审查、符合性审查的不同投标人参加同一合同项下投标的，按一家投标人计算，评审后得分最高的同品牌投标人获得中标人推荐资格；评审得分相同的，按照</w:t>
      </w:r>
      <w:r>
        <w:rPr>
          <w:rFonts w:hint="eastAsia" w:ascii="宋体" w:hAnsi="宋体" w:cs="宋体"/>
          <w:color w:val="auto"/>
          <w:szCs w:val="21"/>
          <w:highlight w:val="none"/>
          <w:u w:val="single"/>
        </w:rPr>
        <w:t>提供货物品牌、技术参数、售后服务的</w:t>
      </w:r>
      <w:r>
        <w:rPr>
          <w:rFonts w:hint="eastAsia" w:ascii="宋体" w:hAnsi="宋体" w:cs="宋体"/>
          <w:color w:val="auto"/>
          <w:kern w:val="0"/>
          <w:szCs w:val="21"/>
          <w:highlight w:val="none"/>
        </w:rPr>
        <w:t>优劣方式确定一个投标人获得中标人推荐资格。</w:t>
      </w:r>
    </w:p>
    <w:p w14:paraId="6581B0E3">
      <w:pPr>
        <w:spacing w:after="0" w:line="400" w:lineRule="exact"/>
        <w:ind w:firstLine="420" w:firstLineChars="200"/>
        <w:rPr>
          <w:rFonts w:asciiTheme="majorEastAsia" w:hAnsiTheme="majorEastAsia" w:eastAsiaTheme="majorEastAsia" w:cstheme="majorEastAsia"/>
          <w:iCs/>
          <w:color w:val="auto"/>
          <w:szCs w:val="21"/>
          <w:highlight w:val="none"/>
        </w:rPr>
      </w:pPr>
      <w:bookmarkStart w:id="40" w:name="OLE_LINK56"/>
      <w:r>
        <w:rPr>
          <w:rFonts w:hint="eastAsia" w:asciiTheme="majorEastAsia" w:hAnsiTheme="majorEastAsia" w:eastAsiaTheme="majorEastAsia" w:cstheme="majorEastAsia"/>
          <w:iCs/>
          <w:color w:val="auto"/>
          <w:szCs w:val="21"/>
          <w:highlight w:val="none"/>
        </w:rPr>
        <w:t>覃塘化工园区安全风险智能化管控平台建设需求</w:t>
      </w:r>
      <w:bookmarkEnd w:id="40"/>
      <w:r>
        <w:rPr>
          <w:rFonts w:hint="eastAsia" w:asciiTheme="majorEastAsia" w:hAnsiTheme="majorEastAsia" w:eastAsiaTheme="majorEastAsia" w:cstheme="majorEastAsia"/>
          <w:iCs/>
          <w:color w:val="auto"/>
          <w:szCs w:val="21"/>
          <w:highlight w:val="none"/>
        </w:rPr>
        <w:t>主要包括以下：</w:t>
      </w:r>
    </w:p>
    <w:p w14:paraId="7AFBDA30">
      <w:pPr>
        <w:numPr>
          <w:ilvl w:val="0"/>
          <w:numId w:val="4"/>
        </w:numPr>
        <w:spacing w:after="0" w:line="400" w:lineRule="exact"/>
        <w:ind w:left="0"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覃塘化工园区安全风险智能化管控平台（园区端）建设需求</w:t>
      </w:r>
    </w:p>
    <w:p w14:paraId="4ACA5327">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按照《广西壮族自治区应急管理厅 广西壮族自治区财政厅 关于加强化工园区重大安全风险防控项目建设管理的通知》（桂应急发〔2024〕70号）和《化工园区安全风险智能化管控平台建设指南（试行）》要求及贵港覃塘产业园区新材料科技园现状情况，建设贵港覃塘产业园区新材料科技园重大安全风险防控项目平台园区端应以融合应用为出发点，以新技术、新装备应用为手段，以保障化工园区高质量可持续发展为建设目标，通过应用新技术、新装备解决安全风险管控难题，全面提升园区重大安全风险管控能力，实现智能化安全监管和应急管理。</w:t>
      </w:r>
    </w:p>
    <w:p w14:paraId="3C36C16E">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平台园区端具体建设功能需求主要包括安全基础管理、重大危险源安全管理、双重预防机制、特殊作业管理、封闭化管理、敏捷应急、公共服务、系统设置等功能模块。</w:t>
      </w:r>
    </w:p>
    <w:p w14:paraId="316B59C7">
      <w:pPr>
        <w:numPr>
          <w:ilvl w:val="0"/>
          <w:numId w:val="4"/>
        </w:numPr>
        <w:spacing w:after="0" w:line="400" w:lineRule="exact"/>
        <w:ind w:left="0"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覃塘化工园区企业安全风险智能化管控平台（企业端）建设需求</w:t>
      </w:r>
    </w:p>
    <w:p w14:paraId="20E13EC8">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平台企业端以双重预防工作机制为基础，以物联网传感、移动互联网、视频智能分析等为技术手段，以监测异常、分级预警、分级处理为管控手段，监测监控企业重大危险源和重大风险区域的安全，依托人员定位和智能巡检功能摸清外来承包商和第三方人员底数和实时轨迹，保障对易出事故人群的有效监管；结合特殊作业全流程审批功能保障高危特殊作业被有效监管，坚决杜绝非法、违法作业情况的发生，实现现场及运行管理中动态风险早发现、早预警、早处理、早预防，实现技防协助人防的智能化转变，全面提升企业风险防控的能力。</w:t>
      </w:r>
    </w:p>
    <w:p w14:paraId="6ECB3562">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平台企业端具体建设需求主要包括企业端内容主要包括安全基础管理、一企一册、重大危险源安全管理、双重预防机制、特殊作业管理、人员定位应急管理、第三方单位管理、系统设置、安全培训考试、双重预防信息平台APP、特殊作业许可证APP、安全培训考试APP等功能模块。</w:t>
      </w:r>
    </w:p>
    <w:p w14:paraId="4BA1520C">
      <w:pPr>
        <w:numPr>
          <w:ilvl w:val="0"/>
          <w:numId w:val="4"/>
        </w:numPr>
        <w:spacing w:after="0" w:line="400" w:lineRule="exact"/>
        <w:ind w:left="0"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基础设施建设需求</w:t>
      </w:r>
    </w:p>
    <w:p w14:paraId="6F6C37E4">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按照《广西壮族自治区应急管理厅 广西壮族自治区财政厅 关于加强化工园区重大安全风险防控项目建设管理的通知》（桂应急发〔2024〕70 号）和《化工园区安全风险智能化管控平台建设指南（试行）》要求及贵港覃塘产业园区新材料科技园现状情况，本项目基础设施需求包括显示调度系统、视频会议系统、音频扩声系统、值班值守坐席系统、UPS电力系统、园区网络系统、GIS地理信息平台、视频监控及智能分析平台、融合通信系统、园区基础资源平台、综合运维系统、园区可视化系统、AR实景平台、视频无人巡检设备、数据对接、平台信息安全系统、消防工作站平台、园区电费、密码应用设备等。</w:t>
      </w:r>
    </w:p>
    <w:p w14:paraId="74AD4264">
      <w:pPr>
        <w:pStyle w:val="30"/>
        <w:spacing w:before="240" w:beforeLines="100" w:after="0" w:line="279" w:lineRule="auto"/>
        <w:ind w:firstLine="0"/>
        <w:jc w:val="center"/>
        <w:rPr>
          <w:rFonts w:eastAsiaTheme="majorEastAsia"/>
          <w:color w:val="auto"/>
          <w:highlight w:val="none"/>
        </w:rPr>
      </w:pPr>
      <w:r>
        <w:rPr>
          <w:rFonts w:hint="eastAsia" w:asciiTheme="majorEastAsia" w:hAnsiTheme="majorEastAsia" w:eastAsiaTheme="majorEastAsia" w:cstheme="majorEastAsia"/>
          <w:iCs/>
          <w:color w:val="auto"/>
          <w:sz w:val="21"/>
          <w:szCs w:val="21"/>
          <w:highlight w:val="none"/>
        </w:rPr>
        <w:t>覃塘化工园区安全风险智能化管控平台建设需求一览表</w:t>
      </w:r>
    </w:p>
    <w:tbl>
      <w:tblPr>
        <w:tblStyle w:val="50"/>
        <w:tblW w:w="9439" w:type="dxa"/>
        <w:tblInd w:w="0" w:type="dxa"/>
        <w:tblLayout w:type="fixed"/>
        <w:tblCellMar>
          <w:top w:w="0" w:type="dxa"/>
          <w:left w:w="108" w:type="dxa"/>
          <w:bottom w:w="0" w:type="dxa"/>
          <w:right w:w="108" w:type="dxa"/>
        </w:tblCellMar>
      </w:tblPr>
      <w:tblGrid>
        <w:gridCol w:w="814"/>
        <w:gridCol w:w="1035"/>
        <w:gridCol w:w="6176"/>
        <w:gridCol w:w="754"/>
        <w:gridCol w:w="660"/>
      </w:tblGrid>
      <w:tr w14:paraId="0C3C5298">
        <w:tblPrEx>
          <w:tblCellMar>
            <w:top w:w="0" w:type="dxa"/>
            <w:left w:w="108" w:type="dxa"/>
            <w:bottom w:w="0" w:type="dxa"/>
            <w:right w:w="108" w:type="dxa"/>
          </w:tblCellMar>
        </w:tblPrEx>
        <w:trPr>
          <w:trHeight w:val="9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E2FBA92">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序号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1235A28B">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 xml:space="preserve">设备名称 </w:t>
            </w:r>
          </w:p>
        </w:tc>
        <w:tc>
          <w:tcPr>
            <w:tcW w:w="6176" w:type="dxa"/>
            <w:tcBorders>
              <w:top w:val="single" w:color="000000" w:sz="4" w:space="0"/>
              <w:left w:val="single" w:color="000000" w:sz="4" w:space="0"/>
              <w:bottom w:val="single" w:color="000000" w:sz="4" w:space="0"/>
              <w:right w:val="nil"/>
            </w:tcBorders>
            <w:vAlign w:val="center"/>
          </w:tcPr>
          <w:p w14:paraId="0CE147B6">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设备性能参数</w:t>
            </w:r>
          </w:p>
        </w:tc>
        <w:tc>
          <w:tcPr>
            <w:tcW w:w="754" w:type="dxa"/>
            <w:tcBorders>
              <w:top w:val="single" w:color="000000" w:sz="4" w:space="0"/>
              <w:left w:val="single" w:color="000000" w:sz="4" w:space="0"/>
              <w:bottom w:val="single" w:color="000000" w:sz="4" w:space="0"/>
              <w:right w:val="single" w:color="000000" w:sz="4" w:space="0"/>
            </w:tcBorders>
            <w:vAlign w:val="center"/>
          </w:tcPr>
          <w:p w14:paraId="4E10F649">
            <w:pPr>
              <w:widowControl/>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 xml:space="preserve">数量 </w:t>
            </w:r>
          </w:p>
        </w:tc>
        <w:tc>
          <w:tcPr>
            <w:tcW w:w="660" w:type="dxa"/>
            <w:tcBorders>
              <w:top w:val="single" w:color="000000" w:sz="4" w:space="0"/>
              <w:left w:val="single" w:color="000000" w:sz="4" w:space="0"/>
              <w:bottom w:val="single" w:color="000000" w:sz="4" w:space="0"/>
              <w:right w:val="single" w:color="000000" w:sz="4" w:space="0"/>
            </w:tcBorders>
            <w:vAlign w:val="center"/>
          </w:tcPr>
          <w:p w14:paraId="7A2A5596">
            <w:pPr>
              <w:widowControl/>
              <w:spacing w:line="240"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单位</w:t>
            </w:r>
          </w:p>
        </w:tc>
      </w:tr>
      <w:tr w14:paraId="577B765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8B64D0E">
            <w:pPr>
              <w:widowControl/>
              <w:spacing w:after="0" w:line="279" w:lineRule="auto"/>
              <w:jc w:val="center"/>
              <w:rPr>
                <w:rFonts w:ascii="宋体" w:hAnsi="宋体" w:cs="宋体"/>
                <w:b/>
                <w:bCs/>
                <w:color w:val="auto"/>
                <w:szCs w:val="22"/>
                <w:highlight w:val="none"/>
              </w:rPr>
            </w:pPr>
          </w:p>
        </w:tc>
        <w:tc>
          <w:tcPr>
            <w:tcW w:w="7211" w:type="dxa"/>
            <w:gridSpan w:val="2"/>
            <w:tcBorders>
              <w:top w:val="single" w:color="000000" w:sz="4" w:space="0"/>
              <w:left w:val="single" w:color="000000" w:sz="4" w:space="0"/>
              <w:bottom w:val="single" w:color="000000" w:sz="4" w:space="0"/>
              <w:right w:val="single" w:color="000000" w:sz="4" w:space="0"/>
            </w:tcBorders>
            <w:vAlign w:val="center"/>
          </w:tcPr>
          <w:p w14:paraId="3DC06610">
            <w:pPr>
              <w:widowControl/>
              <w:spacing w:after="0" w:line="279" w:lineRule="auto"/>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覃塘化工园区安全风险智能化管控平台</w:t>
            </w:r>
          </w:p>
        </w:tc>
        <w:tc>
          <w:tcPr>
            <w:tcW w:w="754" w:type="dxa"/>
            <w:tcBorders>
              <w:top w:val="single" w:color="000000" w:sz="4" w:space="0"/>
              <w:left w:val="single" w:color="000000" w:sz="4" w:space="0"/>
              <w:bottom w:val="single" w:color="000000" w:sz="4" w:space="0"/>
              <w:right w:val="single" w:color="000000" w:sz="4" w:space="0"/>
            </w:tcBorders>
            <w:vAlign w:val="center"/>
          </w:tcPr>
          <w:p w14:paraId="4C8A2230">
            <w:pPr>
              <w:rPr>
                <w:rFonts w:ascii="宋体" w:hAnsi="宋体" w:cs="宋体"/>
                <w:b/>
                <w:bCs/>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A9F8153">
            <w:pPr>
              <w:jc w:val="center"/>
              <w:rPr>
                <w:rFonts w:ascii="宋体" w:hAnsi="宋体" w:cs="宋体"/>
                <w:b/>
                <w:bCs/>
                <w:color w:val="auto"/>
                <w:szCs w:val="22"/>
                <w:highlight w:val="none"/>
              </w:rPr>
            </w:pPr>
          </w:p>
        </w:tc>
      </w:tr>
      <w:tr w14:paraId="6973C2C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4BE9F9F">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1</w:t>
            </w:r>
          </w:p>
        </w:tc>
        <w:tc>
          <w:tcPr>
            <w:tcW w:w="1035" w:type="dxa"/>
            <w:tcBorders>
              <w:top w:val="single" w:color="000000" w:sz="4" w:space="0"/>
              <w:left w:val="single" w:color="000000" w:sz="4" w:space="0"/>
              <w:bottom w:val="single" w:color="000000" w:sz="4" w:space="0"/>
              <w:right w:val="single" w:color="000000" w:sz="4" w:space="0"/>
            </w:tcBorders>
            <w:vAlign w:val="center"/>
          </w:tcPr>
          <w:p w14:paraId="5369E035">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覃塘化工园区安全风险智能化管控平台（园区端）</w:t>
            </w:r>
          </w:p>
        </w:tc>
        <w:tc>
          <w:tcPr>
            <w:tcW w:w="6176" w:type="dxa"/>
            <w:tcBorders>
              <w:top w:val="single" w:color="000000" w:sz="4" w:space="0"/>
              <w:left w:val="single" w:color="000000" w:sz="4" w:space="0"/>
              <w:bottom w:val="single" w:color="000000" w:sz="4" w:space="0"/>
              <w:right w:val="nil"/>
            </w:tcBorders>
            <w:vAlign w:val="center"/>
          </w:tcPr>
          <w:p w14:paraId="3A721FE7">
            <w:pPr>
              <w:widowControl/>
              <w:spacing w:after="0" w:line="279" w:lineRule="auto"/>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园区端建设内容主要包括安全基础管理、重大危险源安全管理、双重预防机制、特殊作业管理、封闭化管理、敏捷应急、系统设置等功能模块。</w:t>
            </w:r>
          </w:p>
        </w:tc>
        <w:tc>
          <w:tcPr>
            <w:tcW w:w="754" w:type="dxa"/>
            <w:tcBorders>
              <w:top w:val="single" w:color="000000" w:sz="4" w:space="0"/>
              <w:left w:val="single" w:color="000000" w:sz="4" w:space="0"/>
              <w:bottom w:val="single" w:color="000000" w:sz="4" w:space="0"/>
              <w:right w:val="single" w:color="000000" w:sz="4" w:space="0"/>
            </w:tcBorders>
            <w:vAlign w:val="center"/>
          </w:tcPr>
          <w:p w14:paraId="60E995BE">
            <w:pPr>
              <w:rPr>
                <w:rFonts w:ascii="宋体" w:hAnsi="宋体" w:cs="宋体"/>
                <w:b/>
                <w:bCs/>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8DF144B">
            <w:pPr>
              <w:jc w:val="center"/>
              <w:rPr>
                <w:rFonts w:ascii="宋体" w:hAnsi="宋体" w:cs="宋体"/>
                <w:b/>
                <w:bCs/>
                <w:color w:val="auto"/>
                <w:szCs w:val="22"/>
                <w:highlight w:val="none"/>
              </w:rPr>
            </w:pPr>
          </w:p>
        </w:tc>
      </w:tr>
      <w:tr w14:paraId="67ED59B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C35F87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1.1</w:t>
            </w:r>
          </w:p>
        </w:tc>
        <w:tc>
          <w:tcPr>
            <w:tcW w:w="1035" w:type="dxa"/>
            <w:tcBorders>
              <w:top w:val="single" w:color="000000" w:sz="4" w:space="0"/>
              <w:left w:val="single" w:color="000000" w:sz="4" w:space="0"/>
              <w:bottom w:val="single" w:color="000000" w:sz="4" w:space="0"/>
              <w:right w:val="single" w:color="000000" w:sz="4" w:space="0"/>
            </w:tcBorders>
            <w:vAlign w:val="center"/>
          </w:tcPr>
          <w:p w14:paraId="6186ED7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安全基础管理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10E9F51B">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（1）包含通知公告、常用功能、企业数量、重大危险源数、危化工艺数量、危险化学品种类、待办事项、企业情况、安全生产许可证统计、装置开停车和大检修备案、执法情况统计、第三方单位情况等信息；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2、园区管理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（1）一园一册：系统性收集与统计园区全方位信息，包含地理区位、面积规模等基础数据，梳理产业规划、入驻企业概况，整合交通、水电等基础设施情况，同时汇总政策扶持举措及过往发展成果；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结构设置：支持对园区内部管理体系搭建；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发展规划：支持全面收录园区规划发展相关文件，涵盖战略规划、产业布局规划、基础设施建设规划等；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区域划分：支持区域划分工作围绕园区功能布局展开，将园区科学划分为生产制造区、仓储物流区、研发创新区、综合服务区等；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产业结构：现实园区产业细致划分为主导产业、辅助产业、新兴产业等类别。明确各产业边界，界定产业涵盖的企业类型与业务范畴；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园区项目：支持系统性录入与描述园区内各类项目；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安全管理体系：支持系统上传安全制度、应急预案、风险评估等全套体系资料，通过精细分类、智能索引，构建高效检索机制，助力园区管理者、员工及相关人员能在第一时间精准定位所需内容，快速掌握安全管理体系全貌，强化园区安全管控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（2）禁限控目录：系统支持录入化工行业禁限控目录相关的指南、办法、标准等资料，依类别精细分类，构建便捷检索路径；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（3）危险化学品信息：支持全面录入园区内危化品的名称、类别、产品生产能力等详细信息，同时精准统计持有各类危化品的企业名录；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（4）危化工艺信息：通过精准录入各类危化品的工艺名称，包括工艺类别、控制参数等，同时详尽罗列涉及对应危化工艺的企业名录；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（5）重大危险源管理：汇总园区内企业重大危险源信息，涵盖危险物质种类、危险源等级、储存位置及可能引发的风险等关键数据；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（6）专家信息库：全面汇总园区内各领域专家信息，涵盖姓名、专业背景、研究方向、工作履历、擅长解决的技术难题等内容；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3、企业管理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企业账号管理：对各企业账号实施全生命周期管理，从注册审核、权限分配，到使用监督、注销处理，均遵循严格规范流程。通过统一管理，保障账号安全，确保企业依权限便捷访问平台，顺畅开展安全风险管控工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（2）一企一档：全面梳理并汇总各化工企业的基本情况，涵盖企业注册信息、生产规模、主营产品、工艺流程、安全环保举措等关键内容；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（3）生产装置信息：整合企业生产装置信息，详细记录装置名称、型号、产能、运行参数、投用时间、维护周期等关键数据；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（4）储罐信息管理：汇总企业储罐的规格、材质、容积、储存介质、位置分布等信息，实施系统化统计；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（5）危化品仓库：汇总各企业危化品仓库位置、面积、布局、存储类别、安全设施等信息，进行系统化统计；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（6）装卸区信息：支持园区清晰掌握装卸区运作状况，为优化物流调度、强化安全监管提供数据支撑，保障装卸作业高效、安全开展；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（7）车间信息：管理模块专注园区企业生产单元数据整合，通过全面掌握车间情况，园区能够精准实施生产监管、优化资源配置、提升安全保障；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（8）物料信息管理：对园区企业生产物料统筹包含企业生产物料的种类、规格、数量、来源、存储位置及消耗情况等信息，加以精准统计。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4、安全生产行政许可管理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（1）安全生产许可证管理：汇总企业安全生产许可证信息，涵盖证件编号、企业名称、许可证名称、有效期等关键数据；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（2）三同时管理：对企业安全设施的安全预评价、设计审查、施工及竣工验收等环节信息，实施全程跟踪管理；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5、装置开停车和大检修管理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（1）装置大检修备案：服务园区企业设备维护监管，对企业上报的装置大检修计划，进行严格备案管理；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（2）装置开停车管理：服务园区安全生产秩序维护，对企业上报的装置开停车方案，开展严谨备案管理；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6、执法管理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（1）执法检查计划：致力于园区监管规划统筹，支持新增执法计划与监督检查计划，将园区内各类监督检查、执法计划纳入统一管理体系；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（2）执法检查记录：围绕园区执法流程闭环管理，针对已创建的监督检查及执法计划，能便捷添加详尽执法记录，如实记录检查时间、地点、企业情况、发现问题等内容；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（3）执法检查隐患：在监督检查与执法记录过程中，一旦发现隐患，立即新增详细隐患信息，精准定位隐患位置、描述问题详情并评估风险等级，迅速下发至对应企业；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（4）执法案件管理：在执法进程中，遇需立案情形，可便捷新增案件立案信息，涵盖案件来源、当事人信息、违法事实等关键要素；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（5）法律法规管理：专注园区法规信息整合与运用，全面收录整理园区相关安全生产、环保、运营等各类法律法规，搭建便捷管理体系；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（6）执法案例库：对园区各类执法案例依违规类型、行业领域等维度精细分类，便于检索；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（7）执法统计分析模块：专注园区执法数据深度挖掘。系统统计园区内企业的执法次数、检查频次以及执法文书使用次数。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5、第三方单位管理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（1）第三方单位信息管理：系统记录其基础信息、服务项目详情，精准统计培训开展情况与违规记录；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（2）第三方单位人员信息管理：精准聚焦人员数据管控。全面管理第三方单位人员基础信息，包含身份、岗位、联系方式等；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（3）第三方单位资质管理：全面收集、审核第三方单位营业执照、行业许可、专业认证等各类资质文件，建立详细资质档案，定期核查资质有效期与合规性，实时跟踪资质变更情况；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（4）服务记录管理：详细记录第三方单位在园区开展的各项服务活动，包括服务起始时间、服务内容、服务成果、对接人员反馈等信息；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（5）违规记录：记录违规单位名称、违规地点、违规时间等信息；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（6）诚信评价管理：包含诚信等级、评价规则、诚信评价、诚信公告等。</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14:paraId="5637D6A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14:paraId="41221E6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630685B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69DBA9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1.2</w:t>
            </w:r>
          </w:p>
        </w:tc>
        <w:tc>
          <w:tcPr>
            <w:tcW w:w="1035" w:type="dxa"/>
            <w:tcBorders>
              <w:top w:val="single" w:color="000000" w:sz="4" w:space="0"/>
              <w:left w:val="single" w:color="000000" w:sz="4" w:space="0"/>
              <w:bottom w:val="single" w:color="000000" w:sz="4" w:space="0"/>
              <w:right w:val="single" w:color="000000" w:sz="4" w:space="0"/>
            </w:tcBorders>
            <w:vAlign w:val="center"/>
          </w:tcPr>
          <w:p w14:paraId="6A7A688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重大危险源安全管理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2CC213EA">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通知公告、常用功能、待办事项、重大危险源数、物联监测报警数、AI监测报警数、今日安全承诺、危险源企业监管、今日安全承诺情况、重大危险源统计、物联监测报警、AI监测报警、包保责任排查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2、包保责任履职管理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（1）包保责任信息：清晰呈现各企业包保责任人的基本信息、责任范围与工作要求。同时，完整记录责任人履职轨迹，涵盖日常巡查详情、问题处理进度、隐患整改成果等记录。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（2）任务清单模块：清晰展示巡检过程中，与包保责任人关联的各项任务，涵盖具体巡检区域、检查要点、任务执行标准与时间节点等。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（3）排查任务统计：对其负责的各项排查任务，从任务发起、执行中到已完成，清晰标注各状态数量。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（4）排查任务记录：详细记录责任人每次执行排查任务的基本信息，如排查时间、具体区域、涉及企业等。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（5）隐患清单：涵盖安全检查、设备巡检、环境监测等多渠道发现的隐患，详细记录隐患位置。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（6）安全包保公示牌模：涵盖企业名称、包保责任人姓名、职务及联系方式，明确责任范围，如负责厂区安全检查、员工安全培训等具体工作。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3、危险源在线监测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（1）物联监测：通过部署在企业各处的传感器，实时采集水、电、气用量，设备运行状态，环境参数等多元监测数据。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（2）视频监控：借助高清摄像头与先进网络传输技术，可实时查看各区域监控画面，全方位覆盖园区重要点位。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（1）物联报警：汇聚物联设备发出的报警信息。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（2）AI告警信息：依托先进的人工智能算法，对设备运行、人员行为、环境变化等进行智能监测，一旦识别异常报警。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（3）督办记录：用于集中展示报警信息的督办详情。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（4）报警统计汇总：将不同企业、不同类型（如设备故障、环境异常等）的报警，按物联和 AI 监测分类统计，直观呈现报警数量、发生时段、严重程度等关键数据。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5、重大风险管控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（1）安全承诺记录：每日汇总应履行安全承诺的企业，清晰展示其承诺与未承诺状态。针对未承诺企业，可便捷发起催办。</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（2）明确每日监测安排，并就监测执行情况做出承诺。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6、评价/评估报告及隐患管理：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（1）评价/评估报告：包含企业名称、重大危险源名称、报告分类、评估机构、下载操作等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（2）评价体系：指标机构、评估标准、权重分值等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（3）评价管理：企业名称，评价部门、评价人、评价时间、评价得分。</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53BE5FC0">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5E8DF2D3">
            <w:pPr>
              <w:jc w:val="center"/>
              <w:rPr>
                <w:rFonts w:ascii="宋体" w:hAnsi="宋体" w:cs="宋体"/>
                <w:color w:val="auto"/>
                <w:szCs w:val="22"/>
                <w:highlight w:val="none"/>
              </w:rPr>
            </w:pPr>
          </w:p>
        </w:tc>
      </w:tr>
      <w:tr w14:paraId="6C9F706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6FED95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1.3</w:t>
            </w:r>
          </w:p>
        </w:tc>
        <w:tc>
          <w:tcPr>
            <w:tcW w:w="1035" w:type="dxa"/>
            <w:tcBorders>
              <w:top w:val="single" w:color="000000" w:sz="4" w:space="0"/>
              <w:left w:val="single" w:color="000000" w:sz="4" w:space="0"/>
              <w:bottom w:val="single" w:color="000000" w:sz="4" w:space="0"/>
              <w:right w:val="single" w:color="000000" w:sz="4" w:space="0"/>
            </w:tcBorders>
            <w:vAlign w:val="center"/>
          </w:tcPr>
          <w:p w14:paraId="62FC4EE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双重预防机制</w:t>
            </w:r>
          </w:p>
        </w:tc>
        <w:tc>
          <w:tcPr>
            <w:tcW w:w="6176" w:type="dxa"/>
            <w:tcBorders>
              <w:top w:val="single" w:color="000000" w:sz="4" w:space="0"/>
              <w:left w:val="single" w:color="000000" w:sz="4" w:space="0"/>
              <w:bottom w:val="single" w:color="000000" w:sz="4" w:space="0"/>
              <w:right w:val="single" w:color="000000" w:sz="4" w:space="0"/>
            </w:tcBorders>
            <w:vAlign w:val="center"/>
          </w:tcPr>
          <w:p w14:paraId="487B8087">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（1）包含通知公告、常用信息等功能。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2、隐患排查治理信息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（1）隐患排查记录：详实记录各企业分析对象的隐患排查次数。针对生产设备、作业环境等分析对象，精准统计排查频次，反映企业隐患排查工作强度。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（2）隐患信息模：系统汇总各企业隐患排查所发现的问题。详细记录隐患位置、描述、严重程度及首次发现时间等。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（3）督办记录：详细记录督办发起时间、涉及企业名称、督办事项详情，如安全隐患整改、环保指标达标等任务。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3、三卡信息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（1）风险告知卡：集中汇总各企业风险告知卡信息。完整呈现风险类别、风险点位置、可能引发的事故类型等关键内容。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（2）应急处置卡：整合各企业应急处置卡信息。系统梳理企业在火灾、泄漏等不同场景下的应急处置流程，涵盖关键步骤、责任人员、应急；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（3）安全职责承诺卡：集中整合各企业的安全职责承诺卡信息。清晰呈现企业不同岗位安全职责，如管理者安全决策责任、员工规范操作责任等。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4、双重预防统计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（1）任务完成情况统计：直观呈现各企业双重预防机制下的任务全貌。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（2）隐患治理情况：展示各企业隐患数据统计详情。清晰呈现隐患总数，精准区分新增隐患数量，明确已验收、待验收与整改中隐患的状态数量。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（3）机制运行情况：集中展示各企业隐患治理核心数据。清晰呈现风险管控相关信息，如风险分级分布、管控措施落实成效。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5、企业双重预防信息系统对接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（1）风险分级管控：清晰呈现各企业风险管控详情。梳理企业风险分析对象，按风险程度精准分级。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（2）装置停用 / 检修记录：系统呈现各企业装置相关信息。清晰展示装置停用或检修的起止时间、原因，如设备老化需维修、工艺调整临时停用等。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（3）风险清单模：集中展示各企业风险清单信息。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（4）风险四色图：整合展示企业提交的风险四色图信息。以直观可视化界面，将企业风险按红、橙、黄、蓝四色分级呈现，涵盖风险位置、等级及简要说明。</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1BE5859A">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3C5CAA4C">
            <w:pPr>
              <w:jc w:val="center"/>
              <w:rPr>
                <w:rFonts w:ascii="宋体" w:hAnsi="宋体" w:cs="宋体"/>
                <w:color w:val="auto"/>
                <w:szCs w:val="22"/>
                <w:highlight w:val="none"/>
              </w:rPr>
            </w:pPr>
          </w:p>
        </w:tc>
      </w:tr>
      <w:tr w14:paraId="076FF0D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E1131B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1.4</w:t>
            </w:r>
          </w:p>
        </w:tc>
        <w:tc>
          <w:tcPr>
            <w:tcW w:w="1035" w:type="dxa"/>
            <w:tcBorders>
              <w:top w:val="single" w:color="000000" w:sz="4" w:space="0"/>
              <w:left w:val="single" w:color="000000" w:sz="4" w:space="0"/>
              <w:bottom w:val="single" w:color="000000" w:sz="4" w:space="0"/>
              <w:right w:val="single" w:color="000000" w:sz="4" w:space="0"/>
            </w:tcBorders>
            <w:vAlign w:val="center"/>
          </w:tcPr>
          <w:p w14:paraId="0860897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特殊作业管理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4136DEF4">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（1）包含工作台、通知公告、常用功能、待办事项、特殊作业总数、特殊作业企业、作业报警数量、作业抽查/检查、今日作业类型、今日作业统计、作业类型报警、作业报警信息、作业类型统计等信息。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2、作业抽查检查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（1）实现企业特殊作业报备，报备数据包括但不限于作业属地单位、作业类型、作业内容、作业时间等，支持报备信息的维护、查询和统计。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通过平台查看园区内企业所上报的特殊作业信息，包括企业名称、作业名称、存在的风险或可能引发的事故类型、安全防范措施、应急救援措施、作业起始时间、作业结束时间、管理制度与操作规程、作业许可证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3、抽查检查记录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（1）支持查看第三方单位作业抽查详情，如抽查时间、作业证编号、检查发现的问题及整改要求；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（2）支持下载相关附件，包括检查现场照片、问题明细文档等，助力监管者全面掌握作业抽查情况，提升安全监管的精准性与有效性。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4、作业报警信息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（1）可实时查看气体泄漏、人员违规操作等报警信息，包括报警时间、具体位置、涉及设备或人员。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5、作业一张图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（1）可在地图上精准定位各作业的实施位置，实时掌握其动态。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（2）支持依据动火、吊装、高处作业等不同类型进行筛选查看，迅速聚焦特定作业分布区域，辅助管理者高效统筹作业安排，及时发现潜在风险点，优化作业资源调配与安全管控。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特殊作业统计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（1）实现与园区内企业电子作业许可系统的结构化数据对接；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（2）支持园区内特殊作业按不同企业、不同时间、不同作业类型等多维度进行统计分析。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（3）根据园区内特殊作业按不同企业、不同时间、不同作业类型等多维度统计分析，实现特殊作业信息在园区电子地图上实时显示、快速查询。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（4）提供全面且直观的特殊作业数据洞察，可清晰查看各企业特殊作业情况统计，包括动火、受限空间等作业频次与分布。</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6D62AEB6">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2F8DC231">
            <w:pPr>
              <w:jc w:val="center"/>
              <w:rPr>
                <w:rFonts w:ascii="宋体" w:hAnsi="宋体" w:cs="宋体"/>
                <w:color w:val="auto"/>
                <w:szCs w:val="22"/>
                <w:highlight w:val="none"/>
              </w:rPr>
            </w:pPr>
          </w:p>
        </w:tc>
      </w:tr>
      <w:tr w14:paraId="7454C2E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01F233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1.5</w:t>
            </w:r>
          </w:p>
        </w:tc>
        <w:tc>
          <w:tcPr>
            <w:tcW w:w="1035" w:type="dxa"/>
            <w:tcBorders>
              <w:top w:val="single" w:color="000000" w:sz="4" w:space="0"/>
              <w:left w:val="single" w:color="000000" w:sz="4" w:space="0"/>
              <w:bottom w:val="single" w:color="000000" w:sz="4" w:space="0"/>
              <w:right w:val="single" w:color="000000" w:sz="4" w:space="0"/>
            </w:tcBorders>
            <w:vAlign w:val="center"/>
          </w:tcPr>
          <w:p w14:paraId="65BE92C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封闭化管理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5FA2C377">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包含公告通知、常用功能、待办事项、今日预约车辆、今日预约人数、今日预约危化车辆、今日通行车辆、今日通行人员、今日通行危化车辆、周界检测报警情况、危化停车场气体报警情况、巡更异常统计、车辆不安全驾驶行为统计、人员行为报警统计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2、基础管理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按照客货分离、优化管理、规避风险、综合考虑园区安全容量的原则，根据园区实际情况分类设置综合、专用、普通、应急门禁/卡口，部署门禁/卡口管理系统；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（1）卡口管理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综合卡口：危险物品运输、危险废物运输、工程和普通等车辆出入园区的共用卡口，此类卡口应进行专用车道分类。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专用卡口：危险物品运输、危险废物运输车辆出入园区的专用卡口，工程和普通等车辆不得通过此类卡口出入园区。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普通卡口：工程和普通等车辆出入园区的卡口，危险物品运输、危险废物运输车辆不得通过此卡口出入园区。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应急卡口：各类应急救援相关车辆出入园区的专用卡口，事故情况下也可作为人员疏散卡口。此类卡口一般为常闭状态，事故应急情况下应具备一键开启功能。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（2）区域管理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（1）实现对园区的精细化分区管控。依据功能、风险等级等因素，科学划分园区各个区域，如生产区、仓储区、办公区等。每个区域涵盖对应的卡口，精准关联卡口位置、通行规则与安防措施。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3、安防管理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（1）视频监控：全面呈现园区视频监控态势。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（2）周界配置：用于构建园区周界安防体系，将对应的视频监控设备与各防区配对，完成联动设置。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（3）周界监测：系统能够检测到任何试图越过边界的行为，通过周界设备传感器、摄像头等设备，实时监测边界活动；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（4）巡更路线：新增巡更路线并配置巡更路线上的巡更点，巡更点支持绑定对应位置的视频监控设备。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（5）巡更记录：对巡更线路巡更线路，记录巡查过程中发现的任何异常情况进行记录上报处置。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4、普通车辆管理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（1）车辆的预约记录汇总查看，支持分类查询。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（2）车辆的授权记录汇总查看，支持分类查询。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（3）车辆的通行记录汇总查看，支持分类查询。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（4）车辆违规行为报警信息汇总查看，支持分类查询。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（5）车辆黑名单管理。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5、人员管理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（1）对园区企业的人员信息的录入管理。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（2）查看人员拜访记录预约信息。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（3）查看人员通行记录。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（4）查看人员授权申请记录。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（5）查看企业人员、外来人员定位信息。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（6）查看企业人员、外来人员在园区内某一时间段的运动轨迹。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（7）通过AI判断识别人员的异常行为，触发行为报警，查看报警信息。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（8）为违规人员进行黑名单管理。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（9）接入化工企业生产区域人员定位分布信息，园区平台接入卡口/门禁系统数据，准确显示园区人员分布动态。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危险运输管理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（1）危化车辆信息的维护管理。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（2）危化车辆司机的信息维护管理。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（3）危化车辆押运员的信息维护管理。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（4）入园区外来危化品车辆的申请记录查看。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（5）园区出入口的自动车牌识别或者人工记录危化车辆进出园区的记录，提供详细的通行历史记录，便于查询和报告。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（6）危化车辆的运输的货物信息录入，记录运输的详细信息，包括起始地、目的地、运输方式、预计到达时间等。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（7）对于驾驶员不安全驾驶行为的报警如规划偏离运输路径。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7、停车场信息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（1）汇聚停车预约信息，支持预约编号，车牌号码等查询操作。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（2）汇聚车辆场停放记录信息，支持车牌号码，入场时间等查询操作。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（3）支持实时车位展示企业情况。</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3899F2A7">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33C1EAFD">
            <w:pPr>
              <w:jc w:val="center"/>
              <w:rPr>
                <w:rFonts w:ascii="宋体" w:hAnsi="宋体" w:cs="宋体"/>
                <w:color w:val="auto"/>
                <w:szCs w:val="22"/>
                <w:highlight w:val="none"/>
              </w:rPr>
            </w:pPr>
          </w:p>
        </w:tc>
      </w:tr>
      <w:tr w14:paraId="1517809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F73AE52">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1.6</w:t>
            </w:r>
          </w:p>
        </w:tc>
        <w:tc>
          <w:tcPr>
            <w:tcW w:w="1035" w:type="dxa"/>
            <w:tcBorders>
              <w:top w:val="single" w:color="000000" w:sz="4" w:space="0"/>
              <w:left w:val="single" w:color="000000" w:sz="4" w:space="0"/>
              <w:bottom w:val="single" w:color="000000" w:sz="4" w:space="0"/>
              <w:right w:val="single" w:color="000000" w:sz="4" w:space="0"/>
            </w:tcBorders>
            <w:vAlign w:val="center"/>
          </w:tcPr>
          <w:p w14:paraId="0825A93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敏捷应急</w:t>
            </w:r>
          </w:p>
        </w:tc>
        <w:tc>
          <w:tcPr>
            <w:tcW w:w="6176" w:type="dxa"/>
            <w:tcBorders>
              <w:top w:val="single" w:color="000000" w:sz="4" w:space="0"/>
              <w:left w:val="single" w:color="000000" w:sz="4" w:space="0"/>
              <w:bottom w:val="single" w:color="000000" w:sz="4" w:space="0"/>
              <w:right w:val="single" w:color="000000" w:sz="4" w:space="0"/>
            </w:tcBorders>
            <w:vAlign w:val="center"/>
          </w:tcPr>
          <w:p w14:paraId="18EAAF61">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（1）包含通知公告、常用功能、待办事项、预警发布数、接警数、应急演练数、待关闭事件、应急资源情况、应急预案情况、年度演练次数统计、应急事件情况、涉及企业事件排序等信息。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2、值班管理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（1）交接班方案定义：聚焦规范班组间工作交接流程。通过该模块，可详细定义两个班组间的交接事宜，如明确交接时间、地点。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（2）对值班值守人员进行分组管理，安排值班长，小组内值班人员等。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（3）对园区平台的值守班别进行定义及配置。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（4）用于应急指挥值班人员进行值班记录登记，登记值班人员日常的工作值班情况，值班过程的工作日志信息。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（5）对交接班项目进行管理，用于值班人员进行值班记录登记，登记值班人员日常的工作值班情况，值班过程的工作日志信息。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（6）通过事故接警信息、系统自动报警数据，可快速发起应急事件。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3、应急资源管理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（1）应急机构：显示园区各层级应急组织架构及应急工作职责，包括园区应急指挥中心、应急救援队伍、企业救援力量及负责人等。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（2）应急救援队伍：包含园区综合应急救援队伍、各类专业救援队伍、企业应急救援队伍和志愿者队伍信息。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（3）园区应急物资仓库：主要用来存放应急救援处置时所需要的各类中小型物资和设备。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（4）应急物资：用于管理车辆等不适合放入园区应急物资仓库的大型应急救援设备，并关联对应的管理人员。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（5）应急避难所：提供录入、修改、删除、查询应急避难场区的功能，系统用户手工操作后，将更新应急避难场区应用数据。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（6）医疗机构：医疗机构数据的全流程管控，支持便捷执行数据增、删、改、查，严谨开展审核及取消审核操作。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4、应急预案管理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（1）实现对应急预案数据的精细化管理。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（2）集中归档各类预案演练信息。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5、应急演练管理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（1）支持新增、删除、修改及查询操作，能便捷发布演练计划或依规废止。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（2）支持对演练全程记录数据进行新增、删除、修改与查询，确保数据完整准确。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6、应急指挥调度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（1）对车辆出动信息数据进行管理，可对车辆进行分类，增添分类下出动信息数据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（2）进行接警处置流程处理，可转为事件流向应急事件处置流程。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（3）对接警记录过来应急事件进行流程化处置，可判定结果和查看详细的应急事件。</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0FDCCCDC">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10C8A7D1">
            <w:pPr>
              <w:jc w:val="center"/>
              <w:rPr>
                <w:rFonts w:ascii="宋体" w:hAnsi="宋体" w:cs="宋体"/>
                <w:color w:val="auto"/>
                <w:szCs w:val="22"/>
                <w:highlight w:val="none"/>
              </w:rPr>
            </w:pPr>
          </w:p>
        </w:tc>
      </w:tr>
      <w:tr w14:paraId="6E6FFE8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247AFB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1.7</w:t>
            </w:r>
          </w:p>
        </w:tc>
        <w:tc>
          <w:tcPr>
            <w:tcW w:w="1035" w:type="dxa"/>
            <w:tcBorders>
              <w:top w:val="single" w:color="000000" w:sz="4" w:space="0"/>
              <w:left w:val="single" w:color="000000" w:sz="4" w:space="0"/>
              <w:bottom w:val="single" w:color="000000" w:sz="4" w:space="0"/>
              <w:right w:val="single" w:color="000000" w:sz="4" w:space="0"/>
            </w:tcBorders>
            <w:vAlign w:val="center"/>
          </w:tcPr>
          <w:p w14:paraId="2C842A6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公共服务</w:t>
            </w:r>
          </w:p>
        </w:tc>
        <w:tc>
          <w:tcPr>
            <w:tcW w:w="6176" w:type="dxa"/>
            <w:tcBorders>
              <w:top w:val="single" w:color="000000" w:sz="4" w:space="0"/>
              <w:left w:val="single" w:color="000000" w:sz="4" w:space="0"/>
              <w:bottom w:val="single" w:color="000000" w:sz="4" w:space="0"/>
              <w:right w:val="single" w:color="000000" w:sz="4" w:space="0"/>
            </w:tcBorders>
            <w:vAlign w:val="center"/>
          </w:tcPr>
          <w:p w14:paraId="1885F010">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（1）包含通知公告、常用功能、待办事项、报警总数、隐患总数、今日报警、今日隐患、公共区域报警统计、报警趋势、隐患整改情况、隐患整改率等信息。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2、园区报警管理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（1）汇总物联和AI设备告警信息，包括报警对象，报警值，报警等级，报警持续时间等。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（2）对园区报警信息进行处置，包括物联和AI报警。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（3）汇总处置完成的报警信息便于浏览查找。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3、园区隐患管理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（1）录入园区的隐患信息，进行隐患的处置流程，可进行增删改查操作。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（2）关联到登录账号人的隐患信息，可在这里对涉及登录账号人相关的隐患进行查找处理。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4、培训考试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（1）录入考试的安全学习资源，在这里上传学习资源并可开启用状态供考试人员进行学习。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（2）考试人员登录后，学习相关的学习资源会在这里形成学习记录信息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（3）添加试题，可增添单选，多选，填空，判断类型的试题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（4）组成试卷，有自动组卷和手动组卷两种方式，自动组卷是系统自动抽取试题组成试卷，手动组卷是用户自己抽取试题组成试卷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（5）汇集考生考试成绩，包括考试状态，考试用时，考试成绩等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5、设备设施管理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（1）建立设备设施档案，可进行处置和查看相关设备的台账信息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（2）制定全面的周期性检验计划，明确检验周期、内容及范围。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（3）汇总所有计划的生成任务，可执行任务执行操作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（4）依设备特性与运行规律，拟定周期性维护计划，明确维护周期、项目及标准。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6、知识库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（1）用户可按需添加知识库分类，如技术类、管理类等。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（2）用户可依据知识库既定分类，如技术知识、管理经验等类别，精准查找所需数据。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7、公共事务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（1）添加对应园区通知公告信息，可对公共信息进行分类，在分类下进行通知公告处置，可标识是否阅读。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（2）添加图片新闻，可对图片新闻进行分类，标识是否阅读该图片新闻。</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5238C2B8">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3611AD88">
            <w:pPr>
              <w:jc w:val="center"/>
              <w:rPr>
                <w:rFonts w:ascii="宋体" w:hAnsi="宋体" w:cs="宋体"/>
                <w:color w:val="auto"/>
                <w:szCs w:val="22"/>
                <w:highlight w:val="none"/>
              </w:rPr>
            </w:pPr>
          </w:p>
        </w:tc>
      </w:tr>
      <w:tr w14:paraId="117A55F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47F772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1.9</w:t>
            </w:r>
          </w:p>
        </w:tc>
        <w:tc>
          <w:tcPr>
            <w:tcW w:w="1035" w:type="dxa"/>
            <w:tcBorders>
              <w:top w:val="single" w:color="000000" w:sz="4" w:space="0"/>
              <w:left w:val="single" w:color="000000" w:sz="4" w:space="0"/>
              <w:bottom w:val="single" w:color="000000" w:sz="4" w:space="0"/>
              <w:right w:val="single" w:color="000000" w:sz="4" w:space="0"/>
            </w:tcBorders>
            <w:vAlign w:val="center"/>
          </w:tcPr>
          <w:p w14:paraId="2C40F29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系统设置</w:t>
            </w:r>
          </w:p>
        </w:tc>
        <w:tc>
          <w:tcPr>
            <w:tcW w:w="6176" w:type="dxa"/>
            <w:tcBorders>
              <w:top w:val="single" w:color="000000" w:sz="4" w:space="0"/>
              <w:left w:val="single" w:color="000000" w:sz="4" w:space="0"/>
              <w:bottom w:val="single" w:color="000000" w:sz="4" w:space="0"/>
              <w:right w:val="single" w:color="000000" w:sz="4" w:space="0"/>
            </w:tcBorders>
            <w:vAlign w:val="center"/>
          </w:tcPr>
          <w:p w14:paraId="7D5C21CB">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1、权限管理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（1）系统支持角色、菜单权限、角色动作权限配置。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2、区域点位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（1）区域点位：专注物联网设备的精细化分区管控，支持依据功能、布局等因素进行区域管理，合理划分不同设备所属区域。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（2）数据字典：用于定义字段以及字段取值项目。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（3）地理信息：用于GIS矢量地图的新增和修改。包括图形名称、图形类型（区域或路由）、长度或面积。支持GIS矢量图形绘制、编辑与删除。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3、系统配置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（1）配置有毒有害气体模块、公用工程模块等的物联网设备分组和视频分组。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（2）用户操作日志记录与查询。</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33BB94A4">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61012267">
            <w:pPr>
              <w:jc w:val="center"/>
              <w:rPr>
                <w:rFonts w:ascii="宋体" w:hAnsi="宋体" w:cs="宋体"/>
                <w:color w:val="auto"/>
                <w:szCs w:val="22"/>
                <w:highlight w:val="none"/>
              </w:rPr>
            </w:pPr>
          </w:p>
        </w:tc>
      </w:tr>
      <w:tr w14:paraId="7AE41FC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31C1CE2">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2</w:t>
            </w:r>
          </w:p>
        </w:tc>
        <w:tc>
          <w:tcPr>
            <w:tcW w:w="1035" w:type="dxa"/>
            <w:tcBorders>
              <w:top w:val="single" w:color="000000" w:sz="4" w:space="0"/>
              <w:left w:val="single" w:color="000000" w:sz="4" w:space="0"/>
              <w:bottom w:val="single" w:color="000000" w:sz="4" w:space="0"/>
              <w:right w:val="single" w:color="000000" w:sz="4" w:space="0"/>
            </w:tcBorders>
            <w:vAlign w:val="center"/>
          </w:tcPr>
          <w:p w14:paraId="596A00D0">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覃塘化工园区企业安全风险智能化管控平台（企业端）</w:t>
            </w:r>
          </w:p>
        </w:tc>
        <w:tc>
          <w:tcPr>
            <w:tcW w:w="6176" w:type="dxa"/>
            <w:tcBorders>
              <w:top w:val="single" w:color="000000" w:sz="4" w:space="0"/>
              <w:left w:val="single" w:color="000000" w:sz="4" w:space="0"/>
              <w:bottom w:val="single" w:color="000000" w:sz="4" w:space="0"/>
              <w:right w:val="nil"/>
            </w:tcBorders>
            <w:vAlign w:val="center"/>
          </w:tcPr>
          <w:p w14:paraId="248AB9EF">
            <w:pPr>
              <w:widowControl/>
              <w:spacing w:after="0" w:line="279" w:lineRule="auto"/>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企业端内容主要包括安全基础管理、一企一册、重大危险源安全管理、双重预防机制、特殊作业管理、人员定位、应急管理、第三方单位管理、系统设置等功能模块</w:t>
            </w:r>
          </w:p>
        </w:tc>
        <w:tc>
          <w:tcPr>
            <w:tcW w:w="754" w:type="dxa"/>
            <w:tcBorders>
              <w:top w:val="single" w:color="000000" w:sz="4" w:space="0"/>
              <w:left w:val="single" w:color="000000" w:sz="4" w:space="0"/>
              <w:bottom w:val="single" w:color="000000" w:sz="4" w:space="0"/>
              <w:right w:val="single" w:color="000000" w:sz="4" w:space="0"/>
            </w:tcBorders>
            <w:vAlign w:val="center"/>
          </w:tcPr>
          <w:p w14:paraId="155C19A0">
            <w:pPr>
              <w:rPr>
                <w:rFonts w:ascii="宋体" w:hAnsi="宋体" w:cs="宋体"/>
                <w:b/>
                <w:bCs/>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5540090">
            <w:pPr>
              <w:jc w:val="center"/>
              <w:rPr>
                <w:rFonts w:ascii="宋体" w:hAnsi="宋体" w:cs="宋体"/>
                <w:b/>
                <w:bCs/>
                <w:color w:val="auto"/>
                <w:szCs w:val="22"/>
                <w:highlight w:val="none"/>
              </w:rPr>
            </w:pPr>
          </w:p>
        </w:tc>
      </w:tr>
      <w:tr w14:paraId="063285C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F5185E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2.1</w:t>
            </w:r>
          </w:p>
        </w:tc>
        <w:tc>
          <w:tcPr>
            <w:tcW w:w="1035" w:type="dxa"/>
            <w:tcBorders>
              <w:top w:val="single" w:color="000000" w:sz="4" w:space="0"/>
              <w:left w:val="single" w:color="000000" w:sz="4" w:space="0"/>
              <w:bottom w:val="single" w:color="000000" w:sz="4" w:space="0"/>
              <w:right w:val="single" w:color="000000" w:sz="4" w:space="0"/>
            </w:tcBorders>
            <w:vAlign w:val="center"/>
          </w:tcPr>
          <w:p w14:paraId="79CDC9E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工作台</w:t>
            </w:r>
          </w:p>
        </w:tc>
        <w:tc>
          <w:tcPr>
            <w:tcW w:w="6176" w:type="dxa"/>
            <w:tcBorders>
              <w:top w:val="single" w:color="000000" w:sz="4" w:space="0"/>
              <w:left w:val="single" w:color="000000" w:sz="4" w:space="0"/>
              <w:bottom w:val="single" w:color="000000" w:sz="4" w:space="0"/>
              <w:right w:val="single" w:color="000000" w:sz="4" w:space="0"/>
            </w:tcBorders>
            <w:vAlign w:val="center"/>
          </w:tcPr>
          <w:p w14:paraId="08D3B32B">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1、展示内容或数据包括通知公告、常用功能、待办事项、重大危险源数、危化工艺数、危险化学品数、特殊作业数、报警数量、隐患数量、排查任务数、报警设备统计、作业报警信息等。</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14:paraId="7DD3634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14:paraId="721EA1D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093D4AF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9AD8A9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2.2</w:t>
            </w:r>
          </w:p>
        </w:tc>
        <w:tc>
          <w:tcPr>
            <w:tcW w:w="1035" w:type="dxa"/>
            <w:tcBorders>
              <w:top w:val="single" w:color="000000" w:sz="4" w:space="0"/>
              <w:left w:val="single" w:color="000000" w:sz="4" w:space="0"/>
              <w:bottom w:val="single" w:color="000000" w:sz="4" w:space="0"/>
              <w:right w:val="single" w:color="000000" w:sz="4" w:space="0"/>
            </w:tcBorders>
            <w:vAlign w:val="center"/>
          </w:tcPr>
          <w:p w14:paraId="41C8110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安全基础管理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7EE76A19">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安全生产许可证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（1）支持企业的安全生产许可证管理；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2、设备设施管理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（1）设备设施主档：全面、精准记录设备关键信息。从设备型号、详细参数，到所处具体位置等内容均详细收录，形成完备的数据集合。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（2）周期性检验计划：通过定期、规范的检验，及时发现设备潜在隐患，提前采取维护措施，确保设备在全生命周期内稳定、安全运行，有效降低故障风险，保障生产活动顺利进行。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（3）周期性检验任务：执行检验计划，及时发现问题，预防事故发生。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（4）制定维护周期，确保设备性能稳定，延长使用寿命。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（5）执行维护计划，保障设备正常运行。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（6）记录设备保修信息，便于追踪保修期限和维修记录。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（7）管理设备作业流程，确保作业安全，提高作业效率。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3、车辆管理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（1）普通车辆管理：记录车辆基本信息，包括车牌、类型、使用状况，实现车辆信息的集中管理。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（2）危化车辆管理：针对危险化学品运输车辆，强化安全监管，记录运输许可、装载情况等关键信息。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（3）车辆行为报警：实时监控车辆行驶状态，对超速、违规操作等行为进行预警，保障行车安全。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（4）司机管理管理：司机的资质、培训、健康状况等，确保驾驶人员符合安全要求。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（5）押运员管理：对押运员的资质、培训、责任区域等进行管理，确保押运过程的安全可控。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4、装置大检修备案：通过该系统规范备案大检修计划，详细记录检修时间、涉及装置、检修内容及预期目标等关键信息。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5、装置开停车管理：管理装置的启动和停止过程，确保操作符合安全规范，记录装置的开停车时间、状态、操作人员。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6、三同时管理：企业三同时管理体系，严格规范建设项目安全流程。</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52FD84E7">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5EC9B95F">
            <w:pPr>
              <w:jc w:val="center"/>
              <w:rPr>
                <w:rFonts w:ascii="宋体" w:hAnsi="宋体" w:cs="宋体"/>
                <w:color w:val="auto"/>
                <w:szCs w:val="22"/>
                <w:highlight w:val="none"/>
              </w:rPr>
            </w:pPr>
          </w:p>
        </w:tc>
      </w:tr>
      <w:tr w14:paraId="7234837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C97A07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2.3</w:t>
            </w:r>
          </w:p>
        </w:tc>
        <w:tc>
          <w:tcPr>
            <w:tcW w:w="1035" w:type="dxa"/>
            <w:tcBorders>
              <w:top w:val="single" w:color="000000" w:sz="4" w:space="0"/>
              <w:left w:val="single" w:color="000000" w:sz="4" w:space="0"/>
              <w:bottom w:val="single" w:color="000000" w:sz="4" w:space="0"/>
              <w:right w:val="single" w:color="000000" w:sz="4" w:space="0"/>
            </w:tcBorders>
            <w:vAlign w:val="center"/>
          </w:tcPr>
          <w:p w14:paraId="6759D4B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一企一册</w:t>
            </w:r>
          </w:p>
        </w:tc>
        <w:tc>
          <w:tcPr>
            <w:tcW w:w="6176" w:type="dxa"/>
            <w:tcBorders>
              <w:top w:val="single" w:color="000000" w:sz="4" w:space="0"/>
              <w:left w:val="single" w:color="000000" w:sz="4" w:space="0"/>
              <w:bottom w:val="single" w:color="000000" w:sz="4" w:space="0"/>
              <w:right w:val="single" w:color="000000" w:sz="4" w:space="0"/>
            </w:tcBorders>
            <w:vAlign w:val="center"/>
          </w:tcPr>
          <w:p w14:paraId="635F52C9">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1、企业基本信息：支持记录和管理企业的基础信息，如企业名称、地址、联系方式等。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2、机构管理：支持管理企业内部各个机构，消防架构，消防人员的信息。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3、重大危险源：支持对重大危险源主档案信息进行精细化管理，全面收录关键数据。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4、危险化学品信息：支持危险化学品信息管理，包括名称、危险性、存储条件等。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5、生产装置信息管理系统：全面整合关键信息。详细记录生产装置名称、所属类型、关联工艺，精准描述装置功能及工艺存储情况，同时梳理各类安全措施。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6、支持储罐信息管理：包括储罐类型、容量、存储介质等。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7、支持仓库信息管理：包括仓库位置、容量、存储物料等。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8、支持装卸区信息管理：包括名称、类型、描述、涉及危化品等。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9、支持车间信息管理：包括车间名称、建筑结构、位置、负责人等。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10、支持物料基本信息管理：包括物料名称、规格、用途等。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11、支持受限空间信息管理：包括主要危险有害物质、数量、位置等。</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1DA10A9D">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23846E05">
            <w:pPr>
              <w:jc w:val="center"/>
              <w:rPr>
                <w:rFonts w:ascii="宋体" w:hAnsi="宋体" w:cs="宋体"/>
                <w:color w:val="auto"/>
                <w:szCs w:val="22"/>
                <w:highlight w:val="none"/>
              </w:rPr>
            </w:pPr>
          </w:p>
        </w:tc>
      </w:tr>
      <w:tr w14:paraId="20307D3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538737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2.4</w:t>
            </w:r>
          </w:p>
        </w:tc>
        <w:tc>
          <w:tcPr>
            <w:tcW w:w="1035" w:type="dxa"/>
            <w:tcBorders>
              <w:top w:val="single" w:color="000000" w:sz="4" w:space="0"/>
              <w:left w:val="single" w:color="000000" w:sz="4" w:space="0"/>
              <w:bottom w:val="single" w:color="000000" w:sz="4" w:space="0"/>
              <w:right w:val="single" w:color="000000" w:sz="4" w:space="0"/>
            </w:tcBorders>
            <w:vAlign w:val="center"/>
          </w:tcPr>
          <w:p w14:paraId="12F4F14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重大危险源安全管理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164C8801">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1、安全承诺公告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（1）支持每日安全承诺公告登记管理。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（2）支持企业安全承诺公告详情汇总同步到园区端。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2、危险源在线监测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（1）物联监测:对各类危险源，实时、精准采集关键数据，涵盖温度、压力、浓度等核心指标。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（2）视频监控：利用摄像头实时监控危险源区域，提供可视化管理，便于快速响。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3、报警信息管理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（1）记录所有报警事件，包括报警时间、类型、来源等详细信息。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（2）提供报警处理流程，包括确认、响应、处理和反馈，确保及时响应。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（3）支持存储历史报警记录，便于分析和回溯。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（4）对未处理的报警或隐患发送督办通知，确保责任到人。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（5）对报警信息进行统计分析，生成报表，为决策提供依据。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4、包保责任履职管理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（1）记录包保责任人及其责任范围，明确责任归属。</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（2）列出包保责任人的工作任务，确保工作有序进行。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（3）统计排查任务的完成情况，监控责任履行进度。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（4）详细记录排查过程中的发现、处理和反馈，形成闭环管理。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（5）全面汇总经专业识别的各类隐患。对每条隐患精准建档，详细记录隐患详情、发现时间等信息。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5、评价/评估报告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（1）系统全面收录重大危险源名称，明确负责评价的专业机构，精准记录评价日期，并完整收纳评价结果及相关附件。</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6F0F4FA1">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442E848D">
            <w:pPr>
              <w:jc w:val="center"/>
              <w:rPr>
                <w:rFonts w:ascii="宋体" w:hAnsi="宋体" w:cs="宋体"/>
                <w:color w:val="auto"/>
                <w:szCs w:val="22"/>
                <w:highlight w:val="none"/>
              </w:rPr>
            </w:pPr>
          </w:p>
        </w:tc>
      </w:tr>
      <w:tr w14:paraId="7875757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39653B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2.5</w:t>
            </w:r>
          </w:p>
        </w:tc>
        <w:tc>
          <w:tcPr>
            <w:tcW w:w="1035" w:type="dxa"/>
            <w:tcBorders>
              <w:top w:val="single" w:color="000000" w:sz="4" w:space="0"/>
              <w:left w:val="single" w:color="000000" w:sz="4" w:space="0"/>
              <w:bottom w:val="single" w:color="000000" w:sz="4" w:space="0"/>
              <w:right w:val="single" w:color="000000" w:sz="4" w:space="0"/>
            </w:tcBorders>
            <w:vAlign w:val="center"/>
          </w:tcPr>
          <w:p w14:paraId="73403B0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双重预防机制</w:t>
            </w:r>
          </w:p>
        </w:tc>
        <w:tc>
          <w:tcPr>
            <w:tcW w:w="6176" w:type="dxa"/>
            <w:tcBorders>
              <w:top w:val="single" w:color="000000" w:sz="4" w:space="0"/>
              <w:left w:val="single" w:color="000000" w:sz="4" w:space="0"/>
              <w:bottom w:val="single" w:color="000000" w:sz="4" w:space="0"/>
              <w:right w:val="single" w:color="000000" w:sz="4" w:space="0"/>
            </w:tcBorders>
            <w:vAlign w:val="center"/>
          </w:tcPr>
          <w:p w14:paraId="753AE882">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1、风险分级管控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（1）风险分析对象：识别和分析园区内所有可能造成危害的对象，如设备、工艺、环境等。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（2）风险分级管控：将风险分析对象细分为可管理的单元，便于集中控制和评估。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（3）记录和分析可能发生的风险事件，包括事故类型、影响范围等。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（4）风险清单：对高风险，着重强化预防手段，提前消除隐患；中风险级别下，精心规划减轻方案，降低损失程度；对于各类风险，均配备完善的应急响应预案，确保在风险发生时能迅速响应、妥善处置。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（5）风险单元二维码：为每个风险单元分配二维码，便于快速识别和定位。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（6）风险单元位置管理：记录风险单元的具体位置，便于现场管理和监控。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通过专业评估流程，依据风险性质与潜在影响，严谨编制详尽清单。清晰界定各风险等级，量化危害程度，同时针对不同风险，制定并罗列切实可行的控制措施，为风险防控提供条理清晰、可操作性强的行动指南，助力精准把控风险态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（8）风险四色图：支持添加风险四色图信息。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2、隐患治理排查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（1）支持制定和分配隐患排查任务，确保全面覆盖所有潜在隐患。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（2）为每个排查任务分配责任人员和时间节点。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（3）隐患排查记录系统，全程详实留痕。排查过程中，细致记录时间、人员、区域等信息，对发现的各类问题精准描述，如设备故障、安全漏洞等。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（4）提供个人任务查看功能，便于跟踪个人工作进度。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（5）记录所有已识别的隐患信息，包括描述、原因、严重程度等。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（6）个人视角下的隐患信息，便于个人管理自己的隐患处理任务。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（7）对未按时处理的隐患发送督办通知，确保整改及时。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3、日常巡检管理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（1）支持设置和管理巡检点，确保巡检覆盖所有关键区域。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（2）巡检期间，详细记录时间、路线及巡检人员，精准描述发现的异常状况，诸如设施损坏、参数异常等。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（3）记录巡检数据，包括时间、温度、压力等关键参数。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4、安全检查管理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（1）支持政府下达的专项安全检查任务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（2）根据企业实际情况，详细梳理检查内容，涵盖设备设施状态、作业流程合规性、安全制度落实等关键领域。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（3）安全检查记录系统，对检查全流程进行详尽记录。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（4）提供标准化的安全检查表，确保检查的全面性和一致性。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5、三卡信息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（1）风险告知卡：提供风险信息，让员工了解潜在危险和预防措施。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（2）应急处置卡：提供紧急情况下的应急处置步骤和联系方式。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（3）安全职责承诺卡：记录员工对安全职责的承诺和知晓情况。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6、双重预防统计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（1）统计双重预防机制相关任务完成情况，包括进度和效果。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（2）对各类隐患的治理进度实时跟踪，从整改方案拟定、措施实施到逐步推进的各个阶段，均详细记录。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（3）通过多维度指标，精准评估其运行效率，如风险识别速度、隐患排查频率等；深度考量运行效果，像风险管控成效、隐患治理成果。</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3FE8F322">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7C5E3266">
            <w:pPr>
              <w:jc w:val="center"/>
              <w:rPr>
                <w:rFonts w:ascii="宋体" w:hAnsi="宋体" w:cs="宋体"/>
                <w:color w:val="auto"/>
                <w:szCs w:val="22"/>
                <w:highlight w:val="none"/>
              </w:rPr>
            </w:pPr>
          </w:p>
        </w:tc>
      </w:tr>
      <w:tr w14:paraId="0626DC0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D1291DE">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2.6</w:t>
            </w:r>
          </w:p>
        </w:tc>
        <w:tc>
          <w:tcPr>
            <w:tcW w:w="1035" w:type="dxa"/>
            <w:tcBorders>
              <w:top w:val="single" w:color="000000" w:sz="4" w:space="0"/>
              <w:left w:val="single" w:color="000000" w:sz="4" w:space="0"/>
              <w:bottom w:val="single" w:color="000000" w:sz="4" w:space="0"/>
              <w:right w:val="single" w:color="000000" w:sz="4" w:space="0"/>
            </w:tcBorders>
            <w:vAlign w:val="center"/>
          </w:tcPr>
          <w:p w14:paraId="00BA219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特殊作业管理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5226E834">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1、作业地点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（1）记录和管理作业地点的详细信息，如地点名称、位置等。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（2）进行视频，传感器的匹配操作。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2、特殊作业报备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（1）第三方单位施工作业前需要得到企业的报备审核。</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（2）可以进行作业的查看，取消，延期，延期，终止，完成的操作。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3、作业报警信息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（1）在作业全程，安全监测设备系统发挥关键作用，将各类特殊作业报警信息进行全面汇总管理。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（2）系统配备高灵敏度气体传感器，对作业区域内有害气体浓度进行实时精准监测。一旦有害气体浓度触及或超过预设安全阈值，系统将瞬间自动触发报警机制。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（3）系统支持捕捉到人员未按既定程序操作设备，或是擅自闯入危险区域，便会即刻触发违规报警机制。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（4）系统智能解析视频监控画面，精准识别未佩戴安全帽、违规操作设备等异常行为与危险情况后报警。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4、系统支持企业作业许可证模板信息，支持企业用户自定义。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5、系统支持用户查询自己的作业票申请。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6、系统支持审核作业票。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7、支持打印作业票。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8、系统支持作业票存档管理，统计查询。</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0FC3000E">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188257CF">
            <w:pPr>
              <w:jc w:val="center"/>
              <w:rPr>
                <w:rFonts w:ascii="宋体" w:hAnsi="宋体" w:cs="宋体"/>
                <w:color w:val="auto"/>
                <w:szCs w:val="22"/>
                <w:highlight w:val="none"/>
              </w:rPr>
            </w:pPr>
          </w:p>
        </w:tc>
      </w:tr>
      <w:tr w14:paraId="22BBABF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14164A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2.7</w:t>
            </w:r>
          </w:p>
        </w:tc>
        <w:tc>
          <w:tcPr>
            <w:tcW w:w="1035" w:type="dxa"/>
            <w:tcBorders>
              <w:top w:val="single" w:color="000000" w:sz="4" w:space="0"/>
              <w:left w:val="single" w:color="000000" w:sz="4" w:space="0"/>
              <w:bottom w:val="single" w:color="000000" w:sz="4" w:space="0"/>
              <w:right w:val="single" w:color="000000" w:sz="4" w:space="0"/>
            </w:tcBorders>
            <w:vAlign w:val="center"/>
          </w:tcPr>
          <w:p w14:paraId="1DE24EF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人员定位</w:t>
            </w:r>
          </w:p>
        </w:tc>
        <w:tc>
          <w:tcPr>
            <w:tcW w:w="6176" w:type="dxa"/>
            <w:tcBorders>
              <w:top w:val="single" w:color="000000" w:sz="4" w:space="0"/>
              <w:left w:val="single" w:color="000000" w:sz="4" w:space="0"/>
              <w:bottom w:val="single" w:color="000000" w:sz="4" w:space="0"/>
              <w:right w:val="single" w:color="000000" w:sz="4" w:space="0"/>
            </w:tcBorders>
            <w:vAlign w:val="center"/>
          </w:tcPr>
          <w:p w14:paraId="5639DA28">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实现基础信息管理、智能门禁管理、定位管理、告警管理、智能识别、实时告警、应急管理、查询分析等功能，能够及时、准确的将各个区域人员动态情况反映到系统中，使管理人员能够随时掌握生产人员的在岗在位信息和运动轨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2、管理中心可根据系统所提供的数据、图形，迅速了解有关人员的位置情况，及时采取相应的救援措施，提高应急救援工作的效率。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3、系统支持定位人员行为报警信息统计。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4、支持GIS地图上查看人员定位情况。</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483D3411">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4CB412BB">
            <w:pPr>
              <w:jc w:val="center"/>
              <w:rPr>
                <w:rFonts w:ascii="宋体" w:hAnsi="宋体" w:cs="宋体"/>
                <w:color w:val="auto"/>
                <w:szCs w:val="22"/>
                <w:highlight w:val="none"/>
              </w:rPr>
            </w:pPr>
          </w:p>
        </w:tc>
      </w:tr>
      <w:tr w14:paraId="1AF8559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1C6433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2.8</w:t>
            </w:r>
          </w:p>
        </w:tc>
        <w:tc>
          <w:tcPr>
            <w:tcW w:w="1035" w:type="dxa"/>
            <w:tcBorders>
              <w:top w:val="single" w:color="000000" w:sz="4" w:space="0"/>
              <w:left w:val="single" w:color="000000" w:sz="4" w:space="0"/>
              <w:bottom w:val="single" w:color="000000" w:sz="4" w:space="0"/>
              <w:right w:val="single" w:color="000000" w:sz="4" w:space="0"/>
            </w:tcBorders>
            <w:vAlign w:val="center"/>
          </w:tcPr>
          <w:p w14:paraId="2FCE909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应急管理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2393B478">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1、应急机构：应急管理机构信息管理，包括应急部门设置和应急人员维护等。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2、应急救援队伍：应急救援队伍信息管理，包括队伍名称、分类、人数、装备、关联专家、关联物资等。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3、应急仓库：应急仓库信息管理，包括仓库名称、类别、面积、库容、经纬度等。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4、应急物资：应急物资信息管理，包括物资名称、规格、用途、位置描述、经纬度等。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5、应急避难所：应急避难所信息管理，包括避难所名称、地址、经纬度等。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6、通信资源：通信资源管理，包括资源名称、地址、经纬度等。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7、医疗机构：医疗机构管理，包括机构名称、类别、地址、经纬度等。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8、运输资源：运输资源管理，主要指各种运输车辆。包括资源名称、地址、经纬度等。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9、应急专家：应急专家信息管理，包括专家名称、联系方式、特长、擅长领域等。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10、应急预案：企业应急预案管理，包括预案名称、类别、预案等级、预案有效期。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11、应急演练计划：企业应急演练计划管理，包括演练计划名称、演练类型、演练场景、预计完成日期、演练参与人数、计划描述等。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12、应急实施过程记录：企业应急演练实施过程记录。包括演练时间、演练人员、演练科目内容、演练过程、演练效果评估、存在问题、改进措施、演练方案等。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13、接警记录：企业接警记录。包括事故名称、事故类型、事故时间、事故装置、涉及危化品、事故经过描述、采取措施描述等。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14、应急事件：企业应急事件管理。包括事件的判定、事件日志记录、处置方案、救援方案、伤亡报告、处理结果、救援过程等。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15、事件历史：企业应急事件统计查询。</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19830A62">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2CB3E4C1">
            <w:pPr>
              <w:jc w:val="center"/>
              <w:rPr>
                <w:rFonts w:ascii="宋体" w:hAnsi="宋体" w:cs="宋体"/>
                <w:color w:val="auto"/>
                <w:szCs w:val="22"/>
                <w:highlight w:val="none"/>
              </w:rPr>
            </w:pPr>
          </w:p>
        </w:tc>
      </w:tr>
      <w:tr w14:paraId="1D7784C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8D225B2">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2.9</w:t>
            </w:r>
          </w:p>
        </w:tc>
        <w:tc>
          <w:tcPr>
            <w:tcW w:w="1035" w:type="dxa"/>
            <w:tcBorders>
              <w:top w:val="single" w:color="000000" w:sz="4" w:space="0"/>
              <w:left w:val="single" w:color="000000" w:sz="4" w:space="0"/>
              <w:bottom w:val="single" w:color="000000" w:sz="4" w:space="0"/>
              <w:right w:val="single" w:color="000000" w:sz="4" w:space="0"/>
            </w:tcBorders>
            <w:vAlign w:val="center"/>
          </w:tcPr>
          <w:p w14:paraId="3D5D7CC5">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第三方单位管理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7A10353E">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1、第三方单位信息：对于第三方单位的信息，服务，培训，违规信息的统计，查看。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2、第三方人员信息：第三方单位人员信息的管理，可以查看培训的记录。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3、第三方单位资质：第三方单位资质证照及有效期管理等。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4、服务记录：第三方单位的服务记录管理。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5、安全教育培训记录：第三方单位的安全教育培训记录管理。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6、违规记录：第三方单位的违规记录管理。</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6F48DAEC">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5C966F60">
            <w:pPr>
              <w:jc w:val="center"/>
              <w:rPr>
                <w:rFonts w:ascii="宋体" w:hAnsi="宋体" w:cs="宋体"/>
                <w:color w:val="auto"/>
                <w:szCs w:val="22"/>
                <w:highlight w:val="none"/>
              </w:rPr>
            </w:pPr>
          </w:p>
        </w:tc>
      </w:tr>
      <w:tr w14:paraId="6BDF952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4E7A2B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2.10</w:t>
            </w:r>
          </w:p>
        </w:tc>
        <w:tc>
          <w:tcPr>
            <w:tcW w:w="1035" w:type="dxa"/>
            <w:tcBorders>
              <w:top w:val="single" w:color="000000" w:sz="4" w:space="0"/>
              <w:left w:val="single" w:color="000000" w:sz="4" w:space="0"/>
              <w:bottom w:val="single" w:color="000000" w:sz="4" w:space="0"/>
              <w:right w:val="single" w:color="000000" w:sz="4" w:space="0"/>
            </w:tcBorders>
            <w:vAlign w:val="center"/>
          </w:tcPr>
          <w:p w14:paraId="1401076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系统设置</w:t>
            </w:r>
          </w:p>
        </w:tc>
        <w:tc>
          <w:tcPr>
            <w:tcW w:w="6176" w:type="dxa"/>
            <w:tcBorders>
              <w:top w:val="single" w:color="000000" w:sz="4" w:space="0"/>
              <w:left w:val="single" w:color="000000" w:sz="4" w:space="0"/>
              <w:bottom w:val="single" w:color="000000" w:sz="4" w:space="0"/>
              <w:right w:val="single" w:color="000000" w:sz="4" w:space="0"/>
            </w:tcBorders>
            <w:vAlign w:val="center"/>
          </w:tcPr>
          <w:p w14:paraId="33A2863F">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1、权限管理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（1）支持企业用户系统权限管理。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2、岗位管理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（1）企业用户岗位自定义管理。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3、通知公告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（1）发布组织的通知和公告。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（2）管理所有的通知和公告，包括编辑和撤销。</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4、待办工作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（1）展示用户待办的工作任务列表。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（2）跟踪任务的完成进度。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5、图片新闻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（1）查看包含图片的新闻内容。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（2）若已查看标为已读。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6、操作日志：记录系统操作的详细日志。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7、版本信息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（1）记录系统或应用的版本更新历史。</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（2）比较不同版本之间的变更。</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5B635B81">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4C05A179">
            <w:pPr>
              <w:jc w:val="center"/>
              <w:rPr>
                <w:rFonts w:ascii="宋体" w:hAnsi="宋体" w:cs="宋体"/>
                <w:color w:val="auto"/>
                <w:szCs w:val="22"/>
                <w:highlight w:val="none"/>
              </w:rPr>
            </w:pPr>
          </w:p>
        </w:tc>
      </w:tr>
      <w:tr w14:paraId="09644E0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FDD2C3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2.11</w:t>
            </w:r>
          </w:p>
        </w:tc>
        <w:tc>
          <w:tcPr>
            <w:tcW w:w="1035" w:type="dxa"/>
            <w:tcBorders>
              <w:top w:val="single" w:color="000000" w:sz="4" w:space="0"/>
              <w:left w:val="single" w:color="000000" w:sz="4" w:space="0"/>
              <w:bottom w:val="single" w:color="000000" w:sz="4" w:space="0"/>
              <w:right w:val="single" w:color="000000" w:sz="4" w:space="0"/>
            </w:tcBorders>
            <w:vAlign w:val="center"/>
          </w:tcPr>
          <w:p w14:paraId="148F022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安全培训考试</w:t>
            </w:r>
          </w:p>
        </w:tc>
        <w:tc>
          <w:tcPr>
            <w:tcW w:w="6176" w:type="dxa"/>
            <w:tcBorders>
              <w:top w:val="single" w:color="000000" w:sz="4" w:space="0"/>
              <w:left w:val="single" w:color="000000" w:sz="4" w:space="0"/>
              <w:bottom w:val="single" w:color="000000" w:sz="4" w:space="0"/>
              <w:right w:val="single" w:color="000000" w:sz="4" w:space="0"/>
            </w:tcBorders>
            <w:vAlign w:val="center"/>
          </w:tcPr>
          <w:p w14:paraId="32E846D6">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1、特殊作业类型：展示各特殊作业类型的学习资源数和总学时等。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2、安全学习资源：添加学习资源供考试人员进行学习。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3、学习档案：查看考试人员的学习情况汇总。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4、试卷管理：提供给用户组成试卷的两种方式，自动组卷和手动组卷。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5、考试档案：用户考完试形成考试档案信息。</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0EC9346B">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323A183C">
            <w:pPr>
              <w:jc w:val="center"/>
              <w:rPr>
                <w:rFonts w:ascii="宋体" w:hAnsi="宋体" w:cs="宋体"/>
                <w:color w:val="auto"/>
                <w:szCs w:val="22"/>
                <w:highlight w:val="none"/>
              </w:rPr>
            </w:pPr>
          </w:p>
        </w:tc>
      </w:tr>
      <w:tr w14:paraId="5FA0C2A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D75BEB5">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2.12</w:t>
            </w:r>
          </w:p>
        </w:tc>
        <w:tc>
          <w:tcPr>
            <w:tcW w:w="1035" w:type="dxa"/>
            <w:tcBorders>
              <w:top w:val="single" w:color="000000" w:sz="4" w:space="0"/>
              <w:left w:val="single" w:color="000000" w:sz="4" w:space="0"/>
              <w:bottom w:val="single" w:color="000000" w:sz="4" w:space="0"/>
              <w:right w:val="single" w:color="000000" w:sz="4" w:space="0"/>
            </w:tcBorders>
            <w:vAlign w:val="center"/>
          </w:tcPr>
          <w:p w14:paraId="62FE9E8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双重预防信息平台APP</w:t>
            </w:r>
          </w:p>
        </w:tc>
        <w:tc>
          <w:tcPr>
            <w:tcW w:w="6176" w:type="dxa"/>
            <w:tcBorders>
              <w:top w:val="single" w:color="000000" w:sz="4" w:space="0"/>
              <w:left w:val="single" w:color="000000" w:sz="4" w:space="0"/>
              <w:bottom w:val="single" w:color="000000" w:sz="4" w:space="0"/>
              <w:right w:val="single" w:color="000000" w:sz="4" w:space="0"/>
            </w:tcBorders>
            <w:vAlign w:val="center"/>
          </w:tcPr>
          <w:p w14:paraId="078AFF36">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（1）消息提醒：待排查任务的消息提示。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（2）待排查任：务统计待排查任务数。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（3）超期未排查任务：统计超期未排查任务数。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（4）未完成检查：统计未完成检查任务数。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（5）待整改隐患：统计待整改的隐患信息。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（6）超期未整改隐患：统计超期未整改隐患信息。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（7）本月完成率：计算本月完成率。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（8）隐患整改率：计算隐患整改率。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（9）本月发现隐患：统计本月发现的隐患数。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2、岗位排查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（1）今日排查：包含待排查信息剩余时间计算任务状态，标识出任务为待排查任务或超期任务；任务的剩余时间；今日排查的任务信息。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（2）历史排查：应排查任务、已排查任务、任务排查率、历史排查信息、完成数/任务数、排查时间，支持按时间筛选查询排查任务。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3、发布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（1）隐患录入：隐患录入包含风险分析对象界面跳转、风险分析单元界面跳转、隐患排查内容跳转，录入填写隐患来源、隐患等级、隐患类型、治理类型、隐患类别等信息，支持隐患发布信息的保存、提交。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（2）风险分析对象选择：风险分析对象的汇聚，支持返回和搜索功能。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（3）风险分析单元选择：风险分析单元的汇聚，支持返回和搜索功能。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（4）隐患排查内容选择：隐患排查内容的汇聚，支持返回和搜索功能。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（5）隐患排查人员选择：汇聚隐患排查人员，支持搜索和返回功能。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4、安全检查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（1）安全检查信息：汇聚显示安全检查信息数据。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（2）开始检查：开始检查业务流程填写，包含检查项符合判断、检查项、检查项统计、提交等。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（3）已结束：汇聚已结束的安全检查信息，支持返回操作。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（4）检查详情：检查详情信息，包含：检查任务、隐患录入界面跳转、隐患查看界面跳转、统计隐患数、检查项、检查项选择、隐患查看。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5、隐患排查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（1）扫码排查：调取相机，扫码排查巡检。</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（2）无排查任务时：无排查任务时，显示暂无排查信息的提醒文字；无巡检任务时，显示暂无巡检信息的提醒文字。支持返回操作。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（3）不涉及日常巡检的排查任务：隐患排查判断、异常信息填写</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（4）涉及日常巡检的排查任务：巡检点正常/异常按钮、数据填报、隐患治理。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6、隐患治理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（1）我的整改：汇聚延期整改，待验收和已验收的隐患信息，支持日期搜索。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（2）我的发现：汇聚我的发现隐患信息，支持日期搜索操作。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（3）检查任务详情：包含整改中的检查任务详情、延期整改中的检查任务详情、待验收的检查任务详情、超期未整改的检查任务详情、已验收的检查任务详情、待提交的检查任务。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7、我的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（1）我的资料、我的资料界面、修改密码、修改密码界面、更换手机号码、更换手机号界面、退出登录。</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6BD0E4B8">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590DF6E4">
            <w:pPr>
              <w:jc w:val="center"/>
              <w:rPr>
                <w:rFonts w:ascii="宋体" w:hAnsi="宋体" w:cs="宋体"/>
                <w:color w:val="auto"/>
                <w:szCs w:val="22"/>
                <w:highlight w:val="none"/>
              </w:rPr>
            </w:pPr>
          </w:p>
        </w:tc>
      </w:tr>
      <w:tr w14:paraId="41B6F9A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00B633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2.13</w:t>
            </w:r>
          </w:p>
        </w:tc>
        <w:tc>
          <w:tcPr>
            <w:tcW w:w="1035" w:type="dxa"/>
            <w:tcBorders>
              <w:top w:val="single" w:color="000000" w:sz="4" w:space="0"/>
              <w:left w:val="single" w:color="000000" w:sz="4" w:space="0"/>
              <w:bottom w:val="single" w:color="000000" w:sz="4" w:space="0"/>
              <w:right w:val="single" w:color="000000" w:sz="4" w:space="0"/>
            </w:tcBorders>
            <w:vAlign w:val="center"/>
          </w:tcPr>
          <w:p w14:paraId="43EAC1A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特殊作业许可证APP</w:t>
            </w:r>
          </w:p>
        </w:tc>
        <w:tc>
          <w:tcPr>
            <w:tcW w:w="6176" w:type="dxa"/>
            <w:tcBorders>
              <w:top w:val="single" w:color="000000" w:sz="4" w:space="0"/>
              <w:left w:val="single" w:color="000000" w:sz="4" w:space="0"/>
              <w:bottom w:val="single" w:color="000000" w:sz="4" w:space="0"/>
              <w:right w:val="single" w:color="000000" w:sz="4" w:space="0"/>
            </w:tcBorders>
            <w:vAlign w:val="center"/>
          </w:tcPr>
          <w:p w14:paraId="672FD223">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1、首页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（1）链接到发起申请界面。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（2）链接到发起备案界面。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（3）汇聚作业的审核状态。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2、发起申请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（1）链接到签名环节。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（2）汇聚显示所有类型的作业列表信息，可下拉查看。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（3）汇聚显示第三方施工单位列表信息，可下拉查看。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（4）选择作业许可证类型弹出对应的表单。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（5）汇聚审核中的作业票信息。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（6）支持选择查看待归档/已归档/已终止的作业信息界面，分别汇聚作业申请的待归档/已归档/已终止的全部数据。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3、发起备案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（1）汇聚第三方单位信息。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（2）上传附件信息。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（3）上传签名的作业备案信息附件。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（4）汇聚已归档的备案信息。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（5）支持查看备案详情。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4、个人中心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（1）展示申请人的账号信息，支持返回操作。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（2）申请人账号支持修改密码功能。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5、审批作业许可证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（1）支持隐患管理展示企业情况。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（2）汇聚当前账号审核的全部消息。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（3）汇聚作业待审核的信息。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（4）作业表单详情信息。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（5）汇聚审核通过的作业票信息。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（6）在审批作业选择查看待归档/已归档/已终止的作业信息界面，分别显示审批作业已归档/未归档的作业和备案信息,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（7）审批作业许可证的审核流程.</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6BEE1DB3">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45EDF703">
            <w:pPr>
              <w:jc w:val="center"/>
              <w:rPr>
                <w:rFonts w:ascii="宋体" w:hAnsi="宋体" w:cs="宋体"/>
                <w:color w:val="auto"/>
                <w:szCs w:val="22"/>
                <w:highlight w:val="none"/>
              </w:rPr>
            </w:pPr>
          </w:p>
        </w:tc>
      </w:tr>
      <w:tr w14:paraId="212ACE7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356D3B5">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2.14</w:t>
            </w:r>
          </w:p>
        </w:tc>
        <w:tc>
          <w:tcPr>
            <w:tcW w:w="1035" w:type="dxa"/>
            <w:tcBorders>
              <w:top w:val="single" w:color="000000" w:sz="4" w:space="0"/>
              <w:left w:val="single" w:color="000000" w:sz="4" w:space="0"/>
              <w:bottom w:val="single" w:color="000000" w:sz="4" w:space="0"/>
              <w:right w:val="single" w:color="000000" w:sz="4" w:space="0"/>
            </w:tcBorders>
            <w:vAlign w:val="center"/>
          </w:tcPr>
          <w:p w14:paraId="5A1F897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安全培训考试APP</w:t>
            </w:r>
          </w:p>
        </w:tc>
        <w:tc>
          <w:tcPr>
            <w:tcW w:w="6176" w:type="dxa"/>
            <w:tcBorders>
              <w:top w:val="single" w:color="000000" w:sz="4" w:space="0"/>
              <w:left w:val="single" w:color="000000" w:sz="4" w:space="0"/>
              <w:bottom w:val="single" w:color="000000" w:sz="4" w:space="0"/>
              <w:right w:val="single" w:color="000000" w:sz="4" w:space="0"/>
            </w:tcBorders>
            <w:vAlign w:val="center"/>
          </w:tcPr>
          <w:p w14:paraId="7853EDF7">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1、企业登录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（1）支持汇聚所有需要安全培训考试企业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2、安全学习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（1）统计今日学习时长。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（2）统计学习总时长。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（3）筛选学习资源信息。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（4）统计单个资源的总查看次数。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（5）统计单个资源的大小。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（6）判断资源的所属类型。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（7）统计单个资源已学习时长。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（8）统计单个资源的学习进度信息。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（9）pdf、视频、PPT等培训资源的学时倒计时。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（10）pdf、视频、PPT等完成学习提示。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3、考试系统个人中心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（1）支持是否需要安全考试弹窗。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（2）统计考试次数。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（3）统计单个资源的总考试人数。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（4）考试资源的筛选。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（5）统计考试用时。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（6）未完成原因说明。</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（7）统计正确答题数、错误答题数、已答题数/总题数。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（8）统计已做题数。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（9）统计错题数。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（10）统计未做题数。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（11）提示显示考试成绩合格/不合格。</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（12）支持重新考试需求。</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1B1D2EF5">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787BCC66">
            <w:pPr>
              <w:jc w:val="center"/>
              <w:rPr>
                <w:rFonts w:ascii="宋体" w:hAnsi="宋体" w:cs="宋体"/>
                <w:color w:val="auto"/>
                <w:szCs w:val="22"/>
                <w:highlight w:val="none"/>
              </w:rPr>
            </w:pPr>
          </w:p>
        </w:tc>
      </w:tr>
      <w:tr w14:paraId="72E22BA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9D5EFD9">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3</w:t>
            </w:r>
          </w:p>
        </w:tc>
        <w:tc>
          <w:tcPr>
            <w:tcW w:w="1035" w:type="dxa"/>
            <w:tcBorders>
              <w:top w:val="single" w:color="000000" w:sz="4" w:space="0"/>
              <w:left w:val="single" w:color="000000" w:sz="4" w:space="0"/>
              <w:bottom w:val="single" w:color="000000" w:sz="4" w:space="0"/>
              <w:right w:val="single" w:color="000000" w:sz="4" w:space="0"/>
            </w:tcBorders>
            <w:vAlign w:val="center"/>
          </w:tcPr>
          <w:p w14:paraId="5A39EC93">
            <w:pPr>
              <w:widowControl/>
              <w:spacing w:after="0" w:line="279" w:lineRule="auto"/>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基础设施建设</w:t>
            </w:r>
          </w:p>
        </w:tc>
        <w:tc>
          <w:tcPr>
            <w:tcW w:w="6176" w:type="dxa"/>
            <w:tcBorders>
              <w:top w:val="single" w:color="000000" w:sz="4" w:space="0"/>
              <w:left w:val="single" w:color="000000" w:sz="4" w:space="0"/>
              <w:bottom w:val="single" w:color="000000" w:sz="4" w:space="0"/>
              <w:right w:val="nil"/>
            </w:tcBorders>
            <w:vAlign w:val="center"/>
          </w:tcPr>
          <w:p w14:paraId="41162AB8">
            <w:pPr>
              <w:widowControl/>
              <w:spacing w:after="0" w:line="279" w:lineRule="auto"/>
              <w:rPr>
                <w:rFonts w:ascii="宋体" w:hAnsi="宋体" w:cs="宋体"/>
                <w:b/>
                <w:bCs/>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9B8F41D">
            <w:pPr>
              <w:jc w:val="center"/>
              <w:rPr>
                <w:rFonts w:ascii="宋体" w:hAnsi="宋体" w:cs="宋体"/>
                <w:b/>
                <w:bCs/>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C172DDB">
            <w:pPr>
              <w:jc w:val="center"/>
              <w:rPr>
                <w:rFonts w:ascii="宋体" w:hAnsi="宋体" w:cs="宋体"/>
                <w:b/>
                <w:bCs/>
                <w:color w:val="auto"/>
                <w:szCs w:val="22"/>
                <w:highlight w:val="none"/>
              </w:rPr>
            </w:pPr>
          </w:p>
        </w:tc>
      </w:tr>
      <w:tr w14:paraId="425175C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336953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w:t>
            </w:r>
          </w:p>
        </w:tc>
        <w:tc>
          <w:tcPr>
            <w:tcW w:w="1035" w:type="dxa"/>
            <w:tcBorders>
              <w:top w:val="single" w:color="000000" w:sz="4" w:space="0"/>
              <w:left w:val="single" w:color="000000" w:sz="4" w:space="0"/>
              <w:bottom w:val="single" w:color="000000" w:sz="4" w:space="0"/>
              <w:right w:val="single" w:color="000000" w:sz="4" w:space="0"/>
            </w:tcBorders>
            <w:vAlign w:val="center"/>
          </w:tcPr>
          <w:p w14:paraId="3FE1777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基础设施</w:t>
            </w:r>
          </w:p>
        </w:tc>
        <w:tc>
          <w:tcPr>
            <w:tcW w:w="6176" w:type="dxa"/>
            <w:tcBorders>
              <w:top w:val="single" w:color="000000" w:sz="4" w:space="0"/>
              <w:left w:val="single" w:color="000000" w:sz="4" w:space="0"/>
              <w:bottom w:val="single" w:color="000000" w:sz="4" w:space="0"/>
              <w:right w:val="nil"/>
            </w:tcBorders>
            <w:vAlign w:val="center"/>
          </w:tcPr>
          <w:p w14:paraId="322A4768">
            <w:pPr>
              <w:widowControl/>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7AB1769E">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EE7EB0C">
            <w:pPr>
              <w:jc w:val="center"/>
              <w:rPr>
                <w:rFonts w:ascii="宋体" w:hAnsi="宋体" w:cs="宋体"/>
                <w:color w:val="auto"/>
                <w:szCs w:val="22"/>
                <w:highlight w:val="none"/>
              </w:rPr>
            </w:pPr>
          </w:p>
        </w:tc>
      </w:tr>
      <w:tr w14:paraId="3E01544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87A5A8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w:t>
            </w:r>
          </w:p>
        </w:tc>
        <w:tc>
          <w:tcPr>
            <w:tcW w:w="1035" w:type="dxa"/>
            <w:tcBorders>
              <w:top w:val="single" w:color="000000" w:sz="4" w:space="0"/>
              <w:left w:val="single" w:color="000000" w:sz="4" w:space="0"/>
              <w:bottom w:val="single" w:color="000000" w:sz="4" w:space="0"/>
              <w:right w:val="single" w:color="000000" w:sz="4" w:space="0"/>
            </w:tcBorders>
            <w:vAlign w:val="center"/>
          </w:tcPr>
          <w:p w14:paraId="22383F9E">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显示调度系统</w:t>
            </w:r>
          </w:p>
        </w:tc>
        <w:tc>
          <w:tcPr>
            <w:tcW w:w="6176" w:type="dxa"/>
            <w:tcBorders>
              <w:top w:val="single" w:color="000000" w:sz="4" w:space="0"/>
              <w:left w:val="single" w:color="000000" w:sz="4" w:space="0"/>
              <w:bottom w:val="single" w:color="000000" w:sz="4" w:space="0"/>
              <w:right w:val="nil"/>
            </w:tcBorders>
            <w:vAlign w:val="center"/>
          </w:tcPr>
          <w:p w14:paraId="10F68B5E">
            <w:pPr>
              <w:widowControl/>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8B7AE8C">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702E432">
            <w:pPr>
              <w:jc w:val="center"/>
              <w:rPr>
                <w:rFonts w:ascii="宋体" w:hAnsi="宋体" w:cs="宋体"/>
                <w:color w:val="auto"/>
                <w:szCs w:val="22"/>
                <w:highlight w:val="none"/>
              </w:rPr>
            </w:pPr>
          </w:p>
        </w:tc>
      </w:tr>
      <w:tr w14:paraId="27C7E3E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D0D0A4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3.1.1.1</w:t>
            </w:r>
          </w:p>
        </w:tc>
        <w:tc>
          <w:tcPr>
            <w:tcW w:w="1035" w:type="dxa"/>
            <w:tcBorders>
              <w:top w:val="single" w:color="000000" w:sz="4" w:space="0"/>
              <w:left w:val="single" w:color="000000" w:sz="4" w:space="0"/>
              <w:bottom w:val="single" w:color="000000" w:sz="4" w:space="0"/>
              <w:right w:val="single" w:color="000000" w:sz="4" w:space="0"/>
            </w:tcBorders>
            <w:vAlign w:val="center"/>
          </w:tcPr>
          <w:p w14:paraId="7230B53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LED显示屏</w:t>
            </w:r>
          </w:p>
        </w:tc>
        <w:tc>
          <w:tcPr>
            <w:tcW w:w="6176" w:type="dxa"/>
            <w:tcBorders>
              <w:top w:val="single" w:color="000000" w:sz="4" w:space="0"/>
              <w:left w:val="single" w:color="000000" w:sz="4" w:space="0"/>
              <w:bottom w:val="single" w:color="000000" w:sz="4" w:space="0"/>
              <w:right w:val="single" w:color="000000" w:sz="4" w:space="0"/>
            </w:tcBorders>
            <w:vAlign w:val="center"/>
          </w:tcPr>
          <w:p w14:paraId="6CC6FA4D">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屏幕显示总尺寸：长6.72米，高2.24米，LED像素点间距≤1.538mm。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▲1、LED像素点间距≤1.538mm；像素密度≥288000点/㎡，每个像素点采用1纯红1纯绿1纯蓝三像素，表贴三合一封装；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2、设备支持前拆前维护和后拆后维护功能，支持用户级模组前维护方式,可在正面拆卸、安装，支持带电维护,热插拔,维护时间不超过10秒，支持单点维修更换；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3、刷新率≥3500Hz；</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4、LED显示屏整屏平整度：≤0.10mm，箱体间缝隙：≤0.10mm；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5、显示单元白平衡亮度≥600cd/㎡，对比度≥3000：1；色温2000K~10000K可调。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6、水平和垂直视角≥170°；亮度均匀性≥99%，色度均匀性≤±0.001Cx、Cy之内。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8、组成LED显示屏的显示模组的平均失效间隔工作时间MTBF≥100000小时，平均修复时间MTTR≤5分钟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9、LED显示屏具有防潮、防尘、防高温、防腐蚀、防燃烧、防静电、防电磁干扰、抗震动等功能；阻燃系统具有烟雾报警和温升报警功能；具有动态扫描方式LED显示屏驱动电路保护功能；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10、LED显示屏具有电源过流、短路、过压、欠压、断电保护功能，分布上电措施；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11、LED显示屏可以保证在高低温，恒定湿热的环境下正常运行；在高低温，恒定湿热下正常存储；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12、机械强度≥25MP  拉伸强度≥50MP,符合GBT1040标准；缺口冲击强度≥7KJ/㎡，符合GBT1843标准。</w:t>
            </w:r>
          </w:p>
        </w:tc>
        <w:tc>
          <w:tcPr>
            <w:tcW w:w="754" w:type="dxa"/>
            <w:tcBorders>
              <w:top w:val="single" w:color="000000" w:sz="4" w:space="0"/>
              <w:left w:val="single" w:color="000000" w:sz="4" w:space="0"/>
              <w:bottom w:val="single" w:color="000000" w:sz="4" w:space="0"/>
              <w:right w:val="single" w:color="000000" w:sz="4" w:space="0"/>
            </w:tcBorders>
            <w:vAlign w:val="center"/>
          </w:tcPr>
          <w:p w14:paraId="7579ED4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15.06</w:t>
            </w:r>
          </w:p>
        </w:tc>
        <w:tc>
          <w:tcPr>
            <w:tcW w:w="660" w:type="dxa"/>
            <w:tcBorders>
              <w:top w:val="single" w:color="000000" w:sz="4" w:space="0"/>
              <w:left w:val="single" w:color="000000" w:sz="4" w:space="0"/>
              <w:bottom w:val="single" w:color="000000" w:sz="4" w:space="0"/>
              <w:right w:val="single" w:color="000000" w:sz="4" w:space="0"/>
            </w:tcBorders>
            <w:vAlign w:val="center"/>
          </w:tcPr>
          <w:p w14:paraId="2AB547B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w:t>
            </w:r>
          </w:p>
        </w:tc>
      </w:tr>
      <w:tr w14:paraId="03B261F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7C2173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w:t>
            </w:r>
          </w:p>
        </w:tc>
        <w:tc>
          <w:tcPr>
            <w:tcW w:w="1035" w:type="dxa"/>
            <w:tcBorders>
              <w:top w:val="single" w:color="000000" w:sz="4" w:space="0"/>
              <w:left w:val="single" w:color="000000" w:sz="4" w:space="0"/>
              <w:bottom w:val="single" w:color="000000" w:sz="4" w:space="0"/>
              <w:right w:val="single" w:color="000000" w:sz="4" w:space="0"/>
            </w:tcBorders>
            <w:vAlign w:val="center"/>
          </w:tcPr>
          <w:p w14:paraId="6C8C184E">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LED显示屏配套辅材及安装</w:t>
            </w:r>
          </w:p>
        </w:tc>
        <w:tc>
          <w:tcPr>
            <w:tcW w:w="6176" w:type="dxa"/>
            <w:tcBorders>
              <w:top w:val="single" w:color="000000" w:sz="4" w:space="0"/>
              <w:left w:val="single" w:color="000000" w:sz="4" w:space="0"/>
              <w:bottom w:val="single" w:color="000000" w:sz="4" w:space="0"/>
              <w:right w:val="nil"/>
            </w:tcBorders>
            <w:vAlign w:val="center"/>
          </w:tcPr>
          <w:p w14:paraId="42A68009">
            <w:pPr>
              <w:widowControl/>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5C800F43">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EFE3E5E">
            <w:pPr>
              <w:jc w:val="center"/>
              <w:rPr>
                <w:rFonts w:ascii="宋体" w:hAnsi="宋体" w:cs="宋体"/>
                <w:color w:val="auto"/>
                <w:szCs w:val="22"/>
                <w:highlight w:val="none"/>
              </w:rPr>
            </w:pPr>
          </w:p>
        </w:tc>
      </w:tr>
      <w:tr w14:paraId="75E4AFA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89BDD4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w:t>
            </w:r>
          </w:p>
        </w:tc>
        <w:tc>
          <w:tcPr>
            <w:tcW w:w="1035" w:type="dxa"/>
            <w:tcBorders>
              <w:top w:val="single" w:color="000000" w:sz="4" w:space="0"/>
              <w:left w:val="single" w:color="000000" w:sz="4" w:space="0"/>
              <w:bottom w:val="single" w:color="000000" w:sz="4" w:space="0"/>
              <w:right w:val="single" w:color="000000" w:sz="4" w:space="0"/>
            </w:tcBorders>
            <w:vAlign w:val="center"/>
          </w:tcPr>
          <w:p w14:paraId="3F15DC7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接收卡</w:t>
            </w:r>
          </w:p>
        </w:tc>
        <w:tc>
          <w:tcPr>
            <w:tcW w:w="6176" w:type="dxa"/>
            <w:tcBorders>
              <w:top w:val="single" w:color="000000" w:sz="4" w:space="0"/>
              <w:left w:val="single" w:color="000000" w:sz="4" w:space="0"/>
              <w:bottom w:val="single" w:color="000000" w:sz="4" w:space="0"/>
              <w:right w:val="nil"/>
            </w:tcBorders>
            <w:vAlign w:val="center"/>
          </w:tcPr>
          <w:p w14:paraId="3C06EAAD">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1、集成≥8个标准HUB320接口；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2、采用千兆网口通信，可以连接PC；</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3、支持亮色度逐点校正；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4、支持接收卡预存画面设置；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5、支持温度、电压、网线通讯和视频源信号状态检测。</w:t>
            </w:r>
          </w:p>
        </w:tc>
        <w:tc>
          <w:tcPr>
            <w:tcW w:w="754" w:type="dxa"/>
            <w:tcBorders>
              <w:top w:val="single" w:color="000000" w:sz="4" w:space="0"/>
              <w:left w:val="single" w:color="000000" w:sz="4" w:space="0"/>
              <w:bottom w:val="single" w:color="000000" w:sz="4" w:space="0"/>
              <w:right w:val="single" w:color="000000" w:sz="4" w:space="0"/>
            </w:tcBorders>
            <w:vAlign w:val="center"/>
          </w:tcPr>
          <w:p w14:paraId="2CF4B3E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48</w:t>
            </w:r>
          </w:p>
        </w:tc>
        <w:tc>
          <w:tcPr>
            <w:tcW w:w="660" w:type="dxa"/>
            <w:tcBorders>
              <w:top w:val="single" w:color="000000" w:sz="4" w:space="0"/>
              <w:left w:val="single" w:color="000000" w:sz="4" w:space="0"/>
              <w:bottom w:val="single" w:color="000000" w:sz="4" w:space="0"/>
              <w:right w:val="single" w:color="000000" w:sz="4" w:space="0"/>
            </w:tcBorders>
            <w:vAlign w:val="center"/>
          </w:tcPr>
          <w:p w14:paraId="0F33251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块</w:t>
            </w:r>
          </w:p>
        </w:tc>
      </w:tr>
      <w:tr w14:paraId="7CF2B88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1BFD4A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3.1.1.2.2</w:t>
            </w:r>
          </w:p>
        </w:tc>
        <w:tc>
          <w:tcPr>
            <w:tcW w:w="1035" w:type="dxa"/>
            <w:tcBorders>
              <w:top w:val="single" w:color="000000" w:sz="4" w:space="0"/>
              <w:left w:val="single" w:color="000000" w:sz="4" w:space="0"/>
              <w:bottom w:val="single" w:color="000000" w:sz="4" w:space="0"/>
              <w:right w:val="single" w:color="000000" w:sz="4" w:space="0"/>
            </w:tcBorders>
            <w:vAlign w:val="center"/>
          </w:tcPr>
          <w:p w14:paraId="19F323C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电源适配器</w:t>
            </w:r>
          </w:p>
        </w:tc>
        <w:tc>
          <w:tcPr>
            <w:tcW w:w="6176" w:type="dxa"/>
            <w:tcBorders>
              <w:top w:val="single" w:color="000000" w:sz="4" w:space="0"/>
              <w:left w:val="single" w:color="000000" w:sz="4" w:space="0"/>
              <w:bottom w:val="single" w:color="000000" w:sz="4" w:space="0"/>
              <w:right w:val="nil"/>
            </w:tcBorders>
            <w:vAlign w:val="center"/>
          </w:tcPr>
          <w:p w14:paraId="1B4B9F64">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1、直流电压：4.5V；</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2、额定电流：40A；</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3、电流范围：0～40A；</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4、额定功率：180W；</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5、电压范围 ：200～240VAC；</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6、保护功能：输入欠压；过载保护；短路保护。</w:t>
            </w:r>
          </w:p>
        </w:tc>
        <w:tc>
          <w:tcPr>
            <w:tcW w:w="754" w:type="dxa"/>
            <w:tcBorders>
              <w:top w:val="single" w:color="000000" w:sz="4" w:space="0"/>
              <w:left w:val="single" w:color="000000" w:sz="4" w:space="0"/>
              <w:bottom w:val="single" w:color="000000" w:sz="4" w:space="0"/>
              <w:right w:val="single" w:color="000000" w:sz="4" w:space="0"/>
            </w:tcBorders>
            <w:vAlign w:val="center"/>
          </w:tcPr>
          <w:p w14:paraId="26EB5DE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54</w:t>
            </w:r>
          </w:p>
        </w:tc>
        <w:tc>
          <w:tcPr>
            <w:tcW w:w="660" w:type="dxa"/>
            <w:tcBorders>
              <w:top w:val="single" w:color="000000" w:sz="4" w:space="0"/>
              <w:left w:val="single" w:color="000000" w:sz="4" w:space="0"/>
              <w:bottom w:val="single" w:color="000000" w:sz="4" w:space="0"/>
              <w:right w:val="single" w:color="000000" w:sz="4" w:space="0"/>
            </w:tcBorders>
            <w:vAlign w:val="center"/>
          </w:tcPr>
          <w:p w14:paraId="5225142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5ECBDCD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38F8B8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3.1.1.2.3</w:t>
            </w:r>
          </w:p>
        </w:tc>
        <w:tc>
          <w:tcPr>
            <w:tcW w:w="1035" w:type="dxa"/>
            <w:tcBorders>
              <w:top w:val="single" w:color="000000" w:sz="4" w:space="0"/>
              <w:left w:val="single" w:color="000000" w:sz="4" w:space="0"/>
              <w:bottom w:val="single" w:color="000000" w:sz="4" w:space="0"/>
              <w:right w:val="single" w:color="000000" w:sz="4" w:space="0"/>
            </w:tcBorders>
            <w:vAlign w:val="center"/>
          </w:tcPr>
          <w:p w14:paraId="32864A4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LED控制器</w:t>
            </w:r>
          </w:p>
        </w:tc>
        <w:tc>
          <w:tcPr>
            <w:tcW w:w="6176" w:type="dxa"/>
            <w:tcBorders>
              <w:top w:val="single" w:color="000000" w:sz="4" w:space="0"/>
              <w:left w:val="single" w:color="000000" w:sz="4" w:space="0"/>
              <w:bottom w:val="single" w:color="000000" w:sz="4" w:space="0"/>
              <w:right w:val="nil"/>
            </w:tcBorders>
            <w:vAlign w:val="center"/>
          </w:tcPr>
          <w:p w14:paraId="4F8D835B">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1、支持≥16路网口输出，带载≥1040万像素，单台设备输出最大宽度16384，高度8192；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2、支持3D功能。配合3D发射器和配套3D眼镜，实现3D显示效果。启用3D后，设备输出带载减半；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3、音频输入输出，HDMI、DP支持伴随音频输入，支持3.5mm独立音频输入输出；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4、支持个性化的画质缩放，支持三种画面缩放模式，包括点对点模式、全屏缩放、自定义缩放；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5、拥有完备的视频输入接口：≥1×HDMI2.0，≥1×DP1.2，≥4×HDMI1.3，≥1×3GSDI（IN+LOOP）选配；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6、支持EDID管理支持用户自定义EDID和预设EDID；</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7、画质调整支持输出画质管理，包括亮度、饱和度、对比度、色调调整；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8、多场景保存和调用，支持≥10个自定义场景，一键即可载入，支持场景删除、覆盖保存及复制等操作；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9、热备份，支持设备间备份，支持网口备份；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10、多窗口显示，支持≥2个4K×2K+4个2K×1K规格的窗口，窗口大小和位置可单独调节，窗口优先级可调整；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11、支持OSD，同时支持显示≥1路OSD画面，最大支持导入存储≥6个OSD，支持图片OSD和文字OSD；</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12、支持BKG不占用图层资源，支持导入BKG最大宽度≥8192或最大高度≥8192；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13、强大视频处理能力，支持输出画面无级缩放，支持一键全屏缩放，支持输入源任意截取；</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14、支持逐点亮色度校正，对每个灯点的亮度和色度进行校正，有效消除色差，使整屏的亮度和色度达到高度均匀一致，提高显示屏的画质。同时支持硬件打屏功能；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15、支持多种操控方式和设备旋钮操作控制。</w:t>
            </w:r>
          </w:p>
        </w:tc>
        <w:tc>
          <w:tcPr>
            <w:tcW w:w="754" w:type="dxa"/>
            <w:tcBorders>
              <w:top w:val="single" w:color="000000" w:sz="4" w:space="0"/>
              <w:left w:val="single" w:color="000000" w:sz="4" w:space="0"/>
              <w:bottom w:val="single" w:color="000000" w:sz="4" w:space="0"/>
              <w:right w:val="single" w:color="000000" w:sz="4" w:space="0"/>
            </w:tcBorders>
            <w:vAlign w:val="center"/>
          </w:tcPr>
          <w:p w14:paraId="2F7C558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A4744C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4C6F8BA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E6C5B5E">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3.1.1.2.4</w:t>
            </w:r>
          </w:p>
        </w:tc>
        <w:tc>
          <w:tcPr>
            <w:tcW w:w="1035" w:type="dxa"/>
            <w:tcBorders>
              <w:top w:val="single" w:color="000000" w:sz="4" w:space="0"/>
              <w:left w:val="single" w:color="000000" w:sz="4" w:space="0"/>
              <w:bottom w:val="single" w:color="000000" w:sz="4" w:space="0"/>
              <w:right w:val="single" w:color="000000" w:sz="4" w:space="0"/>
            </w:tcBorders>
            <w:vAlign w:val="center"/>
          </w:tcPr>
          <w:p w14:paraId="1F0DDC52">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LED配电柜</w:t>
            </w:r>
          </w:p>
        </w:tc>
        <w:tc>
          <w:tcPr>
            <w:tcW w:w="6176" w:type="dxa"/>
            <w:tcBorders>
              <w:top w:val="single" w:color="000000" w:sz="4" w:space="0"/>
              <w:left w:val="single" w:color="000000" w:sz="4" w:space="0"/>
              <w:bottom w:val="single" w:color="000000" w:sz="4" w:space="0"/>
              <w:right w:val="single" w:color="000000" w:sz="4" w:space="0"/>
            </w:tcBorders>
            <w:vAlign w:val="center"/>
          </w:tcPr>
          <w:p w14:paraId="0CE84AF2">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功能特性：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1）控制方式：手动+时控+选控三位一体；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2）手动状态：一键启停，分步上电、断电；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3）时控状态：支持设置≥4组控制时间段；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4）选控控制：多功能卡、PLC、干接点；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5）空调控制：单独温度设定控制；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6）级联控制：自动级联控制；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保护内容：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1）零线电缆高温保护；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2）高温断电保；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3）短路保护；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配电箱可支持第三方系统控制，可对接各种多功能卡、各种PLC（有485通讯协议）、干接点；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配电箱有DC5V电源输出，供多功能卡使用；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配电箱有控制信号接线排，分别连接多功能卡或PLC；</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当选用多功能卡控制时，电脑需要安装对应演播室软件；当选用PLC控制时,电脑需要安装对应PLC专用软件，PLC控制界面可以显示配电箱温度、运行状态，也可以在PLC界面设置运行时间段。</w:t>
            </w:r>
          </w:p>
        </w:tc>
        <w:tc>
          <w:tcPr>
            <w:tcW w:w="754" w:type="dxa"/>
            <w:tcBorders>
              <w:top w:val="single" w:color="000000" w:sz="4" w:space="0"/>
              <w:left w:val="single" w:color="000000" w:sz="4" w:space="0"/>
              <w:bottom w:val="single" w:color="000000" w:sz="4" w:space="0"/>
              <w:right w:val="single" w:color="000000" w:sz="4" w:space="0"/>
            </w:tcBorders>
            <w:vAlign w:val="center"/>
          </w:tcPr>
          <w:p w14:paraId="44842A7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9051C7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7991BE6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AF57FB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3.1.1.2.5</w:t>
            </w:r>
          </w:p>
        </w:tc>
        <w:tc>
          <w:tcPr>
            <w:tcW w:w="1035" w:type="dxa"/>
            <w:tcBorders>
              <w:top w:val="single" w:color="000000" w:sz="4" w:space="0"/>
              <w:left w:val="single" w:color="000000" w:sz="4" w:space="0"/>
              <w:bottom w:val="single" w:color="000000" w:sz="4" w:space="0"/>
              <w:right w:val="single" w:color="000000" w:sz="4" w:space="0"/>
            </w:tcBorders>
            <w:vAlign w:val="center"/>
          </w:tcPr>
          <w:p w14:paraId="74EAB5E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LED屏框架</w:t>
            </w:r>
          </w:p>
        </w:tc>
        <w:tc>
          <w:tcPr>
            <w:tcW w:w="6176" w:type="dxa"/>
            <w:tcBorders>
              <w:top w:val="single" w:color="000000" w:sz="4" w:space="0"/>
              <w:left w:val="single" w:color="000000" w:sz="4" w:space="0"/>
              <w:bottom w:val="single" w:color="000000" w:sz="4" w:space="0"/>
              <w:right w:val="nil"/>
            </w:tcBorders>
            <w:vAlign w:val="center"/>
          </w:tcPr>
          <w:p w14:paraId="17694229">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通天地支架，镀锌方管定制；</w:t>
            </w:r>
          </w:p>
          <w:p w14:paraId="60490F70">
            <w:pPr>
              <w:pStyle w:val="59"/>
              <w:spacing w:after="0" w:line="279" w:lineRule="auto"/>
              <w:jc w:val="both"/>
              <w:rPr>
                <w:color w:val="auto"/>
                <w:highlight w:val="none"/>
              </w:rPr>
            </w:pPr>
            <w:r>
              <w:rPr>
                <w:rFonts w:hint="eastAsia" w:ascii="宋体" w:hAnsi="宋体" w:eastAsia="宋体" w:cs="宋体"/>
                <w:b w:val="0"/>
                <w:bCs/>
                <w:color w:val="auto"/>
                <w:szCs w:val="21"/>
                <w:highlight w:val="none"/>
              </w:rPr>
              <w:t>包含仓储、物流、二次运输、安装、调平整度、运维费用</w:t>
            </w:r>
          </w:p>
        </w:tc>
        <w:tc>
          <w:tcPr>
            <w:tcW w:w="754" w:type="dxa"/>
            <w:tcBorders>
              <w:top w:val="single" w:color="000000" w:sz="4" w:space="0"/>
              <w:left w:val="single" w:color="000000" w:sz="4" w:space="0"/>
              <w:bottom w:val="single" w:color="000000" w:sz="4" w:space="0"/>
              <w:right w:val="single" w:color="000000" w:sz="4" w:space="0"/>
            </w:tcBorders>
            <w:vAlign w:val="center"/>
          </w:tcPr>
          <w:p w14:paraId="276AD68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15.06</w:t>
            </w:r>
          </w:p>
        </w:tc>
        <w:tc>
          <w:tcPr>
            <w:tcW w:w="660" w:type="dxa"/>
            <w:tcBorders>
              <w:top w:val="single" w:color="000000" w:sz="4" w:space="0"/>
              <w:left w:val="single" w:color="000000" w:sz="4" w:space="0"/>
              <w:bottom w:val="single" w:color="000000" w:sz="4" w:space="0"/>
              <w:right w:val="single" w:color="000000" w:sz="4" w:space="0"/>
            </w:tcBorders>
            <w:vAlign w:val="center"/>
          </w:tcPr>
          <w:p w14:paraId="673490D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w:t>
            </w:r>
          </w:p>
        </w:tc>
      </w:tr>
      <w:tr w14:paraId="45E9729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9CC8BE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3.1.1.2.6</w:t>
            </w:r>
          </w:p>
        </w:tc>
        <w:tc>
          <w:tcPr>
            <w:tcW w:w="1035" w:type="dxa"/>
            <w:tcBorders>
              <w:top w:val="single" w:color="000000" w:sz="4" w:space="0"/>
              <w:left w:val="single" w:color="000000" w:sz="4" w:space="0"/>
              <w:bottom w:val="single" w:color="000000" w:sz="4" w:space="0"/>
              <w:right w:val="single" w:color="000000" w:sz="4" w:space="0"/>
            </w:tcBorders>
            <w:vAlign w:val="center"/>
          </w:tcPr>
          <w:p w14:paraId="4D36A5E9">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LED屏包边</w:t>
            </w:r>
          </w:p>
        </w:tc>
        <w:tc>
          <w:tcPr>
            <w:tcW w:w="6176" w:type="dxa"/>
            <w:tcBorders>
              <w:top w:val="single" w:color="000000" w:sz="4" w:space="0"/>
              <w:left w:val="single" w:color="000000" w:sz="4" w:space="0"/>
              <w:bottom w:val="single" w:color="000000" w:sz="4" w:space="0"/>
              <w:right w:val="nil"/>
            </w:tcBorders>
            <w:vAlign w:val="center"/>
          </w:tcPr>
          <w:p w14:paraId="6E996895">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上下左右黑色不锈钢包边≥5cm，不含屏体以外其他装饰面</w:t>
            </w:r>
          </w:p>
          <w:p w14:paraId="52A012FD">
            <w:pPr>
              <w:pStyle w:val="59"/>
              <w:spacing w:after="0" w:line="279" w:lineRule="auto"/>
              <w:jc w:val="both"/>
              <w:rPr>
                <w:color w:val="auto"/>
                <w:highlight w:val="none"/>
              </w:rPr>
            </w:pPr>
            <w:r>
              <w:rPr>
                <w:rFonts w:hint="eastAsia" w:ascii="宋体" w:hAnsi="宋体" w:eastAsia="宋体" w:cs="宋体"/>
                <w:b w:val="0"/>
                <w:bCs/>
                <w:color w:val="auto"/>
                <w:szCs w:val="21"/>
                <w:highlight w:val="none"/>
              </w:rPr>
              <w:t>包含仓储、物流、二次运输、安装、调平整度、运维费用</w:t>
            </w:r>
          </w:p>
        </w:tc>
        <w:tc>
          <w:tcPr>
            <w:tcW w:w="754" w:type="dxa"/>
            <w:tcBorders>
              <w:top w:val="single" w:color="000000" w:sz="4" w:space="0"/>
              <w:left w:val="single" w:color="000000" w:sz="4" w:space="0"/>
              <w:bottom w:val="single" w:color="000000" w:sz="4" w:space="0"/>
              <w:right w:val="single" w:color="000000" w:sz="4" w:space="0"/>
            </w:tcBorders>
            <w:vAlign w:val="center"/>
          </w:tcPr>
          <w:p w14:paraId="33174D1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15.06</w:t>
            </w:r>
          </w:p>
        </w:tc>
        <w:tc>
          <w:tcPr>
            <w:tcW w:w="660" w:type="dxa"/>
            <w:tcBorders>
              <w:top w:val="single" w:color="000000" w:sz="4" w:space="0"/>
              <w:left w:val="single" w:color="000000" w:sz="4" w:space="0"/>
              <w:bottom w:val="single" w:color="000000" w:sz="4" w:space="0"/>
              <w:right w:val="single" w:color="000000" w:sz="4" w:space="0"/>
            </w:tcBorders>
            <w:vAlign w:val="center"/>
          </w:tcPr>
          <w:p w14:paraId="7F40DF1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w:t>
            </w:r>
          </w:p>
        </w:tc>
      </w:tr>
      <w:tr w14:paraId="1C5C294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710F825">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3.1.1.2.7</w:t>
            </w:r>
          </w:p>
        </w:tc>
        <w:tc>
          <w:tcPr>
            <w:tcW w:w="1035" w:type="dxa"/>
            <w:tcBorders>
              <w:top w:val="single" w:color="000000" w:sz="4" w:space="0"/>
              <w:left w:val="single" w:color="000000" w:sz="4" w:space="0"/>
              <w:bottom w:val="single" w:color="000000" w:sz="4" w:space="0"/>
              <w:right w:val="single" w:color="000000" w:sz="4" w:space="0"/>
            </w:tcBorders>
            <w:vAlign w:val="center"/>
          </w:tcPr>
          <w:p w14:paraId="137B1B1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HDMI线缆</w:t>
            </w:r>
          </w:p>
        </w:tc>
        <w:tc>
          <w:tcPr>
            <w:tcW w:w="6176" w:type="dxa"/>
            <w:tcBorders>
              <w:top w:val="single" w:color="000000" w:sz="4" w:space="0"/>
              <w:left w:val="single" w:color="000000" w:sz="4" w:space="0"/>
              <w:bottom w:val="single" w:color="000000" w:sz="4" w:space="0"/>
              <w:right w:val="nil"/>
            </w:tcBorders>
            <w:vAlign w:val="center"/>
          </w:tcPr>
          <w:p w14:paraId="3E42B78B">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1、HDMI 1.4 4K30Hz铜缆 （15米）；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2、端子镀金，耐氧化，阻抗小，信号传输更稳定；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3、端子内部特殊设计，增强端子和线缆连接强度；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4、环保加厚外被，耐磨不易破裂，经久耐用；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5、支持HDMI 4K30Hz信号稳定传输；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6、即插即用，无需驱动程序；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7、线缆类型（音视频线）：铜缆；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8、视频版本：HDMI 1.4；</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9、支持最大分辨率：≥4K 30Hz；</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10、接口类型：HDMI。</w:t>
            </w:r>
          </w:p>
        </w:tc>
        <w:tc>
          <w:tcPr>
            <w:tcW w:w="754" w:type="dxa"/>
            <w:tcBorders>
              <w:top w:val="single" w:color="000000" w:sz="4" w:space="0"/>
              <w:left w:val="single" w:color="000000" w:sz="4" w:space="0"/>
              <w:bottom w:val="single" w:color="000000" w:sz="4" w:space="0"/>
              <w:right w:val="single" w:color="000000" w:sz="4" w:space="0"/>
            </w:tcBorders>
            <w:vAlign w:val="center"/>
          </w:tcPr>
          <w:p w14:paraId="72938B3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2182E0A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758A9E2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33FF22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3.1.1.2.8</w:t>
            </w:r>
          </w:p>
        </w:tc>
        <w:tc>
          <w:tcPr>
            <w:tcW w:w="1035" w:type="dxa"/>
            <w:tcBorders>
              <w:top w:val="single" w:color="000000" w:sz="4" w:space="0"/>
              <w:left w:val="single" w:color="000000" w:sz="4" w:space="0"/>
              <w:bottom w:val="single" w:color="000000" w:sz="4" w:space="0"/>
              <w:right w:val="single" w:color="000000" w:sz="4" w:space="0"/>
            </w:tcBorders>
            <w:vAlign w:val="center"/>
          </w:tcPr>
          <w:p w14:paraId="3A1207E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HDMI线缆</w:t>
            </w:r>
          </w:p>
        </w:tc>
        <w:tc>
          <w:tcPr>
            <w:tcW w:w="6176" w:type="dxa"/>
            <w:tcBorders>
              <w:top w:val="single" w:color="000000" w:sz="4" w:space="0"/>
              <w:left w:val="single" w:color="000000" w:sz="4" w:space="0"/>
              <w:bottom w:val="single" w:color="000000" w:sz="4" w:space="0"/>
              <w:right w:val="nil"/>
            </w:tcBorders>
            <w:vAlign w:val="center"/>
          </w:tcPr>
          <w:p w14:paraId="7E876BA4">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1、HDMI 1.4 4K30Hz铜缆 （1.5米）；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2、端子镀金，耐氧化，阻抗小，信号传输更稳定；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3、端子内部特殊设计，增强端子和线缆连接强度；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4、环保加厚外被，耐磨不易破裂，经久耐用；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5、支持HDMI 4K30Hz信号稳定传输；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6、即插即用，无需驱动程序；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7、线缆类型（音视频线）：铜缆；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8、视频版本：HDMI 1.4；</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9、支持最大分辨率：≥4K 30Hz；</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10、接口类型：HDMI。</w:t>
            </w:r>
          </w:p>
        </w:tc>
        <w:tc>
          <w:tcPr>
            <w:tcW w:w="754" w:type="dxa"/>
            <w:tcBorders>
              <w:top w:val="single" w:color="000000" w:sz="4" w:space="0"/>
              <w:left w:val="single" w:color="000000" w:sz="4" w:space="0"/>
              <w:bottom w:val="single" w:color="000000" w:sz="4" w:space="0"/>
              <w:right w:val="single" w:color="000000" w:sz="4" w:space="0"/>
            </w:tcBorders>
            <w:vAlign w:val="center"/>
          </w:tcPr>
          <w:p w14:paraId="533EEBD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075DE06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5076ED5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9FCF3F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3.1.1.2.9</w:t>
            </w:r>
          </w:p>
        </w:tc>
        <w:tc>
          <w:tcPr>
            <w:tcW w:w="1035" w:type="dxa"/>
            <w:tcBorders>
              <w:top w:val="single" w:color="000000" w:sz="4" w:space="0"/>
              <w:left w:val="single" w:color="000000" w:sz="4" w:space="0"/>
              <w:bottom w:val="single" w:color="000000" w:sz="4" w:space="0"/>
              <w:right w:val="single" w:color="000000" w:sz="4" w:space="0"/>
            </w:tcBorders>
            <w:vAlign w:val="center"/>
          </w:tcPr>
          <w:p w14:paraId="1B4ABFF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三芯电源跳线</w:t>
            </w:r>
          </w:p>
        </w:tc>
        <w:tc>
          <w:tcPr>
            <w:tcW w:w="6176" w:type="dxa"/>
            <w:tcBorders>
              <w:top w:val="single" w:color="000000" w:sz="4" w:space="0"/>
              <w:left w:val="single" w:color="000000" w:sz="4" w:space="0"/>
              <w:bottom w:val="single" w:color="000000" w:sz="4" w:space="0"/>
              <w:right w:val="nil"/>
            </w:tcBorders>
            <w:vAlign w:val="center"/>
          </w:tcPr>
          <w:p w14:paraId="6A2DE6E5">
            <w:pPr>
              <w:widowControl/>
              <w:spacing w:after="0" w:line="279" w:lineRule="auto"/>
              <w:textAlignment w:val="center"/>
              <w:rPr>
                <w:rFonts w:ascii="宋体" w:hAnsi="宋体" w:cs="宋体"/>
                <w:bCs/>
                <w:color w:val="auto"/>
                <w:szCs w:val="21"/>
                <w:highlight w:val="none"/>
              </w:rPr>
            </w:pPr>
            <w:r>
              <w:rPr>
                <w:rFonts w:hint="eastAsia" w:ascii="宋体" w:hAnsi="宋体" w:cs="宋体"/>
                <w:bCs/>
                <w:color w:val="auto"/>
                <w:szCs w:val="21"/>
                <w:highlight w:val="none"/>
              </w:rPr>
              <w:t>ZR-YJV-3*6</w:t>
            </w:r>
            <w:r>
              <w:rPr>
                <w:rFonts w:hint="eastAsia" w:ascii="宋体" w:hAnsi="宋体" w:cs="宋体"/>
                <w:bCs/>
                <w:color w:val="auto"/>
                <w:sz w:val="24"/>
                <w:highlight w:val="none"/>
              </w:rPr>
              <w:t>mm²</w:t>
            </w:r>
            <w:r>
              <w:rPr>
                <w:rFonts w:hint="eastAsia" w:ascii="宋体" w:hAnsi="宋体" w:cs="宋体"/>
                <w:bCs/>
                <w:color w:val="auto"/>
                <w:szCs w:val="21"/>
                <w:highlight w:val="none"/>
              </w:rPr>
              <w:t xml:space="preserve"> 100cm成品跳线</w:t>
            </w:r>
          </w:p>
          <w:p w14:paraId="27D8AD16">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无氧铜线芯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环保绝缘、护被，耐磨耐拉伸，抗潮防冻，抵抗各种恶劣气候，可靠耐用。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线芯同心度高，绝缘和护套厚度均匀，防止击穿，符合国家3C认证，全力保障用电安全。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线芯绝缘标识清晰，便于区分，便于施工识别。</w:t>
            </w:r>
          </w:p>
        </w:tc>
        <w:tc>
          <w:tcPr>
            <w:tcW w:w="754" w:type="dxa"/>
            <w:tcBorders>
              <w:top w:val="single" w:color="000000" w:sz="4" w:space="0"/>
              <w:left w:val="single" w:color="000000" w:sz="4" w:space="0"/>
              <w:bottom w:val="single" w:color="000000" w:sz="4" w:space="0"/>
              <w:right w:val="single" w:color="000000" w:sz="4" w:space="0"/>
            </w:tcBorders>
            <w:vAlign w:val="center"/>
          </w:tcPr>
          <w:p w14:paraId="31FEB11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42</w:t>
            </w:r>
          </w:p>
        </w:tc>
        <w:tc>
          <w:tcPr>
            <w:tcW w:w="660" w:type="dxa"/>
            <w:tcBorders>
              <w:top w:val="single" w:color="000000" w:sz="4" w:space="0"/>
              <w:left w:val="single" w:color="000000" w:sz="4" w:space="0"/>
              <w:bottom w:val="single" w:color="000000" w:sz="4" w:space="0"/>
              <w:right w:val="single" w:color="000000" w:sz="4" w:space="0"/>
            </w:tcBorders>
            <w:vAlign w:val="center"/>
          </w:tcPr>
          <w:p w14:paraId="50A8876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4053AAC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C94F50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3.1.1.2.10</w:t>
            </w:r>
          </w:p>
        </w:tc>
        <w:tc>
          <w:tcPr>
            <w:tcW w:w="1035" w:type="dxa"/>
            <w:tcBorders>
              <w:top w:val="single" w:color="000000" w:sz="4" w:space="0"/>
              <w:left w:val="single" w:color="000000" w:sz="4" w:space="0"/>
              <w:bottom w:val="single" w:color="000000" w:sz="4" w:space="0"/>
              <w:right w:val="single" w:color="000000" w:sz="4" w:space="0"/>
            </w:tcBorders>
            <w:vAlign w:val="center"/>
          </w:tcPr>
          <w:p w14:paraId="2A5ACB7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三芯电源跳线</w:t>
            </w:r>
          </w:p>
        </w:tc>
        <w:tc>
          <w:tcPr>
            <w:tcW w:w="6176" w:type="dxa"/>
            <w:tcBorders>
              <w:top w:val="single" w:color="000000" w:sz="4" w:space="0"/>
              <w:left w:val="single" w:color="000000" w:sz="4" w:space="0"/>
              <w:bottom w:val="single" w:color="000000" w:sz="4" w:space="0"/>
              <w:right w:val="nil"/>
            </w:tcBorders>
            <w:vAlign w:val="center"/>
          </w:tcPr>
          <w:p w14:paraId="624F28F9">
            <w:pPr>
              <w:widowControl/>
              <w:spacing w:after="0" w:line="279" w:lineRule="auto"/>
              <w:textAlignment w:val="center"/>
              <w:rPr>
                <w:rFonts w:ascii="宋体" w:hAnsi="宋体" w:cs="宋体"/>
                <w:bCs/>
                <w:color w:val="auto"/>
                <w:szCs w:val="21"/>
                <w:highlight w:val="none"/>
              </w:rPr>
            </w:pPr>
            <w:r>
              <w:rPr>
                <w:rFonts w:hint="eastAsia" w:ascii="宋体" w:hAnsi="宋体" w:cs="宋体"/>
                <w:bCs/>
                <w:color w:val="auto"/>
                <w:szCs w:val="21"/>
                <w:highlight w:val="none"/>
              </w:rPr>
              <w:t>ZR-YJV-3*6</w:t>
            </w:r>
            <w:r>
              <w:rPr>
                <w:rFonts w:hint="eastAsia" w:ascii="宋体" w:hAnsi="宋体" w:cs="宋体"/>
                <w:bCs/>
                <w:color w:val="auto"/>
                <w:sz w:val="24"/>
                <w:highlight w:val="none"/>
              </w:rPr>
              <w:t>mm²</w:t>
            </w:r>
            <w:r>
              <w:rPr>
                <w:rFonts w:hint="eastAsia" w:ascii="宋体" w:hAnsi="宋体" w:cs="宋体"/>
                <w:bCs/>
                <w:color w:val="auto"/>
                <w:szCs w:val="21"/>
                <w:highlight w:val="none"/>
              </w:rPr>
              <w:t xml:space="preserve"> 135cm成品跳线</w:t>
            </w:r>
          </w:p>
          <w:p w14:paraId="12E90349">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无氧铜线芯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环保绝缘、护被，耐磨耐拉伸，抗潮防冻，抵抗各种恶劣气候，可靠耐用。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线芯同心度高，绝缘和护套厚度均匀，防止击穿，符合国家3C认证，全力保障用电安全。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线芯绝缘标识清晰，便于区分，便于施工识别。</w:t>
            </w:r>
          </w:p>
        </w:tc>
        <w:tc>
          <w:tcPr>
            <w:tcW w:w="754" w:type="dxa"/>
            <w:tcBorders>
              <w:top w:val="single" w:color="000000" w:sz="4" w:space="0"/>
              <w:left w:val="single" w:color="000000" w:sz="4" w:space="0"/>
              <w:bottom w:val="single" w:color="000000" w:sz="4" w:space="0"/>
              <w:right w:val="single" w:color="000000" w:sz="4" w:space="0"/>
            </w:tcBorders>
            <w:vAlign w:val="center"/>
          </w:tcPr>
          <w:p w14:paraId="59A95AF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7</w:t>
            </w:r>
          </w:p>
        </w:tc>
        <w:tc>
          <w:tcPr>
            <w:tcW w:w="660" w:type="dxa"/>
            <w:tcBorders>
              <w:top w:val="single" w:color="000000" w:sz="4" w:space="0"/>
              <w:left w:val="single" w:color="000000" w:sz="4" w:space="0"/>
              <w:bottom w:val="single" w:color="000000" w:sz="4" w:space="0"/>
              <w:right w:val="single" w:color="000000" w:sz="4" w:space="0"/>
            </w:tcBorders>
            <w:vAlign w:val="center"/>
          </w:tcPr>
          <w:p w14:paraId="75FBC5E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190DF88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FDE862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3.1.1.2.11</w:t>
            </w:r>
          </w:p>
        </w:tc>
        <w:tc>
          <w:tcPr>
            <w:tcW w:w="1035" w:type="dxa"/>
            <w:tcBorders>
              <w:top w:val="single" w:color="000000" w:sz="4" w:space="0"/>
              <w:left w:val="single" w:color="000000" w:sz="4" w:space="0"/>
              <w:bottom w:val="single" w:color="000000" w:sz="4" w:space="0"/>
              <w:right w:val="single" w:color="000000" w:sz="4" w:space="0"/>
            </w:tcBorders>
            <w:vAlign w:val="center"/>
          </w:tcPr>
          <w:p w14:paraId="65F399D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单元信号线</w:t>
            </w:r>
          </w:p>
        </w:tc>
        <w:tc>
          <w:tcPr>
            <w:tcW w:w="6176" w:type="dxa"/>
            <w:tcBorders>
              <w:top w:val="single" w:color="000000" w:sz="4" w:space="0"/>
              <w:left w:val="single" w:color="000000" w:sz="4" w:space="0"/>
              <w:bottom w:val="single" w:color="000000" w:sz="4" w:space="0"/>
              <w:right w:val="nil"/>
            </w:tcBorders>
            <w:vAlign w:val="center"/>
          </w:tcPr>
          <w:p w14:paraId="2876008D">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无氧铜线芯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环保绝缘、护被，耐磨耐拉伸，抗潮防冻，抵抗各种恶劣气候，可靠耐用。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线芯同心度高，绝缘和护套厚度均匀，防止击穿，符合国家3C认证，全力保障用电安全。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线芯绝缘标识清晰，便于区分，便于施工识别。</w:t>
            </w:r>
          </w:p>
        </w:tc>
        <w:tc>
          <w:tcPr>
            <w:tcW w:w="754" w:type="dxa"/>
            <w:tcBorders>
              <w:top w:val="single" w:color="000000" w:sz="4" w:space="0"/>
              <w:left w:val="single" w:color="000000" w:sz="4" w:space="0"/>
              <w:bottom w:val="single" w:color="000000" w:sz="4" w:space="0"/>
              <w:right w:val="single" w:color="000000" w:sz="4" w:space="0"/>
            </w:tcBorders>
            <w:vAlign w:val="center"/>
          </w:tcPr>
          <w:p w14:paraId="1D70030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14:paraId="17A5BB6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3F54B2D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DE9C75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3.1.1.2.12</w:t>
            </w:r>
          </w:p>
        </w:tc>
        <w:tc>
          <w:tcPr>
            <w:tcW w:w="1035" w:type="dxa"/>
            <w:tcBorders>
              <w:top w:val="single" w:color="000000" w:sz="4" w:space="0"/>
              <w:left w:val="single" w:color="000000" w:sz="4" w:space="0"/>
              <w:bottom w:val="single" w:color="000000" w:sz="4" w:space="0"/>
              <w:right w:val="single" w:color="000000" w:sz="4" w:space="0"/>
            </w:tcBorders>
            <w:vAlign w:val="center"/>
          </w:tcPr>
          <w:p w14:paraId="251F47E9">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接收卡电源线一拖二</w:t>
            </w:r>
          </w:p>
        </w:tc>
        <w:tc>
          <w:tcPr>
            <w:tcW w:w="6176" w:type="dxa"/>
            <w:tcBorders>
              <w:top w:val="single" w:color="000000" w:sz="4" w:space="0"/>
              <w:left w:val="single" w:color="000000" w:sz="4" w:space="0"/>
              <w:bottom w:val="single" w:color="000000" w:sz="4" w:space="0"/>
              <w:right w:val="nil"/>
            </w:tcBorders>
            <w:vAlign w:val="center"/>
          </w:tcPr>
          <w:p w14:paraId="4507F55C">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无氧铜线芯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环保绝缘、护被，耐磨耐拉伸，抗潮防冻，抵抗各种恶劣气候，可靠耐用。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线芯同心度高，绝缘和护套厚度均匀，防止击穿，符合国家3C认证，全力保障用电安全。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线芯绝缘标识清晰，便于区分，便于施工识别。</w:t>
            </w:r>
          </w:p>
        </w:tc>
        <w:tc>
          <w:tcPr>
            <w:tcW w:w="754" w:type="dxa"/>
            <w:tcBorders>
              <w:top w:val="single" w:color="000000" w:sz="4" w:space="0"/>
              <w:left w:val="single" w:color="000000" w:sz="4" w:space="0"/>
              <w:bottom w:val="single" w:color="000000" w:sz="4" w:space="0"/>
              <w:right w:val="single" w:color="000000" w:sz="4" w:space="0"/>
            </w:tcBorders>
            <w:vAlign w:val="center"/>
          </w:tcPr>
          <w:p w14:paraId="2A73D27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48</w:t>
            </w:r>
          </w:p>
        </w:tc>
        <w:tc>
          <w:tcPr>
            <w:tcW w:w="660" w:type="dxa"/>
            <w:tcBorders>
              <w:top w:val="single" w:color="000000" w:sz="4" w:space="0"/>
              <w:left w:val="single" w:color="000000" w:sz="4" w:space="0"/>
              <w:bottom w:val="single" w:color="000000" w:sz="4" w:space="0"/>
              <w:right w:val="single" w:color="000000" w:sz="4" w:space="0"/>
            </w:tcBorders>
            <w:vAlign w:val="center"/>
          </w:tcPr>
          <w:p w14:paraId="06A177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4438675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4B6D80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3.1.1.2.13</w:t>
            </w:r>
          </w:p>
        </w:tc>
        <w:tc>
          <w:tcPr>
            <w:tcW w:w="1035" w:type="dxa"/>
            <w:tcBorders>
              <w:top w:val="single" w:color="000000" w:sz="4" w:space="0"/>
              <w:left w:val="single" w:color="000000" w:sz="4" w:space="0"/>
              <w:bottom w:val="single" w:color="000000" w:sz="4" w:space="0"/>
              <w:right w:val="single" w:color="000000" w:sz="4" w:space="0"/>
            </w:tcBorders>
            <w:vAlign w:val="center"/>
          </w:tcPr>
          <w:p w14:paraId="1D00941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网络跳线</w:t>
            </w:r>
          </w:p>
        </w:tc>
        <w:tc>
          <w:tcPr>
            <w:tcW w:w="6176" w:type="dxa"/>
            <w:tcBorders>
              <w:top w:val="single" w:color="000000" w:sz="4" w:space="0"/>
              <w:left w:val="single" w:color="000000" w:sz="4" w:space="0"/>
              <w:bottom w:val="single" w:color="000000" w:sz="4" w:space="0"/>
              <w:right w:val="nil"/>
            </w:tcBorders>
            <w:vAlign w:val="center"/>
          </w:tcPr>
          <w:p w14:paraId="586395A3">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1、支持千兆传输速率；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2、纯铜线芯，紧密双绞架构，信号传输稳定可靠，抗干扰性能优良；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3、采用PVC加厚环保外被，耐磨抗拉，强韧不断裂；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4、水晶头内部芯片采用三叉结构设计，接触点镀金≥15um，芯片和线芯接触更稳定，增强信号传导性能，信号衰减更小，传输更稳定；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5、水晶头采用环保韧性弹片，耐插拔，韧性高，经久耐用；</w:t>
            </w:r>
          </w:p>
        </w:tc>
        <w:tc>
          <w:tcPr>
            <w:tcW w:w="754" w:type="dxa"/>
            <w:tcBorders>
              <w:top w:val="single" w:color="000000" w:sz="4" w:space="0"/>
              <w:left w:val="single" w:color="000000" w:sz="4" w:space="0"/>
              <w:bottom w:val="single" w:color="000000" w:sz="4" w:space="0"/>
              <w:right w:val="single" w:color="000000" w:sz="4" w:space="0"/>
            </w:tcBorders>
            <w:vAlign w:val="center"/>
          </w:tcPr>
          <w:p w14:paraId="150FD56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44</w:t>
            </w:r>
          </w:p>
        </w:tc>
        <w:tc>
          <w:tcPr>
            <w:tcW w:w="660" w:type="dxa"/>
            <w:tcBorders>
              <w:top w:val="single" w:color="000000" w:sz="4" w:space="0"/>
              <w:left w:val="single" w:color="000000" w:sz="4" w:space="0"/>
              <w:bottom w:val="single" w:color="000000" w:sz="4" w:space="0"/>
              <w:right w:val="single" w:color="000000" w:sz="4" w:space="0"/>
            </w:tcBorders>
            <w:vAlign w:val="center"/>
          </w:tcPr>
          <w:p w14:paraId="72CE348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6B02232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333F5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3.1.1.2.14</w:t>
            </w:r>
          </w:p>
        </w:tc>
        <w:tc>
          <w:tcPr>
            <w:tcW w:w="1035" w:type="dxa"/>
            <w:tcBorders>
              <w:top w:val="single" w:color="000000" w:sz="4" w:space="0"/>
              <w:left w:val="single" w:color="000000" w:sz="4" w:space="0"/>
              <w:bottom w:val="single" w:color="000000" w:sz="4" w:space="0"/>
              <w:right w:val="single" w:color="000000" w:sz="4" w:space="0"/>
            </w:tcBorders>
            <w:vAlign w:val="center"/>
          </w:tcPr>
          <w:p w14:paraId="016330E9">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磁铁</w:t>
            </w:r>
          </w:p>
        </w:tc>
        <w:tc>
          <w:tcPr>
            <w:tcW w:w="6176" w:type="dxa"/>
            <w:tcBorders>
              <w:top w:val="single" w:color="000000" w:sz="4" w:space="0"/>
              <w:left w:val="single" w:color="000000" w:sz="4" w:space="0"/>
              <w:bottom w:val="single" w:color="000000" w:sz="4" w:space="0"/>
              <w:right w:val="single" w:color="000000" w:sz="4" w:space="0"/>
            </w:tcBorders>
            <w:vAlign w:val="center"/>
          </w:tcPr>
          <w:p w14:paraId="5A879282">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国产定制,LED模组磁柱 规格M4 14*12+5</w:t>
            </w:r>
          </w:p>
        </w:tc>
        <w:tc>
          <w:tcPr>
            <w:tcW w:w="754" w:type="dxa"/>
            <w:tcBorders>
              <w:top w:val="single" w:color="000000" w:sz="4" w:space="0"/>
              <w:left w:val="single" w:color="000000" w:sz="4" w:space="0"/>
              <w:bottom w:val="single" w:color="000000" w:sz="4" w:space="0"/>
              <w:right w:val="single" w:color="000000" w:sz="4" w:space="0"/>
            </w:tcBorders>
            <w:vAlign w:val="center"/>
          </w:tcPr>
          <w:p w14:paraId="5DEA93A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14:paraId="30A6B9A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04E84A3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BAFFF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3.1.1.2.15</w:t>
            </w:r>
          </w:p>
        </w:tc>
        <w:tc>
          <w:tcPr>
            <w:tcW w:w="1035" w:type="dxa"/>
            <w:tcBorders>
              <w:top w:val="single" w:color="000000" w:sz="4" w:space="0"/>
              <w:left w:val="single" w:color="000000" w:sz="4" w:space="0"/>
              <w:bottom w:val="single" w:color="000000" w:sz="4" w:space="0"/>
              <w:right w:val="single" w:color="000000" w:sz="4" w:space="0"/>
            </w:tcBorders>
            <w:vAlign w:val="center"/>
          </w:tcPr>
          <w:p w14:paraId="1B22ED8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主干电源线</w:t>
            </w:r>
          </w:p>
        </w:tc>
        <w:tc>
          <w:tcPr>
            <w:tcW w:w="6176" w:type="dxa"/>
            <w:tcBorders>
              <w:top w:val="single" w:color="000000" w:sz="4" w:space="0"/>
              <w:left w:val="single" w:color="000000" w:sz="4" w:space="0"/>
              <w:bottom w:val="single" w:color="000000" w:sz="4" w:space="0"/>
              <w:right w:val="nil"/>
            </w:tcBorders>
            <w:vAlign w:val="center"/>
          </w:tcPr>
          <w:p w14:paraId="3DDEB192">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1、规格ZR-BV10mm2；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2、阻燃性能符合GB/T 18380.3-2001标准B级以上阻燃；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7427C1D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w:t>
            </w:r>
          </w:p>
        </w:tc>
        <w:tc>
          <w:tcPr>
            <w:tcW w:w="660" w:type="dxa"/>
            <w:tcBorders>
              <w:top w:val="single" w:color="000000" w:sz="4" w:space="0"/>
              <w:left w:val="single" w:color="000000" w:sz="4" w:space="0"/>
              <w:bottom w:val="single" w:color="000000" w:sz="4" w:space="0"/>
              <w:right w:val="single" w:color="000000" w:sz="4" w:space="0"/>
            </w:tcBorders>
            <w:vAlign w:val="center"/>
          </w:tcPr>
          <w:p w14:paraId="0FD1355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34A5336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422588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3.1.1.2.16</w:t>
            </w:r>
          </w:p>
        </w:tc>
        <w:tc>
          <w:tcPr>
            <w:tcW w:w="1035" w:type="dxa"/>
            <w:tcBorders>
              <w:top w:val="single" w:color="000000" w:sz="4" w:space="0"/>
              <w:left w:val="single" w:color="000000" w:sz="4" w:space="0"/>
              <w:bottom w:val="single" w:color="000000" w:sz="4" w:space="0"/>
              <w:right w:val="single" w:color="000000" w:sz="4" w:space="0"/>
            </w:tcBorders>
            <w:vAlign w:val="center"/>
          </w:tcPr>
          <w:p w14:paraId="6168777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电缆</w:t>
            </w:r>
          </w:p>
        </w:tc>
        <w:tc>
          <w:tcPr>
            <w:tcW w:w="6176" w:type="dxa"/>
            <w:tcBorders>
              <w:top w:val="single" w:color="000000" w:sz="4" w:space="0"/>
              <w:left w:val="single" w:color="000000" w:sz="4" w:space="0"/>
              <w:bottom w:val="single" w:color="000000" w:sz="4" w:space="0"/>
              <w:right w:val="nil"/>
            </w:tcBorders>
            <w:vAlign w:val="center"/>
          </w:tcPr>
          <w:p w14:paraId="2E0EFAFA">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1、规格ZR-RVV3*2.5mm2；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标准B级以上阻燃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24EA4D2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073C994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1C2C26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BF5CE0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3.1.1.3</w:t>
            </w:r>
          </w:p>
        </w:tc>
        <w:tc>
          <w:tcPr>
            <w:tcW w:w="1035" w:type="dxa"/>
            <w:tcBorders>
              <w:top w:val="single" w:color="000000" w:sz="4" w:space="0"/>
              <w:left w:val="single" w:color="000000" w:sz="4" w:space="0"/>
              <w:bottom w:val="single" w:color="000000" w:sz="4" w:space="0"/>
              <w:right w:val="single" w:color="000000" w:sz="4" w:space="0"/>
            </w:tcBorders>
            <w:vAlign w:val="center"/>
          </w:tcPr>
          <w:p w14:paraId="4BE3D235">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图形工作站设备</w:t>
            </w:r>
          </w:p>
        </w:tc>
        <w:tc>
          <w:tcPr>
            <w:tcW w:w="6176" w:type="dxa"/>
            <w:tcBorders>
              <w:top w:val="single" w:color="000000" w:sz="4" w:space="0"/>
              <w:left w:val="single" w:color="000000" w:sz="4" w:space="0"/>
              <w:bottom w:val="single" w:color="000000" w:sz="4" w:space="0"/>
              <w:right w:val="nil"/>
            </w:tcBorders>
            <w:vAlign w:val="center"/>
          </w:tcPr>
          <w:p w14:paraId="6B8763A5">
            <w:pPr>
              <w:widowControl/>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AD1FC04">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B7E24BE">
            <w:pPr>
              <w:jc w:val="center"/>
              <w:rPr>
                <w:rFonts w:ascii="宋体" w:hAnsi="宋体" w:cs="宋体"/>
                <w:color w:val="auto"/>
                <w:szCs w:val="22"/>
                <w:highlight w:val="none"/>
              </w:rPr>
            </w:pPr>
          </w:p>
        </w:tc>
      </w:tr>
      <w:tr w14:paraId="0F195F6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0784CF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3.1.1.3.1</w:t>
            </w:r>
          </w:p>
        </w:tc>
        <w:tc>
          <w:tcPr>
            <w:tcW w:w="1035" w:type="dxa"/>
            <w:tcBorders>
              <w:top w:val="single" w:color="000000" w:sz="4" w:space="0"/>
              <w:left w:val="single" w:color="000000" w:sz="4" w:space="0"/>
              <w:bottom w:val="single" w:color="000000" w:sz="4" w:space="0"/>
              <w:right w:val="single" w:color="000000" w:sz="4" w:space="0"/>
            </w:tcBorders>
            <w:vAlign w:val="center"/>
          </w:tcPr>
          <w:p w14:paraId="432E5B03">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图形工作站</w:t>
            </w:r>
          </w:p>
        </w:tc>
        <w:tc>
          <w:tcPr>
            <w:tcW w:w="6176" w:type="dxa"/>
            <w:tcBorders>
              <w:top w:val="single" w:color="000000" w:sz="4" w:space="0"/>
              <w:left w:val="single" w:color="000000" w:sz="4" w:space="0"/>
              <w:bottom w:val="single" w:color="000000" w:sz="4" w:space="0"/>
              <w:right w:val="single" w:color="000000" w:sz="4" w:space="0"/>
            </w:tcBorders>
            <w:vAlign w:val="center"/>
          </w:tcPr>
          <w:p w14:paraId="3830872A">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▲1、处理器：≥20核，≥28线程，≥主频5.4G以上性能芯片；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▲2、内存：≥32GB DDR5 5600MHz内存，最高支持128GB；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▲3、硬盘：≥1TB HDD硬盘；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▲4、显卡：≥8G显存；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5、音频：集成5.1声道高清声卡，≥2个前置音频接口；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6、网卡：≥1个2.5Gbe有线网口；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7、接口：≥1个USB接口，其中前置≥6个USB接口，包含一个USB-C接口支持USB 3.2 Gen2x2 (20Gbps，支持关机充电)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后置≥4个USB接口，包含一个指定接口支持键盘开机，前置1个耳机麦克风二合一接口+1个麦克风口，后置音频接口≥3个；</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8、视频接口：≥4个数字视频输出端口，其中HDMI≥2个，DP1.4≥1个，USB-C≥1个，支持原生4屏扩展；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9、支持智能USB接口管理功能；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10、全中文BIOS界面，支持智能USB接口管理功能，支持硬盘数据安全擦除，保护客户数据安全。</w:t>
            </w:r>
          </w:p>
        </w:tc>
        <w:tc>
          <w:tcPr>
            <w:tcW w:w="754" w:type="dxa"/>
            <w:tcBorders>
              <w:top w:val="single" w:color="000000" w:sz="4" w:space="0"/>
              <w:left w:val="single" w:color="000000" w:sz="4" w:space="0"/>
              <w:bottom w:val="single" w:color="000000" w:sz="4" w:space="0"/>
              <w:right w:val="single" w:color="000000" w:sz="4" w:space="0"/>
            </w:tcBorders>
            <w:vAlign w:val="center"/>
          </w:tcPr>
          <w:p w14:paraId="63AF604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0CB41AB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9288EF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158E90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3.1.1.3.2</w:t>
            </w:r>
          </w:p>
        </w:tc>
        <w:tc>
          <w:tcPr>
            <w:tcW w:w="1035" w:type="dxa"/>
            <w:tcBorders>
              <w:top w:val="single" w:color="000000" w:sz="4" w:space="0"/>
              <w:left w:val="single" w:color="000000" w:sz="4" w:space="0"/>
              <w:bottom w:val="single" w:color="000000" w:sz="4" w:space="0"/>
              <w:right w:val="single" w:color="000000" w:sz="4" w:space="0"/>
            </w:tcBorders>
            <w:vAlign w:val="center"/>
          </w:tcPr>
          <w:p w14:paraId="1829203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4K显示器</w:t>
            </w:r>
          </w:p>
        </w:tc>
        <w:tc>
          <w:tcPr>
            <w:tcW w:w="6176" w:type="dxa"/>
            <w:tcBorders>
              <w:top w:val="single" w:color="000000" w:sz="4" w:space="0"/>
              <w:left w:val="single" w:color="000000" w:sz="4" w:space="0"/>
              <w:bottom w:val="single" w:color="000000" w:sz="4" w:space="0"/>
              <w:right w:val="single" w:color="000000" w:sz="4" w:space="0"/>
            </w:tcBorders>
            <w:vAlign w:val="center"/>
          </w:tcPr>
          <w:p w14:paraId="7396633D">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▲1、显示器尺寸：≥27寸；</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▲2、分辨率：≥3840x2160；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3、面板类型：IPS技术屏；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4、刷新率：60Hz；</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5、宽高比：16:9；</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6、亮度：350 cd/m2；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7、视频接口：≥全功能Type-Cx1、≥HDMI2.1x1、≥DP1.4x1；</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8、音频接口：3.5mm Audio out x1；</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9、数据接口：≥USB-B x1(上行)、≥USB-A x4(下行)；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10、网络接口：RJ45(1000M)x 1；</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11、附件：HDMI线x1、DP线x1、全功能Type-C线x1、USB-B线 x1、电源线 x1。</w:t>
            </w:r>
          </w:p>
        </w:tc>
        <w:tc>
          <w:tcPr>
            <w:tcW w:w="754" w:type="dxa"/>
            <w:tcBorders>
              <w:top w:val="single" w:color="000000" w:sz="4" w:space="0"/>
              <w:left w:val="single" w:color="000000" w:sz="4" w:space="0"/>
              <w:bottom w:val="single" w:color="000000" w:sz="4" w:space="0"/>
              <w:right w:val="single" w:color="000000" w:sz="4" w:space="0"/>
            </w:tcBorders>
            <w:vAlign w:val="center"/>
          </w:tcPr>
          <w:p w14:paraId="4736B72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091AE9D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276822B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3ABA952">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3.1.2</w:t>
            </w:r>
          </w:p>
        </w:tc>
        <w:tc>
          <w:tcPr>
            <w:tcW w:w="1035" w:type="dxa"/>
            <w:tcBorders>
              <w:top w:val="single" w:color="000000" w:sz="4" w:space="0"/>
              <w:left w:val="single" w:color="000000" w:sz="4" w:space="0"/>
              <w:bottom w:val="single" w:color="000000" w:sz="4" w:space="0"/>
              <w:right w:val="single" w:color="000000" w:sz="4" w:space="0"/>
            </w:tcBorders>
            <w:vAlign w:val="center"/>
          </w:tcPr>
          <w:p w14:paraId="2BA8BCA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视频会议系统</w:t>
            </w:r>
          </w:p>
        </w:tc>
        <w:tc>
          <w:tcPr>
            <w:tcW w:w="6176" w:type="dxa"/>
            <w:tcBorders>
              <w:top w:val="single" w:color="000000" w:sz="4" w:space="0"/>
              <w:left w:val="single" w:color="000000" w:sz="4" w:space="0"/>
              <w:bottom w:val="single" w:color="000000" w:sz="4" w:space="0"/>
              <w:right w:val="nil"/>
            </w:tcBorders>
            <w:vAlign w:val="center"/>
          </w:tcPr>
          <w:p w14:paraId="68D8DB12">
            <w:pPr>
              <w:widowControl/>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E205AB4">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DF1D0B9">
            <w:pPr>
              <w:jc w:val="center"/>
              <w:rPr>
                <w:rFonts w:ascii="宋体" w:hAnsi="宋体" w:cs="宋体"/>
                <w:color w:val="auto"/>
                <w:szCs w:val="22"/>
                <w:highlight w:val="none"/>
              </w:rPr>
            </w:pPr>
          </w:p>
        </w:tc>
      </w:tr>
      <w:tr w14:paraId="4835670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0428FD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3.1.2.1</w:t>
            </w:r>
          </w:p>
        </w:tc>
        <w:tc>
          <w:tcPr>
            <w:tcW w:w="1035" w:type="dxa"/>
            <w:tcBorders>
              <w:top w:val="single" w:color="000000" w:sz="4" w:space="0"/>
              <w:left w:val="single" w:color="000000" w:sz="4" w:space="0"/>
              <w:bottom w:val="single" w:color="000000" w:sz="4" w:space="0"/>
              <w:right w:val="single" w:color="000000" w:sz="4" w:space="0"/>
            </w:tcBorders>
            <w:vAlign w:val="center"/>
          </w:tcPr>
          <w:p w14:paraId="0E44CED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65寸会议屏</w:t>
            </w:r>
          </w:p>
        </w:tc>
        <w:tc>
          <w:tcPr>
            <w:tcW w:w="6176" w:type="dxa"/>
            <w:tcBorders>
              <w:top w:val="single" w:color="000000" w:sz="4" w:space="0"/>
              <w:left w:val="single" w:color="000000" w:sz="4" w:space="0"/>
              <w:bottom w:val="single" w:color="000000" w:sz="4" w:space="0"/>
              <w:right w:val="single" w:color="000000" w:sz="4" w:space="0"/>
            </w:tcBorders>
            <w:vAlign w:val="center"/>
          </w:tcPr>
          <w:p w14:paraId="6B1EC29A">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▲1.尺寸不低于65寸，背光类型为E-LED；</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▲2.屏幕分辨率≥3840×2160；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可视角度≥178°；</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内置音响，功率≥15W*2；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内置≥8颗麦克风阵列，支持自动增益，智能滤噪（0-24KHz），声源定位；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前置多功能物理按键，按键支持一键亮熄屏、一键开关机；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内置摄像头分辨率≥4K，最大视角水平≥120°，垂直≥75°，≥4倍数字变焦；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整机摄像头支持智能取景，自动调节构图；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支持发言人定位追踪，有效捕捉发言人画面；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10.系统CPU采用≥4核，系统内存≥4GB，存储容量≥32GB；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11.一键生成二维码，支持手机扫码，邮件形式进行发送；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12.支持Wi-Fi6技术。</w:t>
            </w:r>
          </w:p>
          <w:p w14:paraId="7798588B">
            <w:pPr>
              <w:pStyle w:val="59"/>
              <w:jc w:val="both"/>
              <w:rPr>
                <w:color w:val="auto"/>
                <w:highlight w:val="none"/>
              </w:rPr>
            </w:pPr>
            <w:r>
              <w:rPr>
                <w:rFonts w:hint="eastAsia" w:ascii="宋体" w:hAnsi="宋体" w:eastAsia="宋体" w:cs="宋体"/>
                <w:b w:val="0"/>
                <w:bCs/>
                <w:color w:val="auto"/>
                <w:szCs w:val="21"/>
                <w:highlight w:val="none"/>
              </w:rPr>
              <w:t>13.含移动推车，铝合金外观，自带大托盘，静音万向轮。</w:t>
            </w:r>
          </w:p>
        </w:tc>
        <w:tc>
          <w:tcPr>
            <w:tcW w:w="754" w:type="dxa"/>
            <w:tcBorders>
              <w:top w:val="single" w:color="000000" w:sz="4" w:space="0"/>
              <w:left w:val="single" w:color="000000" w:sz="4" w:space="0"/>
              <w:bottom w:val="single" w:color="000000" w:sz="4" w:space="0"/>
              <w:right w:val="single" w:color="000000" w:sz="4" w:space="0"/>
            </w:tcBorders>
            <w:vAlign w:val="center"/>
          </w:tcPr>
          <w:p w14:paraId="2B62469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03FE05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45001B1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F062CD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3.1.2.2</w:t>
            </w:r>
          </w:p>
        </w:tc>
        <w:tc>
          <w:tcPr>
            <w:tcW w:w="1035" w:type="dxa"/>
            <w:tcBorders>
              <w:top w:val="single" w:color="000000" w:sz="4" w:space="0"/>
              <w:left w:val="single" w:color="000000" w:sz="4" w:space="0"/>
              <w:bottom w:val="single" w:color="000000" w:sz="4" w:space="0"/>
              <w:right w:val="single" w:color="000000" w:sz="4" w:space="0"/>
            </w:tcBorders>
            <w:vAlign w:val="center"/>
          </w:tcPr>
          <w:p w14:paraId="5764E18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无线投屏器</w:t>
            </w:r>
          </w:p>
        </w:tc>
        <w:tc>
          <w:tcPr>
            <w:tcW w:w="6176" w:type="dxa"/>
            <w:tcBorders>
              <w:top w:val="single" w:color="000000" w:sz="4" w:space="0"/>
              <w:left w:val="single" w:color="000000" w:sz="4" w:space="0"/>
              <w:bottom w:val="single" w:color="000000" w:sz="4" w:space="0"/>
              <w:right w:val="nil"/>
            </w:tcBorders>
            <w:vAlign w:val="center"/>
          </w:tcPr>
          <w:p w14:paraId="36B9F0A1">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1.单按键设计，一按即可传屏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2.支持触摸回传、扩展屏显示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3.传输视频、音频和触摸信号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4.支持≥4分屏传输，分屏可独立回传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5.5G频段，传输稳定可靠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6.功耗低，无需单独供电，传输距离≥15米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7.支持Windows 7、 macOS 10.10及以上操作系统</w:t>
            </w:r>
          </w:p>
        </w:tc>
        <w:tc>
          <w:tcPr>
            <w:tcW w:w="754" w:type="dxa"/>
            <w:tcBorders>
              <w:top w:val="single" w:color="000000" w:sz="4" w:space="0"/>
              <w:left w:val="single" w:color="000000" w:sz="4" w:space="0"/>
              <w:bottom w:val="single" w:color="000000" w:sz="4" w:space="0"/>
              <w:right w:val="single" w:color="000000" w:sz="4" w:space="0"/>
            </w:tcBorders>
            <w:vAlign w:val="center"/>
          </w:tcPr>
          <w:p w14:paraId="52B889C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77294F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13BC7E6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850113E">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3.1.2.3</w:t>
            </w:r>
          </w:p>
        </w:tc>
        <w:tc>
          <w:tcPr>
            <w:tcW w:w="1035" w:type="dxa"/>
            <w:tcBorders>
              <w:top w:val="single" w:color="000000" w:sz="4" w:space="0"/>
              <w:left w:val="single" w:color="000000" w:sz="4" w:space="0"/>
              <w:bottom w:val="single" w:color="000000" w:sz="4" w:space="0"/>
              <w:right w:val="single" w:color="000000" w:sz="4" w:space="0"/>
            </w:tcBorders>
            <w:vAlign w:val="center"/>
          </w:tcPr>
          <w:p w14:paraId="1B886DB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视频会议终端</w:t>
            </w:r>
          </w:p>
        </w:tc>
        <w:tc>
          <w:tcPr>
            <w:tcW w:w="6176" w:type="dxa"/>
            <w:tcBorders>
              <w:top w:val="single" w:color="000000" w:sz="4" w:space="0"/>
              <w:left w:val="single" w:color="000000" w:sz="4" w:space="0"/>
              <w:bottom w:val="single" w:color="000000" w:sz="4" w:space="0"/>
              <w:right w:val="single" w:color="000000" w:sz="4" w:space="0"/>
            </w:tcBorders>
            <w:vAlign w:val="center"/>
          </w:tcPr>
          <w:p w14:paraId="7957FACF">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▲1.通信协议：ITU-TH.323和IETFSIP通信标准，支持无缝广西壮族自治区应急厅视频指挥调度平台，对接后实现通讯录同步、会议签到、答题、投票等功能。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2.视频协议：H.263.H.264.H.264HighProfile、H.265等视频协议；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3.音频协议：G.711.G.722.G.719.AAC-LD、Opus等音频协议；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4.IP协议：IPv4和IPv6协议；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5.编解码能力：支持4K30fps、1080p60fps、1080p30fps、720p60fps、720p30fps高清分辨率编解码；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6.接口要求：具备HDMI、HDBaseT或其他供电、图像显示、摄像机控制多合一远距离传输接口。</w:t>
            </w:r>
            <w:r>
              <w:rPr>
                <w:rFonts w:hint="eastAsia" w:ascii="宋体" w:hAnsi="宋体" w:cs="宋体"/>
                <w:color w:val="auto"/>
                <w:kern w:val="0"/>
                <w:szCs w:val="22"/>
                <w:highlight w:val="none"/>
                <w:lang w:bidi="ar"/>
              </w:rPr>
              <w:br w:type="textWrapping"/>
            </w:r>
            <w:bookmarkStart w:id="41" w:name="OLE_LINK35"/>
            <w:r>
              <w:rPr>
                <w:rFonts w:hint="eastAsia" w:ascii="宋体" w:hAnsi="宋体" w:cs="宋体"/>
                <w:color w:val="auto"/>
                <w:kern w:val="0"/>
                <w:szCs w:val="22"/>
                <w:highlight w:val="none"/>
                <w:lang w:bidi="ar"/>
              </w:rPr>
              <w:t>●</w:t>
            </w:r>
            <w:bookmarkEnd w:id="41"/>
            <w:r>
              <w:rPr>
                <w:rFonts w:hint="eastAsia" w:ascii="宋体" w:hAnsi="宋体" w:cs="宋体"/>
                <w:color w:val="auto"/>
                <w:kern w:val="0"/>
                <w:szCs w:val="22"/>
                <w:highlight w:val="none"/>
                <w:lang w:bidi="ar"/>
              </w:rPr>
              <w:t>7</w:t>
            </w:r>
            <w:bookmarkStart w:id="42" w:name="OLE_LINK36"/>
            <w:r>
              <w:rPr>
                <w:rFonts w:hint="eastAsia" w:ascii="宋体" w:hAnsi="宋体" w:cs="宋体"/>
                <w:color w:val="auto"/>
                <w:kern w:val="0"/>
                <w:szCs w:val="22"/>
                <w:highlight w:val="none"/>
                <w:lang w:bidi="ar"/>
              </w:rPr>
              <w:t>.</w:t>
            </w:r>
            <w:bookmarkEnd w:id="42"/>
            <w:r>
              <w:rPr>
                <w:rFonts w:hint="eastAsia" w:ascii="宋体" w:hAnsi="宋体" w:cs="宋体"/>
                <w:color w:val="auto"/>
                <w:kern w:val="0"/>
                <w:szCs w:val="22"/>
                <w:highlight w:val="none"/>
                <w:lang w:bidi="ar"/>
              </w:rPr>
              <w:t>音频接口要求：具备≥4路音频输入接口，≥2路音频输出接口；音频输入接口应包含卡侬、RCA等类型接口，音频输出接口至少包含RCA、HDMI等2种音频输出接口。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安全要求：支持国家密码局认定的国产密码算法，支持SM2、SM3、SM4等国密加密算法。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应急一键调度能力：具备通讯录功能，可查看到通讯录中个人用户或终端设备上线、离线等信息，可通过通讯录一键调度。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10．支持4K并向下兼容。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11.支持回声消除、自动降噪、自动增益和增益调节、突出人声，支持唇音同步技术。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12.应急调度网络适应能力：在网络丢包率50%的情况下，音视频清晰流畅、无卡顿、无马赛克（帧率不低于25帧/秒）。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13.主流达到4K30fps的情况下，辅流也可达到4K30fps。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配置1套会议控制平板。支持对会议终端进行通话控制，包括麦克风、摄像机等。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15.一键传屏：配置≥1只无线传屏设备，支持将电脑屏幕画面及声音共享到会场。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16.设备可靠性：平均无故障时间（MTBF）不低于10万小时。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17. 每台配置≥1只全向麦克风：支持360°全向拾音，≥8米有效拾音距离。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18.支持RJ45有线网络接入。</w:t>
            </w:r>
          </w:p>
        </w:tc>
        <w:tc>
          <w:tcPr>
            <w:tcW w:w="754" w:type="dxa"/>
            <w:tcBorders>
              <w:top w:val="single" w:color="000000" w:sz="4" w:space="0"/>
              <w:left w:val="single" w:color="000000" w:sz="4" w:space="0"/>
              <w:bottom w:val="single" w:color="000000" w:sz="4" w:space="0"/>
              <w:right w:val="single" w:color="000000" w:sz="4" w:space="0"/>
            </w:tcBorders>
            <w:vAlign w:val="center"/>
          </w:tcPr>
          <w:p w14:paraId="7E7836D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06D409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0508D9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76061B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3.1.2.4</w:t>
            </w:r>
          </w:p>
        </w:tc>
        <w:tc>
          <w:tcPr>
            <w:tcW w:w="1035" w:type="dxa"/>
            <w:tcBorders>
              <w:top w:val="single" w:color="000000" w:sz="4" w:space="0"/>
              <w:left w:val="single" w:color="000000" w:sz="4" w:space="0"/>
              <w:bottom w:val="single" w:color="000000" w:sz="4" w:space="0"/>
              <w:right w:val="single" w:color="000000" w:sz="4" w:space="0"/>
            </w:tcBorders>
            <w:vAlign w:val="center"/>
          </w:tcPr>
          <w:p w14:paraId="23DD4719">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视频会议摄像机</w:t>
            </w:r>
          </w:p>
        </w:tc>
        <w:tc>
          <w:tcPr>
            <w:tcW w:w="6176" w:type="dxa"/>
            <w:tcBorders>
              <w:top w:val="single" w:color="000000" w:sz="4" w:space="0"/>
              <w:left w:val="single" w:color="000000" w:sz="4" w:space="0"/>
              <w:bottom w:val="single" w:color="000000" w:sz="4" w:space="0"/>
              <w:right w:val="nil"/>
            </w:tcBorders>
            <w:vAlign w:val="center"/>
          </w:tcPr>
          <w:p w14:paraId="46FDCBBE">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1.镜头尺寸≥1/2.8英寸；</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2.光学变焦能力≥12倍；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3.控制协议VISCA或PELCO协议；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4视频输出能力：4K30fps、1080P60/50/30fps、720P60/30fps等；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5接口要求：具备HDMI、HDBaseT或其他供电、图像显示、摄像机控制多合一远距离传输接口。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6.水平视角不小于70°。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7.支持倒装。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9.水平转动速度范围：1.7°~80°/s。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10.垂直转动速度范围：1.7°~28°/s。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11.支持不少于254个预置位。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12.支持不少于1路RS232In或RS422In:8针小型 DIN,最大距离不小于30米。</w:t>
            </w:r>
          </w:p>
        </w:tc>
        <w:tc>
          <w:tcPr>
            <w:tcW w:w="754" w:type="dxa"/>
            <w:tcBorders>
              <w:top w:val="single" w:color="000000" w:sz="4" w:space="0"/>
              <w:left w:val="single" w:color="000000" w:sz="4" w:space="0"/>
              <w:bottom w:val="single" w:color="000000" w:sz="4" w:space="0"/>
              <w:right w:val="single" w:color="000000" w:sz="4" w:space="0"/>
            </w:tcBorders>
            <w:vAlign w:val="center"/>
          </w:tcPr>
          <w:p w14:paraId="5E529A8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682AA7A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074AAC6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211592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w:t>
            </w:r>
          </w:p>
        </w:tc>
        <w:tc>
          <w:tcPr>
            <w:tcW w:w="1035" w:type="dxa"/>
            <w:tcBorders>
              <w:top w:val="single" w:color="000000" w:sz="4" w:space="0"/>
              <w:left w:val="single" w:color="000000" w:sz="4" w:space="0"/>
              <w:bottom w:val="single" w:color="000000" w:sz="4" w:space="0"/>
              <w:right w:val="single" w:color="000000" w:sz="4" w:space="0"/>
            </w:tcBorders>
            <w:vAlign w:val="center"/>
          </w:tcPr>
          <w:p w14:paraId="60BD2CA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音频扩声系统</w:t>
            </w:r>
          </w:p>
        </w:tc>
        <w:tc>
          <w:tcPr>
            <w:tcW w:w="6176" w:type="dxa"/>
            <w:tcBorders>
              <w:top w:val="single" w:color="000000" w:sz="4" w:space="0"/>
              <w:left w:val="single" w:color="000000" w:sz="4" w:space="0"/>
              <w:bottom w:val="single" w:color="000000" w:sz="4" w:space="0"/>
              <w:right w:val="nil"/>
            </w:tcBorders>
            <w:vAlign w:val="center"/>
          </w:tcPr>
          <w:p w14:paraId="175F4DB7">
            <w:pPr>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D86CE96">
            <w:pPr>
              <w:spacing w:after="0" w:line="279" w:lineRule="auto"/>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2632881">
            <w:pPr>
              <w:spacing w:after="0" w:line="279" w:lineRule="auto"/>
              <w:jc w:val="center"/>
              <w:rPr>
                <w:rFonts w:ascii="宋体" w:hAnsi="宋体" w:cs="宋体"/>
                <w:color w:val="auto"/>
                <w:szCs w:val="22"/>
                <w:highlight w:val="none"/>
              </w:rPr>
            </w:pPr>
          </w:p>
        </w:tc>
      </w:tr>
      <w:tr w14:paraId="4B1C126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2B5679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w:t>
            </w:r>
          </w:p>
        </w:tc>
        <w:tc>
          <w:tcPr>
            <w:tcW w:w="1035" w:type="dxa"/>
            <w:tcBorders>
              <w:top w:val="single" w:color="000000" w:sz="4" w:space="0"/>
              <w:left w:val="single" w:color="000000" w:sz="4" w:space="0"/>
              <w:bottom w:val="single" w:color="000000" w:sz="4" w:space="0"/>
              <w:right w:val="single" w:color="000000" w:sz="4" w:space="0"/>
            </w:tcBorders>
            <w:vAlign w:val="center"/>
          </w:tcPr>
          <w:p w14:paraId="47C3FEA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音频扩声设备</w:t>
            </w:r>
          </w:p>
        </w:tc>
        <w:tc>
          <w:tcPr>
            <w:tcW w:w="6176" w:type="dxa"/>
            <w:tcBorders>
              <w:top w:val="single" w:color="000000" w:sz="4" w:space="0"/>
              <w:left w:val="single" w:color="000000" w:sz="4" w:space="0"/>
              <w:bottom w:val="single" w:color="000000" w:sz="4" w:space="0"/>
              <w:right w:val="nil"/>
            </w:tcBorders>
            <w:vAlign w:val="center"/>
          </w:tcPr>
          <w:p w14:paraId="07D93920">
            <w:pPr>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30BC017">
            <w:pPr>
              <w:spacing w:after="0" w:line="279" w:lineRule="auto"/>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8C5E83D">
            <w:pPr>
              <w:spacing w:after="0" w:line="279" w:lineRule="auto"/>
              <w:jc w:val="center"/>
              <w:rPr>
                <w:rFonts w:ascii="宋体" w:hAnsi="宋体" w:cs="宋体"/>
                <w:color w:val="auto"/>
                <w:szCs w:val="22"/>
                <w:highlight w:val="none"/>
              </w:rPr>
            </w:pPr>
          </w:p>
        </w:tc>
      </w:tr>
      <w:tr w14:paraId="234093F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CF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AA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无源全频音箱</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774E982D">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1.阻抗≤8Ω</w:t>
            </w:r>
          </w:p>
          <w:p w14:paraId="2D4CC5D4">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2.频响等同或优于55Hz~20KHz</w:t>
            </w:r>
          </w:p>
          <w:p w14:paraId="7CD1333D">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3.额定功率≥300W</w:t>
            </w:r>
          </w:p>
          <w:p w14:paraId="41AF4FC2">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4.灵敏度≥98dB/W/M</w:t>
            </w:r>
          </w:p>
          <w:p w14:paraId="3676922C">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5.水平覆盖角≥80°，垂直覆盖角≥60°</w:t>
            </w:r>
          </w:p>
          <w:p w14:paraId="2E696390">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6.高音≥1.4"压缩高音单元×1</w:t>
            </w:r>
          </w:p>
          <w:p w14:paraId="56088FDA">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7.低音≥10"低音×1</w:t>
            </w:r>
          </w:p>
          <w:p w14:paraId="13D6A8C0">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8.箱体采用15mm+18mm高密度纤维板CNC切割技术，内部特别加有多处加强筋，配合高级粘合剂和机械加固技术，强化箱体的整体稳定性，能够在大声压时有效减少箱体共振，表面采用水性喷漆工艺，稳定耐磨，延长使用寿命。</w:t>
            </w:r>
          </w:p>
          <w:p w14:paraId="230D72CA">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9.外壳采用倒相式，梯形结构设计，箱体尺寸设计比例巧妙的避免了箱体驻波，重放出丰富的低音。</w:t>
            </w:r>
          </w:p>
          <w:p w14:paraId="7185489C">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10.坚硬厚实的刚性网罩保护，一体冲压成型，并覆盖了5mm高透声率声学网布，可防止灰尘或液体进入影响音质保护喇叭，增加使用寿命。</w:t>
            </w:r>
          </w:p>
          <w:p w14:paraId="5ED9B5B0">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11.采用1只10寸铁氧体中低音喇叭单元和1只1.4寸环形聚乙烯振膜压缩高音单元。</w:t>
            </w:r>
          </w:p>
          <w:p w14:paraId="67432CC6">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12.经典二分频设计，采用高纯度无氧铜电感及高品质进口滤波元件，再加上专业声学工程师精心调校，高音明亮丰润，低频丰富，人声清晰明朗。</w:t>
            </w:r>
          </w:p>
          <w:p w14:paraId="3B6EBC82">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13.完善的安装结构和安装点位设计，底部一个口径35mm的柱杆支撑插孔。</w:t>
            </w:r>
          </w:p>
        </w:tc>
        <w:tc>
          <w:tcPr>
            <w:tcW w:w="754" w:type="dxa"/>
            <w:tcBorders>
              <w:top w:val="single" w:color="000000" w:sz="4" w:space="0"/>
              <w:left w:val="single" w:color="000000" w:sz="4" w:space="0"/>
              <w:bottom w:val="single" w:color="000000" w:sz="4" w:space="0"/>
              <w:right w:val="single" w:color="000000" w:sz="4" w:space="0"/>
            </w:tcBorders>
            <w:vAlign w:val="center"/>
          </w:tcPr>
          <w:p w14:paraId="074E1B15">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2958E2D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只</w:t>
            </w:r>
          </w:p>
        </w:tc>
      </w:tr>
      <w:tr w14:paraId="3E845CC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592">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F7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无源全频音箱</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0A2B7141">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1.阻抗≤8Ω</w:t>
            </w:r>
          </w:p>
          <w:p w14:paraId="27475590">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2.频响等同或优于65Hz~20KHz</w:t>
            </w:r>
          </w:p>
          <w:p w14:paraId="669448B0">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3.额定功率≥150W</w:t>
            </w:r>
          </w:p>
          <w:p w14:paraId="57CB2CDE">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4.灵敏度≥95dB/W/M</w:t>
            </w:r>
          </w:p>
          <w:p w14:paraId="6F371F93">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5.水平覆盖角≥80°，垂直覆盖角≥60°</w:t>
            </w:r>
          </w:p>
          <w:p w14:paraId="1610F1D6">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6.高音≥3"锥形高音单元×1</w:t>
            </w:r>
          </w:p>
          <w:p w14:paraId="0DDB0734">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7.低音≥8"低音×1</w:t>
            </w:r>
          </w:p>
          <w:p w14:paraId="751985AD">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8.箱体采用15mm夹板制作，质量轻，耐磨喷漆处理，外贴防尘网棉。</w:t>
            </w:r>
          </w:p>
          <w:p w14:paraId="5A30FF1F">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9.精确设计的分频器优化人声部分的中频表现力。</w:t>
            </w:r>
          </w:p>
          <w:p w14:paraId="13DFA148">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10.多个螺丝吊装孔位，多种安装方式。</w:t>
            </w:r>
          </w:p>
          <w:p w14:paraId="4DC3C2D2">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11.最大声压级（额定/峰值）：117dB/123dB</w:t>
            </w:r>
          </w:p>
        </w:tc>
        <w:tc>
          <w:tcPr>
            <w:tcW w:w="754" w:type="dxa"/>
            <w:tcBorders>
              <w:top w:val="single" w:color="000000" w:sz="4" w:space="0"/>
              <w:left w:val="single" w:color="000000" w:sz="4" w:space="0"/>
              <w:bottom w:val="single" w:color="000000" w:sz="4" w:space="0"/>
              <w:right w:val="single" w:color="000000" w:sz="4" w:space="0"/>
            </w:tcBorders>
            <w:vAlign w:val="center"/>
          </w:tcPr>
          <w:p w14:paraId="544A8FF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47ACA47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只</w:t>
            </w:r>
          </w:p>
        </w:tc>
      </w:tr>
      <w:tr w14:paraId="4CE44C8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63697E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3.1.3.1.3</w:t>
            </w:r>
          </w:p>
        </w:tc>
        <w:tc>
          <w:tcPr>
            <w:tcW w:w="1035" w:type="dxa"/>
            <w:tcBorders>
              <w:top w:val="single" w:color="000000" w:sz="4" w:space="0"/>
              <w:left w:val="single" w:color="000000" w:sz="4" w:space="0"/>
              <w:bottom w:val="single" w:color="000000" w:sz="4" w:space="0"/>
              <w:right w:val="single" w:color="000000" w:sz="4" w:space="0"/>
            </w:tcBorders>
            <w:vAlign w:val="center"/>
          </w:tcPr>
          <w:p w14:paraId="7194AEA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立体声功放</w:t>
            </w:r>
          </w:p>
        </w:tc>
        <w:tc>
          <w:tcPr>
            <w:tcW w:w="6176" w:type="dxa"/>
            <w:tcBorders>
              <w:top w:val="single" w:color="000000" w:sz="4" w:space="0"/>
              <w:left w:val="single" w:color="000000" w:sz="4" w:space="0"/>
              <w:bottom w:val="single" w:color="000000" w:sz="4" w:space="0"/>
              <w:right w:val="nil"/>
            </w:tcBorders>
            <w:vAlign w:val="center"/>
          </w:tcPr>
          <w:p w14:paraId="165949AA">
            <w:pPr>
              <w:widowControl/>
              <w:spacing w:after="0" w:line="279" w:lineRule="auto"/>
              <w:textAlignment w:val="center"/>
              <w:rPr>
                <w:color w:val="auto"/>
                <w:highlight w:val="none"/>
              </w:rPr>
            </w:pPr>
            <w:r>
              <w:rPr>
                <w:rFonts w:hint="eastAsia"/>
                <w:color w:val="auto"/>
                <w:highlight w:val="none"/>
              </w:rPr>
              <w:t>1.标准≤1U机柜式设计；采用PFC+开关电源+D类数字功放设计方案；输出功率：立体声@8Ω：≥500W×2；立体声@4Ω：≥850W×2；桥接@8Ω：≥1700W。</w:t>
            </w:r>
          </w:p>
          <w:p w14:paraId="721EFD08">
            <w:pPr>
              <w:widowControl/>
              <w:spacing w:after="0" w:line="279" w:lineRule="auto"/>
              <w:textAlignment w:val="center"/>
              <w:rPr>
                <w:color w:val="auto"/>
                <w:highlight w:val="none"/>
              </w:rPr>
            </w:pPr>
            <w:r>
              <w:rPr>
                <w:rFonts w:hint="eastAsia"/>
                <w:color w:val="auto"/>
                <w:highlight w:val="none"/>
              </w:rPr>
              <w:t>2.开关电源采用LLC谐振电源短路保护电路和D类数字功放一体模块化设计，保证半桥LLC开关电源稳定性和可靠性。</w:t>
            </w:r>
          </w:p>
          <w:p w14:paraId="2DB9885A">
            <w:pPr>
              <w:widowControl/>
              <w:spacing w:after="0" w:line="279" w:lineRule="auto"/>
              <w:textAlignment w:val="center"/>
              <w:rPr>
                <w:color w:val="auto"/>
                <w:highlight w:val="none"/>
              </w:rPr>
            </w:pPr>
            <w:r>
              <w:rPr>
                <w:rFonts w:hint="eastAsia"/>
                <w:color w:val="auto"/>
                <w:highlight w:val="none"/>
              </w:rPr>
              <w:t>3.支持开机软启动功能，软启动过程中电源需求缓慢上升，减少对电网和其他电子设备的电流冲击。</w:t>
            </w:r>
          </w:p>
          <w:p w14:paraId="1A6308ED">
            <w:pPr>
              <w:widowControl/>
              <w:spacing w:after="0" w:line="279" w:lineRule="auto"/>
              <w:textAlignment w:val="center"/>
              <w:rPr>
                <w:color w:val="auto"/>
                <w:highlight w:val="none"/>
              </w:rPr>
            </w:pPr>
            <w:r>
              <w:rPr>
                <w:rFonts w:hint="eastAsia"/>
                <w:color w:val="auto"/>
                <w:highlight w:val="none"/>
              </w:rPr>
              <w:t>4.开关电源内置EMI电路，有效的抑制电源谐波，达到欧盟绿色电源标准。</w:t>
            </w:r>
          </w:p>
          <w:p w14:paraId="7724853F">
            <w:pPr>
              <w:widowControl/>
              <w:spacing w:after="0" w:line="279" w:lineRule="auto"/>
              <w:textAlignment w:val="center"/>
              <w:rPr>
                <w:color w:val="auto"/>
                <w:highlight w:val="none"/>
              </w:rPr>
            </w:pPr>
            <w:r>
              <w:rPr>
                <w:rFonts w:hint="eastAsia"/>
                <w:color w:val="auto"/>
                <w:highlight w:val="none"/>
              </w:rPr>
              <w:t>5.数字功放核心的调制和匹配电路技术，让功放还原真实原声。</w:t>
            </w:r>
          </w:p>
          <w:p w14:paraId="2DEBE8FA">
            <w:pPr>
              <w:widowControl/>
              <w:spacing w:after="0" w:line="279" w:lineRule="auto"/>
              <w:textAlignment w:val="center"/>
              <w:rPr>
                <w:color w:val="auto"/>
                <w:highlight w:val="none"/>
              </w:rPr>
            </w:pPr>
            <w:r>
              <w:rPr>
                <w:rFonts w:hint="eastAsia"/>
                <w:color w:val="auto"/>
                <w:highlight w:val="none"/>
              </w:rPr>
              <w:t>6.整机转换效率达到85%以上。</w:t>
            </w:r>
          </w:p>
          <w:p w14:paraId="37F14E03">
            <w:pPr>
              <w:widowControl/>
              <w:spacing w:after="0" w:line="279" w:lineRule="auto"/>
              <w:textAlignment w:val="center"/>
              <w:rPr>
                <w:color w:val="auto"/>
                <w:highlight w:val="none"/>
              </w:rPr>
            </w:pPr>
            <w:r>
              <w:rPr>
                <w:rFonts w:hint="eastAsia"/>
                <w:color w:val="auto"/>
                <w:highlight w:val="none"/>
              </w:rPr>
              <w:t xml:space="preserve">7.数字功放电源自适应音频调整节能功能，实现智能削峰限幅器，控制功率模块及扬声器系统在安全范围内工作。 </w:t>
            </w:r>
          </w:p>
          <w:p w14:paraId="3181644F">
            <w:pPr>
              <w:widowControl/>
              <w:spacing w:after="0" w:line="279" w:lineRule="auto"/>
              <w:textAlignment w:val="center"/>
              <w:rPr>
                <w:color w:val="auto"/>
                <w:highlight w:val="none"/>
              </w:rPr>
            </w:pPr>
            <w:r>
              <w:rPr>
                <w:rFonts w:hint="eastAsia"/>
                <w:color w:val="auto"/>
                <w:highlight w:val="none"/>
              </w:rPr>
              <w:t>8.MONO /STEREO/BRIDGE三种模式可选择切换。</w:t>
            </w:r>
          </w:p>
          <w:p w14:paraId="1E0E011A">
            <w:pPr>
              <w:widowControl/>
              <w:spacing w:after="0" w:line="279" w:lineRule="auto"/>
              <w:textAlignment w:val="center"/>
              <w:rPr>
                <w:color w:val="auto"/>
                <w:highlight w:val="none"/>
              </w:rPr>
            </w:pPr>
            <w:r>
              <w:rPr>
                <w:rFonts w:hint="eastAsia"/>
                <w:color w:val="auto"/>
                <w:highlight w:val="none"/>
              </w:rPr>
              <w:t>9.开机软启动，防止开机时向电网吸收大电流，干扰其它用电设备。</w:t>
            </w:r>
          </w:p>
          <w:p w14:paraId="211DE66E">
            <w:pPr>
              <w:widowControl/>
              <w:spacing w:after="0" w:line="279" w:lineRule="auto"/>
              <w:textAlignment w:val="center"/>
              <w:rPr>
                <w:color w:val="auto"/>
                <w:highlight w:val="none"/>
              </w:rPr>
            </w:pPr>
            <w:r>
              <w:rPr>
                <w:rFonts w:hint="eastAsia"/>
                <w:color w:val="auto"/>
                <w:highlight w:val="none"/>
              </w:rPr>
              <w:t>10.内置六大保护电路模块，为功放的可靠性保驾护航，具有：过压保护，欠压保护，过流保护，直流保护，输出短路保护，温控风扇等功能。</w:t>
            </w:r>
          </w:p>
          <w:p w14:paraId="3851D9A9">
            <w:pPr>
              <w:widowControl/>
              <w:spacing w:after="0" w:line="279" w:lineRule="auto"/>
              <w:textAlignment w:val="center"/>
              <w:rPr>
                <w:color w:val="auto"/>
                <w:highlight w:val="none"/>
              </w:rPr>
            </w:pPr>
            <w:r>
              <w:rPr>
                <w:rFonts w:hint="eastAsia"/>
                <w:color w:val="auto"/>
                <w:highlight w:val="none"/>
              </w:rPr>
              <w:t>11.采用PFC+开关电源+D类数字功放设计方案，失真小，效率高。</w:t>
            </w:r>
          </w:p>
          <w:p w14:paraId="4EFE7E6A">
            <w:pPr>
              <w:widowControl/>
              <w:spacing w:after="0" w:line="279" w:lineRule="auto"/>
              <w:textAlignment w:val="center"/>
              <w:rPr>
                <w:color w:val="auto"/>
                <w:highlight w:val="none"/>
              </w:rPr>
            </w:pPr>
            <w:r>
              <w:rPr>
                <w:rFonts w:hint="eastAsia"/>
                <w:color w:val="auto"/>
                <w:highlight w:val="none"/>
              </w:rPr>
              <w:t>12.采用先进高效开关电源LLC谐振电源的短路保护电路和D类数字功放一体模块化设计，实现半桥LLC开关电源稳定性和可靠性。</w:t>
            </w:r>
          </w:p>
          <w:p w14:paraId="4E6127E1">
            <w:pPr>
              <w:widowControl/>
              <w:spacing w:after="0" w:line="279" w:lineRule="auto"/>
              <w:textAlignment w:val="center"/>
              <w:rPr>
                <w:color w:val="auto"/>
                <w:highlight w:val="none"/>
              </w:rPr>
            </w:pPr>
            <w:r>
              <w:rPr>
                <w:rFonts w:hint="eastAsia"/>
                <w:color w:val="auto"/>
                <w:highlight w:val="none"/>
              </w:rPr>
              <w:t>13.开机软启动功能，软启动过程中电源需求缓慢上升，减少对电网和其他电子设备的电流冲击。</w:t>
            </w:r>
          </w:p>
          <w:p w14:paraId="5931EED2">
            <w:pPr>
              <w:widowControl/>
              <w:spacing w:after="0" w:line="279" w:lineRule="auto"/>
              <w:textAlignment w:val="center"/>
              <w:rPr>
                <w:color w:val="auto"/>
                <w:highlight w:val="none"/>
              </w:rPr>
            </w:pPr>
            <w:r>
              <w:rPr>
                <w:rFonts w:hint="eastAsia"/>
                <w:color w:val="auto"/>
                <w:highlight w:val="none"/>
              </w:rPr>
              <w:t>14.开关电源内置EMI电路，有效的抑制电源谐波，达到欧盟绿色电源标准。</w:t>
            </w:r>
          </w:p>
          <w:p w14:paraId="379A8386">
            <w:pPr>
              <w:widowControl/>
              <w:spacing w:after="0" w:line="279" w:lineRule="auto"/>
              <w:textAlignment w:val="center"/>
              <w:rPr>
                <w:color w:val="auto"/>
                <w:highlight w:val="none"/>
              </w:rPr>
            </w:pPr>
            <w:r>
              <w:rPr>
                <w:rFonts w:hint="eastAsia"/>
                <w:color w:val="auto"/>
                <w:highlight w:val="none"/>
              </w:rPr>
              <w:t>15.独家数字功放核心的调制和匹配电路技术，让功放还原真实原声。</w:t>
            </w:r>
          </w:p>
          <w:p w14:paraId="2BCADAC3">
            <w:pPr>
              <w:widowControl/>
              <w:spacing w:after="0" w:line="279" w:lineRule="auto"/>
              <w:textAlignment w:val="center"/>
              <w:rPr>
                <w:color w:val="auto"/>
                <w:highlight w:val="none"/>
              </w:rPr>
            </w:pPr>
            <w:r>
              <w:rPr>
                <w:rFonts w:hint="eastAsia"/>
                <w:color w:val="auto"/>
                <w:highlight w:val="none"/>
              </w:rPr>
              <w:t>16.标准XLR输入接口，和LINK输出口，简洁的接口更加方便不同用户需求。</w:t>
            </w:r>
          </w:p>
          <w:p w14:paraId="6772EB1C">
            <w:pPr>
              <w:widowControl/>
              <w:spacing w:after="0" w:line="279" w:lineRule="auto"/>
              <w:textAlignment w:val="center"/>
              <w:rPr>
                <w:rFonts w:ascii="宋体" w:hAnsi="宋体" w:cs="宋体"/>
                <w:color w:val="auto"/>
                <w:szCs w:val="22"/>
                <w:highlight w:val="none"/>
              </w:rPr>
            </w:pPr>
            <w:r>
              <w:rPr>
                <w:rFonts w:hint="eastAsia"/>
                <w:color w:val="auto"/>
                <w:highlight w:val="none"/>
              </w:rPr>
              <w:t>17.智能控制强制散热设计，风机噪音小，散热效率高等特点。</w:t>
            </w:r>
          </w:p>
        </w:tc>
        <w:tc>
          <w:tcPr>
            <w:tcW w:w="754" w:type="dxa"/>
            <w:tcBorders>
              <w:top w:val="single" w:color="000000" w:sz="4" w:space="0"/>
              <w:left w:val="single" w:color="000000" w:sz="4" w:space="0"/>
              <w:bottom w:val="single" w:color="000000" w:sz="4" w:space="0"/>
              <w:right w:val="single" w:color="000000" w:sz="4" w:space="0"/>
            </w:tcBorders>
            <w:vAlign w:val="center"/>
          </w:tcPr>
          <w:p w14:paraId="6664E6D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500649E">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4B692AE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58F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2A6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立体声功放</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2F1A7E5C">
            <w:pPr>
              <w:widowControl/>
              <w:textAlignment w:val="center"/>
              <w:rPr>
                <w:color w:val="auto"/>
                <w:highlight w:val="none"/>
              </w:rPr>
            </w:pPr>
            <w:r>
              <w:rPr>
                <w:rFonts w:hint="eastAsia"/>
                <w:color w:val="auto"/>
                <w:highlight w:val="none"/>
              </w:rPr>
              <w:t>1.标准≤1U机箱设计，采用D类数字功放设计方案。</w:t>
            </w:r>
          </w:p>
          <w:p w14:paraId="76078FAC">
            <w:pPr>
              <w:widowControl/>
              <w:textAlignment w:val="center"/>
              <w:rPr>
                <w:color w:val="auto"/>
                <w:highlight w:val="none"/>
              </w:rPr>
            </w:pPr>
            <w:r>
              <w:rPr>
                <w:rFonts w:hint="eastAsia"/>
                <w:color w:val="auto"/>
                <w:highlight w:val="none"/>
              </w:rPr>
              <w:t>2.标准XLR输入接口，和LINK输出口。</w:t>
            </w:r>
          </w:p>
          <w:p w14:paraId="0D753798">
            <w:pPr>
              <w:widowControl/>
              <w:textAlignment w:val="center"/>
              <w:rPr>
                <w:color w:val="auto"/>
                <w:highlight w:val="none"/>
              </w:rPr>
            </w:pPr>
            <w:r>
              <w:rPr>
                <w:rFonts w:hint="eastAsia"/>
                <w:color w:val="auto"/>
                <w:highlight w:val="none"/>
              </w:rPr>
              <w:t>3.电源采用开关电源技术，效率高，有效的抑制电源谐波。</w:t>
            </w:r>
          </w:p>
          <w:p w14:paraId="5A6E80E3">
            <w:pPr>
              <w:widowControl/>
              <w:textAlignment w:val="center"/>
              <w:rPr>
                <w:color w:val="auto"/>
                <w:highlight w:val="none"/>
              </w:rPr>
            </w:pPr>
            <w:r>
              <w:rPr>
                <w:rFonts w:hint="eastAsia"/>
                <w:color w:val="auto"/>
                <w:highlight w:val="none"/>
              </w:rPr>
              <w:t xml:space="preserve">4.内置智能削峰限幅器，支持开机软启动，防止开机时向电网吸收大电流，干扰其它用电设备。 </w:t>
            </w:r>
          </w:p>
          <w:p w14:paraId="0277F0C1">
            <w:pPr>
              <w:widowControl/>
              <w:textAlignment w:val="center"/>
              <w:rPr>
                <w:color w:val="auto"/>
                <w:highlight w:val="none"/>
              </w:rPr>
            </w:pPr>
            <w:r>
              <w:rPr>
                <w:rFonts w:hint="eastAsia"/>
                <w:color w:val="auto"/>
                <w:highlight w:val="none"/>
              </w:rPr>
              <w:t>5.具有：过压保护，欠压保护，过流保护，直流保护，输出短路保护，温控风扇等功能。</w:t>
            </w:r>
          </w:p>
          <w:p w14:paraId="1545CA47">
            <w:pPr>
              <w:widowControl/>
              <w:textAlignment w:val="center"/>
              <w:rPr>
                <w:color w:val="auto"/>
                <w:highlight w:val="none"/>
              </w:rPr>
            </w:pPr>
            <w:r>
              <w:rPr>
                <w:rFonts w:hint="eastAsia"/>
                <w:color w:val="auto"/>
                <w:highlight w:val="none"/>
              </w:rPr>
              <w:t>6.输出功率：立体声@8Ω：≥350W×2；立体声@4Ω：≥600W×2。</w:t>
            </w:r>
          </w:p>
          <w:p w14:paraId="3203AB40">
            <w:pPr>
              <w:widowControl/>
              <w:textAlignment w:val="center"/>
              <w:rPr>
                <w:color w:val="auto"/>
                <w:highlight w:val="none"/>
              </w:rPr>
            </w:pPr>
            <w:r>
              <w:rPr>
                <w:rFonts w:hint="eastAsia"/>
                <w:color w:val="auto"/>
                <w:highlight w:val="none"/>
              </w:rPr>
              <w:t>7.采用最新D类数字功放设计方案，失真小，效率高。</w:t>
            </w:r>
          </w:p>
          <w:p w14:paraId="3771720A">
            <w:pPr>
              <w:widowControl/>
              <w:textAlignment w:val="center"/>
              <w:rPr>
                <w:color w:val="auto"/>
                <w:highlight w:val="none"/>
              </w:rPr>
            </w:pPr>
            <w:r>
              <w:rPr>
                <w:rFonts w:hint="eastAsia"/>
                <w:color w:val="auto"/>
                <w:highlight w:val="none"/>
              </w:rPr>
              <w:t xml:space="preserve">8.电源采用开关电源技术，效率高，有效的抑制电源谐波，达到欧盟绿色电源标准。 </w:t>
            </w:r>
          </w:p>
          <w:p w14:paraId="5E7EBA33">
            <w:pPr>
              <w:widowControl/>
              <w:textAlignment w:val="center"/>
              <w:rPr>
                <w:color w:val="auto"/>
                <w:highlight w:val="none"/>
              </w:rPr>
            </w:pPr>
            <w:r>
              <w:rPr>
                <w:rFonts w:hint="eastAsia"/>
                <w:color w:val="auto"/>
                <w:highlight w:val="none"/>
              </w:rPr>
              <w:t>9.标准XLR输入接口，和LINK输出口，简洁的接口更加方便不同用户需求。</w:t>
            </w:r>
          </w:p>
          <w:p w14:paraId="2BEC4A07">
            <w:pPr>
              <w:widowControl/>
              <w:textAlignment w:val="center"/>
              <w:rPr>
                <w:color w:val="auto"/>
                <w:highlight w:val="none"/>
              </w:rPr>
            </w:pPr>
            <w:r>
              <w:rPr>
                <w:rFonts w:hint="eastAsia"/>
                <w:color w:val="auto"/>
                <w:highlight w:val="none"/>
              </w:rPr>
              <w:t>10.开机软启动，防止开机时向电网吸收大电流，干扰其它用电设备。</w:t>
            </w:r>
          </w:p>
          <w:p w14:paraId="050978F2">
            <w:pPr>
              <w:widowControl/>
              <w:textAlignment w:val="center"/>
              <w:rPr>
                <w:rFonts w:ascii="宋体" w:hAnsi="宋体" w:cs="宋体"/>
                <w:color w:val="auto"/>
                <w:szCs w:val="22"/>
                <w:highlight w:val="none"/>
              </w:rPr>
            </w:pPr>
            <w:r>
              <w:rPr>
                <w:rFonts w:hint="eastAsia"/>
                <w:color w:val="auto"/>
                <w:highlight w:val="none"/>
              </w:rPr>
              <w:t xml:space="preserve">11.智能控制强制散热设计，风机噪音小，散热效率高等特点。 </w:t>
            </w:r>
          </w:p>
        </w:tc>
        <w:tc>
          <w:tcPr>
            <w:tcW w:w="754" w:type="dxa"/>
            <w:tcBorders>
              <w:top w:val="single" w:color="000000" w:sz="4" w:space="0"/>
              <w:left w:val="single" w:color="000000" w:sz="4" w:space="0"/>
              <w:bottom w:val="single" w:color="000000" w:sz="4" w:space="0"/>
              <w:right w:val="single" w:color="000000" w:sz="4" w:space="0"/>
            </w:tcBorders>
            <w:vAlign w:val="center"/>
          </w:tcPr>
          <w:p w14:paraId="6F0086B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1E86360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7A65EAE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958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DB4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支架</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7F6A934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材料：钢材；承重≥30公斤；架子伸缩长度：210mm~390mm；音箱支柱直径：≥35mm；可左右调节角度，中间杆子可伸缩调节。</w:t>
            </w:r>
          </w:p>
        </w:tc>
        <w:tc>
          <w:tcPr>
            <w:tcW w:w="754" w:type="dxa"/>
            <w:tcBorders>
              <w:top w:val="single" w:color="000000" w:sz="4" w:space="0"/>
              <w:left w:val="single" w:color="000000" w:sz="4" w:space="0"/>
              <w:bottom w:val="single" w:color="000000" w:sz="4" w:space="0"/>
              <w:right w:val="single" w:color="000000" w:sz="4" w:space="0"/>
            </w:tcBorders>
            <w:vAlign w:val="center"/>
          </w:tcPr>
          <w:p w14:paraId="61F855A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w:t>
            </w:r>
          </w:p>
        </w:tc>
        <w:tc>
          <w:tcPr>
            <w:tcW w:w="660" w:type="dxa"/>
            <w:tcBorders>
              <w:top w:val="single" w:color="000000" w:sz="4" w:space="0"/>
              <w:left w:val="single" w:color="000000" w:sz="4" w:space="0"/>
              <w:bottom w:val="single" w:color="000000" w:sz="4" w:space="0"/>
              <w:right w:val="single" w:color="000000" w:sz="4" w:space="0"/>
            </w:tcBorders>
            <w:vAlign w:val="center"/>
          </w:tcPr>
          <w:p w14:paraId="6196CC7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只</w:t>
            </w:r>
          </w:p>
        </w:tc>
      </w:tr>
      <w:tr w14:paraId="3066C83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D8B1B2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3.1.3.1.6</w:t>
            </w:r>
          </w:p>
        </w:tc>
        <w:tc>
          <w:tcPr>
            <w:tcW w:w="1035" w:type="dxa"/>
            <w:tcBorders>
              <w:top w:val="single" w:color="000000" w:sz="4" w:space="0"/>
              <w:left w:val="single" w:color="000000" w:sz="4" w:space="0"/>
              <w:bottom w:val="single" w:color="000000" w:sz="4" w:space="0"/>
              <w:right w:val="single" w:color="000000" w:sz="4" w:space="0"/>
            </w:tcBorders>
            <w:vAlign w:val="center"/>
          </w:tcPr>
          <w:p w14:paraId="7730834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数字音频处理器</w:t>
            </w:r>
          </w:p>
        </w:tc>
        <w:tc>
          <w:tcPr>
            <w:tcW w:w="6176" w:type="dxa"/>
            <w:tcBorders>
              <w:top w:val="single" w:color="000000" w:sz="4" w:space="0"/>
              <w:left w:val="single" w:color="000000" w:sz="4" w:space="0"/>
              <w:bottom w:val="single" w:color="000000" w:sz="4" w:space="0"/>
              <w:right w:val="nil"/>
            </w:tcBorders>
            <w:vAlign w:val="center"/>
          </w:tcPr>
          <w:p w14:paraId="732A4832">
            <w:pPr>
              <w:widowControl/>
              <w:textAlignment w:val="center"/>
              <w:rPr>
                <w:color w:val="auto"/>
                <w:highlight w:val="none"/>
              </w:rPr>
            </w:pPr>
            <w:r>
              <w:rPr>
                <w:rFonts w:hint="eastAsia"/>
                <w:color w:val="auto"/>
                <w:highlight w:val="none"/>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49DF42EC">
            <w:pPr>
              <w:widowControl/>
              <w:textAlignment w:val="center"/>
              <w:rPr>
                <w:color w:val="auto"/>
                <w:highlight w:val="none"/>
              </w:rPr>
            </w:pPr>
            <w:r>
              <w:rPr>
                <w:rFonts w:hint="eastAsia"/>
                <w:color w:val="auto"/>
                <w:highlight w:val="none"/>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268372BD">
            <w:pPr>
              <w:widowControl/>
              <w:textAlignment w:val="center"/>
              <w:rPr>
                <w:color w:val="auto"/>
                <w:highlight w:val="none"/>
              </w:rPr>
            </w:pPr>
            <w:r>
              <w:rPr>
                <w:rFonts w:hint="eastAsia"/>
                <w:color w:val="auto"/>
                <w:highlight w:val="none"/>
              </w:rPr>
              <w:t>3.具有矩阵增益调节功能，每个输入通道参与混音的增益可调，增益调节范围等同或优于-72db到12db。</w:t>
            </w:r>
          </w:p>
          <w:p w14:paraId="2222E14B">
            <w:pPr>
              <w:widowControl/>
              <w:textAlignment w:val="center"/>
              <w:rPr>
                <w:color w:val="auto"/>
                <w:highlight w:val="none"/>
              </w:rPr>
            </w:pPr>
            <w:r>
              <w:rPr>
                <w:rFonts w:hint="eastAsia"/>
                <w:color w:val="auto"/>
                <w:highlight w:val="none"/>
              </w:rPr>
              <w:t>4.音频处理器具有跨平台软件，可运行的操作系统版本≥8种，包括Windows7/10/11、银河麒麟桌面操作系统（兆芯版）、银河麒麟桌面操作系统（飞腾版）、macOS系统、统信UOS、Ubuntu桌面版操作系统。</w:t>
            </w:r>
          </w:p>
          <w:p w14:paraId="6995D880">
            <w:pPr>
              <w:widowControl/>
              <w:textAlignment w:val="center"/>
              <w:rPr>
                <w:color w:val="auto"/>
                <w:highlight w:val="none"/>
              </w:rPr>
            </w:pPr>
            <w:r>
              <w:rPr>
                <w:rFonts w:hint="eastAsia"/>
                <w:color w:val="auto"/>
                <w:highlight w:val="none"/>
              </w:rPr>
              <w:t>5.产品具有PC客户端、手机移动端、安卓平板端不同控制方式，可以通同时登入APP软件、PC客户端同时连接设备，并实现多端数据的同步。</w:t>
            </w:r>
          </w:p>
          <w:p w14:paraId="0220DAE9">
            <w:pPr>
              <w:widowControl/>
              <w:textAlignment w:val="center"/>
              <w:rPr>
                <w:color w:val="auto"/>
                <w:highlight w:val="none"/>
              </w:rPr>
            </w:pPr>
            <w:r>
              <w:rPr>
                <w:rFonts w:hint="eastAsia"/>
                <w:color w:val="auto"/>
                <w:highlight w:val="none"/>
              </w:rPr>
              <w:t>6.设备具有编码旋钮和IPS屏幕，可用于控制和配置设备静音，增益，场景；IPS屏幕能够显示IP地址，输入和输出通道的实时电平。</w:t>
            </w:r>
          </w:p>
          <w:p w14:paraId="5E8DF157">
            <w:pPr>
              <w:widowControl/>
              <w:textAlignment w:val="center"/>
              <w:rPr>
                <w:color w:val="auto"/>
                <w:highlight w:val="none"/>
              </w:rPr>
            </w:pPr>
            <w:r>
              <w:rPr>
                <w:rFonts w:hint="eastAsia"/>
                <w:color w:val="auto"/>
                <w:highlight w:val="none"/>
              </w:rPr>
              <w:t>7.具有设备定位功能，客户端一键定位局域网内同类设备，被定位的设备会显示定位信息。</w:t>
            </w:r>
          </w:p>
          <w:p w14:paraId="7BB8B9CC">
            <w:pPr>
              <w:widowControl/>
              <w:textAlignment w:val="center"/>
              <w:rPr>
                <w:color w:val="auto"/>
                <w:highlight w:val="none"/>
              </w:rPr>
            </w:pPr>
            <w:r>
              <w:rPr>
                <w:rFonts w:hint="eastAsia"/>
                <w:color w:val="auto"/>
                <w:highlight w:val="none"/>
              </w:rPr>
              <w:t>8.设备具有统一集中控制功能，支持≥65535台设备通过软件集中控制。</w:t>
            </w:r>
          </w:p>
          <w:p w14:paraId="19BF9A37">
            <w:pPr>
              <w:widowControl/>
              <w:textAlignment w:val="center"/>
              <w:rPr>
                <w:rFonts w:ascii="宋体" w:hAnsi="宋体" w:cs="宋体"/>
                <w:color w:val="auto"/>
                <w:szCs w:val="22"/>
                <w:highlight w:val="none"/>
              </w:rPr>
            </w:pPr>
            <w:r>
              <w:rPr>
                <w:rFonts w:hint="eastAsia"/>
                <w:color w:val="auto"/>
                <w:highlight w:val="none"/>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754" w:type="dxa"/>
            <w:tcBorders>
              <w:top w:val="single" w:color="000000" w:sz="4" w:space="0"/>
              <w:left w:val="single" w:color="000000" w:sz="4" w:space="0"/>
              <w:bottom w:val="single" w:color="000000" w:sz="4" w:space="0"/>
              <w:right w:val="single" w:color="000000" w:sz="4" w:space="0"/>
            </w:tcBorders>
            <w:vAlign w:val="center"/>
          </w:tcPr>
          <w:p w14:paraId="14498B2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6A9ED8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40FD582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B267CF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3.1.3.1.7</w:t>
            </w:r>
          </w:p>
        </w:tc>
        <w:tc>
          <w:tcPr>
            <w:tcW w:w="1035" w:type="dxa"/>
            <w:tcBorders>
              <w:top w:val="single" w:color="000000" w:sz="4" w:space="0"/>
              <w:left w:val="single" w:color="000000" w:sz="4" w:space="0"/>
              <w:bottom w:val="single" w:color="000000" w:sz="4" w:space="0"/>
              <w:right w:val="single" w:color="000000" w:sz="4" w:space="0"/>
            </w:tcBorders>
            <w:vAlign w:val="center"/>
          </w:tcPr>
          <w:p w14:paraId="5A4DE56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模拟调音台</w:t>
            </w:r>
          </w:p>
        </w:tc>
        <w:tc>
          <w:tcPr>
            <w:tcW w:w="6176" w:type="dxa"/>
            <w:tcBorders>
              <w:top w:val="single" w:color="000000" w:sz="4" w:space="0"/>
              <w:left w:val="single" w:color="000000" w:sz="4" w:space="0"/>
              <w:bottom w:val="single" w:color="000000" w:sz="4" w:space="0"/>
              <w:right w:val="single" w:color="000000" w:sz="4" w:space="0"/>
            </w:tcBorders>
            <w:vAlign w:val="center"/>
          </w:tcPr>
          <w:p w14:paraId="05FA54CF">
            <w:pPr>
              <w:widowControl/>
              <w:textAlignment w:val="center"/>
              <w:rPr>
                <w:color w:val="auto"/>
                <w:highlight w:val="none"/>
              </w:rPr>
            </w:pPr>
            <w:r>
              <w:rPr>
                <w:rFonts w:hint="eastAsia"/>
                <w:color w:val="auto"/>
                <w:highlight w:val="none"/>
              </w:rPr>
              <w:t>1.支持≥10路MIC输入兼容8路线路输入接口，支持≥2组立体声输入接口，≥4路RCA输入，话筒接口幻象电源：+48V。</w:t>
            </w:r>
          </w:p>
          <w:p w14:paraId="32849AB5">
            <w:pPr>
              <w:widowControl/>
              <w:textAlignment w:val="center"/>
              <w:rPr>
                <w:color w:val="auto"/>
                <w:highlight w:val="none"/>
              </w:rPr>
            </w:pPr>
            <w:r>
              <w:rPr>
                <w:rFonts w:hint="eastAsia"/>
                <w:color w:val="auto"/>
                <w:highlight w:val="none"/>
              </w:rPr>
              <w:t>2.具有≥2组立体声输出、≥4路编组输出、≥4路辅助输出、≥1个耳机监听输出、≥1个接口双路效果输出、≥1组控制室输出、≥1组主混音断点插入、≥8个断点插入。</w:t>
            </w:r>
          </w:p>
          <w:p w14:paraId="0AE7B577">
            <w:pPr>
              <w:widowControl/>
              <w:textAlignment w:val="center"/>
              <w:rPr>
                <w:color w:val="auto"/>
                <w:highlight w:val="none"/>
              </w:rPr>
            </w:pPr>
            <w:r>
              <w:rPr>
                <w:rFonts w:hint="eastAsia"/>
                <w:color w:val="auto"/>
                <w:highlight w:val="none"/>
              </w:rPr>
              <w:t>3.内置≥24位DSP效果器，提供≥100种预设效果。</w:t>
            </w:r>
          </w:p>
          <w:p w14:paraId="062EF7A2">
            <w:pPr>
              <w:widowControl/>
              <w:textAlignment w:val="center"/>
              <w:rPr>
                <w:color w:val="auto"/>
                <w:highlight w:val="none"/>
              </w:rPr>
            </w:pPr>
            <w:r>
              <w:rPr>
                <w:rFonts w:hint="eastAsia"/>
                <w:color w:val="auto"/>
                <w:highlight w:val="none"/>
              </w:rPr>
              <w:t>4.具备≥15个60mm行程的高精密碳膜推子。</w:t>
            </w:r>
          </w:p>
          <w:p w14:paraId="07EF81D4">
            <w:pPr>
              <w:widowControl/>
              <w:textAlignment w:val="center"/>
              <w:rPr>
                <w:rFonts w:ascii="宋体" w:hAnsi="宋体" w:cs="宋体"/>
                <w:color w:val="auto"/>
                <w:szCs w:val="22"/>
                <w:highlight w:val="none"/>
              </w:rPr>
            </w:pPr>
            <w:r>
              <w:rPr>
                <w:rFonts w:hint="eastAsia"/>
                <w:color w:val="auto"/>
                <w:highlight w:val="none"/>
              </w:rPr>
              <w:t>5.内置USB声卡模块，支持连接电脑进行音乐播放和声音录音；内置MP3播放器，支持≥1个USB接口接U盘播放音乐。</w:t>
            </w:r>
          </w:p>
        </w:tc>
        <w:tc>
          <w:tcPr>
            <w:tcW w:w="754" w:type="dxa"/>
            <w:tcBorders>
              <w:top w:val="single" w:color="000000" w:sz="4" w:space="0"/>
              <w:left w:val="single" w:color="000000" w:sz="4" w:space="0"/>
              <w:bottom w:val="single" w:color="000000" w:sz="4" w:space="0"/>
              <w:right w:val="single" w:color="000000" w:sz="4" w:space="0"/>
            </w:tcBorders>
            <w:vAlign w:val="center"/>
          </w:tcPr>
          <w:p w14:paraId="7CEA391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19578B0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94773D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F75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B12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反馈抑制器</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0A4D58F9">
            <w:pPr>
              <w:widowControl/>
              <w:textAlignment w:val="center"/>
              <w:rPr>
                <w:color w:val="auto"/>
                <w:highlight w:val="none"/>
              </w:rPr>
            </w:pPr>
            <w:r>
              <w:rPr>
                <w:rFonts w:hint="eastAsia"/>
                <w:color w:val="auto"/>
                <w:highlight w:val="none"/>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p>
          <w:p w14:paraId="0B3AB7B8">
            <w:pPr>
              <w:widowControl/>
              <w:textAlignment w:val="center"/>
              <w:rPr>
                <w:color w:val="auto"/>
                <w:highlight w:val="none"/>
              </w:rPr>
            </w:pPr>
            <w:r>
              <w:rPr>
                <w:rFonts w:hint="eastAsia"/>
                <w:color w:val="auto"/>
                <w:highlight w:val="none"/>
              </w:rPr>
              <w:t>2.具有≥1个RS485、≥1个RS232接口，可对接摄像机实现摄像跟踪功能；内置≥64个话筒预置位，满足大型会议室摄像跟踪需求。</w:t>
            </w:r>
          </w:p>
          <w:p w14:paraId="7EB7CDA7">
            <w:pPr>
              <w:widowControl/>
              <w:textAlignment w:val="center"/>
              <w:rPr>
                <w:color w:val="auto"/>
                <w:highlight w:val="none"/>
              </w:rPr>
            </w:pPr>
            <w:r>
              <w:rPr>
                <w:rFonts w:hint="eastAsia"/>
                <w:color w:val="auto"/>
                <w:highlight w:val="none"/>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w:t>
            </w:r>
          </w:p>
          <w:p w14:paraId="639B0744">
            <w:pPr>
              <w:widowControl/>
              <w:textAlignment w:val="center"/>
              <w:rPr>
                <w:color w:val="auto"/>
                <w:highlight w:val="none"/>
              </w:rPr>
            </w:pPr>
            <w:r>
              <w:rPr>
                <w:rFonts w:hint="eastAsia"/>
                <w:color w:val="auto"/>
                <w:highlight w:val="none"/>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p>
          <w:p w14:paraId="0660AFA8">
            <w:pPr>
              <w:widowControl/>
              <w:textAlignment w:val="center"/>
              <w:rPr>
                <w:color w:val="auto"/>
                <w:highlight w:val="none"/>
              </w:rPr>
            </w:pPr>
            <w:r>
              <w:rPr>
                <w:rFonts w:hint="eastAsia"/>
                <w:color w:val="auto"/>
                <w:highlight w:val="none"/>
              </w:rPr>
              <w:t>5.采用啸叫检测门限更新法，移频+陷波组合反馈抑制方式，具有≥24个可编程陷波点，可自由分配动态/静态点，自动/手动切换。</w:t>
            </w:r>
          </w:p>
          <w:p w14:paraId="4AA47B56">
            <w:pPr>
              <w:widowControl/>
              <w:textAlignment w:val="center"/>
              <w:rPr>
                <w:rFonts w:ascii="宋体" w:hAnsi="宋体" w:cs="宋体"/>
                <w:color w:val="auto"/>
                <w:szCs w:val="22"/>
                <w:highlight w:val="none"/>
              </w:rPr>
            </w:pPr>
            <w:r>
              <w:rPr>
                <w:rFonts w:hint="eastAsia"/>
                <w:color w:val="auto"/>
                <w:highlight w:val="none"/>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p>
        </w:tc>
        <w:tc>
          <w:tcPr>
            <w:tcW w:w="754" w:type="dxa"/>
            <w:tcBorders>
              <w:top w:val="single" w:color="000000" w:sz="4" w:space="0"/>
              <w:left w:val="single" w:color="000000" w:sz="4" w:space="0"/>
              <w:bottom w:val="single" w:color="000000" w:sz="4" w:space="0"/>
              <w:right w:val="single" w:color="000000" w:sz="4" w:space="0"/>
            </w:tcBorders>
            <w:vAlign w:val="center"/>
          </w:tcPr>
          <w:p w14:paraId="50A8A08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BF9423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72F6E64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24D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38F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真分集无线话筒</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575637F1">
            <w:pPr>
              <w:widowControl/>
              <w:textAlignment w:val="center"/>
              <w:rPr>
                <w:color w:val="auto"/>
                <w:highlight w:val="none"/>
              </w:rPr>
            </w:pPr>
            <w:r>
              <w:rPr>
                <w:rFonts w:hint="eastAsia"/>
                <w:color w:val="auto"/>
                <w:highlight w:val="none"/>
              </w:rPr>
              <w:t>1.频率指标：等同或优于530-580MHz，640-690MHz，调制方式：宽带FM，频道数目：≥200个频道。</w:t>
            </w:r>
          </w:p>
          <w:p w14:paraId="38F2D557">
            <w:pPr>
              <w:widowControl/>
              <w:textAlignment w:val="center"/>
              <w:rPr>
                <w:color w:val="auto"/>
                <w:highlight w:val="none"/>
              </w:rPr>
            </w:pPr>
            <w:r>
              <w:rPr>
                <w:rFonts w:hint="eastAsia"/>
                <w:color w:val="auto"/>
                <w:highlight w:val="none"/>
              </w:rPr>
              <w:t>2.配套有≥1台接收主机和≥2个无线手持话筒。</w:t>
            </w:r>
          </w:p>
          <w:p w14:paraId="7A53D02B">
            <w:pPr>
              <w:widowControl/>
              <w:textAlignment w:val="center"/>
              <w:rPr>
                <w:color w:val="auto"/>
                <w:highlight w:val="none"/>
              </w:rPr>
            </w:pPr>
            <w:r>
              <w:rPr>
                <w:rFonts w:hint="eastAsia"/>
                <w:color w:val="auto"/>
                <w:highlight w:val="none"/>
              </w:rPr>
              <w:t>3.采用UHF超高频段双真分集接收，并采用PLL锁相环多信道频率合成技术。</w:t>
            </w:r>
          </w:p>
          <w:p w14:paraId="1D0BBB3E">
            <w:pPr>
              <w:widowControl/>
              <w:textAlignment w:val="center"/>
              <w:rPr>
                <w:color w:val="auto"/>
                <w:highlight w:val="none"/>
              </w:rPr>
            </w:pPr>
            <w:r>
              <w:rPr>
                <w:rFonts w:hint="eastAsia"/>
                <w:color w:val="auto"/>
                <w:highlight w:val="none"/>
              </w:rPr>
              <w:t>4.接收机指标：采用自动选讯接收方式，灵敏度:≥12dB μV（80dBS/N)，频率响应等同或优于50Hz-16.5kHz。</w:t>
            </w:r>
          </w:p>
          <w:p w14:paraId="2A62836E">
            <w:pPr>
              <w:widowControl/>
              <w:textAlignment w:val="center"/>
              <w:rPr>
                <w:color w:val="auto"/>
                <w:highlight w:val="none"/>
              </w:rPr>
            </w:pPr>
            <w:r>
              <w:rPr>
                <w:rFonts w:hint="eastAsia"/>
                <w:color w:val="auto"/>
                <w:highlight w:val="none"/>
              </w:rPr>
              <w:t>5.发射机指标：音头采用动圈式麦克风；手持麦克风内置螺旋天线。</w:t>
            </w:r>
          </w:p>
          <w:p w14:paraId="3409648E">
            <w:pPr>
              <w:widowControl/>
              <w:textAlignment w:val="center"/>
              <w:rPr>
                <w:rFonts w:ascii="宋体" w:hAnsi="宋体" w:cs="宋体"/>
                <w:color w:val="auto"/>
                <w:szCs w:val="22"/>
                <w:highlight w:val="none"/>
              </w:rPr>
            </w:pPr>
            <w:r>
              <w:rPr>
                <w:rFonts w:hint="eastAsia"/>
                <w:color w:val="auto"/>
                <w:highlight w:val="none"/>
              </w:rPr>
              <w:t>6.输出功率:≥30mW。</w:t>
            </w:r>
          </w:p>
        </w:tc>
        <w:tc>
          <w:tcPr>
            <w:tcW w:w="754" w:type="dxa"/>
            <w:tcBorders>
              <w:top w:val="single" w:color="000000" w:sz="4" w:space="0"/>
              <w:left w:val="single" w:color="000000" w:sz="4" w:space="0"/>
              <w:bottom w:val="single" w:color="000000" w:sz="4" w:space="0"/>
              <w:right w:val="single" w:color="000000" w:sz="4" w:space="0"/>
            </w:tcBorders>
            <w:vAlign w:val="center"/>
          </w:tcPr>
          <w:p w14:paraId="23500EF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304079D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6E913ED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48F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000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电源时序器</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1299A86E">
            <w:pPr>
              <w:widowControl/>
              <w:textAlignment w:val="center"/>
              <w:rPr>
                <w:color w:val="auto"/>
                <w:highlight w:val="none"/>
              </w:rPr>
            </w:pPr>
            <w:r>
              <w:rPr>
                <w:rFonts w:hint="eastAsia"/>
                <w:color w:val="auto"/>
                <w:highlight w:val="none"/>
              </w:rPr>
              <w:t>1.支持≥8通道电源时序打开/关闭，每路动作延时时间：≤1秒，支持远程控制（上电+24V直流信号）8通道电源时序打开/关闭—当电源开关处于off位置时有效。支持配置CH1和CH2通道为受控或不受控状态。</w:t>
            </w:r>
          </w:p>
          <w:p w14:paraId="5847DC45">
            <w:pPr>
              <w:widowControl/>
              <w:textAlignment w:val="center"/>
              <w:rPr>
                <w:color w:val="auto"/>
                <w:highlight w:val="none"/>
              </w:rPr>
            </w:pPr>
            <w:r>
              <w:rPr>
                <w:rFonts w:hint="eastAsia"/>
                <w:color w:val="auto"/>
                <w:highlight w:val="none"/>
              </w:rPr>
              <w:t>2.当远程控制有效时同时控制后板ALARM（报警）端口导通以起到级联控制ALARM（报警）功能。</w:t>
            </w:r>
          </w:p>
          <w:p w14:paraId="301B3AED">
            <w:pPr>
              <w:widowControl/>
              <w:textAlignment w:val="center"/>
              <w:rPr>
                <w:color w:val="auto"/>
                <w:highlight w:val="none"/>
              </w:rPr>
            </w:pPr>
            <w:r>
              <w:rPr>
                <w:rFonts w:hint="eastAsia"/>
                <w:color w:val="auto"/>
                <w:highlight w:val="none"/>
              </w:rPr>
              <w:t>3.单个通道最大负载功率≥2200W，所有通道负载总功率≥6000W。输出连接器：多用途电源插座。</w:t>
            </w:r>
          </w:p>
          <w:p w14:paraId="45A3C50E">
            <w:pPr>
              <w:widowControl/>
              <w:textAlignment w:val="center"/>
              <w:rPr>
                <w:rFonts w:ascii="宋体" w:hAnsi="宋体" w:cs="宋体"/>
                <w:color w:val="auto"/>
                <w:szCs w:val="22"/>
                <w:highlight w:val="none"/>
              </w:rPr>
            </w:pPr>
            <w:r>
              <w:rPr>
                <w:rFonts w:hint="eastAsia"/>
                <w:color w:val="auto"/>
                <w:highlight w:val="none"/>
              </w:rPr>
              <w:t>4.具有一路及以上USB输出接口。</w:t>
            </w:r>
          </w:p>
        </w:tc>
        <w:tc>
          <w:tcPr>
            <w:tcW w:w="754" w:type="dxa"/>
            <w:tcBorders>
              <w:top w:val="single" w:color="000000" w:sz="4" w:space="0"/>
              <w:left w:val="single" w:color="000000" w:sz="4" w:space="0"/>
              <w:bottom w:val="single" w:color="000000" w:sz="4" w:space="0"/>
              <w:right w:val="single" w:color="000000" w:sz="4" w:space="0"/>
            </w:tcBorders>
            <w:vAlign w:val="center"/>
          </w:tcPr>
          <w:p w14:paraId="33C64CC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5101BAB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242635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FBA97C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3.1.3.1.11</w:t>
            </w:r>
          </w:p>
        </w:tc>
        <w:tc>
          <w:tcPr>
            <w:tcW w:w="1035" w:type="dxa"/>
            <w:tcBorders>
              <w:top w:val="single" w:color="000000" w:sz="4" w:space="0"/>
              <w:left w:val="single" w:color="000000" w:sz="4" w:space="0"/>
              <w:bottom w:val="single" w:color="000000" w:sz="4" w:space="0"/>
              <w:right w:val="single" w:color="000000" w:sz="4" w:space="0"/>
            </w:tcBorders>
            <w:vAlign w:val="center"/>
          </w:tcPr>
          <w:p w14:paraId="3E35400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天线</w:t>
            </w:r>
          </w:p>
        </w:tc>
        <w:tc>
          <w:tcPr>
            <w:tcW w:w="6176" w:type="dxa"/>
            <w:tcBorders>
              <w:top w:val="single" w:color="000000" w:sz="4" w:space="0"/>
              <w:left w:val="single" w:color="000000" w:sz="4" w:space="0"/>
              <w:bottom w:val="single" w:color="000000" w:sz="4" w:space="0"/>
              <w:right w:val="single" w:color="000000" w:sz="4" w:space="0"/>
            </w:tcBorders>
            <w:vAlign w:val="center"/>
          </w:tcPr>
          <w:p w14:paraId="2F44D073">
            <w:pPr>
              <w:widowControl/>
              <w:textAlignment w:val="center"/>
              <w:rPr>
                <w:color w:val="auto"/>
                <w:highlight w:val="none"/>
              </w:rPr>
            </w:pPr>
            <w:r>
              <w:rPr>
                <w:rFonts w:hint="eastAsia"/>
                <w:color w:val="auto"/>
                <w:highlight w:val="none"/>
              </w:rPr>
              <w:t>1.射频频率范围：450-950MHz</w:t>
            </w:r>
          </w:p>
          <w:p w14:paraId="04799162">
            <w:pPr>
              <w:widowControl/>
              <w:textAlignment w:val="center"/>
              <w:rPr>
                <w:color w:val="auto"/>
                <w:highlight w:val="none"/>
              </w:rPr>
            </w:pPr>
            <w:r>
              <w:rPr>
                <w:rFonts w:hint="eastAsia"/>
                <w:color w:val="auto"/>
                <w:highlight w:val="none"/>
              </w:rPr>
              <w:t>2.供电方式：BNC，8-12V DC</w:t>
            </w:r>
          </w:p>
          <w:p w14:paraId="6DF94EB4">
            <w:pPr>
              <w:widowControl/>
              <w:textAlignment w:val="center"/>
              <w:rPr>
                <w:color w:val="auto"/>
                <w:highlight w:val="none"/>
              </w:rPr>
            </w:pPr>
            <w:r>
              <w:rPr>
                <w:rFonts w:hint="eastAsia"/>
                <w:color w:val="auto"/>
                <w:highlight w:val="none"/>
              </w:rPr>
              <w:t>3.电流：0.04A</w:t>
            </w:r>
          </w:p>
          <w:p w14:paraId="71DE02F1">
            <w:pPr>
              <w:widowControl/>
              <w:textAlignment w:val="center"/>
              <w:rPr>
                <w:color w:val="auto"/>
                <w:highlight w:val="none"/>
              </w:rPr>
            </w:pPr>
            <w:r>
              <w:rPr>
                <w:rFonts w:hint="eastAsia"/>
                <w:color w:val="auto"/>
                <w:highlight w:val="none"/>
              </w:rPr>
              <w:t>4.驻波比：≤2.0</w:t>
            </w:r>
          </w:p>
          <w:p w14:paraId="505A3834">
            <w:pPr>
              <w:widowControl/>
              <w:textAlignment w:val="center"/>
              <w:rPr>
                <w:color w:val="auto"/>
                <w:highlight w:val="none"/>
              </w:rPr>
            </w:pPr>
            <w:r>
              <w:rPr>
                <w:rFonts w:hint="eastAsia"/>
                <w:color w:val="auto"/>
                <w:highlight w:val="none"/>
              </w:rPr>
              <w:t>5.输入阻抗：50Ω</w:t>
            </w:r>
          </w:p>
          <w:p w14:paraId="61F3373A">
            <w:pPr>
              <w:widowControl/>
              <w:textAlignment w:val="center"/>
              <w:rPr>
                <w:color w:val="auto"/>
                <w:highlight w:val="none"/>
              </w:rPr>
            </w:pPr>
            <w:r>
              <w:rPr>
                <w:rFonts w:hint="eastAsia"/>
                <w:color w:val="auto"/>
                <w:highlight w:val="none"/>
              </w:rPr>
              <w:t>6.放大器底噪：＜3.6dB</w:t>
            </w:r>
          </w:p>
          <w:p w14:paraId="3071C06A">
            <w:pPr>
              <w:widowControl/>
              <w:textAlignment w:val="center"/>
              <w:rPr>
                <w:color w:val="auto"/>
                <w:highlight w:val="none"/>
              </w:rPr>
            </w:pPr>
            <w:r>
              <w:rPr>
                <w:rFonts w:hint="eastAsia"/>
                <w:color w:val="auto"/>
                <w:highlight w:val="none"/>
              </w:rPr>
              <w:t>7.增益：18db(典型)</w:t>
            </w:r>
          </w:p>
          <w:p w14:paraId="7833B4C3">
            <w:pPr>
              <w:widowControl/>
              <w:textAlignment w:val="center"/>
              <w:rPr>
                <w:color w:val="auto"/>
                <w:highlight w:val="none"/>
              </w:rPr>
            </w:pPr>
            <w:r>
              <w:rPr>
                <w:rFonts w:hint="eastAsia"/>
                <w:color w:val="auto"/>
                <w:highlight w:val="none"/>
              </w:rPr>
              <w:t>8.极化方式：垂直</w:t>
            </w:r>
          </w:p>
          <w:p w14:paraId="136C0666">
            <w:pPr>
              <w:widowControl/>
              <w:textAlignment w:val="center"/>
              <w:rPr>
                <w:color w:val="auto"/>
                <w:highlight w:val="none"/>
              </w:rPr>
            </w:pPr>
            <w:r>
              <w:rPr>
                <w:rFonts w:hint="eastAsia"/>
                <w:color w:val="auto"/>
                <w:highlight w:val="none"/>
              </w:rPr>
              <w:t>9.前后比：≥25dB</w:t>
            </w:r>
          </w:p>
          <w:p w14:paraId="6925E0F5">
            <w:pPr>
              <w:widowControl/>
              <w:textAlignment w:val="center"/>
              <w:rPr>
                <w:color w:val="auto"/>
                <w:highlight w:val="none"/>
              </w:rPr>
            </w:pPr>
            <w:r>
              <w:rPr>
                <w:rFonts w:hint="eastAsia"/>
                <w:color w:val="auto"/>
                <w:highlight w:val="none"/>
              </w:rPr>
              <w:t>10.接头类型：BNC</w:t>
            </w:r>
          </w:p>
          <w:p w14:paraId="6A67CE91">
            <w:pPr>
              <w:widowControl/>
              <w:textAlignment w:val="center"/>
              <w:rPr>
                <w:color w:val="auto"/>
                <w:highlight w:val="none"/>
              </w:rPr>
            </w:pPr>
            <w:r>
              <w:rPr>
                <w:rFonts w:hint="eastAsia"/>
                <w:color w:val="auto"/>
                <w:highlight w:val="none"/>
              </w:rPr>
              <w:t>11.指向性：180度指向</w:t>
            </w:r>
          </w:p>
          <w:p w14:paraId="0E4E3046">
            <w:pPr>
              <w:widowControl/>
              <w:textAlignment w:val="center"/>
              <w:rPr>
                <w:color w:val="auto"/>
                <w:highlight w:val="none"/>
              </w:rPr>
            </w:pPr>
            <w:r>
              <w:rPr>
                <w:rFonts w:hint="eastAsia"/>
                <w:color w:val="auto"/>
                <w:highlight w:val="none"/>
              </w:rPr>
              <w:t>12.重量：0.4kg</w:t>
            </w:r>
          </w:p>
          <w:p w14:paraId="5875052E">
            <w:pPr>
              <w:widowControl/>
              <w:textAlignment w:val="center"/>
              <w:rPr>
                <w:rFonts w:ascii="宋体" w:hAnsi="宋体" w:cs="宋体"/>
                <w:color w:val="auto"/>
                <w:szCs w:val="22"/>
                <w:highlight w:val="none"/>
              </w:rPr>
            </w:pPr>
            <w:r>
              <w:rPr>
                <w:rFonts w:hint="eastAsia"/>
                <w:color w:val="auto"/>
                <w:highlight w:val="none"/>
              </w:rPr>
              <w:t>13.尺寸（L×W×H）：178×44.5×207.3mm</w:t>
            </w:r>
          </w:p>
        </w:tc>
        <w:tc>
          <w:tcPr>
            <w:tcW w:w="754" w:type="dxa"/>
            <w:tcBorders>
              <w:top w:val="single" w:color="000000" w:sz="4" w:space="0"/>
              <w:left w:val="single" w:color="000000" w:sz="4" w:space="0"/>
              <w:bottom w:val="single" w:color="000000" w:sz="4" w:space="0"/>
              <w:right w:val="single" w:color="000000" w:sz="4" w:space="0"/>
            </w:tcBorders>
            <w:vAlign w:val="center"/>
          </w:tcPr>
          <w:p w14:paraId="2F557AE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591BC35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E8C643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546D91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3.1.3.2</w:t>
            </w:r>
          </w:p>
        </w:tc>
        <w:tc>
          <w:tcPr>
            <w:tcW w:w="1035" w:type="dxa"/>
            <w:tcBorders>
              <w:top w:val="single" w:color="000000" w:sz="4" w:space="0"/>
              <w:left w:val="single" w:color="000000" w:sz="4" w:space="0"/>
              <w:bottom w:val="single" w:color="000000" w:sz="4" w:space="0"/>
              <w:right w:val="single" w:color="000000" w:sz="4" w:space="0"/>
            </w:tcBorders>
            <w:vAlign w:val="center"/>
          </w:tcPr>
          <w:p w14:paraId="6B363710">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音频分布式节点</w:t>
            </w:r>
          </w:p>
        </w:tc>
        <w:tc>
          <w:tcPr>
            <w:tcW w:w="6176" w:type="dxa"/>
            <w:tcBorders>
              <w:top w:val="single" w:color="000000" w:sz="4" w:space="0"/>
              <w:left w:val="single" w:color="000000" w:sz="4" w:space="0"/>
              <w:bottom w:val="single" w:color="000000" w:sz="4" w:space="0"/>
              <w:right w:val="nil"/>
            </w:tcBorders>
            <w:vAlign w:val="center"/>
          </w:tcPr>
          <w:p w14:paraId="03FF583A">
            <w:pPr>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56D77C8E">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15146BD">
            <w:pPr>
              <w:jc w:val="center"/>
              <w:rPr>
                <w:rFonts w:ascii="宋体" w:hAnsi="宋体" w:cs="宋体"/>
                <w:color w:val="auto"/>
                <w:szCs w:val="22"/>
                <w:highlight w:val="none"/>
              </w:rPr>
            </w:pPr>
          </w:p>
        </w:tc>
      </w:tr>
      <w:tr w14:paraId="64D3FC5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A24AFA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3.1.3.2.1</w:t>
            </w:r>
          </w:p>
        </w:tc>
        <w:tc>
          <w:tcPr>
            <w:tcW w:w="1035" w:type="dxa"/>
            <w:tcBorders>
              <w:top w:val="single" w:color="000000" w:sz="4" w:space="0"/>
              <w:left w:val="single" w:color="000000" w:sz="4" w:space="0"/>
              <w:bottom w:val="single" w:color="000000" w:sz="4" w:space="0"/>
              <w:right w:val="single" w:color="000000" w:sz="4" w:space="0"/>
            </w:tcBorders>
            <w:vAlign w:val="center"/>
          </w:tcPr>
          <w:p w14:paraId="013DA49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音频分布式输入节点</w:t>
            </w:r>
          </w:p>
        </w:tc>
        <w:tc>
          <w:tcPr>
            <w:tcW w:w="6176" w:type="dxa"/>
            <w:tcBorders>
              <w:top w:val="single" w:color="000000" w:sz="4" w:space="0"/>
              <w:left w:val="single" w:color="000000" w:sz="4" w:space="0"/>
              <w:bottom w:val="single" w:color="000000" w:sz="4" w:space="0"/>
              <w:right w:val="single" w:color="000000" w:sz="4" w:space="0"/>
            </w:tcBorders>
            <w:vAlign w:val="center"/>
          </w:tcPr>
          <w:p w14:paraId="052F103A">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分布式HDMI2.0输入节点，最大分辨率支持3840x2160@60，兼容H.265/H.264。包含1路HDMI输入（支持嵌入式音频），1路HDMI环出，1路音频输入，1路音频环出，1路反向音频输出，1路网口网络输出，1路USB TYPE B接口。支持KVM功能，支持远程开关机，带前面板显示，支持POE供电。</w:t>
            </w:r>
          </w:p>
          <w:p w14:paraId="493D32D9">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1. 支持按用户进行信号源/输出分组，支持不少于5级的信号源/输出分组，分组数量无上限。可便捷调取，进行快速上屏、批量切换等操作；</w:t>
            </w:r>
          </w:p>
          <w:p w14:paraId="62448DB4">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2. 支持输入信号丢失后通知用户具体哪路输入信号丢失；支持输入信号上线后通知用户具体哪路输入信号上线；</w:t>
            </w:r>
          </w:p>
          <w:p w14:paraId="70E88ACD">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3. 支持不少于600MHz像素时钟任意调整，全数字；支持GTF、DMT、CVT视频标准；。</w:t>
            </w:r>
          </w:p>
          <w:p w14:paraId="6D339E93">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4. 支持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p w14:paraId="35768108">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5. 支持音视频独立传输，切换。音频可与视频同源或不同源，在无视频接入的情况下音频也可正常传输。</w:t>
            </w:r>
          </w:p>
          <w:p w14:paraId="1D912D92">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6. 支持通过单根USB Type B线缆连接输入节点和信号源主机，即可通过坐席输出节点连接的键盘、鼠标对信号源主机进行远程实时控制。同时可实现多种USB设备的透传使用。</w:t>
            </w:r>
          </w:p>
          <w:p w14:paraId="4423FE88">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7. 支持3840x2160P@60Hz、3840x2160P@30Hz、2048x2048@@60Hz、2160x2160@60Hz、1920x1200@60Hz、1920x1080P@60Hz等分辨率的采集和编码，并可向下兼容常见分辨率。</w:t>
            </w:r>
          </w:p>
          <w:p w14:paraId="39B5E6AA">
            <w:pPr>
              <w:pStyle w:val="59"/>
              <w:jc w:val="both"/>
              <w:rPr>
                <w:color w:val="auto"/>
                <w:highlight w:val="none"/>
              </w:rPr>
            </w:pPr>
            <w:r>
              <w:rPr>
                <w:rFonts w:hint="eastAsia" w:ascii="宋体" w:hAnsi="宋体" w:eastAsia="宋体" w:cs="宋体"/>
                <w:b w:val="0"/>
                <w:bCs/>
                <w:color w:val="auto"/>
                <w:highlight w:val="none"/>
              </w:rPr>
              <w:t>8. 支持输入节点可自适应多种标准分辨率视频信号采集，并支持自定义分辨率EDID导入，以适应非标显示设备的特殊应用，使编码分辨率与视频接入分辨率保持一致。</w:t>
            </w:r>
          </w:p>
        </w:tc>
        <w:tc>
          <w:tcPr>
            <w:tcW w:w="754" w:type="dxa"/>
            <w:tcBorders>
              <w:top w:val="single" w:color="000000" w:sz="4" w:space="0"/>
              <w:left w:val="single" w:color="000000" w:sz="4" w:space="0"/>
              <w:bottom w:val="single" w:color="000000" w:sz="4" w:space="0"/>
              <w:right w:val="single" w:color="000000" w:sz="4" w:space="0"/>
            </w:tcBorders>
            <w:vAlign w:val="center"/>
          </w:tcPr>
          <w:p w14:paraId="130AFC2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w:t>
            </w:r>
          </w:p>
        </w:tc>
        <w:tc>
          <w:tcPr>
            <w:tcW w:w="660" w:type="dxa"/>
            <w:tcBorders>
              <w:top w:val="single" w:color="000000" w:sz="4" w:space="0"/>
              <w:left w:val="single" w:color="000000" w:sz="4" w:space="0"/>
              <w:bottom w:val="single" w:color="000000" w:sz="4" w:space="0"/>
              <w:right w:val="single" w:color="000000" w:sz="4" w:space="0"/>
            </w:tcBorders>
            <w:vAlign w:val="center"/>
          </w:tcPr>
          <w:p w14:paraId="2C205EF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8D4D4C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4D2C22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3.1.3.2.2</w:t>
            </w:r>
          </w:p>
        </w:tc>
        <w:tc>
          <w:tcPr>
            <w:tcW w:w="1035" w:type="dxa"/>
            <w:tcBorders>
              <w:top w:val="single" w:color="000000" w:sz="4" w:space="0"/>
              <w:left w:val="single" w:color="000000" w:sz="4" w:space="0"/>
              <w:bottom w:val="single" w:color="000000" w:sz="4" w:space="0"/>
              <w:right w:val="single" w:color="000000" w:sz="4" w:space="0"/>
            </w:tcBorders>
            <w:vAlign w:val="center"/>
          </w:tcPr>
          <w:p w14:paraId="11B103F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音频拼接输出节点</w:t>
            </w:r>
          </w:p>
        </w:tc>
        <w:tc>
          <w:tcPr>
            <w:tcW w:w="6176" w:type="dxa"/>
            <w:tcBorders>
              <w:top w:val="single" w:color="000000" w:sz="4" w:space="0"/>
              <w:left w:val="single" w:color="000000" w:sz="4" w:space="0"/>
              <w:bottom w:val="single" w:color="000000" w:sz="4" w:space="0"/>
              <w:right w:val="single" w:color="000000" w:sz="4" w:space="0"/>
            </w:tcBorders>
            <w:vAlign w:val="center"/>
          </w:tcPr>
          <w:p w14:paraId="5AD386ED">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分布式HDMI2.0拼接节点，最大分辨率支持3840x2160@60，兼容H.265/H.264。包含≥1路网络输入，≥1路HDMI2.0输出，≥1路音频输出，支持前面板显示功能。</w:t>
            </w:r>
          </w:p>
          <w:p w14:paraId="7322126C">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1. 支持3840x2160P@60Hz，1920x1200@60Hz、1920x1080P@60Hz等分辨率的解码和输出显示，并可向下兼容常见分辨率。</w:t>
            </w:r>
          </w:p>
          <w:p w14:paraId="0A4CA3ED">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2. 支持文字、图片滚动字幕显示功能，可调整字幕的样式、动作、方向、速度、研发、字体等。</w:t>
            </w:r>
          </w:p>
          <w:p w14:paraId="2852D5E9">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3. 支持可将常用窗口布局保存为辅助布局模式，可将信号源快速开窗至布局模式中的固定位置中。</w:t>
            </w:r>
          </w:p>
          <w:p w14:paraId="69DD0AC1">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4. 支持设置拼接屏的拼缝补偿，可精确至1像素。</w:t>
            </w:r>
          </w:p>
          <w:p w14:paraId="4DACB6E7">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5. 支持可在单个输出通道支开一个或多个不同源窗口，支持1、4、9、16分割多窗口形式布局。</w:t>
            </w:r>
          </w:p>
          <w:p w14:paraId="4E53F7C3">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6. 拼接大屏整屏实时帧同步，屏组内任意两个拼接节点间帧同步信号差异小于20us。</w:t>
            </w:r>
          </w:p>
          <w:p w14:paraId="0D33FCE1">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7. 支持分布式拼接输出节点支持音柱叠加功能，可在输出节点上预览信号源音频的状态，可以音柱的形式监看音频音量大小、电平信号等。</w:t>
            </w:r>
          </w:p>
          <w:p w14:paraId="68462D55">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8. 支持同时对多个不同分辨率的拼接墙、LED大屏等多种显示终端进行管理，并共享输入信号源。单个系统中可管理的屏组数量无限制。</w:t>
            </w:r>
          </w:p>
          <w:p w14:paraId="15046192">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9. 支持双引擎容错功能，当浅压缩码流故障时，可自动切换至深压缩码流，保障画面正常显示。</w:t>
            </w:r>
          </w:p>
          <w:p w14:paraId="56F52B45">
            <w:pPr>
              <w:pStyle w:val="59"/>
              <w:jc w:val="both"/>
              <w:rPr>
                <w:color w:val="auto"/>
                <w:highlight w:val="none"/>
              </w:rPr>
            </w:pPr>
            <w:r>
              <w:rPr>
                <w:rFonts w:hint="eastAsia" w:ascii="宋体" w:hAnsi="宋体" w:eastAsia="宋体" w:cs="宋体"/>
                <w:b w:val="0"/>
                <w:bCs/>
                <w:color w:val="auto"/>
                <w:highlight w:val="none"/>
              </w:rPr>
              <w:t>10. 支持多组预案自动轮巡，播放顺序、播放时间 可调，支持1秒~900秒自定义轮巡时间间隔。</w:t>
            </w:r>
          </w:p>
        </w:tc>
        <w:tc>
          <w:tcPr>
            <w:tcW w:w="754" w:type="dxa"/>
            <w:tcBorders>
              <w:top w:val="single" w:color="000000" w:sz="4" w:space="0"/>
              <w:left w:val="single" w:color="000000" w:sz="4" w:space="0"/>
              <w:bottom w:val="single" w:color="000000" w:sz="4" w:space="0"/>
              <w:right w:val="single" w:color="000000" w:sz="4" w:space="0"/>
            </w:tcBorders>
            <w:vAlign w:val="center"/>
          </w:tcPr>
          <w:p w14:paraId="0896701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B3C80A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34274C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1B1B2C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3.1.3.2.3</w:t>
            </w:r>
          </w:p>
        </w:tc>
        <w:tc>
          <w:tcPr>
            <w:tcW w:w="1035" w:type="dxa"/>
            <w:tcBorders>
              <w:top w:val="single" w:color="000000" w:sz="4" w:space="0"/>
              <w:left w:val="single" w:color="000000" w:sz="4" w:space="0"/>
              <w:bottom w:val="single" w:color="000000" w:sz="4" w:space="0"/>
              <w:right w:val="single" w:color="000000" w:sz="4" w:space="0"/>
            </w:tcBorders>
            <w:vAlign w:val="center"/>
          </w:tcPr>
          <w:p w14:paraId="7FB3446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音频分布式节点配套辅材</w:t>
            </w:r>
          </w:p>
        </w:tc>
        <w:tc>
          <w:tcPr>
            <w:tcW w:w="6176" w:type="dxa"/>
            <w:tcBorders>
              <w:top w:val="single" w:color="000000" w:sz="4" w:space="0"/>
              <w:left w:val="single" w:color="000000" w:sz="4" w:space="0"/>
              <w:bottom w:val="single" w:color="000000" w:sz="4" w:space="0"/>
              <w:right w:val="nil"/>
            </w:tcBorders>
            <w:vAlign w:val="center"/>
          </w:tcPr>
          <w:p w14:paraId="4335C2B5">
            <w:pPr>
              <w:widowControl/>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5FF67ADE">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DB93971">
            <w:pPr>
              <w:jc w:val="center"/>
              <w:rPr>
                <w:rFonts w:ascii="宋体" w:hAnsi="宋体" w:cs="宋体"/>
                <w:color w:val="auto"/>
                <w:szCs w:val="22"/>
                <w:highlight w:val="none"/>
              </w:rPr>
            </w:pPr>
          </w:p>
        </w:tc>
      </w:tr>
      <w:tr w14:paraId="6BDC241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2B07EE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3.1.3.2.3.1</w:t>
            </w:r>
          </w:p>
        </w:tc>
        <w:tc>
          <w:tcPr>
            <w:tcW w:w="1035" w:type="dxa"/>
            <w:tcBorders>
              <w:top w:val="single" w:color="000000" w:sz="4" w:space="0"/>
              <w:left w:val="single" w:color="000000" w:sz="4" w:space="0"/>
              <w:bottom w:val="single" w:color="000000" w:sz="4" w:space="0"/>
              <w:right w:val="single" w:color="000000" w:sz="4" w:space="0"/>
            </w:tcBorders>
            <w:vAlign w:val="center"/>
          </w:tcPr>
          <w:p w14:paraId="405CFE3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跳线</w:t>
            </w:r>
          </w:p>
        </w:tc>
        <w:tc>
          <w:tcPr>
            <w:tcW w:w="6176" w:type="dxa"/>
            <w:tcBorders>
              <w:top w:val="single" w:color="000000" w:sz="4" w:space="0"/>
              <w:left w:val="single" w:color="000000" w:sz="4" w:space="0"/>
              <w:bottom w:val="single" w:color="000000" w:sz="4" w:space="0"/>
              <w:right w:val="nil"/>
            </w:tcBorders>
            <w:vAlign w:val="center"/>
          </w:tcPr>
          <w:p w14:paraId="4419532E">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导体直径：24AWG；导体绝缘外径：0.88±0.01m；外径：5.2±0.3mm；单根导体最大电阻：≤9.5Q/100m；线对直流电阻不平衡型：≤2.5%；导体间介电强度，DC, 1min：1Kv/1min；工作电容最大值：≤5.6nF/100m。</w:t>
            </w:r>
          </w:p>
        </w:tc>
        <w:tc>
          <w:tcPr>
            <w:tcW w:w="754" w:type="dxa"/>
            <w:tcBorders>
              <w:top w:val="single" w:color="000000" w:sz="4" w:space="0"/>
              <w:left w:val="single" w:color="000000" w:sz="4" w:space="0"/>
              <w:bottom w:val="single" w:color="000000" w:sz="4" w:space="0"/>
              <w:right w:val="single" w:color="000000" w:sz="4" w:space="0"/>
            </w:tcBorders>
            <w:vAlign w:val="center"/>
          </w:tcPr>
          <w:p w14:paraId="39E03F8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367A74B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批 </w:t>
            </w:r>
          </w:p>
        </w:tc>
      </w:tr>
      <w:tr w14:paraId="1CFEF11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529C6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3.1.3.2.3.2</w:t>
            </w:r>
          </w:p>
        </w:tc>
        <w:tc>
          <w:tcPr>
            <w:tcW w:w="1035" w:type="dxa"/>
            <w:tcBorders>
              <w:top w:val="single" w:color="000000" w:sz="4" w:space="0"/>
              <w:left w:val="single" w:color="000000" w:sz="4" w:space="0"/>
              <w:bottom w:val="single" w:color="000000" w:sz="4" w:space="0"/>
              <w:right w:val="single" w:color="000000" w:sz="4" w:space="0"/>
            </w:tcBorders>
            <w:vAlign w:val="center"/>
          </w:tcPr>
          <w:p w14:paraId="4DFAB7C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HDMI线缆（1.5米）</w:t>
            </w:r>
          </w:p>
        </w:tc>
        <w:tc>
          <w:tcPr>
            <w:tcW w:w="6176" w:type="dxa"/>
            <w:tcBorders>
              <w:top w:val="single" w:color="000000" w:sz="4" w:space="0"/>
              <w:left w:val="single" w:color="000000" w:sz="4" w:space="0"/>
              <w:bottom w:val="single" w:color="000000" w:sz="4" w:space="0"/>
              <w:right w:val="nil"/>
            </w:tcBorders>
            <w:vAlign w:val="center"/>
          </w:tcPr>
          <w:p w14:paraId="4A32B876">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HDMI 1.4 4K30Hz铜缆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端子镀金；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端子内部特殊设计，增强端子和线缆连接强度；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环保加厚外被；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支持HDMI 4K30Hz型号稳定传输；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即插即用，无需驱动程序；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线缆类型（音视频线）：铜缆；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视频版本：HDMI 1.4；</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支持最大分辨率：4K 30Hz；</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接口类型：HDMI。</w:t>
            </w:r>
          </w:p>
        </w:tc>
        <w:tc>
          <w:tcPr>
            <w:tcW w:w="754" w:type="dxa"/>
            <w:tcBorders>
              <w:top w:val="single" w:color="000000" w:sz="4" w:space="0"/>
              <w:left w:val="single" w:color="000000" w:sz="4" w:space="0"/>
              <w:bottom w:val="single" w:color="000000" w:sz="4" w:space="0"/>
              <w:right w:val="single" w:color="000000" w:sz="4" w:space="0"/>
            </w:tcBorders>
            <w:vAlign w:val="center"/>
          </w:tcPr>
          <w:p w14:paraId="1CC3E76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178B08E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根 </w:t>
            </w:r>
          </w:p>
        </w:tc>
      </w:tr>
      <w:tr w14:paraId="7B6900D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A1B493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3.1.3.2.3.3</w:t>
            </w:r>
          </w:p>
        </w:tc>
        <w:tc>
          <w:tcPr>
            <w:tcW w:w="1035" w:type="dxa"/>
            <w:tcBorders>
              <w:top w:val="single" w:color="000000" w:sz="4" w:space="0"/>
              <w:left w:val="single" w:color="000000" w:sz="4" w:space="0"/>
              <w:bottom w:val="single" w:color="000000" w:sz="4" w:space="0"/>
              <w:right w:val="single" w:color="000000" w:sz="4" w:space="0"/>
            </w:tcBorders>
            <w:vAlign w:val="center"/>
          </w:tcPr>
          <w:p w14:paraId="3ADBFEA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电缆</w:t>
            </w:r>
          </w:p>
        </w:tc>
        <w:tc>
          <w:tcPr>
            <w:tcW w:w="6176" w:type="dxa"/>
            <w:tcBorders>
              <w:top w:val="single" w:color="000000" w:sz="4" w:space="0"/>
              <w:left w:val="single" w:color="000000" w:sz="4" w:space="0"/>
              <w:bottom w:val="single" w:color="000000" w:sz="4" w:space="0"/>
              <w:right w:val="nil"/>
            </w:tcBorders>
            <w:vAlign w:val="center"/>
          </w:tcPr>
          <w:p w14:paraId="0A79DAB5">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1）规格ZR-RVV3*1.5mm2；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7D4CCC5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6CCF7F3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米 </w:t>
            </w:r>
          </w:p>
        </w:tc>
      </w:tr>
      <w:tr w14:paraId="6BCEBC1A">
        <w:tblPrEx>
          <w:tblCellMar>
            <w:top w:w="0" w:type="dxa"/>
            <w:left w:w="108" w:type="dxa"/>
            <w:bottom w:w="0" w:type="dxa"/>
            <w:right w:w="108" w:type="dxa"/>
          </w:tblCellMar>
        </w:tblPrEx>
        <w:trPr>
          <w:trHeight w:val="691"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149F821">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3.1.3.3</w:t>
            </w:r>
          </w:p>
        </w:tc>
        <w:tc>
          <w:tcPr>
            <w:tcW w:w="1035" w:type="dxa"/>
            <w:tcBorders>
              <w:top w:val="single" w:color="000000" w:sz="4" w:space="0"/>
              <w:left w:val="single" w:color="000000" w:sz="4" w:space="0"/>
              <w:bottom w:val="single" w:color="000000" w:sz="4" w:space="0"/>
              <w:right w:val="single" w:color="000000" w:sz="4" w:space="0"/>
            </w:tcBorders>
            <w:vAlign w:val="center"/>
          </w:tcPr>
          <w:p w14:paraId="25EB4BC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数字会议系统</w:t>
            </w:r>
          </w:p>
        </w:tc>
        <w:tc>
          <w:tcPr>
            <w:tcW w:w="6176" w:type="dxa"/>
            <w:tcBorders>
              <w:top w:val="single" w:color="000000" w:sz="4" w:space="0"/>
              <w:left w:val="single" w:color="000000" w:sz="4" w:space="0"/>
              <w:bottom w:val="single" w:color="000000" w:sz="4" w:space="0"/>
              <w:right w:val="nil"/>
            </w:tcBorders>
            <w:vAlign w:val="center"/>
          </w:tcPr>
          <w:p w14:paraId="05CAF74A">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F374EE0">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F7016AC">
            <w:pPr>
              <w:jc w:val="center"/>
              <w:rPr>
                <w:rFonts w:ascii="宋体" w:hAnsi="宋体" w:cs="宋体"/>
                <w:color w:val="auto"/>
                <w:szCs w:val="22"/>
                <w:highlight w:val="none"/>
              </w:rPr>
            </w:pPr>
          </w:p>
        </w:tc>
      </w:tr>
      <w:tr w14:paraId="06929C1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E1430D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3.1.3.3.1</w:t>
            </w:r>
          </w:p>
        </w:tc>
        <w:tc>
          <w:tcPr>
            <w:tcW w:w="1035" w:type="dxa"/>
            <w:tcBorders>
              <w:top w:val="single" w:color="000000" w:sz="4" w:space="0"/>
              <w:left w:val="single" w:color="000000" w:sz="4" w:space="0"/>
              <w:bottom w:val="single" w:color="000000" w:sz="4" w:space="0"/>
              <w:right w:val="single" w:color="000000" w:sz="4" w:space="0"/>
            </w:tcBorders>
            <w:vAlign w:val="center"/>
          </w:tcPr>
          <w:p w14:paraId="1BCCF2E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数字会议系统主机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471E2FB8">
            <w:pPr>
              <w:widowControl/>
              <w:textAlignment w:val="center"/>
              <w:rPr>
                <w:rFonts w:ascii="宋体" w:hAnsi="宋体" w:cs="宋体"/>
                <w:color w:val="auto"/>
                <w:szCs w:val="22"/>
                <w:highlight w:val="none"/>
              </w:rPr>
            </w:pPr>
            <w:r>
              <w:rPr>
                <w:rFonts w:hint="eastAsia" w:ascii="宋体" w:hAnsi="宋体" w:cs="宋体"/>
                <w:color w:val="auto"/>
                <w:szCs w:val="22"/>
                <w:highlight w:val="none"/>
              </w:rPr>
              <w:t>1.支持≥4096台有线会议单元和≥300台无线会议单元同时接入管理使用；支持≥4396台会议单元同时参与会议议程（签到、表决、服务）以及发言控制。</w:t>
            </w:r>
          </w:p>
          <w:p w14:paraId="787BE497">
            <w:pPr>
              <w:widowControl/>
              <w:textAlignment w:val="center"/>
              <w:rPr>
                <w:rFonts w:ascii="宋体" w:hAnsi="宋体" w:cs="宋体"/>
                <w:color w:val="auto"/>
                <w:szCs w:val="22"/>
                <w:highlight w:val="none"/>
              </w:rPr>
            </w:pPr>
            <w:r>
              <w:rPr>
                <w:rFonts w:hint="eastAsia" w:ascii="宋体" w:hAnsi="宋体" w:cs="宋体"/>
                <w:color w:val="auto"/>
                <w:szCs w:val="22"/>
                <w:highlight w:val="none"/>
              </w:rPr>
              <w:t>2.主机兼容同时连接有线与无线会议单元，二者可并行使用；采用跨域音频同步技术，有线与无线会议单元音频的音频无缝混音输出。</w:t>
            </w:r>
          </w:p>
          <w:p w14:paraId="077ACE40">
            <w:pPr>
              <w:widowControl/>
              <w:textAlignment w:val="center"/>
              <w:rPr>
                <w:rFonts w:ascii="宋体" w:hAnsi="宋体" w:cs="宋体"/>
                <w:color w:val="auto"/>
                <w:szCs w:val="22"/>
                <w:highlight w:val="none"/>
              </w:rPr>
            </w:pPr>
            <w:r>
              <w:rPr>
                <w:rFonts w:hint="eastAsia" w:ascii="宋体" w:hAnsi="宋体" w:cs="宋体"/>
                <w:color w:val="auto"/>
                <w:szCs w:val="22"/>
                <w:highlight w:val="none"/>
              </w:rPr>
              <w:t>3.设备采用分段压缩混音处理技术和时钟同步传输技术，会议单元拾音到主机输出延时≤5ms。</w:t>
            </w:r>
          </w:p>
          <w:p w14:paraId="085F3F41">
            <w:pPr>
              <w:widowControl/>
              <w:textAlignment w:val="center"/>
              <w:rPr>
                <w:rFonts w:ascii="宋体" w:hAnsi="宋体" w:cs="宋体"/>
                <w:color w:val="auto"/>
                <w:szCs w:val="22"/>
                <w:highlight w:val="none"/>
              </w:rPr>
            </w:pPr>
            <w:r>
              <w:rPr>
                <w:rFonts w:hint="eastAsia" w:ascii="宋体" w:hAnsi="宋体" w:cs="宋体"/>
                <w:color w:val="auto"/>
                <w:szCs w:val="22"/>
                <w:highlight w:val="none"/>
              </w:rPr>
              <w:t>4.设备具有≥1个USB接口；后面板具有≥2路RS-232接口、≥1路RS-485接口、≥4路RJ45通讯接口；具有≥1路RCA输入、≥1路卡侬输入、≥2路凤凰端子输入接口；≥1路RCA输出、≥1路卡侬输出、≥16路凤凰端子输出接口；≥1个拨码开关、≥1个接地柱。</w:t>
            </w:r>
          </w:p>
          <w:p w14:paraId="1B1C6537">
            <w:pPr>
              <w:widowControl/>
              <w:textAlignment w:val="center"/>
              <w:rPr>
                <w:rFonts w:ascii="宋体" w:hAnsi="宋体" w:cs="宋体"/>
                <w:color w:val="auto"/>
                <w:szCs w:val="22"/>
                <w:highlight w:val="none"/>
              </w:rPr>
            </w:pPr>
            <w:r>
              <w:rPr>
                <w:rFonts w:hint="eastAsia" w:ascii="宋体" w:hAnsi="宋体" w:cs="宋体"/>
                <w:color w:val="auto"/>
                <w:szCs w:val="22"/>
                <w:highlight w:val="none"/>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p>
          <w:p w14:paraId="3EC21F2C">
            <w:pPr>
              <w:widowControl/>
              <w:textAlignment w:val="center"/>
              <w:rPr>
                <w:rFonts w:ascii="宋体" w:hAnsi="宋体" w:cs="宋体"/>
                <w:color w:val="auto"/>
                <w:szCs w:val="22"/>
                <w:highlight w:val="none"/>
              </w:rPr>
            </w:pPr>
            <w:r>
              <w:rPr>
                <w:rFonts w:hint="eastAsia" w:ascii="宋体" w:hAnsi="宋体" w:cs="宋体"/>
                <w:color w:val="auto"/>
                <w:szCs w:val="22"/>
                <w:highlight w:val="none"/>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p>
          <w:p w14:paraId="7F26033C">
            <w:pPr>
              <w:widowControl/>
              <w:textAlignment w:val="center"/>
              <w:rPr>
                <w:rFonts w:ascii="宋体" w:hAnsi="宋体" w:cs="宋体"/>
                <w:color w:val="auto"/>
                <w:szCs w:val="22"/>
                <w:highlight w:val="none"/>
              </w:rPr>
            </w:pPr>
            <w:r>
              <w:rPr>
                <w:rFonts w:hint="eastAsia" w:ascii="宋体" w:hAnsi="宋体" w:cs="宋体"/>
                <w:color w:val="auto"/>
                <w:szCs w:val="22"/>
                <w:highlight w:val="none"/>
              </w:rPr>
              <w:t>7.主机具有≥16通道音频分组输出接口；采用会议分区相控技术，可拆分≥16个独立的会议系统使用，也可以组成一个大型的会议系统使用，实现多种方式的会议室合并/拆分。</w:t>
            </w:r>
          </w:p>
          <w:p w14:paraId="68D2FEB9">
            <w:pPr>
              <w:widowControl/>
              <w:textAlignment w:val="center"/>
              <w:rPr>
                <w:rFonts w:ascii="宋体" w:hAnsi="宋体" w:cs="宋体"/>
                <w:color w:val="auto"/>
                <w:szCs w:val="22"/>
                <w:highlight w:val="none"/>
              </w:rPr>
            </w:pPr>
            <w:r>
              <w:rPr>
                <w:rFonts w:hint="eastAsia" w:ascii="宋体" w:hAnsi="宋体" w:cs="宋体"/>
                <w:color w:val="auto"/>
                <w:szCs w:val="22"/>
                <w:highlight w:val="none"/>
              </w:rPr>
              <w:t>8.支持主机U盘和客户端软件两种录音方式；搭配会议话筒和录音盒可以录制单个会议单元发言音频和录制所有会议单元混音发言音频。</w:t>
            </w:r>
          </w:p>
          <w:p w14:paraId="53A7FD8D">
            <w:pPr>
              <w:widowControl/>
              <w:textAlignment w:val="center"/>
              <w:rPr>
                <w:rFonts w:ascii="宋体" w:hAnsi="宋体" w:cs="宋体"/>
                <w:color w:val="auto"/>
                <w:szCs w:val="22"/>
                <w:highlight w:val="none"/>
              </w:rPr>
            </w:pPr>
            <w:r>
              <w:rPr>
                <w:rFonts w:hint="eastAsia" w:ascii="宋体" w:hAnsi="宋体" w:cs="宋体"/>
                <w:color w:val="auto"/>
                <w:szCs w:val="22"/>
                <w:highlight w:val="none"/>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p>
          <w:p w14:paraId="1A346F97">
            <w:pPr>
              <w:widowControl/>
              <w:textAlignment w:val="center"/>
              <w:rPr>
                <w:rFonts w:ascii="宋体" w:hAnsi="宋体" w:cs="宋体"/>
                <w:color w:val="auto"/>
                <w:szCs w:val="22"/>
                <w:highlight w:val="none"/>
              </w:rPr>
            </w:pPr>
            <w:r>
              <w:rPr>
                <w:rFonts w:hint="eastAsia" w:ascii="宋体" w:hAnsi="宋体" w:cs="宋体"/>
                <w:color w:val="auto"/>
                <w:szCs w:val="22"/>
                <w:highlight w:val="none"/>
              </w:rPr>
              <w:t>10.WEB管理端具有切换个性化主题风格功能，可切换≥4种风格，可选简约主题、政务主题、时尚主题、活力主题，不同主题提供不同UI界面背景颜色。</w:t>
            </w:r>
          </w:p>
          <w:p w14:paraId="64DDDD0E">
            <w:pPr>
              <w:widowControl/>
              <w:textAlignment w:val="center"/>
              <w:rPr>
                <w:rFonts w:ascii="宋体" w:hAnsi="宋体" w:cs="宋体"/>
                <w:color w:val="auto"/>
                <w:szCs w:val="22"/>
                <w:highlight w:val="none"/>
              </w:rPr>
            </w:pPr>
            <w:r>
              <w:rPr>
                <w:rFonts w:hint="eastAsia" w:ascii="宋体" w:hAnsi="宋体" w:cs="宋体"/>
                <w:color w:val="auto"/>
                <w:szCs w:val="22"/>
                <w:highlight w:val="none"/>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p>
          <w:p w14:paraId="71E545A6">
            <w:pPr>
              <w:widowControl/>
              <w:textAlignment w:val="center"/>
              <w:rPr>
                <w:rFonts w:ascii="宋体" w:hAnsi="宋体" w:cs="宋体"/>
                <w:color w:val="auto"/>
                <w:szCs w:val="22"/>
                <w:highlight w:val="none"/>
              </w:rPr>
            </w:pPr>
            <w:r>
              <w:rPr>
                <w:rFonts w:hint="eastAsia" w:ascii="宋体" w:hAnsi="宋体" w:cs="宋体"/>
                <w:color w:val="auto"/>
                <w:szCs w:val="22"/>
                <w:highlight w:val="none"/>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p>
          <w:p w14:paraId="165BA138">
            <w:pPr>
              <w:widowControl/>
              <w:textAlignment w:val="center"/>
              <w:rPr>
                <w:rFonts w:ascii="宋体" w:hAnsi="宋体" w:cs="宋体"/>
                <w:color w:val="auto"/>
                <w:szCs w:val="22"/>
                <w:highlight w:val="none"/>
              </w:rPr>
            </w:pPr>
            <w:r>
              <w:rPr>
                <w:rFonts w:hint="eastAsia" w:ascii="宋体" w:hAnsi="宋体" w:cs="宋体"/>
                <w:color w:val="auto"/>
                <w:szCs w:val="22"/>
                <w:highlight w:val="none"/>
              </w:rPr>
              <w:t>13.采用会议系统多环路检测及网络补给技术，实现会议单元手拉手链路出现故障时快速恢复，环路恢复时间≤5ms。</w:t>
            </w:r>
          </w:p>
          <w:p w14:paraId="04E98054">
            <w:pPr>
              <w:widowControl/>
              <w:textAlignment w:val="center"/>
              <w:rPr>
                <w:rFonts w:ascii="宋体" w:hAnsi="宋体" w:cs="宋体"/>
                <w:color w:val="auto"/>
                <w:szCs w:val="22"/>
                <w:highlight w:val="none"/>
              </w:rPr>
            </w:pPr>
            <w:r>
              <w:rPr>
                <w:rFonts w:hint="eastAsia" w:ascii="宋体" w:hAnsi="宋体" w:cs="宋体"/>
                <w:color w:val="auto"/>
                <w:szCs w:val="22"/>
                <w:highlight w:val="none"/>
              </w:rPr>
              <w:t>14.具有C/S、B/S架构管理软件，客户端、WEB端软件均可运行的操作系统版本≥8种，包括Windows7/10/11、银河麒麟桌面操作系统（兆芯版）、银河麒麟桌面操作系统（飞腾版）、macOS系统、统信UOS、Ubuntu桌面版操作系统。</w:t>
            </w:r>
          </w:p>
          <w:p w14:paraId="44226AC0">
            <w:pPr>
              <w:widowControl/>
              <w:textAlignment w:val="center"/>
              <w:rPr>
                <w:rFonts w:ascii="宋体" w:hAnsi="宋体" w:cs="宋体"/>
                <w:color w:val="auto"/>
                <w:szCs w:val="22"/>
                <w:highlight w:val="none"/>
              </w:rPr>
            </w:pPr>
            <w:r>
              <w:rPr>
                <w:rFonts w:hint="eastAsia" w:ascii="宋体" w:hAnsi="宋体" w:cs="宋体"/>
                <w:color w:val="auto"/>
                <w:szCs w:val="22"/>
                <w:highlight w:val="none"/>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p>
          <w:p w14:paraId="5F381D99">
            <w:pPr>
              <w:widowControl/>
              <w:textAlignment w:val="center"/>
              <w:rPr>
                <w:rFonts w:ascii="宋体" w:hAnsi="宋体" w:cs="宋体"/>
                <w:color w:val="auto"/>
                <w:szCs w:val="22"/>
                <w:highlight w:val="none"/>
              </w:rPr>
            </w:pPr>
            <w:r>
              <w:rPr>
                <w:rFonts w:hint="eastAsia" w:ascii="宋体" w:hAnsi="宋体" w:cs="宋体"/>
                <w:color w:val="auto"/>
                <w:szCs w:val="22"/>
                <w:highlight w:val="none"/>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p>
        </w:tc>
        <w:tc>
          <w:tcPr>
            <w:tcW w:w="754" w:type="dxa"/>
            <w:tcBorders>
              <w:top w:val="single" w:color="000000" w:sz="4" w:space="0"/>
              <w:left w:val="single" w:color="000000" w:sz="4" w:space="0"/>
              <w:bottom w:val="single" w:color="000000" w:sz="4" w:space="0"/>
              <w:right w:val="single" w:color="000000" w:sz="4" w:space="0"/>
            </w:tcBorders>
            <w:vAlign w:val="center"/>
          </w:tcPr>
          <w:p w14:paraId="4EC5B7A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339685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3DDE7E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5B43C3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3.1.3.3.2</w:t>
            </w:r>
          </w:p>
        </w:tc>
        <w:tc>
          <w:tcPr>
            <w:tcW w:w="1035" w:type="dxa"/>
            <w:tcBorders>
              <w:top w:val="single" w:color="000000" w:sz="4" w:space="0"/>
              <w:left w:val="single" w:color="000000" w:sz="4" w:space="0"/>
              <w:bottom w:val="single" w:color="000000" w:sz="4" w:space="0"/>
              <w:right w:val="single" w:color="000000" w:sz="4" w:space="0"/>
            </w:tcBorders>
            <w:vAlign w:val="center"/>
          </w:tcPr>
          <w:p w14:paraId="6D78DD1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会议话筒-主席台</w:t>
            </w:r>
          </w:p>
        </w:tc>
        <w:tc>
          <w:tcPr>
            <w:tcW w:w="6176" w:type="dxa"/>
            <w:tcBorders>
              <w:top w:val="single" w:color="000000" w:sz="4" w:space="0"/>
              <w:left w:val="single" w:color="000000" w:sz="4" w:space="0"/>
              <w:bottom w:val="single" w:color="000000" w:sz="4" w:space="0"/>
              <w:right w:val="single" w:color="000000" w:sz="4" w:space="0"/>
            </w:tcBorders>
            <w:vAlign w:val="center"/>
          </w:tcPr>
          <w:p w14:paraId="0728DC1C">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1.采用数字传输链路，通过网口转六芯航空线连接到会议主机级联口供电，非压缩音频传输技术。</w:t>
            </w:r>
          </w:p>
          <w:p w14:paraId="76C67DF3">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2.采用电容触摸按键。</w:t>
            </w:r>
          </w:p>
          <w:p w14:paraId="284EC198">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3.单元支持PC软件话筒控制，支持声控功能。</w:t>
            </w:r>
          </w:p>
          <w:p w14:paraId="19AB996B">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4.主席单元具备关闭代表单元发言的优先权限。</w:t>
            </w:r>
          </w:p>
          <w:p w14:paraId="2A6F336B">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5.单元具有TCP/IP协议簇，支持ICMP、HTTP、UDP、TCP、IGMP等多种协议。</w:t>
            </w:r>
          </w:p>
          <w:p w14:paraId="4FC9FD23">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6.单元支持PING包功能。</w:t>
            </w:r>
          </w:p>
          <w:p w14:paraId="2677ECBC">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7.单元具有独立的web控制页面，支持调节话筒ID号、话筒灵敏度、话筒EQ等参数。</w:t>
            </w:r>
          </w:p>
          <w:p w14:paraId="65BE5EE5">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8.单元内部具有反馈抑制功能，具有声控功能，声控灵敏度可调。</w:t>
            </w:r>
          </w:p>
          <w:p w14:paraId="4286ECC4">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9.单元具有≥5段EQ调节功能。</w:t>
            </w:r>
          </w:p>
          <w:p w14:paraId="438118B6">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10.单元支持签到功能，也可以通过PC软件禁止单元签到、控制单元签到等功能。</w:t>
            </w:r>
          </w:p>
          <w:p w14:paraId="5D9546C9">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11.单元支持web页面固件升级功能。</w:t>
            </w:r>
          </w:p>
          <w:p w14:paraId="1521C932">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12.单元支持IP地址嗅探功能，通过PC工具可以查找到未知单元的ID号、IP地址、MAC地址等参数。</w:t>
            </w:r>
          </w:p>
          <w:p w14:paraId="4D1F2B03">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13.具有≥2个网口，可用于手拉手级联。</w:t>
            </w:r>
          </w:p>
        </w:tc>
        <w:tc>
          <w:tcPr>
            <w:tcW w:w="754" w:type="dxa"/>
            <w:tcBorders>
              <w:top w:val="single" w:color="000000" w:sz="4" w:space="0"/>
              <w:left w:val="single" w:color="000000" w:sz="4" w:space="0"/>
              <w:bottom w:val="single" w:color="000000" w:sz="4" w:space="0"/>
              <w:right w:val="single" w:color="000000" w:sz="4" w:space="0"/>
            </w:tcBorders>
            <w:vAlign w:val="center"/>
          </w:tcPr>
          <w:p w14:paraId="0364EC7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1DD7D2B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3AAC5CF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FF18ED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3.1.3.3.3</w:t>
            </w:r>
          </w:p>
        </w:tc>
        <w:tc>
          <w:tcPr>
            <w:tcW w:w="1035" w:type="dxa"/>
            <w:tcBorders>
              <w:top w:val="single" w:color="000000" w:sz="4" w:space="0"/>
              <w:left w:val="single" w:color="000000" w:sz="4" w:space="0"/>
              <w:bottom w:val="single" w:color="000000" w:sz="4" w:space="0"/>
              <w:right w:val="single" w:color="000000" w:sz="4" w:space="0"/>
            </w:tcBorders>
            <w:vAlign w:val="center"/>
          </w:tcPr>
          <w:p w14:paraId="05FFC23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会议话筒</w:t>
            </w:r>
          </w:p>
        </w:tc>
        <w:tc>
          <w:tcPr>
            <w:tcW w:w="6176" w:type="dxa"/>
            <w:tcBorders>
              <w:top w:val="single" w:color="000000" w:sz="4" w:space="0"/>
              <w:left w:val="single" w:color="000000" w:sz="4" w:space="0"/>
              <w:bottom w:val="single" w:color="000000" w:sz="4" w:space="0"/>
              <w:right w:val="single" w:color="000000" w:sz="4" w:space="0"/>
            </w:tcBorders>
            <w:vAlign w:val="center"/>
          </w:tcPr>
          <w:p w14:paraId="34A2DB06">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1.采用数字传输链路，通过网口转六芯航空线连接到会议主机级联口供电，非压缩音频传输技术。</w:t>
            </w:r>
          </w:p>
          <w:p w14:paraId="0DD645FA">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2.采用电容触摸按键。</w:t>
            </w:r>
          </w:p>
          <w:p w14:paraId="6D5A99C5">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3.单元支持PC软件话筒控制，支持声控功能。</w:t>
            </w:r>
          </w:p>
          <w:p w14:paraId="146D7B07">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4.单元具有TCP/IP协议簇，支持ICMP、HTTP、UDP、TCP、IGMP等多种协议。</w:t>
            </w:r>
          </w:p>
          <w:p w14:paraId="1F891393">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5.单元支持PING包功能。</w:t>
            </w:r>
          </w:p>
          <w:p w14:paraId="79854BE3">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6.单元具有独立的web控制页面，支持调节话筒ID号、话筒灵敏度、话筒EQ等参数。</w:t>
            </w:r>
          </w:p>
          <w:p w14:paraId="3A4DBFFF">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7.单元内部具有反馈抑制功能，具有声控功能，声控灵敏度可调。</w:t>
            </w:r>
          </w:p>
          <w:p w14:paraId="70E100D3">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8.单元具有≥5段EQ调节功能。</w:t>
            </w:r>
          </w:p>
          <w:p w14:paraId="6F9C7E1B">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9.单元支持签到功能，也可以通过PC软件禁止单元签到、控制单元签到等功能。</w:t>
            </w:r>
          </w:p>
          <w:p w14:paraId="210D5659">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10.单元支持web页面固件升级功能。</w:t>
            </w:r>
          </w:p>
          <w:p w14:paraId="2CB961B8">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11.单元支持IP地址嗅探功能，通过PC工具可以查找到未知单元的ID号、IP地址、MAC地址等参数。</w:t>
            </w:r>
          </w:p>
          <w:p w14:paraId="5BB9E50B">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12.具有≥2个网口，可用于手拉手级联。</w:t>
            </w:r>
          </w:p>
        </w:tc>
        <w:tc>
          <w:tcPr>
            <w:tcW w:w="754" w:type="dxa"/>
            <w:tcBorders>
              <w:top w:val="single" w:color="000000" w:sz="4" w:space="0"/>
              <w:left w:val="single" w:color="000000" w:sz="4" w:space="0"/>
              <w:bottom w:val="single" w:color="000000" w:sz="4" w:space="0"/>
              <w:right w:val="single" w:color="000000" w:sz="4" w:space="0"/>
            </w:tcBorders>
            <w:vAlign w:val="center"/>
          </w:tcPr>
          <w:p w14:paraId="3765EC2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9</w:t>
            </w:r>
          </w:p>
        </w:tc>
        <w:tc>
          <w:tcPr>
            <w:tcW w:w="660" w:type="dxa"/>
            <w:tcBorders>
              <w:top w:val="single" w:color="000000" w:sz="4" w:space="0"/>
              <w:left w:val="single" w:color="000000" w:sz="4" w:space="0"/>
              <w:bottom w:val="single" w:color="000000" w:sz="4" w:space="0"/>
              <w:right w:val="single" w:color="000000" w:sz="4" w:space="0"/>
            </w:tcBorders>
            <w:vAlign w:val="center"/>
          </w:tcPr>
          <w:p w14:paraId="099D53E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462BACF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118B94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3.1.3.3.4</w:t>
            </w:r>
          </w:p>
        </w:tc>
        <w:tc>
          <w:tcPr>
            <w:tcW w:w="1035" w:type="dxa"/>
            <w:tcBorders>
              <w:top w:val="single" w:color="000000" w:sz="4" w:space="0"/>
              <w:left w:val="single" w:color="000000" w:sz="4" w:space="0"/>
              <w:bottom w:val="single" w:color="000000" w:sz="4" w:space="0"/>
              <w:right w:val="single" w:color="000000" w:sz="4" w:space="0"/>
            </w:tcBorders>
            <w:vAlign w:val="center"/>
          </w:tcPr>
          <w:p w14:paraId="1DF2BD0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会议地面掀盖式插座</w:t>
            </w:r>
          </w:p>
        </w:tc>
        <w:tc>
          <w:tcPr>
            <w:tcW w:w="6176" w:type="dxa"/>
            <w:tcBorders>
              <w:top w:val="single" w:color="000000" w:sz="4" w:space="0"/>
              <w:left w:val="single" w:color="000000" w:sz="4" w:space="0"/>
              <w:bottom w:val="single" w:color="000000" w:sz="4" w:space="0"/>
              <w:right w:val="nil"/>
            </w:tcBorders>
            <w:vAlign w:val="center"/>
          </w:tcPr>
          <w:p w14:paraId="08267C3A">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1.一进三出连接单元</w:t>
            </w:r>
          </w:p>
          <w:p w14:paraId="13BB3557">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2.采用 ≥100M/10M 自适应网络传输，可以实现手拉手级联。</w:t>
            </w:r>
          </w:p>
          <w:p w14:paraId="74664A60">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3.每个六芯航空接口支持IEEE802.3、IEEE802.3u、 IEEE802.3x规范。</w:t>
            </w:r>
          </w:p>
          <w:p w14:paraId="3F74EC4A">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4.配置包含且不限于10A 5孔电源插座、HDMI音视频接口、AV音频接口、Cat6e网络模块等。</w:t>
            </w:r>
          </w:p>
        </w:tc>
        <w:tc>
          <w:tcPr>
            <w:tcW w:w="754" w:type="dxa"/>
            <w:tcBorders>
              <w:top w:val="single" w:color="000000" w:sz="4" w:space="0"/>
              <w:left w:val="single" w:color="000000" w:sz="4" w:space="0"/>
              <w:bottom w:val="single" w:color="000000" w:sz="4" w:space="0"/>
              <w:right w:val="single" w:color="000000" w:sz="4" w:space="0"/>
            </w:tcBorders>
            <w:vAlign w:val="center"/>
          </w:tcPr>
          <w:p w14:paraId="2FB2866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6D8D940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只</w:t>
            </w:r>
          </w:p>
        </w:tc>
      </w:tr>
      <w:tr w14:paraId="72D1655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03F9A2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3.1.3.3.5</w:t>
            </w:r>
          </w:p>
        </w:tc>
        <w:tc>
          <w:tcPr>
            <w:tcW w:w="1035" w:type="dxa"/>
            <w:tcBorders>
              <w:top w:val="single" w:color="000000" w:sz="4" w:space="0"/>
              <w:left w:val="single" w:color="000000" w:sz="4" w:space="0"/>
              <w:bottom w:val="single" w:color="000000" w:sz="4" w:space="0"/>
              <w:right w:val="single" w:color="000000" w:sz="4" w:space="0"/>
            </w:tcBorders>
            <w:vAlign w:val="center"/>
          </w:tcPr>
          <w:p w14:paraId="6D9DCE4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会议桌面掀盖式插座</w:t>
            </w:r>
          </w:p>
        </w:tc>
        <w:tc>
          <w:tcPr>
            <w:tcW w:w="6176" w:type="dxa"/>
            <w:tcBorders>
              <w:top w:val="single" w:color="000000" w:sz="4" w:space="0"/>
              <w:left w:val="single" w:color="000000" w:sz="4" w:space="0"/>
              <w:bottom w:val="single" w:color="000000" w:sz="4" w:space="0"/>
              <w:right w:val="nil"/>
            </w:tcBorders>
            <w:vAlign w:val="center"/>
          </w:tcPr>
          <w:p w14:paraId="6D1D6A92">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304#多媒体平翻式桌插</w:t>
            </w:r>
          </w:p>
        </w:tc>
        <w:tc>
          <w:tcPr>
            <w:tcW w:w="754" w:type="dxa"/>
            <w:tcBorders>
              <w:top w:val="single" w:color="000000" w:sz="4" w:space="0"/>
              <w:left w:val="single" w:color="000000" w:sz="4" w:space="0"/>
              <w:bottom w:val="single" w:color="000000" w:sz="4" w:space="0"/>
              <w:right w:val="single" w:color="000000" w:sz="4" w:space="0"/>
            </w:tcBorders>
            <w:vAlign w:val="center"/>
          </w:tcPr>
          <w:p w14:paraId="1F6A725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w:t>
            </w:r>
          </w:p>
        </w:tc>
        <w:tc>
          <w:tcPr>
            <w:tcW w:w="660" w:type="dxa"/>
            <w:tcBorders>
              <w:top w:val="single" w:color="000000" w:sz="4" w:space="0"/>
              <w:left w:val="single" w:color="000000" w:sz="4" w:space="0"/>
              <w:bottom w:val="single" w:color="000000" w:sz="4" w:space="0"/>
              <w:right w:val="single" w:color="000000" w:sz="4" w:space="0"/>
            </w:tcBorders>
            <w:vAlign w:val="center"/>
          </w:tcPr>
          <w:p w14:paraId="0612876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只</w:t>
            </w:r>
          </w:p>
        </w:tc>
      </w:tr>
      <w:tr w14:paraId="26D735B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263DD8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3.1.3.3.6</w:t>
            </w:r>
          </w:p>
        </w:tc>
        <w:tc>
          <w:tcPr>
            <w:tcW w:w="1035" w:type="dxa"/>
            <w:tcBorders>
              <w:top w:val="single" w:color="000000" w:sz="4" w:space="0"/>
              <w:left w:val="single" w:color="000000" w:sz="4" w:space="0"/>
              <w:bottom w:val="single" w:color="000000" w:sz="4" w:space="0"/>
              <w:right w:val="single" w:color="000000" w:sz="4" w:space="0"/>
            </w:tcBorders>
            <w:vAlign w:val="center"/>
          </w:tcPr>
          <w:p w14:paraId="24E09A2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数字会议系统配套辅材</w:t>
            </w:r>
          </w:p>
        </w:tc>
        <w:tc>
          <w:tcPr>
            <w:tcW w:w="6176" w:type="dxa"/>
            <w:tcBorders>
              <w:top w:val="single" w:color="000000" w:sz="4" w:space="0"/>
              <w:left w:val="single" w:color="000000" w:sz="4" w:space="0"/>
              <w:bottom w:val="single" w:color="000000" w:sz="4" w:space="0"/>
              <w:right w:val="nil"/>
            </w:tcBorders>
            <w:vAlign w:val="center"/>
          </w:tcPr>
          <w:p w14:paraId="5EB43AEE">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5336569">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8AE48EE">
            <w:pPr>
              <w:jc w:val="center"/>
              <w:rPr>
                <w:rFonts w:ascii="宋体" w:hAnsi="宋体" w:cs="宋体"/>
                <w:color w:val="auto"/>
                <w:szCs w:val="22"/>
                <w:highlight w:val="none"/>
              </w:rPr>
            </w:pPr>
          </w:p>
        </w:tc>
      </w:tr>
      <w:tr w14:paraId="0E5993D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7D4686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3.1.3.4.6.1</w:t>
            </w:r>
          </w:p>
        </w:tc>
        <w:tc>
          <w:tcPr>
            <w:tcW w:w="1035" w:type="dxa"/>
            <w:tcBorders>
              <w:top w:val="single" w:color="000000" w:sz="4" w:space="0"/>
              <w:left w:val="single" w:color="000000" w:sz="4" w:space="0"/>
              <w:bottom w:val="single" w:color="000000" w:sz="4" w:space="0"/>
              <w:right w:val="single" w:color="000000" w:sz="4" w:space="0"/>
            </w:tcBorders>
            <w:vAlign w:val="center"/>
          </w:tcPr>
          <w:p w14:paraId="78DF149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天线延长线</w:t>
            </w:r>
          </w:p>
        </w:tc>
        <w:tc>
          <w:tcPr>
            <w:tcW w:w="6176" w:type="dxa"/>
            <w:tcBorders>
              <w:top w:val="single" w:color="000000" w:sz="4" w:space="0"/>
              <w:left w:val="single" w:color="000000" w:sz="4" w:space="0"/>
              <w:bottom w:val="single" w:color="000000" w:sz="4" w:space="0"/>
              <w:right w:val="nil"/>
            </w:tcBorders>
            <w:vAlign w:val="center"/>
          </w:tcPr>
          <w:p w14:paraId="3189C2C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SYV75-5-1 BNC插头*2。</w:t>
            </w:r>
          </w:p>
        </w:tc>
        <w:tc>
          <w:tcPr>
            <w:tcW w:w="754" w:type="dxa"/>
            <w:tcBorders>
              <w:top w:val="single" w:color="000000" w:sz="4" w:space="0"/>
              <w:left w:val="single" w:color="000000" w:sz="4" w:space="0"/>
              <w:bottom w:val="single" w:color="000000" w:sz="4" w:space="0"/>
              <w:right w:val="single" w:color="000000" w:sz="4" w:space="0"/>
            </w:tcBorders>
            <w:vAlign w:val="center"/>
          </w:tcPr>
          <w:p w14:paraId="70F8033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25</w:t>
            </w:r>
          </w:p>
        </w:tc>
        <w:tc>
          <w:tcPr>
            <w:tcW w:w="660" w:type="dxa"/>
            <w:tcBorders>
              <w:top w:val="single" w:color="000000" w:sz="4" w:space="0"/>
              <w:left w:val="single" w:color="000000" w:sz="4" w:space="0"/>
              <w:bottom w:val="single" w:color="000000" w:sz="4" w:space="0"/>
              <w:right w:val="single" w:color="000000" w:sz="4" w:space="0"/>
            </w:tcBorders>
            <w:vAlign w:val="center"/>
          </w:tcPr>
          <w:p w14:paraId="061044E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米 </w:t>
            </w:r>
          </w:p>
        </w:tc>
      </w:tr>
      <w:tr w14:paraId="189512F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296851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3.1.3.4.6.2</w:t>
            </w:r>
          </w:p>
        </w:tc>
        <w:tc>
          <w:tcPr>
            <w:tcW w:w="1035" w:type="dxa"/>
            <w:tcBorders>
              <w:top w:val="single" w:color="000000" w:sz="4" w:space="0"/>
              <w:left w:val="single" w:color="000000" w:sz="4" w:space="0"/>
              <w:bottom w:val="single" w:color="000000" w:sz="4" w:space="0"/>
              <w:right w:val="single" w:color="000000" w:sz="4" w:space="0"/>
            </w:tcBorders>
            <w:vAlign w:val="center"/>
          </w:tcPr>
          <w:p w14:paraId="7E577F8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音频跳线</w:t>
            </w:r>
          </w:p>
        </w:tc>
        <w:tc>
          <w:tcPr>
            <w:tcW w:w="6176" w:type="dxa"/>
            <w:tcBorders>
              <w:top w:val="single" w:color="000000" w:sz="4" w:space="0"/>
              <w:left w:val="single" w:color="000000" w:sz="4" w:space="0"/>
              <w:bottom w:val="single" w:color="000000" w:sz="4" w:space="0"/>
              <w:right w:val="nil"/>
            </w:tcBorders>
            <w:vAlign w:val="center"/>
          </w:tcPr>
          <w:p w14:paraId="18D0DE50">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三芯卡侬头（母）-三芯卡侬头（公）-1.8米。</w:t>
            </w:r>
          </w:p>
        </w:tc>
        <w:tc>
          <w:tcPr>
            <w:tcW w:w="754" w:type="dxa"/>
            <w:tcBorders>
              <w:top w:val="single" w:color="000000" w:sz="4" w:space="0"/>
              <w:left w:val="single" w:color="000000" w:sz="4" w:space="0"/>
              <w:bottom w:val="single" w:color="000000" w:sz="4" w:space="0"/>
              <w:right w:val="single" w:color="000000" w:sz="4" w:space="0"/>
            </w:tcBorders>
            <w:vAlign w:val="center"/>
          </w:tcPr>
          <w:p w14:paraId="199414E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28557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条 </w:t>
            </w:r>
          </w:p>
        </w:tc>
      </w:tr>
      <w:tr w14:paraId="7FFAC0B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571C46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3.1.3.4.6.3</w:t>
            </w:r>
          </w:p>
        </w:tc>
        <w:tc>
          <w:tcPr>
            <w:tcW w:w="1035" w:type="dxa"/>
            <w:tcBorders>
              <w:top w:val="single" w:color="000000" w:sz="4" w:space="0"/>
              <w:left w:val="single" w:color="000000" w:sz="4" w:space="0"/>
              <w:bottom w:val="single" w:color="000000" w:sz="4" w:space="0"/>
              <w:right w:val="single" w:color="000000" w:sz="4" w:space="0"/>
            </w:tcBorders>
            <w:vAlign w:val="center"/>
          </w:tcPr>
          <w:p w14:paraId="2DBD359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音频跳线</w:t>
            </w:r>
          </w:p>
        </w:tc>
        <w:tc>
          <w:tcPr>
            <w:tcW w:w="6176" w:type="dxa"/>
            <w:tcBorders>
              <w:top w:val="single" w:color="000000" w:sz="4" w:space="0"/>
              <w:left w:val="single" w:color="000000" w:sz="4" w:space="0"/>
              <w:bottom w:val="single" w:color="000000" w:sz="4" w:space="0"/>
              <w:right w:val="nil"/>
            </w:tcBorders>
            <w:vAlign w:val="center"/>
          </w:tcPr>
          <w:p w14:paraId="0C1B09CD">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6.35mm大单芯-三芯卡侬头（公）-1.8米。</w:t>
            </w:r>
          </w:p>
        </w:tc>
        <w:tc>
          <w:tcPr>
            <w:tcW w:w="754" w:type="dxa"/>
            <w:tcBorders>
              <w:top w:val="single" w:color="000000" w:sz="4" w:space="0"/>
              <w:left w:val="single" w:color="000000" w:sz="4" w:space="0"/>
              <w:bottom w:val="single" w:color="000000" w:sz="4" w:space="0"/>
              <w:right w:val="single" w:color="000000" w:sz="4" w:space="0"/>
            </w:tcBorders>
            <w:vAlign w:val="center"/>
          </w:tcPr>
          <w:p w14:paraId="2473196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AC9E56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条 </w:t>
            </w:r>
          </w:p>
        </w:tc>
      </w:tr>
      <w:tr w14:paraId="2A52855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CEA6BD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3.1.3.4.6.4</w:t>
            </w:r>
          </w:p>
        </w:tc>
        <w:tc>
          <w:tcPr>
            <w:tcW w:w="1035" w:type="dxa"/>
            <w:tcBorders>
              <w:top w:val="single" w:color="000000" w:sz="4" w:space="0"/>
              <w:left w:val="single" w:color="000000" w:sz="4" w:space="0"/>
              <w:bottom w:val="single" w:color="000000" w:sz="4" w:space="0"/>
              <w:right w:val="single" w:color="000000" w:sz="4" w:space="0"/>
            </w:tcBorders>
            <w:vAlign w:val="center"/>
          </w:tcPr>
          <w:p w14:paraId="3E067B6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音频跳线</w:t>
            </w:r>
          </w:p>
        </w:tc>
        <w:tc>
          <w:tcPr>
            <w:tcW w:w="6176" w:type="dxa"/>
            <w:tcBorders>
              <w:top w:val="single" w:color="000000" w:sz="4" w:space="0"/>
              <w:left w:val="single" w:color="000000" w:sz="4" w:space="0"/>
              <w:bottom w:val="single" w:color="000000" w:sz="4" w:space="0"/>
              <w:right w:val="nil"/>
            </w:tcBorders>
            <w:vAlign w:val="center"/>
          </w:tcPr>
          <w:p w14:paraId="2B1C21C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3.5mm接线头-双6.35mm大单芯-1.8米。</w:t>
            </w:r>
          </w:p>
        </w:tc>
        <w:tc>
          <w:tcPr>
            <w:tcW w:w="754" w:type="dxa"/>
            <w:tcBorders>
              <w:top w:val="single" w:color="000000" w:sz="4" w:space="0"/>
              <w:left w:val="single" w:color="000000" w:sz="4" w:space="0"/>
              <w:bottom w:val="single" w:color="000000" w:sz="4" w:space="0"/>
              <w:right w:val="single" w:color="000000" w:sz="4" w:space="0"/>
            </w:tcBorders>
            <w:vAlign w:val="center"/>
          </w:tcPr>
          <w:p w14:paraId="0974CFE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1CE340C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条 </w:t>
            </w:r>
          </w:p>
        </w:tc>
      </w:tr>
      <w:tr w14:paraId="3B8C1F3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5A624F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3.1.3.4.6.5</w:t>
            </w:r>
          </w:p>
        </w:tc>
        <w:tc>
          <w:tcPr>
            <w:tcW w:w="1035" w:type="dxa"/>
            <w:tcBorders>
              <w:top w:val="single" w:color="000000" w:sz="4" w:space="0"/>
              <w:left w:val="single" w:color="000000" w:sz="4" w:space="0"/>
              <w:bottom w:val="single" w:color="000000" w:sz="4" w:space="0"/>
              <w:right w:val="single" w:color="000000" w:sz="4" w:space="0"/>
            </w:tcBorders>
            <w:vAlign w:val="center"/>
          </w:tcPr>
          <w:p w14:paraId="4BC6CC2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音频连接线</w:t>
            </w:r>
          </w:p>
        </w:tc>
        <w:tc>
          <w:tcPr>
            <w:tcW w:w="6176" w:type="dxa"/>
            <w:tcBorders>
              <w:top w:val="single" w:color="000000" w:sz="4" w:space="0"/>
              <w:left w:val="single" w:color="000000" w:sz="4" w:space="0"/>
              <w:bottom w:val="single" w:color="000000" w:sz="4" w:space="0"/>
              <w:right w:val="nil"/>
            </w:tcBorders>
            <w:vAlign w:val="center"/>
          </w:tcPr>
          <w:p w14:paraId="5335297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卡农头（母）*1，线径：0.3mm-1.8米。</w:t>
            </w:r>
          </w:p>
        </w:tc>
        <w:tc>
          <w:tcPr>
            <w:tcW w:w="754" w:type="dxa"/>
            <w:tcBorders>
              <w:top w:val="single" w:color="000000" w:sz="4" w:space="0"/>
              <w:left w:val="single" w:color="000000" w:sz="4" w:space="0"/>
              <w:bottom w:val="single" w:color="000000" w:sz="4" w:space="0"/>
              <w:right w:val="single" w:color="000000" w:sz="4" w:space="0"/>
            </w:tcBorders>
            <w:vAlign w:val="center"/>
          </w:tcPr>
          <w:p w14:paraId="11EC42C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EFA045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条 </w:t>
            </w:r>
          </w:p>
        </w:tc>
      </w:tr>
      <w:tr w14:paraId="2323382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BFC69A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3.1.3.4.6.6</w:t>
            </w:r>
          </w:p>
        </w:tc>
        <w:tc>
          <w:tcPr>
            <w:tcW w:w="1035" w:type="dxa"/>
            <w:tcBorders>
              <w:top w:val="single" w:color="000000" w:sz="4" w:space="0"/>
              <w:left w:val="single" w:color="000000" w:sz="4" w:space="0"/>
              <w:bottom w:val="single" w:color="000000" w:sz="4" w:space="0"/>
              <w:right w:val="single" w:color="000000" w:sz="4" w:space="0"/>
            </w:tcBorders>
            <w:vAlign w:val="center"/>
          </w:tcPr>
          <w:p w14:paraId="5A2D6C02">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音频连接线</w:t>
            </w:r>
          </w:p>
        </w:tc>
        <w:tc>
          <w:tcPr>
            <w:tcW w:w="6176" w:type="dxa"/>
            <w:tcBorders>
              <w:top w:val="single" w:color="000000" w:sz="4" w:space="0"/>
              <w:left w:val="single" w:color="000000" w:sz="4" w:space="0"/>
              <w:bottom w:val="single" w:color="000000" w:sz="4" w:space="0"/>
              <w:right w:val="nil"/>
            </w:tcBorders>
            <w:vAlign w:val="center"/>
          </w:tcPr>
          <w:p w14:paraId="53802A11">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卡农头（公）*1，线径：0.3mm-1.8米。</w:t>
            </w:r>
          </w:p>
        </w:tc>
        <w:tc>
          <w:tcPr>
            <w:tcW w:w="754" w:type="dxa"/>
            <w:tcBorders>
              <w:top w:val="single" w:color="000000" w:sz="4" w:space="0"/>
              <w:left w:val="single" w:color="000000" w:sz="4" w:space="0"/>
              <w:bottom w:val="single" w:color="000000" w:sz="4" w:space="0"/>
              <w:right w:val="single" w:color="000000" w:sz="4" w:space="0"/>
            </w:tcBorders>
            <w:vAlign w:val="center"/>
          </w:tcPr>
          <w:p w14:paraId="58B2816D">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AD697E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条 </w:t>
            </w:r>
          </w:p>
        </w:tc>
      </w:tr>
      <w:tr w14:paraId="508FF9E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724F82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3.1.3.4.6.7</w:t>
            </w:r>
          </w:p>
        </w:tc>
        <w:tc>
          <w:tcPr>
            <w:tcW w:w="1035" w:type="dxa"/>
            <w:tcBorders>
              <w:top w:val="single" w:color="000000" w:sz="4" w:space="0"/>
              <w:left w:val="single" w:color="000000" w:sz="4" w:space="0"/>
              <w:bottom w:val="single" w:color="000000" w:sz="4" w:space="0"/>
              <w:right w:val="single" w:color="000000" w:sz="4" w:space="0"/>
            </w:tcBorders>
            <w:vAlign w:val="center"/>
          </w:tcPr>
          <w:p w14:paraId="77416FF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电缆</w:t>
            </w:r>
          </w:p>
        </w:tc>
        <w:tc>
          <w:tcPr>
            <w:tcW w:w="6176" w:type="dxa"/>
            <w:tcBorders>
              <w:top w:val="single" w:color="000000" w:sz="4" w:space="0"/>
              <w:left w:val="single" w:color="000000" w:sz="4" w:space="0"/>
              <w:bottom w:val="single" w:color="000000" w:sz="4" w:space="0"/>
              <w:right w:val="nil"/>
            </w:tcBorders>
            <w:vAlign w:val="center"/>
          </w:tcPr>
          <w:p w14:paraId="0C43992C">
            <w:pPr>
              <w:widowControl/>
              <w:spacing w:after="0" w:line="279"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1.规格ZR-RVVP4*0.5mm2；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3F752615">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1A4477B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米 </w:t>
            </w:r>
          </w:p>
        </w:tc>
      </w:tr>
      <w:tr w14:paraId="19B39CA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C37C0B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3.1.3.5</w:t>
            </w:r>
          </w:p>
        </w:tc>
        <w:tc>
          <w:tcPr>
            <w:tcW w:w="1035" w:type="dxa"/>
            <w:tcBorders>
              <w:top w:val="single" w:color="000000" w:sz="4" w:space="0"/>
              <w:left w:val="single" w:color="000000" w:sz="4" w:space="0"/>
              <w:bottom w:val="single" w:color="000000" w:sz="4" w:space="0"/>
              <w:right w:val="single" w:color="000000" w:sz="4" w:space="0"/>
            </w:tcBorders>
            <w:vAlign w:val="center"/>
          </w:tcPr>
          <w:p w14:paraId="370D8DCC">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机柜</w:t>
            </w:r>
          </w:p>
        </w:tc>
        <w:tc>
          <w:tcPr>
            <w:tcW w:w="6176" w:type="dxa"/>
            <w:tcBorders>
              <w:top w:val="single" w:color="000000" w:sz="4" w:space="0"/>
              <w:left w:val="single" w:color="000000" w:sz="4" w:space="0"/>
              <w:bottom w:val="single" w:color="000000" w:sz="4" w:space="0"/>
              <w:right w:val="nil"/>
            </w:tcBorders>
            <w:vAlign w:val="center"/>
          </w:tcPr>
          <w:p w14:paraId="44952AA4">
            <w:pPr>
              <w:widowControl/>
              <w:spacing w:after="0" w:line="279"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42U 标准机柜，兼容 ETSI 标准 ，IEC 297-2 ；尺寸：600mm(宽) x 600mm(深) x 2000 mm(高); 防护等级：IP 20; 机柜框架由门框、横梁连接而成，静载负荷达到1200Kg ；主要材料：1.2 mm SPCC 冷轧钢板，前单开网孔门后双开网孔门; 表面处理：脱脂，清洗，陶化，钝化，静电喷塑； 配件： 1.5mm 厚隔板一块。</w:t>
            </w:r>
          </w:p>
          <w:p w14:paraId="719D40EF">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1. 产品符合ANSI/EIA RS-310-D、DIN41491、GB/T3047.8、YD/T 1819</w:t>
            </w:r>
          </w:p>
          <w:p w14:paraId="16F2084B">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2. 前门带有透气孔、后门为平板，方便通风散热，提高网络设备运行的稳定性</w:t>
            </w:r>
          </w:p>
          <w:p w14:paraId="21B7D6BE">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3. 带有三块承板、四位风扇组、PDU电源</w:t>
            </w:r>
          </w:p>
          <w:p w14:paraId="461A1573">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4. 可方便拆卸的左右侧门和前后门，全方位操作，多方位察看高效坚固的并柜连接方式。</w:t>
            </w:r>
          </w:p>
          <w:p w14:paraId="3BC9F16B">
            <w:pPr>
              <w:pStyle w:val="59"/>
              <w:jc w:val="both"/>
              <w:rPr>
                <w:color w:val="auto"/>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FACAFCF">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67C8D68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个 </w:t>
            </w:r>
          </w:p>
        </w:tc>
      </w:tr>
      <w:tr w14:paraId="167F0A97">
        <w:tblPrEx>
          <w:tblCellMar>
            <w:top w:w="0" w:type="dxa"/>
            <w:left w:w="108" w:type="dxa"/>
            <w:bottom w:w="0" w:type="dxa"/>
            <w:right w:w="108" w:type="dxa"/>
          </w:tblCellMar>
        </w:tblPrEx>
        <w:trPr>
          <w:trHeight w:val="1541"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BA6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3.1.3.6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3AFB">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空调（设备间）</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0E4891C0">
            <w:pPr>
              <w:widowControl/>
              <w:spacing w:after="0" w:line="279" w:lineRule="auto"/>
              <w:textAlignment w:val="center"/>
              <w:rPr>
                <w:rFonts w:ascii="宋体" w:hAnsi="宋体" w:cs="宋体"/>
                <w:color w:val="auto"/>
                <w:szCs w:val="22"/>
                <w:highlight w:val="none"/>
              </w:rPr>
            </w:pPr>
            <w:r>
              <w:rPr>
                <w:rFonts w:hint="eastAsia" w:ascii="宋体" w:hAnsi="宋体" w:cs="宋体"/>
                <w:color w:val="auto"/>
                <w:szCs w:val="22"/>
                <w:highlight w:val="none"/>
              </w:rPr>
              <w:t>国产一线品牌（国产格力、美的、海尔等一线品牌）</w:t>
            </w:r>
          </w:p>
          <w:p w14:paraId="0A07AF0F">
            <w:pPr>
              <w:widowControl/>
              <w:spacing w:after="0" w:line="279" w:lineRule="auto"/>
              <w:textAlignment w:val="center"/>
              <w:rPr>
                <w:rFonts w:hint="eastAsia" w:ascii="宋体" w:hAnsi="宋体" w:cs="宋体"/>
                <w:color w:val="auto"/>
                <w:szCs w:val="22"/>
                <w:highlight w:val="none"/>
              </w:rPr>
            </w:pPr>
            <w:r>
              <w:rPr>
                <w:rFonts w:hint="eastAsia" w:ascii="宋体" w:hAnsi="宋体" w:eastAsia="宋体" w:cs="宋体"/>
                <w:b w:val="0"/>
                <w:bCs w:val="0"/>
                <w:color w:val="auto"/>
                <w:sz w:val="21"/>
                <w:szCs w:val="22"/>
                <w:highlight w:val="none"/>
              </w:rPr>
              <w:t>匹数：大1匹</w:t>
            </w:r>
          </w:p>
          <w:p w14:paraId="5D9C9600">
            <w:pPr>
              <w:widowControl/>
              <w:spacing w:after="0" w:line="279" w:lineRule="auto"/>
              <w:textAlignment w:val="center"/>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 xml:space="preserve">能效等级：1级能效 </w:t>
            </w:r>
          </w:p>
          <w:p w14:paraId="7ED8ACA4">
            <w:pPr>
              <w:widowControl/>
              <w:spacing w:after="0" w:line="279" w:lineRule="auto"/>
              <w:textAlignment w:val="center"/>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 xml:space="preserve">冷暖方式：冷暖 </w:t>
            </w:r>
          </w:p>
          <w:p w14:paraId="20D4B686">
            <w:pPr>
              <w:widowControl/>
              <w:spacing w:after="0" w:line="279" w:lineRule="auto"/>
              <w:textAlignment w:val="center"/>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 xml:space="preserve">空调技术：变频 </w:t>
            </w:r>
          </w:p>
          <w:p w14:paraId="26E758AC">
            <w:pPr>
              <w:widowControl/>
              <w:spacing w:after="0" w:line="279" w:lineRule="auto"/>
              <w:textAlignment w:val="center"/>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 xml:space="preserve">制冷量额定制冷量（W）≥2600 </w:t>
            </w:r>
          </w:p>
          <w:p w14:paraId="50144413">
            <w:pPr>
              <w:widowControl/>
              <w:spacing w:after="0" w:line="279" w:lineRule="auto"/>
              <w:textAlignment w:val="center"/>
              <w:rPr>
                <w:rFonts w:hint="eastAsia" w:ascii="宋体" w:hAnsi="宋体" w:eastAsia="宋体" w:cs="宋体"/>
                <w:b w:val="0"/>
                <w:bCs w:val="0"/>
                <w:color w:val="auto"/>
                <w:sz w:val="21"/>
                <w:szCs w:val="22"/>
                <w:highlight w:val="none"/>
              </w:rPr>
            </w:pPr>
            <w:r>
              <w:rPr>
                <w:rFonts w:hint="eastAsia" w:ascii="宋体" w:hAnsi="宋体" w:eastAsia="宋体" w:cs="宋体"/>
                <w:b w:val="0"/>
                <w:bCs w:val="0"/>
                <w:color w:val="auto"/>
                <w:sz w:val="21"/>
                <w:szCs w:val="22"/>
                <w:highlight w:val="none"/>
              </w:rPr>
              <w:t xml:space="preserve">制热量额定制热量（W）≥4000 </w:t>
            </w:r>
          </w:p>
          <w:p w14:paraId="2AB054A8">
            <w:pPr>
              <w:widowControl/>
              <w:spacing w:after="0" w:line="279" w:lineRule="auto"/>
              <w:textAlignment w:val="center"/>
              <w:rPr>
                <w:rFonts w:hint="eastAsia" w:ascii="宋体" w:hAnsi="宋体" w:cs="宋体"/>
                <w:color w:val="auto"/>
                <w:szCs w:val="22"/>
                <w:highlight w:val="none"/>
              </w:rPr>
            </w:pPr>
            <w:r>
              <w:rPr>
                <w:rFonts w:hint="eastAsia" w:ascii="宋体" w:hAnsi="宋体" w:eastAsia="宋体" w:cs="宋体"/>
                <w:b w:val="0"/>
                <w:bCs w:val="0"/>
                <w:color w:val="auto"/>
                <w:sz w:val="21"/>
                <w:szCs w:val="22"/>
                <w:highlight w:val="none"/>
              </w:rPr>
              <w:t>循环风量（m³/h）≥600</w:t>
            </w:r>
          </w:p>
        </w:tc>
        <w:tc>
          <w:tcPr>
            <w:tcW w:w="754" w:type="dxa"/>
            <w:tcBorders>
              <w:top w:val="single" w:color="000000" w:sz="4" w:space="0"/>
              <w:left w:val="single" w:color="000000" w:sz="4" w:space="0"/>
              <w:bottom w:val="single" w:color="000000" w:sz="4" w:space="0"/>
              <w:right w:val="single" w:color="000000" w:sz="4" w:space="0"/>
            </w:tcBorders>
            <w:vAlign w:val="center"/>
          </w:tcPr>
          <w:p w14:paraId="61174E46">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0584603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台 </w:t>
            </w:r>
          </w:p>
        </w:tc>
      </w:tr>
      <w:tr w14:paraId="70310D0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EB54618">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3.1.4</w:t>
            </w:r>
          </w:p>
        </w:tc>
        <w:tc>
          <w:tcPr>
            <w:tcW w:w="1035" w:type="dxa"/>
            <w:tcBorders>
              <w:top w:val="single" w:color="000000" w:sz="4" w:space="0"/>
              <w:left w:val="single" w:color="000000" w:sz="4" w:space="0"/>
              <w:bottom w:val="single" w:color="000000" w:sz="4" w:space="0"/>
              <w:right w:val="single" w:color="000000" w:sz="4" w:space="0"/>
            </w:tcBorders>
            <w:vAlign w:val="center"/>
          </w:tcPr>
          <w:p w14:paraId="473775CA">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值班值守坐席系统</w:t>
            </w:r>
          </w:p>
        </w:tc>
        <w:tc>
          <w:tcPr>
            <w:tcW w:w="6176" w:type="dxa"/>
            <w:tcBorders>
              <w:top w:val="single" w:color="000000" w:sz="4" w:space="0"/>
              <w:left w:val="single" w:color="000000" w:sz="4" w:space="0"/>
              <w:bottom w:val="single" w:color="000000" w:sz="4" w:space="0"/>
              <w:right w:val="nil"/>
            </w:tcBorders>
            <w:vAlign w:val="center"/>
          </w:tcPr>
          <w:p w14:paraId="194DFF14">
            <w:pPr>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F0CCC7D">
            <w:pPr>
              <w:spacing w:after="0" w:line="279" w:lineRule="auto"/>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E1EB684">
            <w:pPr>
              <w:jc w:val="center"/>
              <w:rPr>
                <w:rFonts w:ascii="宋体" w:hAnsi="宋体" w:cs="宋体"/>
                <w:color w:val="auto"/>
                <w:szCs w:val="22"/>
                <w:highlight w:val="none"/>
              </w:rPr>
            </w:pPr>
          </w:p>
        </w:tc>
      </w:tr>
      <w:tr w14:paraId="17AAD40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02BC79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3.1.4.1</w:t>
            </w:r>
          </w:p>
        </w:tc>
        <w:tc>
          <w:tcPr>
            <w:tcW w:w="1035" w:type="dxa"/>
            <w:tcBorders>
              <w:top w:val="single" w:color="000000" w:sz="4" w:space="0"/>
              <w:left w:val="single" w:color="000000" w:sz="4" w:space="0"/>
              <w:bottom w:val="single" w:color="000000" w:sz="4" w:space="0"/>
              <w:right w:val="single" w:color="000000" w:sz="4" w:space="0"/>
            </w:tcBorders>
            <w:vAlign w:val="center"/>
          </w:tcPr>
          <w:p w14:paraId="430DFBD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坐席终端</w:t>
            </w:r>
          </w:p>
        </w:tc>
        <w:tc>
          <w:tcPr>
            <w:tcW w:w="6176" w:type="dxa"/>
            <w:tcBorders>
              <w:top w:val="single" w:color="000000" w:sz="4" w:space="0"/>
              <w:left w:val="single" w:color="000000" w:sz="4" w:space="0"/>
              <w:bottom w:val="single" w:color="000000" w:sz="4" w:space="0"/>
              <w:right w:val="single" w:color="000000" w:sz="4" w:space="0"/>
            </w:tcBorders>
            <w:vAlign w:val="center"/>
          </w:tcPr>
          <w:p w14:paraId="15DCD66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▲1、处理器：不低于（主频≥2.8GHz 、≥8核处理器16线程，三级缓存≥16MB）国产芯片；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▲2、内存：≥2*8GB DDR4 3200MHz或以上内存，内存插槽≥4个，最高支持128GB拓展；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▲3、硬盘：≥512G M.2固态硬盘＋1T机械硬盘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4、显卡： ≥2G显存国产独立显卡，支持HDMI + DP + VGA显示接口，支持3屏扩展显示器；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5、光驱: 支持DVDRW刻录光驱；</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6、声卡：集成高清声卡；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7、网卡：10/100/1000M千兆自适应有线网卡；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8、接口：USB接口≥5个，前置1个音频输入+1个音频输出，后置音频接口3个；</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9、视频接口：≥2个数字视频输出端口；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10、其他接口：≥1个串口，≥4个SATA3.0接口；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11、键盘鼠标：标准抗菌鼠标+防泼溅抗菌商务键盘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12、电源：≥200W功率节能电源，产品整体通过GB28380-2012标准；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13、操作系统：支持国产麒麟/统信桌面操作系统，支持Windows专业版操作系统；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▲14、显示器：≥23.8英寸同一品牌商用液晶显示器，分辨率≥1920x1080、刷新率≥100Hz、亮度≥300nits、对比度≥4000:1，VGA + HDMI+ DP视频输入接口。</w:t>
            </w:r>
          </w:p>
        </w:tc>
        <w:tc>
          <w:tcPr>
            <w:tcW w:w="754" w:type="dxa"/>
            <w:tcBorders>
              <w:top w:val="single" w:color="000000" w:sz="4" w:space="0"/>
              <w:left w:val="single" w:color="000000" w:sz="4" w:space="0"/>
              <w:bottom w:val="single" w:color="000000" w:sz="4" w:space="0"/>
              <w:right w:val="single" w:color="000000" w:sz="4" w:space="0"/>
            </w:tcBorders>
            <w:vAlign w:val="center"/>
          </w:tcPr>
          <w:p w14:paraId="5C08E09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w:t>
            </w:r>
          </w:p>
        </w:tc>
        <w:tc>
          <w:tcPr>
            <w:tcW w:w="660" w:type="dxa"/>
            <w:tcBorders>
              <w:top w:val="single" w:color="000000" w:sz="4" w:space="0"/>
              <w:left w:val="single" w:color="000000" w:sz="4" w:space="0"/>
              <w:bottom w:val="single" w:color="000000" w:sz="4" w:space="0"/>
              <w:right w:val="single" w:color="000000" w:sz="4" w:space="0"/>
            </w:tcBorders>
            <w:vAlign w:val="center"/>
          </w:tcPr>
          <w:p w14:paraId="23E6044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3937DE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1321275">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67DB631">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5C1BE08F">
            <w:pPr>
              <w:widowControl/>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1197E89">
            <w:pPr>
              <w:widowControl/>
              <w:spacing w:after="0" w:line="279" w:lineRule="auto"/>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9C5805F">
            <w:pPr>
              <w:widowControl/>
              <w:spacing w:after="0" w:line="279" w:lineRule="auto"/>
              <w:jc w:val="center"/>
              <w:rPr>
                <w:rFonts w:ascii="宋体" w:hAnsi="宋体" w:cs="宋体"/>
                <w:color w:val="auto"/>
                <w:szCs w:val="22"/>
                <w:highlight w:val="none"/>
              </w:rPr>
            </w:pPr>
          </w:p>
        </w:tc>
      </w:tr>
      <w:tr w14:paraId="3901BA3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E24BFAD">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47317351">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712CA40F">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CBEDF89">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D560B4E">
            <w:pPr>
              <w:widowControl/>
              <w:spacing w:after="0" w:line="279" w:lineRule="auto"/>
              <w:jc w:val="center"/>
              <w:textAlignment w:val="center"/>
              <w:rPr>
                <w:rFonts w:ascii="宋体" w:hAnsi="宋体" w:cs="宋体"/>
                <w:color w:val="auto"/>
                <w:szCs w:val="22"/>
                <w:highlight w:val="none"/>
              </w:rPr>
            </w:pPr>
          </w:p>
        </w:tc>
      </w:tr>
      <w:tr w14:paraId="31399CA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73A1CF2">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7F5E01C4">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53674BDA">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49DBEB6">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3B2731B">
            <w:pPr>
              <w:widowControl/>
              <w:spacing w:after="0" w:line="279" w:lineRule="auto"/>
              <w:jc w:val="center"/>
              <w:textAlignment w:val="center"/>
              <w:rPr>
                <w:rFonts w:ascii="宋体" w:hAnsi="宋体" w:cs="宋体"/>
                <w:color w:val="auto"/>
                <w:szCs w:val="22"/>
                <w:highlight w:val="none"/>
              </w:rPr>
            </w:pPr>
          </w:p>
        </w:tc>
      </w:tr>
      <w:tr w14:paraId="0C0D179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C3FF7B">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52593340">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37C0E171">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723F6ED5">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3165475">
            <w:pPr>
              <w:widowControl/>
              <w:spacing w:after="0" w:line="279" w:lineRule="auto"/>
              <w:jc w:val="center"/>
              <w:textAlignment w:val="center"/>
              <w:rPr>
                <w:rFonts w:ascii="宋体" w:hAnsi="宋体" w:cs="宋体"/>
                <w:color w:val="auto"/>
                <w:szCs w:val="22"/>
                <w:highlight w:val="none"/>
              </w:rPr>
            </w:pPr>
          </w:p>
        </w:tc>
      </w:tr>
      <w:tr w14:paraId="7233604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44BD923">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085488F3">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23C7715C">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87631F6">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1E39EC0">
            <w:pPr>
              <w:widowControl/>
              <w:spacing w:after="0" w:line="279" w:lineRule="auto"/>
              <w:jc w:val="center"/>
              <w:textAlignment w:val="center"/>
              <w:rPr>
                <w:rFonts w:ascii="宋体" w:hAnsi="宋体" w:cs="宋体"/>
                <w:color w:val="auto"/>
                <w:szCs w:val="22"/>
                <w:highlight w:val="none"/>
              </w:rPr>
            </w:pPr>
          </w:p>
        </w:tc>
      </w:tr>
      <w:tr w14:paraId="46E07DB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9437CB6">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06E5D7D">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771C23A3">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72405403">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FCD9C6F">
            <w:pPr>
              <w:widowControl/>
              <w:spacing w:after="0" w:line="279" w:lineRule="auto"/>
              <w:jc w:val="center"/>
              <w:textAlignment w:val="center"/>
              <w:rPr>
                <w:rFonts w:ascii="宋体" w:hAnsi="宋体" w:cs="宋体"/>
                <w:color w:val="auto"/>
                <w:szCs w:val="22"/>
                <w:highlight w:val="none"/>
              </w:rPr>
            </w:pPr>
          </w:p>
        </w:tc>
      </w:tr>
      <w:tr w14:paraId="28C02EB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5F79737">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6AEF413B">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0704A9BD">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DF9A3D1">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D518B22">
            <w:pPr>
              <w:widowControl/>
              <w:spacing w:after="0" w:line="279" w:lineRule="auto"/>
              <w:jc w:val="center"/>
              <w:textAlignment w:val="center"/>
              <w:rPr>
                <w:rFonts w:ascii="宋体" w:hAnsi="宋体" w:cs="宋体"/>
                <w:color w:val="auto"/>
                <w:szCs w:val="22"/>
                <w:highlight w:val="none"/>
              </w:rPr>
            </w:pPr>
          </w:p>
        </w:tc>
      </w:tr>
      <w:tr w14:paraId="549D4D4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A780A00">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75EFBE41">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265B5BD4">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6C439F36">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E725D5E">
            <w:pPr>
              <w:widowControl/>
              <w:spacing w:after="0" w:line="279" w:lineRule="auto"/>
              <w:jc w:val="center"/>
              <w:textAlignment w:val="center"/>
              <w:rPr>
                <w:rFonts w:ascii="宋体" w:hAnsi="宋体" w:cs="宋体"/>
                <w:color w:val="auto"/>
                <w:szCs w:val="22"/>
                <w:highlight w:val="none"/>
              </w:rPr>
            </w:pPr>
          </w:p>
        </w:tc>
      </w:tr>
      <w:tr w14:paraId="0393848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DCB6932">
            <w:pPr>
              <w:widowControl/>
              <w:spacing w:after="0" w:line="279" w:lineRule="auto"/>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7F2496AA">
            <w:pPr>
              <w:widowControl/>
              <w:spacing w:after="0" w:line="279" w:lineRule="auto"/>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11F38F19">
            <w:pPr>
              <w:widowControl/>
              <w:spacing w:after="0" w:line="279" w:lineRule="auto"/>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EA0325E">
            <w:pPr>
              <w:widowControl/>
              <w:spacing w:after="0" w:line="279" w:lineRule="auto"/>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5B7C6D0">
            <w:pPr>
              <w:widowControl/>
              <w:spacing w:after="0" w:line="279" w:lineRule="auto"/>
              <w:jc w:val="center"/>
              <w:textAlignment w:val="center"/>
              <w:rPr>
                <w:rFonts w:ascii="宋体" w:hAnsi="宋体" w:cs="宋体"/>
                <w:color w:val="auto"/>
                <w:szCs w:val="22"/>
                <w:highlight w:val="none"/>
              </w:rPr>
            </w:pPr>
          </w:p>
        </w:tc>
      </w:tr>
      <w:tr w14:paraId="51AD389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ADC7164">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w:t>
            </w:r>
          </w:p>
        </w:tc>
        <w:tc>
          <w:tcPr>
            <w:tcW w:w="1035" w:type="dxa"/>
            <w:tcBorders>
              <w:top w:val="single" w:color="000000" w:sz="4" w:space="0"/>
              <w:left w:val="single" w:color="000000" w:sz="4" w:space="0"/>
              <w:bottom w:val="single" w:color="000000" w:sz="4" w:space="0"/>
              <w:right w:val="single" w:color="000000" w:sz="4" w:space="0"/>
            </w:tcBorders>
            <w:vAlign w:val="center"/>
          </w:tcPr>
          <w:p w14:paraId="29226507">
            <w:pPr>
              <w:widowControl/>
              <w:spacing w:after="0" w:line="279" w:lineRule="auto"/>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园区网络系统</w:t>
            </w:r>
          </w:p>
        </w:tc>
        <w:tc>
          <w:tcPr>
            <w:tcW w:w="6176" w:type="dxa"/>
            <w:tcBorders>
              <w:top w:val="single" w:color="000000" w:sz="4" w:space="0"/>
              <w:left w:val="single" w:color="000000" w:sz="4" w:space="0"/>
              <w:bottom w:val="single" w:color="000000" w:sz="4" w:space="0"/>
              <w:right w:val="nil"/>
            </w:tcBorders>
            <w:vAlign w:val="center"/>
          </w:tcPr>
          <w:p w14:paraId="3179EB92">
            <w:pPr>
              <w:spacing w:after="0" w:line="279" w:lineRule="auto"/>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BAA41B9">
            <w:pPr>
              <w:spacing w:after="0" w:line="279" w:lineRule="auto"/>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1A967DA">
            <w:pPr>
              <w:spacing w:after="0" w:line="279" w:lineRule="auto"/>
              <w:jc w:val="center"/>
              <w:rPr>
                <w:rFonts w:ascii="宋体" w:hAnsi="宋体" w:cs="宋体"/>
                <w:color w:val="auto"/>
                <w:szCs w:val="22"/>
                <w:highlight w:val="none"/>
              </w:rPr>
            </w:pPr>
          </w:p>
        </w:tc>
      </w:tr>
      <w:tr w14:paraId="4A9889E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A10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5E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出口路由器</w:t>
            </w:r>
          </w:p>
        </w:tc>
        <w:tc>
          <w:tcPr>
            <w:tcW w:w="6176" w:type="dxa"/>
            <w:tcBorders>
              <w:top w:val="single" w:color="000000" w:sz="4" w:space="0"/>
              <w:left w:val="single" w:color="000000" w:sz="4" w:space="0"/>
              <w:bottom w:val="single" w:color="000000" w:sz="4" w:space="0"/>
              <w:right w:val="nil"/>
            </w:tcBorders>
            <w:shd w:val="clear" w:color="auto" w:fill="FFFF00"/>
            <w:vAlign w:val="center"/>
          </w:tcPr>
          <w:p w14:paraId="2A0F0E1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一、单台配置要求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▲1.配置冗余主控，要求主控切换时不影响业务转发；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▲2.支持控制转发物理分离，配置独立冗余主控、独立冗余转发板；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▲3.配置≥10个千兆以太网光电复用端口，≥4个万兆以太网光口；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▲4.配置≥4块电源模块；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▲5.接口模块插槽数≥6。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▲1.性能：包转发能力≥360Mpps；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后出风设计，主机接口与扩展插槽接口均为同一朝向；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IPv4路由：支持静态路由；动态路由协议：RIPv1/v2、OSPFv2、BGP、IS-IS；路由迭代、路由策略、ECMP（等价多路径）；组播路由协议：IGMPV1/V2/V3，PIM-DM，PIM-SM，MBGP，MSDP</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IPV6路由：支持Ipv6 ND，Ipv6 PMTU，Ipv6 FIB，Ipv6 ACL，NAT-PT，Ipv6隧道，6PE、DS-LITE；IPv6隧道技术：手工隧道，自动隧道，GRE隧道，6to4，ISATAP；支持静态路由；动态路由协议：RIPng，OSPFv3，IS-ISv6，BGP4+；IPv6组播协议：MLD V1/V2，PIM-DM，PIM-SM；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▲5.支持虚拟化特性，将物理上两台设备虚拟化成一台逻辑设备，要求与现网出口路由无缝兼容，实现两台设备虚拟化成一台逻辑设备，如不能兼容，则要求投标人提供2台满足本次配置要求的设备；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应用识别控制：支持对PC、移动终端常见互联网应用识别，并能够针对应用下发过滤和限速控制策略；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URL过滤黑名单：支持对终端用户域名访问控制功能；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支持无线控制器功能。支持分层AC，支持管理与流量转发控制相分离的分布式分层AC；</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支持ADVPN、GDVPN、SSL VPN功能；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●10.支持Web cache下载缓存技术：针对指定文件类型的HTTP下载流量进行缓存加速，首次下载是进行缓存，针对相同文件重复下载时，直接从设备缓存发送至客户端，节约广域网链路带宽，提升客户端HTTP下载速度的效果；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●11.支持Segment Routing：控制流量按照预先设置的网络节点逐跳转发；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支持SNMP V1/V2c/V3，MIB，SYSLOG，RMON；支持BiMS远程管理方案，支持U盘开局；支持命令行管理，支持telnet（VTY）登录，支持SSH登录，支持FTP登录。</w:t>
            </w:r>
          </w:p>
        </w:tc>
        <w:tc>
          <w:tcPr>
            <w:tcW w:w="754" w:type="dxa"/>
            <w:tcBorders>
              <w:top w:val="single" w:color="000000" w:sz="4" w:space="0"/>
              <w:left w:val="single" w:color="000000" w:sz="4" w:space="0"/>
              <w:bottom w:val="single" w:color="000000" w:sz="4" w:space="0"/>
              <w:right w:val="single" w:color="000000" w:sz="4" w:space="0"/>
            </w:tcBorders>
            <w:vAlign w:val="center"/>
          </w:tcPr>
          <w:p w14:paraId="108465D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0D52AAD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0AA0087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4FF1E4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3.1.6.2</w:t>
            </w:r>
          </w:p>
        </w:tc>
        <w:tc>
          <w:tcPr>
            <w:tcW w:w="1035" w:type="dxa"/>
            <w:tcBorders>
              <w:top w:val="single" w:color="000000" w:sz="4" w:space="0"/>
              <w:left w:val="single" w:color="000000" w:sz="4" w:space="0"/>
              <w:bottom w:val="single" w:color="000000" w:sz="4" w:space="0"/>
              <w:right w:val="single" w:color="000000" w:sz="4" w:space="0"/>
            </w:tcBorders>
            <w:vAlign w:val="center"/>
          </w:tcPr>
          <w:p w14:paraId="685CE5A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核心交换机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457889D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▲1.支持主控冗余，本次要求配置双主控引擎；</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▲2.配置≥24个千兆电口，≥20个千兆光口，≥52个万兆光口，≥8个25G/10G光口；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配置1根5m的SFP+万兆堆叠电缆；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支持1+1冗余模块化电源，配置双电源。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▲1.交换容量≥76.8Tbps，包转发率≥8640Mpps；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▲2.提供业务槽位数≥6个；</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支持DHCPv6功能，IPv6 portal功能、IPv6管理功能，支持基于IPv4\IPv6的VXLAN二三层互通，支持基于IPv4\IPv6的VRRP功能；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硬件具备分布式IPv4线速处理，其中必须具备路由特性支持ARP Proxy、支持DHCP Relay、支持DHCP Server、支持静态路由、支持RIPv1/v2、支持OSPFv2、支持IS-IS、支持BGPv4、支持OSPF/IS-IS/BGP GR (Graceful Restart优雅重启、支持等价路由、支持策略路由、支持路由策略；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横向N:1虚拟化技术：可将两台物理设备虚拟化为一台逻辑设备，虚拟组内可以实现一致的转发表项，统一的管理，跨物理设备的链路聚合；要求与现网核心交换机无缝兼容，实现两台物理设备虚拟化为一台逻辑设备，如不能兼容，则要求投标人提供2台满足本次配置要求的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●6.支持1OG PON功能，支持10G对称和非对称ONU；</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支持“MAC in IP”技术，可通过三层网络实现跨数据中心大二层互联，支持ARP代答，未知单播和未知组播报文抑制，最大可扩展4K个Vlan；</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支持EVB (Edge Virtual Bridging)，通过VEPA (Virtual Ethernet Port Aggregator)，支持虚拟机间流量转发，虚拟机流量监管、访问控制策略部署等；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支持FCoE，通过FCoE和CEE技术的部署，可以实现数据中心前端网络和后端网络架构的融合；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SDN软件定义网络功能：支持OPENFLOW 1.3标准；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组播：支持IGMPv1/v2/v3、支持IGMPv1/v2/v3 Snooping、支持IGMP Filter、支持IGMP Fast leave、支持PIM-SM/PIM-DM/PIM-SSM、支持MSDP、支持AnyCast-RP、支持MLDv2/MLDv2 Snooping、支持PIM-SMv6、PIM-DMv6、PIM-SSMv6；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支持SNMP v1/v2/v3、RMON、SSHv2；支持OAM(802.1AG，802.3AH)以太网运行、维护和管理标准。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●13.支持多种安全业务板卡和无线控制器板卡的扩展，至少包括以下业务板卡：防火墙业务模块、IPS业务模块、无线控制器业务模块、负载均衡业务模块、NetStream业务模块、SSL VPN业务模块和应用控制网关业务模块。</w:t>
            </w:r>
          </w:p>
        </w:tc>
        <w:tc>
          <w:tcPr>
            <w:tcW w:w="754" w:type="dxa"/>
            <w:tcBorders>
              <w:top w:val="single" w:color="000000" w:sz="4" w:space="0"/>
              <w:left w:val="single" w:color="000000" w:sz="4" w:space="0"/>
              <w:bottom w:val="single" w:color="000000" w:sz="4" w:space="0"/>
              <w:right w:val="single" w:color="000000" w:sz="4" w:space="0"/>
            </w:tcBorders>
            <w:vAlign w:val="center"/>
          </w:tcPr>
          <w:p w14:paraId="65B6570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7BAEAE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8517B5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D9D6D5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3.1.6.3</w:t>
            </w:r>
          </w:p>
        </w:tc>
        <w:tc>
          <w:tcPr>
            <w:tcW w:w="1035" w:type="dxa"/>
            <w:tcBorders>
              <w:top w:val="single" w:color="000000" w:sz="4" w:space="0"/>
              <w:left w:val="single" w:color="000000" w:sz="4" w:space="0"/>
              <w:bottom w:val="single" w:color="000000" w:sz="4" w:space="0"/>
              <w:right w:val="single" w:color="000000" w:sz="4" w:space="0"/>
            </w:tcBorders>
            <w:vAlign w:val="center"/>
          </w:tcPr>
          <w:p w14:paraId="62C598B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业务网交换机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58891AC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▲1.配置≥48端口SFP+万兆光口，≥2 个40G QSFP PLUS口；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▲2.配置2个模块化风扇和2个模块化交流电源，配置1根40G QSFP+ 5m电缆（带模块）；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▲3.业务板卡扩展插槽≥2个</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▲1.端口交换容量≥2.56Tbps，包转发率≥1080Mpps；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提供2个独立的风扇槽位，支持可插拔风扇模块，2个风扇模块均可支持热插拔，支持1+1冗余，且风道可调，拔掉其中一个风扇后短时间内不影响主机运行；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▲3.为满足机柜空间部署要求，整机高度≤1U；</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横向虚拟化功能，可将多台物理设备虚拟化成一台逻辑的设备（非传统的VRRP或HSRP协议），具备跨设备端口链路聚合；要求与现网业务交换机无缝兼容，实现两台物理设备虚拟化成一台逻辑设备，如不能兼容，则要求投标人提供2台满足本次配置要求的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支持扩展防火墙业务模块，业务模块可通过交换机背板取电，支持热插拔；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SDN软件定义网络功能：支持OpenFlow标准；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支持基于端口的VLAN，支持Default VLAN，支持QINQ、支持灵活QINQ、支持VLAN Mapping，支持PVST+ 支持RPVST+；</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支持DHCP Server/Client、DHCP Snooping、DHCP Relay、DHCP Snooping option82/DHCP Relay option82；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支持IPv4、IPv6静态路由，RIP等三层动态路由协议，支持策略路由器，支持RIP v1/2、RIPng，支持等价路由、VRRP、OSPFv1/v2、OSPF v3、BGP、ISIS等增强三层路由协议；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IPv6特性支持 ICMP v6、Telnet v6、SFTP v6、SNMP v6、BFD v6、VRRP v3，支持IPv6 Portal，支持IPv6 tunnel；</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支持VxLAN 二层交换, 支持VxLAN 路由交换，支持VxLAN 网关；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支持IGMP Snooping v2/v3、支持IGMP v1/v2/v3、支持PIM-DM/SM、支持IPv6 PIM-DM/SM/SSM、支持组播策略；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访问控制策略：支持基于L2(Layer 2)-L4(Layer 4)的ACL，支持基于端口和VLAN的ACL，支持IPv6 ACL。支持802.1x认证，支持集中式MAC 地址认证；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支持L2（Layer 2）-L4（Layer 4）包过滤功能，提供基于源MAC地址、目的MAC地址、源IP(IPv4/IPv6)地址、目的IP(IPv4/IPv6)地址、端口、协议、VLAN的流分类；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支持SNMPv1/2/3，支持系统日志，支持分级告警，支持NTP，支持电源的告警功能，支持风扇、温度告警；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 支持命令行接口（CLI），Telnet，Console口进行配置，支持SNMP，WEB网管。</w:t>
            </w:r>
          </w:p>
        </w:tc>
        <w:tc>
          <w:tcPr>
            <w:tcW w:w="754" w:type="dxa"/>
            <w:tcBorders>
              <w:top w:val="single" w:color="000000" w:sz="4" w:space="0"/>
              <w:left w:val="single" w:color="000000" w:sz="4" w:space="0"/>
              <w:bottom w:val="single" w:color="000000" w:sz="4" w:space="0"/>
              <w:right w:val="single" w:color="000000" w:sz="4" w:space="0"/>
            </w:tcBorders>
            <w:vAlign w:val="center"/>
          </w:tcPr>
          <w:p w14:paraId="41C549B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3D9D16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2059836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85BEFD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3.1.6.4</w:t>
            </w:r>
          </w:p>
        </w:tc>
        <w:tc>
          <w:tcPr>
            <w:tcW w:w="1035" w:type="dxa"/>
            <w:tcBorders>
              <w:top w:val="single" w:color="000000" w:sz="4" w:space="0"/>
              <w:left w:val="single" w:color="000000" w:sz="4" w:space="0"/>
              <w:bottom w:val="single" w:color="000000" w:sz="4" w:space="0"/>
              <w:right w:val="single" w:color="000000" w:sz="4" w:space="0"/>
            </w:tcBorders>
            <w:vAlign w:val="center"/>
          </w:tcPr>
          <w:p w14:paraId="4A520CD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存储网交换机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239C537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▲1.配置≥48端口SFP+万兆光口，≥2 个40G QSFP PLUS口；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▲2.配置2个模块化风扇和2个模块化交流电源，配置1根40G QSFP+ 5m电缆（带模块）；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▲3.业务板卡扩展插槽≥2个</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▲1.端口交换容量≥2.56Tbps，包转发率≥1080Mpps；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提供2个独立的风扇槽位，支持可插拔风扇模块，2个风扇模块均可支持热插拔，支持1+1冗余，且风道可调，拔掉其中一个风扇后短时间内不影响主机运行；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▲3.为满足机柜空间部署要求，整机高度≤1U；</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支持横向虚拟化功能，可将多台物理设备虚拟化成一台逻辑的设备（非传统的VRRP或HSRP协议），具备跨设备端口链路聚合；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●5.支持扩展防火墙业务模块，业务模块可通过交换机背板取电，支持热插拔；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SDN软件定义网络功能：支持OpenFlow标准；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支持基于端口的VLAN，支持Default VLAN，支持QINQ、支持灵活QINQ、支持VLAN Mapping，支持PVST+ 支持RPVST+；</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支持DHCP Server/Client、DHCP Snooping、DHCP Relay、DHCP Snooping option82/DHCP Relay option82；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支持IPv4、IPv6静态路由，RIP等三层动态路由协议，支持策略路由器，支持RIP v1/2、RIPng，支持等价路由、VRRP、OSPFv1/v2、OSPF v3、BGP、ISIS等增强三层路由协议；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IPv6特性支持 ICMP v6、Telnet v6、SFTP v6、SNMP v6、BFD v6、VRRP v3，支持IPv6 Portal，支持IPv6 tunnel；</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支持VxLAN 二层交换, 支持VxLAN 路由交换，支持VxLAN 网关；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支持IGMP Snooping v2/v3、支持IGMP v1/v2/v3、支持PIM-DM/SM、支持IPv6 PIM-DM/SM/SSM、支持组播策略；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访问控制策略：支持基于L2(Layer 2)-L4(Layer 4)的ACL，支持基于端口和VLAN的ACL，支持IPv6 ACL。支持802.1x认证，支持集中式MAC 地址认证；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支持L2（Layer 2）-L4（Layer 4）包过滤功能，提供基于源MAC地址、目的MAC地址、源IP(IPv4/IPv6)地址、目的IP(IPv4/IPv6)地址、端口、协议、VLAN的流分类；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支持SNMPv1/2/3，支持系统日志，支持分级告警，支持NTP，支持电源的告警功能，支持风扇、温度告警；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 支持命令行接口（CLI），Telnet，Console口进行配置，支持SNMP，WEB网管。</w:t>
            </w:r>
          </w:p>
        </w:tc>
        <w:tc>
          <w:tcPr>
            <w:tcW w:w="754" w:type="dxa"/>
            <w:tcBorders>
              <w:top w:val="single" w:color="000000" w:sz="4" w:space="0"/>
              <w:left w:val="single" w:color="000000" w:sz="4" w:space="0"/>
              <w:bottom w:val="single" w:color="000000" w:sz="4" w:space="0"/>
              <w:right w:val="single" w:color="000000" w:sz="4" w:space="0"/>
            </w:tcBorders>
            <w:vAlign w:val="center"/>
          </w:tcPr>
          <w:p w14:paraId="3804AE5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67DA90E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333CC0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8F0039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3.1.6.5</w:t>
            </w:r>
          </w:p>
        </w:tc>
        <w:tc>
          <w:tcPr>
            <w:tcW w:w="1035" w:type="dxa"/>
            <w:tcBorders>
              <w:top w:val="single" w:color="000000" w:sz="4" w:space="0"/>
              <w:left w:val="single" w:color="000000" w:sz="4" w:space="0"/>
              <w:bottom w:val="single" w:color="000000" w:sz="4" w:space="0"/>
              <w:right w:val="single" w:color="000000" w:sz="4" w:space="0"/>
            </w:tcBorders>
            <w:vAlign w:val="center"/>
          </w:tcPr>
          <w:p w14:paraId="070680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视频存储交换机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4CAE8651">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▲1.配置≥48端口SFP+万兆光口，≥2 个40G QSFP PLUS口；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▲2.配置2个模块化风扇和2个模块化交流电源，配置1根40G QSFP+ 5m电缆（带模块）；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▲3.业务板卡扩展插槽≥2个</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▲1.端口交换容量≥2.56Tbps，包转发率≥1080Mpps；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提供2个独立的风扇槽位，支持可插拔风扇模块，2个风扇模块均可支持热插拔，支持1+1冗余，且风道可调，拔掉其中一个风扇后短时间内不影响主机运行；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▲3.为满足机柜空间部署要求，整机高度≤1U；</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支持横向虚拟化功能，可将多台物理设备虚拟化成一台逻辑的设备（非传统的VRRP或HSRP协议），具备跨设备端口链路聚合；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支持扩展防火墙业务模块，业务模块可通过交换机背板取电，支持热插拔；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SDN软件定义网络功能：支持OpenFlow标准；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支持基于端口的VLAN，支持Default VLAN，支持QINQ、支持灵活QINQ、支持VLAN Mapping，支持PVST+ 支持RPVST+；</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支持DHCP Server/Client、DHCP Snooping、DHCP Relay、DHCP Snooping option82/DHCP Relay option82；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支持IPv4、IPv6静态路由，RIP等三层动态路由协议，支持策略路由器，支持RIP v1/2、RIPng，支持等价路由、VRRP、OSPFv1/v2、OSPF v3、BGP、ISIS等增强三层路由协议；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IPv6特性支持 ICMP v6、Telnet v6、SFTP v6、SNMP v6、BFD v6、VRRP v3，支持IPv6 Portal，支持IPv6 tunnel；</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支持VxLAN 二层交换, 支持VxLAN 路由交换，支持VxLAN 网关；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支持IGMP Snooping v2/v3、支持IGMP v1/v2/v3、支持PIM-DM/SM、支持IPv6 PIM-DM/SM/SSM、支持组播策略；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访问控制策略：支持基于L2(Layer 2)-L4(Layer 4)的ACL，支持基于端口和VLAN的ACL，支持IPv6 ACL。支持802.1x认证，支持集中式MAC 地址认证；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支持L2（Layer 2）-L4（Layer 4）包过滤功能，提供基于源MAC地址、目的MAC地址、源IP(IPv4/IPv6)地址、目的IP(IPv4/IPv6)地址、端口、协议、VLAN的流分类；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支持SNMPv1/2/3，支持系统日志，支持分级告警，支持NTP，支持电源的告警功能，支持风扇、温度告警；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 支持命令行接口（CLI），Telnet，Console口进行配置，支持SNMP，WEB网管。</w:t>
            </w:r>
          </w:p>
        </w:tc>
        <w:tc>
          <w:tcPr>
            <w:tcW w:w="754" w:type="dxa"/>
            <w:tcBorders>
              <w:top w:val="single" w:color="000000" w:sz="4" w:space="0"/>
              <w:left w:val="single" w:color="000000" w:sz="4" w:space="0"/>
              <w:bottom w:val="single" w:color="000000" w:sz="4" w:space="0"/>
              <w:right w:val="single" w:color="000000" w:sz="4" w:space="0"/>
            </w:tcBorders>
            <w:vAlign w:val="center"/>
          </w:tcPr>
          <w:p w14:paraId="11B6821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19CDFE8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2CC00D6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02A2CB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3.1.6.6</w:t>
            </w:r>
          </w:p>
        </w:tc>
        <w:tc>
          <w:tcPr>
            <w:tcW w:w="1035" w:type="dxa"/>
            <w:tcBorders>
              <w:top w:val="single" w:color="000000" w:sz="4" w:space="0"/>
              <w:left w:val="single" w:color="000000" w:sz="4" w:space="0"/>
              <w:bottom w:val="single" w:color="000000" w:sz="4" w:space="0"/>
              <w:right w:val="single" w:color="000000" w:sz="4" w:space="0"/>
            </w:tcBorders>
            <w:vAlign w:val="center"/>
          </w:tcPr>
          <w:p w14:paraId="0A395C0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接入交换机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0C7D830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▲一、单台配置要求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端口：≥24个10/100/1000Base-T以太网端口，4个万兆SFP+端口；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▲1.交换容量≥336Gbps，包转发速率≥126Mpps；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支持黑洞MAC地址，支持设置端口MAC地址学习最大个数；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支持4K个VLAN，支持Voice VLAN，基于端口的VLAN，基于MAC的VLAN，基于协议的VLAN；</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支持OpenFlow 1.3标准；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支持纵向虚拟化，作为纵向子节点零配置即插即用；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路由协议支持IPv4静态路由、RIP路由协议、RIPng路由协议和OSPF路由协议；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支持L2（Layer 2）-L4（Layer 4）包过滤功能，提供基于源MAC地址、目的MAC地址、源IP(IPv4/IPv6)地址、目的IP(IPv4/IPv6)地址、端口、协议、VLAN的流分类；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支持IGMP Snooping，MLD Snooping、支持组播VLAN；</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DHCP功能：支持DHCP Server、DHCP Client、DHCP Relay、DHCP Snooping和DHCP Snooping Option82；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支持智能堆叠，堆叠后逻辑上虚拟为一台设备，具有统一的表项和管理，堆叠系统通过多台成员设备之间冗余备份；支持以太网电口堆叠，用网线连接实现堆叠功能；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采用专业的内置防雷技术，支持10KV业务端口防雷能力，降低雷击对设备的损坏率；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支持命令行接口（CLI），Telnet，Console口进行配置，支持SNMP，WEB网管；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支持G.8032开放环网协议；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支持虚电缆检测功能(VCT)，定位网络中故障电缆的短路或断路点。</w:t>
            </w:r>
          </w:p>
        </w:tc>
        <w:tc>
          <w:tcPr>
            <w:tcW w:w="754" w:type="dxa"/>
            <w:tcBorders>
              <w:top w:val="single" w:color="000000" w:sz="4" w:space="0"/>
              <w:left w:val="single" w:color="000000" w:sz="4" w:space="0"/>
              <w:bottom w:val="single" w:color="000000" w:sz="4" w:space="0"/>
              <w:right w:val="single" w:color="000000" w:sz="4" w:space="0"/>
            </w:tcBorders>
            <w:vAlign w:val="center"/>
          </w:tcPr>
          <w:p w14:paraId="23A652D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3DEC682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7553196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85D93E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3.1.6.7</w:t>
            </w:r>
          </w:p>
        </w:tc>
        <w:tc>
          <w:tcPr>
            <w:tcW w:w="1035" w:type="dxa"/>
            <w:tcBorders>
              <w:top w:val="single" w:color="000000" w:sz="4" w:space="0"/>
              <w:left w:val="single" w:color="000000" w:sz="4" w:space="0"/>
              <w:bottom w:val="single" w:color="000000" w:sz="4" w:space="0"/>
              <w:right w:val="single" w:color="000000" w:sz="4" w:space="0"/>
            </w:tcBorders>
            <w:vAlign w:val="center"/>
          </w:tcPr>
          <w:p w14:paraId="789235A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4口工业交换机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61B04B7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▲1.支持2个千兆SFP光口，4个10/100/1000M电口；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2.支持VLAN端口隔离,支持ERPS环网协议；工作温度：-40～85℃；</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3.即插即用，支持防护等级：IP40；宽电压：DC9V～52V，双冗余，无极性供电；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4.支持总线、星形拓朴、环形结构，支持STP\RSTP\MSTP；ITU-T G.8032 /Y.1344 ERPS；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支持用户登录密码保护等多种设备配置方式；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支持ACL，支持基于端口的MAC过滤，支持MAC地址绑定，支持基于端口的802.1x认证，支持系统自动防御，防止DDOS等攻击；支持端口VLAN及802.1Q Tag；支持QoS 4级优先级、静态LACP、支持基于端口的单向和双向流量镜像；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支持IGMP Snooping v1/v2，支持端口带宽控制，支持广播风暴抑制；支持SNTP协议；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支持IEEE 802.1X、 HTTPS以及SSH，增强了网络安全性；支持CLI、Telnet /serial console等管理方式；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能适应恶劣户外环境的6 KV以太网口浪涌保护；支持端口自动翻转（Auto MDI/MDIX）；流控方式：全双工采用IEEE 802.3x标准，半双工采用Back pressure标准；符合IEEE 802.3 100Base-T和IEEE 802.3u 1000Base-TX标准；支持IEEE802.3/502.3u/802.3x存储转发方式；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IEEE 802.3，IEEE 802.3u，IEEE 802.3x流量控制；IEEE 802.1D-2004 STP，IEEE 802.1w Rapid STP；</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IEEE 802.1Q VLAN Tagging，IEEE 802.1p CoS，IEEE 802.1X 认证；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IEEE 802.3ad 链路聚合协议：OP-Ring，IGMPv1/v2，GVRP，SNMPv1/v2c/v3，DHCP ClientTFTP，SMTP，RMON，HTTP，HTTPS，Telnet，Syslog SSH，SNMP Inform，LLDP，SNTP Server/Client，PVLAN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支持VLAN：802.1Q Vlan(4K)、Port-based VLAN、QinQ，巨帧处理：16kb；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支持广播，组播，未知单播抑制；流量控制：采用IEEE802.3x 协商流控、CAR 功能、限速步长为1Kb；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环网功能：支持STP\RSTP\MSTP；ITU-T G.8032 /Y.1344 ERPS；可生成树：IEEE 802.1d（STP）、IEEE 802.1w（RSTP）、IEEE 802.1s（MSTP）；组播协议：IGMPv1/2/3 Snooping；端口管理：支持端口隔离、端口汇聚；DHCP管理：支持DHCP Snooping,option 82；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 QoS机制：802.1p；支持端口默认优先级标记，每端口至少4 个不同优先级的队列。</w:t>
            </w:r>
          </w:p>
        </w:tc>
        <w:tc>
          <w:tcPr>
            <w:tcW w:w="754" w:type="dxa"/>
            <w:tcBorders>
              <w:top w:val="single" w:color="000000" w:sz="4" w:space="0"/>
              <w:left w:val="single" w:color="000000" w:sz="4" w:space="0"/>
              <w:bottom w:val="single" w:color="000000" w:sz="4" w:space="0"/>
              <w:right w:val="single" w:color="000000" w:sz="4" w:space="0"/>
            </w:tcBorders>
            <w:vAlign w:val="center"/>
          </w:tcPr>
          <w:p w14:paraId="6D0E4CFE">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30</w:t>
            </w:r>
          </w:p>
        </w:tc>
        <w:tc>
          <w:tcPr>
            <w:tcW w:w="660" w:type="dxa"/>
            <w:tcBorders>
              <w:top w:val="single" w:color="000000" w:sz="4" w:space="0"/>
              <w:left w:val="single" w:color="000000" w:sz="4" w:space="0"/>
              <w:bottom w:val="single" w:color="000000" w:sz="4" w:space="0"/>
              <w:right w:val="single" w:color="000000" w:sz="4" w:space="0"/>
            </w:tcBorders>
            <w:vAlign w:val="center"/>
          </w:tcPr>
          <w:p w14:paraId="0841B38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0224E8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6B20BC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3.1.6.8</w:t>
            </w:r>
          </w:p>
        </w:tc>
        <w:tc>
          <w:tcPr>
            <w:tcW w:w="1035" w:type="dxa"/>
            <w:tcBorders>
              <w:top w:val="single" w:color="000000" w:sz="4" w:space="0"/>
              <w:left w:val="single" w:color="000000" w:sz="4" w:space="0"/>
              <w:bottom w:val="single" w:color="000000" w:sz="4" w:space="0"/>
              <w:right w:val="single" w:color="000000" w:sz="4" w:space="0"/>
            </w:tcBorders>
            <w:vAlign w:val="center"/>
          </w:tcPr>
          <w:p w14:paraId="514DB8D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8口工业交换机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2DBAE5B0">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▲1.支持2个千兆SFP光口，8个10/100/1000M电口；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支持VLAN端口隔离,支持ERPS环网协议；工作温度：-40～85℃；</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即插即用，支持防护等级：IP40；宽电压：DC9V～52V，双冗余，无极性供电；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支持总线、星形拓朴、环形结构，支持STP\RSTP\MSTP；ITU-T G.8032 /Y.1344 ERPS；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支持用户登录密码保护等多种设备配置方式；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支持ACL，支持基于端口的MAC过滤，支持MAC地址绑定，支持基于端口的802.1x认证，支持系统自动防御，防止DDOS等攻击；支持端口VLAN及802.1Q Tag；支持QoS 4级优先级、静态LACP、支持基于端口的单向和双向流量镜像；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支持IGMP Snooping v1/v2，支持端口带宽控制，支持广播风暴抑制；支持SNTP协议；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支持IEEE 802.1X、 HTTPS以及SSH，增强了网络安全性；支持CLI、Telnet /serial console等管理方式；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能适应恶劣户外环境的6 KV以太网口浪涌保护；支持端口自动翻转（Auto MDI/MDIX）；流控方式：全双工采用IEEE 802.3x标准，半双工采用Back pressure标准；符合IEEE 802.3 100Base-T和IEEE 802.3u 1000Base-TX标准；支持IEEE802.3/502.3u/802.3x存储转发方式；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IEEE 802.3，IEEE 802.3u，IEEE 802.3x流量控制；IEEE 802.1D-2004 STP，IEEE 802.1w Rapid STP；</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IEEE 802.1Q VLAN Tagging，IEEE 802.1p CoS，IEEE 802.1X 认证；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IEEE 802.3ad 链路聚合协议：OP-Ring，IGMPv1/v2，GVRP，SNMPv1/v2c/v3，DHCP ClientTFTP，SMTP，RMON，HTTP，HTTPS，Telnet，Syslog SSH，SNMP Inform，LLDP，SNTP Server/Client，PVLAN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支持VLAN：802.1Q Vlan(4K)、Port-based VLAN、QinQ，巨帧处理：16kb；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支持广播，组播，未知单播抑制；流量控制：采用IEEE802.3x 协商流控、CAR 功能、限速步长为1Kb；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环网功能：支持STP\RSTP\MSTP；ITU-T G.8032 /Y.1344 ERPS；可生成树：IEEE 802.1d（STP）、IEEE 802.1w（RSTP）、IEEE 802.1s（MSTP）；组播协议：IGMPv1/2/3 Snooping；端口管理：支持端口隔离、端口汇聚；DHCP管理：支持DHCP Snooping,option 82；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 QoS机制：802.1p；支持端口默认优先级标记，每端口至少4 个不同优先级的队列。</w:t>
            </w:r>
          </w:p>
        </w:tc>
        <w:tc>
          <w:tcPr>
            <w:tcW w:w="754" w:type="dxa"/>
            <w:tcBorders>
              <w:top w:val="single" w:color="000000" w:sz="4" w:space="0"/>
              <w:left w:val="single" w:color="000000" w:sz="4" w:space="0"/>
              <w:bottom w:val="single" w:color="000000" w:sz="4" w:space="0"/>
              <w:right w:val="single" w:color="000000" w:sz="4" w:space="0"/>
            </w:tcBorders>
            <w:vAlign w:val="center"/>
          </w:tcPr>
          <w:p w14:paraId="57405B52">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90</w:t>
            </w:r>
          </w:p>
        </w:tc>
        <w:tc>
          <w:tcPr>
            <w:tcW w:w="660" w:type="dxa"/>
            <w:tcBorders>
              <w:top w:val="single" w:color="000000" w:sz="4" w:space="0"/>
              <w:left w:val="single" w:color="000000" w:sz="4" w:space="0"/>
              <w:bottom w:val="single" w:color="000000" w:sz="4" w:space="0"/>
              <w:right w:val="single" w:color="000000" w:sz="4" w:space="0"/>
            </w:tcBorders>
            <w:vAlign w:val="center"/>
          </w:tcPr>
          <w:p w14:paraId="04CCE86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FCE2E4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3A5A24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3.1.6.9</w:t>
            </w:r>
          </w:p>
        </w:tc>
        <w:tc>
          <w:tcPr>
            <w:tcW w:w="1035" w:type="dxa"/>
            <w:tcBorders>
              <w:top w:val="single" w:color="000000" w:sz="4" w:space="0"/>
              <w:left w:val="single" w:color="000000" w:sz="4" w:space="0"/>
              <w:bottom w:val="single" w:color="000000" w:sz="4" w:space="0"/>
              <w:right w:val="single" w:color="000000" w:sz="4" w:space="0"/>
            </w:tcBorders>
            <w:vAlign w:val="center"/>
          </w:tcPr>
          <w:p w14:paraId="4CDEE91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工业交换机电源</w:t>
            </w:r>
          </w:p>
        </w:tc>
        <w:tc>
          <w:tcPr>
            <w:tcW w:w="6176" w:type="dxa"/>
            <w:tcBorders>
              <w:top w:val="single" w:color="000000" w:sz="4" w:space="0"/>
              <w:left w:val="single" w:color="000000" w:sz="4" w:space="0"/>
              <w:bottom w:val="single" w:color="000000" w:sz="4" w:space="0"/>
              <w:right w:val="nil"/>
            </w:tcBorders>
            <w:vAlign w:val="center"/>
          </w:tcPr>
          <w:p w14:paraId="0009A0C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工业级电源，AC220V转DC52V2A。</w:t>
            </w:r>
          </w:p>
        </w:tc>
        <w:tc>
          <w:tcPr>
            <w:tcW w:w="754" w:type="dxa"/>
            <w:tcBorders>
              <w:top w:val="single" w:color="000000" w:sz="4" w:space="0"/>
              <w:left w:val="single" w:color="000000" w:sz="4" w:space="0"/>
              <w:bottom w:val="single" w:color="000000" w:sz="4" w:space="0"/>
              <w:right w:val="single" w:color="000000" w:sz="4" w:space="0"/>
            </w:tcBorders>
            <w:vAlign w:val="center"/>
          </w:tcPr>
          <w:p w14:paraId="421CA540">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120</w:t>
            </w:r>
          </w:p>
        </w:tc>
        <w:tc>
          <w:tcPr>
            <w:tcW w:w="660" w:type="dxa"/>
            <w:tcBorders>
              <w:top w:val="single" w:color="000000" w:sz="4" w:space="0"/>
              <w:left w:val="single" w:color="000000" w:sz="4" w:space="0"/>
              <w:bottom w:val="single" w:color="000000" w:sz="4" w:space="0"/>
              <w:right w:val="single" w:color="000000" w:sz="4" w:space="0"/>
            </w:tcBorders>
            <w:vAlign w:val="center"/>
          </w:tcPr>
          <w:p w14:paraId="3D785FA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3BF1E37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CBA7DA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3.1.6.10</w:t>
            </w:r>
          </w:p>
        </w:tc>
        <w:tc>
          <w:tcPr>
            <w:tcW w:w="1035" w:type="dxa"/>
            <w:tcBorders>
              <w:top w:val="single" w:color="000000" w:sz="4" w:space="0"/>
              <w:left w:val="single" w:color="000000" w:sz="4" w:space="0"/>
              <w:bottom w:val="single" w:color="000000" w:sz="4" w:space="0"/>
              <w:right w:val="single" w:color="000000" w:sz="4" w:space="0"/>
            </w:tcBorders>
            <w:vAlign w:val="center"/>
          </w:tcPr>
          <w:p w14:paraId="2CEBC71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万兆多模光模块</w:t>
            </w:r>
          </w:p>
        </w:tc>
        <w:tc>
          <w:tcPr>
            <w:tcW w:w="6176" w:type="dxa"/>
            <w:tcBorders>
              <w:top w:val="single" w:color="000000" w:sz="4" w:space="0"/>
              <w:left w:val="single" w:color="000000" w:sz="4" w:space="0"/>
              <w:bottom w:val="single" w:color="000000" w:sz="4" w:space="0"/>
              <w:right w:val="single" w:color="000000" w:sz="4" w:space="0"/>
            </w:tcBorders>
            <w:vAlign w:val="center"/>
          </w:tcPr>
          <w:p w14:paraId="134B1760">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万兆多模光模块(850nm,300m,LC)。原厂售后服务保障；传输速率：10Gbps；输出光功率：-7.3～-1；接收光功率：-9.9～+0.5；工作环境温度：-5℃～45℃</w:t>
            </w:r>
          </w:p>
        </w:tc>
        <w:tc>
          <w:tcPr>
            <w:tcW w:w="754" w:type="dxa"/>
            <w:tcBorders>
              <w:top w:val="single" w:color="000000" w:sz="4" w:space="0"/>
              <w:left w:val="single" w:color="000000" w:sz="4" w:space="0"/>
              <w:bottom w:val="single" w:color="000000" w:sz="4" w:space="0"/>
              <w:right w:val="single" w:color="000000" w:sz="4" w:space="0"/>
            </w:tcBorders>
            <w:vAlign w:val="center"/>
          </w:tcPr>
          <w:p w14:paraId="3120FCC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48</w:t>
            </w:r>
          </w:p>
        </w:tc>
        <w:tc>
          <w:tcPr>
            <w:tcW w:w="660" w:type="dxa"/>
            <w:tcBorders>
              <w:top w:val="single" w:color="000000" w:sz="4" w:space="0"/>
              <w:left w:val="single" w:color="000000" w:sz="4" w:space="0"/>
              <w:bottom w:val="single" w:color="000000" w:sz="4" w:space="0"/>
              <w:right w:val="single" w:color="000000" w:sz="4" w:space="0"/>
            </w:tcBorders>
            <w:vAlign w:val="center"/>
          </w:tcPr>
          <w:p w14:paraId="19C00C9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块</w:t>
            </w:r>
          </w:p>
        </w:tc>
      </w:tr>
      <w:tr w14:paraId="70FCC7C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6D55D9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3.1.6.11</w:t>
            </w:r>
          </w:p>
        </w:tc>
        <w:tc>
          <w:tcPr>
            <w:tcW w:w="1035" w:type="dxa"/>
            <w:tcBorders>
              <w:top w:val="single" w:color="000000" w:sz="4" w:space="0"/>
              <w:left w:val="single" w:color="000000" w:sz="4" w:space="0"/>
              <w:bottom w:val="single" w:color="000000" w:sz="4" w:space="0"/>
              <w:right w:val="single" w:color="000000" w:sz="4" w:space="0"/>
            </w:tcBorders>
            <w:vAlign w:val="center"/>
          </w:tcPr>
          <w:p w14:paraId="7EF130E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万兆单模光模块</w:t>
            </w:r>
          </w:p>
        </w:tc>
        <w:tc>
          <w:tcPr>
            <w:tcW w:w="6176" w:type="dxa"/>
            <w:tcBorders>
              <w:top w:val="single" w:color="000000" w:sz="4" w:space="0"/>
              <w:left w:val="single" w:color="000000" w:sz="4" w:space="0"/>
              <w:bottom w:val="single" w:color="000000" w:sz="4" w:space="0"/>
              <w:right w:val="single" w:color="000000" w:sz="4" w:space="0"/>
            </w:tcBorders>
            <w:vAlign w:val="center"/>
          </w:tcPr>
          <w:p w14:paraId="18FE04C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万兆单模光模块(1310nm,10km,LC)，原厂售后服务保障；传输速率：10Gbps；输出光功率：-8.2～+0.5；接收光功率：-14.4～+0.5；工作环境温度：-5℃～45℃</w:t>
            </w:r>
          </w:p>
        </w:tc>
        <w:tc>
          <w:tcPr>
            <w:tcW w:w="754" w:type="dxa"/>
            <w:tcBorders>
              <w:top w:val="single" w:color="000000" w:sz="4" w:space="0"/>
              <w:left w:val="single" w:color="000000" w:sz="4" w:space="0"/>
              <w:bottom w:val="single" w:color="000000" w:sz="4" w:space="0"/>
              <w:right w:val="single" w:color="000000" w:sz="4" w:space="0"/>
            </w:tcBorders>
            <w:vAlign w:val="center"/>
          </w:tcPr>
          <w:p w14:paraId="4AA931D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12</w:t>
            </w:r>
          </w:p>
        </w:tc>
        <w:tc>
          <w:tcPr>
            <w:tcW w:w="660" w:type="dxa"/>
            <w:tcBorders>
              <w:top w:val="single" w:color="000000" w:sz="4" w:space="0"/>
              <w:left w:val="single" w:color="000000" w:sz="4" w:space="0"/>
              <w:bottom w:val="single" w:color="000000" w:sz="4" w:space="0"/>
              <w:right w:val="single" w:color="000000" w:sz="4" w:space="0"/>
            </w:tcBorders>
            <w:vAlign w:val="center"/>
          </w:tcPr>
          <w:p w14:paraId="3302443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块</w:t>
            </w:r>
          </w:p>
        </w:tc>
      </w:tr>
      <w:tr w14:paraId="577AC03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5BC0BE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3.1.6.12</w:t>
            </w:r>
          </w:p>
        </w:tc>
        <w:tc>
          <w:tcPr>
            <w:tcW w:w="1035" w:type="dxa"/>
            <w:tcBorders>
              <w:top w:val="single" w:color="000000" w:sz="4" w:space="0"/>
              <w:left w:val="single" w:color="000000" w:sz="4" w:space="0"/>
              <w:bottom w:val="single" w:color="000000" w:sz="4" w:space="0"/>
              <w:right w:val="single" w:color="000000" w:sz="4" w:space="0"/>
            </w:tcBorders>
            <w:vAlign w:val="center"/>
          </w:tcPr>
          <w:p w14:paraId="45722DB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智能分析网络硬盘录像机（NVR）</w:t>
            </w:r>
          </w:p>
        </w:tc>
        <w:tc>
          <w:tcPr>
            <w:tcW w:w="6176" w:type="dxa"/>
            <w:tcBorders>
              <w:top w:val="single" w:color="000000" w:sz="4" w:space="0"/>
              <w:left w:val="single" w:color="000000" w:sz="4" w:space="0"/>
              <w:bottom w:val="single" w:color="000000" w:sz="4" w:space="0"/>
              <w:right w:val="single" w:color="000000" w:sz="4" w:space="0"/>
            </w:tcBorders>
            <w:vAlign w:val="center"/>
          </w:tcPr>
          <w:p w14:paraId="7B01085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▲1.支持≥8路1080P解码，4K输出；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支持智能分析，最大4路智能人/车侦测，可精准识别人/车并报警，助力事中干预；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支持人/车录像标记和快速检索/回查，大幅提升关键录像回查效率；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支持通过GB28181协议接入各类平台；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最大支持8路1080P解码，支持SVC增强模式，开启可提升至12路1080P解码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硬盘单盘最大支持8TB容量；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最大支持4路智能人/车侦测；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支持1个HDMI 口超清4K输出+1个VGA口，高清1080P输出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▲9.≥2个百兆网口、2个USB2.0接口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支持双IP设定，自带4/8个Switch口作为LAN2</w:t>
            </w:r>
          </w:p>
        </w:tc>
        <w:tc>
          <w:tcPr>
            <w:tcW w:w="754" w:type="dxa"/>
            <w:tcBorders>
              <w:top w:val="single" w:color="000000" w:sz="4" w:space="0"/>
              <w:left w:val="single" w:color="000000" w:sz="4" w:space="0"/>
              <w:bottom w:val="single" w:color="000000" w:sz="4" w:space="0"/>
              <w:right w:val="single" w:color="000000" w:sz="4" w:space="0"/>
            </w:tcBorders>
            <w:vAlign w:val="center"/>
          </w:tcPr>
          <w:p w14:paraId="45B6480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8</w:t>
            </w:r>
          </w:p>
        </w:tc>
        <w:tc>
          <w:tcPr>
            <w:tcW w:w="660" w:type="dxa"/>
            <w:tcBorders>
              <w:top w:val="single" w:color="000000" w:sz="4" w:space="0"/>
              <w:left w:val="single" w:color="000000" w:sz="4" w:space="0"/>
              <w:bottom w:val="single" w:color="000000" w:sz="4" w:space="0"/>
              <w:right w:val="single" w:color="000000" w:sz="4" w:space="0"/>
            </w:tcBorders>
            <w:vAlign w:val="center"/>
          </w:tcPr>
          <w:p w14:paraId="1D6E300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0911A4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04743D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3.1.6.13</w:t>
            </w:r>
          </w:p>
        </w:tc>
        <w:tc>
          <w:tcPr>
            <w:tcW w:w="1035" w:type="dxa"/>
            <w:tcBorders>
              <w:top w:val="single" w:color="000000" w:sz="4" w:space="0"/>
              <w:left w:val="single" w:color="000000" w:sz="4" w:space="0"/>
              <w:bottom w:val="single" w:color="000000" w:sz="4" w:space="0"/>
              <w:right w:val="single" w:color="000000" w:sz="4" w:space="0"/>
            </w:tcBorders>
            <w:vAlign w:val="center"/>
          </w:tcPr>
          <w:p w14:paraId="4C95B49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专线服务</w:t>
            </w:r>
          </w:p>
        </w:tc>
        <w:tc>
          <w:tcPr>
            <w:tcW w:w="6176" w:type="dxa"/>
            <w:tcBorders>
              <w:top w:val="single" w:color="000000" w:sz="4" w:space="0"/>
              <w:left w:val="single" w:color="000000" w:sz="4" w:space="0"/>
              <w:bottom w:val="single" w:color="000000" w:sz="4" w:space="0"/>
              <w:right w:val="nil"/>
            </w:tcBorders>
            <w:vAlign w:val="center"/>
          </w:tcPr>
          <w:p w14:paraId="24949593">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781E29F">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CCC7766">
            <w:pPr>
              <w:jc w:val="center"/>
              <w:rPr>
                <w:rFonts w:ascii="宋体" w:hAnsi="宋体" w:cs="宋体"/>
                <w:color w:val="auto"/>
                <w:szCs w:val="22"/>
                <w:highlight w:val="none"/>
              </w:rPr>
            </w:pPr>
          </w:p>
        </w:tc>
      </w:tr>
      <w:tr w14:paraId="67D5BBD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8D5C21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3.1.6.13.1</w:t>
            </w:r>
          </w:p>
        </w:tc>
        <w:tc>
          <w:tcPr>
            <w:tcW w:w="1035" w:type="dxa"/>
            <w:tcBorders>
              <w:top w:val="single" w:color="000000" w:sz="4" w:space="0"/>
              <w:left w:val="single" w:color="000000" w:sz="4" w:space="0"/>
              <w:bottom w:val="single" w:color="000000" w:sz="4" w:space="0"/>
              <w:right w:val="single" w:color="000000" w:sz="4" w:space="0"/>
            </w:tcBorders>
            <w:vAlign w:val="center"/>
          </w:tcPr>
          <w:p w14:paraId="19A9738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内网专线服务</w:t>
            </w:r>
          </w:p>
        </w:tc>
        <w:tc>
          <w:tcPr>
            <w:tcW w:w="6176" w:type="dxa"/>
            <w:tcBorders>
              <w:top w:val="single" w:color="000000" w:sz="4" w:space="0"/>
              <w:left w:val="single" w:color="000000" w:sz="4" w:space="0"/>
              <w:bottom w:val="single" w:color="000000" w:sz="4" w:space="0"/>
              <w:right w:val="nil"/>
            </w:tcBorders>
            <w:vAlign w:val="center"/>
          </w:tcPr>
          <w:p w14:paraId="64310E64">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AB59D2D">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6D4D062">
            <w:pPr>
              <w:jc w:val="center"/>
              <w:rPr>
                <w:rFonts w:ascii="宋体" w:hAnsi="宋体" w:cs="宋体"/>
                <w:color w:val="auto"/>
                <w:szCs w:val="22"/>
                <w:highlight w:val="none"/>
              </w:rPr>
            </w:pPr>
          </w:p>
        </w:tc>
      </w:tr>
      <w:tr w14:paraId="019A9B7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DEFF49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3.1.6.13.1.1</w:t>
            </w:r>
          </w:p>
        </w:tc>
        <w:tc>
          <w:tcPr>
            <w:tcW w:w="1035" w:type="dxa"/>
            <w:tcBorders>
              <w:top w:val="single" w:color="000000" w:sz="4" w:space="0"/>
              <w:left w:val="single" w:color="000000" w:sz="4" w:space="0"/>
              <w:bottom w:val="single" w:color="000000" w:sz="4" w:space="0"/>
              <w:right w:val="single" w:color="000000" w:sz="4" w:space="0"/>
            </w:tcBorders>
            <w:vAlign w:val="center"/>
          </w:tcPr>
          <w:p w14:paraId="4D1E730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内网专线服务（前端设备）</w:t>
            </w:r>
          </w:p>
        </w:tc>
        <w:tc>
          <w:tcPr>
            <w:tcW w:w="6176" w:type="dxa"/>
            <w:tcBorders>
              <w:top w:val="single" w:color="000000" w:sz="4" w:space="0"/>
              <w:left w:val="single" w:color="000000" w:sz="4" w:space="0"/>
              <w:bottom w:val="single" w:color="000000" w:sz="4" w:space="0"/>
              <w:right w:val="nil"/>
            </w:tcBorders>
            <w:vAlign w:val="center"/>
          </w:tcPr>
          <w:p w14:paraId="4F72BBC9">
            <w:pPr>
              <w:rPr>
                <w:rFonts w:ascii="宋体" w:hAnsi="宋体" w:cs="宋体"/>
                <w:color w:val="auto"/>
                <w:szCs w:val="22"/>
                <w:highlight w:val="none"/>
              </w:rPr>
            </w:pPr>
            <w:r>
              <w:rPr>
                <w:rFonts w:hint="eastAsia" w:ascii="宋体" w:hAnsi="宋体" w:cs="宋体"/>
                <w:color w:val="auto"/>
                <w:kern w:val="0"/>
                <w:szCs w:val="22"/>
                <w:highlight w:val="none"/>
                <w:lang w:bidi="ar"/>
              </w:rPr>
              <w:t>提供3年50M带宽专线服务，包括但不限于以下服务: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1.提供安全专线: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2.智能专线(可弹性扩容):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3.网络维护服务;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4.全面通率达99.99%。</w:t>
            </w:r>
          </w:p>
        </w:tc>
        <w:tc>
          <w:tcPr>
            <w:tcW w:w="754" w:type="dxa"/>
            <w:tcBorders>
              <w:top w:val="single" w:color="000000" w:sz="4" w:space="0"/>
              <w:left w:val="single" w:color="000000" w:sz="4" w:space="0"/>
              <w:bottom w:val="single" w:color="000000" w:sz="4" w:space="0"/>
              <w:right w:val="single" w:color="000000" w:sz="4" w:space="0"/>
            </w:tcBorders>
            <w:vAlign w:val="center"/>
          </w:tcPr>
          <w:p w14:paraId="09E6C348">
            <w:pPr>
              <w:jc w:val="center"/>
              <w:rPr>
                <w:rFonts w:ascii="宋体" w:hAnsi="宋体" w:cs="宋体"/>
                <w:color w:val="auto"/>
                <w:szCs w:val="22"/>
                <w:highlight w:val="none"/>
              </w:rPr>
            </w:pPr>
            <w:r>
              <w:rPr>
                <w:rFonts w:hint="eastAsia" w:ascii="宋体" w:hAnsi="宋体" w:cs="宋体"/>
                <w:color w:val="auto"/>
                <w:kern w:val="0"/>
                <w:szCs w:val="22"/>
                <w:highlight w:val="none"/>
                <w:lang w:bidi="ar"/>
              </w:rPr>
              <w:t>42</w:t>
            </w:r>
          </w:p>
        </w:tc>
        <w:tc>
          <w:tcPr>
            <w:tcW w:w="660" w:type="dxa"/>
            <w:tcBorders>
              <w:top w:val="single" w:color="000000" w:sz="4" w:space="0"/>
              <w:left w:val="single" w:color="000000" w:sz="4" w:space="0"/>
              <w:bottom w:val="single" w:color="000000" w:sz="4" w:space="0"/>
              <w:right w:val="single" w:color="000000" w:sz="4" w:space="0"/>
            </w:tcBorders>
            <w:vAlign w:val="center"/>
          </w:tcPr>
          <w:p w14:paraId="00144F0B">
            <w:pPr>
              <w:jc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5781EB6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147B88A">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B3C9E54">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14705BC3">
            <w:pPr>
              <w:widowControl/>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BDA2F56">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7561B67">
            <w:pPr>
              <w:widowControl/>
              <w:jc w:val="center"/>
              <w:textAlignment w:val="center"/>
              <w:rPr>
                <w:rFonts w:ascii="宋体" w:hAnsi="宋体" w:cs="宋体"/>
                <w:color w:val="auto"/>
                <w:szCs w:val="22"/>
                <w:highlight w:val="none"/>
              </w:rPr>
            </w:pPr>
          </w:p>
        </w:tc>
      </w:tr>
      <w:tr w14:paraId="142F5EB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46566DB">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35158D89">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0B5675D4">
            <w:pPr>
              <w:widowControl/>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3AB4828">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7F119EB">
            <w:pPr>
              <w:widowControl/>
              <w:jc w:val="center"/>
              <w:textAlignment w:val="center"/>
              <w:rPr>
                <w:rFonts w:ascii="宋体" w:hAnsi="宋体" w:cs="宋体"/>
                <w:color w:val="auto"/>
                <w:szCs w:val="22"/>
                <w:highlight w:val="none"/>
              </w:rPr>
            </w:pPr>
          </w:p>
        </w:tc>
      </w:tr>
      <w:tr w14:paraId="6FAFB65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6CA496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3.1.6.13.1.2</w:t>
            </w:r>
          </w:p>
        </w:tc>
        <w:tc>
          <w:tcPr>
            <w:tcW w:w="1035" w:type="dxa"/>
            <w:tcBorders>
              <w:top w:val="single" w:color="000000" w:sz="4" w:space="0"/>
              <w:left w:val="single" w:color="000000" w:sz="4" w:space="0"/>
              <w:bottom w:val="single" w:color="000000" w:sz="4" w:space="0"/>
              <w:right w:val="single" w:color="000000" w:sz="4" w:space="0"/>
            </w:tcBorders>
            <w:vAlign w:val="center"/>
          </w:tcPr>
          <w:p w14:paraId="0A0EC54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内网专线服务（企业）</w:t>
            </w:r>
          </w:p>
        </w:tc>
        <w:tc>
          <w:tcPr>
            <w:tcW w:w="6176" w:type="dxa"/>
            <w:tcBorders>
              <w:top w:val="single" w:color="000000" w:sz="4" w:space="0"/>
              <w:left w:val="single" w:color="000000" w:sz="4" w:space="0"/>
              <w:bottom w:val="single" w:color="000000" w:sz="4" w:space="0"/>
              <w:right w:val="nil"/>
            </w:tcBorders>
            <w:vAlign w:val="center"/>
          </w:tcPr>
          <w:p w14:paraId="4D4F300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提供3年20M带宽专线服务，包括但不限于以下服务: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1.提供安全专线;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2.智能专线(可弹性扩容):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3.网络维护服务: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4.全面通率达99.99%。</w:t>
            </w:r>
          </w:p>
        </w:tc>
        <w:tc>
          <w:tcPr>
            <w:tcW w:w="754" w:type="dxa"/>
            <w:tcBorders>
              <w:top w:val="single" w:color="000000" w:sz="4" w:space="0"/>
              <w:left w:val="single" w:color="000000" w:sz="4" w:space="0"/>
              <w:bottom w:val="single" w:color="000000" w:sz="4" w:space="0"/>
              <w:right w:val="single" w:color="000000" w:sz="4" w:space="0"/>
            </w:tcBorders>
            <w:vAlign w:val="center"/>
          </w:tcPr>
          <w:p w14:paraId="5E38004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8</w:t>
            </w:r>
          </w:p>
        </w:tc>
        <w:tc>
          <w:tcPr>
            <w:tcW w:w="660" w:type="dxa"/>
            <w:tcBorders>
              <w:top w:val="single" w:color="000000" w:sz="4" w:space="0"/>
              <w:left w:val="single" w:color="000000" w:sz="4" w:space="0"/>
              <w:bottom w:val="single" w:color="000000" w:sz="4" w:space="0"/>
              <w:right w:val="single" w:color="000000" w:sz="4" w:space="0"/>
            </w:tcBorders>
            <w:vAlign w:val="center"/>
          </w:tcPr>
          <w:p w14:paraId="2D5258B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575C654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FFE096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3.1.6.13.1.3</w:t>
            </w:r>
          </w:p>
        </w:tc>
        <w:tc>
          <w:tcPr>
            <w:tcW w:w="1035" w:type="dxa"/>
            <w:tcBorders>
              <w:top w:val="single" w:color="000000" w:sz="4" w:space="0"/>
              <w:left w:val="single" w:color="000000" w:sz="4" w:space="0"/>
              <w:bottom w:val="single" w:color="000000" w:sz="4" w:space="0"/>
              <w:right w:val="single" w:color="000000" w:sz="4" w:space="0"/>
            </w:tcBorders>
            <w:vAlign w:val="center"/>
          </w:tcPr>
          <w:p w14:paraId="197F16F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内网专线服务（指挥中心）</w:t>
            </w:r>
          </w:p>
        </w:tc>
        <w:tc>
          <w:tcPr>
            <w:tcW w:w="6176" w:type="dxa"/>
            <w:tcBorders>
              <w:top w:val="single" w:color="000000" w:sz="4" w:space="0"/>
              <w:left w:val="single" w:color="000000" w:sz="4" w:space="0"/>
              <w:bottom w:val="single" w:color="000000" w:sz="4" w:space="0"/>
              <w:right w:val="nil"/>
            </w:tcBorders>
            <w:vAlign w:val="center"/>
          </w:tcPr>
          <w:p w14:paraId="7922D7D0">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提供3年500M带宽专线服务，包括但不限于以下服务: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1.提供安全专线: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2.智能专线（可弹性扩容):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3.网络维护服务: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4.全面通率达99.99%。</w:t>
            </w:r>
          </w:p>
        </w:tc>
        <w:tc>
          <w:tcPr>
            <w:tcW w:w="754" w:type="dxa"/>
            <w:tcBorders>
              <w:top w:val="single" w:color="000000" w:sz="4" w:space="0"/>
              <w:left w:val="single" w:color="000000" w:sz="4" w:space="0"/>
              <w:bottom w:val="single" w:color="000000" w:sz="4" w:space="0"/>
              <w:right w:val="single" w:color="000000" w:sz="4" w:space="0"/>
            </w:tcBorders>
            <w:vAlign w:val="center"/>
          </w:tcPr>
          <w:p w14:paraId="2E34916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38000AF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0253071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B67A97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3.1.6.13.1.4</w:t>
            </w:r>
          </w:p>
        </w:tc>
        <w:tc>
          <w:tcPr>
            <w:tcW w:w="1035" w:type="dxa"/>
            <w:tcBorders>
              <w:top w:val="single" w:color="000000" w:sz="4" w:space="0"/>
              <w:left w:val="single" w:color="000000" w:sz="4" w:space="0"/>
              <w:bottom w:val="single" w:color="000000" w:sz="4" w:space="0"/>
              <w:right w:val="single" w:color="000000" w:sz="4" w:space="0"/>
            </w:tcBorders>
            <w:vAlign w:val="center"/>
          </w:tcPr>
          <w:p w14:paraId="159C24C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互联网专线接入服务</w:t>
            </w:r>
          </w:p>
        </w:tc>
        <w:tc>
          <w:tcPr>
            <w:tcW w:w="6176" w:type="dxa"/>
            <w:tcBorders>
              <w:top w:val="single" w:color="000000" w:sz="4" w:space="0"/>
              <w:left w:val="single" w:color="000000" w:sz="4" w:space="0"/>
              <w:bottom w:val="single" w:color="000000" w:sz="4" w:space="0"/>
              <w:right w:val="nil"/>
            </w:tcBorders>
            <w:vAlign w:val="center"/>
          </w:tcPr>
          <w:p w14:paraId="2A3E6DC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提供3年200M带宽专线接入服务，包括但不限于以下服务: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1.提供安全专线: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2.智能专线(可弹性扩容):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3.网络维护服务: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4.全面通率达99.99%。</w:t>
            </w:r>
          </w:p>
        </w:tc>
        <w:tc>
          <w:tcPr>
            <w:tcW w:w="754" w:type="dxa"/>
            <w:tcBorders>
              <w:top w:val="single" w:color="000000" w:sz="4" w:space="0"/>
              <w:left w:val="single" w:color="000000" w:sz="4" w:space="0"/>
              <w:bottom w:val="single" w:color="000000" w:sz="4" w:space="0"/>
              <w:right w:val="single" w:color="000000" w:sz="4" w:space="0"/>
            </w:tcBorders>
            <w:vAlign w:val="center"/>
          </w:tcPr>
          <w:p w14:paraId="2123AB6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A70F2D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308FA01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8A150E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3.1.6.13.1.5</w:t>
            </w:r>
          </w:p>
        </w:tc>
        <w:tc>
          <w:tcPr>
            <w:tcW w:w="1035" w:type="dxa"/>
            <w:tcBorders>
              <w:top w:val="single" w:color="000000" w:sz="4" w:space="0"/>
              <w:left w:val="single" w:color="000000" w:sz="4" w:space="0"/>
              <w:bottom w:val="single" w:color="000000" w:sz="4" w:space="0"/>
              <w:right w:val="single" w:color="000000" w:sz="4" w:space="0"/>
            </w:tcBorders>
            <w:vAlign w:val="center"/>
          </w:tcPr>
          <w:p w14:paraId="00FFE6B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政务外网专线接入服务</w:t>
            </w:r>
          </w:p>
        </w:tc>
        <w:tc>
          <w:tcPr>
            <w:tcW w:w="6176" w:type="dxa"/>
            <w:tcBorders>
              <w:top w:val="single" w:color="000000" w:sz="4" w:space="0"/>
              <w:left w:val="single" w:color="000000" w:sz="4" w:space="0"/>
              <w:bottom w:val="single" w:color="000000" w:sz="4" w:space="0"/>
              <w:right w:val="nil"/>
            </w:tcBorders>
            <w:vAlign w:val="center"/>
          </w:tcPr>
          <w:p w14:paraId="1D3832FA">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提供3年100M带宽专线接入服务，包括但不限于以下服务: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1.提供安全专线: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2.智能专线(可弹性扩容):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3.网络维护服务: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4.全面通勤率达99.99%。</w:t>
            </w:r>
          </w:p>
        </w:tc>
        <w:tc>
          <w:tcPr>
            <w:tcW w:w="754" w:type="dxa"/>
            <w:tcBorders>
              <w:top w:val="single" w:color="000000" w:sz="4" w:space="0"/>
              <w:left w:val="single" w:color="000000" w:sz="4" w:space="0"/>
              <w:bottom w:val="single" w:color="000000" w:sz="4" w:space="0"/>
              <w:right w:val="single" w:color="000000" w:sz="4" w:space="0"/>
            </w:tcBorders>
            <w:vAlign w:val="center"/>
          </w:tcPr>
          <w:p w14:paraId="5A67B2D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F492ED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条</w:t>
            </w:r>
          </w:p>
        </w:tc>
      </w:tr>
      <w:tr w14:paraId="531899F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16CAF2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3.1.7</w:t>
            </w:r>
          </w:p>
        </w:tc>
        <w:tc>
          <w:tcPr>
            <w:tcW w:w="1035" w:type="dxa"/>
            <w:tcBorders>
              <w:top w:val="single" w:color="000000" w:sz="4" w:space="0"/>
              <w:left w:val="single" w:color="000000" w:sz="4" w:space="0"/>
              <w:bottom w:val="single" w:color="000000" w:sz="4" w:space="0"/>
              <w:right w:val="single" w:color="000000" w:sz="4" w:space="0"/>
            </w:tcBorders>
            <w:vAlign w:val="center"/>
          </w:tcPr>
          <w:p w14:paraId="16A9725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GIS地理信息平台</w:t>
            </w:r>
          </w:p>
        </w:tc>
        <w:tc>
          <w:tcPr>
            <w:tcW w:w="6176" w:type="dxa"/>
            <w:tcBorders>
              <w:top w:val="single" w:color="000000" w:sz="4" w:space="0"/>
              <w:left w:val="single" w:color="000000" w:sz="4" w:space="0"/>
              <w:bottom w:val="single" w:color="000000" w:sz="4" w:space="0"/>
              <w:right w:val="single" w:color="000000" w:sz="4" w:space="0"/>
            </w:tcBorders>
            <w:vAlign w:val="center"/>
          </w:tcPr>
          <w:p w14:paraId="6283F161">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GIS地理信息平台通过提供一个二三维一体化的GIS服务，实现对园区空间静态数据的采集、储存、管理、运算、分析、显示，并支持与位置服务系统集成，实现室内的人员定位与导航基本功能，供上层应用如IOC等应用集成，实现统一视图的可视化的园区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一、 三维地理信息平台可视化编辑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1、地图设计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（1）地图配图、符号与样式管理：通过多源数据融合规范制定，以及动态符号库开发，进行地图配图，实现对地图视觉元素的优化组合。具备符号与样式管理功能，确保地理要素表达的规范性与统一性。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（2）坐标系设置：支持坐标系设置，通过坐标系自动转换算法优化，满足不同空间定位需求。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（3）网络设置：网络设置，保障数据传输与交互的顺畅。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（4）部署包生成：创建部署包，便于地图项目的分发与部署。</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2、切片工具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（1）多源异构数据处理：分布式切片集群部署，进行多源异构数据处理,整合不同来源、格式的数据，通过多线程与多机器并行处理技术，大幅提升处理效率。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（2）矢量/影像编辑与发布：矢量与影像数据的编辑与发布，并通过影像压缩算法优化，满足多样化的数据处理与应用需求，兼容 tiff、IMG 等多种主流影像格式。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三维地理信息平台发布软件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1、服务及管理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（1）多源数据汇聚清洗：通过数据血缘追踪等数据整合与处理技术,高效汇聚、清洗不同格式与来源的数据，为用户稳定且精准地提供多源异构数据服务。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（2）服务发布与监控：服务健康度自动巡检模块，并助力用户挖掘数据价值，满足其在数据分析、决策支持等多场景下的多样化需求。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2、矢量数据管理与分析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（1）数据要素操作：便捷插入新要素，及时更新现有要素信息，精准删除冗余要素。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（2）空间检索、拓扑检查：通过时空索引优化与增量更新冲突解决机制提供高效检索服务，能依据多种条件快速定位目标地理要素，助力用户灵活操控矢量数据。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3、地理数据可视化与地图发布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（1）地图生成渲染：通过自适应渲染引擎等图形处理技术，将地理信息数据智能渲染成 JPEG、PNG 等通用格式的地图图像。生成图像要求色彩精准、细节丰富。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（2）多终端适配：地理数据可视化与地图发布适配网页端与桌面客户端展示需求，便于用户直观浏览、分析地理信息。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4、栅格数据分析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栅格数据查询\分析：针对栅格图层数据开展精准查询，无论是特定区域的属性信息，还是多图层数据间的关联，都能快速定位获取。通过GPU加速的栅格代数运算，进行地形分析、变化监测等运算，挖掘数据深层价值</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（2）高分辨率导出：导出分析后的图像，输出高分辨率成果，进行成果展示、存档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5、搜索定位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全文地址匹配：通过中文地址分词算法优化与模糊搜索容错机制，快速匹配目标地址。可依据坐标精准查找最近地址，支持点、线、面等多元地址形式。搜索时，可灵活设置空间范围和类型，筛选特定区域、特定类别的地址信息，实现高效精准定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（2）多数据库整合：支持将多个数据文件整合至同一数据库，便于统一管理。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三、 三维可视化平台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1、场景控制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（1）导航球：方便用户全方位观察场景,支持缩放控制，自由调整视角远近。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（2）底图切换：底图切换，自定义空间背景，适配不同需求。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（3）处理鼠标事件：精准拾取位置、坐标定位与选取对象。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（4）图层管理：场景文件定义、管理和编辑，对场景中的图层进行便捷管理。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定点巡查：定点巡查功能可借助配置文件，精准设定固定巡查位置与各点停留时间。配置完成后，系统能够自动在预设的巡查点间灵活转换视角，按序开展全方位巡查工作。该功能操作便捷且高效，能满足对特定区域进行规律性、系统性查看的需求，助力及时发现潜在问题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地下模式：地下模式通过提供巡查视角，实现地下空间可视化、地表透明化功能。可切换至地下模式，深入模拟地下空间状况进行查看。同时，t提供地表透明视角巡查，能穿透地表，直观呈现地下与地上空间的关联及地下设施布局，便于用户全面掌握空间信息，为地下空间管理、设施维护等工作提供清晰、便捷的可视化巡查手段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漫游浏览：漫游浏览功能支持通过鼠标与键盘进行灵活操控，用户可切换至第一人称视角，提供沉浸式三维模型自由穿梭交互功能。该功能通过碰撞检测算法优化，模拟真实的行进体验，提供高度的交互性和自主性，让使用者能全方位、近距离地查看模型细节，适用于虚拟场景探索、项目预览等多种场景，有效增强空间感知与操作体验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多源数据加载：多源数据加载功能，提供地图底图数据快速加载，构建基础地理框架；可加载三维模型与单体模型，呈现立体场景细节；同时兼容矢量数据加载，精准表达地理要素。能够整合不同来源与类型的数据，打破数据壁垒，为用户提供丰富且全面的数据资源，满足多样化的分析与展示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对象编辑：允许用户针对场景内的单一对象展开精细操作。通过这一功能，用户能够便捷地更改对象的各项属性参数，如尺寸、颜色、材质等，同时灵活修改其显示效果，包括透明度、光影表现等，助力打造高度定制化的场景，满足多样化设计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7、常规分析功能：常规分析功能全面覆盖各类 GIS 常用分析场景，通过地形遮挡率计算模型、太阳轨迹模拟引擎等，进行量算、通视分析、日照分析等。一方面，可精准执行距离、面积、高度、角度等量算任务，为数据量化提供可靠依据；另一方面，深度支持体积分析、通视分析、日照分析以及地形等高线分析等复杂分析操作，从不同维度挖掘地理信息价值，满足多样化空间分析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热力图分析：热力图分析功能，进行二维与三维热力图呈现。二维热力图通过色彩梯度，直观展示平面数据分布疏密，让数据在二维平面上的聚集离散态势一目了然；三维热力图则进一步拓展维度，融入空间高度，立体化呈现数据特征，助力用户从多视角洞悉数据背后规律，挖掘深层价值。</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9、视频融合：既支持加载本地视频文件，也能接入 HLS 协议的视频流，提供视频流与三维场景叠加服务。可依据需求，采用指定纹理投影或全局投影，无缝融入三维场景。不管是室内还是室外场景，都能完美实现视频融合。此外，还配备摄像头可视域查询功能，全方位满足对视频与场景融合的多元应用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特殊效果：系统集成特殊效果，提供气象模拟、粒子特效，营造沉浸式虚拟环境。其中，雨、雪、雾等环境特效，细腻模拟自然气象；白天、黑夜模式一键切换，贴合不同时段光影氛围。同时，爆炸、烟花、烟雾、火焰等粒子特效，凭借高仿真渲染技术，呈现动态视觉盛宴，助力打造逼真场景，满足多样化创作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11、Echart集成：本系统实现 Echart 深度集成，进行动态数据可视化。借助专业算法与交互设计，能精准绘制流入流出图，直观展示数据增减趋势；动态线图以灵动线条，实时追踪数据变化轨迹；散点图态势分析则从分布维度挖掘数据关联，多维度助力用户洞察数据规律，为决策提供直观、有力的数据支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四、 数据服务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1、电子地图：电子地图切片，包含房屋，绿地，水系，道路，兴趣点等数据发布。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2、影像瓦片：超分辨率重建后处理，0.8米卫星影像切片数据发布。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3、道路专题：拓扑一致性检查工具,道路矢量服务，包含路名，路宽，道路等级等信息数据发布。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4、兴趣点：多语言标签管理，兴趣点矢量数据发布服务。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5、门牌地址：蓝牌地址数据发布服务。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6、地面高程模型：1米格网的地面高程模型数据发布服务,空洞填充算法优化、坡度/坡向衍生计算。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五、 园区建模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1、园区三维场景建模,按照CAD图纸、进行3D场景模型建设（不包含建筑建模），一般包括：围墙、大门、道路、停车场、绿化、主要标牌等；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2、采集园区内影像信息；人工摄影补充围墙，大门等特征信息,进行模型特征补充。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重点建筑外立面建模 1、楼宇建筑可视化,对外墙进行人工建模；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2、按照片、CAD图纸制作建筑外立面基本凹凸效果及贴图。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3、对整栋建筑进行单体化处理。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六、 数据处理与集成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1、将相关模型信息、属性信息等相关数据进行整理关联。</w:t>
            </w:r>
          </w:p>
        </w:tc>
        <w:tc>
          <w:tcPr>
            <w:tcW w:w="754" w:type="dxa"/>
            <w:tcBorders>
              <w:top w:val="single" w:color="000000" w:sz="4" w:space="0"/>
              <w:left w:val="single" w:color="000000" w:sz="4" w:space="0"/>
              <w:bottom w:val="single" w:color="000000" w:sz="4" w:space="0"/>
              <w:right w:val="single" w:color="000000" w:sz="4" w:space="0"/>
            </w:tcBorders>
            <w:vAlign w:val="center"/>
          </w:tcPr>
          <w:p w14:paraId="56B2C74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E96D5A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4B8AE0E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43D095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w:t>
            </w:r>
          </w:p>
        </w:tc>
        <w:tc>
          <w:tcPr>
            <w:tcW w:w="1035" w:type="dxa"/>
            <w:tcBorders>
              <w:top w:val="single" w:color="000000" w:sz="4" w:space="0"/>
              <w:left w:val="single" w:color="000000" w:sz="4" w:space="0"/>
              <w:bottom w:val="single" w:color="000000" w:sz="4" w:space="0"/>
              <w:right w:val="single" w:color="000000" w:sz="4" w:space="0"/>
            </w:tcBorders>
            <w:vAlign w:val="center"/>
          </w:tcPr>
          <w:p w14:paraId="587D787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视频监控及智能分析平台</w:t>
            </w:r>
          </w:p>
        </w:tc>
        <w:tc>
          <w:tcPr>
            <w:tcW w:w="6176" w:type="dxa"/>
            <w:tcBorders>
              <w:top w:val="single" w:color="000000" w:sz="4" w:space="0"/>
              <w:left w:val="single" w:color="000000" w:sz="4" w:space="0"/>
              <w:bottom w:val="single" w:color="000000" w:sz="4" w:space="0"/>
              <w:right w:val="nil"/>
            </w:tcBorders>
            <w:vAlign w:val="center"/>
          </w:tcPr>
          <w:p w14:paraId="7DC82CFE">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273CF6C">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9D59BEA">
            <w:pPr>
              <w:jc w:val="center"/>
              <w:rPr>
                <w:rFonts w:ascii="宋体" w:hAnsi="宋体" w:cs="宋体"/>
                <w:color w:val="auto"/>
                <w:szCs w:val="22"/>
                <w:highlight w:val="none"/>
              </w:rPr>
            </w:pPr>
          </w:p>
        </w:tc>
      </w:tr>
      <w:tr w14:paraId="3A8E8E6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BDA255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3.1.8.1</w:t>
            </w:r>
          </w:p>
        </w:tc>
        <w:tc>
          <w:tcPr>
            <w:tcW w:w="1035" w:type="dxa"/>
            <w:tcBorders>
              <w:top w:val="single" w:color="000000" w:sz="4" w:space="0"/>
              <w:left w:val="single" w:color="000000" w:sz="4" w:space="0"/>
              <w:bottom w:val="single" w:color="000000" w:sz="4" w:space="0"/>
              <w:right w:val="single" w:color="000000" w:sz="4" w:space="0"/>
            </w:tcBorders>
            <w:vAlign w:val="center"/>
          </w:tcPr>
          <w:p w14:paraId="1396127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智能视频管理系统</w:t>
            </w:r>
          </w:p>
        </w:tc>
        <w:tc>
          <w:tcPr>
            <w:tcW w:w="6176" w:type="dxa"/>
            <w:tcBorders>
              <w:top w:val="single" w:color="000000" w:sz="4" w:space="0"/>
              <w:left w:val="single" w:color="000000" w:sz="4" w:space="0"/>
              <w:bottom w:val="single" w:color="000000" w:sz="4" w:space="0"/>
              <w:right w:val="nil"/>
            </w:tcBorders>
            <w:vAlign w:val="center"/>
          </w:tcPr>
          <w:p w14:paraId="5EC71E76">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5C60882C">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E656289">
            <w:pPr>
              <w:jc w:val="center"/>
              <w:rPr>
                <w:rFonts w:ascii="宋体" w:hAnsi="宋体" w:cs="宋体"/>
                <w:color w:val="auto"/>
                <w:szCs w:val="22"/>
                <w:highlight w:val="none"/>
              </w:rPr>
            </w:pPr>
          </w:p>
        </w:tc>
      </w:tr>
      <w:tr w14:paraId="46B6602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602133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3.1.8.1.1</w:t>
            </w:r>
          </w:p>
        </w:tc>
        <w:tc>
          <w:tcPr>
            <w:tcW w:w="1035" w:type="dxa"/>
            <w:tcBorders>
              <w:top w:val="single" w:color="000000" w:sz="4" w:space="0"/>
              <w:left w:val="single" w:color="000000" w:sz="4" w:space="0"/>
              <w:bottom w:val="single" w:color="000000" w:sz="4" w:space="0"/>
              <w:right w:val="single" w:color="000000" w:sz="4" w:space="0"/>
            </w:tcBorders>
            <w:vAlign w:val="center"/>
          </w:tcPr>
          <w:p w14:paraId="2D65A92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视频管理模块</w:t>
            </w:r>
          </w:p>
        </w:tc>
        <w:tc>
          <w:tcPr>
            <w:tcW w:w="6176" w:type="dxa"/>
            <w:tcBorders>
              <w:top w:val="single" w:color="000000" w:sz="4" w:space="0"/>
              <w:left w:val="single" w:color="000000" w:sz="4" w:space="0"/>
              <w:bottom w:val="single" w:color="000000" w:sz="4" w:space="0"/>
              <w:right w:val="single" w:color="000000" w:sz="4" w:space="0"/>
            </w:tcBorders>
            <w:vAlign w:val="center"/>
          </w:tcPr>
          <w:p w14:paraId="5FAD5EC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▲1.≥1000路摄像机视频接入授权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2.支持实时视频预览与关闭、主辅码流切换、语音对讲、抓图、本地录像等操作；支持界面多窗口布局切换、电子放大、全屏切换等操作；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3.支持视频通道分组，并支持自定义轮巡播放；支持1/4/9/16个窗口的轮巡计划；</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4.支持云台智能定位功能，通过鼠标在监控画面中某个位置的点选、框选的操作，使 PTZ 摄像机自动调整镜头角度和焦距进行居中放大；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5.支持流直存／本地存储/ IPSAN 方式 添加存储服务，存储的IP地址、路径可设置；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6.支持客户端1、4、6、8、9、13、16、25多分屏画面显示回放，可实现单帧回放、变速回放（1/16、1/8、1/4、1/2、1、2、4、8、16倍速）、回放暂停、关键帧倒放；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7.支持报警预案的增加、修改、删除、配置，包括：报警开始/结束时间、联动实时视频、联动录像、 联动上墙、联动邮件、联动地图、联动抓拍、联动声音等；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8.支持上级平台对下级平台进行云台控制、预置位增改、删除、调用，支持上级平台对下级平台进行录像检索、回放、下载；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9.支持缩放地图时点位自动聚合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10.多个下级平台同时级联到一个上级平台，上级平台对各个下级平台的级联服务组件间故障域隔离， 任何一个级联服务异常，不影响 其他下级平台的级联服务</w:t>
            </w:r>
          </w:p>
        </w:tc>
        <w:tc>
          <w:tcPr>
            <w:tcW w:w="754" w:type="dxa"/>
            <w:tcBorders>
              <w:top w:val="single" w:color="000000" w:sz="4" w:space="0"/>
              <w:left w:val="single" w:color="000000" w:sz="4" w:space="0"/>
              <w:bottom w:val="single" w:color="000000" w:sz="4" w:space="0"/>
              <w:right w:val="single" w:color="000000" w:sz="4" w:space="0"/>
            </w:tcBorders>
            <w:vAlign w:val="center"/>
          </w:tcPr>
          <w:p w14:paraId="06F47A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00767B9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724E09E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C9C721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3.1.8.1.2</w:t>
            </w:r>
          </w:p>
        </w:tc>
        <w:tc>
          <w:tcPr>
            <w:tcW w:w="1035" w:type="dxa"/>
            <w:tcBorders>
              <w:top w:val="single" w:color="000000" w:sz="4" w:space="0"/>
              <w:left w:val="single" w:color="000000" w:sz="4" w:space="0"/>
              <w:bottom w:val="single" w:color="000000" w:sz="4" w:space="0"/>
              <w:right w:val="single" w:color="000000" w:sz="4" w:space="0"/>
            </w:tcBorders>
            <w:vAlign w:val="center"/>
          </w:tcPr>
          <w:p w14:paraId="4A348F9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流媒体模块</w:t>
            </w:r>
          </w:p>
        </w:tc>
        <w:tc>
          <w:tcPr>
            <w:tcW w:w="6176" w:type="dxa"/>
            <w:tcBorders>
              <w:top w:val="single" w:color="000000" w:sz="4" w:space="0"/>
              <w:left w:val="single" w:color="000000" w:sz="4" w:space="0"/>
              <w:bottom w:val="single" w:color="000000" w:sz="4" w:space="0"/>
              <w:right w:val="nil"/>
            </w:tcBorders>
            <w:vAlign w:val="center"/>
          </w:tcPr>
          <w:p w14:paraId="42410C20">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1.流媒体转发服务，用于支持视频的复制分发，单个支持最大接入码流为1024Mbps，最大转发码流为1024Mbps，最大回放码流为1024Mbps。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2.支持流媒体负载均衡，可将视频分发任务动态均衡到空闲流媒体服务上。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3.支持流媒体转发微服务副本秒级创建，支持流媒体功能扩展。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4.支持H.264、H.265等多种编码格式视频转发。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5.支持多级多域平台视频流复制转发，支持实况、录像回放、上墙视频流转发。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6.支持视频流数据实时分发和录像转发能力，支持自集群动态扩容。</w:t>
            </w:r>
          </w:p>
        </w:tc>
        <w:tc>
          <w:tcPr>
            <w:tcW w:w="754" w:type="dxa"/>
            <w:tcBorders>
              <w:top w:val="single" w:color="000000" w:sz="4" w:space="0"/>
              <w:left w:val="single" w:color="000000" w:sz="4" w:space="0"/>
              <w:bottom w:val="single" w:color="000000" w:sz="4" w:space="0"/>
              <w:right w:val="single" w:color="000000" w:sz="4" w:space="0"/>
            </w:tcBorders>
            <w:vAlign w:val="center"/>
          </w:tcPr>
          <w:p w14:paraId="1E0E7CF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85C258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081D6FF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085259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3.1.8.1.3</w:t>
            </w:r>
          </w:p>
        </w:tc>
        <w:tc>
          <w:tcPr>
            <w:tcW w:w="1035" w:type="dxa"/>
            <w:tcBorders>
              <w:top w:val="single" w:color="000000" w:sz="4" w:space="0"/>
              <w:left w:val="single" w:color="000000" w:sz="4" w:space="0"/>
              <w:bottom w:val="single" w:color="000000" w:sz="4" w:space="0"/>
              <w:right w:val="single" w:color="000000" w:sz="4" w:space="0"/>
            </w:tcBorders>
            <w:vAlign w:val="center"/>
          </w:tcPr>
          <w:p w14:paraId="727B844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巡更管理模块</w:t>
            </w:r>
          </w:p>
        </w:tc>
        <w:tc>
          <w:tcPr>
            <w:tcW w:w="6176" w:type="dxa"/>
            <w:tcBorders>
              <w:top w:val="single" w:color="000000" w:sz="4" w:space="0"/>
              <w:left w:val="single" w:color="000000" w:sz="4" w:space="0"/>
              <w:bottom w:val="single" w:color="000000" w:sz="4" w:space="0"/>
              <w:right w:val="nil"/>
            </w:tcBorders>
            <w:vAlign w:val="center"/>
          </w:tcPr>
          <w:p w14:paraId="454D52A2">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巡更系统，通过将前端摄像机作为巡更点位，根据刷脸记录匹配巡更计划，系统记录巡更人员巡更的真实人脸信息，查看巡更人员的实时画面；如果在规定的时间内没有进行巡更，系统自动报警提示；系统通过报警服务对在线巡查系统设置报警联动预案，与巡查系统产生相应的联动措施，实现智能化管理。</w:t>
            </w:r>
          </w:p>
        </w:tc>
        <w:tc>
          <w:tcPr>
            <w:tcW w:w="754" w:type="dxa"/>
            <w:tcBorders>
              <w:top w:val="single" w:color="000000" w:sz="4" w:space="0"/>
              <w:left w:val="single" w:color="000000" w:sz="4" w:space="0"/>
              <w:bottom w:val="single" w:color="000000" w:sz="4" w:space="0"/>
              <w:right w:val="single" w:color="000000" w:sz="4" w:space="0"/>
            </w:tcBorders>
            <w:vAlign w:val="center"/>
          </w:tcPr>
          <w:p w14:paraId="2BE38E9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8BA421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320F466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919C186">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1DD64F3F">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030632D6">
            <w:pPr>
              <w:pStyle w:val="59"/>
              <w:spacing w:line="240" w:lineRule="auto"/>
              <w:jc w:val="left"/>
              <w:rPr>
                <w:color w:val="auto"/>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98ED13F">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855B7DD">
            <w:pPr>
              <w:widowControl/>
              <w:jc w:val="center"/>
              <w:textAlignment w:val="center"/>
              <w:rPr>
                <w:rFonts w:ascii="宋体" w:hAnsi="宋体" w:cs="宋体"/>
                <w:color w:val="auto"/>
                <w:szCs w:val="22"/>
                <w:highlight w:val="none"/>
              </w:rPr>
            </w:pPr>
          </w:p>
        </w:tc>
      </w:tr>
      <w:tr w14:paraId="153C7EA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7DE982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3.1.8.1.5</w:t>
            </w:r>
          </w:p>
        </w:tc>
        <w:tc>
          <w:tcPr>
            <w:tcW w:w="1035" w:type="dxa"/>
            <w:tcBorders>
              <w:top w:val="single" w:color="000000" w:sz="4" w:space="0"/>
              <w:left w:val="single" w:color="000000" w:sz="4" w:space="0"/>
              <w:bottom w:val="single" w:color="000000" w:sz="4" w:space="0"/>
              <w:right w:val="single" w:color="000000" w:sz="4" w:space="0"/>
            </w:tcBorders>
            <w:vAlign w:val="center"/>
          </w:tcPr>
          <w:p w14:paraId="747E07F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人数统计模块</w:t>
            </w:r>
          </w:p>
        </w:tc>
        <w:tc>
          <w:tcPr>
            <w:tcW w:w="6176" w:type="dxa"/>
            <w:tcBorders>
              <w:top w:val="single" w:color="000000" w:sz="4" w:space="0"/>
              <w:left w:val="single" w:color="000000" w:sz="4" w:space="0"/>
              <w:bottom w:val="single" w:color="000000" w:sz="4" w:space="0"/>
              <w:right w:val="nil"/>
            </w:tcBorders>
            <w:vAlign w:val="center"/>
          </w:tcPr>
          <w:p w14:paraId="1ABB5D1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支持展示在场人数、进入人数、离开人数，以及人员进出分布图、在场人数分布图；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支持人流实时展示，设备资源树异步加载，支持设备资源收藏功能，支持双击设备资源展示实时人数（实时人数展示只支持密度算法）与展示设备的趋势人数图，展示粒度为5分钟，默认数据刷新间隔为5分钟；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支持人流统计，支持选择时间范围、人流设备进行统计分析，支持按时间、地点统计，统计时间可按日、月、年。</w:t>
            </w:r>
          </w:p>
        </w:tc>
        <w:tc>
          <w:tcPr>
            <w:tcW w:w="754" w:type="dxa"/>
            <w:tcBorders>
              <w:top w:val="single" w:color="000000" w:sz="4" w:space="0"/>
              <w:left w:val="single" w:color="000000" w:sz="4" w:space="0"/>
              <w:bottom w:val="single" w:color="000000" w:sz="4" w:space="0"/>
              <w:right w:val="single" w:color="000000" w:sz="4" w:space="0"/>
            </w:tcBorders>
            <w:vAlign w:val="center"/>
          </w:tcPr>
          <w:p w14:paraId="2552127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B606B6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67D436F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D623E5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3.1.8.1.6</w:t>
            </w:r>
          </w:p>
        </w:tc>
        <w:tc>
          <w:tcPr>
            <w:tcW w:w="1035" w:type="dxa"/>
            <w:tcBorders>
              <w:top w:val="single" w:color="000000" w:sz="4" w:space="0"/>
              <w:left w:val="single" w:color="000000" w:sz="4" w:space="0"/>
              <w:bottom w:val="single" w:color="000000" w:sz="4" w:space="0"/>
              <w:right w:val="single" w:color="000000" w:sz="4" w:space="0"/>
            </w:tcBorders>
            <w:vAlign w:val="center"/>
          </w:tcPr>
          <w:p w14:paraId="3E59142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治安事件管控模块</w:t>
            </w:r>
          </w:p>
        </w:tc>
        <w:tc>
          <w:tcPr>
            <w:tcW w:w="6176" w:type="dxa"/>
            <w:tcBorders>
              <w:top w:val="single" w:color="000000" w:sz="4" w:space="0"/>
              <w:left w:val="single" w:color="000000" w:sz="4" w:space="0"/>
              <w:bottom w:val="single" w:color="000000" w:sz="4" w:space="0"/>
              <w:right w:val="nil"/>
            </w:tcBorders>
            <w:vAlign w:val="center"/>
          </w:tcPr>
          <w:p w14:paraId="51B36A8F">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1.通过获取到目标模糊的人员照片，通过人体搜索和特征搜索获取到更多人体/人脸照片，使用渐进式搜索，最终得到清晰的人脸照片，最终实现“找到人”的重要一步，以便于对其进行身份确认、布控和抓捕；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2.用户可在地图上进行资源添加、备注、分类查看、搜索等操作，在发生紧急情况时直观快速地定位到某个范围中的视频监控点位并查看其信息；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基于地图上的智能搜索模块，提供人脸、人体、背影、特征、机动车以及非机动车的有图或无图搜索功能，形成人脸人体个性化检索分析、背影寻脸、特征识人、人脸人体关联、机动车非机动车检索、对比分析的特色应用，提供全方位、立体化图片寻人方式，从而实现“找到人”的重要一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4.可在地图上直接选取录像设备或者上传本地视频文件快速建立解析任务，通过非实时视频的多倍速解析功能快速解析视频中的人脸人体特征，并为用户提供针对这些视频中的人脸人体对象搜索和查看；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5.用人脸对名单库进行人脸的搜索，确认人员的身份后，方便用户对目标进行布控、追踪等操作；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6.名单库管理对重点人员名单信息进行维护和管理，使用人脸布控应用按多维度对目标人员进行实时布控，用多级防控对园区内重点区域按等级进行布控，用实时/历史告警对布控目标的告警数据进行研判和查询；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7.实现对本地上传或监控设备采集的视频、图片进行解析，以获取视频、图片中的人脸、人体、车辆和非机动车的特征和结构化数据，为基于人像/车辆特征分析的大数据应用提供结构化和特征的数据支持；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8.支持将检索结果图片添加到轨迹列表，支持GIS地图和图片地图，支持根据组织切换底图，支持展示路网轨迹；</w:t>
            </w:r>
          </w:p>
          <w:p w14:paraId="67E1F0C2">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9.支持在地图上选择监控点播放实时视频及检索的回放视频，支持播放、暂停、按帧播放、 倍速播放等播放控制，支持音频开/关、截图搜 索、全屏播放等。</w:t>
            </w:r>
          </w:p>
          <w:p w14:paraId="564F3D08">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10.支持根据机动车特征搜索，包括：机车类型、车牌类型、机车颜色、车道、车牌号、车辆品牌、主遮阳板、副遮阳板、摆饰、纸巾盒、挂饰、黄标车、危化品车、渣土车、年检标志、主安全带、主驾打电话、主驾抽烟、副安全带；</w:t>
            </w:r>
          </w:p>
          <w:p w14:paraId="0A188456">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11.支持根据非机动车特征搜索，包括：载人、头盔、机车类型、非机动车颜色、雨蓬、雨衣、驾驶舱；</w:t>
            </w:r>
          </w:p>
          <w:p w14:paraId="22E32F67">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12.支持局部特征检索，支持手动截取目标局部特征，并选择目标类型进行以图搜图如人脸、人体、机动车、非机动车；</w:t>
            </w:r>
          </w:p>
          <w:p w14:paraId="4F719CE5">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13.支持背影寻人，支持本地上传人体侧面或背向图片或手动截取人体图片进行背影寻人；</w:t>
            </w:r>
          </w:p>
          <w:p w14:paraId="0CD87EB4">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14.支持按照设备点位、行政区域、分析任务和离线文件等方式选择检索范围，其中分析任务包括实时视频流、实时图片流、在线录像和离线文件等方式；</w:t>
            </w:r>
          </w:p>
          <w:p w14:paraId="25C9A374">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15.支持检索时间快捷选择或自定义任意时段，如近1天、近3天、近7天、近15天、近30天；</w:t>
            </w:r>
          </w:p>
          <w:p w14:paraId="67957D90">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16.支持查询指定日期内每日固定时间段的抓拍数据；支持选择冷数据检索任务进行检索；</w:t>
            </w:r>
          </w:p>
          <w:p w14:paraId="0D89DB3C">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17.支持在地图上通过框选、圈选、线选、多边形等方式选择设备或文件进行一键解析；</w:t>
            </w:r>
          </w:p>
          <w:p w14:paraId="0580A7DD">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18.支持关联检索，支持人脸关联人体检索、人体关联人脸、人体关联非机动车检索、非机动车关联人体检索。</w:t>
            </w:r>
          </w:p>
        </w:tc>
        <w:tc>
          <w:tcPr>
            <w:tcW w:w="754" w:type="dxa"/>
            <w:tcBorders>
              <w:top w:val="single" w:color="000000" w:sz="4" w:space="0"/>
              <w:left w:val="single" w:color="000000" w:sz="4" w:space="0"/>
              <w:bottom w:val="single" w:color="000000" w:sz="4" w:space="0"/>
              <w:right w:val="single" w:color="000000" w:sz="4" w:space="0"/>
            </w:tcBorders>
            <w:vAlign w:val="center"/>
          </w:tcPr>
          <w:p w14:paraId="3A5733F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1ABE47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62A9F10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D77466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3.1.8.2</w:t>
            </w:r>
          </w:p>
        </w:tc>
        <w:tc>
          <w:tcPr>
            <w:tcW w:w="1035" w:type="dxa"/>
            <w:tcBorders>
              <w:top w:val="single" w:color="000000" w:sz="4" w:space="0"/>
              <w:left w:val="single" w:color="000000" w:sz="4" w:space="0"/>
              <w:bottom w:val="single" w:color="000000" w:sz="4" w:space="0"/>
              <w:right w:val="single" w:color="000000" w:sz="4" w:space="0"/>
            </w:tcBorders>
            <w:vAlign w:val="center"/>
          </w:tcPr>
          <w:p w14:paraId="18009C8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AI智能分析系统</w:t>
            </w:r>
          </w:p>
        </w:tc>
        <w:tc>
          <w:tcPr>
            <w:tcW w:w="6176" w:type="dxa"/>
            <w:tcBorders>
              <w:top w:val="single" w:color="000000" w:sz="4" w:space="0"/>
              <w:left w:val="single" w:color="000000" w:sz="4" w:space="0"/>
              <w:bottom w:val="single" w:color="000000" w:sz="4" w:space="0"/>
              <w:right w:val="nil"/>
            </w:tcBorders>
            <w:vAlign w:val="center"/>
          </w:tcPr>
          <w:p w14:paraId="3E19087C">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7CC659E6">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8014B4F">
            <w:pPr>
              <w:jc w:val="center"/>
              <w:rPr>
                <w:rFonts w:ascii="宋体" w:hAnsi="宋体" w:cs="宋体"/>
                <w:color w:val="auto"/>
                <w:szCs w:val="22"/>
                <w:highlight w:val="none"/>
              </w:rPr>
            </w:pPr>
          </w:p>
        </w:tc>
      </w:tr>
      <w:tr w14:paraId="40E4F3B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9803EC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3.1.8.2.1</w:t>
            </w:r>
          </w:p>
        </w:tc>
        <w:tc>
          <w:tcPr>
            <w:tcW w:w="1035" w:type="dxa"/>
            <w:tcBorders>
              <w:top w:val="single" w:color="000000" w:sz="4" w:space="0"/>
              <w:left w:val="single" w:color="000000" w:sz="4" w:space="0"/>
              <w:bottom w:val="single" w:color="000000" w:sz="4" w:space="0"/>
              <w:right w:val="single" w:color="000000" w:sz="4" w:space="0"/>
            </w:tcBorders>
            <w:vAlign w:val="center"/>
          </w:tcPr>
          <w:p w14:paraId="14FE890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人员行为分析算法模块</w:t>
            </w:r>
          </w:p>
        </w:tc>
        <w:tc>
          <w:tcPr>
            <w:tcW w:w="6176" w:type="dxa"/>
            <w:tcBorders>
              <w:top w:val="single" w:color="000000" w:sz="4" w:space="0"/>
              <w:left w:val="single" w:color="000000" w:sz="4" w:space="0"/>
              <w:bottom w:val="single" w:color="000000" w:sz="4" w:space="0"/>
              <w:right w:val="nil"/>
            </w:tcBorders>
            <w:vAlign w:val="center"/>
          </w:tcPr>
          <w:p w14:paraId="5EAE1106">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1.具有视频流实时分析，按需加载算法包各种行为分析算法。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支持多算法分析，根据不同的场景需求选择不同的一种或者多种算法；</w:t>
            </w:r>
          </w:p>
          <w:p w14:paraId="50CFAC1A">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3. 支持算法资源管理，包括根据需求进行硬件计算资源预分配；</w:t>
            </w:r>
          </w:p>
          <w:p w14:paraId="0FFB8FE2">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4. 支持一个算法包中多算法融合，可同时运行多种智能解析算法；解析资源可按需要、按时间分配调用，实现解析资源的有效利用；</w:t>
            </w:r>
          </w:p>
          <w:p w14:paraId="43775F6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5.人员行为分析算法包含以下算法：徘徊检测、剧烈运动（打架斗殴）、人员倒地、攀高检测、区域入侵（时段）、区域入侵（时刻）、拌线入侵（单向、双向）、人群聚集、快速移动（奔跑）、区域离开。</w:t>
            </w:r>
          </w:p>
        </w:tc>
        <w:tc>
          <w:tcPr>
            <w:tcW w:w="754" w:type="dxa"/>
            <w:tcBorders>
              <w:top w:val="single" w:color="000000" w:sz="4" w:space="0"/>
              <w:left w:val="single" w:color="000000" w:sz="4" w:space="0"/>
              <w:bottom w:val="single" w:color="000000" w:sz="4" w:space="0"/>
              <w:right w:val="single" w:color="000000" w:sz="4" w:space="0"/>
            </w:tcBorders>
            <w:vAlign w:val="center"/>
          </w:tcPr>
          <w:p w14:paraId="41C9A96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35F7E29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路</w:t>
            </w:r>
          </w:p>
        </w:tc>
      </w:tr>
      <w:tr w14:paraId="5DDBF84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33E783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3.1.8.2.2</w:t>
            </w:r>
          </w:p>
        </w:tc>
        <w:tc>
          <w:tcPr>
            <w:tcW w:w="1035" w:type="dxa"/>
            <w:tcBorders>
              <w:top w:val="single" w:color="000000" w:sz="4" w:space="0"/>
              <w:left w:val="single" w:color="000000" w:sz="4" w:space="0"/>
              <w:bottom w:val="single" w:color="000000" w:sz="4" w:space="0"/>
              <w:right w:val="single" w:color="000000" w:sz="4" w:space="0"/>
            </w:tcBorders>
            <w:vAlign w:val="center"/>
          </w:tcPr>
          <w:p w14:paraId="45ECED7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混行行为分析算法模块</w:t>
            </w:r>
          </w:p>
        </w:tc>
        <w:tc>
          <w:tcPr>
            <w:tcW w:w="6176" w:type="dxa"/>
            <w:tcBorders>
              <w:top w:val="single" w:color="000000" w:sz="4" w:space="0"/>
              <w:left w:val="single" w:color="000000" w:sz="4" w:space="0"/>
              <w:bottom w:val="single" w:color="000000" w:sz="4" w:space="0"/>
              <w:right w:val="nil"/>
            </w:tcBorders>
            <w:vAlign w:val="center"/>
          </w:tcPr>
          <w:p w14:paraId="2D0C8072">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1.具有视频流实时分析，按需加载算法包各种行为分析算法。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支持多算法分析，根据不同的场景需求选择不同的一种或者多种算法；</w:t>
            </w:r>
          </w:p>
          <w:p w14:paraId="306E3687">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3. 支持算法资源管理，包括根据需求进行硬件计算资源预分配；</w:t>
            </w:r>
          </w:p>
          <w:p w14:paraId="06CE0BE5">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4. 支持一个算法包中多算法融合，可同时运行多种智能解析算法；解析资源可按需要、按时间分配调用，实现解析资源的有效利用；</w:t>
            </w:r>
          </w:p>
          <w:p w14:paraId="39084AE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 混行行为分析算法包包含以下算法：进出人数统计、火焰识别、区域内人数统计、睡岗检测、玩手机、吸烟、离岗检测、未统一着装、违停检测、物品遗留、物品拿取、安全帽检测等检测。</w:t>
            </w:r>
          </w:p>
        </w:tc>
        <w:tc>
          <w:tcPr>
            <w:tcW w:w="754" w:type="dxa"/>
            <w:tcBorders>
              <w:top w:val="single" w:color="000000" w:sz="4" w:space="0"/>
              <w:left w:val="single" w:color="000000" w:sz="4" w:space="0"/>
              <w:bottom w:val="single" w:color="000000" w:sz="4" w:space="0"/>
              <w:right w:val="single" w:color="000000" w:sz="4" w:space="0"/>
            </w:tcBorders>
            <w:vAlign w:val="center"/>
          </w:tcPr>
          <w:p w14:paraId="5AFB6D8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25A6B05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路</w:t>
            </w:r>
          </w:p>
        </w:tc>
      </w:tr>
      <w:tr w14:paraId="0017CC0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203C91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3.1.8.2.3</w:t>
            </w:r>
          </w:p>
        </w:tc>
        <w:tc>
          <w:tcPr>
            <w:tcW w:w="1035" w:type="dxa"/>
            <w:tcBorders>
              <w:top w:val="single" w:color="000000" w:sz="4" w:space="0"/>
              <w:left w:val="single" w:color="000000" w:sz="4" w:space="0"/>
              <w:bottom w:val="single" w:color="000000" w:sz="4" w:space="0"/>
              <w:right w:val="single" w:color="000000" w:sz="4" w:space="0"/>
            </w:tcBorders>
            <w:vAlign w:val="center"/>
          </w:tcPr>
          <w:p w14:paraId="696C64C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全目标分析算法模块</w:t>
            </w:r>
          </w:p>
        </w:tc>
        <w:tc>
          <w:tcPr>
            <w:tcW w:w="6176" w:type="dxa"/>
            <w:tcBorders>
              <w:top w:val="single" w:color="000000" w:sz="4" w:space="0"/>
              <w:left w:val="single" w:color="000000" w:sz="4" w:space="0"/>
              <w:bottom w:val="single" w:color="000000" w:sz="4" w:space="0"/>
              <w:right w:val="nil"/>
            </w:tcBorders>
            <w:vAlign w:val="center"/>
          </w:tcPr>
          <w:p w14:paraId="5EC4FDD0">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支持一图一脸和一图多脸的人脸检测和识别；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支持识别人员年龄段、性别、民族、是否戴口罩、是否戴眼镜、是否戴帽子等特征识别；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支持多种角度的人脸检测，包括：正脸、侧脸、部分遮挡(双脸部遮挡)、光线过暗、曝光过度；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支持多种场景的人脸检测和特征提取，包括：证件照、面部照、上半身照、摄像头抓拍照、全身照；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识别行人性别、年龄段、头发长度、是否戴帽子、是否戴口罩、包款式、上衣长度、裤子长度、上衣颜色、裤子颜色、人体朝向、是否有手拎物、下衣款式、鞋子亮暗、是否穿靴子、行人上衣纹理、是否打伞、是否抱小孩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支持识别非机动车种类、是否载人、戴帽分类等；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支持识别机动车，有无车牌、车牌颜色、车牌号、号牌识别可信度、号牌种类、车身颜色、车辆类型、车辆品牌、车辆型号、车辆年款、品牌标志识别可信度、打电话状态、安全带状态、遮阳板状态等。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具有视频流实时分析能力，对视频流内人脸、人体、机动车、非机动车实时目标识别分析。</w:t>
            </w:r>
          </w:p>
        </w:tc>
        <w:tc>
          <w:tcPr>
            <w:tcW w:w="754" w:type="dxa"/>
            <w:tcBorders>
              <w:top w:val="single" w:color="000000" w:sz="4" w:space="0"/>
              <w:left w:val="single" w:color="000000" w:sz="4" w:space="0"/>
              <w:bottom w:val="single" w:color="000000" w:sz="4" w:space="0"/>
              <w:right w:val="single" w:color="000000" w:sz="4" w:space="0"/>
            </w:tcBorders>
            <w:vAlign w:val="center"/>
          </w:tcPr>
          <w:p w14:paraId="06E92CF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676F386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路</w:t>
            </w:r>
          </w:p>
        </w:tc>
      </w:tr>
      <w:tr w14:paraId="5872BAC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367E36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3.1.8.2.4</w:t>
            </w:r>
          </w:p>
        </w:tc>
        <w:tc>
          <w:tcPr>
            <w:tcW w:w="1035" w:type="dxa"/>
            <w:tcBorders>
              <w:top w:val="single" w:color="000000" w:sz="4" w:space="0"/>
              <w:left w:val="single" w:color="000000" w:sz="4" w:space="0"/>
              <w:bottom w:val="single" w:color="000000" w:sz="4" w:space="0"/>
              <w:right w:val="single" w:color="000000" w:sz="4" w:space="0"/>
            </w:tcBorders>
            <w:vAlign w:val="center"/>
          </w:tcPr>
          <w:p w14:paraId="53FEC9F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算法仓库管理模块</w:t>
            </w:r>
          </w:p>
        </w:tc>
        <w:tc>
          <w:tcPr>
            <w:tcW w:w="6176" w:type="dxa"/>
            <w:tcBorders>
              <w:top w:val="single" w:color="000000" w:sz="4" w:space="0"/>
              <w:left w:val="single" w:color="000000" w:sz="4" w:space="0"/>
              <w:bottom w:val="single" w:color="000000" w:sz="4" w:space="0"/>
              <w:right w:val="nil"/>
            </w:tcBorders>
            <w:vAlign w:val="center"/>
          </w:tcPr>
          <w:p w14:paraId="05D7C70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1.支持算法和平台解耦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2.支持多算法分析，根据不同的场景需求选择不同的一种或者多种算法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3.支持算法资源管理，包括根据需求进行硬件计算资源预分配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4.支持算法资源动态监控显示，支持通过界面展示查看每种算法已使用/预分配的资源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5.支持通过授权的形式去调用算法仓库中的不同的算法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6.支持通过界面展示查看算法仓库支持的算法列表，列表展示内容包括算法名称、分析类型、算法厂商、芯片平台、算法版本和详细信息。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7.支持一个算法包中多算法融合，可同时运行多种智能解析算法；解析资源可按需要、按时间分配调用，实现解析资源的有效利用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8.支持算法的实时图片流解析、 实时视频流解析、在线录像解析、离线视频解析，以及对行为分析的解析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9.支持对实时流的快速解析和对非实时流的多倍速解析</w:t>
            </w:r>
          </w:p>
        </w:tc>
        <w:tc>
          <w:tcPr>
            <w:tcW w:w="754" w:type="dxa"/>
            <w:tcBorders>
              <w:top w:val="single" w:color="000000" w:sz="4" w:space="0"/>
              <w:left w:val="single" w:color="000000" w:sz="4" w:space="0"/>
              <w:bottom w:val="single" w:color="000000" w:sz="4" w:space="0"/>
              <w:right w:val="single" w:color="000000" w:sz="4" w:space="0"/>
            </w:tcBorders>
            <w:vAlign w:val="center"/>
          </w:tcPr>
          <w:p w14:paraId="10440DF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4FA824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6126B1C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66DE48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3.1.8.2.5</w:t>
            </w:r>
          </w:p>
        </w:tc>
        <w:tc>
          <w:tcPr>
            <w:tcW w:w="1035" w:type="dxa"/>
            <w:tcBorders>
              <w:top w:val="single" w:color="000000" w:sz="4" w:space="0"/>
              <w:left w:val="single" w:color="000000" w:sz="4" w:space="0"/>
              <w:bottom w:val="single" w:color="000000" w:sz="4" w:space="0"/>
              <w:right w:val="single" w:color="000000" w:sz="4" w:space="0"/>
            </w:tcBorders>
            <w:vAlign w:val="center"/>
          </w:tcPr>
          <w:p w14:paraId="664EB34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视图分析模块</w:t>
            </w:r>
          </w:p>
        </w:tc>
        <w:tc>
          <w:tcPr>
            <w:tcW w:w="6176" w:type="dxa"/>
            <w:tcBorders>
              <w:top w:val="single" w:color="000000" w:sz="4" w:space="0"/>
              <w:left w:val="single" w:color="000000" w:sz="4" w:space="0"/>
              <w:bottom w:val="single" w:color="000000" w:sz="4" w:space="0"/>
              <w:right w:val="nil"/>
            </w:tcBorders>
            <w:vAlign w:val="center"/>
          </w:tcPr>
          <w:p w14:paraId="3561E7B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1.支持图片流、视频流实时分析，支持部分场景的实时布控；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2.支持人、机动车、非机动车分离，并识别对应属性和特征；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3.提供静态人脸特征提取服务，实现静态以图搜图时目标人脸图片的特征提取；</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4.支持根据不同的场景，自行决定采用一种算法或多种算法进行解析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5.具备任务管理功能，支持解析任务的创建、删除、导出、查询；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6.具备混合分析功能，支持单节点中智能解析业务同时运行；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7.具备业务调度功能，支持业务节点和显卡配比自主配置；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视频截图搜索，支持对抓拍的人脸图片、人体图片、背影图片进行框选以图搜图，支持本地上传人体侧面或背向图片进行背影寻脸，也可加入检索条件，包括时间、设备、上身颜色、下身颜色、是否戴帽子、是否背包等进行以图搜图，可检索出与侧面或背影相似关联的人脸图片，并可查看详情。</w:t>
            </w:r>
          </w:p>
        </w:tc>
        <w:tc>
          <w:tcPr>
            <w:tcW w:w="754" w:type="dxa"/>
            <w:tcBorders>
              <w:top w:val="single" w:color="000000" w:sz="4" w:space="0"/>
              <w:left w:val="single" w:color="000000" w:sz="4" w:space="0"/>
              <w:bottom w:val="single" w:color="000000" w:sz="4" w:space="0"/>
              <w:right w:val="single" w:color="000000" w:sz="4" w:space="0"/>
            </w:tcBorders>
            <w:vAlign w:val="center"/>
          </w:tcPr>
          <w:p w14:paraId="0EFA098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E21192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01544E8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85F4EC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3.1.8.2.6</w:t>
            </w:r>
          </w:p>
        </w:tc>
        <w:tc>
          <w:tcPr>
            <w:tcW w:w="1035" w:type="dxa"/>
            <w:tcBorders>
              <w:top w:val="single" w:color="000000" w:sz="4" w:space="0"/>
              <w:left w:val="single" w:color="000000" w:sz="4" w:space="0"/>
              <w:bottom w:val="single" w:color="000000" w:sz="4" w:space="0"/>
              <w:right w:val="single" w:color="000000" w:sz="4" w:space="0"/>
            </w:tcBorders>
            <w:vAlign w:val="center"/>
          </w:tcPr>
          <w:p w14:paraId="7E4F04C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视图库模块</w:t>
            </w:r>
          </w:p>
        </w:tc>
        <w:tc>
          <w:tcPr>
            <w:tcW w:w="6176" w:type="dxa"/>
            <w:tcBorders>
              <w:top w:val="single" w:color="000000" w:sz="4" w:space="0"/>
              <w:left w:val="single" w:color="000000" w:sz="4" w:space="0"/>
              <w:bottom w:val="single" w:color="000000" w:sz="4" w:space="0"/>
              <w:right w:val="nil"/>
            </w:tcBorders>
            <w:vAlign w:val="center"/>
          </w:tcPr>
          <w:p w14:paraId="17D132A3">
            <w:pPr>
              <w:widowControl/>
              <w:numPr>
                <w:ilvl w:val="0"/>
                <w:numId w:val="5"/>
              </w:numPr>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视图库软件，支持结构化信息数据接入、存储及检索应用；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依据视图库标准GA/T 1400开发，基于标准接口实现视图数据的接入、存储、数据服务和级联，实现海量视图结构化数据的读取、共享和管理；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支持各类结构化、特征数据留存期设置（以天为单位）；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支持将数据级联推送到目的视图库或实现了视图库协议的系统，数据级联推送丢失率小于0.001%</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支持静态人像库和黑名单布控，针对人脸布控，可支持256个名单库，单个名单库人脸数量支持不低于30万；</w:t>
            </w:r>
          </w:p>
          <w:p w14:paraId="4818F0D9">
            <w:pPr>
              <w:pStyle w:val="59"/>
              <w:spacing w:line="240" w:lineRule="auto"/>
              <w:jc w:val="both"/>
              <w:rPr>
                <w:rFonts w:ascii="宋体" w:hAnsi="宋体" w:eastAsia="宋体" w:cs="宋体"/>
                <w:b w:val="0"/>
                <w:color w:val="auto"/>
                <w:kern w:val="0"/>
                <w:szCs w:val="22"/>
                <w:highlight w:val="none"/>
                <w:lang w:bidi="ar"/>
              </w:rPr>
            </w:pPr>
            <w:r>
              <w:rPr>
                <w:rFonts w:hint="eastAsia" w:ascii="宋体" w:hAnsi="宋体" w:eastAsia="宋体" w:cs="宋体"/>
                <w:b w:val="0"/>
                <w:color w:val="auto"/>
                <w:kern w:val="0"/>
                <w:szCs w:val="22"/>
                <w:highlight w:val="none"/>
                <w:lang w:bidi="ar"/>
              </w:rPr>
              <w:t>6.支持增加节点或pod扩展，增加冷热数据容量，扩容时级联业务不中断。</w:t>
            </w:r>
          </w:p>
          <w:p w14:paraId="49DA7F27">
            <w:pPr>
              <w:pStyle w:val="59"/>
              <w:spacing w:line="240" w:lineRule="auto"/>
              <w:jc w:val="both"/>
              <w:rPr>
                <w:rFonts w:ascii="宋体" w:hAnsi="宋体" w:eastAsia="宋体" w:cs="宋体"/>
                <w:b w:val="0"/>
                <w:color w:val="auto"/>
                <w:kern w:val="0"/>
                <w:szCs w:val="22"/>
                <w:highlight w:val="none"/>
                <w:lang w:bidi="ar"/>
              </w:rPr>
            </w:pPr>
            <w:r>
              <w:rPr>
                <w:rFonts w:hint="eastAsia" w:ascii="宋体" w:hAnsi="宋体" w:eastAsia="宋体" w:cs="宋体"/>
                <w:b w:val="0"/>
                <w:color w:val="auto"/>
                <w:kern w:val="0"/>
                <w:szCs w:val="22"/>
                <w:highlight w:val="none"/>
                <w:lang w:bidi="ar"/>
              </w:rPr>
              <w:t>7.支持自定义划分热、冷数据及结构化数据的留存期。</w:t>
            </w:r>
          </w:p>
          <w:p w14:paraId="62A4425F">
            <w:pPr>
              <w:pStyle w:val="59"/>
              <w:spacing w:line="240" w:lineRule="auto"/>
              <w:jc w:val="both"/>
              <w:rPr>
                <w:rFonts w:ascii="宋体" w:hAnsi="宋体" w:eastAsia="宋体" w:cs="宋体"/>
                <w:b w:val="0"/>
                <w:color w:val="auto"/>
                <w:kern w:val="0"/>
                <w:szCs w:val="22"/>
                <w:highlight w:val="none"/>
                <w:lang w:bidi="ar"/>
              </w:rPr>
            </w:pPr>
            <w:r>
              <w:rPr>
                <w:rFonts w:hint="eastAsia" w:ascii="宋体" w:hAnsi="宋体" w:eastAsia="宋体" w:cs="宋体"/>
                <w:b w:val="0"/>
                <w:color w:val="auto"/>
                <w:kern w:val="0"/>
                <w:szCs w:val="22"/>
                <w:highlight w:val="none"/>
                <w:lang w:bidi="ar"/>
              </w:rPr>
              <w:t>8.支持以图搜图功能，搜图结果按相似度排序；支持搜图结果轨迹查看。</w:t>
            </w:r>
          </w:p>
          <w:p w14:paraId="69DEF679">
            <w:pPr>
              <w:pStyle w:val="59"/>
              <w:spacing w:line="240" w:lineRule="auto"/>
              <w:jc w:val="both"/>
              <w:rPr>
                <w:color w:val="auto"/>
                <w:highlight w:val="none"/>
              </w:rPr>
            </w:pPr>
            <w:r>
              <w:rPr>
                <w:rFonts w:hint="eastAsia" w:ascii="宋体" w:hAnsi="宋体" w:eastAsia="宋体" w:cs="宋体"/>
                <w:b w:val="0"/>
                <w:color w:val="auto"/>
                <w:kern w:val="0"/>
                <w:szCs w:val="22"/>
                <w:highlight w:val="none"/>
                <w:lang w:bidi="ar"/>
              </w:rPr>
              <w:t>9.支持单节点8亿数据规模下，20用户并发以图搜图，检索时间小于3秒。</w:t>
            </w:r>
          </w:p>
        </w:tc>
        <w:tc>
          <w:tcPr>
            <w:tcW w:w="754" w:type="dxa"/>
            <w:tcBorders>
              <w:top w:val="single" w:color="000000" w:sz="4" w:space="0"/>
              <w:left w:val="single" w:color="000000" w:sz="4" w:space="0"/>
              <w:bottom w:val="single" w:color="000000" w:sz="4" w:space="0"/>
              <w:right w:val="single" w:color="000000" w:sz="4" w:space="0"/>
            </w:tcBorders>
            <w:vAlign w:val="center"/>
          </w:tcPr>
          <w:p w14:paraId="6F6FBB1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EE72DF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2379475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CD7BC1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w:t>
            </w:r>
          </w:p>
        </w:tc>
        <w:tc>
          <w:tcPr>
            <w:tcW w:w="1035" w:type="dxa"/>
            <w:tcBorders>
              <w:top w:val="single" w:color="000000" w:sz="4" w:space="0"/>
              <w:left w:val="single" w:color="000000" w:sz="4" w:space="0"/>
              <w:bottom w:val="single" w:color="000000" w:sz="4" w:space="0"/>
              <w:right w:val="single" w:color="000000" w:sz="4" w:space="0"/>
            </w:tcBorders>
            <w:vAlign w:val="center"/>
          </w:tcPr>
          <w:p w14:paraId="27A3D87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融合通信系统</w:t>
            </w:r>
          </w:p>
        </w:tc>
        <w:tc>
          <w:tcPr>
            <w:tcW w:w="6176" w:type="dxa"/>
            <w:tcBorders>
              <w:top w:val="single" w:color="000000" w:sz="4" w:space="0"/>
              <w:left w:val="single" w:color="000000" w:sz="4" w:space="0"/>
              <w:bottom w:val="single" w:color="000000" w:sz="4" w:space="0"/>
              <w:right w:val="nil"/>
            </w:tcBorders>
            <w:vAlign w:val="center"/>
          </w:tcPr>
          <w:p w14:paraId="2385063D">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5E8BB1E4">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795E551">
            <w:pPr>
              <w:jc w:val="center"/>
              <w:rPr>
                <w:rFonts w:ascii="宋体" w:hAnsi="宋体" w:cs="宋体"/>
                <w:color w:val="auto"/>
                <w:szCs w:val="22"/>
                <w:highlight w:val="none"/>
              </w:rPr>
            </w:pPr>
          </w:p>
        </w:tc>
      </w:tr>
      <w:tr w14:paraId="4D679CF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D9B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1B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调度台</w:t>
            </w:r>
          </w:p>
        </w:tc>
        <w:tc>
          <w:tcPr>
            <w:tcW w:w="6176" w:type="dxa"/>
            <w:tcBorders>
              <w:top w:val="single" w:color="000000" w:sz="4" w:space="0"/>
              <w:left w:val="single" w:color="000000" w:sz="4" w:space="0"/>
              <w:bottom w:val="single" w:color="000000" w:sz="4" w:space="0"/>
              <w:right w:val="nil"/>
            </w:tcBorders>
            <w:shd w:val="clear" w:color="auto" w:fill="FFFF00"/>
            <w:vAlign w:val="center"/>
          </w:tcPr>
          <w:p w14:paraId="0F8A9FFA">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1.调度台主机性能：核心处理器：四核，内存：16G DDR4； 硬盘：240GSSD可支持1TSATA硬盘扩展；配置23.8英寸液晶操作台；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2.调度台内置BS客户端授权，配合调度服务端使用，配置对应服务后实现语音调度、视频调度、语音会议、会商调度、GIS调度、即时消息、短信调度、传真调度、录音录像等通信调度业务功能；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3.可基于通讯录查看各部门成员基本信息包括名称、部门、职务、电话等信息；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4.可建立调度快捷组,对快捷组进行删除、增加；可对通讯录或者快捷组的成员进行呼叫、监听、强插、强拆、转接等语音调度操作。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5.配置视频服务后，最大支持16路1080视频解码能力。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6.调度台配置双手柄：采用嵌入式手柄实现语音的输入、输出；包括一键通话、通讯录查看、快捷组会、监控查看等功能。</w:t>
            </w:r>
          </w:p>
        </w:tc>
        <w:tc>
          <w:tcPr>
            <w:tcW w:w="754" w:type="dxa"/>
            <w:tcBorders>
              <w:top w:val="single" w:color="000000" w:sz="4" w:space="0"/>
              <w:left w:val="single" w:color="000000" w:sz="4" w:space="0"/>
              <w:bottom w:val="single" w:color="000000" w:sz="4" w:space="0"/>
              <w:right w:val="single" w:color="000000" w:sz="4" w:space="0"/>
            </w:tcBorders>
            <w:vAlign w:val="center"/>
          </w:tcPr>
          <w:p w14:paraId="0515017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A6FA38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374EB87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D2D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F03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多媒体调度台软件</w:t>
            </w:r>
          </w:p>
        </w:tc>
        <w:tc>
          <w:tcPr>
            <w:tcW w:w="6176" w:type="dxa"/>
            <w:tcBorders>
              <w:top w:val="single" w:color="000000" w:sz="4" w:space="0"/>
              <w:left w:val="single" w:color="000000" w:sz="4" w:space="0"/>
              <w:bottom w:val="single" w:color="000000" w:sz="4" w:space="0"/>
              <w:right w:val="nil"/>
            </w:tcBorders>
            <w:shd w:val="clear" w:color="auto" w:fill="FFFF00"/>
            <w:vAlign w:val="center"/>
          </w:tcPr>
          <w:p w14:paraId="22E91C0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支持g.711/adpcm录音文件格式，支持对系统内发起的语音通话、多方语音会议进行录音，支持WEB方式查询录音记录，可根据主叫号码/被叫号码/日期等信息进行录音查询，并可对录音记录进行播放、下载等管理操作；录音方式：支持手动录音、自动录音。</w:t>
            </w:r>
          </w:p>
        </w:tc>
        <w:tc>
          <w:tcPr>
            <w:tcW w:w="754" w:type="dxa"/>
            <w:tcBorders>
              <w:top w:val="single" w:color="000000" w:sz="4" w:space="0"/>
              <w:left w:val="single" w:color="000000" w:sz="4" w:space="0"/>
              <w:bottom w:val="single" w:color="000000" w:sz="4" w:space="0"/>
              <w:right w:val="single" w:color="000000" w:sz="4" w:space="0"/>
            </w:tcBorders>
            <w:vAlign w:val="center"/>
          </w:tcPr>
          <w:p w14:paraId="3C0F51A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665533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29F52B7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C51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BDC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桌面指挥调度终端</w:t>
            </w:r>
          </w:p>
        </w:tc>
        <w:tc>
          <w:tcPr>
            <w:tcW w:w="6176" w:type="dxa"/>
            <w:tcBorders>
              <w:top w:val="single" w:color="000000" w:sz="4" w:space="0"/>
              <w:left w:val="single" w:color="000000" w:sz="4" w:space="0"/>
              <w:bottom w:val="single" w:color="000000" w:sz="4" w:space="0"/>
              <w:right w:val="nil"/>
            </w:tcBorders>
            <w:shd w:val="clear" w:color="auto" w:fill="FFFF00"/>
            <w:vAlign w:val="center"/>
          </w:tcPr>
          <w:p w14:paraId="74FD888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便捷控制操作台，含桌面指挥终端APP。11.6英寸显示屏，1280x800像素；500万像素高清摄像头；具备嵌入式手柄；提供SIP+PSTN双模通话功能；可实现点对点视频通话、语音通话；配合调度主机、视频服务器、视频监控接入管理服务器等设备使用，实现融合通讯、16方会议召开、视频监控查看等功能；支持通过桌面指挥终端召开视频会议后以4画面模式显示会议视频，支持画面翻页功能；可实现大容量通讯录功能，支持2000条通讯录存储，支持与指挥中心调度台通讯录同步，支持通讯录智能查询等功能；设备集语音、视频、数据通信于一体，具备便捷操作特点，能够真正实现领导指挥桌面化、便捷化、一体化。</w:t>
            </w:r>
          </w:p>
        </w:tc>
        <w:tc>
          <w:tcPr>
            <w:tcW w:w="754" w:type="dxa"/>
            <w:tcBorders>
              <w:top w:val="single" w:color="000000" w:sz="4" w:space="0"/>
              <w:left w:val="single" w:color="000000" w:sz="4" w:space="0"/>
              <w:bottom w:val="single" w:color="000000" w:sz="4" w:space="0"/>
              <w:right w:val="single" w:color="000000" w:sz="4" w:space="0"/>
            </w:tcBorders>
            <w:vAlign w:val="center"/>
          </w:tcPr>
          <w:p w14:paraId="54365B1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3A651B1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73E59F3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E13534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3.1.9.4</w:t>
            </w:r>
          </w:p>
        </w:tc>
        <w:tc>
          <w:tcPr>
            <w:tcW w:w="1035" w:type="dxa"/>
            <w:tcBorders>
              <w:top w:val="single" w:color="000000" w:sz="4" w:space="0"/>
              <w:left w:val="single" w:color="000000" w:sz="4" w:space="0"/>
              <w:bottom w:val="single" w:color="000000" w:sz="4" w:space="0"/>
              <w:right w:val="single" w:color="000000" w:sz="4" w:space="0"/>
            </w:tcBorders>
            <w:vAlign w:val="center"/>
          </w:tcPr>
          <w:p w14:paraId="4AA0B0B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融合通信APP</w:t>
            </w:r>
          </w:p>
        </w:tc>
        <w:tc>
          <w:tcPr>
            <w:tcW w:w="6176" w:type="dxa"/>
            <w:tcBorders>
              <w:top w:val="single" w:color="000000" w:sz="4" w:space="0"/>
              <w:left w:val="single" w:color="000000" w:sz="4" w:space="0"/>
              <w:bottom w:val="single" w:color="000000" w:sz="4" w:space="0"/>
              <w:right w:val="nil"/>
            </w:tcBorders>
            <w:vAlign w:val="center"/>
          </w:tcPr>
          <w:p w14:paraId="3382CFC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作为多媒体调度系统的移动客户端，支持对讲、音视频通话、消息、通讯录、定位等多种特色通信业务，为用户提供实时、快速、直观的多媒体通信手段。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提供对讲功能：实现组内对讲，可根据权限设定切换对讲组。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提供通话功能：实现语音呼叫、视频呼叫、音频会议、视频会议、广播。</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提供信息功能：支持收发文本、图片、音视频文件等多种类型消息。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提供定位功能：成员、组定位、基于位置发起语音、视频呼叫、对讲、短消息。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提供通讯录功能：显示所在对讲组成员状态。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提供专业品质的图形化页面，可动态显示成员实时状态。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先进的音视频处理技术，高品质的质量。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提供多种通信接口（WIFI、3G、Bluetooth、GPS、GLONASS、北斗、天通），可以在不同情况下，多种手段保障通信畅通。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支持内置/外放声音的输入、输出设备的切换，可根据需要进行线控。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支持多业务融合：基于SIP协议，集语音、数据、视频业务为一体，提供语音、短信、视频、定位等多种调度手段。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安全性高：信令及媒体数据加密传输，最大程度保证数据和通信的安全性。</w:t>
            </w:r>
          </w:p>
        </w:tc>
        <w:tc>
          <w:tcPr>
            <w:tcW w:w="754" w:type="dxa"/>
            <w:tcBorders>
              <w:top w:val="single" w:color="000000" w:sz="4" w:space="0"/>
              <w:left w:val="single" w:color="000000" w:sz="4" w:space="0"/>
              <w:bottom w:val="single" w:color="000000" w:sz="4" w:space="0"/>
              <w:right w:val="single" w:color="000000" w:sz="4" w:space="0"/>
            </w:tcBorders>
            <w:vAlign w:val="center"/>
          </w:tcPr>
          <w:p w14:paraId="63CB826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9F0BEE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 xml:space="preserve"> 套 </w:t>
            </w:r>
          </w:p>
        </w:tc>
      </w:tr>
      <w:tr w14:paraId="0535195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65D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A8F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视频监控服务</w:t>
            </w:r>
          </w:p>
        </w:tc>
        <w:tc>
          <w:tcPr>
            <w:tcW w:w="6176" w:type="dxa"/>
            <w:vMerge w:val="restart"/>
            <w:tcBorders>
              <w:top w:val="single" w:color="000000" w:sz="4" w:space="0"/>
              <w:left w:val="single" w:color="000000" w:sz="4" w:space="0"/>
              <w:bottom w:val="single" w:color="000000" w:sz="4" w:space="0"/>
              <w:right w:val="nil"/>
            </w:tcBorders>
            <w:shd w:val="clear" w:color="auto" w:fill="FFFF00"/>
            <w:vAlign w:val="center"/>
          </w:tcPr>
          <w:p w14:paraId="519BC9D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提供视频监控服务50路，视频调度服务1套，联网汇聚授权500路，视频调度1套，音频调度1套，账户授权数100个。</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视频监控服务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视频监控应用提供视频管理服务，实现视频预览、录像回放、视频上墙、服务能力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一、视频预览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1、支持视频实时预览能力，实现预览窗口布局切换、预览画面自适应及全屏切换；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2、支持云台控制、实时抓图、紧急录像、即时回放、主子码流切换、对讲、广播控制的能力；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3、支持资源视图管理能力，以视图形式管理监控点、视频预览轮巡等自定义资源组。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二、录像回放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1、支持录像计划管理能力，支持实时录像计划、录像回传计划；</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2、支持录像回放能力，支持多画面同步回放、超高倍速回放、分段回放、录像下载。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三、视频上墙</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1、支持电视墙场景管理能力，实现场景窗口配置、场景切换计划配置以及轮巡计划的管理；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2、支持上墙控制能力，实现场景一键上墙、场景切换、电视墙切换、监控点上下墙、轮巡控制操作。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视频调度服务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提供视频点位联网服务能力，用于平台域间视频联网，基于视频通用标准协议（GB/T28181-2011,GB/T28181-2016）与外域平台互联互通，实现平台视频资源点位推送等操作控制。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1、支持上下级域注册管理能力，实现平台数据级联；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2、支持资源同步能力；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3、支持级联视频点位实时预览、录像回放、录像下载、语音对讲能力；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4、支持级联视频点位设备操作控制能力。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联网汇聚授权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下级平台推送到本级平台视频点位路数控制，通过级联点位授权路数控制。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视频调度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1、接入的各类视频监控设备进行一对一或群组，音视通话/视频通话；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2、音视频通话中的视频点位，实时画面回传；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3、回传的历史录像片段的查询、播放与下载；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4、群成员上限100人；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5、语音通话成员上限100(人)；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6、视频通话最大并发50路，单会话成员上限9路.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音频调度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1、综合音频接入网关、数字子板、模拟子板、无线子板、集群子板、音频子板等设备的接入管理，实现公网电话、集群系统、音频系统的接入；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2、单呼功能，对固定电话、移动电话、集群终端等各类型终端通过鼠标点击直接发起呼叫；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3、组呼功能，对各种类型通信终端编制一个固定组，可对一个群组发起组呼，允许组呼过程中手动停止；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4、强插功能，调度员加入被强插的联系人的双方通话中，从而形成一个三方通话，若其中一方拆线，则剩余两方继续保持通话；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5、强拆功能，断开两个联系人之间的通话，然后可选择与断开通话的其中一个联系人建立通话；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6、广播通知 基于GIS、通讯录方式选择成员加入广播通知组，可通过人工喊话、播放音频文件多种方式进行广播消息下发。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7、转接功能，通话过程当前用户点击转接按钮，选择转接人员将当前通话转接给其他人，用户释放掉当前通话；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8、保持功能，通话过程当前用户点击保持按钮，保持当前通话，当前用户做其他操作不受影响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9、点击一键同振功能，人员所有联系方式同时呼出，接听后结束呼出；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10、支持监听功能，具有监听权限的终端，可直接进入到选中成员的通话中，在不影响双方通话的情况下进行监听；</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11、挂断功能，可对通话进行挂断；</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12、手动拨号，直接拨打联系人短号/手机号进行通话；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13、音频模板配置，导入组呼通知录音文件，导入后可点击播放试听；</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14、实时通话队列展示；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15、通话记录查询展示，可通过呼叫/呼入、通话状态进行筛选，并对通话录音进行播放下载操作。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16、支持支持轮呼功能，可提前选择轮呼成员，点击开始后系统可自动进行呼叫，呼叫完成后可点击下一个开始自动结束当前通话开启下一段通话。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17、无人值守，可设置手机号或其他用户的平台短号进行无人值守，在暂离情况下可把拨打进来的电话转接给已设置的号码；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18、支持选择移动app账户、web账户、固定电话、移动电话、外部联系人、IP电话、卫星电话、视频监控等各类型资源，进行实时语音广播喊话；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19、禁言功能，群主对通话成员，进行全体禁言、解除禁言；</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20、挂断功能，接收到来电后，可对来电进行挂断；</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21、代答功能，具有代答权限的终端，可选择其他人员未接听的通话进行代答；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22、强挂功能，具有强挂权限的终端，可强制挂断其他两个人员之间的通话；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账户授权数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平台账户授权数量，支持Web客户端和融合通信APP授权个数控制。</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29D5D8E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6AEE1F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27BD460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785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19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视频调度服务</w:t>
            </w:r>
          </w:p>
        </w:tc>
        <w:tc>
          <w:tcPr>
            <w:tcW w:w="6176" w:type="dxa"/>
            <w:vMerge w:val="continue"/>
            <w:tcBorders>
              <w:top w:val="single" w:color="000000" w:sz="4" w:space="0"/>
              <w:left w:val="single" w:color="000000" w:sz="4" w:space="0"/>
              <w:bottom w:val="single" w:color="000000" w:sz="4" w:space="0"/>
              <w:right w:val="nil"/>
            </w:tcBorders>
            <w:shd w:val="clear" w:color="auto" w:fill="FFFF00"/>
            <w:vAlign w:val="center"/>
          </w:tcPr>
          <w:p w14:paraId="0B87D37A">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314AC15">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A09E68A">
            <w:pPr>
              <w:jc w:val="center"/>
              <w:rPr>
                <w:rFonts w:ascii="宋体" w:hAnsi="宋体" w:cs="宋体"/>
                <w:color w:val="auto"/>
                <w:szCs w:val="22"/>
                <w:highlight w:val="none"/>
              </w:rPr>
            </w:pPr>
          </w:p>
        </w:tc>
      </w:tr>
      <w:tr w14:paraId="7CFF7A8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A7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E3B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联网汇聚授权</w:t>
            </w:r>
          </w:p>
        </w:tc>
        <w:tc>
          <w:tcPr>
            <w:tcW w:w="6176" w:type="dxa"/>
            <w:vMerge w:val="continue"/>
            <w:tcBorders>
              <w:top w:val="single" w:color="000000" w:sz="4" w:space="0"/>
              <w:left w:val="single" w:color="000000" w:sz="4" w:space="0"/>
              <w:bottom w:val="single" w:color="000000" w:sz="4" w:space="0"/>
              <w:right w:val="nil"/>
            </w:tcBorders>
            <w:shd w:val="clear" w:color="auto" w:fill="FFFF00"/>
            <w:vAlign w:val="center"/>
          </w:tcPr>
          <w:p w14:paraId="37F52149">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277EAA1">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693B778">
            <w:pPr>
              <w:jc w:val="center"/>
              <w:rPr>
                <w:rFonts w:ascii="宋体" w:hAnsi="宋体" w:cs="宋体"/>
                <w:color w:val="auto"/>
                <w:szCs w:val="22"/>
                <w:highlight w:val="none"/>
              </w:rPr>
            </w:pPr>
          </w:p>
        </w:tc>
      </w:tr>
      <w:tr w14:paraId="265B6B5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5BC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88D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视频调度</w:t>
            </w:r>
          </w:p>
        </w:tc>
        <w:tc>
          <w:tcPr>
            <w:tcW w:w="6176" w:type="dxa"/>
            <w:vMerge w:val="continue"/>
            <w:tcBorders>
              <w:top w:val="single" w:color="000000" w:sz="4" w:space="0"/>
              <w:left w:val="single" w:color="000000" w:sz="4" w:space="0"/>
              <w:bottom w:val="single" w:color="000000" w:sz="4" w:space="0"/>
              <w:right w:val="nil"/>
            </w:tcBorders>
            <w:shd w:val="clear" w:color="auto" w:fill="FFFF00"/>
            <w:vAlign w:val="center"/>
          </w:tcPr>
          <w:p w14:paraId="64398213">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51F7747">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FA7DB0E">
            <w:pPr>
              <w:jc w:val="center"/>
              <w:rPr>
                <w:rFonts w:ascii="宋体" w:hAnsi="宋体" w:cs="宋体"/>
                <w:color w:val="auto"/>
                <w:szCs w:val="22"/>
                <w:highlight w:val="none"/>
              </w:rPr>
            </w:pPr>
          </w:p>
        </w:tc>
      </w:tr>
      <w:tr w14:paraId="7B4FD02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346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804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音频调度</w:t>
            </w:r>
          </w:p>
        </w:tc>
        <w:tc>
          <w:tcPr>
            <w:tcW w:w="6176" w:type="dxa"/>
            <w:vMerge w:val="continue"/>
            <w:tcBorders>
              <w:top w:val="single" w:color="000000" w:sz="4" w:space="0"/>
              <w:left w:val="single" w:color="000000" w:sz="4" w:space="0"/>
              <w:bottom w:val="single" w:color="000000" w:sz="4" w:space="0"/>
              <w:right w:val="nil"/>
            </w:tcBorders>
            <w:shd w:val="clear" w:color="auto" w:fill="FFFF00"/>
            <w:vAlign w:val="center"/>
          </w:tcPr>
          <w:p w14:paraId="791CC098">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5E4CCAE">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9013187">
            <w:pPr>
              <w:jc w:val="center"/>
              <w:rPr>
                <w:rFonts w:ascii="宋体" w:hAnsi="宋体" w:cs="宋体"/>
                <w:color w:val="auto"/>
                <w:szCs w:val="22"/>
                <w:highlight w:val="none"/>
              </w:rPr>
            </w:pPr>
          </w:p>
        </w:tc>
      </w:tr>
      <w:tr w14:paraId="5746E24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A09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5C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账户授权数</w:t>
            </w:r>
          </w:p>
        </w:tc>
        <w:tc>
          <w:tcPr>
            <w:tcW w:w="6176" w:type="dxa"/>
            <w:vMerge w:val="continue"/>
            <w:tcBorders>
              <w:top w:val="single" w:color="000000" w:sz="4" w:space="0"/>
              <w:left w:val="single" w:color="000000" w:sz="4" w:space="0"/>
              <w:bottom w:val="single" w:color="000000" w:sz="4" w:space="0"/>
              <w:right w:val="nil"/>
            </w:tcBorders>
            <w:shd w:val="clear" w:color="auto" w:fill="FFFF00"/>
            <w:vAlign w:val="center"/>
          </w:tcPr>
          <w:p w14:paraId="7E7E1E62">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66B09B0">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0E70909">
            <w:pPr>
              <w:jc w:val="center"/>
              <w:rPr>
                <w:rFonts w:ascii="宋体" w:hAnsi="宋体" w:cs="宋体"/>
                <w:color w:val="auto"/>
                <w:szCs w:val="22"/>
                <w:highlight w:val="none"/>
              </w:rPr>
            </w:pPr>
          </w:p>
        </w:tc>
      </w:tr>
      <w:tr w14:paraId="0B7C068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98D8C5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3.1.9.13</w:t>
            </w:r>
          </w:p>
        </w:tc>
        <w:tc>
          <w:tcPr>
            <w:tcW w:w="1035" w:type="dxa"/>
            <w:tcBorders>
              <w:top w:val="single" w:color="000000" w:sz="4" w:space="0"/>
              <w:left w:val="single" w:color="000000" w:sz="4" w:space="0"/>
              <w:bottom w:val="single" w:color="000000" w:sz="4" w:space="0"/>
              <w:right w:val="single" w:color="000000" w:sz="4" w:space="0"/>
            </w:tcBorders>
            <w:vAlign w:val="center"/>
          </w:tcPr>
          <w:p w14:paraId="0F514AD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电话网关</w:t>
            </w:r>
          </w:p>
        </w:tc>
        <w:tc>
          <w:tcPr>
            <w:tcW w:w="6176" w:type="dxa"/>
            <w:tcBorders>
              <w:top w:val="single" w:color="000000" w:sz="4" w:space="0"/>
              <w:left w:val="single" w:color="000000" w:sz="4" w:space="0"/>
              <w:bottom w:val="single" w:color="000000" w:sz="4" w:space="0"/>
              <w:right w:val="nil"/>
            </w:tcBorders>
            <w:vAlign w:val="center"/>
          </w:tcPr>
          <w:p w14:paraId="66EC9F5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采用模块化结构设计，最大可扩展到112个电话接口，具备良好的语音/传真处理能力，稳定性高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电话接口：48-112FXS，RJ-45；以太网接口：4×RJ-45 10/100Mbps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语音传真：支持G.711a/μ, G.723.1, 729a/b、iLBC, G.726, AMR、舒适噪音生成(CNG)、语音活动检测 (VAD)、回声消除(G.168) 128ms、自适应动态抖动缓冲、拍叉检测、语音和传真增益控制、T.38/Pass-through、Modem/POS。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支持SIP/IMS协议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支持冗余注册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灵活的路由及号码变换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模块化设计，灵活扩展，支持热拔插</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通过Broadsoft/Asterisk认证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9. 支持IPv6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支持QoS及语音/管理/数据VLAN</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多种管理方式：SNMP/TR069及Provision</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布线最长支持5Km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可扩展支持双主控、双电源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支持Dinstar自主云管理系统及带宽优化技术</w:t>
            </w:r>
          </w:p>
        </w:tc>
        <w:tc>
          <w:tcPr>
            <w:tcW w:w="754" w:type="dxa"/>
            <w:tcBorders>
              <w:top w:val="single" w:color="000000" w:sz="4" w:space="0"/>
              <w:left w:val="single" w:color="000000" w:sz="4" w:space="0"/>
              <w:bottom w:val="single" w:color="000000" w:sz="4" w:space="0"/>
              <w:right w:val="single" w:color="000000" w:sz="4" w:space="0"/>
            </w:tcBorders>
            <w:vAlign w:val="center"/>
          </w:tcPr>
          <w:p w14:paraId="7141B94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3DD2CFC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块</w:t>
            </w:r>
          </w:p>
        </w:tc>
      </w:tr>
      <w:tr w14:paraId="675819E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FE6FE8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3.1.10</w:t>
            </w:r>
          </w:p>
        </w:tc>
        <w:tc>
          <w:tcPr>
            <w:tcW w:w="1035" w:type="dxa"/>
            <w:tcBorders>
              <w:top w:val="single" w:color="000000" w:sz="4" w:space="0"/>
              <w:left w:val="single" w:color="000000" w:sz="4" w:space="0"/>
              <w:bottom w:val="single" w:color="000000" w:sz="4" w:space="0"/>
              <w:right w:val="single" w:color="000000" w:sz="4" w:space="0"/>
            </w:tcBorders>
            <w:vAlign w:val="center"/>
          </w:tcPr>
          <w:p w14:paraId="53477EB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园区基础资源平台</w:t>
            </w:r>
          </w:p>
        </w:tc>
        <w:tc>
          <w:tcPr>
            <w:tcW w:w="6176" w:type="dxa"/>
            <w:tcBorders>
              <w:top w:val="single" w:color="000000" w:sz="4" w:space="0"/>
              <w:left w:val="single" w:color="000000" w:sz="4" w:space="0"/>
              <w:bottom w:val="single" w:color="000000" w:sz="4" w:space="0"/>
              <w:right w:val="nil"/>
            </w:tcBorders>
            <w:vAlign w:val="center"/>
          </w:tcPr>
          <w:p w14:paraId="65FBAA22">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7E0434AA">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AEC0A7E">
            <w:pPr>
              <w:jc w:val="center"/>
              <w:rPr>
                <w:rFonts w:ascii="宋体" w:hAnsi="宋体" w:cs="宋体"/>
                <w:color w:val="auto"/>
                <w:szCs w:val="22"/>
                <w:highlight w:val="none"/>
              </w:rPr>
            </w:pPr>
          </w:p>
        </w:tc>
      </w:tr>
      <w:tr w14:paraId="3495D2F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96945E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7C67CEF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AI视觉计算资源节点</w:t>
            </w:r>
          </w:p>
        </w:tc>
        <w:tc>
          <w:tcPr>
            <w:tcW w:w="6176" w:type="dxa"/>
            <w:tcBorders>
              <w:top w:val="single" w:color="000000" w:sz="4" w:space="0"/>
              <w:left w:val="single" w:color="000000" w:sz="4" w:space="0"/>
              <w:bottom w:val="single" w:color="000000" w:sz="4" w:space="0"/>
              <w:right w:val="nil"/>
            </w:tcBorders>
            <w:vAlign w:val="center"/>
          </w:tcPr>
          <w:p w14:paraId="7FB4BA0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1.单节点配置两颗64位12核处理器，主频不低于2.0GHz,缓存16MB；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2.单节点配置内存不低于128G，最多支持不低于20 根 DDR4 内存；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3.单节点接口：4*GE，1*VGA，USB：5*USB；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4.硬盘：2*960G SSD，组成 RAID1做系统盘；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5.单节点配置4张专业GPU卡，单卡解析算力不低于52TOPS INT8，内存不低于32GB。最大支持8张GPU卡槽；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6.风扇支持5+1冗余，支持20档风扇转速档位调节；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7.具有不低6个PCIE 扩展卡槽，支持光口、电口、网卡扩展；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8.配置硬件 RAID 阵列卡；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9.支持动态扩容，扩容以后服务器的CPU、内存、GPU 纳入云节点管理，作为服务器云化集群节点，接入、转发、智能分析业务可分担到新扩容的节点。</w:t>
            </w:r>
          </w:p>
        </w:tc>
        <w:tc>
          <w:tcPr>
            <w:tcW w:w="754" w:type="dxa"/>
            <w:tcBorders>
              <w:top w:val="single" w:color="000000" w:sz="4" w:space="0"/>
              <w:left w:val="single" w:color="000000" w:sz="4" w:space="0"/>
              <w:bottom w:val="single" w:color="000000" w:sz="4" w:space="0"/>
              <w:right w:val="single" w:color="000000" w:sz="4" w:space="0"/>
            </w:tcBorders>
            <w:vAlign w:val="center"/>
          </w:tcPr>
          <w:p w14:paraId="29B38E1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w:t>
            </w:r>
          </w:p>
        </w:tc>
        <w:tc>
          <w:tcPr>
            <w:tcW w:w="660" w:type="dxa"/>
            <w:tcBorders>
              <w:top w:val="single" w:color="000000" w:sz="4" w:space="0"/>
              <w:left w:val="single" w:color="000000" w:sz="4" w:space="0"/>
              <w:bottom w:val="single" w:color="000000" w:sz="4" w:space="0"/>
              <w:right w:val="single" w:color="000000" w:sz="4" w:space="0"/>
            </w:tcBorders>
            <w:vAlign w:val="center"/>
          </w:tcPr>
          <w:p w14:paraId="708F099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2594E1F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A5F2E5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10844C0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数据备份节点</w:t>
            </w:r>
          </w:p>
        </w:tc>
        <w:tc>
          <w:tcPr>
            <w:tcW w:w="6176" w:type="dxa"/>
            <w:tcBorders>
              <w:top w:val="single" w:color="000000" w:sz="4" w:space="0"/>
              <w:left w:val="single" w:color="000000" w:sz="4" w:space="0"/>
              <w:bottom w:val="single" w:color="000000" w:sz="4" w:space="0"/>
              <w:right w:val="nil"/>
            </w:tcBorders>
            <w:vAlign w:val="center"/>
          </w:tcPr>
          <w:p w14:paraId="57A272B7">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 xml:space="preserve"> 1. 外型：支持≥4U机架式服务器，含导轨；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CPU：2颗2.5GHz/16核/32MBCPU；</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内存：8块32G DDR4内存；支持32根DDR4内存，速率最高支持3200MT/s，支持RDIMM或LRDIMM</w:t>
            </w:r>
          </w:p>
          <w:p w14:paraId="3C66442A">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4. 硬盘：2块480G SSD硬盘，22块8TB 7.2K SATA HDD硬盘；支持SAS/SATA/NVMe U.2接口的存储介质，前面板支持24LFF；后面板支持12LFF+4LFF（2LFF）+4SFF；全部硬盘均可在不打开机箱盖的情况下进行热插拔维护</w:t>
            </w:r>
          </w:p>
          <w:p w14:paraId="24173ED7">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5. 网卡：1块4端口千兆以太网卡，1块2端口10G SFP+万兆网卡；支持1张x16 OCP3.0网卡，支持NCSI功能，支持热插拔，支持标准PCIe 4.0/3.0的网络适配器选项，10G、25G、100G网卡和56G、100G IB卡；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raid卡：配置2块raid卡含掉电保护模块；支持SATA RAID 0/1/10/5，可选基于标准PCIe 4.0/3.0的HBA和智能阵列卡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电源：配置2个1300W交流电源。</w:t>
            </w:r>
          </w:p>
          <w:p w14:paraId="334986BD">
            <w:pPr>
              <w:pStyle w:val="59"/>
              <w:spacing w:after="0" w:line="240" w:lineRule="auto"/>
              <w:jc w:val="both"/>
              <w:rPr>
                <w:rFonts w:ascii="宋体" w:hAnsi="宋体" w:eastAsia="宋体" w:cs="宋体"/>
                <w:b w:val="0"/>
                <w:color w:val="auto"/>
                <w:kern w:val="0"/>
                <w:szCs w:val="22"/>
                <w:highlight w:val="none"/>
                <w:lang w:bidi="ar"/>
              </w:rPr>
            </w:pPr>
            <w:r>
              <w:rPr>
                <w:rFonts w:hint="eastAsia" w:ascii="宋体" w:hAnsi="宋体" w:eastAsia="宋体" w:cs="宋体"/>
                <w:b w:val="0"/>
                <w:color w:val="auto"/>
                <w:kern w:val="0"/>
                <w:szCs w:val="22"/>
                <w:highlight w:val="none"/>
                <w:lang w:bidi="ar"/>
              </w:rPr>
              <w:t>8. 扩展插槽：支持10个PCIe 4.0 标准插槽；</w:t>
            </w:r>
          </w:p>
          <w:p w14:paraId="4E8EC3C0">
            <w:pPr>
              <w:pStyle w:val="59"/>
              <w:spacing w:after="0" w:line="240" w:lineRule="auto"/>
              <w:jc w:val="both"/>
              <w:rPr>
                <w:color w:val="auto"/>
                <w:highlight w:val="none"/>
              </w:rPr>
            </w:pPr>
            <w:r>
              <w:rPr>
                <w:rFonts w:hint="eastAsia" w:ascii="宋体" w:hAnsi="宋体" w:eastAsia="宋体" w:cs="宋体"/>
                <w:b w:val="0"/>
                <w:color w:val="auto"/>
                <w:kern w:val="0"/>
                <w:szCs w:val="22"/>
                <w:highlight w:val="none"/>
                <w:lang w:bidi="ar"/>
              </w:rPr>
              <w:t>9. 安全性：支持机箱入侵检测；可选TCM/TPM安全模块。</w:t>
            </w:r>
          </w:p>
        </w:tc>
        <w:tc>
          <w:tcPr>
            <w:tcW w:w="754" w:type="dxa"/>
            <w:tcBorders>
              <w:top w:val="single" w:color="000000" w:sz="4" w:space="0"/>
              <w:left w:val="single" w:color="000000" w:sz="4" w:space="0"/>
              <w:bottom w:val="single" w:color="000000" w:sz="4" w:space="0"/>
              <w:right w:val="single" w:color="000000" w:sz="4" w:space="0"/>
            </w:tcBorders>
            <w:vAlign w:val="center"/>
          </w:tcPr>
          <w:p w14:paraId="22C8171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1AA1E0E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7F7692D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386CD3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3.1.10.9</w:t>
            </w:r>
          </w:p>
        </w:tc>
        <w:tc>
          <w:tcPr>
            <w:tcW w:w="1035" w:type="dxa"/>
            <w:tcBorders>
              <w:top w:val="single" w:color="000000" w:sz="4" w:space="0"/>
              <w:left w:val="single" w:color="000000" w:sz="4" w:space="0"/>
              <w:bottom w:val="single" w:color="000000" w:sz="4" w:space="0"/>
              <w:right w:val="single" w:color="000000" w:sz="4" w:space="0"/>
            </w:tcBorders>
            <w:vAlign w:val="center"/>
          </w:tcPr>
          <w:p w14:paraId="7E10032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备份软件</w:t>
            </w:r>
          </w:p>
        </w:tc>
        <w:tc>
          <w:tcPr>
            <w:tcW w:w="6176" w:type="dxa"/>
            <w:tcBorders>
              <w:top w:val="single" w:color="000000" w:sz="4" w:space="0"/>
              <w:left w:val="single" w:color="000000" w:sz="4" w:space="0"/>
              <w:bottom w:val="single" w:color="000000" w:sz="4" w:space="0"/>
              <w:right w:val="nil"/>
            </w:tcBorders>
            <w:vAlign w:val="center"/>
          </w:tcPr>
          <w:p w14:paraId="507F98B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配置1TB容量企业级备份许可授权；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支持VMware、H3C CAS/UIS、H3C CloudOS、紫光云UniCloud、华为FusionCompute、深信服HCI、XenServer、oVirt、ZStack、OpenStack等主流虚拟化、超融合、云平台的无代理备份；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支持Windows 2003及以上、Linux Kernel 2.4及以上所有版本的操作系统；支持中标麒麟、银河麒麟、统信UOS、深度、普华、凝思、中科方德、中科傲来、华为EulerOS等国产化操作系统；支持HP UNIX、IBM AIX、Solaris小型机操作系统；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支持全量备份、增量备份、差异备份、合成备份、备份上云、备份归档；支持压缩、加密及在线重复数据删除功能；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支持本地存储、集中式存储、分布式存储、物理/虚拟磁带库、光盘库等存储介质；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支持CDP持续数据保护功能，实时监控生产端数据变化并备份至备份端；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支持数据库事务级的实时复制功能，通过同步日志技术实现生产端和备份端的事务级数据一致性，可通过一键切换进行数据库接管，支持Oracle/Oracle RAC、MySQL、SQL Server、IBM DB2、PostgreSQL等主流数据库。</w:t>
            </w:r>
          </w:p>
        </w:tc>
        <w:tc>
          <w:tcPr>
            <w:tcW w:w="754" w:type="dxa"/>
            <w:tcBorders>
              <w:top w:val="single" w:color="000000" w:sz="4" w:space="0"/>
              <w:left w:val="single" w:color="000000" w:sz="4" w:space="0"/>
              <w:bottom w:val="single" w:color="000000" w:sz="4" w:space="0"/>
              <w:right w:val="single" w:color="000000" w:sz="4" w:space="0"/>
            </w:tcBorders>
            <w:vAlign w:val="center"/>
          </w:tcPr>
          <w:p w14:paraId="2089D4B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150</w:t>
            </w:r>
          </w:p>
        </w:tc>
        <w:tc>
          <w:tcPr>
            <w:tcW w:w="660" w:type="dxa"/>
            <w:tcBorders>
              <w:top w:val="single" w:color="000000" w:sz="4" w:space="0"/>
              <w:left w:val="single" w:color="000000" w:sz="4" w:space="0"/>
              <w:bottom w:val="single" w:color="000000" w:sz="4" w:space="0"/>
              <w:right w:val="single" w:color="000000" w:sz="4" w:space="0"/>
            </w:tcBorders>
            <w:vAlign w:val="center"/>
          </w:tcPr>
          <w:p w14:paraId="616AE29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TB</w:t>
            </w:r>
          </w:p>
        </w:tc>
      </w:tr>
      <w:tr w14:paraId="07BD54E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82FC35A">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33B78FF">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1068E108">
            <w:pPr>
              <w:pStyle w:val="59"/>
              <w:spacing w:line="240" w:lineRule="auto"/>
              <w:jc w:val="both"/>
              <w:rPr>
                <w:color w:val="auto"/>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35318F8">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F51128F">
            <w:pPr>
              <w:widowControl/>
              <w:jc w:val="center"/>
              <w:textAlignment w:val="center"/>
              <w:rPr>
                <w:rFonts w:ascii="宋体" w:hAnsi="宋体" w:cs="宋体"/>
                <w:color w:val="auto"/>
                <w:szCs w:val="22"/>
                <w:highlight w:val="none"/>
              </w:rPr>
            </w:pPr>
          </w:p>
        </w:tc>
      </w:tr>
      <w:tr w14:paraId="2C6B225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DAE19F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3.1.11</w:t>
            </w:r>
          </w:p>
        </w:tc>
        <w:tc>
          <w:tcPr>
            <w:tcW w:w="1035" w:type="dxa"/>
            <w:tcBorders>
              <w:top w:val="single" w:color="000000" w:sz="4" w:space="0"/>
              <w:left w:val="single" w:color="000000" w:sz="4" w:space="0"/>
              <w:bottom w:val="single" w:color="000000" w:sz="4" w:space="0"/>
              <w:right w:val="single" w:color="000000" w:sz="4" w:space="0"/>
            </w:tcBorders>
            <w:vAlign w:val="center"/>
          </w:tcPr>
          <w:p w14:paraId="7D6F59F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综合运维系统</w:t>
            </w:r>
          </w:p>
        </w:tc>
        <w:tc>
          <w:tcPr>
            <w:tcW w:w="6176" w:type="dxa"/>
            <w:tcBorders>
              <w:top w:val="single" w:color="000000" w:sz="4" w:space="0"/>
              <w:left w:val="single" w:color="000000" w:sz="4" w:space="0"/>
              <w:bottom w:val="single" w:color="000000" w:sz="4" w:space="0"/>
              <w:right w:val="nil"/>
            </w:tcBorders>
            <w:vAlign w:val="center"/>
          </w:tcPr>
          <w:p w14:paraId="45560CD4">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428D85A">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C863711">
            <w:pPr>
              <w:jc w:val="center"/>
              <w:rPr>
                <w:rFonts w:ascii="宋体" w:hAnsi="宋体" w:cs="宋体"/>
                <w:color w:val="auto"/>
                <w:szCs w:val="22"/>
                <w:highlight w:val="none"/>
              </w:rPr>
            </w:pPr>
          </w:p>
        </w:tc>
      </w:tr>
      <w:tr w14:paraId="5DC8475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183E31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3.1.11.1</w:t>
            </w:r>
          </w:p>
        </w:tc>
        <w:tc>
          <w:tcPr>
            <w:tcW w:w="1035" w:type="dxa"/>
            <w:tcBorders>
              <w:top w:val="single" w:color="000000" w:sz="4" w:space="0"/>
              <w:left w:val="single" w:color="000000" w:sz="4" w:space="0"/>
              <w:bottom w:val="single" w:color="000000" w:sz="4" w:space="0"/>
              <w:right w:val="single" w:color="000000" w:sz="4" w:space="0"/>
            </w:tcBorders>
            <w:vAlign w:val="center"/>
          </w:tcPr>
          <w:p w14:paraId="361B9F0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智能网络管理系统</w:t>
            </w:r>
          </w:p>
        </w:tc>
        <w:tc>
          <w:tcPr>
            <w:tcW w:w="6176" w:type="dxa"/>
            <w:tcBorders>
              <w:top w:val="single" w:color="000000" w:sz="4" w:space="0"/>
              <w:left w:val="single" w:color="000000" w:sz="4" w:space="0"/>
              <w:bottom w:val="single" w:color="000000" w:sz="4" w:space="0"/>
              <w:right w:val="single" w:color="000000" w:sz="4" w:space="0"/>
            </w:tcBorders>
            <w:vAlign w:val="center"/>
          </w:tcPr>
          <w:p w14:paraId="42ED878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▲1.配置智能网管平台1套，配置不少于200个节点网络设备管理授权；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2.支持采用分布式部署，用户分权管理，自动发现拓扑，支持IP拓扑、二层拓扑、自定义拓扑视图等；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3.支持故障管理，告警智能分析，支持提供直观的设备的面板视图，支持批量的设备配置备份和恢复，IP地址自动扫描，周期性报表机制等功能；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4.支持显示虚拟网络视图。虚拟网络视图以树形结构，层次化的展示出了物理服务器（ESX）、虚拟交换机（vSwitch）、虚拟机（VM）之间的从属或连接关系；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5.支持通过高分辨率大屏幕监视网络运行情况，以便实时掌握网络运行状态，显示的内容根据需求进行定制；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6.支持设备面板管理，所见即所得的显示设备的资产组成和运行状态。</w:t>
            </w:r>
          </w:p>
        </w:tc>
        <w:tc>
          <w:tcPr>
            <w:tcW w:w="754" w:type="dxa"/>
            <w:tcBorders>
              <w:top w:val="single" w:color="000000" w:sz="4" w:space="0"/>
              <w:left w:val="single" w:color="000000" w:sz="4" w:space="0"/>
              <w:bottom w:val="single" w:color="000000" w:sz="4" w:space="0"/>
              <w:right w:val="single" w:color="000000" w:sz="4" w:space="0"/>
            </w:tcBorders>
            <w:vAlign w:val="center"/>
          </w:tcPr>
          <w:p w14:paraId="3ADDC79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649DC0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4A66CC9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CCB410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3.1.11.2</w:t>
            </w:r>
          </w:p>
        </w:tc>
        <w:tc>
          <w:tcPr>
            <w:tcW w:w="1035" w:type="dxa"/>
            <w:tcBorders>
              <w:top w:val="single" w:color="000000" w:sz="4" w:space="0"/>
              <w:left w:val="single" w:color="000000" w:sz="4" w:space="0"/>
              <w:bottom w:val="single" w:color="000000" w:sz="4" w:space="0"/>
              <w:right w:val="single" w:color="000000" w:sz="4" w:space="0"/>
            </w:tcBorders>
            <w:vAlign w:val="center"/>
          </w:tcPr>
          <w:p w14:paraId="17543BF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视频监控网络终端识别安全管理系统</w:t>
            </w:r>
          </w:p>
        </w:tc>
        <w:tc>
          <w:tcPr>
            <w:tcW w:w="6176" w:type="dxa"/>
            <w:tcBorders>
              <w:top w:val="single" w:color="000000" w:sz="4" w:space="0"/>
              <w:left w:val="single" w:color="000000" w:sz="4" w:space="0"/>
              <w:bottom w:val="single" w:color="000000" w:sz="4" w:space="0"/>
              <w:right w:val="single" w:color="000000" w:sz="4" w:space="0"/>
            </w:tcBorders>
            <w:vAlign w:val="center"/>
          </w:tcPr>
          <w:p w14:paraId="3E07FD7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▲1.配置不少于1000路摄像头管理授权；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2.自动识别接入网络所有IP端点，识别信息包括端点IP、MAC、端点类型、操作系统、厂商信息，在线状态、合规状态等；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3.识别出至少10家主流摄像头信息，识别出至少10家主流网络设备厂家及类型；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4.发现和识别网络中的NAT设备（包括双网卡代理、浏览器代理、软件代理等）及下挂终端。能够识别出NAT设备的IP、MAC、设备类型、操作系统、厂商信息，能够识别出NAT下挂终端的数量及终端类型、操作系统；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5.主动识别视频网中的NVR设备，并能够对NVR下挂所有摄像头进行识别；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6.自动识别非法私接、仿冒的设备，并实时告警，告警方式包括但不限于：大屏、短信、邮件；同时能够主动将非法设备加入黑名单，阻断非法设备的接入；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7.为了确保接入端点的合规，保障在网端点的安全，新的端点接入网络后，即使没有产生流量，对此端点合规性进行判断，并主动对非法端点阻断；；</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8.网络中所有IP端点类型、数量、在线状态、合规状态、告警信息统一图形化展示；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9.从端口信息、端点状态、在线状态、端点类型、某类端点状态、厂商、新发现端点等多个维度输出资产报表；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10.主动发现识别功能能够内置到路由器中，使路由器具备端点发现和识别的能力，并进行主动阻断。</w:t>
            </w:r>
          </w:p>
        </w:tc>
        <w:tc>
          <w:tcPr>
            <w:tcW w:w="754" w:type="dxa"/>
            <w:tcBorders>
              <w:top w:val="single" w:color="000000" w:sz="4" w:space="0"/>
              <w:left w:val="single" w:color="000000" w:sz="4" w:space="0"/>
              <w:bottom w:val="single" w:color="000000" w:sz="4" w:space="0"/>
              <w:right w:val="single" w:color="000000" w:sz="4" w:space="0"/>
            </w:tcBorders>
            <w:vAlign w:val="center"/>
          </w:tcPr>
          <w:p w14:paraId="03BD4AD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1B4BD52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150EA15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351690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3.1.11.3</w:t>
            </w:r>
          </w:p>
        </w:tc>
        <w:tc>
          <w:tcPr>
            <w:tcW w:w="1035" w:type="dxa"/>
            <w:tcBorders>
              <w:top w:val="single" w:color="000000" w:sz="4" w:space="0"/>
              <w:left w:val="single" w:color="000000" w:sz="4" w:space="0"/>
              <w:bottom w:val="single" w:color="000000" w:sz="4" w:space="0"/>
              <w:right w:val="single" w:color="000000" w:sz="4" w:space="0"/>
            </w:tcBorders>
            <w:vAlign w:val="center"/>
          </w:tcPr>
          <w:p w14:paraId="070183E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终端识别安全扫描网关</w:t>
            </w:r>
          </w:p>
        </w:tc>
        <w:tc>
          <w:tcPr>
            <w:tcW w:w="6176" w:type="dxa"/>
            <w:tcBorders>
              <w:top w:val="single" w:color="000000" w:sz="4" w:space="0"/>
              <w:left w:val="single" w:color="000000" w:sz="4" w:space="0"/>
              <w:bottom w:val="single" w:color="000000" w:sz="4" w:space="0"/>
              <w:right w:val="nil"/>
            </w:tcBorders>
            <w:vAlign w:val="center"/>
          </w:tcPr>
          <w:p w14:paraId="2E151DC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整机交换容量≥61Gbps，≥1颗8核Core 2.2G CPU，内存≥8GB，内置≥4GB存储；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WAN端口≥2*个Combo口，LAN端口≥6个GE电口；≥4个业务扩展槽，支持冗余电源；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支持无线AC控制功能；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支持IPv4/IPv6；支持静态路由RIPv1/v2、OSPFv2、BGP、IS-IS、路由迭代、路由策略、ECMP；</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支持无线AC控制功能；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支持Web Cache、TFO、LZ、DRE等广域网优化特性，降低网络业务的传输成本，提高应用体验；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完备的虚拟机生命周期管理，支持虚拟机的创建、修改、启动、暂停、恢复、休眠、重启、关闭、下电；支持虚拟机性能状态监测；支持高性能虚拟化网卡，CPU资源动态调整，根据业务需要动态调整网络和计算业务占用的CPU资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支持PORTAL、802.1x、MAC认证；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支持IPv4/IPv6；支持静态路由RIPv1/v2、OSPFv2、BGP、IS-IS、路由迭代、路由策略、ECMP；</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支持G.711、G.723、G.726、G.729AB、AMR-NB、GSM-FR、iLBC、RT-Audio等；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管理：支持U盘/短信开局，手机APP管理和开局；支持WEB；支持外网平台远程集中运维；</w:t>
            </w:r>
          </w:p>
        </w:tc>
        <w:tc>
          <w:tcPr>
            <w:tcW w:w="754" w:type="dxa"/>
            <w:tcBorders>
              <w:top w:val="single" w:color="000000" w:sz="4" w:space="0"/>
              <w:left w:val="single" w:color="000000" w:sz="4" w:space="0"/>
              <w:bottom w:val="single" w:color="000000" w:sz="4" w:space="0"/>
              <w:right w:val="single" w:color="000000" w:sz="4" w:space="0"/>
            </w:tcBorders>
            <w:vAlign w:val="center"/>
          </w:tcPr>
          <w:p w14:paraId="789DEC6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w:t>
            </w:r>
          </w:p>
        </w:tc>
        <w:tc>
          <w:tcPr>
            <w:tcW w:w="660" w:type="dxa"/>
            <w:tcBorders>
              <w:top w:val="single" w:color="000000" w:sz="4" w:space="0"/>
              <w:left w:val="single" w:color="000000" w:sz="4" w:space="0"/>
              <w:bottom w:val="single" w:color="000000" w:sz="4" w:space="0"/>
              <w:right w:val="single" w:color="000000" w:sz="4" w:space="0"/>
            </w:tcBorders>
            <w:vAlign w:val="center"/>
          </w:tcPr>
          <w:p w14:paraId="44DB4BB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E685E4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EC4EBC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3.1.11.4</w:t>
            </w:r>
          </w:p>
        </w:tc>
        <w:tc>
          <w:tcPr>
            <w:tcW w:w="1035" w:type="dxa"/>
            <w:tcBorders>
              <w:top w:val="single" w:color="000000" w:sz="4" w:space="0"/>
              <w:left w:val="single" w:color="000000" w:sz="4" w:space="0"/>
              <w:bottom w:val="single" w:color="000000" w:sz="4" w:space="0"/>
              <w:right w:val="single" w:color="000000" w:sz="4" w:space="0"/>
            </w:tcBorders>
            <w:vAlign w:val="center"/>
          </w:tcPr>
          <w:p w14:paraId="0D763B9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视频质量诊断系统</w:t>
            </w:r>
          </w:p>
        </w:tc>
        <w:tc>
          <w:tcPr>
            <w:tcW w:w="6176" w:type="dxa"/>
            <w:tcBorders>
              <w:top w:val="single" w:color="000000" w:sz="4" w:space="0"/>
              <w:left w:val="single" w:color="000000" w:sz="4" w:space="0"/>
              <w:bottom w:val="single" w:color="000000" w:sz="4" w:space="0"/>
              <w:right w:val="nil"/>
            </w:tcBorders>
            <w:vAlign w:val="center"/>
          </w:tcPr>
          <w:p w14:paraId="23C136E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视频运维概况:支持监控点统计（总量、在线率、视频诊断正常率、录像正常率）；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支持包括设备在线率、通道在线率、录像视频达标率、报警统计等；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支持主机、服务等实时运维信息查询展示，支持展示node的地址、CPU使用率、内存使用率、创建时间；pod的地址、名称、所属关系、运行状态、创建时间；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支持设备通道录像详情查看（内容包括录像详情统计、开始录像时间、录像保存天数等）；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支持编码器设备详情查看（内容包括设备名、地址、设备类型、制造厂商、所属组织、在线状态等）；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支持实时报警信息查询展示，包括报警等级、报警内容描述、报警源、所属组织、报警类型、报警时间等；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支持历史报警信息查询展示，包括报警等级、报警内容描述、报警源、所属组织、报警类型、报警时间等；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支持摄像头在线数详情查看，按区域统计摄像头总数、在线情况（在线数、离线数）、离线历时、在线率等内容；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支持视频诊断统计详情查看，按区域统计组织内的所有通道的诊断时间、诊断结果（抖动、丢失、遮挡、亮度、偏色、噪声、条纹、清晰度、场景变化等）等；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视频质量诊断功能：支持视频抖动检测、支持条纹干扰检测、支持视频信号丢失检测、支持视频遮挡检测、支持视频卡顿检测、支持视频对比度异常检测、支持亮度异常（过亮/过暗）检测、支持噪声干扰检测、支持颜色异常（偏色）检测、支持清晰度异常检测、支持场景变化检测、支持横纹干扰检测、支持滚动条纹检测、支持横波干扰检测。</w:t>
            </w:r>
          </w:p>
        </w:tc>
        <w:tc>
          <w:tcPr>
            <w:tcW w:w="754" w:type="dxa"/>
            <w:tcBorders>
              <w:top w:val="single" w:color="000000" w:sz="4" w:space="0"/>
              <w:left w:val="single" w:color="000000" w:sz="4" w:space="0"/>
              <w:bottom w:val="single" w:color="000000" w:sz="4" w:space="0"/>
              <w:right w:val="single" w:color="000000" w:sz="4" w:space="0"/>
            </w:tcBorders>
            <w:vAlign w:val="center"/>
          </w:tcPr>
          <w:p w14:paraId="062C85B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F55F41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6536376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91F815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w:t>
            </w:r>
          </w:p>
        </w:tc>
        <w:tc>
          <w:tcPr>
            <w:tcW w:w="1035" w:type="dxa"/>
            <w:tcBorders>
              <w:top w:val="single" w:color="000000" w:sz="4" w:space="0"/>
              <w:left w:val="single" w:color="000000" w:sz="4" w:space="0"/>
              <w:bottom w:val="single" w:color="000000" w:sz="4" w:space="0"/>
              <w:right w:val="single" w:color="000000" w:sz="4" w:space="0"/>
            </w:tcBorders>
            <w:vAlign w:val="center"/>
          </w:tcPr>
          <w:p w14:paraId="6A38719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园区大数据分析平台</w:t>
            </w:r>
          </w:p>
        </w:tc>
        <w:tc>
          <w:tcPr>
            <w:tcW w:w="6176" w:type="dxa"/>
            <w:tcBorders>
              <w:top w:val="single" w:color="000000" w:sz="4" w:space="0"/>
              <w:left w:val="single" w:color="000000" w:sz="4" w:space="0"/>
              <w:bottom w:val="single" w:color="000000" w:sz="4" w:space="0"/>
              <w:right w:val="nil"/>
            </w:tcBorders>
            <w:vAlign w:val="center"/>
          </w:tcPr>
          <w:p w14:paraId="0E629BF1">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57D5ED3">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1CFE73E">
            <w:pPr>
              <w:jc w:val="center"/>
              <w:rPr>
                <w:rFonts w:ascii="宋体" w:hAnsi="宋体" w:cs="宋体"/>
                <w:color w:val="auto"/>
                <w:szCs w:val="22"/>
                <w:highlight w:val="none"/>
              </w:rPr>
            </w:pPr>
          </w:p>
        </w:tc>
      </w:tr>
      <w:tr w14:paraId="1FB5331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C36635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w:t>
            </w:r>
          </w:p>
        </w:tc>
        <w:tc>
          <w:tcPr>
            <w:tcW w:w="1035" w:type="dxa"/>
            <w:tcBorders>
              <w:top w:val="single" w:color="000000" w:sz="4" w:space="0"/>
              <w:left w:val="single" w:color="000000" w:sz="4" w:space="0"/>
              <w:bottom w:val="single" w:color="000000" w:sz="4" w:space="0"/>
              <w:right w:val="single" w:color="000000" w:sz="4" w:space="0"/>
            </w:tcBorders>
            <w:vAlign w:val="center"/>
          </w:tcPr>
          <w:p w14:paraId="1FBDF89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大数据平台</w:t>
            </w:r>
          </w:p>
        </w:tc>
        <w:tc>
          <w:tcPr>
            <w:tcW w:w="6176" w:type="dxa"/>
            <w:tcBorders>
              <w:top w:val="single" w:color="000000" w:sz="4" w:space="0"/>
              <w:left w:val="single" w:color="000000" w:sz="4" w:space="0"/>
              <w:bottom w:val="single" w:color="000000" w:sz="4" w:space="0"/>
              <w:right w:val="nil"/>
            </w:tcBorders>
            <w:vAlign w:val="center"/>
          </w:tcPr>
          <w:p w14:paraId="0552F590">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981E144">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5AB955B">
            <w:pPr>
              <w:jc w:val="center"/>
              <w:rPr>
                <w:rFonts w:ascii="宋体" w:hAnsi="宋体" w:cs="宋体"/>
                <w:color w:val="auto"/>
                <w:szCs w:val="22"/>
                <w:highlight w:val="none"/>
              </w:rPr>
            </w:pPr>
          </w:p>
        </w:tc>
      </w:tr>
      <w:tr w14:paraId="0C936D7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1AC051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3.1.12.1.1</w:t>
            </w:r>
          </w:p>
        </w:tc>
        <w:tc>
          <w:tcPr>
            <w:tcW w:w="1035" w:type="dxa"/>
            <w:tcBorders>
              <w:top w:val="single" w:color="000000" w:sz="4" w:space="0"/>
              <w:left w:val="single" w:color="000000" w:sz="4" w:space="0"/>
              <w:bottom w:val="single" w:color="000000" w:sz="4" w:space="0"/>
              <w:right w:val="single" w:color="000000" w:sz="4" w:space="0"/>
            </w:tcBorders>
            <w:vAlign w:val="center"/>
          </w:tcPr>
          <w:p w14:paraId="12952BC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可视化管理平台</w:t>
            </w:r>
          </w:p>
        </w:tc>
        <w:tc>
          <w:tcPr>
            <w:tcW w:w="6176" w:type="dxa"/>
            <w:tcBorders>
              <w:top w:val="single" w:color="000000" w:sz="4" w:space="0"/>
              <w:left w:val="single" w:color="000000" w:sz="4" w:space="0"/>
              <w:bottom w:val="single" w:color="000000" w:sz="4" w:space="0"/>
              <w:right w:val="nil"/>
            </w:tcBorders>
            <w:vAlign w:val="center"/>
          </w:tcPr>
          <w:p w14:paraId="7BE06FF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大数据平台提供一体化的安装运维管理界面，通过Web界面化的方式实现一站式安装部署、监控告警、参数配置、服务管理、日志审计、用户管理、多集群管理等功能，避免用户在多个管理界面间切换；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对集群的各项服务做集中式管理，提供启动服务、停止服务、修改属性和设定运行参数等功能，实现集群各项服务运行状态(基本信息、告警、运行健康状态)实时监控，保障集群稳定运行。</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14:paraId="517674E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14:paraId="65826DC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节点</w:t>
            </w:r>
          </w:p>
        </w:tc>
      </w:tr>
      <w:tr w14:paraId="7A14671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A2E350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3.1.12.1.2</w:t>
            </w:r>
          </w:p>
        </w:tc>
        <w:tc>
          <w:tcPr>
            <w:tcW w:w="1035" w:type="dxa"/>
            <w:tcBorders>
              <w:top w:val="single" w:color="000000" w:sz="4" w:space="0"/>
              <w:left w:val="single" w:color="000000" w:sz="4" w:space="0"/>
              <w:bottom w:val="single" w:color="000000" w:sz="4" w:space="0"/>
              <w:right w:val="single" w:color="000000" w:sz="4" w:space="0"/>
            </w:tcBorders>
            <w:vAlign w:val="center"/>
          </w:tcPr>
          <w:p w14:paraId="09EE9D9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通用数据服务接口</w:t>
            </w:r>
          </w:p>
        </w:tc>
        <w:tc>
          <w:tcPr>
            <w:tcW w:w="6176" w:type="dxa"/>
            <w:tcBorders>
              <w:top w:val="single" w:color="000000" w:sz="4" w:space="0"/>
              <w:left w:val="single" w:color="000000" w:sz="4" w:space="0"/>
              <w:bottom w:val="single" w:color="000000" w:sz="4" w:space="0"/>
              <w:right w:val="single" w:color="000000" w:sz="4" w:space="0"/>
            </w:tcBorders>
            <w:vAlign w:val="center"/>
          </w:tcPr>
          <w:p w14:paraId="41B7004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提供统一SQL服务和可编程API；</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提取数据存储计算平台的数据处理结果，屏蔽底层细节，为上层应用提供数据服务；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数据服务接口主要包括SQL接口、MapReduce/Spark/Storm/Flink等多种计算框架的可编程API、全文搜索接口、业务定向接口、关联查询接口，满足数据查询、可视化BI展示、数据分析、综合查询等业务应用的需要。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●4.平台提供共享资源模式，支持HDFS、Hive、HBase、Kafka、Yarn等组件。不同组件资源隔离方式不一样；HDFS基于存储目录、Yarn基于CPU和内存、Kafka基于Topic、Hive基于数据库、HBASE基于Regionserver等进行多租户隔离。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数据平台提供统一SQL查询引擎，支持通过标准SQL进行HBASE表的增删改查，并支持UDF函数的扩展。</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162F23F8">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78456823">
            <w:pPr>
              <w:jc w:val="center"/>
              <w:rPr>
                <w:rFonts w:ascii="宋体" w:hAnsi="宋体" w:cs="宋体"/>
                <w:color w:val="auto"/>
                <w:szCs w:val="22"/>
                <w:highlight w:val="none"/>
              </w:rPr>
            </w:pPr>
          </w:p>
        </w:tc>
      </w:tr>
      <w:tr w14:paraId="375C451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3ACD78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3.1.12.1.3</w:t>
            </w:r>
          </w:p>
        </w:tc>
        <w:tc>
          <w:tcPr>
            <w:tcW w:w="1035" w:type="dxa"/>
            <w:tcBorders>
              <w:top w:val="single" w:color="000000" w:sz="4" w:space="0"/>
              <w:left w:val="single" w:color="000000" w:sz="4" w:space="0"/>
              <w:bottom w:val="single" w:color="000000" w:sz="4" w:space="0"/>
              <w:right w:val="single" w:color="000000" w:sz="4" w:space="0"/>
            </w:tcBorders>
            <w:vAlign w:val="center"/>
          </w:tcPr>
          <w:p w14:paraId="4718F9B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离线计算引擎</w:t>
            </w:r>
          </w:p>
        </w:tc>
        <w:tc>
          <w:tcPr>
            <w:tcW w:w="6176" w:type="dxa"/>
            <w:tcBorders>
              <w:top w:val="single" w:color="000000" w:sz="4" w:space="0"/>
              <w:left w:val="single" w:color="000000" w:sz="4" w:space="0"/>
              <w:bottom w:val="single" w:color="000000" w:sz="4" w:space="0"/>
              <w:right w:val="nil"/>
            </w:tcBorders>
            <w:vAlign w:val="center"/>
          </w:tcPr>
          <w:p w14:paraId="06789C9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提供离线计算引擎功能，支持对非结构化及结构化数据存储与离线计算；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支持对存在Hive、HDFS组件的数据结合Mapreduce计算框架对海量数据的批量计算、指标汇总计算、数据挖掘等场景提供基础计算服务；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引擎支持PB级的海量数据处理能力。</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21E24E28">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158ACA12">
            <w:pPr>
              <w:jc w:val="center"/>
              <w:rPr>
                <w:rFonts w:ascii="宋体" w:hAnsi="宋体" w:cs="宋体"/>
                <w:color w:val="auto"/>
                <w:szCs w:val="22"/>
                <w:highlight w:val="none"/>
              </w:rPr>
            </w:pPr>
          </w:p>
        </w:tc>
      </w:tr>
      <w:tr w14:paraId="229C449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42E592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3.1.12.1.4</w:t>
            </w:r>
          </w:p>
        </w:tc>
        <w:tc>
          <w:tcPr>
            <w:tcW w:w="1035" w:type="dxa"/>
            <w:tcBorders>
              <w:top w:val="single" w:color="000000" w:sz="4" w:space="0"/>
              <w:left w:val="single" w:color="000000" w:sz="4" w:space="0"/>
              <w:bottom w:val="single" w:color="000000" w:sz="4" w:space="0"/>
              <w:right w:val="single" w:color="000000" w:sz="4" w:space="0"/>
            </w:tcBorders>
            <w:vAlign w:val="center"/>
          </w:tcPr>
          <w:p w14:paraId="1074FE0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流式计算引擎</w:t>
            </w:r>
          </w:p>
        </w:tc>
        <w:tc>
          <w:tcPr>
            <w:tcW w:w="6176" w:type="dxa"/>
            <w:tcBorders>
              <w:top w:val="single" w:color="000000" w:sz="4" w:space="0"/>
              <w:left w:val="single" w:color="000000" w:sz="4" w:space="0"/>
              <w:bottom w:val="single" w:color="000000" w:sz="4" w:space="0"/>
              <w:right w:val="nil"/>
            </w:tcBorders>
            <w:vAlign w:val="center"/>
          </w:tcPr>
          <w:p w14:paraId="7C88734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提供流式计算引擎主要满足实时布控、实时监控预警等实时性要求非常高的功能需求；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提供轨迹流数据的秒级计算功能；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支持结合kafka缓存时间、Topic数量、窗口时长等因素进行规划，以及采用Flink组件实现数据实时计算。</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26563585">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0B2FF97D">
            <w:pPr>
              <w:jc w:val="center"/>
              <w:rPr>
                <w:rFonts w:ascii="宋体" w:hAnsi="宋体" w:cs="宋体"/>
                <w:color w:val="auto"/>
                <w:szCs w:val="22"/>
                <w:highlight w:val="none"/>
              </w:rPr>
            </w:pPr>
          </w:p>
        </w:tc>
      </w:tr>
      <w:tr w14:paraId="4013B20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B579B1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3.1.12.1.5</w:t>
            </w:r>
          </w:p>
        </w:tc>
        <w:tc>
          <w:tcPr>
            <w:tcW w:w="1035" w:type="dxa"/>
            <w:tcBorders>
              <w:top w:val="single" w:color="000000" w:sz="4" w:space="0"/>
              <w:left w:val="single" w:color="000000" w:sz="4" w:space="0"/>
              <w:bottom w:val="single" w:color="000000" w:sz="4" w:space="0"/>
              <w:right w:val="single" w:color="000000" w:sz="4" w:space="0"/>
            </w:tcBorders>
            <w:vAlign w:val="center"/>
          </w:tcPr>
          <w:p w14:paraId="7FFDD36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用户与权限管理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0C40970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平台集成了用户身份认证和权限管理功能；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支持根据实际需求启用安全管理，基于安全协议Kerberos实现安全认证，使用LDAP作为账户管理系统；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提供统一的用户和角色的管理体系，遵从RBAC(Role-Based Access Control)模型规范，通过角色绑定用户进行权限管理。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支持用户对各组件的审计日志及检索能力，全组件管理界面均支持单点登录。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●4.为保障数据的安全性，要求大数据平台支持可视化密钥管理和审计。</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71BE2D60">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4F5A6552">
            <w:pPr>
              <w:jc w:val="center"/>
              <w:rPr>
                <w:rFonts w:ascii="宋体" w:hAnsi="宋体" w:cs="宋体"/>
                <w:color w:val="auto"/>
                <w:szCs w:val="22"/>
                <w:highlight w:val="none"/>
              </w:rPr>
            </w:pPr>
          </w:p>
        </w:tc>
      </w:tr>
      <w:tr w14:paraId="3F944D0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9E7126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3.1.12.1.6</w:t>
            </w:r>
          </w:p>
        </w:tc>
        <w:tc>
          <w:tcPr>
            <w:tcW w:w="1035" w:type="dxa"/>
            <w:tcBorders>
              <w:top w:val="single" w:color="000000" w:sz="4" w:space="0"/>
              <w:left w:val="single" w:color="000000" w:sz="4" w:space="0"/>
              <w:bottom w:val="single" w:color="000000" w:sz="4" w:space="0"/>
              <w:right w:val="single" w:color="000000" w:sz="4" w:space="0"/>
            </w:tcBorders>
            <w:vAlign w:val="center"/>
          </w:tcPr>
          <w:p w14:paraId="75DB377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多租户管理</w:t>
            </w:r>
          </w:p>
        </w:tc>
        <w:tc>
          <w:tcPr>
            <w:tcW w:w="6176" w:type="dxa"/>
            <w:tcBorders>
              <w:top w:val="single" w:color="000000" w:sz="4" w:space="0"/>
              <w:left w:val="single" w:color="000000" w:sz="4" w:space="0"/>
              <w:bottom w:val="single" w:color="000000" w:sz="4" w:space="0"/>
              <w:right w:val="nil"/>
            </w:tcBorders>
            <w:vAlign w:val="center"/>
          </w:tcPr>
          <w:p w14:paraId="6F685D3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平台支持独立模式和共享模式两种资源划分模式；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支持共享模式下创建一个大集群，不同用户申请集群的共享存储和计算资源，并通过权限进行隔离；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支持独立模式下不同用户可申请创建单独的集群，独享集群的所有资源，不同集群之前使用网络进行隔离。</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74CA5A6C">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68DB92A3">
            <w:pPr>
              <w:jc w:val="center"/>
              <w:rPr>
                <w:rFonts w:ascii="宋体" w:hAnsi="宋体" w:cs="宋体"/>
                <w:color w:val="auto"/>
                <w:szCs w:val="22"/>
                <w:highlight w:val="none"/>
              </w:rPr>
            </w:pPr>
          </w:p>
        </w:tc>
      </w:tr>
      <w:tr w14:paraId="6BB4F24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A31E75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3.1.12.1.7</w:t>
            </w:r>
          </w:p>
        </w:tc>
        <w:tc>
          <w:tcPr>
            <w:tcW w:w="1035" w:type="dxa"/>
            <w:tcBorders>
              <w:top w:val="single" w:color="000000" w:sz="4" w:space="0"/>
              <w:left w:val="single" w:color="000000" w:sz="4" w:space="0"/>
              <w:bottom w:val="single" w:color="000000" w:sz="4" w:space="0"/>
              <w:right w:val="single" w:color="000000" w:sz="4" w:space="0"/>
            </w:tcBorders>
            <w:vAlign w:val="center"/>
          </w:tcPr>
          <w:p w14:paraId="43E04F9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日志管理</w:t>
            </w:r>
          </w:p>
        </w:tc>
        <w:tc>
          <w:tcPr>
            <w:tcW w:w="6176" w:type="dxa"/>
            <w:tcBorders>
              <w:top w:val="single" w:color="000000" w:sz="4" w:space="0"/>
              <w:left w:val="single" w:color="000000" w:sz="4" w:space="0"/>
              <w:bottom w:val="single" w:color="000000" w:sz="4" w:space="0"/>
              <w:right w:val="nil"/>
            </w:tcBorders>
            <w:vAlign w:val="center"/>
          </w:tcPr>
          <w:p w14:paraId="0F04DFF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大数据平台内置的日志采集解析系统，支持对操作系统、应用服务和业务逻辑产生的日志数据进行管理；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内置ElasticSearch组件提供日志存储和快速检索功能，支持日志的分析展示功能；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支持对平台各节点、各模块的操作、运行、告警等进行统一的日志管理，具备日志回溯、检索、统计等分析功能，实现全文检索与日志查询。</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09776572">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2240F055">
            <w:pPr>
              <w:jc w:val="center"/>
              <w:rPr>
                <w:rFonts w:ascii="宋体" w:hAnsi="宋体" w:cs="宋体"/>
                <w:color w:val="auto"/>
                <w:szCs w:val="22"/>
                <w:highlight w:val="none"/>
              </w:rPr>
            </w:pPr>
          </w:p>
        </w:tc>
      </w:tr>
      <w:tr w14:paraId="3AB1676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C69CC7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3.1.12.2</w:t>
            </w:r>
          </w:p>
        </w:tc>
        <w:tc>
          <w:tcPr>
            <w:tcW w:w="1035" w:type="dxa"/>
            <w:tcBorders>
              <w:top w:val="single" w:color="000000" w:sz="4" w:space="0"/>
              <w:left w:val="single" w:color="000000" w:sz="4" w:space="0"/>
              <w:bottom w:val="single" w:color="000000" w:sz="4" w:space="0"/>
              <w:right w:val="single" w:color="000000" w:sz="4" w:space="0"/>
            </w:tcBorders>
            <w:vAlign w:val="center"/>
          </w:tcPr>
          <w:p w14:paraId="59AFF5F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分布式数据库平台</w:t>
            </w:r>
          </w:p>
        </w:tc>
        <w:tc>
          <w:tcPr>
            <w:tcW w:w="6176" w:type="dxa"/>
            <w:tcBorders>
              <w:top w:val="single" w:color="000000" w:sz="4" w:space="0"/>
              <w:left w:val="single" w:color="000000" w:sz="4" w:space="0"/>
              <w:bottom w:val="single" w:color="000000" w:sz="4" w:space="0"/>
              <w:right w:val="nil"/>
            </w:tcBorders>
            <w:vAlign w:val="center"/>
          </w:tcPr>
          <w:p w14:paraId="618CC313">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5DF231E1">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BAE7D59">
            <w:pPr>
              <w:jc w:val="center"/>
              <w:rPr>
                <w:rFonts w:ascii="宋体" w:hAnsi="宋体" w:cs="宋体"/>
                <w:color w:val="auto"/>
                <w:szCs w:val="22"/>
                <w:highlight w:val="none"/>
              </w:rPr>
            </w:pPr>
          </w:p>
        </w:tc>
      </w:tr>
      <w:tr w14:paraId="0E92416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20D2C1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3.1.12.2.1</w:t>
            </w:r>
          </w:p>
        </w:tc>
        <w:tc>
          <w:tcPr>
            <w:tcW w:w="1035" w:type="dxa"/>
            <w:tcBorders>
              <w:top w:val="single" w:color="000000" w:sz="4" w:space="0"/>
              <w:left w:val="single" w:color="000000" w:sz="4" w:space="0"/>
              <w:bottom w:val="single" w:color="000000" w:sz="4" w:space="0"/>
              <w:right w:val="single" w:color="000000" w:sz="4" w:space="0"/>
            </w:tcBorders>
            <w:vAlign w:val="center"/>
          </w:tcPr>
          <w:p w14:paraId="6806762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可视化管理平台</w:t>
            </w:r>
          </w:p>
        </w:tc>
        <w:tc>
          <w:tcPr>
            <w:tcW w:w="6176" w:type="dxa"/>
            <w:tcBorders>
              <w:top w:val="single" w:color="000000" w:sz="4" w:space="0"/>
              <w:left w:val="single" w:color="000000" w:sz="4" w:space="0"/>
              <w:bottom w:val="single" w:color="000000" w:sz="4" w:space="0"/>
              <w:right w:val="nil"/>
            </w:tcBorders>
            <w:vAlign w:val="center"/>
          </w:tcPr>
          <w:p w14:paraId="259B2A5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数据库采用MPP(Massively Parallel Processing)分布式大规模并行处理架构，管理平台采用B/S架构，支持字符终端的命令行和菜单可视化工具；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支持集群安装、创建和日常运维监控管理功能，以及基于web的图形化运维管理监控工具；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客户端浏览器访问采用Html5协议架构。</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14:paraId="7ED4A31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14:paraId="33BD26E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节点</w:t>
            </w:r>
          </w:p>
        </w:tc>
      </w:tr>
      <w:tr w14:paraId="6568695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F72F55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3.1.12.2.2</w:t>
            </w:r>
          </w:p>
        </w:tc>
        <w:tc>
          <w:tcPr>
            <w:tcW w:w="1035" w:type="dxa"/>
            <w:tcBorders>
              <w:top w:val="single" w:color="000000" w:sz="4" w:space="0"/>
              <w:left w:val="single" w:color="000000" w:sz="4" w:space="0"/>
              <w:bottom w:val="single" w:color="000000" w:sz="4" w:space="0"/>
              <w:right w:val="single" w:color="000000" w:sz="4" w:space="0"/>
            </w:tcBorders>
            <w:vAlign w:val="center"/>
          </w:tcPr>
          <w:p w14:paraId="3387623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数据存储引擎</w:t>
            </w:r>
          </w:p>
        </w:tc>
        <w:tc>
          <w:tcPr>
            <w:tcW w:w="6176" w:type="dxa"/>
            <w:tcBorders>
              <w:top w:val="single" w:color="000000" w:sz="4" w:space="0"/>
              <w:left w:val="single" w:color="000000" w:sz="4" w:space="0"/>
              <w:bottom w:val="single" w:color="000000" w:sz="4" w:space="0"/>
              <w:right w:val="nil"/>
            </w:tcBorders>
            <w:vAlign w:val="center"/>
          </w:tcPr>
          <w:p w14:paraId="2A4C7AC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分布式数据库提供行式、列式存储功能；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提供主动压缩功能，开发数据压缩算法，包括行程长度算法、增量编码算法等实现数据压缩和存储。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支持数据分级存储功能，满足数据合规性要求以及数据性能要求。</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5ED002EB">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05B112A4">
            <w:pPr>
              <w:jc w:val="center"/>
              <w:rPr>
                <w:rFonts w:ascii="宋体" w:hAnsi="宋体" w:cs="宋体"/>
                <w:color w:val="auto"/>
                <w:szCs w:val="22"/>
                <w:highlight w:val="none"/>
              </w:rPr>
            </w:pPr>
          </w:p>
        </w:tc>
      </w:tr>
      <w:tr w14:paraId="317C925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DEB5AB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3.1.12.2.3</w:t>
            </w:r>
          </w:p>
        </w:tc>
        <w:tc>
          <w:tcPr>
            <w:tcW w:w="1035" w:type="dxa"/>
            <w:tcBorders>
              <w:top w:val="single" w:color="000000" w:sz="4" w:space="0"/>
              <w:left w:val="single" w:color="000000" w:sz="4" w:space="0"/>
              <w:bottom w:val="single" w:color="000000" w:sz="4" w:space="0"/>
              <w:right w:val="single" w:color="000000" w:sz="4" w:space="0"/>
            </w:tcBorders>
            <w:vAlign w:val="center"/>
          </w:tcPr>
          <w:p w14:paraId="60C0325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数据查询分析引擎</w:t>
            </w:r>
          </w:p>
        </w:tc>
        <w:tc>
          <w:tcPr>
            <w:tcW w:w="6176" w:type="dxa"/>
            <w:tcBorders>
              <w:top w:val="single" w:color="000000" w:sz="4" w:space="0"/>
              <w:left w:val="single" w:color="000000" w:sz="4" w:space="0"/>
              <w:bottom w:val="single" w:color="000000" w:sz="4" w:space="0"/>
              <w:right w:val="nil"/>
            </w:tcBorders>
            <w:vAlign w:val="center"/>
          </w:tcPr>
          <w:p w14:paraId="4FF7D6D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支持在数据内存区WOS提供数据快速查询功能，通过内存的快速读写能力来提升数据实时装载能力；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提供数据实时聚合和自动宽表功能，支持在数据装载的同时，自动完成当前加载批数据的分组和Top-k排名等实时聚合计算；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支持后台服务自动完成小批量聚合数据的合并，大幅减少聚合分析查询需要访问的数据量和存储空间，在聚合结果上提供实时分析能力。</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44549200">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63588514">
            <w:pPr>
              <w:jc w:val="center"/>
              <w:rPr>
                <w:rFonts w:ascii="宋体" w:hAnsi="宋体" w:cs="宋体"/>
                <w:color w:val="auto"/>
                <w:szCs w:val="22"/>
                <w:highlight w:val="none"/>
              </w:rPr>
            </w:pPr>
          </w:p>
        </w:tc>
      </w:tr>
      <w:tr w14:paraId="688948B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CDDB0B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3.1.12.2.4</w:t>
            </w:r>
          </w:p>
        </w:tc>
        <w:tc>
          <w:tcPr>
            <w:tcW w:w="1035" w:type="dxa"/>
            <w:tcBorders>
              <w:top w:val="single" w:color="000000" w:sz="4" w:space="0"/>
              <w:left w:val="single" w:color="000000" w:sz="4" w:space="0"/>
              <w:bottom w:val="single" w:color="000000" w:sz="4" w:space="0"/>
              <w:right w:val="single" w:color="000000" w:sz="4" w:space="0"/>
            </w:tcBorders>
            <w:vAlign w:val="center"/>
          </w:tcPr>
          <w:p w14:paraId="4B3AB2C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数据库自动优化设计工具</w:t>
            </w:r>
          </w:p>
        </w:tc>
        <w:tc>
          <w:tcPr>
            <w:tcW w:w="6176" w:type="dxa"/>
            <w:tcBorders>
              <w:top w:val="single" w:color="000000" w:sz="4" w:space="0"/>
              <w:left w:val="single" w:color="000000" w:sz="4" w:space="0"/>
              <w:bottom w:val="single" w:color="000000" w:sz="4" w:space="0"/>
              <w:right w:val="nil"/>
            </w:tcBorders>
            <w:vAlign w:val="center"/>
          </w:tcPr>
          <w:p w14:paraId="3A344C2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提供专家级知识的数据库优化设计器；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支持用户指定逻辑模式（Schema），装载样例数据，并提供典型查询SQL语句；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支持自动设计数据的水平分布方式，以及每个列的排序方式和压缩算法，平衡查询性能和存储空间大小要求，实现数据库整体的最优化。</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7151FADC">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706C6BDF">
            <w:pPr>
              <w:jc w:val="center"/>
              <w:rPr>
                <w:rFonts w:ascii="宋体" w:hAnsi="宋体" w:cs="宋体"/>
                <w:color w:val="auto"/>
                <w:szCs w:val="22"/>
                <w:highlight w:val="none"/>
              </w:rPr>
            </w:pPr>
          </w:p>
        </w:tc>
      </w:tr>
      <w:tr w14:paraId="419FC6B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C9511E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3.1.12.2.5</w:t>
            </w:r>
          </w:p>
        </w:tc>
        <w:tc>
          <w:tcPr>
            <w:tcW w:w="1035" w:type="dxa"/>
            <w:tcBorders>
              <w:top w:val="single" w:color="000000" w:sz="4" w:space="0"/>
              <w:left w:val="single" w:color="000000" w:sz="4" w:space="0"/>
              <w:bottom w:val="single" w:color="000000" w:sz="4" w:space="0"/>
              <w:right w:val="single" w:color="000000" w:sz="4" w:space="0"/>
            </w:tcBorders>
            <w:vAlign w:val="center"/>
          </w:tcPr>
          <w:p w14:paraId="1505CDE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用户与权限管理</w:t>
            </w:r>
          </w:p>
        </w:tc>
        <w:tc>
          <w:tcPr>
            <w:tcW w:w="6176" w:type="dxa"/>
            <w:tcBorders>
              <w:top w:val="single" w:color="000000" w:sz="4" w:space="0"/>
              <w:left w:val="single" w:color="000000" w:sz="4" w:space="0"/>
              <w:bottom w:val="single" w:color="000000" w:sz="4" w:space="0"/>
              <w:right w:val="nil"/>
            </w:tcBorders>
            <w:vAlign w:val="center"/>
          </w:tcPr>
          <w:p w14:paraId="68B7E091">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提供用户与权限管理机制，支持口令加密存储、LDAP/AD、Kerberos等多种认证方式方式；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支持为用户指定口令强度和生命周期、登录最大重试次数等强制安全策略；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支持对客户端网络的“白名单”和“黑名单”控制机制，来自“黑名单”网络范围的用户拒绝访问，来自“白名单”网络方位的用户允许访问；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提供完备的基于角色的授权机制，控制用户的模式、表、视图、函数和存储过程等数据库对象。</w:t>
            </w:r>
          </w:p>
        </w:tc>
        <w:tc>
          <w:tcPr>
            <w:tcW w:w="754" w:type="dxa"/>
            <w:vMerge w:val="continue"/>
            <w:tcBorders>
              <w:top w:val="single" w:color="000000" w:sz="4" w:space="0"/>
              <w:left w:val="single" w:color="000000" w:sz="4" w:space="0"/>
              <w:bottom w:val="single" w:color="000000" w:sz="4" w:space="0"/>
              <w:right w:val="single" w:color="000000" w:sz="4" w:space="0"/>
            </w:tcBorders>
            <w:vAlign w:val="center"/>
          </w:tcPr>
          <w:p w14:paraId="414DF6DB">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6AA57322">
            <w:pPr>
              <w:jc w:val="center"/>
              <w:rPr>
                <w:rFonts w:ascii="宋体" w:hAnsi="宋体" w:cs="宋体"/>
                <w:color w:val="auto"/>
                <w:szCs w:val="22"/>
                <w:highlight w:val="none"/>
              </w:rPr>
            </w:pPr>
          </w:p>
        </w:tc>
      </w:tr>
      <w:tr w14:paraId="6022A16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098EA7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3.1.13</w:t>
            </w:r>
          </w:p>
        </w:tc>
        <w:tc>
          <w:tcPr>
            <w:tcW w:w="1035" w:type="dxa"/>
            <w:tcBorders>
              <w:top w:val="single" w:color="000000" w:sz="4" w:space="0"/>
              <w:left w:val="single" w:color="000000" w:sz="4" w:space="0"/>
              <w:bottom w:val="single" w:color="000000" w:sz="4" w:space="0"/>
              <w:right w:val="single" w:color="000000" w:sz="4" w:space="0"/>
            </w:tcBorders>
            <w:vAlign w:val="center"/>
          </w:tcPr>
          <w:p w14:paraId="79B74D5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物联网平台</w:t>
            </w:r>
          </w:p>
        </w:tc>
        <w:tc>
          <w:tcPr>
            <w:tcW w:w="6176" w:type="dxa"/>
            <w:tcBorders>
              <w:top w:val="single" w:color="000000" w:sz="4" w:space="0"/>
              <w:left w:val="single" w:color="000000" w:sz="4" w:space="0"/>
              <w:bottom w:val="single" w:color="000000" w:sz="4" w:space="0"/>
              <w:right w:val="single" w:color="000000" w:sz="4" w:space="0"/>
            </w:tcBorders>
            <w:vAlign w:val="center"/>
          </w:tcPr>
          <w:p w14:paraId="5A29349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 网关管理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1、用于创建物联网关，设置连接参数，包括物联网网关名称、协议、IP地址、访问端口等，如：PLC网关。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2、统计并展示总体网关数量信息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3、统计并展示在线网关数量信息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4、计并展示离线网关数量信息。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设备点表：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按物联网设备类型创建点表，包括设备协议、设备采集数据项目（简称数据项，包括数据标识、数据项名称、地址位、数据类型、读写类型、功能码、单位等）、设备控制动作（如开启、关闭、声光报警等）、关联设备实例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2、统计并展示设备点表信息数量；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三、 设备实例：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1、按物联网设备类型创建设备实例，即每个物联设备的编号、所属物联网关、关联设备点表、型号、区域点位、设备协议、设备ID、采集频率等。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2、支持设备实例关联视频流，实现设备报警时联动视频查询播放。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3、支持设备实例远程控制。如：远程开关照明灯、风机、水泵。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4、设备控制日志查询。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5、支持按设备类型分类管理。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四、 数据监测：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1、按园区区域筛选监测设备。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2、支持按设备类别查询设备实例。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3、支持按设备实例查询数据项目以及采集实时值。</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五、 智能场景：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1、可以设置不同的应用场景，设置场景触发条件以及触发之后执行的设备动作，达到智能监测与控制的目的。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2、统计并展示智能场景数据。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3、支持智能场景条件、时间设置。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六、 定时任务：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1、支持可以设置定时任务执行设备动作。例如: 每天早上7点打开风机通风半小时。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2、定时任务卡片设计。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3、定时任务表单样式。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4、统计显示定时任务任务名称。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5、统计显示定时任务时分。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6、统计显示定时任务启动日期。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七、 视频管理：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1、支持定义视频设备实例，包括视频名称、类别、取流地址、设备区域、设备点位、IP地址、用户名、密码、访问端口等。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2、支持摄像头名称条件搜索。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3、支持视频管理的点位、区域条件搜索。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4、支持视频管理的经纬度条件搜索。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5、支持视频管理的经纬度地图打点功能。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八、 事件预警：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1、事件管理与配置，事件中心统一查询各类事件，事件预警的处置、预警历史查询等。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2、报警数据编号、来源、设备名称、设备编号等条件进行搜索预警信息。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3、预警处置数据支持报警编号、来源、设备名称、设备编号等条件进行搜索。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4、支持预警处置数据导出功能。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5、支持预警历史数据的查询、删除。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6、预警历史数据支持报警编号、来源、设备名称、设备编号等条件进行搜索。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7、支持预警历史数据导出功能。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九、 第三方物联终端对接：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1、物联网平台提供对第三方物联设备的开放对接能力；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2、第三方厂商可以基于图形化方式完成无代码或少代码设备对接，使应用可以不关注硬件厂商差异和协议差异。</w:t>
            </w:r>
          </w:p>
        </w:tc>
        <w:tc>
          <w:tcPr>
            <w:tcW w:w="754" w:type="dxa"/>
            <w:tcBorders>
              <w:top w:val="single" w:color="000000" w:sz="4" w:space="0"/>
              <w:left w:val="single" w:color="000000" w:sz="4" w:space="0"/>
              <w:bottom w:val="single" w:color="000000" w:sz="4" w:space="0"/>
              <w:right w:val="single" w:color="000000" w:sz="4" w:space="0"/>
            </w:tcBorders>
            <w:vAlign w:val="center"/>
          </w:tcPr>
          <w:p w14:paraId="3569292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65AF2D1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71A110F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92C6C1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3.2</w:t>
            </w:r>
          </w:p>
        </w:tc>
        <w:tc>
          <w:tcPr>
            <w:tcW w:w="1035" w:type="dxa"/>
            <w:tcBorders>
              <w:top w:val="single" w:color="000000" w:sz="4" w:space="0"/>
              <w:left w:val="single" w:color="000000" w:sz="4" w:space="0"/>
              <w:bottom w:val="single" w:color="000000" w:sz="4" w:space="0"/>
              <w:right w:val="single" w:color="000000" w:sz="4" w:space="0"/>
            </w:tcBorders>
            <w:vAlign w:val="center"/>
          </w:tcPr>
          <w:p w14:paraId="220D518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园区可视化系统</w:t>
            </w:r>
          </w:p>
        </w:tc>
        <w:tc>
          <w:tcPr>
            <w:tcW w:w="6176" w:type="dxa"/>
            <w:tcBorders>
              <w:top w:val="single" w:color="000000" w:sz="4" w:space="0"/>
              <w:left w:val="single" w:color="000000" w:sz="4" w:space="0"/>
              <w:bottom w:val="single" w:color="000000" w:sz="4" w:space="0"/>
              <w:right w:val="single" w:color="000000" w:sz="4" w:space="0"/>
            </w:tcBorders>
            <w:vAlign w:val="center"/>
          </w:tcPr>
          <w:p w14:paraId="3AF1796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 园区态势一张图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1、园区概述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（1）统计园区企业数量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（2）统计园区在产企业数量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（3）统计园区特别管控数量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（4）统计园区重点关注数量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（5）统计监管化学品数量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（6）统计高危工艺数量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（7）统计重大危险源数量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2、今日监测报警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（1）统计今日监测重大风险报警数量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（2）统计今日监测较大风险报警数量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（3）统计今日监测一般风险报警数量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（4）统计今日监测低风险报警数量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（5）统计今日监测设备离线数量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（6）统计报警企业数量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（7）统计报警总数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3、今日安全承诺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（1）统计今日需承诺的高风险企业数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（2）统计今日需承诺的较大风险企业数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（3）统计今日需承诺的一般风险企业数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（4）统计今日需承诺的低风险企业数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（5）统计今日已承诺的企业数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（6）统计今日未承诺的企业数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（7）汇聚有毒有害气体监测数据，支持日期搜索等功能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（8）统计各类型的企业产业数量，并用环形图表示比例数据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4、危化运输车辆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（1）统计监测报警监测的危化车辆不安全驾驶行为报警数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（2）统计危化运输车辆总数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（3）统计厢式运输车类型的车辆数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5、今日隐患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（1）统计隐患总数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（2）统计今日隐患总数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（3）统计属于重大隐患的隐患数量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（4）统计属于一般隐患的隐患数量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（5）统计今日处置个数，计算处置完成率和隐患处置的总进度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（6）统计隐患整改中数，延期整改中数，超期未整改数和隐患待验收数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6、今日特殊作业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（1）汇聚今日特殊作业信息，支持作业类型搜索功能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统计今日特殊作业总数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7、今日AI分析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（1）汇聚AI设备的报警信息，支持日期查询功能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（2）统计AI报警总数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（3）统计今日AI报警总数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8、今日事件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（1）汇聚今日事件信息，支持日期搜索功能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（2）统计事件总数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（3）统计今日事件总数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9、今日报警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（1）汇聚今日报警信息，支持日期搜索操作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（2）统计设备报警总数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（3）统计今日设备报警数量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10、总体态势场景开发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（1）查看目标物体的详细信息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（2）展示企业总览、基本信息、负责人信息、重大危险源等信息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（3）支持搜索对象，分为物联网报警和AI报警两部分，查看报警详情，包括序号、报警状态、报警对象名称、检测项、报警级别、报警开始时间、持续时长、报警描述信息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（4）查看事件详情，包括事件状态、事件编号、事件名称、事故发生时间、地点、事故种类、事情描述、负责人、联系电话信息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（5）支持输入摄像头或企业查询视频列表，默认显示所有视频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（7）展示所有企业的标签，鼠标点击企业标签，镜头移动到企业上空，并打开企业相关弹窗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10、企业安全承诺场景开发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（2）展示公司名称、日期、宣言、值班领导、联系电话、承诺人、今日生产概况、生产装置运行、生产作业详情、承诺率、万年历、改日承诺情况等信息。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两重点一重大一张图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三、 1、危化品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（1）统计危化品总数，支持列表搜索企业名称等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（2）树形列表联动场景，汇聚企业的危险化学品，支持统计企业危化品总数和快速定位模型位置查看详情等功能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（3）汇聚园区重点监管化学品，统计重点监管化学品个数和快速定位模型位置查看详情等功能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（4）两汇聚涉及重点监管危化品企业，统计重点监管危化品企业数量和快速定位模型位置等功能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2、危化工艺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（1）统计危化工艺总数，支持列表搜索企业名称等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（2）汇聚企业的危险工艺，支持快速定位模型位置查看详情等功能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（3）汇聚园区重点监管工艺，统计重点监管工艺种类和快速定位模型位置查看详情等功能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（4）汇聚涉及重点监管危化工艺企业，统计重点监管危化工艺企业数量和快速定位模型位置等功能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3、重大危险源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（1）统计危险源等级为一级的重大危险源数量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（2）统计危险源等级为二级的重大危险源数量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（3）统计危险源等级为三级的重大危险源数量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（4）统计危险源等级为四级的重大危险源数量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（5）汇聚企业的重大危险源，支持快速定位模型位置查看详情等功能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（6）汇聚重大危险源的视频监控画面，支持切换查看视频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（7）汇聚重大危险源的物联监测信息，包括区域监测点，监测项和监测值等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（8）汇聚重大危险源的AI监测信息，包括监测点，实时监测和AI监测项等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（9）汇聚重大危险源的设备报警信息，包括监测项，报警值等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（11）重大危险源标签，展示包括企业名称、危险源类型、监管负责人、联系电话、危险源等级、企业详情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四、 双重预防一张图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1、风险对象统计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（1）统计风险对象为重大风险数量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（2）统计风险对象为较大风险数量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（3）统计风险对象为一般风险数量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（4）统计风险对象为低风险数量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（5）汇聚企业风险信息，包括风险等级，风险对象数，风险单元数等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2、隐患统计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（1）统计隐患总数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（2）统计未处置的隐患数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（3）计算隐患处置率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（4）统计隐患逾期未整改数量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（5）计算重大隐患和一般隐患的整改完成率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3、今日排查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（1）计算今日排查任务进度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（2）统计已排查数，包括重大风险，较大风险，一般风险和低风险的已排查任务数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（3）统计待排查数，包括重大风险，较大风险，一般风险和低风险的待排查任务数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4、患排查治理趋势：统计表示已整改数和已排查数随着日期的变化趋势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5、未整改逾期报警列表：汇聚未整改逾期报警信息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6、双重预防场景开发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（1）针对不同企业给出的四色图进行建模，场景中渲染四色图效果，直观展示风险等级及分布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通过接口对物体进行绑定ID</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（2）点击风险对象后，弹出包括企业名称、类型、负责人、是否重大危险源、负责人联系电话、危险源分级、特殊作业数量、风险单元数量、未处置隐患数量、处理结果、报警数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特殊作业一张图 1、统计今日各类特殊作业作业数量，如动火，高处作业等。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2、汇聚各企业的作业数据，支持搜索操作。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3、统计各特殊类型的作业数量。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4、统计作业类型企业信息，包括企业名称，作业证编号，作业类型等，支持类型搜索功能。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5、汇聚作业报警信息数据，支持搜索功能。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6、对不同的特殊作业选项，展示对应的作业位置。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五、 封闭管理一张图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1、封闭管理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（1）统计园区车辆数量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（2）统计园区人员数量，包括总人数，访客数，行政人员数，第三方承包商数和企业职工数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（3）统计各卡口类型的进出园数，如普通卡口，应急卡口的出入园数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（4）统计今日危化车辆预约入园数量，支持搜索功能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（5）汇聚各卡口的视频监控，支持切换等功能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（6）汇聚人员和车辆的入园信息，支持统计总数和日期搜索等功能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（7）汇聚人员行为报警数据，支持日期搜索功能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（8）汇聚车辆不安全行为报警数据，支持日期搜索功能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2、视频监控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（1）统计视频监控数量，包括视频总数，正常设备数和离线设备数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（2）汇聚园区监控视频，支持区域点位统计监控总数和查看点位监控画面等功能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（3）汇聚园区监控视频列表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（4）封闭园区视频监控场景开发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（6）展示视频名称及画面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3、AR云图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（1）高点全景视频支持随意切换角度，掌握大场景环境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（2）低点全景视频支持捕获具体细节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（3）AR实景数据标签支持查看业务资源和定义全场景业务名称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（4）AR实景一张图支持视、 查、管、控全方位、立体化、一站式应用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（5）支持AI检测异常事件，联动标签动态预警和报警源的精准定位联动周边视频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4、危化车辆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（1）汇聚企业的危化车辆信息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（2）两侧页面-车辆行为报警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（3）汇聚车辆行为报警信息，支持日期搜索等功能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（4）统计危化车辆的报警数量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5、危化车辆场景开发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（1）展示危化车辆的位置信息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（2）统计专用卡口的进出人员数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（3）统计危险品卡口的进出人员数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（4）统计人员总数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（5）统计企业职工总数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（6）统计第三方人员总数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（7）统计访客总数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（8）汇聚定位卡的企业人员信息，支持快速定位人员在模型位置等功能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（9）汇聚人员报警信息，支持统计各类报警数据，如行为报警，超员报警等功能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6、智能停车场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（1）统计园区车场数量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（2）统计园区停车位数量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（3）统计园区停车位占用数量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（4）统计园区停车位空闲数量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（5）统计停车位预约占用数量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（6）汇聚车辆通行记录信息，包括车牌号，时间等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（7）汇聚停车场的监控视频信息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（8）汇聚停车场气体监测信息，包括区域监测点，监测项等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（9）汇聚停车场监测报警信息，支持日期搜索等功能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（10）绘制停车场范围信息并展示停车场信息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7、智能巡更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（1）汇总今日巡更人员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（2）汇聚各企业巡更人员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（3）统计异常点位总数和待处置总数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（4）汇聚巡更过程的异常信息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（5）展示巡更路线及巡更途径点信息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六、 敏捷应急一张图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1、辅助决策</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（1）统计当前预警总数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（2）统计当前事件总数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（3）汇聚应急资源，包括应急物资，应急仓库等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（4）汇聚应急事件信息，统计事件总数，支持筛选查询功能等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（6）展示处置状态、AI监测项、告警时间、告警持续时长、报警描述、照片、报告人、联系电话等信息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（1）统计报警总数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（2）统计报警未处置数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（3）计算报警的处置率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（4）当前未处置报警统计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（5）统计未处置的一级、二级、三级报警数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（6）汇聚未处理报警信息，包括企业名称，报警数等，支持日期搜索等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（7）统计报警信息数量，汇聚报警信息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（9）展示报警对象、设备标识、监测项、开始时间、结束时间等信息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3、应急资源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（1）统计当前预警数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（2）统计当前事件数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（3）汇聚应急救援队伍信息，包括名称和位置，支持搜索功能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（4）汇聚应急救援队伍专家信息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（5）汇聚应急救援队伍物资信息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（6）汇聚应急仓库和仓库下的物资信息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（7）汇聚避难所信息，支持搜索和定位操作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（8）汇聚通信资源信息，支持搜索等功能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（9）汇聚医疗机构信息，支持搜索等功能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（10）汇聚运输资源信息，支持搜索等功能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（11）展示应急救援队伍、应急物资、应急仓库等信息的分布情况，以及详细信息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七、 有毒有害气体一张图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1、统计气体监测设备总数。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2、统计气体监测在线、离线数。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3、汇聚气体监测设备的区域点位信息，支持搜索和统计设备在线/总数功能。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4、汇聚气体监测设备报警数据，统计报警信息总数和支持下拉筛选等功能。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6、展示企业名称、报警详情等信息。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八、 公用工程一张图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1、供水管道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（1）统计气体监测设备设备总数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（2）统计气体监测设备在线数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（3）统计气体监测设备离线数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（4）统计气体监测设备故障数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（5）汇聚气体监测设备报警信息，统计气体监测设备报警数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（6）汇聚供水管道气体监测设备点位信息等，支持搜索等功能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（8）展示设备编号、设备位置、设备类型、水压值、安全范围等信息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2、天然气管道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（1）统计气体监测设备的总数，在线数和离线数，并用环形图表示在线离线比例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（2）汇聚气体监测设备的区域点位信息，支持区域名称或点位等搜索功能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（3）汇聚气体监测设备的报警信息，统计报警个数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（5）展示监测项、相关数据等信息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3、配电安全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（1）统计配电监测设备的总数，在线数和离线数；计算配电监测的故障率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（2）汇聚配电监测的区域点位信息，支持区域和点位名称等搜索功能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（3）汇聚配电监测设备的报警信息并统计其个数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（5）展示设备名称、设备编号、设备状态、设备位置、设备类型等信息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4、雨水管道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（1）统计雨水管道的设备总数，在线数和离线数，计算其故障率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（2）汇聚雨水管道设备的区域点位信息，支持区域或点位等搜索功能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（3）雨水管道监控列表，实时查看监控画面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（4）通过接口获取坐标数据，将火星坐标经纬度数据经过坐标转换，转成三维场景的坐标，渲染成对应的标签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（5）展示雨水管道的弹窗视频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九、 园区企业接入情况一张图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1、统计待接入企业数量，接入企业数量，计算企业接入率；统计视频数量和监测项数，并可查看详情。</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2、统计已接入和应接入企业类型数量，计算一级，二级，三级，四级和非危险源企业数量。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3、汇聚企业接入信息。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4、计算重大危险源接入信息，如接入率，已接入和未接入，统计各级重大危险源个数。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5、统计接入危化工艺数量和各类工艺企业数量。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6、统计涉及重点监管化学品种类数量和各类重点监管化学品企业数。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7、通过精准的数据呈现，助力管理者实时掌握园区信息化接入动态，为统筹规划、高效管理提供有力支撑，推动园区数字化建设进程。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十、 园区企业安全承诺一张图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1、统计实际承诺企业和未承诺企业数量，计算承诺率和承诺率较昨日新增百分比。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2、统计未承诺企业个数，并列表汇聚未承诺企业。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3、统计今天特殊作业企业个数，并列表汇聚各企业及作业数量。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4、计算企业风险总数，统计高风险，较大风险，一般风险和低风险个数。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5、汇聚重点产业作业信息。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6、计算特殊作业企业数量，统计今日特殊作业类型作业数量。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7、以 一张图 形式直观呈现企业接入率，同时涵盖各企业安全承诺签署状态、重点承诺事项分布等关键信息。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十一、 三维场景建模与主题场景开发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1、提供整个园区场景的三维建模服务，要求精度不低于L3级。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2、按视频、周界、物联监测等智能设备的实际点位精准布设，高效完成系统集成接口开发。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3、实现按主题场景的的三模模型交互操作，助力园区实现智能化、数字化转型，提升综合管理效能。</w:t>
            </w:r>
          </w:p>
        </w:tc>
        <w:tc>
          <w:tcPr>
            <w:tcW w:w="754" w:type="dxa"/>
            <w:tcBorders>
              <w:top w:val="single" w:color="000000" w:sz="4" w:space="0"/>
              <w:left w:val="single" w:color="000000" w:sz="4" w:space="0"/>
              <w:bottom w:val="single" w:color="000000" w:sz="4" w:space="0"/>
              <w:right w:val="single" w:color="000000" w:sz="4" w:space="0"/>
            </w:tcBorders>
            <w:vAlign w:val="center"/>
          </w:tcPr>
          <w:p w14:paraId="2F3568E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39F2E1E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3A1F675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A3CF91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3.3</w:t>
            </w:r>
          </w:p>
        </w:tc>
        <w:tc>
          <w:tcPr>
            <w:tcW w:w="1035" w:type="dxa"/>
            <w:tcBorders>
              <w:top w:val="single" w:color="000000" w:sz="4" w:space="0"/>
              <w:left w:val="single" w:color="000000" w:sz="4" w:space="0"/>
              <w:bottom w:val="single" w:color="000000" w:sz="4" w:space="0"/>
              <w:right w:val="single" w:color="000000" w:sz="4" w:space="0"/>
            </w:tcBorders>
            <w:vAlign w:val="center"/>
          </w:tcPr>
          <w:p w14:paraId="4A1DBBB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AR实景平台</w:t>
            </w:r>
          </w:p>
        </w:tc>
        <w:tc>
          <w:tcPr>
            <w:tcW w:w="6176" w:type="dxa"/>
            <w:tcBorders>
              <w:top w:val="single" w:color="000000" w:sz="4" w:space="0"/>
              <w:left w:val="single" w:color="000000" w:sz="4" w:space="0"/>
              <w:bottom w:val="single" w:color="000000" w:sz="4" w:space="0"/>
              <w:right w:val="nil"/>
            </w:tcBorders>
            <w:vAlign w:val="center"/>
          </w:tcPr>
          <w:p w14:paraId="5BB4F5C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结合视频无人巡检设备建设的6个AR 高空全景摄像头，检测直径为200米范围内的运动目标，可同时检测128个目标，并对目标进行人车分类；通过高空瞭望摄像头标注园区重点点位，支持172°超大视场角，支持AI Smart事件，在Smart智能基础上，可针对人体、机动车、非机动车进行智能触发，实现园区一图概览和风险预警展示。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高低联动：通过标签联动低点视频，可以在全景视频画面中以画中画形式实时呈现，并支持同时打开多个视频画面。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低高联动：当前端场景为AR云台场景时，平台接收到布控报警信息时，会自动联动高空的AR云台相机进行云台转动和聚焦变倍操作，使其转动到对应的报警标签。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全景视频中支持实时视频图像标注，能够对视频画面中重点位置、区域进行标签标注，能够直观展示视频画面区域内有效信息、属性和特征。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视频监控默认样式包含AI摄像头、人脸卡口、车辆卡口、AR全景、AR球机、AR枪机、全景、多视频、枪机、球机共10类型。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支持勾选标签显示类型，在视频画面中屏蔽或显示相应类型的标签。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支持标签自定义工具增、删、改样式时，实时增加样式、更新标签样式、删除标签样式与相关标签功能。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配置对应的视频巡逻预案，通过制定预案，可在预定的时间自动打开对应预案执行，根据关注点的不同，对视频显示画面进行资源标注、管理划分、画面布局等功能。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平台可展示人脸抓拍记录、车辆抓拍记录、车辆布控报警、人脸布控报警，在全景视频中以画中画形式进行展示，人脸事件包含人员信息、抓拍时间、抓拍地点等，车辆事件包含车牌号、抓拍时间、抓拍地点等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支持对设备、标签收藏，同时支持按照类型、使用频率进行排序过滤，双击对应项可联动定位标签、打开视频。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支持标签搜索定位，实现视频画面快速定位到目标位置标签，设备为球机，云台直接转动到该检索对应的位置。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支持1/4/9窗体播放视频，打开多视频窗体时，自动根据设备数量选择分屏数量，支持切换单个设备在主画面中播放。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通过AI+AR一站式服务主题，实现视、查、管、控一站式管理。</w:t>
            </w:r>
          </w:p>
        </w:tc>
        <w:tc>
          <w:tcPr>
            <w:tcW w:w="754" w:type="dxa"/>
            <w:tcBorders>
              <w:top w:val="single" w:color="000000" w:sz="4" w:space="0"/>
              <w:left w:val="single" w:color="000000" w:sz="4" w:space="0"/>
              <w:bottom w:val="single" w:color="000000" w:sz="4" w:space="0"/>
              <w:right w:val="single" w:color="000000" w:sz="4" w:space="0"/>
            </w:tcBorders>
            <w:vAlign w:val="center"/>
          </w:tcPr>
          <w:p w14:paraId="4BDB114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797E5C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5F24BD3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18E1D5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w:t>
            </w:r>
          </w:p>
        </w:tc>
        <w:tc>
          <w:tcPr>
            <w:tcW w:w="1035" w:type="dxa"/>
            <w:tcBorders>
              <w:top w:val="single" w:color="000000" w:sz="4" w:space="0"/>
              <w:left w:val="single" w:color="000000" w:sz="4" w:space="0"/>
              <w:bottom w:val="single" w:color="000000" w:sz="4" w:space="0"/>
              <w:right w:val="single" w:color="000000" w:sz="4" w:space="0"/>
            </w:tcBorders>
            <w:vAlign w:val="center"/>
          </w:tcPr>
          <w:p w14:paraId="6B00698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视频无人巡检设备</w:t>
            </w:r>
          </w:p>
        </w:tc>
        <w:tc>
          <w:tcPr>
            <w:tcW w:w="6176" w:type="dxa"/>
            <w:tcBorders>
              <w:top w:val="single" w:color="000000" w:sz="4" w:space="0"/>
              <w:left w:val="single" w:color="000000" w:sz="4" w:space="0"/>
              <w:bottom w:val="single" w:color="000000" w:sz="4" w:space="0"/>
              <w:right w:val="nil"/>
            </w:tcBorders>
            <w:vAlign w:val="center"/>
          </w:tcPr>
          <w:p w14:paraId="361D81BA">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6950EBDA">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92BEE41">
            <w:pPr>
              <w:jc w:val="center"/>
              <w:rPr>
                <w:rFonts w:ascii="宋体" w:hAnsi="宋体" w:cs="宋体"/>
                <w:color w:val="auto"/>
                <w:szCs w:val="22"/>
                <w:highlight w:val="none"/>
              </w:rPr>
            </w:pPr>
          </w:p>
        </w:tc>
      </w:tr>
      <w:tr w14:paraId="76938D1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CD5AE5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3.4.1</w:t>
            </w:r>
          </w:p>
        </w:tc>
        <w:tc>
          <w:tcPr>
            <w:tcW w:w="1035" w:type="dxa"/>
            <w:tcBorders>
              <w:top w:val="single" w:color="000000" w:sz="4" w:space="0"/>
              <w:left w:val="single" w:color="000000" w:sz="4" w:space="0"/>
              <w:bottom w:val="single" w:color="000000" w:sz="4" w:space="0"/>
              <w:right w:val="single" w:color="000000" w:sz="4" w:space="0"/>
            </w:tcBorders>
            <w:vAlign w:val="center"/>
          </w:tcPr>
          <w:p w14:paraId="6F11DAE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周界警戒摄像机安装</w:t>
            </w:r>
          </w:p>
        </w:tc>
        <w:tc>
          <w:tcPr>
            <w:tcW w:w="6176" w:type="dxa"/>
            <w:tcBorders>
              <w:top w:val="single" w:color="000000" w:sz="4" w:space="0"/>
              <w:left w:val="single" w:color="000000" w:sz="4" w:space="0"/>
              <w:bottom w:val="single" w:color="000000" w:sz="4" w:space="0"/>
              <w:right w:val="nil"/>
            </w:tcBorders>
            <w:vAlign w:val="center"/>
          </w:tcPr>
          <w:p w14:paraId="5BE84E47">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F0CD7F2">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C551C95">
            <w:pPr>
              <w:jc w:val="center"/>
              <w:rPr>
                <w:rFonts w:ascii="宋体" w:hAnsi="宋体" w:cs="宋体"/>
                <w:color w:val="auto"/>
                <w:szCs w:val="22"/>
                <w:highlight w:val="none"/>
              </w:rPr>
            </w:pPr>
          </w:p>
        </w:tc>
      </w:tr>
      <w:tr w14:paraId="65F42DD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CBD3419">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F7E965B">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single" w:color="000000" w:sz="4" w:space="0"/>
            </w:tcBorders>
            <w:vAlign w:val="center"/>
          </w:tcPr>
          <w:p w14:paraId="71E88583">
            <w:pPr>
              <w:widowControl/>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3A754C7">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02ECA4E">
            <w:pPr>
              <w:widowControl/>
              <w:jc w:val="center"/>
              <w:textAlignment w:val="center"/>
              <w:rPr>
                <w:rFonts w:ascii="宋体" w:hAnsi="宋体" w:cs="宋体"/>
                <w:color w:val="auto"/>
                <w:szCs w:val="22"/>
                <w:highlight w:val="none"/>
              </w:rPr>
            </w:pPr>
          </w:p>
        </w:tc>
      </w:tr>
      <w:tr w14:paraId="1114453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35EA503">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3708A78B">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532A9A6E">
            <w:pPr>
              <w:widowControl/>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7A83D0AF">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66C6B7E">
            <w:pPr>
              <w:widowControl/>
              <w:jc w:val="center"/>
              <w:textAlignment w:val="center"/>
              <w:rPr>
                <w:rFonts w:ascii="宋体" w:hAnsi="宋体" w:cs="宋体"/>
                <w:color w:val="auto"/>
                <w:szCs w:val="22"/>
                <w:highlight w:val="none"/>
              </w:rPr>
            </w:pPr>
          </w:p>
        </w:tc>
      </w:tr>
      <w:tr w14:paraId="1A65EDA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DB0569D">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12F4006">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1AA191FB">
            <w:pPr>
              <w:widowControl/>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5F99327">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CABA86B">
            <w:pPr>
              <w:widowControl/>
              <w:jc w:val="center"/>
              <w:textAlignment w:val="center"/>
              <w:rPr>
                <w:rFonts w:ascii="宋体" w:hAnsi="宋体" w:cs="宋体"/>
                <w:color w:val="auto"/>
                <w:szCs w:val="22"/>
                <w:highlight w:val="none"/>
              </w:rPr>
            </w:pPr>
          </w:p>
        </w:tc>
      </w:tr>
      <w:tr w14:paraId="249BC53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19E6A8A">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39FC124E">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484D8DC0">
            <w:pPr>
              <w:widowControl/>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CE844BC">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C013B7A">
            <w:pPr>
              <w:widowControl/>
              <w:jc w:val="center"/>
              <w:textAlignment w:val="center"/>
              <w:rPr>
                <w:rFonts w:ascii="宋体" w:hAnsi="宋体" w:cs="宋体"/>
                <w:color w:val="auto"/>
                <w:szCs w:val="22"/>
                <w:highlight w:val="none"/>
              </w:rPr>
            </w:pPr>
          </w:p>
        </w:tc>
      </w:tr>
      <w:tr w14:paraId="4AB46D5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0096B27">
            <w:pPr>
              <w:widowControl/>
              <w:jc w:val="center"/>
              <w:textAlignment w:val="center"/>
              <w:rPr>
                <w:rFonts w:ascii="宋体" w:hAnsi="宋体" w:cs="宋体"/>
                <w:color w:val="auto"/>
                <w:szCs w:val="22"/>
                <w:highlight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4AEF2F11">
            <w:pPr>
              <w:widowControl/>
              <w:jc w:val="center"/>
              <w:textAlignment w:val="center"/>
              <w:rPr>
                <w:rFonts w:ascii="宋体" w:hAnsi="宋体" w:cs="宋体"/>
                <w:color w:val="auto"/>
                <w:szCs w:val="22"/>
                <w:highlight w:val="none"/>
              </w:rPr>
            </w:pPr>
          </w:p>
        </w:tc>
        <w:tc>
          <w:tcPr>
            <w:tcW w:w="6176" w:type="dxa"/>
            <w:tcBorders>
              <w:top w:val="single" w:color="000000" w:sz="4" w:space="0"/>
              <w:left w:val="single" w:color="000000" w:sz="4" w:space="0"/>
              <w:bottom w:val="single" w:color="000000" w:sz="4" w:space="0"/>
              <w:right w:val="nil"/>
            </w:tcBorders>
            <w:vAlign w:val="center"/>
          </w:tcPr>
          <w:p w14:paraId="6E174566">
            <w:pPr>
              <w:widowControl/>
              <w:textAlignment w:val="cente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5840D546">
            <w:pPr>
              <w:widowControl/>
              <w:jc w:val="center"/>
              <w:textAlignment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308F042">
            <w:pPr>
              <w:widowControl/>
              <w:jc w:val="center"/>
              <w:textAlignment w:val="center"/>
              <w:rPr>
                <w:rFonts w:ascii="宋体" w:hAnsi="宋体" w:cs="宋体"/>
                <w:color w:val="auto"/>
                <w:szCs w:val="22"/>
                <w:highlight w:val="none"/>
              </w:rPr>
            </w:pPr>
          </w:p>
        </w:tc>
      </w:tr>
      <w:tr w14:paraId="14D9761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804558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w:t>
            </w:r>
          </w:p>
        </w:tc>
        <w:tc>
          <w:tcPr>
            <w:tcW w:w="1035" w:type="dxa"/>
            <w:tcBorders>
              <w:top w:val="single" w:color="000000" w:sz="4" w:space="0"/>
              <w:left w:val="single" w:color="000000" w:sz="4" w:space="0"/>
              <w:bottom w:val="single" w:color="000000" w:sz="4" w:space="0"/>
              <w:right w:val="single" w:color="000000" w:sz="4" w:space="0"/>
            </w:tcBorders>
            <w:vAlign w:val="center"/>
          </w:tcPr>
          <w:p w14:paraId="43EB1AF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园区指挥中心安防设备</w:t>
            </w:r>
          </w:p>
        </w:tc>
        <w:tc>
          <w:tcPr>
            <w:tcW w:w="6176" w:type="dxa"/>
            <w:tcBorders>
              <w:top w:val="single" w:color="000000" w:sz="4" w:space="0"/>
              <w:left w:val="single" w:color="000000" w:sz="4" w:space="0"/>
              <w:bottom w:val="single" w:color="000000" w:sz="4" w:space="0"/>
              <w:right w:val="nil"/>
            </w:tcBorders>
            <w:vAlign w:val="center"/>
          </w:tcPr>
          <w:p w14:paraId="348F7190">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0AC0EA7">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D51EB18">
            <w:pPr>
              <w:jc w:val="center"/>
              <w:rPr>
                <w:rFonts w:ascii="宋体" w:hAnsi="宋体" w:cs="宋体"/>
                <w:color w:val="auto"/>
                <w:szCs w:val="22"/>
                <w:highlight w:val="none"/>
              </w:rPr>
            </w:pPr>
          </w:p>
        </w:tc>
      </w:tr>
      <w:tr w14:paraId="256E809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AC5D9A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w:t>
            </w:r>
          </w:p>
        </w:tc>
        <w:tc>
          <w:tcPr>
            <w:tcW w:w="1035" w:type="dxa"/>
            <w:tcBorders>
              <w:top w:val="single" w:color="000000" w:sz="4" w:space="0"/>
              <w:left w:val="single" w:color="000000" w:sz="4" w:space="0"/>
              <w:bottom w:val="single" w:color="000000" w:sz="4" w:space="0"/>
              <w:right w:val="single" w:color="000000" w:sz="4" w:space="0"/>
            </w:tcBorders>
            <w:vAlign w:val="center"/>
          </w:tcPr>
          <w:p w14:paraId="304FFDF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人脸门禁设备安装</w:t>
            </w:r>
          </w:p>
        </w:tc>
        <w:tc>
          <w:tcPr>
            <w:tcW w:w="6176" w:type="dxa"/>
            <w:tcBorders>
              <w:top w:val="single" w:color="000000" w:sz="4" w:space="0"/>
              <w:left w:val="single" w:color="000000" w:sz="4" w:space="0"/>
              <w:bottom w:val="single" w:color="000000" w:sz="4" w:space="0"/>
              <w:right w:val="nil"/>
            </w:tcBorders>
            <w:vAlign w:val="center"/>
          </w:tcPr>
          <w:p w14:paraId="15BBD9BA">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B4C9736">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5E87A846">
            <w:pPr>
              <w:jc w:val="center"/>
              <w:rPr>
                <w:rFonts w:ascii="宋体" w:hAnsi="宋体" w:cs="宋体"/>
                <w:color w:val="auto"/>
                <w:szCs w:val="22"/>
                <w:highlight w:val="none"/>
              </w:rPr>
            </w:pPr>
          </w:p>
        </w:tc>
      </w:tr>
      <w:tr w14:paraId="07AD846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FE46EB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3.4.2.1.1</w:t>
            </w:r>
          </w:p>
        </w:tc>
        <w:tc>
          <w:tcPr>
            <w:tcW w:w="1035" w:type="dxa"/>
            <w:tcBorders>
              <w:top w:val="single" w:color="000000" w:sz="4" w:space="0"/>
              <w:left w:val="single" w:color="000000" w:sz="4" w:space="0"/>
              <w:bottom w:val="single" w:color="000000" w:sz="4" w:space="0"/>
              <w:right w:val="single" w:color="000000" w:sz="4" w:space="0"/>
            </w:tcBorders>
            <w:vAlign w:val="center"/>
          </w:tcPr>
          <w:p w14:paraId="0A7617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人脸门禁设备</w:t>
            </w:r>
          </w:p>
        </w:tc>
        <w:tc>
          <w:tcPr>
            <w:tcW w:w="6176" w:type="dxa"/>
            <w:tcBorders>
              <w:top w:val="single" w:color="000000" w:sz="4" w:space="0"/>
              <w:left w:val="single" w:color="000000" w:sz="4" w:space="0"/>
              <w:bottom w:val="single" w:color="000000" w:sz="4" w:space="0"/>
              <w:right w:val="nil"/>
            </w:tcBorders>
            <w:vAlign w:val="center"/>
          </w:tcPr>
          <w:p w14:paraId="1E58110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嵌入式Linux操作系统，嵌入人脸识别算法，人脸识别率≥99.97%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支持超强智能宽动态，适应各复杂光场景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支持人脸识别模式，支持人脸优选、人脸增强与人脸曝光，提高成像质量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4. 支持0.3~2M的识别距离控制，防止距离较远的人员误识别；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双目活体检测功能，解决照片、视频等方式欺骗问题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支持5万张人脸库和5万张卡库、15万条记录存储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毫秒级精准快速识别比对、人脸识别速度（1：N）≤0.2S/人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支持人脸识别、IC 卡、ID 卡、身份证物理卡、人卡多种验证方式开门；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支持门禁状态获取、门未关超时报警、黑名单报警等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工业级设计 P66 防护等级，适应温差范围-30℃～70℃，适用于室内外全天候场景基本功能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采用像素 200 万、采用高清 F2.2 光圈安防级工业镜头，抗逆光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8 英寸IPS 全面屏，分辨率 800*1280，户外高亮屏 450cd/m2 以上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支持屏幕自动休眠，自动感应人体，快速打开补光；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支持脱机运行，无需联网、设备配有百兆网口。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13.配套设备的相关辅材1批及安装，配套辅材包括但不限于线材等。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44EDC04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6247703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BC0F4A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A78C42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3.4.2.1.2</w:t>
            </w:r>
          </w:p>
        </w:tc>
        <w:tc>
          <w:tcPr>
            <w:tcW w:w="1035" w:type="dxa"/>
            <w:tcBorders>
              <w:top w:val="single" w:color="000000" w:sz="4" w:space="0"/>
              <w:left w:val="single" w:color="000000" w:sz="4" w:space="0"/>
              <w:bottom w:val="single" w:color="000000" w:sz="4" w:space="0"/>
              <w:right w:val="single" w:color="000000" w:sz="4" w:space="0"/>
            </w:tcBorders>
            <w:vAlign w:val="center"/>
          </w:tcPr>
          <w:p w14:paraId="02F2330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双门磁力锁</w:t>
            </w:r>
          </w:p>
        </w:tc>
        <w:tc>
          <w:tcPr>
            <w:tcW w:w="6176" w:type="dxa"/>
            <w:tcBorders>
              <w:top w:val="single" w:color="000000" w:sz="4" w:space="0"/>
              <w:left w:val="single" w:color="000000" w:sz="4" w:space="0"/>
              <w:bottom w:val="single" w:color="000000" w:sz="4" w:space="0"/>
              <w:right w:val="nil"/>
            </w:tcBorders>
            <w:vAlign w:val="center"/>
          </w:tcPr>
          <w:p w14:paraId="4B09FC9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最大静态直线拉力：280kg ± 15% * 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状态指示灯：供电点亮绿灯，无论是否上锁、开锁都是绿灯；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工作电压：12V/400mA x 2(±10%) 24V/200mA x 2(±10%)；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锁体尺寸：长500x宽53x厚29(mm) 吸板尺寸：长170x宽43x高13(mm)；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使用环境：室内 适用门型：木门、玻璃门、金属门、防火门。</w:t>
            </w:r>
          </w:p>
        </w:tc>
        <w:tc>
          <w:tcPr>
            <w:tcW w:w="754" w:type="dxa"/>
            <w:tcBorders>
              <w:top w:val="single" w:color="000000" w:sz="4" w:space="0"/>
              <w:left w:val="single" w:color="000000" w:sz="4" w:space="0"/>
              <w:bottom w:val="single" w:color="000000" w:sz="4" w:space="0"/>
              <w:right w:val="single" w:color="000000" w:sz="4" w:space="0"/>
            </w:tcBorders>
            <w:vAlign w:val="center"/>
          </w:tcPr>
          <w:p w14:paraId="57C1792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C5A64D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72CDAD7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6A897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3.4.2.1.3</w:t>
            </w:r>
          </w:p>
        </w:tc>
        <w:tc>
          <w:tcPr>
            <w:tcW w:w="1035" w:type="dxa"/>
            <w:tcBorders>
              <w:top w:val="single" w:color="000000" w:sz="4" w:space="0"/>
              <w:left w:val="single" w:color="000000" w:sz="4" w:space="0"/>
              <w:bottom w:val="single" w:color="000000" w:sz="4" w:space="0"/>
              <w:right w:val="single" w:color="000000" w:sz="4" w:space="0"/>
            </w:tcBorders>
            <w:vAlign w:val="center"/>
          </w:tcPr>
          <w:p w14:paraId="168ECB8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单门电插锁</w:t>
            </w:r>
          </w:p>
        </w:tc>
        <w:tc>
          <w:tcPr>
            <w:tcW w:w="6176" w:type="dxa"/>
            <w:tcBorders>
              <w:top w:val="single" w:color="000000" w:sz="4" w:space="0"/>
              <w:left w:val="single" w:color="000000" w:sz="4" w:space="0"/>
              <w:bottom w:val="single" w:color="000000" w:sz="4" w:space="0"/>
              <w:right w:val="nil"/>
            </w:tcBorders>
            <w:vAlign w:val="center"/>
          </w:tcPr>
          <w:p w14:paraId="2CCD4B5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锁头属性：单锁头；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断电操作：断电开锁；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适用门型：木门、玻璃门、金属门；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锁信号：NC/NO/COM；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门磁信号：NC、COM；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通用；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锁头尺寸：15mm。</w:t>
            </w:r>
          </w:p>
        </w:tc>
        <w:tc>
          <w:tcPr>
            <w:tcW w:w="754" w:type="dxa"/>
            <w:tcBorders>
              <w:top w:val="single" w:color="000000" w:sz="4" w:space="0"/>
              <w:left w:val="single" w:color="000000" w:sz="4" w:space="0"/>
              <w:bottom w:val="single" w:color="000000" w:sz="4" w:space="0"/>
              <w:right w:val="single" w:color="000000" w:sz="4" w:space="0"/>
            </w:tcBorders>
            <w:vAlign w:val="center"/>
          </w:tcPr>
          <w:p w14:paraId="1F5FBAF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5C4B95A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1B37C69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517726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3.4.2.1.4</w:t>
            </w:r>
          </w:p>
        </w:tc>
        <w:tc>
          <w:tcPr>
            <w:tcW w:w="1035" w:type="dxa"/>
            <w:tcBorders>
              <w:top w:val="single" w:color="000000" w:sz="4" w:space="0"/>
              <w:left w:val="single" w:color="000000" w:sz="4" w:space="0"/>
              <w:bottom w:val="single" w:color="000000" w:sz="4" w:space="0"/>
              <w:right w:val="single" w:color="000000" w:sz="4" w:space="0"/>
            </w:tcBorders>
            <w:vAlign w:val="center"/>
          </w:tcPr>
          <w:p w14:paraId="0DF60B2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闭门器</w:t>
            </w:r>
          </w:p>
        </w:tc>
        <w:tc>
          <w:tcPr>
            <w:tcW w:w="6176" w:type="dxa"/>
            <w:tcBorders>
              <w:top w:val="single" w:color="000000" w:sz="4" w:space="0"/>
              <w:left w:val="single" w:color="000000" w:sz="4" w:space="0"/>
              <w:bottom w:val="single" w:color="000000" w:sz="4" w:space="0"/>
              <w:right w:val="nil"/>
            </w:tcBorders>
            <w:vAlign w:val="center"/>
          </w:tcPr>
          <w:p w14:paraId="490A3A2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适装门重：60-85KG 适装门宽 ≤ 1100mm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闭门力量：EN4 开门角度 ≤ 180°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使用寿命：50万次 适用环境温度范围：-30℃---50℃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关门调速：两段调速；锁门速度：0°--15°范围内可调；闭门速度：15°--180°范围内可调。</w:t>
            </w:r>
          </w:p>
        </w:tc>
        <w:tc>
          <w:tcPr>
            <w:tcW w:w="754" w:type="dxa"/>
            <w:tcBorders>
              <w:top w:val="single" w:color="000000" w:sz="4" w:space="0"/>
              <w:left w:val="single" w:color="000000" w:sz="4" w:space="0"/>
              <w:bottom w:val="single" w:color="000000" w:sz="4" w:space="0"/>
              <w:right w:val="single" w:color="000000" w:sz="4" w:space="0"/>
            </w:tcBorders>
            <w:vAlign w:val="center"/>
          </w:tcPr>
          <w:p w14:paraId="25317C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w:t>
            </w:r>
          </w:p>
        </w:tc>
        <w:tc>
          <w:tcPr>
            <w:tcW w:w="660" w:type="dxa"/>
            <w:tcBorders>
              <w:top w:val="single" w:color="000000" w:sz="4" w:space="0"/>
              <w:left w:val="single" w:color="000000" w:sz="4" w:space="0"/>
              <w:bottom w:val="single" w:color="000000" w:sz="4" w:space="0"/>
              <w:right w:val="single" w:color="000000" w:sz="4" w:space="0"/>
            </w:tcBorders>
            <w:vAlign w:val="center"/>
          </w:tcPr>
          <w:p w14:paraId="0A91E60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671F040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EAA760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3.4.2.1.5</w:t>
            </w:r>
          </w:p>
        </w:tc>
        <w:tc>
          <w:tcPr>
            <w:tcW w:w="1035" w:type="dxa"/>
            <w:tcBorders>
              <w:top w:val="single" w:color="000000" w:sz="4" w:space="0"/>
              <w:left w:val="single" w:color="000000" w:sz="4" w:space="0"/>
              <w:bottom w:val="single" w:color="000000" w:sz="4" w:space="0"/>
              <w:right w:val="single" w:color="000000" w:sz="4" w:space="0"/>
            </w:tcBorders>
            <w:vAlign w:val="center"/>
          </w:tcPr>
          <w:p w14:paraId="44F6801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电源适配器</w:t>
            </w:r>
          </w:p>
        </w:tc>
        <w:tc>
          <w:tcPr>
            <w:tcW w:w="6176" w:type="dxa"/>
            <w:tcBorders>
              <w:top w:val="single" w:color="000000" w:sz="4" w:space="0"/>
              <w:left w:val="single" w:color="000000" w:sz="4" w:space="0"/>
              <w:bottom w:val="single" w:color="000000" w:sz="4" w:space="0"/>
              <w:right w:val="nil"/>
            </w:tcBorders>
            <w:vAlign w:val="center"/>
          </w:tcPr>
          <w:p w14:paraId="1A5AB3D1">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人脸门禁设备专用电源适配器</w:t>
            </w:r>
          </w:p>
        </w:tc>
        <w:tc>
          <w:tcPr>
            <w:tcW w:w="754" w:type="dxa"/>
            <w:tcBorders>
              <w:top w:val="single" w:color="000000" w:sz="4" w:space="0"/>
              <w:left w:val="single" w:color="000000" w:sz="4" w:space="0"/>
              <w:bottom w:val="single" w:color="000000" w:sz="4" w:space="0"/>
              <w:right w:val="single" w:color="000000" w:sz="4" w:space="0"/>
            </w:tcBorders>
            <w:vAlign w:val="center"/>
          </w:tcPr>
          <w:p w14:paraId="18FB960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22A9CA0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3587DAF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17FC74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3.4.2.1.6</w:t>
            </w:r>
          </w:p>
        </w:tc>
        <w:tc>
          <w:tcPr>
            <w:tcW w:w="1035" w:type="dxa"/>
            <w:tcBorders>
              <w:top w:val="single" w:color="000000" w:sz="4" w:space="0"/>
              <w:left w:val="single" w:color="000000" w:sz="4" w:space="0"/>
              <w:bottom w:val="single" w:color="000000" w:sz="4" w:space="0"/>
              <w:right w:val="single" w:color="000000" w:sz="4" w:space="0"/>
            </w:tcBorders>
            <w:vAlign w:val="center"/>
          </w:tcPr>
          <w:p w14:paraId="46463D7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出门按钮</w:t>
            </w:r>
          </w:p>
        </w:tc>
        <w:tc>
          <w:tcPr>
            <w:tcW w:w="6176" w:type="dxa"/>
            <w:tcBorders>
              <w:top w:val="single" w:color="000000" w:sz="4" w:space="0"/>
              <w:left w:val="single" w:color="000000" w:sz="4" w:space="0"/>
              <w:bottom w:val="single" w:color="000000" w:sz="4" w:space="0"/>
              <w:right w:val="nil"/>
            </w:tcBorders>
            <w:vAlign w:val="center"/>
          </w:tcPr>
          <w:p w14:paraId="29A0970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尺寸：支持≥长86*宽86；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结构：塑料面板；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性能：最大耐电流1.25a 电压250v；</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输出：常开；</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类型：适合埋入式电器盒使用。</w:t>
            </w:r>
          </w:p>
        </w:tc>
        <w:tc>
          <w:tcPr>
            <w:tcW w:w="754" w:type="dxa"/>
            <w:tcBorders>
              <w:top w:val="single" w:color="000000" w:sz="4" w:space="0"/>
              <w:left w:val="single" w:color="000000" w:sz="4" w:space="0"/>
              <w:bottom w:val="single" w:color="000000" w:sz="4" w:space="0"/>
              <w:right w:val="single" w:color="000000" w:sz="4" w:space="0"/>
            </w:tcBorders>
            <w:vAlign w:val="center"/>
          </w:tcPr>
          <w:p w14:paraId="4FB1C48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5A2F3B9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47FCDCF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A4FA1F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3.4.2.1.7</w:t>
            </w:r>
          </w:p>
        </w:tc>
        <w:tc>
          <w:tcPr>
            <w:tcW w:w="1035" w:type="dxa"/>
            <w:tcBorders>
              <w:top w:val="single" w:color="000000" w:sz="4" w:space="0"/>
              <w:left w:val="single" w:color="000000" w:sz="4" w:space="0"/>
              <w:bottom w:val="single" w:color="000000" w:sz="4" w:space="0"/>
              <w:right w:val="single" w:color="000000" w:sz="4" w:space="0"/>
            </w:tcBorders>
            <w:vAlign w:val="center"/>
          </w:tcPr>
          <w:p w14:paraId="0D0F227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105B8CC2">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2、阻燃性能符合 JBTT8734-2012、GBIT5023-2008 标准 B 级以上阻燃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7D7FCBD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1AD587A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2A8F7FD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3E58F6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3.4.2.1.8</w:t>
            </w:r>
          </w:p>
        </w:tc>
        <w:tc>
          <w:tcPr>
            <w:tcW w:w="1035" w:type="dxa"/>
            <w:tcBorders>
              <w:top w:val="single" w:color="000000" w:sz="4" w:space="0"/>
              <w:left w:val="single" w:color="000000" w:sz="4" w:space="0"/>
              <w:bottom w:val="single" w:color="000000" w:sz="4" w:space="0"/>
              <w:right w:val="single" w:color="000000" w:sz="4" w:space="0"/>
            </w:tcBorders>
            <w:vAlign w:val="center"/>
          </w:tcPr>
          <w:p w14:paraId="522350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302B00B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006D776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w:t>
            </w:r>
          </w:p>
        </w:tc>
        <w:tc>
          <w:tcPr>
            <w:tcW w:w="660" w:type="dxa"/>
            <w:tcBorders>
              <w:top w:val="single" w:color="000000" w:sz="4" w:space="0"/>
              <w:left w:val="single" w:color="000000" w:sz="4" w:space="0"/>
              <w:bottom w:val="single" w:color="000000" w:sz="4" w:space="0"/>
              <w:right w:val="single" w:color="000000" w:sz="4" w:space="0"/>
            </w:tcBorders>
            <w:vAlign w:val="center"/>
          </w:tcPr>
          <w:p w14:paraId="6479013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390BE72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0B2143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3.4.2.2</w:t>
            </w:r>
          </w:p>
        </w:tc>
        <w:tc>
          <w:tcPr>
            <w:tcW w:w="1035" w:type="dxa"/>
            <w:tcBorders>
              <w:top w:val="single" w:color="000000" w:sz="4" w:space="0"/>
              <w:left w:val="single" w:color="000000" w:sz="4" w:space="0"/>
              <w:bottom w:val="single" w:color="000000" w:sz="4" w:space="0"/>
              <w:right w:val="single" w:color="000000" w:sz="4" w:space="0"/>
            </w:tcBorders>
            <w:vAlign w:val="center"/>
          </w:tcPr>
          <w:p w14:paraId="7C7CC4C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智能半球摄像机安装</w:t>
            </w:r>
          </w:p>
        </w:tc>
        <w:tc>
          <w:tcPr>
            <w:tcW w:w="6176" w:type="dxa"/>
            <w:tcBorders>
              <w:top w:val="single" w:color="000000" w:sz="4" w:space="0"/>
              <w:left w:val="single" w:color="000000" w:sz="4" w:space="0"/>
              <w:bottom w:val="single" w:color="000000" w:sz="4" w:space="0"/>
              <w:right w:val="nil"/>
            </w:tcBorders>
            <w:vAlign w:val="center"/>
          </w:tcPr>
          <w:p w14:paraId="441435F3">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A9AA6B4">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8C16FA6">
            <w:pPr>
              <w:jc w:val="center"/>
              <w:rPr>
                <w:rFonts w:ascii="宋体" w:hAnsi="宋体" w:cs="宋体"/>
                <w:color w:val="auto"/>
                <w:szCs w:val="22"/>
                <w:highlight w:val="none"/>
              </w:rPr>
            </w:pPr>
          </w:p>
        </w:tc>
      </w:tr>
      <w:tr w14:paraId="0390C24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A0B27C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3.4.2.2.1</w:t>
            </w:r>
          </w:p>
        </w:tc>
        <w:tc>
          <w:tcPr>
            <w:tcW w:w="1035" w:type="dxa"/>
            <w:tcBorders>
              <w:top w:val="single" w:color="000000" w:sz="4" w:space="0"/>
              <w:left w:val="single" w:color="000000" w:sz="4" w:space="0"/>
              <w:bottom w:val="single" w:color="000000" w:sz="4" w:space="0"/>
              <w:right w:val="single" w:color="000000" w:sz="4" w:space="0"/>
            </w:tcBorders>
            <w:vAlign w:val="center"/>
          </w:tcPr>
          <w:p w14:paraId="6DA5282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智能半球摄像机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6BDC4361">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▲1.支持≥1/1.8英寸400万像素CMOS传感器，电动变焦2.8-12mm；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支持三码流同时输出，主码流最高分辨率2688×1520@25fps；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支持H.265、H.264编码方式；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软件定义，支持算法在线动态加载、升级、卸载，过程中摄像机的音视频业务不中断；</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支持混行检测抓拍、关联抓拍；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支持人脸优选抓拍、人脸属性提取、人脸识别比对；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支持区域人数统计、客流统计；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支持AI Smart事件，在Smart智能基础上，可仅针对人体、机动车、非机动车进行智能触发，过滤掉其他物体干扰；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支持最大256G Micro SD卡；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支持超宽动态、背光补偿、强光抑制、3D降噪、电子防抖、数字透雾；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ROI支持8个感兴趣区域；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支持IP67防护等级。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13.配套设备的相关辅材1批及安装，配套辅材包括但不限于存储卡和线材等。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5E788B4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003436F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6BA41FC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40E50D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3.4.2.2.2</w:t>
            </w:r>
          </w:p>
        </w:tc>
        <w:tc>
          <w:tcPr>
            <w:tcW w:w="1035" w:type="dxa"/>
            <w:tcBorders>
              <w:top w:val="single" w:color="000000" w:sz="4" w:space="0"/>
              <w:left w:val="single" w:color="000000" w:sz="4" w:space="0"/>
              <w:bottom w:val="single" w:color="000000" w:sz="4" w:space="0"/>
              <w:right w:val="single" w:color="000000" w:sz="4" w:space="0"/>
            </w:tcBorders>
            <w:vAlign w:val="center"/>
          </w:tcPr>
          <w:p w14:paraId="205611C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0E4CC90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2、阻燃性能符合 JBTT8734-2012、GBIT5023-2008 标准 B 级以上阻燃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0FB12FF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60</w:t>
            </w:r>
          </w:p>
        </w:tc>
        <w:tc>
          <w:tcPr>
            <w:tcW w:w="660" w:type="dxa"/>
            <w:tcBorders>
              <w:top w:val="single" w:color="000000" w:sz="4" w:space="0"/>
              <w:left w:val="single" w:color="000000" w:sz="4" w:space="0"/>
              <w:bottom w:val="single" w:color="000000" w:sz="4" w:space="0"/>
              <w:right w:val="single" w:color="000000" w:sz="4" w:space="0"/>
            </w:tcBorders>
            <w:vAlign w:val="center"/>
          </w:tcPr>
          <w:p w14:paraId="2841BAB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4629D3E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717F0A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3.4.2.2.3</w:t>
            </w:r>
          </w:p>
        </w:tc>
        <w:tc>
          <w:tcPr>
            <w:tcW w:w="1035" w:type="dxa"/>
            <w:tcBorders>
              <w:top w:val="single" w:color="000000" w:sz="4" w:space="0"/>
              <w:left w:val="single" w:color="000000" w:sz="4" w:space="0"/>
              <w:bottom w:val="single" w:color="000000" w:sz="4" w:space="0"/>
              <w:right w:val="single" w:color="000000" w:sz="4" w:space="0"/>
            </w:tcBorders>
            <w:vAlign w:val="center"/>
          </w:tcPr>
          <w:p w14:paraId="2A775A5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65E08D1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0DEEB92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60</w:t>
            </w:r>
          </w:p>
        </w:tc>
        <w:tc>
          <w:tcPr>
            <w:tcW w:w="660" w:type="dxa"/>
            <w:tcBorders>
              <w:top w:val="single" w:color="000000" w:sz="4" w:space="0"/>
              <w:left w:val="single" w:color="000000" w:sz="4" w:space="0"/>
              <w:bottom w:val="single" w:color="000000" w:sz="4" w:space="0"/>
              <w:right w:val="single" w:color="000000" w:sz="4" w:space="0"/>
            </w:tcBorders>
            <w:vAlign w:val="center"/>
          </w:tcPr>
          <w:p w14:paraId="1CD8061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29126D1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412C15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w:t>
            </w:r>
          </w:p>
        </w:tc>
        <w:tc>
          <w:tcPr>
            <w:tcW w:w="1035" w:type="dxa"/>
            <w:tcBorders>
              <w:top w:val="single" w:color="000000" w:sz="4" w:space="0"/>
              <w:left w:val="single" w:color="000000" w:sz="4" w:space="0"/>
              <w:bottom w:val="single" w:color="000000" w:sz="4" w:space="0"/>
              <w:right w:val="single" w:color="000000" w:sz="4" w:space="0"/>
            </w:tcBorders>
            <w:vAlign w:val="center"/>
          </w:tcPr>
          <w:p w14:paraId="7C84940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园区主要道路安防设备</w:t>
            </w:r>
          </w:p>
        </w:tc>
        <w:tc>
          <w:tcPr>
            <w:tcW w:w="6176" w:type="dxa"/>
            <w:tcBorders>
              <w:top w:val="single" w:color="000000" w:sz="4" w:space="0"/>
              <w:left w:val="single" w:color="000000" w:sz="4" w:space="0"/>
              <w:bottom w:val="single" w:color="000000" w:sz="4" w:space="0"/>
              <w:right w:val="nil"/>
            </w:tcBorders>
            <w:vAlign w:val="center"/>
          </w:tcPr>
          <w:p w14:paraId="1E268ED2">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1B11C90">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15B9DEB3">
            <w:pPr>
              <w:jc w:val="center"/>
              <w:rPr>
                <w:rFonts w:ascii="宋体" w:hAnsi="宋体" w:cs="宋体"/>
                <w:color w:val="auto"/>
                <w:szCs w:val="22"/>
                <w:highlight w:val="none"/>
              </w:rPr>
            </w:pPr>
          </w:p>
        </w:tc>
      </w:tr>
      <w:tr w14:paraId="72D0FEF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3B070D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3.4.3.1</w:t>
            </w:r>
          </w:p>
        </w:tc>
        <w:tc>
          <w:tcPr>
            <w:tcW w:w="1035" w:type="dxa"/>
            <w:tcBorders>
              <w:top w:val="single" w:color="000000" w:sz="4" w:space="0"/>
              <w:left w:val="single" w:color="000000" w:sz="4" w:space="0"/>
              <w:bottom w:val="single" w:color="000000" w:sz="4" w:space="0"/>
              <w:right w:val="single" w:color="000000" w:sz="4" w:space="0"/>
            </w:tcBorders>
            <w:vAlign w:val="center"/>
          </w:tcPr>
          <w:p w14:paraId="68F632D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高速球摄像机安装</w:t>
            </w:r>
          </w:p>
        </w:tc>
        <w:tc>
          <w:tcPr>
            <w:tcW w:w="6176" w:type="dxa"/>
            <w:tcBorders>
              <w:top w:val="single" w:color="000000" w:sz="4" w:space="0"/>
              <w:left w:val="single" w:color="000000" w:sz="4" w:space="0"/>
              <w:bottom w:val="single" w:color="000000" w:sz="4" w:space="0"/>
              <w:right w:val="nil"/>
            </w:tcBorders>
            <w:vAlign w:val="center"/>
          </w:tcPr>
          <w:p w14:paraId="10082419">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3C57280F">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4B8F3F4">
            <w:pPr>
              <w:jc w:val="center"/>
              <w:rPr>
                <w:rFonts w:ascii="宋体" w:hAnsi="宋体" w:cs="宋体"/>
                <w:color w:val="auto"/>
                <w:szCs w:val="22"/>
                <w:highlight w:val="none"/>
              </w:rPr>
            </w:pPr>
          </w:p>
        </w:tc>
      </w:tr>
      <w:tr w14:paraId="60ACD6C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E3C2DF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3.4.3.1.1</w:t>
            </w:r>
          </w:p>
        </w:tc>
        <w:tc>
          <w:tcPr>
            <w:tcW w:w="1035" w:type="dxa"/>
            <w:tcBorders>
              <w:top w:val="single" w:color="000000" w:sz="4" w:space="0"/>
              <w:left w:val="single" w:color="000000" w:sz="4" w:space="0"/>
              <w:bottom w:val="single" w:color="000000" w:sz="4" w:space="0"/>
              <w:right w:val="single" w:color="000000" w:sz="4" w:space="0"/>
            </w:tcBorders>
            <w:vAlign w:val="center"/>
          </w:tcPr>
          <w:p w14:paraId="32A97AB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高速球摄像机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4A13D1E2">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▲1.支持≥1/1.8 英寸400万像素超星光CMOS传感器，45倍光学变焦；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支持三码流同时输出，主码流最高分辨率2880*1620@25fps；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支持H.265、H.264编码方式；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软件定义，支持算法在线动态加载、升级、卸载，过程中摄像机的音视频业务不中断；</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支持人脸抓拍；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支持人脸抓拍、AI周界、人数统计；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在AI周界智能基础上，针对人体、机动车、非机动车进行智能触发，过滤掉其他物体干扰；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单球跟踪、3D定位、一键巡航、一键守望；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支持≥300个预置点、水平和垂直旋转精度0.1%；</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支持超宽动态、背光补偿、强光抑制、3D降噪、电子防抖、数字透雾；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支持IP67防护等级；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支持GB35114-A级加密；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13.支持GB/T28181协议；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14.配套设备的相关辅材1批及安装，配套辅材包括但不限于存储卡和线材等。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6831DE2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w:t>
            </w:r>
          </w:p>
        </w:tc>
        <w:tc>
          <w:tcPr>
            <w:tcW w:w="660" w:type="dxa"/>
            <w:tcBorders>
              <w:top w:val="single" w:color="000000" w:sz="4" w:space="0"/>
              <w:left w:val="single" w:color="000000" w:sz="4" w:space="0"/>
              <w:bottom w:val="single" w:color="000000" w:sz="4" w:space="0"/>
              <w:right w:val="single" w:color="000000" w:sz="4" w:space="0"/>
            </w:tcBorders>
            <w:vAlign w:val="center"/>
          </w:tcPr>
          <w:p w14:paraId="607AB17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39CCBDB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B9A1C8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3.4.3.1.2</w:t>
            </w:r>
          </w:p>
        </w:tc>
        <w:tc>
          <w:tcPr>
            <w:tcW w:w="1035" w:type="dxa"/>
            <w:tcBorders>
              <w:top w:val="single" w:color="000000" w:sz="4" w:space="0"/>
              <w:left w:val="single" w:color="000000" w:sz="4" w:space="0"/>
              <w:bottom w:val="single" w:color="000000" w:sz="4" w:space="0"/>
              <w:right w:val="single" w:color="000000" w:sz="4" w:space="0"/>
            </w:tcBorders>
            <w:vAlign w:val="center"/>
          </w:tcPr>
          <w:p w14:paraId="7F1C76D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壁装支架</w:t>
            </w:r>
          </w:p>
        </w:tc>
        <w:tc>
          <w:tcPr>
            <w:tcW w:w="6176" w:type="dxa"/>
            <w:tcBorders>
              <w:top w:val="single" w:color="000000" w:sz="4" w:space="0"/>
              <w:left w:val="single" w:color="000000" w:sz="4" w:space="0"/>
              <w:bottom w:val="single" w:color="000000" w:sz="4" w:space="0"/>
              <w:right w:val="nil"/>
            </w:tcBorders>
            <w:vAlign w:val="center"/>
          </w:tcPr>
          <w:p w14:paraId="60F35D6D">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高速球摄像机专用壁装支架</w:t>
            </w:r>
          </w:p>
        </w:tc>
        <w:tc>
          <w:tcPr>
            <w:tcW w:w="754" w:type="dxa"/>
            <w:tcBorders>
              <w:top w:val="single" w:color="000000" w:sz="4" w:space="0"/>
              <w:left w:val="single" w:color="000000" w:sz="4" w:space="0"/>
              <w:bottom w:val="single" w:color="000000" w:sz="4" w:space="0"/>
              <w:right w:val="single" w:color="000000" w:sz="4" w:space="0"/>
            </w:tcBorders>
            <w:vAlign w:val="center"/>
          </w:tcPr>
          <w:p w14:paraId="291AD93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w:t>
            </w:r>
          </w:p>
        </w:tc>
        <w:tc>
          <w:tcPr>
            <w:tcW w:w="660" w:type="dxa"/>
            <w:tcBorders>
              <w:top w:val="single" w:color="000000" w:sz="4" w:space="0"/>
              <w:left w:val="single" w:color="000000" w:sz="4" w:space="0"/>
              <w:bottom w:val="single" w:color="000000" w:sz="4" w:space="0"/>
              <w:right w:val="single" w:color="000000" w:sz="4" w:space="0"/>
            </w:tcBorders>
            <w:vAlign w:val="center"/>
          </w:tcPr>
          <w:p w14:paraId="4E2A525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12C316A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153DCF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3.4.3.1.3</w:t>
            </w:r>
          </w:p>
        </w:tc>
        <w:tc>
          <w:tcPr>
            <w:tcW w:w="1035" w:type="dxa"/>
            <w:tcBorders>
              <w:top w:val="single" w:color="000000" w:sz="4" w:space="0"/>
              <w:left w:val="single" w:color="000000" w:sz="4" w:space="0"/>
              <w:bottom w:val="single" w:color="000000" w:sz="4" w:space="0"/>
              <w:right w:val="single" w:color="000000" w:sz="4" w:space="0"/>
            </w:tcBorders>
            <w:vAlign w:val="center"/>
          </w:tcPr>
          <w:p w14:paraId="4CEFEAC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789DED5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2、阻燃性能符合 JBTT8734-2012、GBIT5023-2008 标准 B 级以上阻燃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5CD1006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200</w:t>
            </w:r>
          </w:p>
        </w:tc>
        <w:tc>
          <w:tcPr>
            <w:tcW w:w="660" w:type="dxa"/>
            <w:tcBorders>
              <w:top w:val="single" w:color="000000" w:sz="4" w:space="0"/>
              <w:left w:val="single" w:color="000000" w:sz="4" w:space="0"/>
              <w:bottom w:val="single" w:color="000000" w:sz="4" w:space="0"/>
              <w:right w:val="single" w:color="000000" w:sz="4" w:space="0"/>
            </w:tcBorders>
            <w:vAlign w:val="center"/>
          </w:tcPr>
          <w:p w14:paraId="6EFCFDC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D35976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93F29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3.4.3.1.4</w:t>
            </w:r>
          </w:p>
        </w:tc>
        <w:tc>
          <w:tcPr>
            <w:tcW w:w="1035" w:type="dxa"/>
            <w:tcBorders>
              <w:top w:val="single" w:color="000000" w:sz="4" w:space="0"/>
              <w:left w:val="single" w:color="000000" w:sz="4" w:space="0"/>
              <w:bottom w:val="single" w:color="000000" w:sz="4" w:space="0"/>
              <w:right w:val="single" w:color="000000" w:sz="4" w:space="0"/>
            </w:tcBorders>
            <w:vAlign w:val="center"/>
          </w:tcPr>
          <w:p w14:paraId="6F01DBF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604888F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24ADE0F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200</w:t>
            </w:r>
          </w:p>
        </w:tc>
        <w:tc>
          <w:tcPr>
            <w:tcW w:w="660" w:type="dxa"/>
            <w:tcBorders>
              <w:top w:val="single" w:color="000000" w:sz="4" w:space="0"/>
              <w:left w:val="single" w:color="000000" w:sz="4" w:space="0"/>
              <w:bottom w:val="single" w:color="000000" w:sz="4" w:space="0"/>
              <w:right w:val="single" w:color="000000" w:sz="4" w:space="0"/>
            </w:tcBorders>
            <w:vAlign w:val="center"/>
          </w:tcPr>
          <w:p w14:paraId="7D18987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5A81802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CA6270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w:t>
            </w:r>
          </w:p>
        </w:tc>
        <w:tc>
          <w:tcPr>
            <w:tcW w:w="1035" w:type="dxa"/>
            <w:tcBorders>
              <w:top w:val="single" w:color="000000" w:sz="4" w:space="0"/>
              <w:left w:val="single" w:color="000000" w:sz="4" w:space="0"/>
              <w:bottom w:val="single" w:color="000000" w:sz="4" w:space="0"/>
              <w:right w:val="single" w:color="000000" w:sz="4" w:space="0"/>
            </w:tcBorders>
            <w:vAlign w:val="center"/>
          </w:tcPr>
          <w:p w14:paraId="26444AC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园区监控摄像机安装</w:t>
            </w:r>
          </w:p>
        </w:tc>
        <w:tc>
          <w:tcPr>
            <w:tcW w:w="6176" w:type="dxa"/>
            <w:tcBorders>
              <w:top w:val="single" w:color="000000" w:sz="4" w:space="0"/>
              <w:left w:val="single" w:color="000000" w:sz="4" w:space="0"/>
              <w:bottom w:val="single" w:color="000000" w:sz="4" w:space="0"/>
              <w:right w:val="nil"/>
            </w:tcBorders>
            <w:vAlign w:val="center"/>
          </w:tcPr>
          <w:p w14:paraId="563BE640">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69227A13">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7089C88A">
            <w:pPr>
              <w:jc w:val="center"/>
              <w:rPr>
                <w:rFonts w:ascii="宋体" w:hAnsi="宋体" w:cs="宋体"/>
                <w:color w:val="auto"/>
                <w:szCs w:val="22"/>
                <w:highlight w:val="none"/>
              </w:rPr>
            </w:pPr>
          </w:p>
        </w:tc>
      </w:tr>
      <w:tr w14:paraId="43F0858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B4A5F0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3.4.3.2.1</w:t>
            </w:r>
          </w:p>
        </w:tc>
        <w:tc>
          <w:tcPr>
            <w:tcW w:w="1035" w:type="dxa"/>
            <w:tcBorders>
              <w:top w:val="single" w:color="000000" w:sz="4" w:space="0"/>
              <w:left w:val="single" w:color="000000" w:sz="4" w:space="0"/>
              <w:bottom w:val="single" w:color="000000" w:sz="4" w:space="0"/>
              <w:right w:val="single" w:color="000000" w:sz="4" w:space="0"/>
            </w:tcBorders>
            <w:vAlign w:val="center"/>
          </w:tcPr>
          <w:p w14:paraId="1746C83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园区监控摄像机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65C4125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▲1.支持≥1/1.8英寸400万像素CMOS传感器；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支持三码流同时输出,主码流最高分辨率2880*1620@20fps,默认2688*1520@25fps；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内置GPU芯片,支持深度学习算法,提供精准的人、机动车、非机动车分类检测；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支持SMART H.265/H.264编码方式；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支持算法在线动态加载、升级、卸载，过程中摄像机的音视频业务不中断；</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支持三种智能算法切换：人脸抓拍、人数统计、AI周界；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支持最大256G Micro SD卡；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支持超宽动态、背光补偿、强光抑制、数字降噪、电子防抖、数字透雾；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ROI支持≥8个感兴趣区域；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内置MIC；</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支持≥2路报警输入,1路报警输出,1路音频输入,1路音频输出,1路485,1路DC12V电源返送,最大电流165mA；</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支持DC12V/POE供电方式；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支持IP67防护等级；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14.支持GB/T28181协议。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15.配套设备的相关辅材1批及安装，配套辅材包括但不限于存储卡和线材等。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27379F1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246</w:t>
            </w:r>
          </w:p>
        </w:tc>
        <w:tc>
          <w:tcPr>
            <w:tcW w:w="660" w:type="dxa"/>
            <w:tcBorders>
              <w:top w:val="single" w:color="000000" w:sz="4" w:space="0"/>
              <w:left w:val="single" w:color="000000" w:sz="4" w:space="0"/>
              <w:bottom w:val="single" w:color="000000" w:sz="4" w:space="0"/>
              <w:right w:val="single" w:color="000000" w:sz="4" w:space="0"/>
            </w:tcBorders>
            <w:vAlign w:val="center"/>
          </w:tcPr>
          <w:p w14:paraId="063423A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DB308B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60B92A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3.4.3.2.2</w:t>
            </w:r>
          </w:p>
        </w:tc>
        <w:tc>
          <w:tcPr>
            <w:tcW w:w="1035" w:type="dxa"/>
            <w:tcBorders>
              <w:top w:val="single" w:color="000000" w:sz="4" w:space="0"/>
              <w:left w:val="single" w:color="000000" w:sz="4" w:space="0"/>
              <w:bottom w:val="single" w:color="000000" w:sz="4" w:space="0"/>
              <w:right w:val="single" w:color="000000" w:sz="4" w:space="0"/>
            </w:tcBorders>
            <w:vAlign w:val="center"/>
          </w:tcPr>
          <w:p w14:paraId="37AA0FF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3.5米I型组合立杆</w:t>
            </w:r>
          </w:p>
        </w:tc>
        <w:tc>
          <w:tcPr>
            <w:tcW w:w="6176" w:type="dxa"/>
            <w:tcBorders>
              <w:top w:val="single" w:color="000000" w:sz="4" w:space="0"/>
              <w:left w:val="single" w:color="000000" w:sz="4" w:space="0"/>
              <w:bottom w:val="single" w:color="000000" w:sz="4" w:space="0"/>
              <w:right w:val="nil"/>
            </w:tcBorders>
            <w:vAlign w:val="center"/>
          </w:tcPr>
          <w:p w14:paraId="1E80A20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材质：Q235B;杆型：圆形杆；杆件高度3.5米:杆径：底部1米直径φ114；上部2.5米直径：φ76；壁厚3.5mm；支臂：长度：1M；壁厚：3.0mm；直径：76；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杆件表层工艺：热浸锌75um；表层喷塑。</w:t>
            </w:r>
          </w:p>
        </w:tc>
        <w:tc>
          <w:tcPr>
            <w:tcW w:w="754" w:type="dxa"/>
            <w:tcBorders>
              <w:top w:val="single" w:color="000000" w:sz="4" w:space="0"/>
              <w:left w:val="single" w:color="000000" w:sz="4" w:space="0"/>
              <w:bottom w:val="single" w:color="000000" w:sz="4" w:space="0"/>
              <w:right w:val="single" w:color="000000" w:sz="4" w:space="0"/>
            </w:tcBorders>
            <w:vAlign w:val="center"/>
          </w:tcPr>
          <w:p w14:paraId="663C8F6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117</w:t>
            </w:r>
          </w:p>
        </w:tc>
        <w:tc>
          <w:tcPr>
            <w:tcW w:w="660" w:type="dxa"/>
            <w:tcBorders>
              <w:top w:val="single" w:color="000000" w:sz="4" w:space="0"/>
              <w:left w:val="single" w:color="000000" w:sz="4" w:space="0"/>
              <w:bottom w:val="single" w:color="000000" w:sz="4" w:space="0"/>
              <w:right w:val="single" w:color="000000" w:sz="4" w:space="0"/>
            </w:tcBorders>
            <w:vAlign w:val="center"/>
          </w:tcPr>
          <w:p w14:paraId="600D4FA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根</w:t>
            </w:r>
          </w:p>
        </w:tc>
      </w:tr>
      <w:tr w14:paraId="6B923EE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6A5E15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3.4.3.2.3</w:t>
            </w:r>
          </w:p>
        </w:tc>
        <w:tc>
          <w:tcPr>
            <w:tcW w:w="1035" w:type="dxa"/>
            <w:tcBorders>
              <w:top w:val="single" w:color="000000" w:sz="4" w:space="0"/>
              <w:left w:val="single" w:color="000000" w:sz="4" w:space="0"/>
              <w:bottom w:val="single" w:color="000000" w:sz="4" w:space="0"/>
              <w:right w:val="single" w:color="000000" w:sz="4" w:space="0"/>
            </w:tcBorders>
            <w:vAlign w:val="center"/>
          </w:tcPr>
          <w:p w14:paraId="3993FE3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立杆基础（3.5米）</w:t>
            </w:r>
          </w:p>
        </w:tc>
        <w:tc>
          <w:tcPr>
            <w:tcW w:w="6176" w:type="dxa"/>
            <w:tcBorders>
              <w:top w:val="single" w:color="000000" w:sz="4" w:space="0"/>
              <w:left w:val="single" w:color="000000" w:sz="4" w:space="0"/>
              <w:bottom w:val="single" w:color="000000" w:sz="4" w:space="0"/>
              <w:right w:val="nil"/>
            </w:tcBorders>
            <w:vAlign w:val="center"/>
          </w:tcPr>
          <w:p w14:paraId="52F4FDC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尺寸：500mm*500mm*600mm），采用碎石商品混凝土回填及养护，混凝土强度等级为:C25；立杆的安装高强度螺帽紧固，接地地极焊接并做防腐防锈处理；清理建筑废渣、原有路基、地面、路面及场地内植被的恢复等。</w:t>
            </w:r>
          </w:p>
        </w:tc>
        <w:tc>
          <w:tcPr>
            <w:tcW w:w="754" w:type="dxa"/>
            <w:tcBorders>
              <w:top w:val="single" w:color="000000" w:sz="4" w:space="0"/>
              <w:left w:val="single" w:color="000000" w:sz="4" w:space="0"/>
              <w:bottom w:val="single" w:color="000000" w:sz="4" w:space="0"/>
              <w:right w:val="single" w:color="000000" w:sz="4" w:space="0"/>
            </w:tcBorders>
            <w:vAlign w:val="center"/>
          </w:tcPr>
          <w:p w14:paraId="52F9522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117</w:t>
            </w:r>
          </w:p>
        </w:tc>
        <w:tc>
          <w:tcPr>
            <w:tcW w:w="660" w:type="dxa"/>
            <w:tcBorders>
              <w:top w:val="single" w:color="000000" w:sz="4" w:space="0"/>
              <w:left w:val="single" w:color="000000" w:sz="4" w:space="0"/>
              <w:bottom w:val="single" w:color="000000" w:sz="4" w:space="0"/>
              <w:right w:val="single" w:color="000000" w:sz="4" w:space="0"/>
            </w:tcBorders>
            <w:vAlign w:val="center"/>
          </w:tcPr>
          <w:p w14:paraId="246FF7E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226361E6">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1258B6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3.4.3.2.4</w:t>
            </w:r>
          </w:p>
        </w:tc>
        <w:tc>
          <w:tcPr>
            <w:tcW w:w="1035" w:type="dxa"/>
            <w:tcBorders>
              <w:top w:val="single" w:color="000000" w:sz="4" w:space="0"/>
              <w:left w:val="single" w:color="000000" w:sz="4" w:space="0"/>
              <w:bottom w:val="single" w:color="000000" w:sz="4" w:space="0"/>
              <w:right w:val="single" w:color="000000" w:sz="4" w:space="0"/>
            </w:tcBorders>
            <w:vAlign w:val="center"/>
          </w:tcPr>
          <w:p w14:paraId="7D657C7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设备箱</w:t>
            </w:r>
          </w:p>
        </w:tc>
        <w:tc>
          <w:tcPr>
            <w:tcW w:w="6176" w:type="dxa"/>
            <w:tcBorders>
              <w:top w:val="single" w:color="000000" w:sz="4" w:space="0"/>
              <w:left w:val="single" w:color="000000" w:sz="4" w:space="0"/>
              <w:bottom w:val="single" w:color="000000" w:sz="4" w:space="0"/>
              <w:right w:val="nil"/>
            </w:tcBorders>
            <w:vAlign w:val="center"/>
          </w:tcPr>
          <w:p w14:paraId="1F55411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质:冷轧钢，尺寸:支持≥280mm*190mm*100mm，柜防护等级&gt;IP66，内含电源模块、电源排插、信号及电源网络防雷模块。满足户外、壁挂抱杆等各种安装需要。户外型，含接线端子等附件，含电源空开、电源插排、电源防雷模块，含单模 SC 口转100M 电口，带电源，含单模光纤终端盒，含 SC 尾纤</w:t>
            </w:r>
          </w:p>
        </w:tc>
        <w:tc>
          <w:tcPr>
            <w:tcW w:w="754" w:type="dxa"/>
            <w:tcBorders>
              <w:top w:val="single" w:color="000000" w:sz="4" w:space="0"/>
              <w:left w:val="single" w:color="000000" w:sz="4" w:space="0"/>
              <w:bottom w:val="single" w:color="000000" w:sz="4" w:space="0"/>
              <w:right w:val="single" w:color="000000" w:sz="4" w:space="0"/>
            </w:tcBorders>
            <w:vAlign w:val="center"/>
          </w:tcPr>
          <w:p w14:paraId="4357C91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77</w:t>
            </w:r>
          </w:p>
        </w:tc>
        <w:tc>
          <w:tcPr>
            <w:tcW w:w="660" w:type="dxa"/>
            <w:tcBorders>
              <w:top w:val="single" w:color="000000" w:sz="4" w:space="0"/>
              <w:left w:val="single" w:color="000000" w:sz="4" w:space="0"/>
              <w:bottom w:val="single" w:color="000000" w:sz="4" w:space="0"/>
              <w:right w:val="single" w:color="000000" w:sz="4" w:space="0"/>
            </w:tcBorders>
            <w:vAlign w:val="center"/>
          </w:tcPr>
          <w:p w14:paraId="0F2E10E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2CAE2DF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1C973B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3.4.3.2.5</w:t>
            </w:r>
          </w:p>
        </w:tc>
        <w:tc>
          <w:tcPr>
            <w:tcW w:w="1035" w:type="dxa"/>
            <w:tcBorders>
              <w:top w:val="single" w:color="000000" w:sz="4" w:space="0"/>
              <w:left w:val="single" w:color="000000" w:sz="4" w:space="0"/>
              <w:bottom w:val="single" w:color="000000" w:sz="4" w:space="0"/>
              <w:right w:val="single" w:color="000000" w:sz="4" w:space="0"/>
            </w:tcBorders>
            <w:vAlign w:val="center"/>
          </w:tcPr>
          <w:p w14:paraId="647DACF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室外设备汇聚箱</w:t>
            </w:r>
          </w:p>
        </w:tc>
        <w:tc>
          <w:tcPr>
            <w:tcW w:w="6176" w:type="dxa"/>
            <w:tcBorders>
              <w:top w:val="single" w:color="000000" w:sz="4" w:space="0"/>
              <w:left w:val="single" w:color="000000" w:sz="4" w:space="0"/>
              <w:bottom w:val="single" w:color="000000" w:sz="4" w:space="0"/>
              <w:right w:val="nil"/>
            </w:tcBorders>
            <w:vAlign w:val="center"/>
          </w:tcPr>
          <w:p w14:paraId="273E779B">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材质:冷轧钢，尺寸:支持≥500mm*400mm*200mm，柜防护等级&gt;IP66，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配备杆体挂件内含电源模块、电源排插、信号及电源网络防雷模块。满足户外、壁挂抱杆等各种安装需要。户外型，含接线端子等附件，含电源空开、电源插排、电源防雷模块，含单模 SC 口转100M 电口，带电源，含单模光纤终端盒，含 SC 尾纤</w:t>
            </w:r>
          </w:p>
          <w:p w14:paraId="6F8EC5CE">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1. 线缆接头制作与标识应包含线缆接头处理、接头制作、线缆接入设备端子、线缆两端制作标识标牌等内容。</w:t>
            </w:r>
          </w:p>
          <w:p w14:paraId="727071FD">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2. 线缆接头制作时应根据不同线缆类型选用相应剥线钳工具对线缆接头护套进行去除处理，对部分接头采用热缩管包裹、绝缘带缠绕、绝缘及防潮处理。</w:t>
            </w:r>
          </w:p>
          <w:p w14:paraId="0E43238F">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3. 电源电缆、控制线缆制作接头时应对接头线芯采用镀锡或压铜鼻子的方式对线头进行处理。</w:t>
            </w:r>
          </w:p>
          <w:p w14:paraId="36D79619">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4. 双绞线制作接头时应采用带屏蔽的RJ45头，并用专用压线钳进行接头制作，线序应符合国际EIA/TIA的568A与568B两种标准的规定。</w:t>
            </w:r>
          </w:p>
          <w:p w14:paraId="0AF888E6">
            <w:pPr>
              <w:pStyle w:val="59"/>
              <w:jc w:val="both"/>
              <w:rPr>
                <w:color w:val="auto"/>
                <w:highlight w:val="none"/>
              </w:rPr>
            </w:pPr>
            <w:r>
              <w:rPr>
                <w:rFonts w:hint="eastAsia" w:ascii="宋体" w:hAnsi="宋体" w:eastAsia="宋体" w:cs="宋体"/>
                <w:b w:val="0"/>
                <w:bCs/>
                <w:color w:val="auto"/>
                <w:highlight w:val="none"/>
              </w:rPr>
              <w:t>5. 光缆制作接头时应由专业光缆熔接技术人员用专用光缆熔接机将光缆线芯与成品尾纤进行熔接制作，并用光纤终端盒进行盘线固定处理，由法兰盘与外部成品光纤跳纤连接光口设备，成品跳纤长度应≤5米，跳纤传输规格应与主光缆相同。</w:t>
            </w:r>
          </w:p>
        </w:tc>
        <w:tc>
          <w:tcPr>
            <w:tcW w:w="754" w:type="dxa"/>
            <w:tcBorders>
              <w:top w:val="single" w:color="000000" w:sz="4" w:space="0"/>
              <w:left w:val="single" w:color="000000" w:sz="4" w:space="0"/>
              <w:bottom w:val="single" w:color="000000" w:sz="4" w:space="0"/>
              <w:right w:val="single" w:color="000000" w:sz="4" w:space="0"/>
            </w:tcBorders>
            <w:vAlign w:val="center"/>
          </w:tcPr>
          <w:p w14:paraId="72B117C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43</w:t>
            </w:r>
          </w:p>
        </w:tc>
        <w:tc>
          <w:tcPr>
            <w:tcW w:w="660" w:type="dxa"/>
            <w:tcBorders>
              <w:top w:val="single" w:color="000000" w:sz="4" w:space="0"/>
              <w:left w:val="single" w:color="000000" w:sz="4" w:space="0"/>
              <w:bottom w:val="single" w:color="000000" w:sz="4" w:space="0"/>
              <w:right w:val="single" w:color="000000" w:sz="4" w:space="0"/>
            </w:tcBorders>
            <w:vAlign w:val="center"/>
          </w:tcPr>
          <w:p w14:paraId="03B8AB2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77A4894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6687C6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3.4.3.2.6</w:t>
            </w:r>
          </w:p>
        </w:tc>
        <w:tc>
          <w:tcPr>
            <w:tcW w:w="1035" w:type="dxa"/>
            <w:tcBorders>
              <w:top w:val="single" w:color="000000" w:sz="4" w:space="0"/>
              <w:left w:val="single" w:color="000000" w:sz="4" w:space="0"/>
              <w:bottom w:val="single" w:color="000000" w:sz="4" w:space="0"/>
              <w:right w:val="single" w:color="000000" w:sz="4" w:space="0"/>
            </w:tcBorders>
            <w:vAlign w:val="center"/>
          </w:tcPr>
          <w:p w14:paraId="3A81144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7107CFA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22BD291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13000</w:t>
            </w:r>
          </w:p>
        </w:tc>
        <w:tc>
          <w:tcPr>
            <w:tcW w:w="660" w:type="dxa"/>
            <w:tcBorders>
              <w:top w:val="single" w:color="000000" w:sz="4" w:space="0"/>
              <w:left w:val="single" w:color="000000" w:sz="4" w:space="0"/>
              <w:bottom w:val="single" w:color="000000" w:sz="4" w:space="0"/>
              <w:right w:val="single" w:color="000000" w:sz="4" w:space="0"/>
            </w:tcBorders>
            <w:vAlign w:val="center"/>
          </w:tcPr>
          <w:p w14:paraId="30A1C16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7CEB4CF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37197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3.4.3.2.7</w:t>
            </w:r>
          </w:p>
        </w:tc>
        <w:tc>
          <w:tcPr>
            <w:tcW w:w="1035" w:type="dxa"/>
            <w:tcBorders>
              <w:top w:val="single" w:color="000000" w:sz="4" w:space="0"/>
              <w:left w:val="single" w:color="000000" w:sz="4" w:space="0"/>
              <w:bottom w:val="single" w:color="000000" w:sz="4" w:space="0"/>
              <w:right w:val="single" w:color="000000" w:sz="4" w:space="0"/>
            </w:tcBorders>
            <w:vAlign w:val="center"/>
          </w:tcPr>
          <w:p w14:paraId="343FB5B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73C7FC1D">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28B6EF0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13000</w:t>
            </w:r>
          </w:p>
        </w:tc>
        <w:tc>
          <w:tcPr>
            <w:tcW w:w="660" w:type="dxa"/>
            <w:tcBorders>
              <w:top w:val="single" w:color="000000" w:sz="4" w:space="0"/>
              <w:left w:val="single" w:color="000000" w:sz="4" w:space="0"/>
              <w:bottom w:val="single" w:color="000000" w:sz="4" w:space="0"/>
              <w:right w:val="single" w:color="000000" w:sz="4" w:space="0"/>
            </w:tcBorders>
            <w:vAlign w:val="center"/>
          </w:tcPr>
          <w:p w14:paraId="330A967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08A5BC9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B31FA9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3.4.3.2.8</w:t>
            </w:r>
          </w:p>
        </w:tc>
        <w:tc>
          <w:tcPr>
            <w:tcW w:w="1035" w:type="dxa"/>
            <w:tcBorders>
              <w:top w:val="single" w:color="000000" w:sz="4" w:space="0"/>
              <w:left w:val="single" w:color="000000" w:sz="4" w:space="0"/>
              <w:bottom w:val="single" w:color="000000" w:sz="4" w:space="0"/>
              <w:right w:val="single" w:color="000000" w:sz="4" w:space="0"/>
            </w:tcBorders>
            <w:vAlign w:val="center"/>
          </w:tcPr>
          <w:p w14:paraId="46B8634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室外光缆</w:t>
            </w:r>
          </w:p>
        </w:tc>
        <w:tc>
          <w:tcPr>
            <w:tcW w:w="6176" w:type="dxa"/>
            <w:tcBorders>
              <w:top w:val="single" w:color="000000" w:sz="4" w:space="0"/>
              <w:left w:val="single" w:color="000000" w:sz="4" w:space="0"/>
              <w:bottom w:val="single" w:color="000000" w:sz="4" w:space="0"/>
              <w:right w:val="nil"/>
            </w:tcBorders>
            <w:vAlign w:val="center"/>
          </w:tcPr>
          <w:p w14:paraId="47BDAF9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结构类型：GYXTW；光缆芯数：6芯；松套管：PBT；松套管外径：3.0；光缆加强件：两根高强度磷化钢丝；铠装：双面镀铬涂塑钢带；光缆外护材料：聚乙烯(PE)；外径范围：8-9mm。</w:t>
            </w:r>
          </w:p>
        </w:tc>
        <w:tc>
          <w:tcPr>
            <w:tcW w:w="754" w:type="dxa"/>
            <w:tcBorders>
              <w:top w:val="single" w:color="000000" w:sz="4" w:space="0"/>
              <w:left w:val="single" w:color="000000" w:sz="4" w:space="0"/>
              <w:bottom w:val="single" w:color="000000" w:sz="4" w:space="0"/>
              <w:right w:val="single" w:color="000000" w:sz="4" w:space="0"/>
            </w:tcBorders>
            <w:vAlign w:val="center"/>
          </w:tcPr>
          <w:p w14:paraId="758003E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4500</w:t>
            </w:r>
          </w:p>
        </w:tc>
        <w:tc>
          <w:tcPr>
            <w:tcW w:w="660" w:type="dxa"/>
            <w:tcBorders>
              <w:top w:val="single" w:color="000000" w:sz="4" w:space="0"/>
              <w:left w:val="single" w:color="000000" w:sz="4" w:space="0"/>
              <w:bottom w:val="single" w:color="000000" w:sz="4" w:space="0"/>
              <w:right w:val="single" w:color="000000" w:sz="4" w:space="0"/>
            </w:tcBorders>
            <w:vAlign w:val="center"/>
          </w:tcPr>
          <w:p w14:paraId="184E79E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3C61C13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CD03F1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w:t>
            </w:r>
          </w:p>
        </w:tc>
        <w:tc>
          <w:tcPr>
            <w:tcW w:w="1035" w:type="dxa"/>
            <w:tcBorders>
              <w:top w:val="single" w:color="000000" w:sz="4" w:space="0"/>
              <w:left w:val="single" w:color="000000" w:sz="4" w:space="0"/>
              <w:bottom w:val="single" w:color="000000" w:sz="4" w:space="0"/>
              <w:right w:val="single" w:color="000000" w:sz="4" w:space="0"/>
            </w:tcBorders>
            <w:vAlign w:val="center"/>
          </w:tcPr>
          <w:p w14:paraId="42F31A3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园区公辅工程安防设备</w:t>
            </w:r>
          </w:p>
        </w:tc>
        <w:tc>
          <w:tcPr>
            <w:tcW w:w="6176" w:type="dxa"/>
            <w:tcBorders>
              <w:top w:val="single" w:color="000000" w:sz="4" w:space="0"/>
              <w:left w:val="single" w:color="000000" w:sz="4" w:space="0"/>
              <w:bottom w:val="single" w:color="000000" w:sz="4" w:space="0"/>
              <w:right w:val="nil"/>
            </w:tcBorders>
            <w:vAlign w:val="center"/>
          </w:tcPr>
          <w:p w14:paraId="0E17EFFA">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6B61CE7">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08E19E6">
            <w:pPr>
              <w:jc w:val="center"/>
              <w:rPr>
                <w:rFonts w:ascii="宋体" w:hAnsi="宋体" w:cs="宋体"/>
                <w:color w:val="auto"/>
                <w:szCs w:val="22"/>
                <w:highlight w:val="none"/>
              </w:rPr>
            </w:pPr>
          </w:p>
        </w:tc>
      </w:tr>
      <w:tr w14:paraId="4F41B2D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175C31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w:t>
            </w:r>
          </w:p>
        </w:tc>
        <w:tc>
          <w:tcPr>
            <w:tcW w:w="1035" w:type="dxa"/>
            <w:tcBorders>
              <w:top w:val="single" w:color="000000" w:sz="4" w:space="0"/>
              <w:left w:val="single" w:color="000000" w:sz="4" w:space="0"/>
              <w:bottom w:val="single" w:color="000000" w:sz="4" w:space="0"/>
              <w:right w:val="single" w:color="000000" w:sz="4" w:space="0"/>
            </w:tcBorders>
            <w:vAlign w:val="center"/>
          </w:tcPr>
          <w:p w14:paraId="3D9D29C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测温摄像机安装</w:t>
            </w:r>
          </w:p>
        </w:tc>
        <w:tc>
          <w:tcPr>
            <w:tcW w:w="6176" w:type="dxa"/>
            <w:tcBorders>
              <w:top w:val="single" w:color="000000" w:sz="4" w:space="0"/>
              <w:left w:val="single" w:color="000000" w:sz="4" w:space="0"/>
              <w:bottom w:val="single" w:color="000000" w:sz="4" w:space="0"/>
              <w:right w:val="nil"/>
            </w:tcBorders>
            <w:vAlign w:val="center"/>
          </w:tcPr>
          <w:p w14:paraId="01E0258B">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27C2CAF">
            <w:pP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096587F">
            <w:pPr>
              <w:jc w:val="center"/>
              <w:rPr>
                <w:rFonts w:ascii="宋体" w:hAnsi="宋体" w:cs="宋体"/>
                <w:color w:val="auto"/>
                <w:szCs w:val="22"/>
                <w:highlight w:val="none"/>
              </w:rPr>
            </w:pPr>
          </w:p>
        </w:tc>
      </w:tr>
      <w:tr w14:paraId="2846914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D246BE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3.4.4.1.1</w:t>
            </w:r>
          </w:p>
        </w:tc>
        <w:tc>
          <w:tcPr>
            <w:tcW w:w="1035" w:type="dxa"/>
            <w:tcBorders>
              <w:top w:val="single" w:color="000000" w:sz="4" w:space="0"/>
              <w:left w:val="single" w:color="000000" w:sz="4" w:space="0"/>
              <w:bottom w:val="single" w:color="000000" w:sz="4" w:space="0"/>
              <w:right w:val="single" w:color="000000" w:sz="4" w:space="0"/>
            </w:tcBorders>
            <w:vAlign w:val="center"/>
          </w:tcPr>
          <w:p w14:paraId="1E51412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测温摄像机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70CF2D0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1.探测器类型为非制冷氧化钒焦平面探测器，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2.探测器像素256x192，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3.像元尺寸12μm，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4.光谱范围 8μm～14μm， 热灵敏度（NETD） &lt;50mK（@f/1.0,25Hz,300K）</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5.支持多帧合一宽动态、高级图像降噪，完美展现白天、夜晚视频图像;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6.热成像聚焦模式无热化，热成像近摄距 1.0m，热成像镜头光圈 F1.0;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7.传感器类型1/2.7英寸CMOS，最大分辨率 2336 x 1752，可见光像素400万，水平解析度 ≥1600TVL，最低照度彩色：0.05lux 黑白：0.005lux 0Lux（红外灯开启），信噪比 ≥55dB;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8.支持背光补偿 ，宽动态 DWDR，支持强光抑制 ，日夜转换 ICR自动切换/电子彩转黑;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9.支持曝光补偿 ，可见光聚焦模式为定焦。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10.配套设备的相关辅材1批及安装，配套辅材包括但不限于存储卡和线材等。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3737684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14:paraId="2B3910C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000F70D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0A0376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3.4.4.1.2</w:t>
            </w:r>
          </w:p>
        </w:tc>
        <w:tc>
          <w:tcPr>
            <w:tcW w:w="1035" w:type="dxa"/>
            <w:tcBorders>
              <w:top w:val="single" w:color="000000" w:sz="4" w:space="0"/>
              <w:left w:val="single" w:color="000000" w:sz="4" w:space="0"/>
              <w:bottom w:val="single" w:color="000000" w:sz="4" w:space="0"/>
              <w:right w:val="single" w:color="000000" w:sz="4" w:space="0"/>
            </w:tcBorders>
            <w:vAlign w:val="center"/>
          </w:tcPr>
          <w:p w14:paraId="427DAB7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3.5米I型组合立杆</w:t>
            </w:r>
          </w:p>
        </w:tc>
        <w:tc>
          <w:tcPr>
            <w:tcW w:w="6176" w:type="dxa"/>
            <w:tcBorders>
              <w:top w:val="single" w:color="000000" w:sz="4" w:space="0"/>
              <w:left w:val="single" w:color="000000" w:sz="4" w:space="0"/>
              <w:bottom w:val="single" w:color="000000" w:sz="4" w:space="0"/>
              <w:right w:val="nil"/>
            </w:tcBorders>
            <w:vAlign w:val="center"/>
          </w:tcPr>
          <w:p w14:paraId="5B5D9B9D">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材质：Q235B;杆型：圆形杆；杆件高度3.5米:杆径：底部1米直径φ114；上部2.5米直径：φ76；壁厚3.5mm；支臂：长度：1M；壁厚：3.0mm；直径：76；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杆件表层工艺：热浸锌75um；表层喷塑。</w:t>
            </w:r>
          </w:p>
        </w:tc>
        <w:tc>
          <w:tcPr>
            <w:tcW w:w="754" w:type="dxa"/>
            <w:tcBorders>
              <w:top w:val="single" w:color="000000" w:sz="4" w:space="0"/>
              <w:left w:val="single" w:color="000000" w:sz="4" w:space="0"/>
              <w:bottom w:val="single" w:color="000000" w:sz="4" w:space="0"/>
              <w:right w:val="single" w:color="000000" w:sz="4" w:space="0"/>
            </w:tcBorders>
            <w:vAlign w:val="center"/>
          </w:tcPr>
          <w:p w14:paraId="1D91C6B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25</w:t>
            </w:r>
          </w:p>
        </w:tc>
        <w:tc>
          <w:tcPr>
            <w:tcW w:w="660" w:type="dxa"/>
            <w:tcBorders>
              <w:top w:val="single" w:color="000000" w:sz="4" w:space="0"/>
              <w:left w:val="single" w:color="000000" w:sz="4" w:space="0"/>
              <w:bottom w:val="single" w:color="000000" w:sz="4" w:space="0"/>
              <w:right w:val="single" w:color="000000" w:sz="4" w:space="0"/>
            </w:tcBorders>
            <w:vAlign w:val="center"/>
          </w:tcPr>
          <w:p w14:paraId="00F76B9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根</w:t>
            </w:r>
          </w:p>
        </w:tc>
      </w:tr>
      <w:tr w14:paraId="2513CAA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823EB6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3.4.4.1.3</w:t>
            </w:r>
          </w:p>
        </w:tc>
        <w:tc>
          <w:tcPr>
            <w:tcW w:w="1035" w:type="dxa"/>
            <w:tcBorders>
              <w:top w:val="single" w:color="000000" w:sz="4" w:space="0"/>
              <w:left w:val="single" w:color="000000" w:sz="4" w:space="0"/>
              <w:bottom w:val="single" w:color="000000" w:sz="4" w:space="0"/>
              <w:right w:val="single" w:color="000000" w:sz="4" w:space="0"/>
            </w:tcBorders>
            <w:vAlign w:val="center"/>
          </w:tcPr>
          <w:p w14:paraId="6B175CB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立杆基础（3.5米）</w:t>
            </w:r>
          </w:p>
        </w:tc>
        <w:tc>
          <w:tcPr>
            <w:tcW w:w="6176" w:type="dxa"/>
            <w:tcBorders>
              <w:top w:val="single" w:color="000000" w:sz="4" w:space="0"/>
              <w:left w:val="single" w:color="000000" w:sz="4" w:space="0"/>
              <w:bottom w:val="single" w:color="000000" w:sz="4" w:space="0"/>
              <w:right w:val="nil"/>
            </w:tcBorders>
            <w:vAlign w:val="center"/>
          </w:tcPr>
          <w:p w14:paraId="609C44A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尺寸：500mm*500mm*600mm），采用碎石商品混凝土回填及养护，混凝土强度等级为:C25；立杆的安装高强度螺帽紧固，接地地极焊接并做防腐防锈处理；清理建筑废渣、原有路基、地面、路面及场地内植被的恢复等。</w:t>
            </w:r>
          </w:p>
        </w:tc>
        <w:tc>
          <w:tcPr>
            <w:tcW w:w="754" w:type="dxa"/>
            <w:tcBorders>
              <w:top w:val="single" w:color="000000" w:sz="4" w:space="0"/>
              <w:left w:val="single" w:color="000000" w:sz="4" w:space="0"/>
              <w:bottom w:val="single" w:color="000000" w:sz="4" w:space="0"/>
              <w:right w:val="single" w:color="000000" w:sz="4" w:space="0"/>
            </w:tcBorders>
            <w:vAlign w:val="center"/>
          </w:tcPr>
          <w:p w14:paraId="7CFE3BA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25</w:t>
            </w:r>
          </w:p>
        </w:tc>
        <w:tc>
          <w:tcPr>
            <w:tcW w:w="660" w:type="dxa"/>
            <w:tcBorders>
              <w:top w:val="single" w:color="000000" w:sz="4" w:space="0"/>
              <w:left w:val="single" w:color="000000" w:sz="4" w:space="0"/>
              <w:bottom w:val="single" w:color="000000" w:sz="4" w:space="0"/>
              <w:right w:val="single" w:color="000000" w:sz="4" w:space="0"/>
            </w:tcBorders>
            <w:vAlign w:val="center"/>
          </w:tcPr>
          <w:p w14:paraId="5E0EF64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737DD34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7D6B3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3.4.4.1.4</w:t>
            </w:r>
          </w:p>
        </w:tc>
        <w:tc>
          <w:tcPr>
            <w:tcW w:w="1035" w:type="dxa"/>
            <w:tcBorders>
              <w:top w:val="single" w:color="000000" w:sz="4" w:space="0"/>
              <w:left w:val="single" w:color="000000" w:sz="4" w:space="0"/>
              <w:bottom w:val="single" w:color="000000" w:sz="4" w:space="0"/>
              <w:right w:val="single" w:color="000000" w:sz="4" w:space="0"/>
            </w:tcBorders>
            <w:vAlign w:val="center"/>
          </w:tcPr>
          <w:p w14:paraId="0D5F2EA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设备箱</w:t>
            </w:r>
          </w:p>
        </w:tc>
        <w:tc>
          <w:tcPr>
            <w:tcW w:w="6176" w:type="dxa"/>
            <w:tcBorders>
              <w:top w:val="single" w:color="000000" w:sz="4" w:space="0"/>
              <w:left w:val="single" w:color="000000" w:sz="4" w:space="0"/>
              <w:bottom w:val="single" w:color="000000" w:sz="4" w:space="0"/>
              <w:right w:val="nil"/>
            </w:tcBorders>
            <w:vAlign w:val="center"/>
          </w:tcPr>
          <w:p w14:paraId="262F101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质:冷轧钢，尺寸:支持≥280mm*190mm*100mm，柜防护等级&gt;IP66，内含电源模块、电源排插、信号及电源网络防雷模块。满足户外、壁挂抱杆等各种安装需要。户外型，含接线端子等附件，含电源空开、电源插排、电源防雷模块，含单模 SC 口转100M 电口，带电源，含单模光纤终端盒，含 SC 尾纤</w:t>
            </w:r>
          </w:p>
        </w:tc>
        <w:tc>
          <w:tcPr>
            <w:tcW w:w="754" w:type="dxa"/>
            <w:tcBorders>
              <w:top w:val="single" w:color="000000" w:sz="4" w:space="0"/>
              <w:left w:val="single" w:color="000000" w:sz="4" w:space="0"/>
              <w:bottom w:val="single" w:color="000000" w:sz="4" w:space="0"/>
              <w:right w:val="single" w:color="000000" w:sz="4" w:space="0"/>
            </w:tcBorders>
            <w:vAlign w:val="center"/>
          </w:tcPr>
          <w:p w14:paraId="4BEB1E4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25</w:t>
            </w:r>
          </w:p>
        </w:tc>
        <w:tc>
          <w:tcPr>
            <w:tcW w:w="660" w:type="dxa"/>
            <w:tcBorders>
              <w:top w:val="single" w:color="000000" w:sz="4" w:space="0"/>
              <w:left w:val="single" w:color="000000" w:sz="4" w:space="0"/>
              <w:bottom w:val="single" w:color="000000" w:sz="4" w:space="0"/>
              <w:right w:val="single" w:color="000000" w:sz="4" w:space="0"/>
            </w:tcBorders>
            <w:vAlign w:val="center"/>
          </w:tcPr>
          <w:p w14:paraId="049AF59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71FA15A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761131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3.4.4.1.5</w:t>
            </w:r>
          </w:p>
        </w:tc>
        <w:tc>
          <w:tcPr>
            <w:tcW w:w="1035" w:type="dxa"/>
            <w:tcBorders>
              <w:top w:val="single" w:color="000000" w:sz="4" w:space="0"/>
              <w:left w:val="single" w:color="000000" w:sz="4" w:space="0"/>
              <w:bottom w:val="single" w:color="000000" w:sz="4" w:space="0"/>
              <w:right w:val="single" w:color="000000" w:sz="4" w:space="0"/>
            </w:tcBorders>
            <w:vAlign w:val="center"/>
          </w:tcPr>
          <w:p w14:paraId="4E782A8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室外设备汇聚箱</w:t>
            </w:r>
          </w:p>
        </w:tc>
        <w:tc>
          <w:tcPr>
            <w:tcW w:w="6176" w:type="dxa"/>
            <w:tcBorders>
              <w:top w:val="single" w:color="000000" w:sz="4" w:space="0"/>
              <w:left w:val="single" w:color="000000" w:sz="4" w:space="0"/>
              <w:bottom w:val="single" w:color="000000" w:sz="4" w:space="0"/>
              <w:right w:val="nil"/>
            </w:tcBorders>
            <w:vAlign w:val="center"/>
          </w:tcPr>
          <w:p w14:paraId="1C7EA2F7">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材质:冷轧钢，尺寸:支持≥500mm*400mm*200mm，柜防护等级&gt;IP66，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配备杆体挂件内含电源模块、电源排插、信号及电源网络防雷模块。满足户外、壁挂抱杆等各种安装需要。户外型，含接线端子等附件，含电源空开、电源插排、电源防雷模块，含单模 SC 口转100M 电口，带电源，含单模光纤终端盒，含 SC 尾纤</w:t>
            </w:r>
          </w:p>
          <w:p w14:paraId="3E153691">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1. 线缆接头制作与标识应包含线缆接头处理、接头制作、线缆接入设备端子、线缆两端制作标识标牌等内容。</w:t>
            </w:r>
          </w:p>
          <w:p w14:paraId="68BFCD5D">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2. 线缆接头制作时应根据不同线缆类型选用相应剥线钳工具对线缆接头护套进行去除处理，对部分接头采用热缩管包裹、绝缘带缠绕、绝缘及防潮处理。</w:t>
            </w:r>
          </w:p>
          <w:p w14:paraId="3A3EF958">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3. 电源电缆、控制线缆制作接头时应对接头线芯采用镀锡或压铜鼻子的方式对线头进行处理。</w:t>
            </w:r>
          </w:p>
          <w:p w14:paraId="2362CD9D">
            <w:pPr>
              <w:pStyle w:val="59"/>
              <w:jc w:val="both"/>
              <w:rPr>
                <w:rFonts w:ascii="宋体" w:hAnsi="宋体" w:eastAsia="宋体" w:cs="宋体"/>
                <w:b w:val="0"/>
                <w:bCs/>
                <w:color w:val="auto"/>
                <w:highlight w:val="none"/>
              </w:rPr>
            </w:pPr>
            <w:r>
              <w:rPr>
                <w:rFonts w:hint="eastAsia" w:ascii="宋体" w:hAnsi="宋体" w:eastAsia="宋体" w:cs="宋体"/>
                <w:b w:val="0"/>
                <w:bCs/>
                <w:color w:val="auto"/>
                <w:highlight w:val="none"/>
              </w:rPr>
              <w:t>4. 双绞线制作接头时应采用带屏蔽的RJ45头，并用专用压线钳进行接头制作，线序应符合国际EIA/TIA的568A与568B两种标准的规定。</w:t>
            </w:r>
          </w:p>
          <w:p w14:paraId="18B48416">
            <w:pPr>
              <w:pStyle w:val="59"/>
              <w:jc w:val="both"/>
              <w:rPr>
                <w:color w:val="auto"/>
                <w:highlight w:val="none"/>
              </w:rPr>
            </w:pPr>
            <w:r>
              <w:rPr>
                <w:rFonts w:hint="eastAsia" w:ascii="宋体" w:hAnsi="宋体" w:eastAsia="宋体" w:cs="宋体"/>
                <w:b w:val="0"/>
                <w:bCs/>
                <w:color w:val="auto"/>
                <w:highlight w:val="none"/>
              </w:rPr>
              <w:t>5. 光缆制作接头时应由专业光缆熔接技术人员用专用光缆熔接机将光缆线芯与成品尾纤进行熔接制作，并用光纤终端盒进行盘线固定处理，由法兰盘与外部成品光纤跳纤连接光口设备，成品跳纤长度应≤5米，跳纤传输规格应与主光缆相同。</w:t>
            </w:r>
          </w:p>
        </w:tc>
        <w:tc>
          <w:tcPr>
            <w:tcW w:w="754" w:type="dxa"/>
            <w:tcBorders>
              <w:top w:val="single" w:color="000000" w:sz="4" w:space="0"/>
              <w:left w:val="single" w:color="000000" w:sz="4" w:space="0"/>
              <w:bottom w:val="single" w:color="000000" w:sz="4" w:space="0"/>
              <w:right w:val="single" w:color="000000" w:sz="4" w:space="0"/>
            </w:tcBorders>
            <w:vAlign w:val="center"/>
          </w:tcPr>
          <w:p w14:paraId="160005B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17</w:t>
            </w:r>
          </w:p>
        </w:tc>
        <w:tc>
          <w:tcPr>
            <w:tcW w:w="660" w:type="dxa"/>
            <w:tcBorders>
              <w:top w:val="single" w:color="000000" w:sz="4" w:space="0"/>
              <w:left w:val="single" w:color="000000" w:sz="4" w:space="0"/>
              <w:bottom w:val="single" w:color="000000" w:sz="4" w:space="0"/>
              <w:right w:val="single" w:color="000000" w:sz="4" w:space="0"/>
            </w:tcBorders>
            <w:vAlign w:val="center"/>
          </w:tcPr>
          <w:p w14:paraId="7BD6A16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3A83F2D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6D94C8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3.4.4.1.6</w:t>
            </w:r>
          </w:p>
        </w:tc>
        <w:tc>
          <w:tcPr>
            <w:tcW w:w="1035" w:type="dxa"/>
            <w:tcBorders>
              <w:top w:val="single" w:color="000000" w:sz="4" w:space="0"/>
              <w:left w:val="single" w:color="000000" w:sz="4" w:space="0"/>
              <w:bottom w:val="single" w:color="000000" w:sz="4" w:space="0"/>
              <w:right w:val="single" w:color="000000" w:sz="4" w:space="0"/>
            </w:tcBorders>
            <w:vAlign w:val="center"/>
          </w:tcPr>
          <w:p w14:paraId="7FC48B2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77DFE20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30AC7F6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2800</w:t>
            </w:r>
          </w:p>
        </w:tc>
        <w:tc>
          <w:tcPr>
            <w:tcW w:w="660" w:type="dxa"/>
            <w:tcBorders>
              <w:top w:val="single" w:color="000000" w:sz="4" w:space="0"/>
              <w:left w:val="single" w:color="000000" w:sz="4" w:space="0"/>
              <w:bottom w:val="single" w:color="000000" w:sz="4" w:space="0"/>
              <w:right w:val="single" w:color="000000" w:sz="4" w:space="0"/>
            </w:tcBorders>
            <w:vAlign w:val="center"/>
          </w:tcPr>
          <w:p w14:paraId="68C02C4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78DBD1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B8E7FD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3.4.4.1.7</w:t>
            </w:r>
          </w:p>
        </w:tc>
        <w:tc>
          <w:tcPr>
            <w:tcW w:w="1035" w:type="dxa"/>
            <w:tcBorders>
              <w:top w:val="single" w:color="000000" w:sz="4" w:space="0"/>
              <w:left w:val="single" w:color="000000" w:sz="4" w:space="0"/>
              <w:bottom w:val="single" w:color="000000" w:sz="4" w:space="0"/>
              <w:right w:val="single" w:color="000000" w:sz="4" w:space="0"/>
            </w:tcBorders>
            <w:vAlign w:val="center"/>
          </w:tcPr>
          <w:p w14:paraId="750376F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5ABEE7F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29D4A12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2800</w:t>
            </w:r>
          </w:p>
        </w:tc>
        <w:tc>
          <w:tcPr>
            <w:tcW w:w="660" w:type="dxa"/>
            <w:tcBorders>
              <w:top w:val="single" w:color="000000" w:sz="4" w:space="0"/>
              <w:left w:val="single" w:color="000000" w:sz="4" w:space="0"/>
              <w:bottom w:val="single" w:color="000000" w:sz="4" w:space="0"/>
              <w:right w:val="single" w:color="000000" w:sz="4" w:space="0"/>
            </w:tcBorders>
            <w:vAlign w:val="center"/>
          </w:tcPr>
          <w:p w14:paraId="325CEAD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ED2925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668841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3.4.4.2</w:t>
            </w:r>
          </w:p>
        </w:tc>
        <w:tc>
          <w:tcPr>
            <w:tcW w:w="1035" w:type="dxa"/>
            <w:tcBorders>
              <w:top w:val="single" w:color="000000" w:sz="4" w:space="0"/>
              <w:left w:val="single" w:color="000000" w:sz="4" w:space="0"/>
              <w:bottom w:val="single" w:color="000000" w:sz="4" w:space="0"/>
              <w:right w:val="single" w:color="000000" w:sz="4" w:space="0"/>
            </w:tcBorders>
            <w:vAlign w:val="center"/>
          </w:tcPr>
          <w:p w14:paraId="3734659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危化车辆监控摄像机安装</w:t>
            </w:r>
          </w:p>
        </w:tc>
        <w:tc>
          <w:tcPr>
            <w:tcW w:w="6176" w:type="dxa"/>
            <w:tcBorders>
              <w:top w:val="single" w:color="000000" w:sz="4" w:space="0"/>
              <w:left w:val="single" w:color="000000" w:sz="4" w:space="0"/>
              <w:bottom w:val="single" w:color="000000" w:sz="4" w:space="0"/>
              <w:right w:val="nil"/>
            </w:tcBorders>
            <w:vAlign w:val="center"/>
          </w:tcPr>
          <w:p w14:paraId="44624131">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76A2F358">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3A71527">
            <w:pPr>
              <w:jc w:val="center"/>
              <w:rPr>
                <w:rFonts w:ascii="宋体" w:hAnsi="宋体" w:cs="宋体"/>
                <w:color w:val="auto"/>
                <w:szCs w:val="22"/>
                <w:highlight w:val="none"/>
              </w:rPr>
            </w:pPr>
          </w:p>
        </w:tc>
      </w:tr>
      <w:tr w14:paraId="7925C85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767C4C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3.4.4.2.1</w:t>
            </w:r>
          </w:p>
        </w:tc>
        <w:tc>
          <w:tcPr>
            <w:tcW w:w="1035" w:type="dxa"/>
            <w:tcBorders>
              <w:top w:val="single" w:color="000000" w:sz="4" w:space="0"/>
              <w:left w:val="single" w:color="000000" w:sz="4" w:space="0"/>
              <w:bottom w:val="single" w:color="000000" w:sz="4" w:space="0"/>
              <w:right w:val="single" w:color="000000" w:sz="4" w:space="0"/>
            </w:tcBorders>
            <w:vAlign w:val="center"/>
          </w:tcPr>
          <w:p w14:paraId="31047D4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危化车辆监控摄像机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5E54BACA">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▲1.配置不低于1/1.8英寸400万像素CMOS传感器，2.8-12mm电动变焦；</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支持三码流同时输出，主码流最高分辨率2688×1520@25fps；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支持H.265、H.264编码方式；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支持在算法仓平台对摄相机的算法进行加载和升级，加载或升级期间视频画面不中断；支持通过VMS实现摄像机智能算法的切换，可在VMS上查看摄像机当前的运行算法；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支持混行检测抓拍、关联抓拍；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支持人脸优选抓拍、人脸属性提取；</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支持视频结构化，行人、机动车、非机动车的属性提取以及支持区域人数统计、客流统计；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支持人脸属性显示功能；当开启此功能后，可在IE浏览器界面显示包括年龄、性别、是/否戴眼镜、是/否戴帽子等人脸属性信息；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支持AI Smart事件，在Smart智能基础上，针对人体、机动车、非机动车进行智能触发，过滤掉其他物体干扰；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支持最大256G Micro SD卡；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支持超宽动态、背光补偿、强光抑制、3D降噪、电子防抖、数字透雾；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ROI支持8个感兴趣区域；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支持IP67防护等级；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支持GB35114-A级加密；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15.支持GB/T28181协议。</w:t>
            </w:r>
          </w:p>
        </w:tc>
        <w:tc>
          <w:tcPr>
            <w:tcW w:w="754" w:type="dxa"/>
            <w:tcBorders>
              <w:top w:val="single" w:color="000000" w:sz="4" w:space="0"/>
              <w:left w:val="single" w:color="000000" w:sz="4" w:space="0"/>
              <w:bottom w:val="single" w:color="000000" w:sz="4" w:space="0"/>
              <w:right w:val="single" w:color="000000" w:sz="4" w:space="0"/>
            </w:tcBorders>
            <w:vAlign w:val="center"/>
          </w:tcPr>
          <w:p w14:paraId="5FDCCD5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80</w:t>
            </w:r>
          </w:p>
        </w:tc>
        <w:tc>
          <w:tcPr>
            <w:tcW w:w="660" w:type="dxa"/>
            <w:tcBorders>
              <w:top w:val="single" w:color="000000" w:sz="4" w:space="0"/>
              <w:left w:val="single" w:color="000000" w:sz="4" w:space="0"/>
              <w:bottom w:val="single" w:color="000000" w:sz="4" w:space="0"/>
              <w:right w:val="single" w:color="000000" w:sz="4" w:space="0"/>
            </w:tcBorders>
            <w:vAlign w:val="center"/>
          </w:tcPr>
          <w:p w14:paraId="520BE86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0B19F64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E0D151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3.4.4.2.2</w:t>
            </w:r>
          </w:p>
        </w:tc>
        <w:tc>
          <w:tcPr>
            <w:tcW w:w="1035" w:type="dxa"/>
            <w:tcBorders>
              <w:top w:val="single" w:color="000000" w:sz="4" w:space="0"/>
              <w:left w:val="single" w:color="000000" w:sz="4" w:space="0"/>
              <w:bottom w:val="single" w:color="000000" w:sz="4" w:space="0"/>
              <w:right w:val="single" w:color="000000" w:sz="4" w:space="0"/>
            </w:tcBorders>
            <w:vAlign w:val="center"/>
          </w:tcPr>
          <w:p w14:paraId="0B1E34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3.5米I型组合立杆</w:t>
            </w:r>
          </w:p>
        </w:tc>
        <w:tc>
          <w:tcPr>
            <w:tcW w:w="6176" w:type="dxa"/>
            <w:tcBorders>
              <w:top w:val="single" w:color="000000" w:sz="4" w:space="0"/>
              <w:left w:val="single" w:color="000000" w:sz="4" w:space="0"/>
              <w:bottom w:val="single" w:color="000000" w:sz="4" w:space="0"/>
              <w:right w:val="nil"/>
            </w:tcBorders>
            <w:vAlign w:val="center"/>
          </w:tcPr>
          <w:p w14:paraId="1D6EFE5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材质：Q235B；杆型：圆形杆；杆件高度3.5米:杆径：底部1米直径φ114；上部2.5米直径：φ76；壁厚3.5mm；支臂：长度：1M；壁厚：3.0mm；直径：76；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杆件表层工艺：热浸锌75um；表层喷塑。</w:t>
            </w:r>
          </w:p>
        </w:tc>
        <w:tc>
          <w:tcPr>
            <w:tcW w:w="754" w:type="dxa"/>
            <w:tcBorders>
              <w:top w:val="single" w:color="000000" w:sz="4" w:space="0"/>
              <w:left w:val="single" w:color="000000" w:sz="4" w:space="0"/>
              <w:bottom w:val="single" w:color="000000" w:sz="4" w:space="0"/>
              <w:right w:val="single" w:color="000000" w:sz="4" w:space="0"/>
            </w:tcBorders>
            <w:vAlign w:val="center"/>
          </w:tcPr>
          <w:p w14:paraId="6DE0B5A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14:paraId="75C915F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根</w:t>
            </w:r>
          </w:p>
        </w:tc>
      </w:tr>
      <w:tr w14:paraId="16792F9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7B93A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3.4.4.2.3</w:t>
            </w:r>
          </w:p>
        </w:tc>
        <w:tc>
          <w:tcPr>
            <w:tcW w:w="1035" w:type="dxa"/>
            <w:tcBorders>
              <w:top w:val="single" w:color="000000" w:sz="4" w:space="0"/>
              <w:left w:val="single" w:color="000000" w:sz="4" w:space="0"/>
              <w:bottom w:val="single" w:color="000000" w:sz="4" w:space="0"/>
              <w:right w:val="single" w:color="000000" w:sz="4" w:space="0"/>
            </w:tcBorders>
            <w:vAlign w:val="center"/>
          </w:tcPr>
          <w:p w14:paraId="5D496A4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立杆基础（3.5米）</w:t>
            </w:r>
          </w:p>
        </w:tc>
        <w:tc>
          <w:tcPr>
            <w:tcW w:w="6176" w:type="dxa"/>
            <w:tcBorders>
              <w:top w:val="single" w:color="000000" w:sz="4" w:space="0"/>
              <w:left w:val="single" w:color="000000" w:sz="4" w:space="0"/>
              <w:bottom w:val="single" w:color="000000" w:sz="4" w:space="0"/>
              <w:right w:val="nil"/>
            </w:tcBorders>
            <w:vAlign w:val="center"/>
          </w:tcPr>
          <w:p w14:paraId="225A432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尺寸：500mm*500mm*600mm），采用碎石商品混凝土回填及养护，混凝土强度等级为:C25；立杆的安装高强度螺帽紧固，接地地极焊接并做防腐防锈处理；清理建筑废渣、原有路基、地面、路面及场地内植被的恢复等。</w:t>
            </w:r>
          </w:p>
        </w:tc>
        <w:tc>
          <w:tcPr>
            <w:tcW w:w="754" w:type="dxa"/>
            <w:tcBorders>
              <w:top w:val="single" w:color="000000" w:sz="4" w:space="0"/>
              <w:left w:val="single" w:color="000000" w:sz="4" w:space="0"/>
              <w:bottom w:val="single" w:color="000000" w:sz="4" w:space="0"/>
              <w:right w:val="single" w:color="000000" w:sz="4" w:space="0"/>
            </w:tcBorders>
            <w:vAlign w:val="center"/>
          </w:tcPr>
          <w:p w14:paraId="198A329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14:paraId="237E2FE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0AB3762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CE823E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3.4.4.2.4</w:t>
            </w:r>
          </w:p>
        </w:tc>
        <w:tc>
          <w:tcPr>
            <w:tcW w:w="1035" w:type="dxa"/>
            <w:tcBorders>
              <w:top w:val="single" w:color="000000" w:sz="4" w:space="0"/>
              <w:left w:val="single" w:color="000000" w:sz="4" w:space="0"/>
              <w:bottom w:val="single" w:color="000000" w:sz="4" w:space="0"/>
              <w:right w:val="single" w:color="000000" w:sz="4" w:space="0"/>
            </w:tcBorders>
            <w:vAlign w:val="center"/>
          </w:tcPr>
          <w:p w14:paraId="70E133A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设备箱</w:t>
            </w:r>
          </w:p>
        </w:tc>
        <w:tc>
          <w:tcPr>
            <w:tcW w:w="6176" w:type="dxa"/>
            <w:tcBorders>
              <w:top w:val="single" w:color="000000" w:sz="4" w:space="0"/>
              <w:left w:val="single" w:color="000000" w:sz="4" w:space="0"/>
              <w:bottom w:val="single" w:color="000000" w:sz="4" w:space="0"/>
              <w:right w:val="nil"/>
            </w:tcBorders>
            <w:vAlign w:val="center"/>
          </w:tcPr>
          <w:p w14:paraId="0A7F005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质:冷轧钢，尺寸:支持≥280mm*190mm*100mm，柜防护等级&gt;IP66，内含电源模块、电源排插、信号及电源网络防雷模块。满足户外、壁挂抱杆等各种安装需要。户外型，含接线端子等附件，含电源空开、电源插排、电源防雷模块，含单模 SC 口转100M 电口，带电源，含单模光纤终端盒，含 SC 尾纤</w:t>
            </w:r>
          </w:p>
        </w:tc>
        <w:tc>
          <w:tcPr>
            <w:tcW w:w="754" w:type="dxa"/>
            <w:tcBorders>
              <w:top w:val="single" w:color="000000" w:sz="4" w:space="0"/>
              <w:left w:val="single" w:color="000000" w:sz="4" w:space="0"/>
              <w:bottom w:val="single" w:color="000000" w:sz="4" w:space="0"/>
              <w:right w:val="single" w:color="000000" w:sz="4" w:space="0"/>
            </w:tcBorders>
            <w:vAlign w:val="center"/>
          </w:tcPr>
          <w:p w14:paraId="17138DF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14:paraId="37C81D1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31CFCB0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FB26DA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3.4.4.2.5</w:t>
            </w:r>
          </w:p>
        </w:tc>
        <w:tc>
          <w:tcPr>
            <w:tcW w:w="1035" w:type="dxa"/>
            <w:tcBorders>
              <w:top w:val="single" w:color="000000" w:sz="4" w:space="0"/>
              <w:left w:val="single" w:color="000000" w:sz="4" w:space="0"/>
              <w:bottom w:val="single" w:color="000000" w:sz="4" w:space="0"/>
              <w:right w:val="single" w:color="000000" w:sz="4" w:space="0"/>
            </w:tcBorders>
            <w:vAlign w:val="center"/>
          </w:tcPr>
          <w:p w14:paraId="058C1AE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5A78D80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29B8C7C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4500</w:t>
            </w:r>
          </w:p>
        </w:tc>
        <w:tc>
          <w:tcPr>
            <w:tcW w:w="660" w:type="dxa"/>
            <w:tcBorders>
              <w:top w:val="single" w:color="000000" w:sz="4" w:space="0"/>
              <w:left w:val="single" w:color="000000" w:sz="4" w:space="0"/>
              <w:bottom w:val="single" w:color="000000" w:sz="4" w:space="0"/>
              <w:right w:val="single" w:color="000000" w:sz="4" w:space="0"/>
            </w:tcBorders>
            <w:vAlign w:val="center"/>
          </w:tcPr>
          <w:p w14:paraId="21A5E34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43B297D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2FE778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3.4.4.2.6</w:t>
            </w:r>
          </w:p>
        </w:tc>
        <w:tc>
          <w:tcPr>
            <w:tcW w:w="1035" w:type="dxa"/>
            <w:tcBorders>
              <w:top w:val="single" w:color="000000" w:sz="4" w:space="0"/>
              <w:left w:val="single" w:color="000000" w:sz="4" w:space="0"/>
              <w:bottom w:val="single" w:color="000000" w:sz="4" w:space="0"/>
              <w:right w:val="single" w:color="000000" w:sz="4" w:space="0"/>
            </w:tcBorders>
            <w:vAlign w:val="center"/>
          </w:tcPr>
          <w:p w14:paraId="6F9DA54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2E99AA1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5C930F7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4500</w:t>
            </w:r>
          </w:p>
        </w:tc>
        <w:tc>
          <w:tcPr>
            <w:tcW w:w="660" w:type="dxa"/>
            <w:tcBorders>
              <w:top w:val="single" w:color="000000" w:sz="4" w:space="0"/>
              <w:left w:val="single" w:color="000000" w:sz="4" w:space="0"/>
              <w:bottom w:val="single" w:color="000000" w:sz="4" w:space="0"/>
              <w:right w:val="single" w:color="000000" w:sz="4" w:space="0"/>
            </w:tcBorders>
            <w:vAlign w:val="center"/>
          </w:tcPr>
          <w:p w14:paraId="3FDD5D7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21582F1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ED6AD6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w:t>
            </w:r>
          </w:p>
        </w:tc>
        <w:tc>
          <w:tcPr>
            <w:tcW w:w="1035" w:type="dxa"/>
            <w:tcBorders>
              <w:top w:val="single" w:color="000000" w:sz="4" w:space="0"/>
              <w:left w:val="single" w:color="000000" w:sz="4" w:space="0"/>
              <w:bottom w:val="single" w:color="000000" w:sz="4" w:space="0"/>
              <w:right w:val="single" w:color="000000" w:sz="4" w:space="0"/>
            </w:tcBorders>
            <w:vAlign w:val="center"/>
          </w:tcPr>
          <w:p w14:paraId="7926E6B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园区高点安防设备</w:t>
            </w:r>
          </w:p>
        </w:tc>
        <w:tc>
          <w:tcPr>
            <w:tcW w:w="6176" w:type="dxa"/>
            <w:tcBorders>
              <w:top w:val="single" w:color="000000" w:sz="4" w:space="0"/>
              <w:left w:val="single" w:color="000000" w:sz="4" w:space="0"/>
              <w:bottom w:val="single" w:color="000000" w:sz="4" w:space="0"/>
              <w:right w:val="nil"/>
            </w:tcBorders>
            <w:vAlign w:val="center"/>
          </w:tcPr>
          <w:p w14:paraId="070EE1C7">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A23B13F">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AEBCA62">
            <w:pPr>
              <w:jc w:val="center"/>
              <w:rPr>
                <w:rFonts w:ascii="宋体" w:hAnsi="宋体" w:cs="宋体"/>
                <w:color w:val="auto"/>
                <w:szCs w:val="22"/>
                <w:highlight w:val="none"/>
              </w:rPr>
            </w:pPr>
          </w:p>
        </w:tc>
      </w:tr>
      <w:tr w14:paraId="771BCAA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9FA1F4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3.4.5.1</w:t>
            </w:r>
          </w:p>
        </w:tc>
        <w:tc>
          <w:tcPr>
            <w:tcW w:w="1035" w:type="dxa"/>
            <w:tcBorders>
              <w:top w:val="single" w:color="000000" w:sz="4" w:space="0"/>
              <w:left w:val="single" w:color="000000" w:sz="4" w:space="0"/>
              <w:bottom w:val="single" w:color="000000" w:sz="4" w:space="0"/>
              <w:right w:val="single" w:color="000000" w:sz="4" w:space="0"/>
            </w:tcBorders>
            <w:vAlign w:val="center"/>
          </w:tcPr>
          <w:p w14:paraId="71877CC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高空全景摄像机安装</w:t>
            </w:r>
          </w:p>
        </w:tc>
        <w:tc>
          <w:tcPr>
            <w:tcW w:w="6176" w:type="dxa"/>
            <w:tcBorders>
              <w:top w:val="single" w:color="000000" w:sz="4" w:space="0"/>
              <w:left w:val="single" w:color="000000" w:sz="4" w:space="0"/>
              <w:bottom w:val="single" w:color="000000" w:sz="4" w:space="0"/>
              <w:right w:val="nil"/>
            </w:tcBorders>
            <w:vAlign w:val="center"/>
          </w:tcPr>
          <w:p w14:paraId="5EE6805B">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F19F0DB">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A245BB5">
            <w:pPr>
              <w:jc w:val="center"/>
              <w:rPr>
                <w:rFonts w:ascii="宋体" w:hAnsi="宋体" w:cs="宋体"/>
                <w:color w:val="auto"/>
                <w:szCs w:val="22"/>
                <w:highlight w:val="none"/>
              </w:rPr>
            </w:pPr>
          </w:p>
        </w:tc>
      </w:tr>
      <w:tr w14:paraId="6E56493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166AA7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3.4.5.1.1</w:t>
            </w:r>
          </w:p>
        </w:tc>
        <w:tc>
          <w:tcPr>
            <w:tcW w:w="1035" w:type="dxa"/>
            <w:tcBorders>
              <w:top w:val="single" w:color="000000" w:sz="4" w:space="0"/>
              <w:left w:val="single" w:color="000000" w:sz="4" w:space="0"/>
              <w:bottom w:val="single" w:color="000000" w:sz="4" w:space="0"/>
              <w:right w:val="single" w:color="000000" w:sz="4" w:space="0"/>
            </w:tcBorders>
            <w:vAlign w:val="center"/>
          </w:tcPr>
          <w:p w14:paraId="50A79EF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高空全景摄像机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5933746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▲1.全景采用超星光2个1/1.8英寸400万像素CMOS传感器，球机采用超星光1/1.8英寸400万像素CMOS传感器；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支持三码流同时输出，主码流全景最高分辨率5120×1440@25fps，球机主码流最高分辨率2688×1520@25fps；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支持H.265、H.264编码方式；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●4.在IE浏览器或客户端软件下，具有软件定义功能，支持加载安装、升级、卸载智能算法，可显示已加载算法的算法类型、厂商、版本号、上传时间、算法运行状态；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球机全景支持混行检测抓拍、关联抓拍；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球机支持人脸优选抓拍、人脸属性提取；</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球机支持视频结构化，行人、机动车、非机动车的属性提取，全景支持结构化抓拍；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球机支持检测直径为200米范围内的运动目标，可同时检测128个目标，并对目标进行人车分类；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全景支持AI周界、区域人数统计、客流统计；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全景支持172°超大视场角， 支持AI Smart事件，在Smart智能基础上，可仅针对人体、机动车、非机动车进行智能触发；</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过滤掉其他物体干扰，同时联动球机支持联动监控、自动跟踪、细节抓拍等功能；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支持最大256G Micro SD卡；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球机支持超宽动态、背光补偿、强光抑制、3D降噪、电子防抖、数字透雾；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ROI支持8个感兴趣区域；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支持IP67防护等级。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16.配套设备的相关辅材1批及安装，配套辅材包括但不限于存储卡和线材等。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7DC00BC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w:t>
            </w:r>
          </w:p>
        </w:tc>
        <w:tc>
          <w:tcPr>
            <w:tcW w:w="660" w:type="dxa"/>
            <w:tcBorders>
              <w:top w:val="single" w:color="000000" w:sz="4" w:space="0"/>
              <w:left w:val="single" w:color="000000" w:sz="4" w:space="0"/>
              <w:bottom w:val="single" w:color="000000" w:sz="4" w:space="0"/>
              <w:right w:val="single" w:color="000000" w:sz="4" w:space="0"/>
            </w:tcBorders>
            <w:vAlign w:val="center"/>
          </w:tcPr>
          <w:p w14:paraId="06C84D3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309CD5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F219C7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3.4.5.1.2</w:t>
            </w:r>
          </w:p>
        </w:tc>
        <w:tc>
          <w:tcPr>
            <w:tcW w:w="1035" w:type="dxa"/>
            <w:tcBorders>
              <w:top w:val="single" w:color="000000" w:sz="4" w:space="0"/>
              <w:left w:val="single" w:color="000000" w:sz="4" w:space="0"/>
              <w:bottom w:val="single" w:color="000000" w:sz="4" w:space="0"/>
              <w:right w:val="single" w:color="000000" w:sz="4" w:space="0"/>
            </w:tcBorders>
            <w:vAlign w:val="center"/>
          </w:tcPr>
          <w:p w14:paraId="7619708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12米高空爬梯组合立杆</w:t>
            </w:r>
          </w:p>
        </w:tc>
        <w:tc>
          <w:tcPr>
            <w:tcW w:w="6176" w:type="dxa"/>
            <w:tcBorders>
              <w:top w:val="single" w:color="000000" w:sz="4" w:space="0"/>
              <w:left w:val="single" w:color="000000" w:sz="4" w:space="0"/>
              <w:bottom w:val="single" w:color="000000" w:sz="4" w:space="0"/>
              <w:right w:val="nil"/>
            </w:tcBorders>
            <w:vAlign w:val="center"/>
          </w:tcPr>
          <w:p w14:paraId="6B93C493">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12米高空八角杆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材质：Q235B;</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杆型：八角杆；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 尺寸：180*320*8mm 厚，横臂 300mm 长89*3mm 厚，地笼 8-M27-1.5米高，带爬梯（2米以上含爬梯护笼）及维修平台（含维修平台护栏），杆件表层工艺：热浸锌75um；表层喷塑。</w:t>
            </w:r>
          </w:p>
          <w:p w14:paraId="2FC885AA">
            <w:pPr>
              <w:pStyle w:val="59"/>
              <w:spacing w:line="240" w:lineRule="auto"/>
              <w:jc w:val="left"/>
              <w:rPr>
                <w:rFonts w:ascii="宋体" w:hAnsi="宋体" w:eastAsia="宋体" w:cs="宋体"/>
                <w:b w:val="0"/>
                <w:bCs/>
                <w:color w:val="auto"/>
                <w:highlight w:val="none"/>
              </w:rPr>
            </w:pPr>
            <w:r>
              <w:rPr>
                <w:rFonts w:hint="eastAsia" w:ascii="宋体" w:hAnsi="宋体" w:eastAsia="宋体" w:cs="宋体"/>
                <w:b w:val="0"/>
                <w:bCs/>
                <w:color w:val="auto"/>
                <w:highlight w:val="none"/>
              </w:rPr>
              <w:t>包含促梯护栏:长650cm，宽800cm，M-20mm，全热侵镀锌钢制焊接；</w:t>
            </w:r>
          </w:p>
          <w:p w14:paraId="20955E27">
            <w:pPr>
              <w:pStyle w:val="59"/>
              <w:spacing w:line="240" w:lineRule="auto"/>
              <w:jc w:val="left"/>
              <w:rPr>
                <w:rFonts w:ascii="宋体" w:hAnsi="宋体" w:eastAsia="宋体" w:cs="宋体"/>
                <w:b w:val="0"/>
                <w:bCs/>
                <w:color w:val="auto"/>
                <w:highlight w:val="none"/>
              </w:rPr>
            </w:pPr>
            <w:r>
              <w:rPr>
                <w:rFonts w:hint="eastAsia" w:ascii="宋体" w:hAnsi="宋体" w:eastAsia="宋体" w:cs="宋体"/>
                <w:b w:val="0"/>
                <w:bCs/>
                <w:color w:val="auto"/>
                <w:highlight w:val="none"/>
              </w:rPr>
              <w:t>包含爬梯:长600cm，间隔高度60cmM-27mm，全热镀锌钢制焊接；</w:t>
            </w:r>
          </w:p>
          <w:p w14:paraId="73E79B0C">
            <w:pPr>
              <w:pStyle w:val="59"/>
              <w:spacing w:line="240" w:lineRule="auto"/>
              <w:jc w:val="left"/>
              <w:rPr>
                <w:color w:val="auto"/>
                <w:highlight w:val="none"/>
              </w:rPr>
            </w:pPr>
            <w:r>
              <w:rPr>
                <w:rFonts w:hint="eastAsia" w:ascii="宋体" w:hAnsi="宋体" w:eastAsia="宋体" w:cs="宋体"/>
                <w:b w:val="0"/>
                <w:bCs/>
                <w:color w:val="auto"/>
                <w:highlight w:val="none"/>
              </w:rPr>
              <w:t>包含仓储、物流、二次运输、吊装调节平整度、外观破损恢复、运维。</w:t>
            </w:r>
          </w:p>
        </w:tc>
        <w:tc>
          <w:tcPr>
            <w:tcW w:w="754" w:type="dxa"/>
            <w:tcBorders>
              <w:top w:val="single" w:color="000000" w:sz="4" w:space="0"/>
              <w:left w:val="single" w:color="000000" w:sz="4" w:space="0"/>
              <w:bottom w:val="single" w:color="000000" w:sz="4" w:space="0"/>
              <w:right w:val="single" w:color="000000" w:sz="4" w:space="0"/>
            </w:tcBorders>
            <w:vAlign w:val="center"/>
          </w:tcPr>
          <w:p w14:paraId="4EC8812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w:t>
            </w:r>
          </w:p>
        </w:tc>
        <w:tc>
          <w:tcPr>
            <w:tcW w:w="660" w:type="dxa"/>
            <w:tcBorders>
              <w:top w:val="single" w:color="000000" w:sz="4" w:space="0"/>
              <w:left w:val="single" w:color="000000" w:sz="4" w:space="0"/>
              <w:bottom w:val="single" w:color="000000" w:sz="4" w:space="0"/>
              <w:right w:val="single" w:color="000000" w:sz="4" w:space="0"/>
            </w:tcBorders>
            <w:vAlign w:val="center"/>
          </w:tcPr>
          <w:p w14:paraId="59B86A3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根</w:t>
            </w:r>
          </w:p>
        </w:tc>
      </w:tr>
      <w:tr w14:paraId="11B109C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B094FF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3.4.5.1.3</w:t>
            </w:r>
          </w:p>
        </w:tc>
        <w:tc>
          <w:tcPr>
            <w:tcW w:w="1035" w:type="dxa"/>
            <w:tcBorders>
              <w:top w:val="single" w:color="000000" w:sz="4" w:space="0"/>
              <w:left w:val="single" w:color="000000" w:sz="4" w:space="0"/>
              <w:bottom w:val="single" w:color="000000" w:sz="4" w:space="0"/>
              <w:right w:val="single" w:color="000000" w:sz="4" w:space="0"/>
            </w:tcBorders>
            <w:vAlign w:val="center"/>
          </w:tcPr>
          <w:p w14:paraId="7C879B5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立杆基础（12米）</w:t>
            </w:r>
          </w:p>
        </w:tc>
        <w:tc>
          <w:tcPr>
            <w:tcW w:w="6176" w:type="dxa"/>
            <w:tcBorders>
              <w:top w:val="single" w:color="000000" w:sz="4" w:space="0"/>
              <w:left w:val="single" w:color="000000" w:sz="4" w:space="0"/>
              <w:bottom w:val="single" w:color="000000" w:sz="4" w:space="0"/>
              <w:right w:val="nil"/>
            </w:tcBorders>
            <w:vAlign w:val="center"/>
          </w:tcPr>
          <w:p w14:paraId="010B412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尺寸：1200mm*1200mm*2000mm），采用碎石商品混凝土回填及养护，混凝土强度等级为:C25；立杆的安装高强度螺帽紧固，接地地极焊接并做防腐防锈处理；清理建筑废渣、原有路基、地面、路面及场地内植被的恢复等。</w:t>
            </w:r>
          </w:p>
        </w:tc>
        <w:tc>
          <w:tcPr>
            <w:tcW w:w="754" w:type="dxa"/>
            <w:tcBorders>
              <w:top w:val="single" w:color="000000" w:sz="4" w:space="0"/>
              <w:left w:val="single" w:color="000000" w:sz="4" w:space="0"/>
              <w:bottom w:val="single" w:color="000000" w:sz="4" w:space="0"/>
              <w:right w:val="single" w:color="000000" w:sz="4" w:space="0"/>
            </w:tcBorders>
            <w:vAlign w:val="center"/>
          </w:tcPr>
          <w:p w14:paraId="6CF6FE9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w:t>
            </w:r>
          </w:p>
        </w:tc>
        <w:tc>
          <w:tcPr>
            <w:tcW w:w="660" w:type="dxa"/>
            <w:tcBorders>
              <w:top w:val="single" w:color="000000" w:sz="4" w:space="0"/>
              <w:left w:val="single" w:color="000000" w:sz="4" w:space="0"/>
              <w:bottom w:val="single" w:color="000000" w:sz="4" w:space="0"/>
              <w:right w:val="single" w:color="000000" w:sz="4" w:space="0"/>
            </w:tcBorders>
            <w:vAlign w:val="center"/>
          </w:tcPr>
          <w:p w14:paraId="58F5243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639350B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DFA381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3.4.5.1.4</w:t>
            </w:r>
          </w:p>
        </w:tc>
        <w:tc>
          <w:tcPr>
            <w:tcW w:w="1035" w:type="dxa"/>
            <w:tcBorders>
              <w:top w:val="single" w:color="000000" w:sz="4" w:space="0"/>
              <w:left w:val="single" w:color="000000" w:sz="4" w:space="0"/>
              <w:bottom w:val="single" w:color="000000" w:sz="4" w:space="0"/>
              <w:right w:val="single" w:color="000000" w:sz="4" w:space="0"/>
            </w:tcBorders>
            <w:vAlign w:val="center"/>
          </w:tcPr>
          <w:p w14:paraId="3949730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设备箱</w:t>
            </w:r>
          </w:p>
        </w:tc>
        <w:tc>
          <w:tcPr>
            <w:tcW w:w="6176" w:type="dxa"/>
            <w:tcBorders>
              <w:top w:val="single" w:color="000000" w:sz="4" w:space="0"/>
              <w:left w:val="single" w:color="000000" w:sz="4" w:space="0"/>
              <w:bottom w:val="single" w:color="000000" w:sz="4" w:space="0"/>
              <w:right w:val="nil"/>
            </w:tcBorders>
            <w:vAlign w:val="center"/>
          </w:tcPr>
          <w:p w14:paraId="23CCB63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材质:冷轧钢，尺寸:支持≥280mm*190mm*100mm，柜防护等级&gt;IP66，内含电源模块、电源排插、信号及电源网络防雷模块。满足户外、壁挂抱杆等各种安装需要。户外型，含接线端子等附件，含电源空开、电源插排、电源防雷模块，含单模 SC 口转100M 电口，带电源，含单模光纤终端盒，含 SC 尾纤</w:t>
            </w:r>
          </w:p>
        </w:tc>
        <w:tc>
          <w:tcPr>
            <w:tcW w:w="754" w:type="dxa"/>
            <w:tcBorders>
              <w:top w:val="single" w:color="000000" w:sz="4" w:space="0"/>
              <w:left w:val="single" w:color="000000" w:sz="4" w:space="0"/>
              <w:bottom w:val="single" w:color="000000" w:sz="4" w:space="0"/>
              <w:right w:val="single" w:color="000000" w:sz="4" w:space="0"/>
            </w:tcBorders>
            <w:vAlign w:val="center"/>
          </w:tcPr>
          <w:p w14:paraId="4EFCD3B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w:t>
            </w:r>
          </w:p>
        </w:tc>
        <w:tc>
          <w:tcPr>
            <w:tcW w:w="660" w:type="dxa"/>
            <w:tcBorders>
              <w:top w:val="single" w:color="000000" w:sz="4" w:space="0"/>
              <w:left w:val="single" w:color="000000" w:sz="4" w:space="0"/>
              <w:bottom w:val="single" w:color="000000" w:sz="4" w:space="0"/>
              <w:right w:val="single" w:color="000000" w:sz="4" w:space="0"/>
            </w:tcBorders>
            <w:vAlign w:val="center"/>
          </w:tcPr>
          <w:p w14:paraId="6664BA3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58CFD04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3B8EFF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3.4.5.1.5</w:t>
            </w:r>
          </w:p>
        </w:tc>
        <w:tc>
          <w:tcPr>
            <w:tcW w:w="1035" w:type="dxa"/>
            <w:tcBorders>
              <w:top w:val="single" w:color="000000" w:sz="4" w:space="0"/>
              <w:left w:val="single" w:color="000000" w:sz="4" w:space="0"/>
              <w:bottom w:val="single" w:color="000000" w:sz="4" w:space="0"/>
              <w:right w:val="single" w:color="000000" w:sz="4" w:space="0"/>
            </w:tcBorders>
            <w:vAlign w:val="center"/>
          </w:tcPr>
          <w:p w14:paraId="3756EF7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199C308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4D3355C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240</w:t>
            </w:r>
          </w:p>
        </w:tc>
        <w:tc>
          <w:tcPr>
            <w:tcW w:w="660" w:type="dxa"/>
            <w:tcBorders>
              <w:top w:val="single" w:color="000000" w:sz="4" w:space="0"/>
              <w:left w:val="single" w:color="000000" w:sz="4" w:space="0"/>
              <w:bottom w:val="single" w:color="000000" w:sz="4" w:space="0"/>
              <w:right w:val="single" w:color="000000" w:sz="4" w:space="0"/>
            </w:tcBorders>
            <w:vAlign w:val="center"/>
          </w:tcPr>
          <w:p w14:paraId="1009B3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12EF6E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CB21D7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3.4.5.1.6</w:t>
            </w:r>
          </w:p>
        </w:tc>
        <w:tc>
          <w:tcPr>
            <w:tcW w:w="1035" w:type="dxa"/>
            <w:tcBorders>
              <w:top w:val="single" w:color="000000" w:sz="4" w:space="0"/>
              <w:left w:val="single" w:color="000000" w:sz="4" w:space="0"/>
              <w:bottom w:val="single" w:color="000000" w:sz="4" w:space="0"/>
              <w:right w:val="single" w:color="000000" w:sz="4" w:space="0"/>
            </w:tcBorders>
            <w:vAlign w:val="center"/>
          </w:tcPr>
          <w:p w14:paraId="58C7B98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6900023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13AA08C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240</w:t>
            </w:r>
          </w:p>
        </w:tc>
        <w:tc>
          <w:tcPr>
            <w:tcW w:w="660" w:type="dxa"/>
            <w:tcBorders>
              <w:top w:val="single" w:color="000000" w:sz="4" w:space="0"/>
              <w:left w:val="single" w:color="000000" w:sz="4" w:space="0"/>
              <w:bottom w:val="single" w:color="000000" w:sz="4" w:space="0"/>
              <w:right w:val="single" w:color="000000" w:sz="4" w:space="0"/>
            </w:tcBorders>
            <w:vAlign w:val="center"/>
          </w:tcPr>
          <w:p w14:paraId="147395E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7D101F9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53A4AB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w:t>
            </w:r>
          </w:p>
        </w:tc>
        <w:tc>
          <w:tcPr>
            <w:tcW w:w="1035" w:type="dxa"/>
            <w:tcBorders>
              <w:top w:val="single" w:color="000000" w:sz="4" w:space="0"/>
              <w:left w:val="single" w:color="000000" w:sz="4" w:space="0"/>
              <w:bottom w:val="single" w:color="000000" w:sz="4" w:space="0"/>
              <w:right w:val="single" w:color="000000" w:sz="4" w:space="0"/>
            </w:tcBorders>
            <w:vAlign w:val="center"/>
          </w:tcPr>
          <w:p w14:paraId="2C04068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园区车辆管理安防设备</w:t>
            </w:r>
          </w:p>
        </w:tc>
        <w:tc>
          <w:tcPr>
            <w:tcW w:w="6176" w:type="dxa"/>
            <w:tcBorders>
              <w:top w:val="single" w:color="000000" w:sz="4" w:space="0"/>
              <w:left w:val="single" w:color="000000" w:sz="4" w:space="0"/>
              <w:bottom w:val="single" w:color="000000" w:sz="4" w:space="0"/>
              <w:right w:val="nil"/>
            </w:tcBorders>
            <w:vAlign w:val="center"/>
          </w:tcPr>
          <w:p w14:paraId="0D431955">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D0502A6">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80754AC">
            <w:pPr>
              <w:jc w:val="center"/>
              <w:rPr>
                <w:rFonts w:ascii="宋体" w:hAnsi="宋体" w:cs="宋体"/>
                <w:color w:val="auto"/>
                <w:szCs w:val="22"/>
                <w:highlight w:val="none"/>
              </w:rPr>
            </w:pPr>
          </w:p>
        </w:tc>
      </w:tr>
      <w:tr w14:paraId="2DAA181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CF3911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w:t>
            </w:r>
          </w:p>
        </w:tc>
        <w:tc>
          <w:tcPr>
            <w:tcW w:w="1035" w:type="dxa"/>
            <w:tcBorders>
              <w:top w:val="single" w:color="000000" w:sz="4" w:space="0"/>
              <w:left w:val="single" w:color="000000" w:sz="4" w:space="0"/>
              <w:bottom w:val="single" w:color="000000" w:sz="4" w:space="0"/>
              <w:right w:val="single" w:color="000000" w:sz="4" w:space="0"/>
            </w:tcBorders>
            <w:vAlign w:val="center"/>
          </w:tcPr>
          <w:p w14:paraId="14B60FD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车辆抓拍机安装</w:t>
            </w:r>
          </w:p>
        </w:tc>
        <w:tc>
          <w:tcPr>
            <w:tcW w:w="6176" w:type="dxa"/>
            <w:tcBorders>
              <w:top w:val="single" w:color="000000" w:sz="4" w:space="0"/>
              <w:left w:val="single" w:color="000000" w:sz="4" w:space="0"/>
              <w:bottom w:val="single" w:color="000000" w:sz="4" w:space="0"/>
              <w:right w:val="nil"/>
            </w:tcBorders>
            <w:vAlign w:val="center"/>
          </w:tcPr>
          <w:p w14:paraId="78F48491">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6A32ECC">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3FF770EC">
            <w:pPr>
              <w:jc w:val="center"/>
              <w:rPr>
                <w:rFonts w:ascii="宋体" w:hAnsi="宋体" w:cs="宋体"/>
                <w:color w:val="auto"/>
                <w:szCs w:val="22"/>
                <w:highlight w:val="none"/>
              </w:rPr>
            </w:pPr>
          </w:p>
        </w:tc>
      </w:tr>
      <w:tr w14:paraId="20C0E0B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A83096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3.4.6.1.1</w:t>
            </w:r>
          </w:p>
        </w:tc>
        <w:tc>
          <w:tcPr>
            <w:tcW w:w="1035" w:type="dxa"/>
            <w:tcBorders>
              <w:top w:val="single" w:color="000000" w:sz="4" w:space="0"/>
              <w:left w:val="single" w:color="000000" w:sz="4" w:space="0"/>
              <w:bottom w:val="single" w:color="000000" w:sz="4" w:space="0"/>
              <w:right w:val="single" w:color="000000" w:sz="4" w:space="0"/>
            </w:tcBorders>
            <w:vAlign w:val="center"/>
          </w:tcPr>
          <w:p w14:paraId="29DD365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车辆抓拍机</w:t>
            </w:r>
          </w:p>
        </w:tc>
        <w:tc>
          <w:tcPr>
            <w:tcW w:w="6176" w:type="dxa"/>
            <w:tcBorders>
              <w:top w:val="single" w:color="000000" w:sz="4" w:space="0"/>
              <w:left w:val="single" w:color="000000" w:sz="4" w:space="0"/>
              <w:bottom w:val="single" w:color="000000" w:sz="4" w:space="0"/>
              <w:right w:val="nil"/>
            </w:tcBorders>
            <w:vAlign w:val="center"/>
          </w:tcPr>
          <w:p w14:paraId="0EA3C82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配置不低于1英寸900万像素全局曝光CMOS传感器，采用 50 mm 镜头；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采用GS CMOS图像传感器，具有1个USB接口，2个100/1000M以太网接口、2个RS232接口、1个RS485接口、8路IO接口、1路音频输入接口、1路音频输出接口、4路报警输入接口、2路报警输出接口，电源接口、电1个5V输出接口、1个TF卡槽、复位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3.支持车辆捕获功能，白天准确率≥99.9%；夜间准确率≥99.9%。</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4.支持车牌识别功能，白天准确率≥99.9%；夜间准确率≥99.9%。</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5.支持车标识别功能 支持识别350种车标；白天识别准确率≥98%；夜间识别准确率≥98%。</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车型识别功能，支持识别22种车型，包括：轻型普通货车、轻型厢式货车、轻型平板货车、小型轿车、小型客车、小型越野客车、中型仓栅式货车、中型普通货车、中型普通客车、中型平板货车、中型牵引车、中型厢式货车、中型特殊结构货车、重型罐式挂车、重型普通货车、重型牵引车、重型多结构货车、重型厢式挂车、大型普通客车、专用客车、大型专项作业车、面包车。白天准确率≥97%；夜间准确率≥97%。；</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7.内置偏振镜切换功能，ICR具备自动、定时、偏振镜、普通模式的设置选项；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8.支持流量统计功能；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9.支持机非人分类检索；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10.支持TF卡存储，最大容量支持256GB或以上；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11.全嵌入式一体化组件化设计（触发检测、行为分析与信息识别）；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12.支持超宽动态、背光补偿、强光抑制、3D降噪、电子防抖、数字透雾；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13.外壳防护等级IP67，内置网络防雷模块。</w:t>
            </w:r>
          </w:p>
        </w:tc>
        <w:tc>
          <w:tcPr>
            <w:tcW w:w="754" w:type="dxa"/>
            <w:tcBorders>
              <w:top w:val="single" w:color="000000" w:sz="4" w:space="0"/>
              <w:left w:val="single" w:color="000000" w:sz="4" w:space="0"/>
              <w:bottom w:val="single" w:color="000000" w:sz="4" w:space="0"/>
              <w:right w:val="single" w:color="000000" w:sz="4" w:space="0"/>
            </w:tcBorders>
            <w:vAlign w:val="center"/>
          </w:tcPr>
          <w:p w14:paraId="64FA4CC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4</w:t>
            </w:r>
          </w:p>
        </w:tc>
        <w:tc>
          <w:tcPr>
            <w:tcW w:w="660" w:type="dxa"/>
            <w:tcBorders>
              <w:top w:val="single" w:color="000000" w:sz="4" w:space="0"/>
              <w:left w:val="single" w:color="000000" w:sz="4" w:space="0"/>
              <w:bottom w:val="single" w:color="000000" w:sz="4" w:space="0"/>
              <w:right w:val="single" w:color="000000" w:sz="4" w:space="0"/>
            </w:tcBorders>
            <w:vAlign w:val="center"/>
          </w:tcPr>
          <w:p w14:paraId="1800CC6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51F7DAA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E4E16D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3.4.6.1.2</w:t>
            </w:r>
          </w:p>
        </w:tc>
        <w:tc>
          <w:tcPr>
            <w:tcW w:w="1035" w:type="dxa"/>
            <w:tcBorders>
              <w:top w:val="single" w:color="000000" w:sz="4" w:space="0"/>
              <w:left w:val="single" w:color="000000" w:sz="4" w:space="0"/>
              <w:bottom w:val="single" w:color="000000" w:sz="4" w:space="0"/>
              <w:right w:val="single" w:color="000000" w:sz="4" w:space="0"/>
            </w:tcBorders>
            <w:vAlign w:val="center"/>
          </w:tcPr>
          <w:p w14:paraId="00FC697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爆闪灯</w:t>
            </w:r>
          </w:p>
        </w:tc>
        <w:tc>
          <w:tcPr>
            <w:tcW w:w="6176" w:type="dxa"/>
            <w:tcBorders>
              <w:top w:val="single" w:color="000000" w:sz="4" w:space="0"/>
              <w:left w:val="single" w:color="000000" w:sz="4" w:space="0"/>
              <w:bottom w:val="single" w:color="000000" w:sz="4" w:space="0"/>
              <w:right w:val="nil"/>
            </w:tcBorders>
            <w:vAlign w:val="center"/>
          </w:tcPr>
          <w:p w14:paraId="589DA13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1.前面板具有吸光面板处理，避免临车道灯光的干扰；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2.两组电容连续充放电，回电时间＜30ms；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3.最小闪光间隔60ms；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4.高寿命，闪光次数≥1000万次；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5.耗电量低，3万次/度电；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6.色温:5200K～5800K；</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7.闪光距离18～25m；</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8.持续时间1/1500s，拍摄高速运动物体，不会产生拖尾；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9.依据不同场景，自动调节曝光，保证图片明亮清晰；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10.外壳防护等级≥IP65；</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11.工作温度：-40℃～80℃。</w:t>
            </w:r>
          </w:p>
        </w:tc>
        <w:tc>
          <w:tcPr>
            <w:tcW w:w="754" w:type="dxa"/>
            <w:tcBorders>
              <w:top w:val="single" w:color="000000" w:sz="4" w:space="0"/>
              <w:left w:val="single" w:color="000000" w:sz="4" w:space="0"/>
              <w:bottom w:val="single" w:color="000000" w:sz="4" w:space="0"/>
              <w:right w:val="single" w:color="000000" w:sz="4" w:space="0"/>
            </w:tcBorders>
            <w:vAlign w:val="center"/>
          </w:tcPr>
          <w:p w14:paraId="2DAC680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8</w:t>
            </w:r>
          </w:p>
        </w:tc>
        <w:tc>
          <w:tcPr>
            <w:tcW w:w="660" w:type="dxa"/>
            <w:tcBorders>
              <w:top w:val="single" w:color="000000" w:sz="4" w:space="0"/>
              <w:left w:val="single" w:color="000000" w:sz="4" w:space="0"/>
              <w:bottom w:val="single" w:color="000000" w:sz="4" w:space="0"/>
              <w:right w:val="single" w:color="000000" w:sz="4" w:space="0"/>
            </w:tcBorders>
            <w:vAlign w:val="center"/>
          </w:tcPr>
          <w:p w14:paraId="6B52ACD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797EF65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8DB3E6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3.4.6.1.3</w:t>
            </w:r>
          </w:p>
        </w:tc>
        <w:tc>
          <w:tcPr>
            <w:tcW w:w="1035" w:type="dxa"/>
            <w:tcBorders>
              <w:top w:val="single" w:color="000000" w:sz="4" w:space="0"/>
              <w:left w:val="single" w:color="000000" w:sz="4" w:space="0"/>
              <w:bottom w:val="single" w:color="000000" w:sz="4" w:space="0"/>
              <w:right w:val="single" w:color="000000" w:sz="4" w:space="0"/>
            </w:tcBorders>
            <w:vAlign w:val="center"/>
          </w:tcPr>
          <w:p w14:paraId="272EA19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频闪灯</w:t>
            </w:r>
          </w:p>
        </w:tc>
        <w:tc>
          <w:tcPr>
            <w:tcW w:w="6176" w:type="dxa"/>
            <w:tcBorders>
              <w:top w:val="single" w:color="000000" w:sz="4" w:space="0"/>
              <w:left w:val="single" w:color="000000" w:sz="4" w:space="0"/>
              <w:bottom w:val="single" w:color="000000" w:sz="4" w:space="0"/>
              <w:right w:val="nil"/>
            </w:tcBorders>
            <w:vAlign w:val="center"/>
          </w:tcPr>
          <w:p w14:paraId="5C48D50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1.私模铝合金专用外壳，散热面积超过 1700 平方厘米；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2.支持宽温度范围工作；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3.亮度 99 级可调，满足不同场所亮度要求；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4.具备环境感光功能，感光阈值 16 级可调；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5.发光脉冲宽度可调，与相机曝光时间匹配；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6.RS485信号接口,可远程设置补光灯各种参数、调节亮度及软件升级功能。</w:t>
            </w:r>
          </w:p>
        </w:tc>
        <w:tc>
          <w:tcPr>
            <w:tcW w:w="754" w:type="dxa"/>
            <w:tcBorders>
              <w:top w:val="single" w:color="000000" w:sz="4" w:space="0"/>
              <w:left w:val="single" w:color="000000" w:sz="4" w:space="0"/>
              <w:bottom w:val="single" w:color="000000" w:sz="4" w:space="0"/>
              <w:right w:val="single" w:color="000000" w:sz="4" w:space="0"/>
            </w:tcBorders>
            <w:vAlign w:val="center"/>
          </w:tcPr>
          <w:p w14:paraId="6E5F138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8</w:t>
            </w:r>
          </w:p>
        </w:tc>
        <w:tc>
          <w:tcPr>
            <w:tcW w:w="660" w:type="dxa"/>
            <w:tcBorders>
              <w:top w:val="single" w:color="000000" w:sz="4" w:space="0"/>
              <w:left w:val="single" w:color="000000" w:sz="4" w:space="0"/>
              <w:bottom w:val="single" w:color="000000" w:sz="4" w:space="0"/>
              <w:right w:val="single" w:color="000000" w:sz="4" w:space="0"/>
            </w:tcBorders>
            <w:vAlign w:val="center"/>
          </w:tcPr>
          <w:p w14:paraId="5C4B975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66E5237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8B7780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3.4.6.1.4</w:t>
            </w:r>
          </w:p>
        </w:tc>
        <w:tc>
          <w:tcPr>
            <w:tcW w:w="1035" w:type="dxa"/>
            <w:tcBorders>
              <w:top w:val="single" w:color="000000" w:sz="4" w:space="0"/>
              <w:left w:val="single" w:color="000000" w:sz="4" w:space="0"/>
              <w:bottom w:val="single" w:color="000000" w:sz="4" w:space="0"/>
              <w:right w:val="single" w:color="000000" w:sz="4" w:space="0"/>
            </w:tcBorders>
            <w:vAlign w:val="center"/>
          </w:tcPr>
          <w:p w14:paraId="17927E3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路口主机</w:t>
            </w:r>
          </w:p>
        </w:tc>
        <w:tc>
          <w:tcPr>
            <w:tcW w:w="6176" w:type="dxa"/>
            <w:tcBorders>
              <w:top w:val="single" w:color="000000" w:sz="4" w:space="0"/>
              <w:left w:val="single" w:color="000000" w:sz="4" w:space="0"/>
              <w:bottom w:val="single" w:color="000000" w:sz="4" w:space="0"/>
              <w:right w:val="nil"/>
            </w:tcBorders>
            <w:vAlign w:val="center"/>
          </w:tcPr>
          <w:p w14:paraId="063238F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嵌入式Linux操作系统；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支持WEB方式、VGA/HDMI显示；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支持≥1路音频输入，≥1路音频输出；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支持≥12路网络压缩高清视频输入，≥4路模拟视频输入；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支持≥4路报警输入，≥4路报警输出；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支持≥4个SATA接口硬盘，兼容3.5" /2.5"大小的硬盘；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支持LED显示屏，用于显示和设置时间、设备信息等；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支持≥1个eSATA接口，2个RS232串口，2个RS485接口，2个USB接口；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支持≥1个VGA，1个HDMI接口；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支持≥8个RJ45 10M/100M自适应以太网口，2个RJ45 1000M接口，其中一个为1000M可光电转换SFP接口；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≥1个DC12V对外供电输出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支持1个电源/加热状态指示灯，1个报警状态指示灯，1个网络状态指示灯，1个硬盘状态指示灯；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支持违章图片合成功能；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支持断网续传，当设备与平台断开，重连后设备将上传断开时间段的图片继续传给平台；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支持黑白名单文件导入导出；支持按照车牌模糊查询；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 支持数据防篡改，录像、图片文件无法直接删除；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17. 支持按时间、通道、违章类型、车牌、车速、车道查询；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18. 支持温度范围在-40℃～+80℃的环境下工作；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19. 支持湿度范围在10%～90%的环境下工作。</w:t>
            </w:r>
          </w:p>
        </w:tc>
        <w:tc>
          <w:tcPr>
            <w:tcW w:w="754" w:type="dxa"/>
            <w:tcBorders>
              <w:top w:val="single" w:color="000000" w:sz="4" w:space="0"/>
              <w:left w:val="single" w:color="000000" w:sz="4" w:space="0"/>
              <w:bottom w:val="single" w:color="000000" w:sz="4" w:space="0"/>
              <w:right w:val="single" w:color="000000" w:sz="4" w:space="0"/>
            </w:tcBorders>
            <w:vAlign w:val="center"/>
          </w:tcPr>
          <w:p w14:paraId="0CA9722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448CE75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1AE49BC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67CBA9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3.4.6.1.5</w:t>
            </w:r>
          </w:p>
        </w:tc>
        <w:tc>
          <w:tcPr>
            <w:tcW w:w="1035" w:type="dxa"/>
            <w:tcBorders>
              <w:top w:val="single" w:color="000000" w:sz="4" w:space="0"/>
              <w:left w:val="single" w:color="000000" w:sz="4" w:space="0"/>
              <w:bottom w:val="single" w:color="000000" w:sz="4" w:space="0"/>
              <w:right w:val="single" w:color="000000" w:sz="4" w:space="0"/>
            </w:tcBorders>
            <w:vAlign w:val="center"/>
          </w:tcPr>
          <w:p w14:paraId="2519049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6.5米L型长臂监控杆</w:t>
            </w:r>
          </w:p>
        </w:tc>
        <w:tc>
          <w:tcPr>
            <w:tcW w:w="6176" w:type="dxa"/>
            <w:tcBorders>
              <w:top w:val="single" w:color="000000" w:sz="4" w:space="0"/>
              <w:left w:val="single" w:color="000000" w:sz="4" w:space="0"/>
              <w:bottom w:val="single" w:color="000000" w:sz="4" w:space="0"/>
              <w:right w:val="nil"/>
            </w:tcBorders>
            <w:vAlign w:val="center"/>
          </w:tcPr>
          <w:p w14:paraId="1880E522">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八角形长臂监控杆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1、6500 mm（H）×8000 mm（L）</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主杆220-280*8㎜*6.5米，横臂：900-220*8*8米，法兰：φ500*20。杆件整体热镀锌喷塑，结构性能需按12级台风设计，抗风能力可达43m/s。</w:t>
            </w:r>
          </w:p>
          <w:p w14:paraId="3E623306">
            <w:pPr>
              <w:pStyle w:val="59"/>
              <w:jc w:val="left"/>
              <w:rPr>
                <w:color w:val="auto"/>
                <w:highlight w:val="none"/>
              </w:rPr>
            </w:pPr>
            <w:r>
              <w:rPr>
                <w:rFonts w:hint="eastAsia" w:ascii="宋体" w:hAnsi="宋体" w:eastAsia="宋体" w:cs="宋体"/>
                <w:b w:val="0"/>
                <w:bCs/>
                <w:color w:val="auto"/>
                <w:highlight w:val="none"/>
              </w:rPr>
              <w:t>包含仓储、物流、二次运输、吊装、调节平整度、外观破损恢复、运维服务。</w:t>
            </w:r>
          </w:p>
        </w:tc>
        <w:tc>
          <w:tcPr>
            <w:tcW w:w="754" w:type="dxa"/>
            <w:tcBorders>
              <w:top w:val="single" w:color="000000" w:sz="4" w:space="0"/>
              <w:left w:val="single" w:color="000000" w:sz="4" w:space="0"/>
              <w:bottom w:val="single" w:color="000000" w:sz="4" w:space="0"/>
              <w:right w:val="single" w:color="000000" w:sz="4" w:space="0"/>
            </w:tcBorders>
            <w:vAlign w:val="center"/>
          </w:tcPr>
          <w:p w14:paraId="3A1C20D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500AE75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根</w:t>
            </w:r>
          </w:p>
        </w:tc>
      </w:tr>
      <w:tr w14:paraId="6CAF8E9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2EED8F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3.4.6.1.6</w:t>
            </w:r>
          </w:p>
        </w:tc>
        <w:tc>
          <w:tcPr>
            <w:tcW w:w="1035" w:type="dxa"/>
            <w:tcBorders>
              <w:top w:val="single" w:color="000000" w:sz="4" w:space="0"/>
              <w:left w:val="single" w:color="000000" w:sz="4" w:space="0"/>
              <w:bottom w:val="single" w:color="000000" w:sz="4" w:space="0"/>
              <w:right w:val="single" w:color="000000" w:sz="4" w:space="0"/>
            </w:tcBorders>
            <w:vAlign w:val="center"/>
          </w:tcPr>
          <w:p w14:paraId="3EB66F3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立杆基础（6.5米）</w:t>
            </w:r>
          </w:p>
        </w:tc>
        <w:tc>
          <w:tcPr>
            <w:tcW w:w="6176" w:type="dxa"/>
            <w:tcBorders>
              <w:top w:val="single" w:color="000000" w:sz="4" w:space="0"/>
              <w:left w:val="single" w:color="000000" w:sz="4" w:space="0"/>
              <w:bottom w:val="single" w:color="000000" w:sz="4" w:space="0"/>
              <w:right w:val="nil"/>
            </w:tcBorders>
            <w:vAlign w:val="center"/>
          </w:tcPr>
          <w:p w14:paraId="2C8DBF7A">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立杆基础（尺寸：1800mm*1800mm*2000mm），采用碎石商品混凝土回填及养护，混凝土强度等级为:C25；立杆的安装高强度螺帽紧固，接地地极焊接并做防腐防锈处理；清理建筑废渣、原有路基、地面、路面及场地内植被的恢复等。</w:t>
            </w:r>
          </w:p>
        </w:tc>
        <w:tc>
          <w:tcPr>
            <w:tcW w:w="754" w:type="dxa"/>
            <w:tcBorders>
              <w:top w:val="single" w:color="000000" w:sz="4" w:space="0"/>
              <w:left w:val="single" w:color="000000" w:sz="4" w:space="0"/>
              <w:bottom w:val="single" w:color="000000" w:sz="4" w:space="0"/>
              <w:right w:val="single" w:color="000000" w:sz="4" w:space="0"/>
            </w:tcBorders>
            <w:vAlign w:val="center"/>
          </w:tcPr>
          <w:p w14:paraId="32BBEE8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1098810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54CB37E6">
        <w:tblPrEx>
          <w:tblCellMar>
            <w:top w:w="0" w:type="dxa"/>
            <w:left w:w="108" w:type="dxa"/>
            <w:bottom w:w="0" w:type="dxa"/>
            <w:right w:w="108" w:type="dxa"/>
          </w:tblCellMar>
        </w:tblPrEx>
        <w:trPr>
          <w:trHeight w:val="2732"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4C24BF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3.4.6.1.7</w:t>
            </w:r>
          </w:p>
        </w:tc>
        <w:tc>
          <w:tcPr>
            <w:tcW w:w="1035" w:type="dxa"/>
            <w:tcBorders>
              <w:top w:val="single" w:color="000000" w:sz="4" w:space="0"/>
              <w:left w:val="single" w:color="000000" w:sz="4" w:space="0"/>
              <w:bottom w:val="single" w:color="000000" w:sz="4" w:space="0"/>
              <w:right w:val="single" w:color="000000" w:sz="4" w:space="0"/>
            </w:tcBorders>
            <w:vAlign w:val="center"/>
          </w:tcPr>
          <w:p w14:paraId="4C4F404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室外设备汇聚箱</w:t>
            </w:r>
          </w:p>
        </w:tc>
        <w:tc>
          <w:tcPr>
            <w:tcW w:w="6176" w:type="dxa"/>
            <w:tcBorders>
              <w:top w:val="single" w:color="000000" w:sz="4" w:space="0"/>
              <w:left w:val="single" w:color="000000" w:sz="4" w:space="0"/>
              <w:bottom w:val="single" w:color="000000" w:sz="4" w:space="0"/>
              <w:right w:val="nil"/>
            </w:tcBorders>
            <w:vAlign w:val="center"/>
          </w:tcPr>
          <w:p w14:paraId="0B330EBE">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材质:冷轧钢，尺寸:支持≥500mm*400mm*200mm，柜防护等级&gt;IP66，</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配备杆体挂件内含电源模块、电源排插、信号及电源网络防雷模块。满足户外、壁挂抱杆等各种安装需要。户外型，含接线端子等附件，含电源空开、电源插排、电源防雷模块，含单模 SC 口转100M 电口，带电源，含单模光纤终端盒，含 SC 尾纤。</w:t>
            </w:r>
          </w:p>
          <w:p w14:paraId="4626202A">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1. 线缆接头制作与标识应包含线缆接头处理、接头制作、线缆接入设备端子、线缆两端制作标识标牌等内容。</w:t>
            </w:r>
          </w:p>
          <w:p w14:paraId="27522F22">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2. 线缆接头制作时应根据不同线缆类型选用相应剥线钳工具对线缆接头护套进行去除处理，对部分接头采用热缩管包裹、绝缘带缠绕、绝缘及防潮处理。</w:t>
            </w:r>
          </w:p>
          <w:p w14:paraId="5778BF74">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3. 电源电缆、控制线缆制作接头时应对接头线芯采用镀锡或压铜鼻子的方式对线头进行处理。</w:t>
            </w:r>
          </w:p>
          <w:p w14:paraId="2BEC2C68">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4. 双绞线制作接头时应采用带屏蔽的RJ45头，并用专用压线钳进行接头制作，线序应符合国际EIA/TIA的568A与568B两种标准的规定。</w:t>
            </w:r>
          </w:p>
          <w:p w14:paraId="3C203CD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 光缆制作接头时应由专业光缆熔接技术人员用专用光缆熔接机将光缆线芯与成品尾纤进行熔接制作，并用光纤终端盒进行盘线固定处理，由法兰盘与外部成品光纤跳纤连接光口设备，成品跳纤长度应≤5米，跳纤传输规格应与主光缆相同。</w:t>
            </w:r>
          </w:p>
        </w:tc>
        <w:tc>
          <w:tcPr>
            <w:tcW w:w="754" w:type="dxa"/>
            <w:tcBorders>
              <w:top w:val="single" w:color="000000" w:sz="4" w:space="0"/>
              <w:left w:val="single" w:color="000000" w:sz="4" w:space="0"/>
              <w:bottom w:val="single" w:color="000000" w:sz="4" w:space="0"/>
              <w:right w:val="single" w:color="000000" w:sz="4" w:space="0"/>
            </w:tcBorders>
            <w:vAlign w:val="center"/>
          </w:tcPr>
          <w:p w14:paraId="774E43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06887B1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65AAE09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9610BE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3.4.6.1.8</w:t>
            </w:r>
          </w:p>
        </w:tc>
        <w:tc>
          <w:tcPr>
            <w:tcW w:w="1035" w:type="dxa"/>
            <w:tcBorders>
              <w:top w:val="single" w:color="000000" w:sz="4" w:space="0"/>
              <w:left w:val="single" w:color="000000" w:sz="4" w:space="0"/>
              <w:bottom w:val="single" w:color="000000" w:sz="4" w:space="0"/>
              <w:right w:val="single" w:color="000000" w:sz="4" w:space="0"/>
            </w:tcBorders>
            <w:vAlign w:val="center"/>
          </w:tcPr>
          <w:p w14:paraId="47F7374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736EDE1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51B09AD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200</w:t>
            </w:r>
          </w:p>
        </w:tc>
        <w:tc>
          <w:tcPr>
            <w:tcW w:w="660" w:type="dxa"/>
            <w:tcBorders>
              <w:top w:val="single" w:color="000000" w:sz="4" w:space="0"/>
              <w:left w:val="single" w:color="000000" w:sz="4" w:space="0"/>
              <w:bottom w:val="single" w:color="000000" w:sz="4" w:space="0"/>
              <w:right w:val="single" w:color="000000" w:sz="4" w:space="0"/>
            </w:tcBorders>
            <w:vAlign w:val="center"/>
          </w:tcPr>
          <w:p w14:paraId="5166746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7C0F3E79">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37673A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3.4.6.1.9</w:t>
            </w:r>
          </w:p>
        </w:tc>
        <w:tc>
          <w:tcPr>
            <w:tcW w:w="1035" w:type="dxa"/>
            <w:tcBorders>
              <w:top w:val="single" w:color="000000" w:sz="4" w:space="0"/>
              <w:left w:val="single" w:color="000000" w:sz="4" w:space="0"/>
              <w:bottom w:val="single" w:color="000000" w:sz="4" w:space="0"/>
              <w:right w:val="single" w:color="000000" w:sz="4" w:space="0"/>
            </w:tcBorders>
            <w:vAlign w:val="center"/>
          </w:tcPr>
          <w:p w14:paraId="78A7537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3D8D423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1、规格ZR-RVV3*4.0mm2；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78C684D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500</w:t>
            </w:r>
          </w:p>
        </w:tc>
        <w:tc>
          <w:tcPr>
            <w:tcW w:w="660" w:type="dxa"/>
            <w:tcBorders>
              <w:top w:val="single" w:color="000000" w:sz="4" w:space="0"/>
              <w:left w:val="single" w:color="000000" w:sz="4" w:space="0"/>
              <w:bottom w:val="single" w:color="000000" w:sz="4" w:space="0"/>
              <w:right w:val="single" w:color="000000" w:sz="4" w:space="0"/>
            </w:tcBorders>
            <w:vAlign w:val="center"/>
          </w:tcPr>
          <w:p w14:paraId="1DACCEA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BC75E8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2589D1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3.4.6.1.10</w:t>
            </w:r>
          </w:p>
        </w:tc>
        <w:tc>
          <w:tcPr>
            <w:tcW w:w="1035" w:type="dxa"/>
            <w:tcBorders>
              <w:top w:val="single" w:color="000000" w:sz="4" w:space="0"/>
              <w:left w:val="single" w:color="000000" w:sz="4" w:space="0"/>
              <w:bottom w:val="single" w:color="000000" w:sz="4" w:space="0"/>
              <w:right w:val="single" w:color="000000" w:sz="4" w:space="0"/>
            </w:tcBorders>
            <w:vAlign w:val="center"/>
          </w:tcPr>
          <w:p w14:paraId="2700328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0A172624">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69B61FF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200</w:t>
            </w:r>
          </w:p>
        </w:tc>
        <w:tc>
          <w:tcPr>
            <w:tcW w:w="660" w:type="dxa"/>
            <w:tcBorders>
              <w:top w:val="single" w:color="000000" w:sz="4" w:space="0"/>
              <w:left w:val="single" w:color="000000" w:sz="4" w:space="0"/>
              <w:bottom w:val="single" w:color="000000" w:sz="4" w:space="0"/>
              <w:right w:val="single" w:color="000000" w:sz="4" w:space="0"/>
            </w:tcBorders>
            <w:vAlign w:val="center"/>
          </w:tcPr>
          <w:p w14:paraId="25AFF6D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3341DFC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1B7043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3.4.7</w:t>
            </w:r>
          </w:p>
        </w:tc>
        <w:tc>
          <w:tcPr>
            <w:tcW w:w="1035" w:type="dxa"/>
            <w:tcBorders>
              <w:top w:val="single" w:color="000000" w:sz="4" w:space="0"/>
              <w:left w:val="single" w:color="000000" w:sz="4" w:space="0"/>
              <w:bottom w:val="single" w:color="000000" w:sz="4" w:space="0"/>
              <w:right w:val="single" w:color="000000" w:sz="4" w:space="0"/>
            </w:tcBorders>
            <w:vAlign w:val="center"/>
          </w:tcPr>
          <w:p w14:paraId="4FC63EA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视频存储</w:t>
            </w:r>
          </w:p>
        </w:tc>
        <w:tc>
          <w:tcPr>
            <w:tcW w:w="6176" w:type="dxa"/>
            <w:tcBorders>
              <w:top w:val="single" w:color="000000" w:sz="4" w:space="0"/>
              <w:left w:val="single" w:color="000000" w:sz="4" w:space="0"/>
              <w:bottom w:val="single" w:color="000000" w:sz="4" w:space="0"/>
              <w:right w:val="single" w:color="000000" w:sz="4" w:space="0"/>
            </w:tcBorders>
            <w:vAlign w:val="center"/>
          </w:tcPr>
          <w:p w14:paraId="3EDA36A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 云存储系统采用无元数据的全对称分布式架构，支持Scale-out横向扩展，可线性扩展系统的容量及性能；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支持存储空间虚拟化管理，将所有物理存储资源虚拟化成统一的存储空间，提供全局统一的命名空间，对外提供唯一的业务IP地址访问。设备高度≤4U，硬盘槽位≥60盘位；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节点支持配置两颗64位可扩展处理器；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支持数据盘和系统盘分离，系统盘为独立的二块SAS或SSD盘，组成RAID1；</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▲5.本次单节点实际配置两颗10核可扩展处理器，64GB内存，2块480G SSD系统盘，60块14TB 7200转企业级SATA硬盘。2个万兆光口；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节点具备超级电容模块，支持断电保护，节点异常掉电时缓存数据无丢失；</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●7.节点具有四个风扇，风扇支持20档转速调节，可根据工作状态进行调速；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节点支持双铂金电源，支持热插拔，一个电源损坏的情况下，仍可正常运行；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单节点可存储≥2400Mbps；转发≥1200Mbps；录像下载≥1200Mbps；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支持实时显示和查询监控点的录像；支持手动录像和定时录像，支持设置定时录像计划；</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 H.264、H.265码流预览、回放；支持主码流、子码流预览、回放；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支持录像回放，包括快放、慢放、鼠标拖动前进、鼠标拖动后退、单帧回放等；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 支持接入第三方厂商的IPC；</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14. 系统运维不需要额外服务器，支持对各节点上的硬件组件（CPU、内存、风扇、电源、硬盘等）工作状态进行监测以及报警，并可根据设置的阈值输出报警级别；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15. 支持节点间业务动态负载均衡，如一个节点故障，该节点上的业务可自动均衡分配到其他节点；支持新增节点时负载均衡，原有节点磁盘上的数据可迁移到新节点磁盘上；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16. 支持视频、音频、图片、文件直接写入系统，数据流无需经过其他中转服务器；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17. 支持节点的双系统管理，支持一键主备系统切换；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18. 支持GB/T 28181、GA/T 1400等安防协议，支持iSCSI等通用存储协议，来支持与第三方业务平台的对接需求。</w:t>
            </w:r>
          </w:p>
        </w:tc>
        <w:tc>
          <w:tcPr>
            <w:tcW w:w="754" w:type="dxa"/>
            <w:tcBorders>
              <w:top w:val="single" w:color="000000" w:sz="4" w:space="0"/>
              <w:left w:val="single" w:color="000000" w:sz="4" w:space="0"/>
              <w:bottom w:val="single" w:color="000000" w:sz="4" w:space="0"/>
              <w:right w:val="single" w:color="000000" w:sz="4" w:space="0"/>
            </w:tcBorders>
            <w:vAlign w:val="center"/>
          </w:tcPr>
          <w:p w14:paraId="35D8C850">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1A0A46E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190E5E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50C8C5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w:t>
            </w:r>
          </w:p>
        </w:tc>
        <w:tc>
          <w:tcPr>
            <w:tcW w:w="1035" w:type="dxa"/>
            <w:tcBorders>
              <w:top w:val="single" w:color="000000" w:sz="4" w:space="0"/>
              <w:left w:val="single" w:color="000000" w:sz="4" w:space="0"/>
              <w:bottom w:val="single" w:color="000000" w:sz="4" w:space="0"/>
              <w:right w:val="single" w:color="000000" w:sz="4" w:space="0"/>
            </w:tcBorders>
            <w:vAlign w:val="center"/>
          </w:tcPr>
          <w:p w14:paraId="2A72C8E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室外管网分布系统</w:t>
            </w:r>
          </w:p>
        </w:tc>
        <w:tc>
          <w:tcPr>
            <w:tcW w:w="6176" w:type="dxa"/>
            <w:tcBorders>
              <w:top w:val="single" w:color="000000" w:sz="4" w:space="0"/>
              <w:left w:val="single" w:color="000000" w:sz="4" w:space="0"/>
              <w:bottom w:val="single" w:color="000000" w:sz="4" w:space="0"/>
              <w:right w:val="nil"/>
            </w:tcBorders>
            <w:vAlign w:val="center"/>
          </w:tcPr>
          <w:p w14:paraId="3820FD60">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0CAE3D8B">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225DD671">
            <w:pPr>
              <w:jc w:val="center"/>
              <w:rPr>
                <w:rFonts w:ascii="宋体" w:hAnsi="宋体" w:cs="宋体"/>
                <w:color w:val="auto"/>
                <w:szCs w:val="22"/>
                <w:highlight w:val="none"/>
              </w:rPr>
            </w:pPr>
          </w:p>
        </w:tc>
      </w:tr>
      <w:tr w14:paraId="66963E9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707D4F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3.4.8.1</w:t>
            </w:r>
          </w:p>
        </w:tc>
        <w:tc>
          <w:tcPr>
            <w:tcW w:w="1035" w:type="dxa"/>
            <w:tcBorders>
              <w:top w:val="single" w:color="000000" w:sz="4" w:space="0"/>
              <w:left w:val="single" w:color="000000" w:sz="4" w:space="0"/>
              <w:bottom w:val="single" w:color="000000" w:sz="4" w:space="0"/>
              <w:right w:val="single" w:color="000000" w:sz="4" w:space="0"/>
            </w:tcBorders>
            <w:vAlign w:val="center"/>
          </w:tcPr>
          <w:p w14:paraId="465D4AE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七孔梅花管</w:t>
            </w:r>
          </w:p>
        </w:tc>
        <w:tc>
          <w:tcPr>
            <w:tcW w:w="6176" w:type="dxa"/>
            <w:tcBorders>
              <w:top w:val="single" w:color="000000" w:sz="4" w:space="0"/>
              <w:left w:val="single" w:color="000000" w:sz="4" w:space="0"/>
              <w:bottom w:val="single" w:color="000000" w:sz="4" w:space="0"/>
              <w:right w:val="nil"/>
            </w:tcBorders>
            <w:vAlign w:val="center"/>
          </w:tcPr>
          <w:p w14:paraId="731DC3E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七孔梅花管 7x32mm。</w:t>
            </w:r>
          </w:p>
        </w:tc>
        <w:tc>
          <w:tcPr>
            <w:tcW w:w="754" w:type="dxa"/>
            <w:tcBorders>
              <w:top w:val="single" w:color="000000" w:sz="4" w:space="0"/>
              <w:left w:val="single" w:color="000000" w:sz="4" w:space="0"/>
              <w:bottom w:val="single" w:color="000000" w:sz="4" w:space="0"/>
              <w:right w:val="single" w:color="000000" w:sz="4" w:space="0"/>
            </w:tcBorders>
            <w:vAlign w:val="center"/>
          </w:tcPr>
          <w:p w14:paraId="1B6437C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1500</w:t>
            </w:r>
          </w:p>
        </w:tc>
        <w:tc>
          <w:tcPr>
            <w:tcW w:w="660" w:type="dxa"/>
            <w:tcBorders>
              <w:top w:val="single" w:color="000000" w:sz="4" w:space="0"/>
              <w:left w:val="single" w:color="000000" w:sz="4" w:space="0"/>
              <w:bottom w:val="single" w:color="000000" w:sz="4" w:space="0"/>
              <w:right w:val="single" w:color="000000" w:sz="4" w:space="0"/>
            </w:tcBorders>
            <w:vAlign w:val="center"/>
          </w:tcPr>
          <w:p w14:paraId="1483F8D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BC5956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A7FF28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3.4.8.2</w:t>
            </w:r>
          </w:p>
        </w:tc>
        <w:tc>
          <w:tcPr>
            <w:tcW w:w="1035" w:type="dxa"/>
            <w:tcBorders>
              <w:top w:val="single" w:color="000000" w:sz="4" w:space="0"/>
              <w:left w:val="single" w:color="000000" w:sz="4" w:space="0"/>
              <w:bottom w:val="single" w:color="000000" w:sz="4" w:space="0"/>
              <w:right w:val="single" w:color="000000" w:sz="4" w:space="0"/>
            </w:tcBorders>
            <w:vAlign w:val="center"/>
          </w:tcPr>
          <w:p w14:paraId="117FBCA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镀锌钢管</w:t>
            </w:r>
          </w:p>
        </w:tc>
        <w:tc>
          <w:tcPr>
            <w:tcW w:w="6176" w:type="dxa"/>
            <w:tcBorders>
              <w:top w:val="single" w:color="000000" w:sz="4" w:space="0"/>
              <w:left w:val="single" w:color="000000" w:sz="4" w:space="0"/>
              <w:bottom w:val="single" w:color="000000" w:sz="4" w:space="0"/>
              <w:right w:val="nil"/>
            </w:tcBorders>
            <w:vAlign w:val="center"/>
          </w:tcPr>
          <w:p w14:paraId="72D36DCA">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镀锌钢管DN50。</w:t>
            </w:r>
          </w:p>
        </w:tc>
        <w:tc>
          <w:tcPr>
            <w:tcW w:w="754" w:type="dxa"/>
            <w:tcBorders>
              <w:top w:val="single" w:color="000000" w:sz="4" w:space="0"/>
              <w:left w:val="single" w:color="000000" w:sz="4" w:space="0"/>
              <w:bottom w:val="single" w:color="000000" w:sz="4" w:space="0"/>
              <w:right w:val="single" w:color="000000" w:sz="4" w:space="0"/>
            </w:tcBorders>
            <w:vAlign w:val="center"/>
          </w:tcPr>
          <w:p w14:paraId="5F6A572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500</w:t>
            </w:r>
          </w:p>
        </w:tc>
        <w:tc>
          <w:tcPr>
            <w:tcW w:w="660" w:type="dxa"/>
            <w:tcBorders>
              <w:top w:val="single" w:color="000000" w:sz="4" w:space="0"/>
              <w:left w:val="single" w:color="000000" w:sz="4" w:space="0"/>
              <w:bottom w:val="single" w:color="000000" w:sz="4" w:space="0"/>
              <w:right w:val="single" w:color="000000" w:sz="4" w:space="0"/>
            </w:tcBorders>
            <w:vAlign w:val="center"/>
          </w:tcPr>
          <w:p w14:paraId="12E1434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2FF1EC6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204012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3.4.8.3</w:t>
            </w:r>
          </w:p>
        </w:tc>
        <w:tc>
          <w:tcPr>
            <w:tcW w:w="1035" w:type="dxa"/>
            <w:tcBorders>
              <w:top w:val="single" w:color="000000" w:sz="4" w:space="0"/>
              <w:left w:val="single" w:color="000000" w:sz="4" w:space="0"/>
              <w:bottom w:val="single" w:color="000000" w:sz="4" w:space="0"/>
              <w:right w:val="single" w:color="000000" w:sz="4" w:space="0"/>
            </w:tcBorders>
            <w:vAlign w:val="center"/>
          </w:tcPr>
          <w:p w14:paraId="629CB0E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PE管</w:t>
            </w:r>
          </w:p>
        </w:tc>
        <w:tc>
          <w:tcPr>
            <w:tcW w:w="6176" w:type="dxa"/>
            <w:tcBorders>
              <w:top w:val="single" w:color="000000" w:sz="4" w:space="0"/>
              <w:left w:val="single" w:color="000000" w:sz="4" w:space="0"/>
              <w:bottom w:val="single" w:color="000000" w:sz="4" w:space="0"/>
              <w:right w:val="nil"/>
            </w:tcBorders>
            <w:vAlign w:val="center"/>
          </w:tcPr>
          <w:p w14:paraId="7C65827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聚乙烯PE32mm。</w:t>
            </w:r>
          </w:p>
        </w:tc>
        <w:tc>
          <w:tcPr>
            <w:tcW w:w="754" w:type="dxa"/>
            <w:tcBorders>
              <w:top w:val="single" w:color="000000" w:sz="4" w:space="0"/>
              <w:left w:val="single" w:color="000000" w:sz="4" w:space="0"/>
              <w:bottom w:val="single" w:color="000000" w:sz="4" w:space="0"/>
              <w:right w:val="single" w:color="000000" w:sz="4" w:space="0"/>
            </w:tcBorders>
            <w:vAlign w:val="center"/>
          </w:tcPr>
          <w:p w14:paraId="049CAB37">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15500</w:t>
            </w:r>
          </w:p>
        </w:tc>
        <w:tc>
          <w:tcPr>
            <w:tcW w:w="660" w:type="dxa"/>
            <w:tcBorders>
              <w:top w:val="single" w:color="000000" w:sz="4" w:space="0"/>
              <w:left w:val="single" w:color="000000" w:sz="4" w:space="0"/>
              <w:bottom w:val="single" w:color="000000" w:sz="4" w:space="0"/>
              <w:right w:val="single" w:color="000000" w:sz="4" w:space="0"/>
            </w:tcBorders>
            <w:vAlign w:val="center"/>
          </w:tcPr>
          <w:p w14:paraId="7BA8B37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71A230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98F704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3.4.8.4</w:t>
            </w:r>
          </w:p>
        </w:tc>
        <w:tc>
          <w:tcPr>
            <w:tcW w:w="1035" w:type="dxa"/>
            <w:tcBorders>
              <w:top w:val="single" w:color="000000" w:sz="4" w:space="0"/>
              <w:left w:val="single" w:color="000000" w:sz="4" w:space="0"/>
              <w:bottom w:val="single" w:color="000000" w:sz="4" w:space="0"/>
              <w:right w:val="single" w:color="000000" w:sz="4" w:space="0"/>
            </w:tcBorders>
            <w:vAlign w:val="center"/>
          </w:tcPr>
          <w:p w14:paraId="41A3E5A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PVC管</w:t>
            </w:r>
          </w:p>
        </w:tc>
        <w:tc>
          <w:tcPr>
            <w:tcW w:w="6176" w:type="dxa"/>
            <w:tcBorders>
              <w:top w:val="single" w:color="000000" w:sz="4" w:space="0"/>
              <w:left w:val="single" w:color="000000" w:sz="4" w:space="0"/>
              <w:bottom w:val="single" w:color="000000" w:sz="4" w:space="0"/>
              <w:right w:val="nil"/>
            </w:tcBorders>
            <w:vAlign w:val="center"/>
          </w:tcPr>
          <w:p w14:paraId="117D6C7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聚氯乙烯PVC32mm。</w:t>
            </w:r>
          </w:p>
        </w:tc>
        <w:tc>
          <w:tcPr>
            <w:tcW w:w="754" w:type="dxa"/>
            <w:tcBorders>
              <w:top w:val="single" w:color="000000" w:sz="4" w:space="0"/>
              <w:left w:val="single" w:color="000000" w:sz="4" w:space="0"/>
              <w:bottom w:val="single" w:color="000000" w:sz="4" w:space="0"/>
              <w:right w:val="single" w:color="000000" w:sz="4" w:space="0"/>
            </w:tcBorders>
            <w:vAlign w:val="center"/>
          </w:tcPr>
          <w:p w14:paraId="201DF600">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32000</w:t>
            </w:r>
          </w:p>
        </w:tc>
        <w:tc>
          <w:tcPr>
            <w:tcW w:w="660" w:type="dxa"/>
            <w:tcBorders>
              <w:top w:val="single" w:color="000000" w:sz="4" w:space="0"/>
              <w:left w:val="single" w:color="000000" w:sz="4" w:space="0"/>
              <w:bottom w:val="single" w:color="000000" w:sz="4" w:space="0"/>
              <w:right w:val="single" w:color="000000" w:sz="4" w:space="0"/>
            </w:tcBorders>
            <w:vAlign w:val="center"/>
          </w:tcPr>
          <w:p w14:paraId="18D6382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670B89E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FBE689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3.4.8.5</w:t>
            </w:r>
          </w:p>
        </w:tc>
        <w:tc>
          <w:tcPr>
            <w:tcW w:w="1035" w:type="dxa"/>
            <w:tcBorders>
              <w:top w:val="single" w:color="000000" w:sz="4" w:space="0"/>
              <w:left w:val="single" w:color="000000" w:sz="4" w:space="0"/>
              <w:bottom w:val="single" w:color="000000" w:sz="4" w:space="0"/>
              <w:right w:val="single" w:color="000000" w:sz="4" w:space="0"/>
            </w:tcBorders>
            <w:vAlign w:val="center"/>
          </w:tcPr>
          <w:p w14:paraId="567BAD7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主干电缆</w:t>
            </w:r>
          </w:p>
        </w:tc>
        <w:tc>
          <w:tcPr>
            <w:tcW w:w="6176" w:type="dxa"/>
            <w:tcBorders>
              <w:top w:val="single" w:color="000000" w:sz="4" w:space="0"/>
              <w:left w:val="single" w:color="000000" w:sz="4" w:space="0"/>
              <w:bottom w:val="single" w:color="000000" w:sz="4" w:space="0"/>
              <w:right w:val="nil"/>
            </w:tcBorders>
            <w:vAlign w:val="center"/>
          </w:tcPr>
          <w:p w14:paraId="713D77A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1、规格ZR-RVV2*4.0mm2；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640E9DEB">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14400</w:t>
            </w:r>
          </w:p>
        </w:tc>
        <w:tc>
          <w:tcPr>
            <w:tcW w:w="660" w:type="dxa"/>
            <w:tcBorders>
              <w:top w:val="single" w:color="000000" w:sz="4" w:space="0"/>
              <w:left w:val="single" w:color="000000" w:sz="4" w:space="0"/>
              <w:bottom w:val="single" w:color="000000" w:sz="4" w:space="0"/>
              <w:right w:val="single" w:color="000000" w:sz="4" w:space="0"/>
            </w:tcBorders>
            <w:vAlign w:val="center"/>
          </w:tcPr>
          <w:p w14:paraId="3A0BDAE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231253F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014919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3.4.8.6</w:t>
            </w:r>
          </w:p>
        </w:tc>
        <w:tc>
          <w:tcPr>
            <w:tcW w:w="1035" w:type="dxa"/>
            <w:tcBorders>
              <w:top w:val="single" w:color="000000" w:sz="4" w:space="0"/>
              <w:left w:val="single" w:color="000000" w:sz="4" w:space="0"/>
              <w:bottom w:val="single" w:color="000000" w:sz="4" w:space="0"/>
              <w:right w:val="single" w:color="000000" w:sz="4" w:space="0"/>
            </w:tcBorders>
            <w:vAlign w:val="center"/>
          </w:tcPr>
          <w:p w14:paraId="3792C23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电源线</w:t>
            </w:r>
          </w:p>
        </w:tc>
        <w:tc>
          <w:tcPr>
            <w:tcW w:w="6176" w:type="dxa"/>
            <w:tcBorders>
              <w:top w:val="single" w:color="000000" w:sz="4" w:space="0"/>
              <w:left w:val="single" w:color="000000" w:sz="4" w:space="0"/>
              <w:bottom w:val="single" w:color="000000" w:sz="4" w:space="0"/>
              <w:right w:val="nil"/>
            </w:tcBorders>
            <w:vAlign w:val="center"/>
          </w:tcPr>
          <w:p w14:paraId="2C1A92F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阻燃型铜芯聚氯乙烯绝缘聚氯乙烯护套软电缆：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1、规格ZR-RVV2*1.5mm2；</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2、阻燃性能符合 JBTT8734-2012、GBIT5023-2008 标准 B 级以上阻燃；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3、绝缘耐压值≥500V。</w:t>
            </w:r>
          </w:p>
        </w:tc>
        <w:tc>
          <w:tcPr>
            <w:tcW w:w="754" w:type="dxa"/>
            <w:tcBorders>
              <w:top w:val="single" w:color="000000" w:sz="4" w:space="0"/>
              <w:left w:val="single" w:color="000000" w:sz="4" w:space="0"/>
              <w:bottom w:val="single" w:color="000000" w:sz="4" w:space="0"/>
              <w:right w:val="single" w:color="000000" w:sz="4" w:space="0"/>
            </w:tcBorders>
            <w:vAlign w:val="center"/>
          </w:tcPr>
          <w:p w14:paraId="5A3B772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14:paraId="6CF66EF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1A89F23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015D6F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3.4.8.7</w:t>
            </w:r>
          </w:p>
        </w:tc>
        <w:tc>
          <w:tcPr>
            <w:tcW w:w="1035" w:type="dxa"/>
            <w:tcBorders>
              <w:top w:val="single" w:color="000000" w:sz="4" w:space="0"/>
              <w:left w:val="single" w:color="000000" w:sz="4" w:space="0"/>
              <w:bottom w:val="single" w:color="000000" w:sz="4" w:space="0"/>
              <w:right w:val="single" w:color="000000" w:sz="4" w:space="0"/>
            </w:tcBorders>
            <w:vAlign w:val="center"/>
          </w:tcPr>
          <w:p w14:paraId="6F090BA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稳压电源</w:t>
            </w:r>
          </w:p>
        </w:tc>
        <w:tc>
          <w:tcPr>
            <w:tcW w:w="6176" w:type="dxa"/>
            <w:tcBorders>
              <w:top w:val="single" w:color="000000" w:sz="4" w:space="0"/>
              <w:left w:val="single" w:color="000000" w:sz="4" w:space="0"/>
              <w:bottom w:val="single" w:color="000000" w:sz="4" w:space="0"/>
              <w:right w:val="nil"/>
            </w:tcBorders>
            <w:vAlign w:val="center"/>
          </w:tcPr>
          <w:p w14:paraId="255598AB">
            <w:pPr>
              <w:widowControl/>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工业用 220V 2000W全自动稳压电源</w:t>
            </w:r>
          </w:p>
          <w:p w14:paraId="494EC4D1">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额定功率kVA：2000W</w:t>
            </w:r>
          </w:p>
          <w:p w14:paraId="14C92AE8">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输出电压：【稳压精度V 110/220±4%】、【欠压保护V 184±4】、【过压保护 V 246±4】</w:t>
            </w:r>
          </w:p>
          <w:p w14:paraId="2B2324B6">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输入电压范围 V：150~250V</w:t>
            </w:r>
          </w:p>
          <w:p w14:paraId="095DCD44">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市电(旁路功能):有</w:t>
            </w:r>
          </w:p>
          <w:p w14:paraId="430D144C">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散热方式：风冷</w:t>
            </w:r>
          </w:p>
          <w:p w14:paraId="79E9C862">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显示方式：指针</w:t>
            </w:r>
          </w:p>
          <w:p w14:paraId="2D715343">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反应时间 S：&lt;1</w:t>
            </w:r>
          </w:p>
          <w:p w14:paraId="6B142D7C">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温升 K：&lt;80</w:t>
            </w:r>
          </w:p>
          <w:p w14:paraId="2E0B009B">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频率 Hz：50/60</w:t>
            </w:r>
          </w:p>
          <w:p w14:paraId="104FD47D">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绝缘等级：B级</w:t>
            </w:r>
          </w:p>
          <w:p w14:paraId="4E11146D">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绝缘电阻 MΩ：≥5</w:t>
            </w:r>
          </w:p>
          <w:p w14:paraId="7C1F208F">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延时时间 Min：5±2S</w:t>
            </w:r>
          </w:p>
          <w:p w14:paraId="1CBFD105">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耐压 V15S：1500</w:t>
            </w:r>
          </w:p>
          <w:p w14:paraId="2682D5AB">
            <w:pPr>
              <w:pStyle w:val="59"/>
              <w:spacing w:after="0"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效率：&gt;92%</w:t>
            </w:r>
          </w:p>
          <w:p w14:paraId="206C7EFD">
            <w:pPr>
              <w:pStyle w:val="59"/>
              <w:spacing w:after="0" w:line="240" w:lineRule="auto"/>
              <w:jc w:val="both"/>
              <w:rPr>
                <w:color w:val="auto"/>
                <w:highlight w:val="none"/>
              </w:rPr>
            </w:pPr>
            <w:r>
              <w:rPr>
                <w:rFonts w:hint="eastAsia" w:ascii="宋体" w:hAnsi="宋体" w:eastAsia="宋体" w:cs="宋体"/>
                <w:b w:val="0"/>
                <w:bCs/>
                <w:color w:val="auto"/>
                <w:highlight w:val="none"/>
              </w:rPr>
              <w:t>最大额定电流：9.1A(2kVA)</w:t>
            </w:r>
          </w:p>
        </w:tc>
        <w:tc>
          <w:tcPr>
            <w:tcW w:w="754" w:type="dxa"/>
            <w:tcBorders>
              <w:top w:val="single" w:color="000000" w:sz="4" w:space="0"/>
              <w:left w:val="single" w:color="000000" w:sz="4" w:space="0"/>
              <w:bottom w:val="single" w:color="000000" w:sz="4" w:space="0"/>
              <w:right w:val="single" w:color="000000" w:sz="4" w:space="0"/>
            </w:tcBorders>
            <w:vAlign w:val="center"/>
          </w:tcPr>
          <w:p w14:paraId="6EC3148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w:t>
            </w:r>
          </w:p>
        </w:tc>
        <w:tc>
          <w:tcPr>
            <w:tcW w:w="660" w:type="dxa"/>
            <w:tcBorders>
              <w:top w:val="single" w:color="000000" w:sz="4" w:space="0"/>
              <w:left w:val="single" w:color="000000" w:sz="4" w:space="0"/>
              <w:bottom w:val="single" w:color="000000" w:sz="4" w:space="0"/>
              <w:right w:val="single" w:color="000000" w:sz="4" w:space="0"/>
            </w:tcBorders>
            <w:vAlign w:val="center"/>
          </w:tcPr>
          <w:p w14:paraId="793F864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073E9D0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127467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3.4.8.8</w:t>
            </w:r>
          </w:p>
        </w:tc>
        <w:tc>
          <w:tcPr>
            <w:tcW w:w="1035" w:type="dxa"/>
            <w:tcBorders>
              <w:top w:val="single" w:color="000000" w:sz="4" w:space="0"/>
              <w:left w:val="single" w:color="000000" w:sz="4" w:space="0"/>
              <w:bottom w:val="single" w:color="000000" w:sz="4" w:space="0"/>
              <w:right w:val="single" w:color="000000" w:sz="4" w:space="0"/>
            </w:tcBorders>
            <w:vAlign w:val="center"/>
          </w:tcPr>
          <w:p w14:paraId="51EA6BD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超五类非屏蔽网线</w:t>
            </w:r>
          </w:p>
        </w:tc>
        <w:tc>
          <w:tcPr>
            <w:tcW w:w="6176" w:type="dxa"/>
            <w:tcBorders>
              <w:top w:val="single" w:color="000000" w:sz="4" w:space="0"/>
              <w:left w:val="single" w:color="000000" w:sz="4" w:space="0"/>
              <w:bottom w:val="single" w:color="000000" w:sz="4" w:space="0"/>
              <w:right w:val="nil"/>
            </w:tcBorders>
            <w:vAlign w:val="center"/>
          </w:tcPr>
          <w:p w14:paraId="18AFA00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国标 超五类非屏蔽网线。</w:t>
            </w:r>
          </w:p>
        </w:tc>
        <w:tc>
          <w:tcPr>
            <w:tcW w:w="754" w:type="dxa"/>
            <w:tcBorders>
              <w:top w:val="single" w:color="000000" w:sz="4" w:space="0"/>
              <w:left w:val="single" w:color="000000" w:sz="4" w:space="0"/>
              <w:bottom w:val="single" w:color="000000" w:sz="4" w:space="0"/>
              <w:right w:val="single" w:color="000000" w:sz="4" w:space="0"/>
            </w:tcBorders>
            <w:vAlign w:val="center"/>
          </w:tcPr>
          <w:p w14:paraId="401DB7D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14:paraId="4710522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405F3E4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2E12DD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3.4.8.9</w:t>
            </w:r>
          </w:p>
        </w:tc>
        <w:tc>
          <w:tcPr>
            <w:tcW w:w="1035" w:type="dxa"/>
            <w:tcBorders>
              <w:top w:val="single" w:color="000000" w:sz="4" w:space="0"/>
              <w:left w:val="single" w:color="000000" w:sz="4" w:space="0"/>
              <w:bottom w:val="single" w:color="000000" w:sz="4" w:space="0"/>
              <w:right w:val="single" w:color="000000" w:sz="4" w:space="0"/>
            </w:tcBorders>
            <w:vAlign w:val="center"/>
          </w:tcPr>
          <w:p w14:paraId="22D4D68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主干光缆</w:t>
            </w:r>
          </w:p>
        </w:tc>
        <w:tc>
          <w:tcPr>
            <w:tcW w:w="6176" w:type="dxa"/>
            <w:tcBorders>
              <w:top w:val="single" w:color="000000" w:sz="4" w:space="0"/>
              <w:left w:val="single" w:color="000000" w:sz="4" w:space="0"/>
              <w:bottom w:val="single" w:color="000000" w:sz="4" w:space="0"/>
              <w:right w:val="nil"/>
            </w:tcBorders>
            <w:vAlign w:val="center"/>
          </w:tcPr>
          <w:p w14:paraId="7989DD07">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结构类型：GYXTW；光缆芯数：6芯；松套管：PBT；松套管外径：3.0；光缆加强件：两根高强度磷化钢丝；铠装：双面镀铬涂塑钢带；光缆外护材料：聚乙烯(PE)；外径范围：8-9mm。</w:t>
            </w:r>
          </w:p>
        </w:tc>
        <w:tc>
          <w:tcPr>
            <w:tcW w:w="754" w:type="dxa"/>
            <w:tcBorders>
              <w:top w:val="single" w:color="000000" w:sz="4" w:space="0"/>
              <w:left w:val="single" w:color="000000" w:sz="4" w:space="0"/>
              <w:bottom w:val="single" w:color="000000" w:sz="4" w:space="0"/>
              <w:right w:val="single" w:color="000000" w:sz="4" w:space="0"/>
            </w:tcBorders>
            <w:vAlign w:val="center"/>
          </w:tcPr>
          <w:p w14:paraId="44DCB68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1500</w:t>
            </w:r>
          </w:p>
        </w:tc>
        <w:tc>
          <w:tcPr>
            <w:tcW w:w="660" w:type="dxa"/>
            <w:tcBorders>
              <w:top w:val="single" w:color="000000" w:sz="4" w:space="0"/>
              <w:left w:val="single" w:color="000000" w:sz="4" w:space="0"/>
              <w:bottom w:val="single" w:color="000000" w:sz="4" w:space="0"/>
              <w:right w:val="single" w:color="000000" w:sz="4" w:space="0"/>
            </w:tcBorders>
            <w:vAlign w:val="center"/>
          </w:tcPr>
          <w:p w14:paraId="4B304A9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45AB34B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DD2E7C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3.4.8.10</w:t>
            </w:r>
          </w:p>
        </w:tc>
        <w:tc>
          <w:tcPr>
            <w:tcW w:w="1035" w:type="dxa"/>
            <w:tcBorders>
              <w:top w:val="single" w:color="000000" w:sz="4" w:space="0"/>
              <w:left w:val="single" w:color="000000" w:sz="4" w:space="0"/>
              <w:bottom w:val="single" w:color="000000" w:sz="4" w:space="0"/>
              <w:right w:val="single" w:color="000000" w:sz="4" w:space="0"/>
            </w:tcBorders>
            <w:vAlign w:val="center"/>
          </w:tcPr>
          <w:p w14:paraId="32CB994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管网沟槽土方</w:t>
            </w:r>
          </w:p>
        </w:tc>
        <w:tc>
          <w:tcPr>
            <w:tcW w:w="6176" w:type="dxa"/>
            <w:tcBorders>
              <w:top w:val="single" w:color="000000" w:sz="4" w:space="0"/>
              <w:left w:val="single" w:color="000000" w:sz="4" w:space="0"/>
              <w:bottom w:val="single" w:color="000000" w:sz="4" w:space="0"/>
              <w:right w:val="nil"/>
            </w:tcBorders>
            <w:vAlign w:val="center"/>
          </w:tcPr>
          <w:p w14:paraId="71578D4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挖管沟槽土方，含机械加人工的开挖，回填土机械夯实，清理建筑废渣、原有路基、地面、路面及场地内植被的恢复等。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土壤类别：经过现场勘测开挖的地下土质为泥土混合石块的综合性土质，开挖需采用机械加人工的方式进行；</w:t>
            </w:r>
          </w:p>
        </w:tc>
        <w:tc>
          <w:tcPr>
            <w:tcW w:w="754" w:type="dxa"/>
            <w:tcBorders>
              <w:top w:val="single" w:color="000000" w:sz="4" w:space="0"/>
              <w:left w:val="single" w:color="000000" w:sz="4" w:space="0"/>
              <w:bottom w:val="single" w:color="000000" w:sz="4" w:space="0"/>
              <w:right w:val="single" w:color="000000" w:sz="4" w:space="0"/>
            </w:tcBorders>
            <w:vAlign w:val="center"/>
          </w:tcPr>
          <w:p w14:paraId="6C16D61C">
            <w:pPr>
              <w:widowControl/>
              <w:jc w:val="center"/>
              <w:textAlignment w:val="center"/>
              <w:rPr>
                <w:rFonts w:ascii="宋体" w:hAnsi="宋体" w:cs="宋体"/>
                <w:color w:val="auto"/>
                <w:szCs w:val="22"/>
                <w:highlight w:val="none"/>
              </w:rPr>
            </w:pPr>
            <w:r>
              <w:rPr>
                <w:rFonts w:ascii="宋体" w:hAnsi="宋体" w:cs="宋体"/>
                <w:color w:val="auto"/>
                <w:kern w:val="0"/>
                <w:szCs w:val="22"/>
                <w:highlight w:val="none"/>
                <w:lang w:bidi="ar"/>
              </w:rPr>
              <w:t>85</w:t>
            </w:r>
            <w:r>
              <w:rPr>
                <w:rFonts w:hint="eastAsia" w:ascii="宋体" w:hAnsi="宋体" w:cs="宋体"/>
                <w:color w:val="auto"/>
                <w:kern w:val="0"/>
                <w:szCs w:val="22"/>
                <w:highlight w:val="none"/>
                <w:lang w:bidi="ar"/>
              </w:rPr>
              <w:t>00</w:t>
            </w:r>
          </w:p>
        </w:tc>
        <w:tc>
          <w:tcPr>
            <w:tcW w:w="660" w:type="dxa"/>
            <w:tcBorders>
              <w:top w:val="single" w:color="000000" w:sz="4" w:space="0"/>
              <w:left w:val="single" w:color="000000" w:sz="4" w:space="0"/>
              <w:bottom w:val="single" w:color="000000" w:sz="4" w:space="0"/>
              <w:right w:val="single" w:color="000000" w:sz="4" w:space="0"/>
            </w:tcBorders>
            <w:vAlign w:val="center"/>
          </w:tcPr>
          <w:p w14:paraId="782274A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4C17EE7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BED5CF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3.4.8.11</w:t>
            </w:r>
          </w:p>
        </w:tc>
        <w:tc>
          <w:tcPr>
            <w:tcW w:w="1035" w:type="dxa"/>
            <w:tcBorders>
              <w:top w:val="single" w:color="000000" w:sz="4" w:space="0"/>
              <w:left w:val="single" w:color="000000" w:sz="4" w:space="0"/>
              <w:bottom w:val="single" w:color="000000" w:sz="4" w:space="0"/>
              <w:right w:val="single" w:color="000000" w:sz="4" w:space="0"/>
            </w:tcBorders>
            <w:vAlign w:val="center"/>
          </w:tcPr>
          <w:p w14:paraId="32B37ED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水泥路面切割恢复</w:t>
            </w:r>
          </w:p>
        </w:tc>
        <w:tc>
          <w:tcPr>
            <w:tcW w:w="6176" w:type="dxa"/>
            <w:tcBorders>
              <w:top w:val="single" w:color="000000" w:sz="4" w:space="0"/>
              <w:left w:val="single" w:color="000000" w:sz="4" w:space="0"/>
              <w:bottom w:val="single" w:color="000000" w:sz="4" w:space="0"/>
              <w:right w:val="nil"/>
            </w:tcBorders>
            <w:vAlign w:val="center"/>
          </w:tcPr>
          <w:p w14:paraId="494729EE">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水泥路面切割、恢复，切割宽度20cm。</w:t>
            </w:r>
          </w:p>
        </w:tc>
        <w:tc>
          <w:tcPr>
            <w:tcW w:w="754" w:type="dxa"/>
            <w:tcBorders>
              <w:top w:val="single" w:color="000000" w:sz="4" w:space="0"/>
              <w:left w:val="single" w:color="000000" w:sz="4" w:space="0"/>
              <w:bottom w:val="single" w:color="000000" w:sz="4" w:space="0"/>
              <w:right w:val="single" w:color="000000" w:sz="4" w:space="0"/>
            </w:tcBorders>
            <w:vAlign w:val="center"/>
          </w:tcPr>
          <w:p w14:paraId="3AE0025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500</w:t>
            </w:r>
          </w:p>
        </w:tc>
        <w:tc>
          <w:tcPr>
            <w:tcW w:w="660" w:type="dxa"/>
            <w:tcBorders>
              <w:top w:val="single" w:color="000000" w:sz="4" w:space="0"/>
              <w:left w:val="single" w:color="000000" w:sz="4" w:space="0"/>
              <w:bottom w:val="single" w:color="000000" w:sz="4" w:space="0"/>
              <w:right w:val="single" w:color="000000" w:sz="4" w:space="0"/>
            </w:tcBorders>
            <w:vAlign w:val="center"/>
          </w:tcPr>
          <w:p w14:paraId="6F68294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米</w:t>
            </w:r>
          </w:p>
        </w:tc>
      </w:tr>
      <w:tr w14:paraId="7D22ABC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6644E6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3.5</w:t>
            </w:r>
          </w:p>
        </w:tc>
        <w:tc>
          <w:tcPr>
            <w:tcW w:w="1035" w:type="dxa"/>
            <w:tcBorders>
              <w:top w:val="single" w:color="000000" w:sz="4" w:space="0"/>
              <w:left w:val="single" w:color="000000" w:sz="4" w:space="0"/>
              <w:bottom w:val="single" w:color="000000" w:sz="4" w:space="0"/>
              <w:right w:val="single" w:color="000000" w:sz="4" w:space="0"/>
            </w:tcBorders>
            <w:vAlign w:val="center"/>
          </w:tcPr>
          <w:p w14:paraId="49B3589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数据对接</w:t>
            </w:r>
          </w:p>
        </w:tc>
        <w:tc>
          <w:tcPr>
            <w:tcW w:w="6176" w:type="dxa"/>
            <w:tcBorders>
              <w:top w:val="single" w:color="000000" w:sz="4" w:space="0"/>
              <w:left w:val="single" w:color="000000" w:sz="4" w:space="0"/>
              <w:bottom w:val="single" w:color="000000" w:sz="4" w:space="0"/>
              <w:right w:val="single" w:color="000000" w:sz="4" w:space="0"/>
            </w:tcBorders>
            <w:vAlign w:val="center"/>
          </w:tcPr>
          <w:p w14:paraId="5477821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1.平台侧对接园区内部系统，包括GIS地理信息服务平台、物联网平台、融合通信系统、访客预约系统、企业安全风险智能化管控平台、园区内企业的监测设备设施、园区内企业的人员定位系统等系统；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2.上级部门系统的对接，包括自治区厅双重预防系统、自治区厅危险化学品安全生产监测预警平台、自治区厅安全风险隐患监测预警平台等系统。</w:t>
            </w:r>
          </w:p>
        </w:tc>
        <w:tc>
          <w:tcPr>
            <w:tcW w:w="754" w:type="dxa"/>
            <w:tcBorders>
              <w:top w:val="single" w:color="000000" w:sz="4" w:space="0"/>
              <w:left w:val="single" w:color="000000" w:sz="4" w:space="0"/>
              <w:bottom w:val="single" w:color="000000" w:sz="4" w:space="0"/>
              <w:right w:val="single" w:color="000000" w:sz="4" w:space="0"/>
            </w:tcBorders>
            <w:vAlign w:val="center"/>
          </w:tcPr>
          <w:p w14:paraId="41B64E2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E62D5B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63C805E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AD390D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w:t>
            </w:r>
          </w:p>
        </w:tc>
        <w:tc>
          <w:tcPr>
            <w:tcW w:w="1035" w:type="dxa"/>
            <w:tcBorders>
              <w:top w:val="single" w:color="000000" w:sz="4" w:space="0"/>
              <w:left w:val="single" w:color="000000" w:sz="4" w:space="0"/>
              <w:bottom w:val="single" w:color="000000" w:sz="4" w:space="0"/>
              <w:right w:val="single" w:color="000000" w:sz="4" w:space="0"/>
            </w:tcBorders>
            <w:vAlign w:val="center"/>
          </w:tcPr>
          <w:p w14:paraId="3775075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平台信息安全系统</w:t>
            </w:r>
          </w:p>
        </w:tc>
        <w:tc>
          <w:tcPr>
            <w:tcW w:w="6176" w:type="dxa"/>
            <w:tcBorders>
              <w:top w:val="single" w:color="000000" w:sz="4" w:space="0"/>
              <w:left w:val="single" w:color="000000" w:sz="4" w:space="0"/>
              <w:bottom w:val="single" w:color="000000" w:sz="4" w:space="0"/>
              <w:right w:val="nil"/>
            </w:tcBorders>
            <w:vAlign w:val="center"/>
          </w:tcPr>
          <w:p w14:paraId="32DC0554">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C47F8DC">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699FA7F3">
            <w:pPr>
              <w:jc w:val="center"/>
              <w:rPr>
                <w:rFonts w:ascii="宋体" w:hAnsi="宋体" w:cs="宋体"/>
                <w:color w:val="auto"/>
                <w:szCs w:val="22"/>
                <w:highlight w:val="none"/>
              </w:rPr>
            </w:pPr>
          </w:p>
        </w:tc>
      </w:tr>
      <w:tr w14:paraId="2FDB81F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90FABF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3.6.1</w:t>
            </w:r>
          </w:p>
        </w:tc>
        <w:tc>
          <w:tcPr>
            <w:tcW w:w="1035" w:type="dxa"/>
            <w:tcBorders>
              <w:top w:val="single" w:color="000000" w:sz="4" w:space="0"/>
              <w:left w:val="single" w:color="000000" w:sz="4" w:space="0"/>
              <w:bottom w:val="single" w:color="000000" w:sz="4" w:space="0"/>
              <w:right w:val="single" w:color="000000" w:sz="4" w:space="0"/>
            </w:tcBorders>
            <w:vAlign w:val="center"/>
          </w:tcPr>
          <w:p w14:paraId="0A8BE53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数据中心防火墙</w:t>
            </w:r>
          </w:p>
        </w:tc>
        <w:tc>
          <w:tcPr>
            <w:tcW w:w="6176" w:type="dxa"/>
            <w:tcBorders>
              <w:top w:val="single" w:color="000000" w:sz="4" w:space="0"/>
              <w:left w:val="single" w:color="000000" w:sz="4" w:space="0"/>
              <w:bottom w:val="single" w:color="000000" w:sz="4" w:space="0"/>
              <w:right w:val="single" w:color="000000" w:sz="4" w:space="0"/>
            </w:tcBorders>
            <w:vAlign w:val="center"/>
          </w:tcPr>
          <w:p w14:paraId="13816B2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1. 非X86多核架构，2U机架式设备，具备可插拔冗余电源模块；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▲2.单台至少配置16个千兆电口，4个Combo口，4个千兆光口，6个万兆光口，1个管理口，1个Console口，2个USB接口，具备≥2个接口扩展卡插槽；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支持SSD硬盘不小于480G，HDD硬盘不小于500G；</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▲4.配置3年AV 防病毒安全、3年IPS 特征库升级授权函。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▲1.性能：应用层吞吐量≥8Gbps，网络层吞吐量≥22Gbps，最大并发连接数≥500万，每秒新建连接数≥10万，SSL VPN并发用户不低于4000，IPSec VPN隧道数不少于3000；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支持路由模式、透明（网桥）模式、混合模式部署；</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NAT地址池支持动态探测和可用地址分配；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支持IPsec VPN智能选路，根据隧道质量调度流量；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支持策略风险调优，支持安全策略优化分析，支持策略数冗余及命中分析，支持基于应用风险的策略调优，根据流量、应用、风险类型等细粒度展示；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支持多用户共享上网行为管理；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支持DNS透明代理功能，基于负载均衡算法代理内网用户进行DNS请求转发，避免单运营商DNS解析出现单一链路流量过载，平衡多条运营商线路的带宽利用率；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支持流量自学习功能，设置自学习时间，自动生成DDoS防范策略；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支持网页诊断功能，用于当内网用户访问网页出现故障时，对网络进行基本的诊断，并给出故障原因；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设备支持虚拟防火墙功能：支持虚拟防火墙的创建、启动、关闭、删除功能；独立分配CPU、接口、吞吐量、内存、磁盘空间等资源；支持2台设备堆叠成一台设备使用，实现统一管理，统一配置，设备支持高可靠性（包含主备/主主模式）部署；</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395209B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3E2116C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4320FF5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5E273B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3.6.2</w:t>
            </w:r>
          </w:p>
        </w:tc>
        <w:tc>
          <w:tcPr>
            <w:tcW w:w="1035" w:type="dxa"/>
            <w:tcBorders>
              <w:top w:val="single" w:color="000000" w:sz="4" w:space="0"/>
              <w:left w:val="single" w:color="000000" w:sz="4" w:space="0"/>
              <w:bottom w:val="single" w:color="000000" w:sz="4" w:space="0"/>
              <w:right w:val="single" w:color="000000" w:sz="4" w:space="0"/>
            </w:tcBorders>
            <w:vAlign w:val="center"/>
          </w:tcPr>
          <w:p w14:paraId="7663046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出口防火墙</w:t>
            </w:r>
          </w:p>
        </w:tc>
        <w:tc>
          <w:tcPr>
            <w:tcW w:w="6176" w:type="dxa"/>
            <w:tcBorders>
              <w:top w:val="single" w:color="000000" w:sz="4" w:space="0"/>
              <w:left w:val="single" w:color="000000" w:sz="4" w:space="0"/>
              <w:bottom w:val="single" w:color="000000" w:sz="4" w:space="0"/>
              <w:right w:val="single" w:color="000000" w:sz="4" w:space="0"/>
            </w:tcBorders>
            <w:vAlign w:val="center"/>
          </w:tcPr>
          <w:p w14:paraId="46CA6DA8">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1. 非X86多核架构，2U机架式设备，具备可插拔冗余电源模块；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▲2.单台至少配置16个千兆电口，4个Combo口，4个千兆光口，6个万兆光口，1个管理口，1个Console口，2个USB接口，具备≥2个接口扩展卡插槽；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支持SSD硬盘不小于480G，HDD硬盘不小于500G；</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▲4.配置3年AV 防病毒安全、3年IPS 特征库升级授权函。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▲1.性能：应用层吞吐量≥8Gbps，网络层吞吐量≥22Gbps，最大并发连接数≥500万，每秒新建连接数≥10万，SSL VPN并发用户不低于4000，IPSec VPN隧道数不少于3000；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支持路由模式、透明（网桥）模式、混合模式部署；</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NAT地址池支持动态探测和可用地址分配；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支持IPsec VPN智能选路，根据隧道质量调度流量；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支持策略风险调优，支持安全策略优化分析，支持策略数冗余及命中分析，支持基于应用风险的策略调优，可根据流量、应用、风险类型等细粒度展示；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支持多用户共享上网行为管理；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支持DNS透明代理功能，基于负载均衡算法代理内网用户进行DNS请求转发，避免单运营商DNS解析出现单一链路流量过载，平衡多条运营商线路的带宽利用率；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支持流量自学习功能，设置自学习时间，自动生成DDoS防范策略；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支持网页诊断功能，用于当内网用户访问网页出现故障时，对网络进行基本的诊断，并给出故障原因；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设备须支持虚拟防火墙功能：支持虚拟防火墙的创建、启动、关闭、删除等功能；可独立分配CPU、接口、吞吐量、内存、磁盘空间等资源；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58ED16E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288E8EB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C78F8D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B82DB7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3.6.3</w:t>
            </w:r>
          </w:p>
        </w:tc>
        <w:tc>
          <w:tcPr>
            <w:tcW w:w="1035" w:type="dxa"/>
            <w:tcBorders>
              <w:top w:val="single" w:color="000000" w:sz="4" w:space="0"/>
              <w:left w:val="single" w:color="000000" w:sz="4" w:space="0"/>
              <w:bottom w:val="single" w:color="000000" w:sz="4" w:space="0"/>
              <w:right w:val="single" w:color="000000" w:sz="4" w:space="0"/>
            </w:tcBorders>
            <w:vAlign w:val="center"/>
          </w:tcPr>
          <w:p w14:paraId="08A3469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上网行为管理</w:t>
            </w:r>
          </w:p>
        </w:tc>
        <w:tc>
          <w:tcPr>
            <w:tcW w:w="6176" w:type="dxa"/>
            <w:tcBorders>
              <w:top w:val="single" w:color="000000" w:sz="4" w:space="0"/>
              <w:left w:val="single" w:color="000000" w:sz="4" w:space="0"/>
              <w:bottom w:val="single" w:color="000000" w:sz="4" w:space="0"/>
              <w:right w:val="single" w:color="000000" w:sz="4" w:space="0"/>
            </w:tcBorders>
            <w:vAlign w:val="center"/>
          </w:tcPr>
          <w:p w14:paraId="2341E372">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1. 非X86多核架构，2U机架式设备，功能采用模块化结构设计；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▲2.配置≥12个千兆电口，≥12个千兆光口，1个管理口；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内置存储硬盘≥2T，扩展插槽≥1，双电源；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▲4.配置3年特征库升级授权。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▲1.性能：三层吞吐量≥10Gbps，七层吞吐量≥6Gbps；行为审计&amp;应用控制适用终端规模≥9000台；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支持路由模式、透明（网桥）模式、混合模式，支持镜像接口，部署模式切换无需重启设备；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支持全局WAB攻击防护分析，按趋势图呈现攻击次数，攻击类型分部、被攻击TOPURL，支持基于防护策略的精准访问控制匹配次数、防盗链、SCRF、CC攻击防护统计等；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支持分析冗余策略、隐藏策略、冲突策略、可合并策略、空策略、过期策略；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支持针对特定无应用指纹的应用：迅雷、P2P下载支持行为模式的智能识别；</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支持自定义关键字对象，提供基于关键的邮件、http等相关内容的关键字过滤功能；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即时通讯类审计支持IM聊天行为审计、网页版微信审计、移动飞信审计、其他即时通讯类软件审计等细粒度的审计；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支持日流量限额、时长限额，超过阈值提供弹窗提示且可自定义，支持流量和时长的月限额；</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支持服务器非法外联管控，并支持服务器外联白名单地址自学习，可手工添加服务器合法外联地址；</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详细展示攻击源、归属地、攻击级别、攻击次数、开始结束时间，并支持将攻击IP加入黑名单；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●11.内置2.4寸彩色液晶屏，具备触碰按钮；可显示版本号、CPU利用率、内存利用率、设备名称、管理IP等信息。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2F8B2E0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031D5F6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024387B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03D0D8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3.6.4</w:t>
            </w:r>
          </w:p>
        </w:tc>
        <w:tc>
          <w:tcPr>
            <w:tcW w:w="1035" w:type="dxa"/>
            <w:tcBorders>
              <w:top w:val="single" w:color="000000" w:sz="4" w:space="0"/>
              <w:left w:val="single" w:color="000000" w:sz="4" w:space="0"/>
              <w:bottom w:val="single" w:color="000000" w:sz="4" w:space="0"/>
              <w:right w:val="single" w:color="000000" w:sz="4" w:space="0"/>
            </w:tcBorders>
            <w:vAlign w:val="center"/>
          </w:tcPr>
          <w:p w14:paraId="32265A5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WEB应用防火墙</w:t>
            </w:r>
          </w:p>
        </w:tc>
        <w:tc>
          <w:tcPr>
            <w:tcW w:w="6176" w:type="dxa"/>
            <w:tcBorders>
              <w:top w:val="single" w:color="000000" w:sz="4" w:space="0"/>
              <w:left w:val="single" w:color="000000" w:sz="4" w:space="0"/>
              <w:bottom w:val="single" w:color="000000" w:sz="4" w:space="0"/>
              <w:right w:val="single" w:color="000000" w:sz="4" w:space="0"/>
            </w:tcBorders>
            <w:vAlign w:val="center"/>
          </w:tcPr>
          <w:p w14:paraId="6C0807BB">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1、支持≥1U机架式硬件架构；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▲2、≥1T硬盘，≥2个以太网千兆管理接口，≥4个千兆电口（2组Bypass),≥1个接口扩展槽位；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3、应用层吞吐量≥300Mbps，HTTP并发连接数≥20万、HTTP每秒新建连接数≥6000；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▲4、配置≥3年特征库升级授权，保护网站站点数量无限制。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1.支持透明流模式、透明代理模式、反向代理模式、路由牵引模式、镜像检测模式及镜像阻断模式等部署模式；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2.支持注入攻击防护、CC攻击防护、跨站脚本攻击防护、爬虫攻击防护、恶意软件防护等多种防护能力；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3.支持web漏洞扫描、弱密码检测、黑白名单等多种高级防护能力，内置网页防篡改客户端及管理能力，能够对实时态势进行检测以及进行网站一键断网，支持支持IPv4、IPv6双栈防护；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4.支持产品页面一键断网（禁止访问）功能，在特殊情况下，实现对特定网站的快速下线；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5.支持防护资产安全状态展示，可针对资产的TCP,UDP,ICMP/ICMP6,RAW-IP,HTTP,DNS等数据进行统计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6.支持攻击态势大屏实时展示，可通过产品自带的实时态势监测模块进行攻击态势地图展示，包含对源地址、源地域、目标资产、安全防护攻击类型、攻击趋势、HTTP并发请求及实时事件的动画统计；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7.支持Web业务控制防御功能，提供内网代理的防护功能；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8.支持人机识别功能，可针对暴力破解等自动化攻击进行有效防护；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349B5CD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349955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F2BDC5E">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A74D21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3.6.5</w:t>
            </w:r>
          </w:p>
        </w:tc>
        <w:tc>
          <w:tcPr>
            <w:tcW w:w="1035" w:type="dxa"/>
            <w:tcBorders>
              <w:top w:val="single" w:color="000000" w:sz="4" w:space="0"/>
              <w:left w:val="single" w:color="000000" w:sz="4" w:space="0"/>
              <w:bottom w:val="single" w:color="000000" w:sz="4" w:space="0"/>
              <w:right w:val="single" w:color="000000" w:sz="4" w:space="0"/>
            </w:tcBorders>
            <w:vAlign w:val="center"/>
          </w:tcPr>
          <w:p w14:paraId="25E190B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安全管理区防火墙</w:t>
            </w:r>
          </w:p>
        </w:tc>
        <w:tc>
          <w:tcPr>
            <w:tcW w:w="6176" w:type="dxa"/>
            <w:tcBorders>
              <w:top w:val="single" w:color="000000" w:sz="4" w:space="0"/>
              <w:left w:val="single" w:color="000000" w:sz="4" w:space="0"/>
              <w:bottom w:val="single" w:color="000000" w:sz="4" w:space="0"/>
              <w:right w:val="single" w:color="000000" w:sz="4" w:space="0"/>
            </w:tcBorders>
            <w:vAlign w:val="center"/>
          </w:tcPr>
          <w:p w14:paraId="76FAFD11">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▲1.非X86多核架构，支持≥1U机架式设备，≥8个千兆电口，≥2对Combo口（含1个管理电口），≥2个Bypass口，≥1个Console口，≥2个USB口，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▲2.配置3年AV 防病毒安全、3年IPS 特征库升级授权函。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▲1.性能：应用层吞吐量≥800Mbps，网络层吞吐量≥3.5Gbps，并发连接数≥80万，每秒新建连接数（HTTP）≥1.5万；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支持路由模式、透明（网桥）模式、混合模式部署；</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NAT地址池支持动态探测和可用地址分配；</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支持IPsec VPN智能选路，根据隧道质量调度流量；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支持策略风险调优，支持安全策略优化分析，支持策略数冗余及命中分析，支持基于应用风险的策略调优，可根据流量、应用、风险类型等细粒度展示；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支持多用户共享上网行为管理；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支持DNS透明代理功能，可基于负载均衡算法代理内网用户进行DNS请求转发，避免单运营商DNS解析出现单一链路流量过载，平衡多条运营商线路的带宽利用率；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支持流量自学习功能，设置自学习时间，自动生成DDoS防范策略；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支持网页诊断功能，用于当内网用户访问网页出现故障时，对网络进行基本的诊断，并给出故障原因；</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支持虚拟防火墙功能：支持虚拟防火墙的创建、启动、关闭、删除等功能，独立分配CPU、接口、吞吐量、内存、磁盘空间等资源；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67DDAC2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F0092A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176BF8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CAF46F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3.6.6</w:t>
            </w:r>
          </w:p>
        </w:tc>
        <w:tc>
          <w:tcPr>
            <w:tcW w:w="1035" w:type="dxa"/>
            <w:tcBorders>
              <w:top w:val="single" w:color="000000" w:sz="4" w:space="0"/>
              <w:left w:val="single" w:color="000000" w:sz="4" w:space="0"/>
              <w:bottom w:val="single" w:color="000000" w:sz="4" w:space="0"/>
              <w:right w:val="single" w:color="000000" w:sz="4" w:space="0"/>
            </w:tcBorders>
            <w:vAlign w:val="center"/>
          </w:tcPr>
          <w:p w14:paraId="1CF85ED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数据库审计系统</w:t>
            </w:r>
          </w:p>
        </w:tc>
        <w:tc>
          <w:tcPr>
            <w:tcW w:w="6176" w:type="dxa"/>
            <w:tcBorders>
              <w:top w:val="single" w:color="000000" w:sz="4" w:space="0"/>
              <w:left w:val="single" w:color="000000" w:sz="4" w:space="0"/>
              <w:bottom w:val="single" w:color="000000" w:sz="4" w:space="0"/>
              <w:right w:val="single" w:color="000000" w:sz="4" w:space="0"/>
            </w:tcBorders>
            <w:vAlign w:val="center"/>
          </w:tcPr>
          <w:p w14:paraId="11B3E23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支持≥1U高机架式硬件架构，支持双电源，4G内存，2T硬盘；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▲2.支持2个管理接口，业务接口不少于4个以太网千兆电口，同时支持至少1个接口扩展槽位，具备至少8个及以太网千兆接口或4个万兆接口的扩展能力。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SQL峰值处理能力不低于3万条/秒，日志存储数量不低于4亿条，支持审计1个业务系统，可审计的业务系统数量支持扩展；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支持对系统全集和分量（模块）的配置信息，执行备份与还原，分量信息包括： SQL模版、报表任务、事件报表过滤规则、监听配置、事件定义、对象管理、客户端信息、敏感信息、事件响应、入侵检测规则、交换机信息、用户管理、数据归档参数、日志响应、集中管理平台配置、网络配置、管理主机、引擎相关配置、数据库相关配置，备份与还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支持极简升级，提供升级时长的预测，升级界面应包含升级提示、升级进度、涉及数据量、升级时间预测及升级过程日志信息；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与物理设备面板一一对应的网卡模拟展示，根据实际连线情况实时展示网卡当前状态，包含光/电口识别、网卡连通、数据收发、网卡信息等状态，并以水量方式展示网卡当前负载，且支持面板与表格模式切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支持基于SQL模板设置模板状态，过滤匹配该模板的语句，并根据以下条件查询模板信息：关键字查找模板、触发规则、状态，且可根据所需选择排序字段，同时支持SQL模版和关联的具体语句的相互跳转查看；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●6.支持因子监测功能，对数据库中突发增加的内容提供独立展示页面，因子内容包括：IP地址、应用程序名、计算机名、存储过程、数据库用户名、数据名、数据库主机；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支持普通查询、模糊查询、明细查询、词组查询、流水号查询五种匹配命中方式，叠加多种查询条件，查询结果支持多种格式导出。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090ACC2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A0A6CC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37152AF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C9741A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3.6.7</w:t>
            </w:r>
          </w:p>
        </w:tc>
        <w:tc>
          <w:tcPr>
            <w:tcW w:w="1035" w:type="dxa"/>
            <w:tcBorders>
              <w:top w:val="single" w:color="000000" w:sz="4" w:space="0"/>
              <w:left w:val="single" w:color="000000" w:sz="4" w:space="0"/>
              <w:bottom w:val="single" w:color="000000" w:sz="4" w:space="0"/>
              <w:right w:val="single" w:color="000000" w:sz="4" w:space="0"/>
            </w:tcBorders>
            <w:vAlign w:val="center"/>
          </w:tcPr>
          <w:p w14:paraId="319B2CB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运维审计系统（堡垒机）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2EC4D392">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支持≥1U高机架式硬件架构，支持冗余电源，8GB内存，4TB硬盘容量；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▲2.标准配置≥6个以太网千兆电口，支持≥1个接口扩展槽位，支持14个以太网千兆接口或4个万兆 接口的扩展能力。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▲1.性能：最大图形并发连接数300个，最大字符并发连接数800个，支持300个资产的管理能力，支持无限个资产管理的扩容能力；配置5个双因素认证动态口令卡；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支持Chrome、Firefox、IE、Safrai等主流浏览器，应用不依赖JAVA及Flash；</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支持基于动态令牌、国密动态令牌、USBKEY、手机软令牌的双因素认证功能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支持双因素组合认证，可以将两种认证方式自定义组合为全新的认证方式；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支持按不同属性对资产进行多级分类并自动生成树状结构的资源视图；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支持将一个实际资产/账号在系统中配置成多个资产/账号，并自动同步属性和配置；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支持动态权限管控，管理员可基于用户属性、设备属性、系统账号属性来创建弹性动态权限规则，只要满足相关属性的用户、设备、账号即会被自动赋予对应访问权限；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支持基于A/B角管理模式的双人复核，当用户登录到目标设备时，必须经过复核人的复核确认后才能正常操作当会话复核人发现操作存在风险，可实时暂停；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支持批量启动功能，一次性登录选择好的目标设备；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支持资源 、用户、操作三个维度审计智能检索，其中在操作检索层面，支持多关键字检索，检索结果直接定位到相关操作片段，并能将多个会话的操作片段进行一键合并和基于时间的操作排序重组；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在多个数据中心部署多站点部署模式，主站点设备的配置数据定期自动同步至备站点设备，当主站点设备出现故障时，由其他站点设备按顺序自动接管服务，以满足数据中心间的高冗余要求，实现异地运维管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2EC71E6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34E941E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82E894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14C4E4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3.6.8</w:t>
            </w:r>
          </w:p>
        </w:tc>
        <w:tc>
          <w:tcPr>
            <w:tcW w:w="1035" w:type="dxa"/>
            <w:tcBorders>
              <w:top w:val="single" w:color="000000" w:sz="4" w:space="0"/>
              <w:left w:val="single" w:color="000000" w:sz="4" w:space="0"/>
              <w:bottom w:val="single" w:color="000000" w:sz="4" w:space="0"/>
              <w:right w:val="single" w:color="000000" w:sz="4" w:space="0"/>
            </w:tcBorders>
            <w:vAlign w:val="center"/>
          </w:tcPr>
          <w:p w14:paraId="7333739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漏洞扫描系统</w:t>
            </w:r>
          </w:p>
        </w:tc>
        <w:tc>
          <w:tcPr>
            <w:tcW w:w="6176" w:type="dxa"/>
            <w:tcBorders>
              <w:top w:val="single" w:color="000000" w:sz="4" w:space="0"/>
              <w:left w:val="single" w:color="000000" w:sz="4" w:space="0"/>
              <w:bottom w:val="single" w:color="000000" w:sz="4" w:space="0"/>
              <w:right w:val="single" w:color="000000" w:sz="4" w:space="0"/>
            </w:tcBorders>
            <w:vAlign w:val="center"/>
          </w:tcPr>
          <w:p w14:paraId="04E248FF">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一、软硬件配置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支持≥1U高机架式硬件架构，8G内存，1T硬盘；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▲2.标准配置≥6个以太网千兆电口，支持≥1个接口扩展槽位，具备最大14个以太网千兆接口或4个万兆接口的可扩展能力；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▲配置三年漏洞库（含操作系统、数据库和WEB应用的漏洞规则库）升级授权函，含128个扫描IP数量授权。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▲1.最大可扫描1024个IP地址，系统漏扫并发任务数为6，单任务系统扫描最大并发扫描IP数为120，弱口令扫描并发任务数为1；</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支持多路扫描功能，设备所有网口均可用于扫描，支持同时对多个隔离子网进行扫描；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网络配置提供快速配置向导，支持快速部署上线；</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支持自适应网络扫描，根据网络状况自动控制发包速率，避免影响用户网络；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支持针对工控专用设备包括PLC、SCADA、DCS、工控专用网络设备的漏洞扫描，支持扫描的工控插件不少于300条；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支持目前主流协议和数据库弱口令检测，应包括：TELNET、FTP、SSH、POP3、SMB、SNMP、RDP、SMTP、Tomcat 、Oracle、REDIS、MySQL、PostgreSQL、MsSQL、DB2、MongoDB、Sybase 、Informix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支持漏洞数据高级检索及分析，支持按照目标IP或URL、操作系统、MAC地址、资产评分、漏洞等级、漏洞名称、漏洞类别、漏洞评分、开放端口查看漏洞分布情况，并将检索结果导出；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漏洞库支持在线升级、FTP方式升级、本地导入升级，在线升级支持设置周期自动升级时间，支持通过代理方式进行升级；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支持针对工控专用设备包括PLC、SCADA、DCS、工控专用网络设备的漏洞扫描，支持扫描的工控插件不少于300条；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10.支持检测的漏洞数大于65000条以上，涵盖漏洞标准包含CVE、CVSS、CNVD、CNNVD、CNCVE、Bugtraq6种，CVSS覆盖CVSS2和CVSS3版本；</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11.支持自带诊断工具，包含PING、WGET、端口探测、Tcpdump抓包、故障信息收集、一键诊断修复等工具。</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69ACFF9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FD795D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6FB6C1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E49C44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3.6.9</w:t>
            </w:r>
          </w:p>
        </w:tc>
        <w:tc>
          <w:tcPr>
            <w:tcW w:w="1035" w:type="dxa"/>
            <w:tcBorders>
              <w:top w:val="single" w:color="000000" w:sz="4" w:space="0"/>
              <w:left w:val="single" w:color="000000" w:sz="4" w:space="0"/>
              <w:bottom w:val="single" w:color="000000" w:sz="4" w:space="0"/>
              <w:right w:val="single" w:color="000000" w:sz="4" w:space="0"/>
            </w:tcBorders>
            <w:vAlign w:val="center"/>
          </w:tcPr>
          <w:p w14:paraId="0B37EBD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综合日志审计平台</w:t>
            </w:r>
          </w:p>
        </w:tc>
        <w:tc>
          <w:tcPr>
            <w:tcW w:w="6176" w:type="dxa"/>
            <w:tcBorders>
              <w:top w:val="single" w:color="000000" w:sz="4" w:space="0"/>
              <w:left w:val="single" w:color="000000" w:sz="4" w:space="0"/>
              <w:bottom w:val="single" w:color="000000" w:sz="4" w:space="0"/>
              <w:right w:val="single" w:color="000000" w:sz="4" w:space="0"/>
            </w:tcBorders>
            <w:vAlign w:val="center"/>
          </w:tcPr>
          <w:p w14:paraId="17989E66">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一、单台基本配置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▲1.≥6个千兆电口；≥2T硬盘容量，支持≥1个接口扩展槽位；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▲2.支持≥60个设备，可扩展至180个设备；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日志处理速率≥2000EPS，日志容量≥6亿条；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支持采集网络流量，解析协议不少于ICMP、AMQP、Cassandra、DNS、HTTP、Memcache、MySQL、PgSQL、TNS、Redis、Thrift、MongoDB、NFS、TDS、Sybase、Drda、Dameng、POP、SMTP、达梦等；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采集内容支持日志监控、文件监控（文件监控无需开启ftp、sftp协议）、网络包监控；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 xml:space="preserve">4. 对元数据进行重加工或扩展加工，通过正则匹配、OID映射等配置文件编写，上传至现有日志审计平台，直接实现数据的扩展兼容；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提供可视化关联分析规则编辑视图，可根据实际业务编辑关联分析规则，关联内容支持不少于资产、源地址、源端口、目的地址、目的端口、事件级别、关键词等信息；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支持自动生成主机访问关系图谱，关系图谱支持无限级延伸，支持点击业务主机节点自动绘制访问关系；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支持关系图谱搜索、过滤，支持自定义关系节点图标、支持基于节点下钻查看日志信息、查看和拓展该点关系图等；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对单位内的设备类型、应用类型、协议类型等信息为基础，梳理出设备、应用、协议等之间的访问关系，实时树立访问关系，结合不同类型梳理出正常使用访问操作，非正常授权使用操作；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支持根据内置事件类型，按照用户环境需求，定义无限级深度事件模型，绘制全网事件关联关系模型，提供基于模型而非特征的问题发现能力，辅助发现未知威胁；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满足单位萨班斯法案（SOX）中关于认证管理、账号管理、权限管理、操作管理、攻击管理、风险管理等相关要求事件统计；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支持在查询结果页面按照时间切片，以柱状图显示每个时间间隔内的日志数量，直接下钻查询，支持每一秒为一个时间隔；</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支持在资产列表页面，以环形图、饼状图形式对资产分组和类型进行统计，支持为一个IP分配多种业务类型，同时收取收集不同类型日志，并进行正确解析。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6906F8A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A3066A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15B6ECF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486B0C3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3.6.10</w:t>
            </w:r>
          </w:p>
        </w:tc>
        <w:tc>
          <w:tcPr>
            <w:tcW w:w="1035" w:type="dxa"/>
            <w:tcBorders>
              <w:top w:val="single" w:color="000000" w:sz="4" w:space="0"/>
              <w:left w:val="single" w:color="000000" w:sz="4" w:space="0"/>
              <w:bottom w:val="single" w:color="000000" w:sz="4" w:space="0"/>
              <w:right w:val="single" w:color="000000" w:sz="4" w:space="0"/>
            </w:tcBorders>
            <w:vAlign w:val="center"/>
          </w:tcPr>
          <w:p w14:paraId="34CA8AB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终端准入控制系统</w:t>
            </w:r>
          </w:p>
        </w:tc>
        <w:tc>
          <w:tcPr>
            <w:tcW w:w="6176" w:type="dxa"/>
            <w:tcBorders>
              <w:top w:val="single" w:color="000000" w:sz="4" w:space="0"/>
              <w:left w:val="single" w:color="000000" w:sz="4" w:space="0"/>
              <w:bottom w:val="single" w:color="000000" w:sz="4" w:space="0"/>
              <w:right w:val="single" w:color="000000" w:sz="4" w:space="0"/>
            </w:tcBorders>
            <w:vAlign w:val="center"/>
          </w:tcPr>
          <w:p w14:paraId="0CE9DF3C">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▲1.配置200个以上终端准入系统桌面管理授权；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通过自助平台进行预注册申请，管理员审核后即可开通用户帐号，用户可以通过自助平台对自己的用户信息进行管理，如查询、修改和密码设置等。支持访客自助管理，支持访客二维码审批，且支持访客账号自动过期自动回收、注销；</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在线查看用户状态及其所连接的网络设备信息，如用户接入的登录名称、登录设备IP、设备端口、终端信息、在线session信息、接入开始时长、接入持续时长、安全状态等，对非法用户可以执行发送消息、在线检查、强制下线、关闭端口等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提供多元素绑定认证能力：支持用户身份认证与用户IP、MAC、VLAN、QinQ双VLAN、接入设备IP、接入设备端口、接入设备序列号、主机名、域用户（包括信创操作系统域）、操作系统授权码、SSID、AD域、硬盘序列号、IMEI、IMSI、主板序列号等多种元素的绑定认证；支持第一次认证成功时自学习绑定多元素属性功能，可限定自动学习的个数，使单账号多个终端进行自动学习绑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5.Portal认证能力：支持纯Web认证和客户端Portal认证；支持EAP Over Portal认证；支持二次地址分配；支持Portal页面定制；支持IPV6纯Portal认证以及NAT环境下的Portal认证；基于不同的端口组、WLAN SSID、终端操作系统推出不同的认证页面；支持Web Portal页面可视化定制；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6.支持802.1x、Portal、L2TP IPSec VPN、SSL VPN、无线WAPI、IPoE、PPPoE等多种网络环境的准入认证。</w:t>
            </w:r>
          </w:p>
        </w:tc>
        <w:tc>
          <w:tcPr>
            <w:tcW w:w="754" w:type="dxa"/>
            <w:tcBorders>
              <w:top w:val="single" w:color="000000" w:sz="4" w:space="0"/>
              <w:left w:val="single" w:color="000000" w:sz="4" w:space="0"/>
              <w:bottom w:val="single" w:color="000000" w:sz="4" w:space="0"/>
              <w:right w:val="single" w:color="000000" w:sz="4" w:space="0"/>
            </w:tcBorders>
            <w:vAlign w:val="center"/>
          </w:tcPr>
          <w:p w14:paraId="56EE99C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268922B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7273944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43FCF8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3.6.11</w:t>
            </w:r>
          </w:p>
        </w:tc>
        <w:tc>
          <w:tcPr>
            <w:tcW w:w="1035" w:type="dxa"/>
            <w:tcBorders>
              <w:top w:val="single" w:color="000000" w:sz="4" w:space="0"/>
              <w:left w:val="single" w:color="000000" w:sz="4" w:space="0"/>
              <w:bottom w:val="single" w:color="000000" w:sz="4" w:space="0"/>
              <w:right w:val="single" w:color="000000" w:sz="4" w:space="0"/>
            </w:tcBorders>
            <w:vAlign w:val="center"/>
          </w:tcPr>
          <w:p w14:paraId="4088679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杀毒系统</w:t>
            </w:r>
          </w:p>
        </w:tc>
        <w:tc>
          <w:tcPr>
            <w:tcW w:w="6176" w:type="dxa"/>
            <w:tcBorders>
              <w:top w:val="single" w:color="000000" w:sz="4" w:space="0"/>
              <w:left w:val="single" w:color="000000" w:sz="4" w:space="0"/>
              <w:bottom w:val="single" w:color="000000" w:sz="4" w:space="0"/>
              <w:right w:val="single" w:color="000000" w:sz="4" w:space="0"/>
            </w:tcBorders>
            <w:vAlign w:val="center"/>
          </w:tcPr>
          <w:p w14:paraId="6CBCAED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1.配置3年200个window终端杀毒授权，Linux/Windows Server模块20节点3年授权函；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2.支持全盘扫描、快速扫描、自定义扫描、右键扫描、拖动扫描等多种扫描方式；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3.具备人工智能引擎，人工智能引擎支持PE/OFFICE/PDF常见文件类型威胁检测；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4.支持设置积极、均衡和谨慎三种工作模式;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5.支持ARP欺骗防御，支持网关和DNS绑定;</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6.人工智能引擎支持Windows/Linux/国产操作系统;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7.支持扫描过程中动态切换扫描速度，支持多核极速、多核高速、单核节能三种工作模式;</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8.支持采集终端基础信息，包括终端名称、IP地址（私有）、IP地址（公网）、MAC地址、健康状态、硬件架构、操作系统、组件等信息;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9.具备外设管控能力，支持对终端各种外设（USB存储、光驱、USB外置网卡、无线网卡、蓝牙、手机、平板等）、接口（USB接口、串口、并口、1394、PCMIA）设置使用权限，支持添加外设和端口黑白名单例外;</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10.支持对终端网络环境变化风险、恶意代码风险、漏洞风险、系统安全配置风险、应用环境风险、其它健康项进行实时和轮询安全评分;</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11.支持用户选择安装内网版本或SAAS多租户版本;</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12.支持信创终端与非信创终端统一集中管理。</w:t>
            </w:r>
          </w:p>
        </w:tc>
        <w:tc>
          <w:tcPr>
            <w:tcW w:w="754" w:type="dxa"/>
            <w:tcBorders>
              <w:top w:val="single" w:color="000000" w:sz="4" w:space="0"/>
              <w:left w:val="single" w:color="000000" w:sz="4" w:space="0"/>
              <w:bottom w:val="single" w:color="000000" w:sz="4" w:space="0"/>
              <w:right w:val="single" w:color="000000" w:sz="4" w:space="0"/>
            </w:tcBorders>
            <w:vAlign w:val="center"/>
          </w:tcPr>
          <w:p w14:paraId="5F91880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B3A305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套</w:t>
            </w:r>
          </w:p>
        </w:tc>
      </w:tr>
      <w:tr w14:paraId="0F8A919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283CD3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3.6.12</w:t>
            </w:r>
          </w:p>
        </w:tc>
        <w:tc>
          <w:tcPr>
            <w:tcW w:w="1035" w:type="dxa"/>
            <w:tcBorders>
              <w:top w:val="single" w:color="000000" w:sz="4" w:space="0"/>
              <w:left w:val="single" w:color="000000" w:sz="4" w:space="0"/>
              <w:bottom w:val="single" w:color="000000" w:sz="4" w:space="0"/>
              <w:right w:val="single" w:color="000000" w:sz="4" w:space="0"/>
            </w:tcBorders>
            <w:vAlign w:val="center"/>
          </w:tcPr>
          <w:p w14:paraId="13C75E2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态势感知</w:t>
            </w:r>
          </w:p>
        </w:tc>
        <w:tc>
          <w:tcPr>
            <w:tcW w:w="6176" w:type="dxa"/>
            <w:tcBorders>
              <w:top w:val="single" w:color="000000" w:sz="4" w:space="0"/>
              <w:left w:val="single" w:color="000000" w:sz="4" w:space="0"/>
              <w:bottom w:val="single" w:color="000000" w:sz="4" w:space="0"/>
              <w:right w:val="single" w:color="000000" w:sz="4" w:space="0"/>
            </w:tcBorders>
            <w:vAlign w:val="center"/>
          </w:tcPr>
          <w:p w14:paraId="508F2019">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▲1.采用软硬一体化架构，2颗≥8核 2.1GHz CPU，内存≥96G，≥18个可用内存扩展插槽；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硬盘≥ 2*600G SAS盘+2*4T SATA盘，≥10个可用硬盘插槽；内置独立Raid卡（2G缓存），配置冗余电源；</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配置4个千兆电口，≥6个扩展槽；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配置威胁情报3年更新升级授权函。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日志源接入数量为≥512个，事件入库性能≥5000条/秒；</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首页支持以24小时、7天、30天维度展示攻击阶段分布统计和安全事件分布统计；展示所有资产已统计的内网开放端口和互联网开放端口分布；综合概览首页支持定期报表（日、周、月报）查看和下载，并可操作直接跳转到报表管理模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具备多租户能力，在云化场景中，按照租户维度提供态势感知分析结果；支持同IP不同租户分开呈现，规避云化场景中地址重叠问题；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支持在首页主动威胁探测搜索框查询，可使用资产IP/资产名称/用户名称/情报IP/URL/域名/MD5进行快速风险搜索查询，帮助用户快速查找定位所关心的风险点；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支持对单个风险用户/资产遭受的安全事件溯源，支持以时间轴路径的形式展示威胁过程，展示出基于时间维度受攻击情况；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风险资产存在的脆弱性信息展示，包括脆弱性信息的分布统计，通过列表形式对单一风险资产存在的脆弱性信息进行展示，包括存在脆弱性问题的服务名、端口、服务发现时间、服务的开放范围、漏洞风险、配置风险、弱口令、风险访问；为保障信息安全，防止通过态势感知平台产生敏感信息泄露事件，弱口令功能模块支持隐藏采集到的弱口令账号和密码信息，如需查看，通过提供管理员密码进行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提供对应安全事件的建议处置方式，提供具体排查工具，具体升级补丁，防护策略等建议内容;支持自定义处置建议编辑，后续出现同样安全事件时，可自动显示编辑后的处置建议，帮助用户完善闭环处理；并支持修改记录留存，支持默认处置建议一键还原；</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平台支持NAT溯源功能，查找内网资产，查看相对应的安全风险，在此基础上支持查找相似行为主机；通过设置溯源时间、NAT转换源/目的IP、NAT转换源/目的端口进行自动化查询，实现溯源定位，同时关联相似行为主机；</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9. 支持响应处置联动，要求SOAR模块支持同品牌路由器、交换机、用户准入认证系统、无线控制器联动；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10. 支持不少于八大类的报表模板，包含综合安全风险报告、安全监测分析报告、安全事件报告、脆弱性统计分析报告、威胁统计分析报告、流量分析报告、恶意域名事件报告、终端统计分析报告；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 支持将日志FTP到备份服务器上，并且支持日志按时间范围从备份服务器一键恢复，无需手动导入，数据备份和恢复支持列表记录；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12. 对于多台漏扫设备进行同时管理，查看设备信息和设备在线离线状态；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13.为了全方位分析资产的安全状态，支持风险资产存在的脆弱性信息展示，包括脆弱性信息的分布统计，通过列表形式对单一风险资产存在的脆弱性信息进行展示，包括存在脆弱性问题的服务名、端口、服务发现时间、服务的开放范围、漏洞风险、配置风险、弱口令、风险访问；为保障信息安全，防止通过态势感知平台产生敏感信息泄露事件，弱口令功能模块支持隐藏采集到的弱口令账号和密码信息，如需查看，通过提供管理员密码进行控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11.包含实施、调试服务，配套设备的相关辅材1批及安装，配套辅材包括但不限于线材等。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4B53BFB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613B029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8AAB68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5727029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3.6.13</w:t>
            </w:r>
          </w:p>
        </w:tc>
        <w:tc>
          <w:tcPr>
            <w:tcW w:w="1035" w:type="dxa"/>
            <w:tcBorders>
              <w:top w:val="single" w:color="000000" w:sz="4" w:space="0"/>
              <w:left w:val="single" w:color="000000" w:sz="4" w:space="0"/>
              <w:bottom w:val="single" w:color="000000" w:sz="4" w:space="0"/>
              <w:right w:val="single" w:color="000000" w:sz="4" w:space="0"/>
            </w:tcBorders>
            <w:vAlign w:val="center"/>
          </w:tcPr>
          <w:p w14:paraId="676DFED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探针设备</w:t>
            </w:r>
          </w:p>
        </w:tc>
        <w:tc>
          <w:tcPr>
            <w:tcW w:w="6176" w:type="dxa"/>
            <w:tcBorders>
              <w:top w:val="single" w:color="000000" w:sz="4" w:space="0"/>
              <w:left w:val="single" w:color="000000" w:sz="4" w:space="0"/>
              <w:bottom w:val="single" w:color="000000" w:sz="4" w:space="0"/>
              <w:right w:val="single" w:color="000000" w:sz="4" w:space="0"/>
            </w:tcBorders>
            <w:vAlign w:val="center"/>
          </w:tcPr>
          <w:p w14:paraId="52D0B3B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一、单台配置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▲1.非X86架构，支持≥2U机架式设备，至少包含16个千兆电口、4对Combo口、6个千兆光口、2个万兆光口；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内存≥4G，配置冗余电源，可扩展500GB/1T HDD、480GB SSD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▲3.配置3年流量探针特征库升级授权。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 技术参数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 应用层性能不小于2Gbps；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 攻击特征库数量≥8500、病毒特征库数量≥600W、支持的协议识别数量≥5500、WEB攻击特征库≥3500；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 为了防止攻击者利用常见网络协议进行攻击，要求流量探针不仅能够识别P2P、IM、流媒体、网络社区、游戏等常见网络协议，协议至少包括迅雷、BT、电驴等多进程下载协议；支持暴风影音、百度视频、风行、芒果TV等P2P应用， 以及MSN、QQ、ICQ、Skype等IM应用，电影天堂、1905电影网、多米音乐、ESPN、华数TV等娱乐平台，而且能够对协议流量里的漏洞、恶意软件利用、传输文件等进行检测，给出风险级别判定结果；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 支持根据网络实际环境情况，自定义去构建特征,指定特征协议字段、匹配模式、匹配内容、检测深度、偏移量等内容；</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 基于应用协议识别对各类聊天软件进行详细审计，可审计应用类型（如QQ、微信），应用识别账号，应用行为（如登录、发送消息、接收消息）等；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 支持自定义应用审计规则，包括指定应用类别、应用名称、应用行为、行为内容、匹配类型、匹配关键字等；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 支持丰富的日志类型，包括威胁日志、应用审计日志、URL过滤日志、攻击防范日志、信誉日志、web防护日志、会话日志等；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 支持特征库的手动、自动升级，特征库升级后设备不重启即可生效。</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11.包含安装实施、调试服务，配套设备的相关辅材1批及安装，配套辅材包括但不限于光模块和线材等。</w:t>
            </w:r>
          </w:p>
        </w:tc>
        <w:tc>
          <w:tcPr>
            <w:tcW w:w="754" w:type="dxa"/>
            <w:tcBorders>
              <w:top w:val="single" w:color="000000" w:sz="4" w:space="0"/>
              <w:left w:val="single" w:color="000000" w:sz="4" w:space="0"/>
              <w:bottom w:val="single" w:color="000000" w:sz="4" w:space="0"/>
              <w:right w:val="single" w:color="000000" w:sz="4" w:space="0"/>
            </w:tcBorders>
            <w:vAlign w:val="center"/>
          </w:tcPr>
          <w:p w14:paraId="0146FDB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0F50892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13814A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92ADC4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3.6.14</w:t>
            </w:r>
          </w:p>
        </w:tc>
        <w:tc>
          <w:tcPr>
            <w:tcW w:w="1035" w:type="dxa"/>
            <w:tcBorders>
              <w:top w:val="single" w:color="000000" w:sz="4" w:space="0"/>
              <w:left w:val="single" w:color="000000" w:sz="4" w:space="0"/>
              <w:bottom w:val="single" w:color="000000" w:sz="4" w:space="0"/>
              <w:right w:val="single" w:color="000000" w:sz="4" w:space="0"/>
            </w:tcBorders>
            <w:vAlign w:val="center"/>
          </w:tcPr>
          <w:p w14:paraId="0F6B519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安全服务</w:t>
            </w:r>
          </w:p>
        </w:tc>
        <w:tc>
          <w:tcPr>
            <w:tcW w:w="6176" w:type="dxa"/>
            <w:tcBorders>
              <w:top w:val="single" w:color="000000" w:sz="4" w:space="0"/>
              <w:left w:val="single" w:color="000000" w:sz="4" w:space="0"/>
              <w:bottom w:val="single" w:color="000000" w:sz="4" w:space="0"/>
              <w:right w:val="single" w:color="000000" w:sz="4" w:space="0"/>
            </w:tcBorders>
            <w:vAlign w:val="center"/>
          </w:tcPr>
          <w:p w14:paraId="52F37BCD">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服务期内提供以下安全服务：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1.每个季度提供一次安全威胁分析，通过态势感知平台、漏洞扫描系统等安全设备分析当季网络安全受到的攻击以及存在的漏洞，提供处置和调优建议，并输出《季度威胁分析报告》。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在发生安全事件或出现重大安全漏洞时，专业安全服务人员在第一时间提供技术支持（提供7×24小时的电话技术支持，7×24小时的远程技术支持,15分钟内响应；7×24小时的现场技术支持，并安排原厂家工程师2小时内到现场对接处理），了解事件或事故现象，初步分析原因，提供解决方案并协助事件解决。响应服务完成后，应提供详细的处理报告，内容包括：事故原因分析、已造成的影响、处理办法、处理结果、预防以及改进建议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每季度做一次安全体系策略优化：针对安全运营管理平台和安全设备，维保期内提供持续的安全策略优化服务，提高检测的覆盖度、准确度及安全事件检测效率；针对性的提供安全策略调优服务，如弱口令扫描、漏洞扫描、关闭非业务需要端口等等。</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每个半年末对医院信息安全系统及安全设备进行巡检，通过报警及错误信息分析、运行日志分析、设备管理后台查看等手段进行全面检查，评估和风险分析，提交完整的半年度巡检报告，提出整改方案和建议。运维团队应提供一个半年一次的安全系统运行健康检查，对整个安全系统性能进行诊断，根据结果出具性能诊断报告，并征得用户同意后调整系统参数，使安全系统始终在最佳状态下运行。</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提供安全设备及安全相关服务咨询等，提供7×24小时的电话技术支持，7×24小时的远程技术支持,15分钟内响应；7×24小时的现场技术支持，并安排原厂家工程师2小时内到现场对接处理。当出现安全事件时，通过厂商指定的技术响应电话进行安全事件反馈，优先通过电话指导的方式进行安全事件处理，电话指导不能解决的安全事件再立即去现场解决。</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提供应急演练及应急事件保障服务，根据采购单位要求，配合采购单位组织应急演练（每年一次以上）。如下：中标供应商应根据采购单位申报的安全事件级别，采取对应的且经采购单位同意的处置措施，如远程技术支持、现场技术支持等尽快修复故障，恢复信息网络系统的正常运行。</w:t>
            </w:r>
          </w:p>
        </w:tc>
        <w:tc>
          <w:tcPr>
            <w:tcW w:w="754" w:type="dxa"/>
            <w:tcBorders>
              <w:top w:val="single" w:color="000000" w:sz="4" w:space="0"/>
              <w:left w:val="single" w:color="000000" w:sz="4" w:space="0"/>
              <w:bottom w:val="single" w:color="000000" w:sz="4" w:space="0"/>
              <w:right w:val="single" w:color="000000" w:sz="4" w:space="0"/>
            </w:tcBorders>
            <w:vAlign w:val="center"/>
          </w:tcPr>
          <w:p w14:paraId="67218370">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w:t>
            </w:r>
          </w:p>
        </w:tc>
        <w:tc>
          <w:tcPr>
            <w:tcW w:w="660" w:type="dxa"/>
            <w:tcBorders>
              <w:top w:val="single" w:color="000000" w:sz="4" w:space="0"/>
              <w:left w:val="single" w:color="000000" w:sz="4" w:space="0"/>
              <w:bottom w:val="single" w:color="000000" w:sz="4" w:space="0"/>
              <w:right w:val="single" w:color="000000" w:sz="4" w:space="0"/>
            </w:tcBorders>
            <w:vAlign w:val="center"/>
          </w:tcPr>
          <w:p w14:paraId="61B6031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年</w:t>
            </w:r>
          </w:p>
        </w:tc>
      </w:tr>
      <w:tr w14:paraId="07BDCF2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D1FFD9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3.7</w:t>
            </w:r>
          </w:p>
        </w:tc>
        <w:tc>
          <w:tcPr>
            <w:tcW w:w="1035" w:type="dxa"/>
            <w:tcBorders>
              <w:top w:val="single" w:color="000000" w:sz="4" w:space="0"/>
              <w:left w:val="single" w:color="000000" w:sz="4" w:space="0"/>
              <w:bottom w:val="single" w:color="000000" w:sz="4" w:space="0"/>
              <w:right w:val="single" w:color="000000" w:sz="4" w:space="0"/>
            </w:tcBorders>
            <w:vAlign w:val="center"/>
          </w:tcPr>
          <w:p w14:paraId="2DA45CB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消防工作站平台</w:t>
            </w:r>
          </w:p>
        </w:tc>
        <w:tc>
          <w:tcPr>
            <w:tcW w:w="6176" w:type="dxa"/>
            <w:tcBorders>
              <w:top w:val="single" w:color="000000" w:sz="4" w:space="0"/>
              <w:left w:val="single" w:color="000000" w:sz="4" w:space="0"/>
              <w:bottom w:val="single" w:color="000000" w:sz="4" w:space="0"/>
              <w:right w:val="single" w:color="000000" w:sz="4" w:space="0"/>
            </w:tcBorders>
            <w:vAlign w:val="center"/>
          </w:tcPr>
          <w:p w14:paraId="6650014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消防工作站平台提供报警中心、重大危险源监控、园区视频监控、消防设施监测等功能模块，全面提升园区消防能力。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一、报警中心</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1、支持物联报警功能；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2、支持AI报警信息查询；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3、支持报警信息与视频联动；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4、历史物联数据查询；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5、趋势图表查询；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6、AI报警信息详情查询；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二、重大危险源监控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1、支持回放，显示设备在线离线功能；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2、支持实时查看功能；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3、支持视频详情分屏切换；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4、汇聚物联监测设备采集的实时的监测值信息；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5、显示24小时监测值折线图；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6、汇聚信息，支持条件搜索。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三、园区视频监控</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1、支持回放，显示设备在线离线功能；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2、支持实时查看功能；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3、支持视频详情分屏切换；</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4、支持云台控制操作；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5、显示公共区域视频设备所在位置；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6、支持实时查看功能；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7、支持回放功能；</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8、支持云台控制操作；</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四、消防设施监测</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1、提供树形视图与一张图视图查询园区内公用工程中水监测的物联监测数据；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2、汇聚监测设备采集的实时的监测值信息；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3、显示24小时监测值折线图；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4、显示消防设施所在位置；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5、显示实时监测数据。</w:t>
            </w:r>
          </w:p>
        </w:tc>
        <w:tc>
          <w:tcPr>
            <w:tcW w:w="754" w:type="dxa"/>
            <w:tcBorders>
              <w:top w:val="single" w:color="000000" w:sz="4" w:space="0"/>
              <w:left w:val="single" w:color="000000" w:sz="4" w:space="0"/>
              <w:bottom w:val="single" w:color="000000" w:sz="4" w:space="0"/>
              <w:right w:val="single" w:color="000000" w:sz="4" w:space="0"/>
            </w:tcBorders>
            <w:vAlign w:val="center"/>
          </w:tcPr>
          <w:p w14:paraId="73DF6CB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CF35B0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55F8C58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0007DE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w:t>
            </w:r>
          </w:p>
        </w:tc>
        <w:tc>
          <w:tcPr>
            <w:tcW w:w="1035" w:type="dxa"/>
            <w:tcBorders>
              <w:top w:val="single" w:color="000000" w:sz="4" w:space="0"/>
              <w:left w:val="single" w:color="000000" w:sz="4" w:space="0"/>
              <w:bottom w:val="single" w:color="000000" w:sz="4" w:space="0"/>
              <w:right w:val="single" w:color="000000" w:sz="4" w:space="0"/>
            </w:tcBorders>
            <w:vAlign w:val="center"/>
          </w:tcPr>
          <w:p w14:paraId="532FC4E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密码应用设备</w:t>
            </w:r>
          </w:p>
        </w:tc>
        <w:tc>
          <w:tcPr>
            <w:tcW w:w="6176" w:type="dxa"/>
            <w:tcBorders>
              <w:top w:val="single" w:color="000000" w:sz="4" w:space="0"/>
              <w:left w:val="single" w:color="000000" w:sz="4" w:space="0"/>
              <w:bottom w:val="single" w:color="000000" w:sz="4" w:space="0"/>
              <w:right w:val="nil"/>
            </w:tcBorders>
            <w:vAlign w:val="center"/>
          </w:tcPr>
          <w:p w14:paraId="08ED8574">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4D6EA809">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802600B">
            <w:pPr>
              <w:jc w:val="center"/>
              <w:rPr>
                <w:rFonts w:ascii="宋体" w:hAnsi="宋体" w:cs="宋体"/>
                <w:color w:val="auto"/>
                <w:szCs w:val="22"/>
                <w:highlight w:val="none"/>
              </w:rPr>
            </w:pPr>
          </w:p>
        </w:tc>
      </w:tr>
      <w:tr w14:paraId="7253B9A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780F0B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w:t>
            </w:r>
          </w:p>
        </w:tc>
        <w:tc>
          <w:tcPr>
            <w:tcW w:w="1035" w:type="dxa"/>
            <w:tcBorders>
              <w:top w:val="single" w:color="000000" w:sz="4" w:space="0"/>
              <w:left w:val="single" w:color="000000" w:sz="4" w:space="0"/>
              <w:bottom w:val="single" w:color="000000" w:sz="4" w:space="0"/>
              <w:right w:val="single" w:color="000000" w:sz="4" w:space="0"/>
            </w:tcBorders>
            <w:vAlign w:val="center"/>
          </w:tcPr>
          <w:p w14:paraId="476459E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安全门禁系统</w:t>
            </w:r>
          </w:p>
        </w:tc>
        <w:tc>
          <w:tcPr>
            <w:tcW w:w="6176" w:type="dxa"/>
            <w:tcBorders>
              <w:top w:val="single" w:color="000000" w:sz="4" w:space="0"/>
              <w:left w:val="single" w:color="000000" w:sz="4" w:space="0"/>
              <w:bottom w:val="single" w:color="000000" w:sz="4" w:space="0"/>
              <w:right w:val="nil"/>
            </w:tcBorders>
            <w:vAlign w:val="center"/>
          </w:tcPr>
          <w:p w14:paraId="169FD3C1">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2A3633B4">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711586C">
            <w:pPr>
              <w:jc w:val="center"/>
              <w:rPr>
                <w:rFonts w:ascii="宋体" w:hAnsi="宋体" w:cs="宋体"/>
                <w:color w:val="auto"/>
                <w:szCs w:val="22"/>
                <w:highlight w:val="none"/>
              </w:rPr>
            </w:pPr>
          </w:p>
        </w:tc>
      </w:tr>
      <w:tr w14:paraId="3705D8C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561989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3.8.1.1</w:t>
            </w:r>
          </w:p>
        </w:tc>
        <w:tc>
          <w:tcPr>
            <w:tcW w:w="1035" w:type="dxa"/>
            <w:tcBorders>
              <w:top w:val="single" w:color="000000" w:sz="4" w:space="0"/>
              <w:left w:val="single" w:color="000000" w:sz="4" w:space="0"/>
              <w:bottom w:val="single" w:color="000000" w:sz="4" w:space="0"/>
              <w:right w:val="single" w:color="000000" w:sz="4" w:space="0"/>
            </w:tcBorders>
            <w:vAlign w:val="center"/>
          </w:tcPr>
          <w:p w14:paraId="544820B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门禁机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2395CE40">
            <w:pPr>
              <w:pStyle w:val="59"/>
              <w:jc w:val="left"/>
              <w:rPr>
                <w:color w:val="auto"/>
                <w:highlight w:val="none"/>
              </w:rPr>
            </w:pPr>
            <w:r>
              <w:rPr>
                <w:rFonts w:hint="eastAsia" w:ascii="宋体" w:hAnsi="宋体" w:eastAsia="宋体" w:cs="宋体"/>
                <w:b w:val="0"/>
                <w:bCs/>
                <w:color w:val="auto"/>
                <w:highlight w:val="none"/>
              </w:rPr>
              <w:t>内置双目近红外摄像头；支持人脸识别加刷卡双认证开门方式；显示屏≥ 7寸；分辨率 1024*600；人脸比对速度 白天＜500ms 夜间＜900ms；人脸特征值存储容量≤3000条；CPU卡存储容量≤3000条；内置国密安全芯片；防水等级≥IP54</w:t>
            </w:r>
          </w:p>
        </w:tc>
        <w:tc>
          <w:tcPr>
            <w:tcW w:w="754" w:type="dxa"/>
            <w:tcBorders>
              <w:top w:val="single" w:color="000000" w:sz="4" w:space="0"/>
              <w:left w:val="single" w:color="000000" w:sz="4" w:space="0"/>
              <w:bottom w:val="single" w:color="000000" w:sz="4" w:space="0"/>
              <w:right w:val="single" w:color="000000" w:sz="4" w:space="0"/>
            </w:tcBorders>
            <w:vAlign w:val="center"/>
          </w:tcPr>
          <w:p w14:paraId="48797C3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058EC1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7ACAF60">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EAD4E1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3.8.1.2</w:t>
            </w:r>
          </w:p>
        </w:tc>
        <w:tc>
          <w:tcPr>
            <w:tcW w:w="1035" w:type="dxa"/>
            <w:tcBorders>
              <w:top w:val="single" w:color="000000" w:sz="4" w:space="0"/>
              <w:left w:val="single" w:color="000000" w:sz="4" w:space="0"/>
              <w:bottom w:val="single" w:color="000000" w:sz="4" w:space="0"/>
              <w:right w:val="single" w:color="000000" w:sz="4" w:space="0"/>
            </w:tcBorders>
            <w:vAlign w:val="center"/>
          </w:tcPr>
          <w:p w14:paraId="1605005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门禁卡</w:t>
            </w:r>
          </w:p>
        </w:tc>
        <w:tc>
          <w:tcPr>
            <w:tcW w:w="6176" w:type="dxa"/>
            <w:tcBorders>
              <w:top w:val="single" w:color="000000" w:sz="4" w:space="0"/>
              <w:left w:val="single" w:color="000000" w:sz="4" w:space="0"/>
              <w:bottom w:val="single" w:color="000000" w:sz="4" w:space="0"/>
              <w:right w:val="single" w:color="000000" w:sz="4" w:space="0"/>
            </w:tcBorders>
            <w:vAlign w:val="center"/>
          </w:tcPr>
          <w:p w14:paraId="6846D52C">
            <w:pPr>
              <w:widowControl/>
              <w:textAlignment w:val="center"/>
              <w:rPr>
                <w:color w:val="auto"/>
                <w:highlight w:val="none"/>
              </w:rPr>
            </w:pPr>
            <w:r>
              <w:rPr>
                <w:rFonts w:hint="eastAsia" w:ascii="宋体" w:hAnsi="宋体" w:cs="宋体"/>
                <w:color w:val="auto"/>
                <w:kern w:val="0"/>
                <w:szCs w:val="22"/>
                <w:highlight w:val="none"/>
                <w:lang w:bidi="ar"/>
              </w:rPr>
              <w:t>发卡时间&lt;1s；运算速度＞1.73Mbps；内置国密安全芯片</w:t>
            </w:r>
          </w:p>
        </w:tc>
        <w:tc>
          <w:tcPr>
            <w:tcW w:w="754" w:type="dxa"/>
            <w:tcBorders>
              <w:top w:val="single" w:color="000000" w:sz="4" w:space="0"/>
              <w:left w:val="single" w:color="000000" w:sz="4" w:space="0"/>
              <w:bottom w:val="single" w:color="000000" w:sz="4" w:space="0"/>
              <w:right w:val="single" w:color="000000" w:sz="4" w:space="0"/>
            </w:tcBorders>
            <w:vAlign w:val="center"/>
          </w:tcPr>
          <w:p w14:paraId="4489BC5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w:t>
            </w:r>
          </w:p>
        </w:tc>
        <w:tc>
          <w:tcPr>
            <w:tcW w:w="660" w:type="dxa"/>
            <w:tcBorders>
              <w:top w:val="single" w:color="000000" w:sz="4" w:space="0"/>
              <w:left w:val="single" w:color="000000" w:sz="4" w:space="0"/>
              <w:bottom w:val="single" w:color="000000" w:sz="4" w:space="0"/>
              <w:right w:val="single" w:color="000000" w:sz="4" w:space="0"/>
            </w:tcBorders>
            <w:vAlign w:val="center"/>
          </w:tcPr>
          <w:p w14:paraId="3B9D284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张</w:t>
            </w:r>
          </w:p>
        </w:tc>
      </w:tr>
      <w:tr w14:paraId="5A74B18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FD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ABB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门禁控制器</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81E1">
            <w:pPr>
              <w:widowControl/>
              <w:textAlignment w:val="center"/>
              <w:rPr>
                <w:color w:val="auto"/>
                <w:highlight w:val="none"/>
              </w:rPr>
            </w:pPr>
            <w:r>
              <w:rPr>
                <w:rFonts w:hint="eastAsia" w:ascii="宋体" w:hAnsi="宋体" w:cs="宋体"/>
                <w:color w:val="auto"/>
                <w:kern w:val="0"/>
                <w:szCs w:val="22"/>
                <w:highlight w:val="none"/>
                <w:lang w:bidi="ar"/>
              </w:rPr>
              <w:t>单/双门单门禁机（单向），单/双门双门禁机（双向），1路门状态反馈，1路报警输入，RS485通讯方式；</w:t>
            </w:r>
            <w:r>
              <w:rPr>
                <w:rFonts w:hint="eastAsia" w:ascii="宋体" w:hAnsi="宋体" w:cs="宋体"/>
                <w:color w:val="auto"/>
                <w:kern w:val="0"/>
                <w:szCs w:val="22"/>
                <w:highlight w:val="none"/>
                <w:lang w:bidi="ar"/>
              </w:rPr>
              <w:br w:type="textWrapping"/>
            </w:r>
            <w:r>
              <w:rPr>
                <w:rFonts w:hint="eastAsia" w:ascii="宋体" w:hAnsi="宋体" w:cs="宋体"/>
                <w:bCs/>
                <w:color w:val="auto"/>
                <w:highlight w:val="none"/>
              </w:rPr>
              <w:t>门禁控制器包括：门禁控制模块、接地排、磁力锁、闭门器、紧急按钮、出门按钮。</w:t>
            </w:r>
          </w:p>
        </w:tc>
        <w:tc>
          <w:tcPr>
            <w:tcW w:w="754" w:type="dxa"/>
            <w:tcBorders>
              <w:top w:val="single" w:color="000000" w:sz="4" w:space="0"/>
              <w:left w:val="single" w:color="000000" w:sz="4" w:space="0"/>
              <w:bottom w:val="single" w:color="000000" w:sz="4" w:space="0"/>
              <w:right w:val="single" w:color="000000" w:sz="4" w:space="0"/>
            </w:tcBorders>
            <w:vAlign w:val="center"/>
          </w:tcPr>
          <w:p w14:paraId="00EEBA2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37ED68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056E392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623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4E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后台登录读卡器</w:t>
            </w:r>
          </w:p>
        </w:tc>
        <w:tc>
          <w:tcPr>
            <w:tcW w:w="617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E61589">
            <w:pPr>
              <w:widowControl/>
              <w:textAlignment w:val="center"/>
              <w:rPr>
                <w:rFonts w:ascii="宋体" w:hAnsi="宋体" w:cs="宋体"/>
                <w:bCs/>
                <w:color w:val="auto"/>
                <w:highlight w:val="none"/>
              </w:rPr>
            </w:pPr>
            <w:r>
              <w:rPr>
                <w:rFonts w:hint="eastAsia" w:ascii="宋体" w:hAnsi="宋体" w:cs="宋体"/>
                <w:bCs/>
                <w:color w:val="auto"/>
                <w:highlight w:val="none"/>
              </w:rPr>
              <w:t>后台登录读卡器</w:t>
            </w:r>
          </w:p>
          <w:p w14:paraId="180B683B">
            <w:pPr>
              <w:widowControl/>
              <w:textAlignment w:val="center"/>
              <w:rPr>
                <w:rFonts w:ascii="宋体" w:hAnsi="宋体" w:cs="宋体"/>
                <w:bCs/>
                <w:color w:val="auto"/>
                <w:highlight w:val="none"/>
              </w:rPr>
            </w:pPr>
            <w:r>
              <w:rPr>
                <w:rFonts w:hint="eastAsia" w:ascii="宋体" w:hAnsi="宋体" w:cs="宋体"/>
                <w:bCs/>
                <w:color w:val="auto"/>
                <w:highlight w:val="none"/>
              </w:rPr>
              <w:t>管理员通过密码硬件介质双重认证对后台登录人员进行身份认证。</w:t>
            </w:r>
          </w:p>
          <w:p w14:paraId="3D133F91">
            <w:pPr>
              <w:widowControl/>
              <w:textAlignment w:val="center"/>
              <w:rPr>
                <w:rFonts w:ascii="宋体" w:hAnsi="宋体" w:cs="宋体"/>
                <w:bCs/>
                <w:color w:val="auto"/>
                <w:highlight w:val="none"/>
              </w:rPr>
            </w:pPr>
            <w:r>
              <w:rPr>
                <w:rFonts w:hint="eastAsia" w:ascii="宋体" w:hAnsi="宋体" w:cs="宋体"/>
                <w:bCs/>
                <w:color w:val="auto"/>
                <w:highlight w:val="none"/>
              </w:rPr>
              <w:t>门禁管理后台终端</w:t>
            </w:r>
          </w:p>
          <w:p w14:paraId="0918FF2B">
            <w:pPr>
              <w:widowControl/>
              <w:textAlignment w:val="center"/>
              <w:rPr>
                <w:rFonts w:ascii="宋体" w:hAnsi="宋体" w:cs="宋体"/>
                <w:bCs/>
                <w:color w:val="auto"/>
                <w:highlight w:val="none"/>
              </w:rPr>
            </w:pPr>
            <w:r>
              <w:rPr>
                <w:rFonts w:hint="eastAsia" w:ascii="宋体" w:hAnsi="宋体" w:cs="宋体"/>
                <w:bCs/>
                <w:color w:val="auto"/>
                <w:highlight w:val="none"/>
              </w:rPr>
              <w:t>1.包含门禁管理后台软件：安装门禁管理后台软件，实现门禁设备管理、人员管理、门禁记录存储，日志管理、角色管理等功能；</w:t>
            </w:r>
          </w:p>
          <w:p w14:paraId="6F571333">
            <w:pPr>
              <w:widowControl/>
              <w:textAlignment w:val="center"/>
              <w:rPr>
                <w:rFonts w:ascii="宋体" w:hAnsi="宋体" w:cs="宋体"/>
                <w:bCs/>
                <w:color w:val="auto"/>
                <w:highlight w:val="none"/>
              </w:rPr>
            </w:pPr>
            <w:r>
              <w:rPr>
                <w:rFonts w:hint="eastAsia" w:ascii="宋体" w:hAnsi="宋体" w:cs="宋体"/>
                <w:bCs/>
                <w:color w:val="auto"/>
                <w:highlight w:val="none"/>
              </w:rPr>
              <w:t>2.服务器内置具有防拆功能的安全模块，服务器密钥存储在安全芯片的密钥存储区，以此来保障服务器密钥的安全；</w:t>
            </w:r>
          </w:p>
          <w:p w14:paraId="002E0AB8">
            <w:pPr>
              <w:widowControl/>
              <w:textAlignment w:val="center"/>
              <w:rPr>
                <w:rFonts w:ascii="宋体" w:hAnsi="宋体" w:cs="宋体"/>
                <w:bCs/>
                <w:color w:val="auto"/>
                <w:highlight w:val="none"/>
              </w:rPr>
            </w:pPr>
            <w:r>
              <w:rPr>
                <w:rFonts w:hint="eastAsia" w:ascii="宋体" w:hAnsi="宋体" w:cs="宋体"/>
                <w:bCs/>
                <w:color w:val="auto"/>
                <w:highlight w:val="none"/>
              </w:rPr>
              <w:t>3.基于GB/T 39786-2021《信息安全技术 信息系统密码应用基本要求》，采用经商用密码认证机构认证合格的安全芯片进行密码运算，基于杂凑算法对门禁记录定期进行完整性校验，若发现被保护数据的完整性被破坏，后台会产生告警。</w:t>
            </w:r>
          </w:p>
          <w:p w14:paraId="3C51BCDA">
            <w:pPr>
              <w:widowControl/>
              <w:textAlignment w:val="center"/>
              <w:rPr>
                <w:rFonts w:ascii="宋体" w:hAnsi="宋体" w:cs="宋体"/>
                <w:bCs/>
                <w:color w:val="auto"/>
                <w:highlight w:val="none"/>
              </w:rPr>
            </w:pPr>
            <w:r>
              <w:rPr>
                <w:rFonts w:hint="eastAsia" w:ascii="宋体" w:hAnsi="宋体" w:cs="宋体"/>
                <w:bCs/>
                <w:color w:val="auto"/>
                <w:highlight w:val="none"/>
              </w:rPr>
              <w:t>密钥管理及发卡系统</w:t>
            </w:r>
          </w:p>
          <w:p w14:paraId="1167441B">
            <w:pPr>
              <w:widowControl/>
              <w:textAlignment w:val="center"/>
              <w:rPr>
                <w:rFonts w:ascii="宋体" w:hAnsi="宋体" w:cs="宋体"/>
                <w:bCs/>
                <w:color w:val="auto"/>
                <w:highlight w:val="none"/>
              </w:rPr>
            </w:pPr>
            <w:r>
              <w:rPr>
                <w:rFonts w:hint="eastAsia" w:ascii="宋体" w:hAnsi="宋体" w:cs="宋体"/>
                <w:bCs/>
                <w:color w:val="auto"/>
                <w:highlight w:val="none"/>
              </w:rPr>
              <w:t>密钥管理子系统主要是通过密码设备为门禁系统的密码应用生成密钥，并且通过密码模块发行设备对应用系统的密码模块进行初始化，并且注入密钥。</w:t>
            </w:r>
          </w:p>
          <w:p w14:paraId="2A40C900">
            <w:pPr>
              <w:widowControl/>
              <w:textAlignment w:val="center"/>
              <w:rPr>
                <w:rFonts w:ascii="宋体" w:hAnsi="宋体" w:cs="宋体"/>
                <w:bCs/>
                <w:color w:val="auto"/>
                <w:highlight w:val="none"/>
              </w:rPr>
            </w:pPr>
            <w:r>
              <w:rPr>
                <w:rFonts w:hint="eastAsia" w:ascii="宋体" w:hAnsi="宋体" w:cs="宋体"/>
                <w:bCs/>
                <w:color w:val="auto"/>
                <w:highlight w:val="none"/>
              </w:rPr>
              <w:t>发卡系统主要功能是通过发卡设备对门禁卡进行初始化、注入密钥、写入应用信息的功能。发卡系统采用主副卡的形式，采用SM4分组加密算法进行密钥分散，实现一卡一密，采用SM4分组加密算法进行门禁卡与门禁机之间的身份鉴别。</w:t>
            </w:r>
          </w:p>
          <w:p w14:paraId="2BC82119">
            <w:pPr>
              <w:widowControl/>
              <w:textAlignment w:val="center"/>
              <w:rPr>
                <w:rFonts w:ascii="宋体" w:hAnsi="宋体" w:cs="宋体"/>
                <w:bCs/>
                <w:color w:val="auto"/>
                <w:highlight w:val="none"/>
              </w:rPr>
            </w:pPr>
            <w:r>
              <w:rPr>
                <w:rFonts w:hint="eastAsia" w:ascii="宋体" w:hAnsi="宋体" w:cs="宋体"/>
                <w:bCs/>
                <w:color w:val="auto"/>
                <w:highlight w:val="none"/>
              </w:rPr>
              <w:t>密钥卡</w:t>
            </w:r>
          </w:p>
          <w:p w14:paraId="5AE9F4E4">
            <w:pPr>
              <w:widowControl/>
              <w:textAlignment w:val="center"/>
              <w:rPr>
                <w:rFonts w:ascii="宋体" w:hAnsi="宋体" w:cs="宋体"/>
                <w:bCs/>
                <w:color w:val="auto"/>
                <w:highlight w:val="none"/>
              </w:rPr>
            </w:pPr>
            <w:r>
              <w:rPr>
                <w:rFonts w:hint="eastAsia" w:ascii="宋体" w:hAnsi="宋体" w:cs="宋体"/>
                <w:bCs/>
                <w:color w:val="auto"/>
                <w:highlight w:val="none"/>
              </w:rPr>
              <w:t>密钥卡用于存放系统根密钥，配合发卡软件，分散出用户密钥并且写入门禁卡。</w:t>
            </w:r>
          </w:p>
          <w:p w14:paraId="5B68AA67">
            <w:pPr>
              <w:widowControl/>
              <w:textAlignment w:val="center"/>
              <w:rPr>
                <w:rFonts w:ascii="宋体" w:hAnsi="宋体" w:cs="宋体"/>
                <w:bCs/>
                <w:color w:val="auto"/>
                <w:highlight w:val="none"/>
              </w:rPr>
            </w:pPr>
            <w:r>
              <w:rPr>
                <w:rFonts w:hint="eastAsia" w:ascii="宋体" w:hAnsi="宋体" w:cs="宋体"/>
                <w:bCs/>
                <w:color w:val="auto"/>
                <w:highlight w:val="none"/>
              </w:rPr>
              <w:t>密钥注入器</w:t>
            </w:r>
          </w:p>
          <w:p w14:paraId="08118E8F">
            <w:pPr>
              <w:widowControl/>
              <w:textAlignment w:val="center"/>
              <w:rPr>
                <w:rFonts w:ascii="宋体" w:hAnsi="宋体" w:cs="宋体"/>
                <w:bCs/>
                <w:color w:val="auto"/>
                <w:highlight w:val="none"/>
              </w:rPr>
            </w:pPr>
            <w:r>
              <w:rPr>
                <w:rFonts w:hint="eastAsia" w:ascii="宋体" w:hAnsi="宋体" w:cs="宋体"/>
                <w:bCs/>
                <w:color w:val="auto"/>
                <w:highlight w:val="none"/>
              </w:rPr>
              <w:t>密钥注入器用来与密钥卡通讯，配合发卡软件，从密钥卡中分散出门禁卡用户密钥及其他密码模块密钥，并注入到对应的门禁机卡及密码模块。</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6F14FD2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3821431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3D75B9C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ED2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5F1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门禁管理后台终端</w:t>
            </w:r>
          </w:p>
        </w:tc>
        <w:tc>
          <w:tcPr>
            <w:tcW w:w="617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67C407">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B38F3EC">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2E80E60">
            <w:pPr>
              <w:jc w:val="center"/>
              <w:rPr>
                <w:rFonts w:ascii="宋体" w:hAnsi="宋体" w:cs="宋体"/>
                <w:color w:val="auto"/>
                <w:szCs w:val="22"/>
                <w:highlight w:val="none"/>
              </w:rPr>
            </w:pPr>
          </w:p>
        </w:tc>
      </w:tr>
      <w:tr w14:paraId="6DB72EA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765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A6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密钥管理及发卡系统</w:t>
            </w:r>
          </w:p>
        </w:tc>
        <w:tc>
          <w:tcPr>
            <w:tcW w:w="617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EEE8479">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354F24E">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D438D23">
            <w:pPr>
              <w:jc w:val="center"/>
              <w:rPr>
                <w:rFonts w:ascii="宋体" w:hAnsi="宋体" w:cs="宋体"/>
                <w:color w:val="auto"/>
                <w:szCs w:val="22"/>
                <w:highlight w:val="none"/>
              </w:rPr>
            </w:pPr>
          </w:p>
        </w:tc>
      </w:tr>
      <w:tr w14:paraId="6699F3A2">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960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63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密钥卡</w:t>
            </w:r>
          </w:p>
        </w:tc>
        <w:tc>
          <w:tcPr>
            <w:tcW w:w="617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E54449">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AE1988D">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5F191A1">
            <w:pPr>
              <w:jc w:val="center"/>
              <w:rPr>
                <w:rFonts w:ascii="宋体" w:hAnsi="宋体" w:cs="宋体"/>
                <w:color w:val="auto"/>
                <w:szCs w:val="22"/>
                <w:highlight w:val="none"/>
              </w:rPr>
            </w:pPr>
          </w:p>
        </w:tc>
      </w:tr>
      <w:tr w14:paraId="00F2E88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074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1CD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密钥注入器</w:t>
            </w:r>
          </w:p>
        </w:tc>
        <w:tc>
          <w:tcPr>
            <w:tcW w:w="617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518A411">
            <w:pPr>
              <w:rPr>
                <w:rFonts w:ascii="宋体" w:hAnsi="宋体" w:cs="宋体"/>
                <w:color w:val="auto"/>
                <w:szCs w:val="22"/>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D87E897">
            <w:pPr>
              <w:jc w:val="center"/>
              <w:rPr>
                <w:rFonts w:ascii="宋体" w:hAnsi="宋体" w:cs="宋体"/>
                <w:color w:val="auto"/>
                <w:szCs w:val="22"/>
                <w:highlight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56CE2D8">
            <w:pPr>
              <w:jc w:val="center"/>
              <w:rPr>
                <w:rFonts w:ascii="宋体" w:hAnsi="宋体" w:cs="宋体"/>
                <w:color w:val="auto"/>
                <w:szCs w:val="22"/>
                <w:highlight w:val="none"/>
              </w:rPr>
            </w:pPr>
          </w:p>
        </w:tc>
      </w:tr>
      <w:tr w14:paraId="2EC18D68">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2CDDF5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3.8.1.9</w:t>
            </w:r>
          </w:p>
        </w:tc>
        <w:tc>
          <w:tcPr>
            <w:tcW w:w="1035" w:type="dxa"/>
            <w:tcBorders>
              <w:top w:val="single" w:color="000000" w:sz="4" w:space="0"/>
              <w:left w:val="single" w:color="000000" w:sz="4" w:space="0"/>
              <w:bottom w:val="single" w:color="000000" w:sz="4" w:space="0"/>
              <w:right w:val="single" w:color="000000" w:sz="4" w:space="0"/>
            </w:tcBorders>
            <w:vAlign w:val="center"/>
          </w:tcPr>
          <w:p w14:paraId="11F9597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国密发卡器</w:t>
            </w:r>
          </w:p>
        </w:tc>
        <w:tc>
          <w:tcPr>
            <w:tcW w:w="6176" w:type="dxa"/>
            <w:tcBorders>
              <w:top w:val="single" w:color="000000" w:sz="4" w:space="0"/>
              <w:left w:val="single" w:color="000000" w:sz="4" w:space="0"/>
              <w:bottom w:val="single" w:color="000000" w:sz="4" w:space="0"/>
              <w:right w:val="single" w:color="000000" w:sz="4" w:space="0"/>
            </w:tcBorders>
            <w:vAlign w:val="center"/>
          </w:tcPr>
          <w:p w14:paraId="07D82E0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发卡器内置安全芯片，配合发卡软件、密钥注入器及密钥卡，实现对门禁卡的初始化、密钥注入、应用信息写入。</w:t>
            </w:r>
          </w:p>
        </w:tc>
        <w:tc>
          <w:tcPr>
            <w:tcW w:w="754" w:type="dxa"/>
            <w:tcBorders>
              <w:top w:val="single" w:color="000000" w:sz="4" w:space="0"/>
              <w:left w:val="single" w:color="000000" w:sz="4" w:space="0"/>
              <w:bottom w:val="single" w:color="000000" w:sz="4" w:space="0"/>
              <w:right w:val="single" w:color="000000" w:sz="4" w:space="0"/>
            </w:tcBorders>
            <w:vAlign w:val="center"/>
          </w:tcPr>
          <w:p w14:paraId="0148BAA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7533BE6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5FE2CA9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9A8EBF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3.8.2</w:t>
            </w:r>
          </w:p>
        </w:tc>
        <w:tc>
          <w:tcPr>
            <w:tcW w:w="1035" w:type="dxa"/>
            <w:tcBorders>
              <w:top w:val="single" w:color="000000" w:sz="4" w:space="0"/>
              <w:left w:val="single" w:color="000000" w:sz="4" w:space="0"/>
              <w:bottom w:val="single" w:color="000000" w:sz="4" w:space="0"/>
              <w:right w:val="single" w:color="000000" w:sz="4" w:space="0"/>
            </w:tcBorders>
            <w:vAlign w:val="center"/>
          </w:tcPr>
          <w:p w14:paraId="127F517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安全视频监控系统</w:t>
            </w:r>
          </w:p>
        </w:tc>
        <w:tc>
          <w:tcPr>
            <w:tcW w:w="6176" w:type="dxa"/>
            <w:tcBorders>
              <w:top w:val="single" w:color="000000" w:sz="4" w:space="0"/>
              <w:left w:val="single" w:color="000000" w:sz="4" w:space="0"/>
              <w:bottom w:val="single" w:color="000000" w:sz="4" w:space="0"/>
              <w:right w:val="nil"/>
            </w:tcBorders>
            <w:vAlign w:val="center"/>
          </w:tcPr>
          <w:p w14:paraId="6830C398">
            <w:pPr>
              <w:rPr>
                <w:rFonts w:ascii="宋体" w:hAnsi="宋体" w:cs="宋体"/>
                <w:color w:val="auto"/>
                <w:szCs w:val="22"/>
                <w:highlight w:val="none"/>
              </w:rPr>
            </w:pPr>
          </w:p>
        </w:tc>
        <w:tc>
          <w:tcPr>
            <w:tcW w:w="754" w:type="dxa"/>
            <w:tcBorders>
              <w:top w:val="single" w:color="000000" w:sz="4" w:space="0"/>
              <w:left w:val="single" w:color="000000" w:sz="4" w:space="0"/>
              <w:bottom w:val="single" w:color="000000" w:sz="4" w:space="0"/>
              <w:right w:val="single" w:color="000000" w:sz="4" w:space="0"/>
            </w:tcBorders>
            <w:vAlign w:val="center"/>
          </w:tcPr>
          <w:p w14:paraId="12698387">
            <w:pPr>
              <w:jc w:val="center"/>
              <w:rPr>
                <w:rFonts w:ascii="宋体" w:hAnsi="宋体" w:cs="宋体"/>
                <w:color w:val="auto"/>
                <w:szCs w:val="22"/>
                <w:highlight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06D40C33">
            <w:pPr>
              <w:jc w:val="center"/>
              <w:rPr>
                <w:rFonts w:ascii="宋体" w:hAnsi="宋体" w:cs="宋体"/>
                <w:color w:val="auto"/>
                <w:szCs w:val="22"/>
                <w:highlight w:val="none"/>
              </w:rPr>
            </w:pPr>
          </w:p>
        </w:tc>
      </w:tr>
      <w:tr w14:paraId="0823F57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A79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5D0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视频监控球机</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A0A0">
            <w:pPr>
              <w:pStyle w:val="59"/>
              <w:spacing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1.支持≥400万半球</w:t>
            </w:r>
          </w:p>
          <w:p w14:paraId="7E358288">
            <w:pPr>
              <w:pStyle w:val="59"/>
              <w:spacing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2. ≥1/2.7英寸CMOS，最高分辨率2688x1520@25fps</w:t>
            </w:r>
          </w:p>
          <w:p w14:paraId="3FF6877A">
            <w:pPr>
              <w:pStyle w:val="59"/>
              <w:spacing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3. 2.8-12mm电动变焦</w:t>
            </w:r>
          </w:p>
          <w:p w14:paraId="69CF9457">
            <w:pPr>
              <w:pStyle w:val="59"/>
              <w:spacing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4. 支持H.265、H.264编码</w:t>
            </w:r>
          </w:p>
          <w:p w14:paraId="4419DBC8">
            <w:pPr>
              <w:pStyle w:val="59"/>
              <w:spacing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5. 支持标准特性：ROI、SVC、监控扩展信息、加密、认证</w:t>
            </w:r>
          </w:p>
          <w:p w14:paraId="2B3238F2">
            <w:pPr>
              <w:pStyle w:val="59"/>
              <w:spacing w:line="240" w:lineRule="auto"/>
              <w:jc w:val="both"/>
              <w:rPr>
                <w:rFonts w:ascii="宋体" w:hAnsi="宋体" w:eastAsia="宋体" w:cs="宋体"/>
                <w:b w:val="0"/>
                <w:bCs/>
                <w:color w:val="auto"/>
                <w:highlight w:val="none"/>
              </w:rPr>
            </w:pPr>
            <w:r>
              <w:rPr>
                <w:rFonts w:hint="eastAsia" w:ascii="宋体" w:hAnsi="宋体" w:eastAsia="宋体" w:cs="宋体"/>
                <w:b w:val="0"/>
                <w:bCs/>
                <w:color w:val="auto"/>
                <w:highlight w:val="none"/>
              </w:rPr>
              <w:t>6.支持人脸检测抓拍（最多同时检测16张人脸）、通用行为分析算法切换</w:t>
            </w:r>
          </w:p>
          <w:p w14:paraId="71BBEA68">
            <w:pPr>
              <w:pStyle w:val="59"/>
              <w:spacing w:line="240" w:lineRule="auto"/>
              <w:jc w:val="both"/>
              <w:rPr>
                <w:color w:val="auto"/>
                <w:highlight w:val="none"/>
              </w:rPr>
            </w:pPr>
            <w:r>
              <w:rPr>
                <w:rFonts w:hint="eastAsia" w:ascii="宋体" w:hAnsi="宋体" w:eastAsia="宋体" w:cs="宋体"/>
                <w:b w:val="0"/>
                <w:bCs/>
                <w:color w:val="auto"/>
                <w:highlight w:val="none"/>
              </w:rPr>
              <w:t>7. 最高支持256GB Micro SD卡本地存储扩展</w:t>
            </w:r>
          </w:p>
        </w:tc>
        <w:tc>
          <w:tcPr>
            <w:tcW w:w="754" w:type="dxa"/>
            <w:tcBorders>
              <w:top w:val="single" w:color="000000" w:sz="4" w:space="0"/>
              <w:left w:val="single" w:color="000000" w:sz="4" w:space="0"/>
              <w:bottom w:val="single" w:color="000000" w:sz="4" w:space="0"/>
              <w:right w:val="single" w:color="000000" w:sz="4" w:space="0"/>
            </w:tcBorders>
            <w:vAlign w:val="center"/>
          </w:tcPr>
          <w:p w14:paraId="3842612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1E85329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41BAD02D">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939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017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安全智能视频一体化服务系统</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857">
            <w:pPr>
              <w:widowControl/>
              <w:spacing w:line="240"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提供≥8路前端视频的接入能力，全面符合国密标准，国密算法加密和认证，保证数据的安全性和真实性，满足密码测评要求；</w:t>
            </w:r>
          </w:p>
          <w:p w14:paraId="68481EBB">
            <w:pPr>
              <w:widowControl/>
              <w:spacing w:line="240"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支持H.264、H.265编码；</w:t>
            </w:r>
          </w:p>
          <w:p w14:paraId="61F54E71">
            <w:pPr>
              <w:widowControl/>
              <w:spacing w:line="240" w:lineRule="auto"/>
              <w:textAlignment w:val="center"/>
              <w:rPr>
                <w:rFonts w:ascii="宋体" w:hAnsi="宋体" w:cs="宋体"/>
                <w:color w:val="auto"/>
                <w:kern w:val="0"/>
                <w:szCs w:val="22"/>
                <w:highlight w:val="none"/>
                <w:lang w:bidi="ar"/>
              </w:rPr>
            </w:pPr>
            <w:r>
              <w:rPr>
                <w:rFonts w:hint="eastAsia" w:ascii="宋体" w:hAnsi="宋体" w:cs="宋体"/>
                <w:color w:val="auto"/>
                <w:kern w:val="0"/>
                <w:szCs w:val="22"/>
                <w:highlight w:val="none"/>
                <w:lang w:bidi="ar"/>
              </w:rPr>
              <w:t>使用国密标准的UKEY；</w:t>
            </w:r>
          </w:p>
          <w:p w14:paraId="3FB7378F">
            <w:pPr>
              <w:widowControl/>
              <w:spacing w:line="240" w:lineRule="auto"/>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网口:2个千兆网口；</w:t>
            </w:r>
          </w:p>
        </w:tc>
        <w:tc>
          <w:tcPr>
            <w:tcW w:w="754" w:type="dxa"/>
            <w:tcBorders>
              <w:top w:val="single" w:color="000000" w:sz="4" w:space="0"/>
              <w:left w:val="single" w:color="000000" w:sz="4" w:space="0"/>
              <w:bottom w:val="single" w:color="000000" w:sz="4" w:space="0"/>
              <w:right w:val="single" w:color="000000" w:sz="4" w:space="0"/>
            </w:tcBorders>
            <w:vAlign w:val="center"/>
          </w:tcPr>
          <w:p w14:paraId="1B66B89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0CEAF07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505BBB9F">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132062B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3.8.2.3</w:t>
            </w:r>
          </w:p>
        </w:tc>
        <w:tc>
          <w:tcPr>
            <w:tcW w:w="1035" w:type="dxa"/>
            <w:tcBorders>
              <w:top w:val="single" w:color="000000" w:sz="4" w:space="0"/>
              <w:left w:val="single" w:color="000000" w:sz="4" w:space="0"/>
              <w:bottom w:val="single" w:color="000000" w:sz="4" w:space="0"/>
              <w:right w:val="single" w:color="000000" w:sz="4" w:space="0"/>
            </w:tcBorders>
            <w:vAlign w:val="center"/>
          </w:tcPr>
          <w:p w14:paraId="7FE8DF0C">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硬盘</w:t>
            </w:r>
          </w:p>
        </w:tc>
        <w:tc>
          <w:tcPr>
            <w:tcW w:w="6176" w:type="dxa"/>
            <w:tcBorders>
              <w:top w:val="single" w:color="000000" w:sz="4" w:space="0"/>
              <w:left w:val="single" w:color="000000" w:sz="4" w:space="0"/>
              <w:bottom w:val="single" w:color="000000" w:sz="4" w:space="0"/>
              <w:right w:val="nil"/>
            </w:tcBorders>
            <w:vAlign w:val="center"/>
          </w:tcPr>
          <w:p w14:paraId="65203D53">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8T企业级硬盘</w:t>
            </w:r>
          </w:p>
        </w:tc>
        <w:tc>
          <w:tcPr>
            <w:tcW w:w="754" w:type="dxa"/>
            <w:tcBorders>
              <w:top w:val="single" w:color="000000" w:sz="4" w:space="0"/>
              <w:left w:val="single" w:color="000000" w:sz="4" w:space="0"/>
              <w:bottom w:val="single" w:color="000000" w:sz="4" w:space="0"/>
              <w:right w:val="single" w:color="000000" w:sz="4" w:space="0"/>
            </w:tcBorders>
            <w:vAlign w:val="center"/>
          </w:tcPr>
          <w:p w14:paraId="130AD90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2</w:t>
            </w:r>
          </w:p>
        </w:tc>
        <w:tc>
          <w:tcPr>
            <w:tcW w:w="660" w:type="dxa"/>
            <w:tcBorders>
              <w:top w:val="single" w:color="000000" w:sz="4" w:space="0"/>
              <w:left w:val="single" w:color="000000" w:sz="4" w:space="0"/>
              <w:bottom w:val="single" w:color="000000" w:sz="4" w:space="0"/>
              <w:right w:val="single" w:color="000000" w:sz="4" w:space="0"/>
            </w:tcBorders>
            <w:vAlign w:val="center"/>
          </w:tcPr>
          <w:p w14:paraId="12F9219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块</w:t>
            </w:r>
          </w:p>
        </w:tc>
      </w:tr>
      <w:tr w14:paraId="188BFC43">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A108B8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3.8.3</w:t>
            </w:r>
          </w:p>
        </w:tc>
        <w:tc>
          <w:tcPr>
            <w:tcW w:w="1035" w:type="dxa"/>
            <w:tcBorders>
              <w:top w:val="single" w:color="000000" w:sz="4" w:space="0"/>
              <w:left w:val="single" w:color="000000" w:sz="4" w:space="0"/>
              <w:bottom w:val="single" w:color="000000" w:sz="4" w:space="0"/>
              <w:right w:val="single" w:color="000000" w:sz="4" w:space="0"/>
            </w:tcBorders>
            <w:vAlign w:val="center"/>
          </w:tcPr>
          <w:p w14:paraId="0816DE4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IPSec/SSLVPN综合安全网关</w:t>
            </w:r>
          </w:p>
        </w:tc>
        <w:tc>
          <w:tcPr>
            <w:tcW w:w="6176" w:type="dxa"/>
            <w:tcBorders>
              <w:top w:val="single" w:color="000000" w:sz="4" w:space="0"/>
              <w:left w:val="single" w:color="000000" w:sz="4" w:space="0"/>
              <w:bottom w:val="single" w:color="000000" w:sz="4" w:space="0"/>
              <w:right w:val="single" w:color="000000" w:sz="4" w:space="0"/>
            </w:tcBorders>
            <w:vAlign w:val="center"/>
          </w:tcPr>
          <w:p w14:paraId="6F731F68">
            <w:pPr>
              <w:widowControl/>
              <w:spacing w:line="240" w:lineRule="auto"/>
              <w:textAlignment w:val="center"/>
              <w:rPr>
                <w:color w:val="auto"/>
                <w:highlight w:val="none"/>
              </w:rPr>
            </w:pPr>
            <w:r>
              <w:rPr>
                <w:rFonts w:hint="eastAsia"/>
                <w:color w:val="auto"/>
                <w:highlight w:val="none"/>
              </w:rPr>
              <w:t>提供安全接入身份认证和安全通道，配合国密浏览器使用国密SSL接入功能。</w:t>
            </w:r>
          </w:p>
          <w:p w14:paraId="4C7707D9">
            <w:pPr>
              <w:widowControl/>
              <w:spacing w:line="240" w:lineRule="auto"/>
              <w:textAlignment w:val="center"/>
              <w:rPr>
                <w:color w:val="auto"/>
                <w:highlight w:val="none"/>
              </w:rPr>
            </w:pPr>
            <w:r>
              <w:rPr>
                <w:rFonts w:hint="eastAsia"/>
                <w:color w:val="auto"/>
                <w:highlight w:val="none"/>
              </w:rPr>
              <w:t>一、单台配置参数</w:t>
            </w:r>
          </w:p>
          <w:p w14:paraId="5D455254">
            <w:pPr>
              <w:widowControl/>
              <w:spacing w:line="240" w:lineRule="auto"/>
              <w:textAlignment w:val="center"/>
              <w:rPr>
                <w:color w:val="auto"/>
                <w:highlight w:val="none"/>
              </w:rPr>
            </w:pPr>
            <w:r>
              <w:rPr>
                <w:rFonts w:hint="eastAsia"/>
                <w:color w:val="auto"/>
                <w:highlight w:val="none"/>
              </w:rPr>
              <w:t>▲1、≥1MGMT，≥16GE，≥4Combo，≥6SFP，≥2SFP+，2个扩展槽位；</w:t>
            </w:r>
          </w:p>
          <w:p w14:paraId="3AECF794">
            <w:pPr>
              <w:widowControl/>
              <w:spacing w:line="240" w:lineRule="auto"/>
              <w:textAlignment w:val="center"/>
              <w:rPr>
                <w:color w:val="auto"/>
                <w:highlight w:val="none"/>
              </w:rPr>
            </w:pPr>
            <w:r>
              <w:rPr>
                <w:rFonts w:hint="eastAsia"/>
                <w:color w:val="auto"/>
                <w:highlight w:val="none"/>
              </w:rPr>
              <w:t>2、支持国密加密算法模块；</w:t>
            </w:r>
          </w:p>
          <w:p w14:paraId="6EADBB46">
            <w:pPr>
              <w:widowControl/>
              <w:spacing w:line="240" w:lineRule="auto"/>
              <w:textAlignment w:val="center"/>
              <w:rPr>
                <w:color w:val="auto"/>
                <w:highlight w:val="none"/>
              </w:rPr>
            </w:pPr>
            <w:r>
              <w:rPr>
                <w:rFonts w:hint="eastAsia"/>
                <w:color w:val="auto"/>
                <w:highlight w:val="none"/>
              </w:rPr>
              <w:t>3、配置≥15个 SSL VPN授权；</w:t>
            </w:r>
          </w:p>
          <w:p w14:paraId="17DFF383">
            <w:pPr>
              <w:widowControl/>
              <w:spacing w:line="240" w:lineRule="auto"/>
              <w:textAlignment w:val="center"/>
              <w:rPr>
                <w:color w:val="auto"/>
                <w:highlight w:val="none"/>
              </w:rPr>
            </w:pPr>
            <w:r>
              <w:rPr>
                <w:rFonts w:hint="eastAsia"/>
                <w:color w:val="auto"/>
                <w:highlight w:val="none"/>
              </w:rPr>
              <w:t>▲4、配置LB负载均衡授权。</w:t>
            </w:r>
          </w:p>
          <w:p w14:paraId="016201AE">
            <w:pPr>
              <w:widowControl/>
              <w:spacing w:line="240" w:lineRule="auto"/>
              <w:textAlignment w:val="center"/>
              <w:rPr>
                <w:color w:val="auto"/>
                <w:highlight w:val="none"/>
              </w:rPr>
            </w:pPr>
            <w:r>
              <w:rPr>
                <w:rFonts w:hint="eastAsia"/>
                <w:color w:val="auto"/>
                <w:highlight w:val="none"/>
              </w:rPr>
              <w:t>二、功能参数</w:t>
            </w:r>
          </w:p>
          <w:p w14:paraId="5B303C31">
            <w:pPr>
              <w:widowControl/>
              <w:spacing w:line="240" w:lineRule="auto"/>
              <w:textAlignment w:val="center"/>
              <w:rPr>
                <w:color w:val="auto"/>
                <w:highlight w:val="none"/>
              </w:rPr>
            </w:pPr>
            <w:r>
              <w:rPr>
                <w:rFonts w:hint="eastAsia"/>
                <w:color w:val="auto"/>
                <w:highlight w:val="none"/>
              </w:rPr>
              <w:t>1、支持静态路由、策略路由、RIP、OSPF、BGP、IS-IS等路由协议，以适应不同的网络环境；</w:t>
            </w:r>
          </w:p>
          <w:p w14:paraId="2A8F3C13">
            <w:pPr>
              <w:widowControl/>
              <w:spacing w:line="240" w:lineRule="auto"/>
              <w:textAlignment w:val="center"/>
              <w:rPr>
                <w:color w:val="auto"/>
                <w:highlight w:val="none"/>
              </w:rPr>
            </w:pPr>
            <w:r>
              <w:rPr>
                <w:rFonts w:hint="eastAsia"/>
                <w:color w:val="auto"/>
                <w:highlight w:val="none"/>
              </w:rPr>
              <w:t>2、支持NAT44、NAT46、NAT64、NAT66，支持一对一、多对一、多对多等多种形式的NAT，支持DNS、FTP、H.323、RTSP、ILS、PPTP、SIP、SQLNET、MGCP、RSH、ICMP差错报文、TFTP、RTSP、SCTP、XDMCP、NBT、SCCP、HTTP等多种NAT ALG功能；</w:t>
            </w:r>
          </w:p>
          <w:p w14:paraId="2C0E671D">
            <w:pPr>
              <w:widowControl/>
              <w:spacing w:line="240" w:lineRule="auto"/>
              <w:textAlignment w:val="center"/>
              <w:rPr>
                <w:color w:val="auto"/>
                <w:highlight w:val="none"/>
              </w:rPr>
            </w:pPr>
            <w:r>
              <w:rPr>
                <w:rFonts w:hint="eastAsia"/>
                <w:color w:val="auto"/>
                <w:highlight w:val="none"/>
              </w:rPr>
              <w:t>3、支持一体化安全策略，能够基于源/目的安全域、源IP/MAC地址、目的IP地址、地区、服务、时间、用户/用户组、应用层协议、五元组、内容安全（WAF、IPS、数据过滤、文件过滤、AV、URL过滤和APT防御等）统一界面进行安全策略配置；</w:t>
            </w:r>
          </w:p>
          <w:p w14:paraId="602713B5">
            <w:pPr>
              <w:widowControl/>
              <w:spacing w:line="240" w:lineRule="auto"/>
              <w:textAlignment w:val="center"/>
              <w:rPr>
                <w:color w:val="auto"/>
                <w:highlight w:val="none"/>
              </w:rPr>
            </w:pPr>
            <w:r>
              <w:rPr>
                <w:rFonts w:hint="eastAsia"/>
                <w:color w:val="auto"/>
                <w:highlight w:val="none"/>
              </w:rPr>
              <w:t>4、支持IP信誉库、DNS信誉库、URL信誉库以提高威胁发现效率；</w:t>
            </w:r>
          </w:p>
          <w:p w14:paraId="7837BF7E">
            <w:pPr>
              <w:widowControl/>
              <w:spacing w:line="240" w:lineRule="auto"/>
              <w:textAlignment w:val="center"/>
              <w:rPr>
                <w:color w:val="auto"/>
                <w:highlight w:val="none"/>
              </w:rPr>
            </w:pPr>
            <w:r>
              <w:rPr>
                <w:rFonts w:hint="eastAsia"/>
                <w:color w:val="auto"/>
                <w:highlight w:val="none"/>
              </w:rPr>
              <w:t>5、实现IPSec、L2TP、GRE VPN、SSL VPN等功能，其中SSL版本覆盖TLS1.0、TLS1.1、TLS1.2、TLS1.3；</w:t>
            </w:r>
          </w:p>
          <w:p w14:paraId="6754D3F4">
            <w:pPr>
              <w:widowControl/>
              <w:spacing w:line="240" w:lineRule="auto"/>
              <w:textAlignment w:val="center"/>
              <w:rPr>
                <w:color w:val="auto"/>
                <w:highlight w:val="none"/>
              </w:rPr>
            </w:pPr>
            <w:r>
              <w:rPr>
                <w:rFonts w:hint="eastAsia"/>
                <w:color w:val="auto"/>
                <w:highlight w:val="none"/>
              </w:rPr>
              <w:t>6、支持多用户共享上网行为管理；</w:t>
            </w:r>
          </w:p>
          <w:p w14:paraId="4485E280">
            <w:pPr>
              <w:widowControl/>
              <w:spacing w:line="240" w:lineRule="auto"/>
              <w:textAlignment w:val="center"/>
              <w:rPr>
                <w:color w:val="auto"/>
                <w:highlight w:val="none"/>
              </w:rPr>
            </w:pPr>
            <w:r>
              <w:rPr>
                <w:rFonts w:hint="eastAsia"/>
                <w:color w:val="auto"/>
                <w:highlight w:val="none"/>
              </w:rPr>
              <w:t>7、支持基于接口及IP的报文捕获，并将捕获到的报文生成Wireshark（一种网络封包分析软件）可识别的.cap后缀文件，保存到本地或外部服务器，供用户分析诊断出入设备的流量；</w:t>
            </w:r>
          </w:p>
          <w:p w14:paraId="52599372">
            <w:pPr>
              <w:widowControl/>
              <w:spacing w:line="240" w:lineRule="auto"/>
              <w:textAlignment w:val="center"/>
              <w:rPr>
                <w:rFonts w:ascii="宋体" w:hAnsi="宋体" w:cs="宋体"/>
                <w:color w:val="auto"/>
                <w:szCs w:val="22"/>
                <w:highlight w:val="none"/>
              </w:rPr>
            </w:pPr>
            <w:r>
              <w:rPr>
                <w:rFonts w:hint="eastAsia"/>
                <w:color w:val="auto"/>
                <w:highlight w:val="none"/>
              </w:rPr>
              <w:t>8、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w:t>
            </w:r>
          </w:p>
        </w:tc>
        <w:tc>
          <w:tcPr>
            <w:tcW w:w="754" w:type="dxa"/>
            <w:tcBorders>
              <w:top w:val="single" w:color="000000" w:sz="4" w:space="0"/>
              <w:left w:val="single" w:color="000000" w:sz="4" w:space="0"/>
              <w:bottom w:val="single" w:color="000000" w:sz="4" w:space="0"/>
              <w:right w:val="single" w:color="000000" w:sz="4" w:space="0"/>
            </w:tcBorders>
            <w:vAlign w:val="center"/>
          </w:tcPr>
          <w:p w14:paraId="0A396E78">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4EFA4BC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7A515155">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2CF508B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3.8.4</w:t>
            </w:r>
          </w:p>
        </w:tc>
        <w:tc>
          <w:tcPr>
            <w:tcW w:w="1035" w:type="dxa"/>
            <w:tcBorders>
              <w:top w:val="single" w:color="000000" w:sz="4" w:space="0"/>
              <w:left w:val="single" w:color="000000" w:sz="4" w:space="0"/>
              <w:bottom w:val="single" w:color="000000" w:sz="4" w:space="0"/>
              <w:right w:val="single" w:color="000000" w:sz="4" w:space="0"/>
            </w:tcBorders>
            <w:vAlign w:val="center"/>
          </w:tcPr>
          <w:p w14:paraId="133BB16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服务器密码机</w:t>
            </w:r>
          </w:p>
        </w:tc>
        <w:tc>
          <w:tcPr>
            <w:tcW w:w="6176" w:type="dxa"/>
            <w:tcBorders>
              <w:top w:val="single" w:color="000000" w:sz="4" w:space="0"/>
              <w:left w:val="single" w:color="000000" w:sz="4" w:space="0"/>
              <w:bottom w:val="single" w:color="000000" w:sz="4" w:space="0"/>
              <w:right w:val="single" w:color="000000" w:sz="4" w:space="0"/>
            </w:tcBorders>
            <w:vAlign w:val="center"/>
          </w:tcPr>
          <w:p w14:paraId="39AE2FEF">
            <w:pPr>
              <w:widowControl/>
              <w:jc w:val="left"/>
              <w:textAlignment w:val="center"/>
              <w:rPr>
                <w:rFonts w:ascii="宋体" w:hAnsi="宋体" w:cs="宋体"/>
                <w:color w:val="auto"/>
                <w:szCs w:val="22"/>
                <w:highlight w:val="none"/>
              </w:rPr>
            </w:pPr>
            <w:r>
              <w:rPr>
                <w:rFonts w:hint="eastAsia" w:ascii="宋体" w:hAnsi="宋体" w:cs="宋体"/>
                <w:color w:val="auto"/>
                <w:kern w:val="0"/>
                <w:sz w:val="22"/>
                <w:szCs w:val="22"/>
                <w:highlight w:val="none"/>
                <w:lang w:bidi="ar"/>
              </w:rPr>
              <w:t>提供数据加解密、数字签名、摘要运算等功能。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一、单台配置参数：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▲1、2U高机架式硬件架构，≥8G内存，≥2T硬盘容量，标准配置≥8个以太网千兆电口，支持≥2个接口扩展槽位，1个console口，2个USB口。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二、性能功能参数：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1、SM1加解密：≥250Mbps，SM4加解密：≥1940Mbps，SM3加解密：≥2270Mbps，SM2生成密钥：≥12200对/s，SM2加密：≥2680次/s，SM2解密：≥3400次/s，SM2验签：≥4300次/s；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2、支持国密SSH、国密FTP，保证整机运维安全；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3、支持keystore的配置和管理功能；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4、支持指定算法类型、密钥号等信息，自动生成P10申请，以文件方式导出；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●5、支持通过SNMP协议监控设备状态，可反馈服务器密码机后台服务状态、业务连接数、密码机CPU、内存使用量等，且支持P10文件导出，支持SM2和RSA算法生成P10申请，以文件方式导出；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6、支持设备网口配置管理功能，可将网口设置为仅用于管理、仅用于提供服务或兼容三种状态；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7、支持多版本备份恢复；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8、同时符合GM/T 0030《服务器密码机技术规范》、GM/T 0028《密码模块安全技术要求》技术要求；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9、非对称算法加/解密：能够实现1024位、2048位RSA算法的公钥加密和私钥解密功能；能够实现256位SM2算法的公钥加密和私钥解密功能；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10、数字签名/验证功能：提供基于RSA、SM2算法的数字签名和认证功能，可用于证书生成和验证、身份认证等。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11、对称密钥加/解密：提供国家标准的SM1算法和SM4算法，用于数据的加解密；提供国际算法的AES和3DES算法，用于数据的加解密；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密钥生成与管理提供1024位、2048位RSA密钥生成算法及密钥备份和恢复。提供256位SM2密钥生成算法及密钥备份和恢复。有非对称密钥对导入、导出功能，便于密钥对的备份、恢复及多机并行工作时各密码机密钥对的一致。在密钥导入、导出时，私钥是加密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13、集群支持及性能扩展：支持多线程、多任务和性能扩展，多机热备和负载均衡，可多机扩展并行工作；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14、提供API接口：支持多种API接口，服务器密码机基本接口FMAPI以及标准的CSP、PKCS#11、JCE等接口，同时可根据用户需求定制需求；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15、支持通过SNMP协议监控设备状态，可反馈服务器密码机后台服务状态、业务连接数、密码机CPU、内存使用量等。</w:t>
            </w:r>
          </w:p>
        </w:tc>
        <w:tc>
          <w:tcPr>
            <w:tcW w:w="754" w:type="dxa"/>
            <w:tcBorders>
              <w:top w:val="single" w:color="000000" w:sz="4" w:space="0"/>
              <w:left w:val="single" w:color="000000" w:sz="4" w:space="0"/>
              <w:bottom w:val="single" w:color="000000" w:sz="4" w:space="0"/>
              <w:right w:val="single" w:color="000000" w:sz="4" w:space="0"/>
            </w:tcBorders>
            <w:vAlign w:val="center"/>
          </w:tcPr>
          <w:p w14:paraId="3E433A3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1BE28F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25C19EBB">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BA4F8A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3.8.5</w:t>
            </w:r>
          </w:p>
        </w:tc>
        <w:tc>
          <w:tcPr>
            <w:tcW w:w="1035" w:type="dxa"/>
            <w:tcBorders>
              <w:top w:val="single" w:color="000000" w:sz="4" w:space="0"/>
              <w:left w:val="single" w:color="000000" w:sz="4" w:space="0"/>
              <w:bottom w:val="single" w:color="000000" w:sz="4" w:space="0"/>
              <w:right w:val="single" w:color="000000" w:sz="4" w:space="0"/>
            </w:tcBorders>
            <w:vAlign w:val="center"/>
          </w:tcPr>
          <w:p w14:paraId="4F4AD2A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签名验签与时间戳二合一服务器</w:t>
            </w:r>
          </w:p>
        </w:tc>
        <w:tc>
          <w:tcPr>
            <w:tcW w:w="6176" w:type="dxa"/>
            <w:tcBorders>
              <w:top w:val="single" w:color="000000" w:sz="4" w:space="0"/>
              <w:left w:val="single" w:color="000000" w:sz="4" w:space="0"/>
              <w:bottom w:val="single" w:color="000000" w:sz="4" w:space="0"/>
              <w:right w:val="single" w:color="000000" w:sz="4" w:space="0"/>
            </w:tcBorders>
            <w:vAlign w:val="center"/>
          </w:tcPr>
          <w:p w14:paraId="7D8CB0B7">
            <w:pPr>
              <w:widowControl/>
              <w:jc w:val="left"/>
              <w:textAlignment w:val="center"/>
              <w:rPr>
                <w:rFonts w:ascii="宋体" w:hAnsi="宋体" w:cs="宋体"/>
                <w:color w:val="auto"/>
                <w:szCs w:val="22"/>
                <w:highlight w:val="none"/>
              </w:rPr>
            </w:pPr>
            <w:r>
              <w:rPr>
                <w:rFonts w:hint="eastAsia" w:ascii="宋体" w:hAnsi="宋体" w:cs="宋体"/>
                <w:color w:val="auto"/>
                <w:kern w:val="0"/>
                <w:sz w:val="22"/>
                <w:szCs w:val="22"/>
                <w:highlight w:val="none"/>
                <w:lang w:bidi="ar"/>
              </w:rPr>
              <w:t>一、单台配置参数：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▲1、硬件：2U高机架式硬件架构，≥8GB内存，≥2TB硬盘容量，标准配置≥8个以太网千兆电口，支持≥2个接口扩展槽位；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2、符合GM/T 0029《签名验签服务器技术规范》、GM/T 0033 《时间戳接口规范》、GM/T 0028《密码模块安全技术要求》等相关技术要求。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二、性能参数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1、支持双机热备部署；</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2、支持SM1、SM2、SM3、SM4密码算法；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3、支持负载均衡；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4、提供基于SM2算法的数字签名和认证功能，可用于证书生成和验证、身份认证等；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5、采用国家密码管理局批准的双WNG-9硬件物理噪声源生成真正随机数，随机数质量高；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6、提供≥256位SM2密钥生成算法及密钥备份和恢复；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7、设备运行状态监控；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8、支持CPU和内存的利用率、磁盘占用率、网络状态、用户登录状态等的实时监控；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9、支持多种API接口，包括CSP、PKCS#1、PKCS#7、PKCS#10、PKCS#11、JCE等接口。同时可根据用户需求定制接口；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6、支持基于SM2算法的时间戳服务，为应用系统提供时间戳签发、验证时间戳服务，实现对数据、消息、文件等多种格式原文数据的时间戳签发服务；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7、支持NTP协议，支持多个第三方时间源的配置管理，能够与第三方授时中心、卫星授权时间源(北斗、GPS)进行时间同步，确保签发时间戳时所获取的时间有效、精确。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三、管理功能：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1、支持分级权限管理，用于管理员、审计员身份鉴别的密钥存储在智能密码钥匙中；</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2、支持B/S和C/S两种设备配置管理方式；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3、支持将用户签名证书、加密证书导入设备；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4、支持OCSP在线查询服务配置和CRL自动更新配置；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5、支持指定算法类型、密钥号等信息，生成P10申请文件并导出；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6、支持设备初始化功能，为防止误操作，支持对设备初始化功能进行启用和关闭控制；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7、支持数字信封管理，包括生成数字信封和数字信封解封；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8、在满足权限的情况下，支持将设备内的密钥等重要信息加密后进行备份，并且可以恢复到相同型号的签名验签服务器中，备份采用（3，5）门限方式，产生备份密钥并分割导出到5个智能密钥钥匙中；</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9、支持配置记录日志的类型，如运行日志、DEBUG日志、错误日志；支持日志的查询、审计、下载、清除；采用数字签名技术对日志数据进行完整性保护；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10、支持设置访问IP白名单，仅允许白名单内IP访问签名验签服务器；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●11、支持数字证书有效性验证策略配置，至少包括验证证书有效期、验证证书签名有效性、验证证书是否在CRL中三种验证策略。</w:t>
            </w:r>
          </w:p>
        </w:tc>
        <w:tc>
          <w:tcPr>
            <w:tcW w:w="754" w:type="dxa"/>
            <w:tcBorders>
              <w:top w:val="single" w:color="000000" w:sz="4" w:space="0"/>
              <w:left w:val="single" w:color="000000" w:sz="4" w:space="0"/>
              <w:bottom w:val="single" w:color="000000" w:sz="4" w:space="0"/>
              <w:right w:val="single" w:color="000000" w:sz="4" w:space="0"/>
            </w:tcBorders>
            <w:vAlign w:val="center"/>
          </w:tcPr>
          <w:p w14:paraId="6028FB5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609E925">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台</w:t>
            </w:r>
          </w:p>
        </w:tc>
      </w:tr>
      <w:tr w14:paraId="66067CA7">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030BEC61">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3.8.6</w:t>
            </w:r>
          </w:p>
        </w:tc>
        <w:tc>
          <w:tcPr>
            <w:tcW w:w="1035" w:type="dxa"/>
            <w:tcBorders>
              <w:top w:val="single" w:color="000000" w:sz="4" w:space="0"/>
              <w:left w:val="single" w:color="000000" w:sz="4" w:space="0"/>
              <w:bottom w:val="single" w:color="000000" w:sz="4" w:space="0"/>
              <w:right w:val="single" w:color="000000" w:sz="4" w:space="0"/>
            </w:tcBorders>
            <w:vAlign w:val="center"/>
          </w:tcPr>
          <w:p w14:paraId="000974C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智能密码钥匙</w:t>
            </w:r>
          </w:p>
        </w:tc>
        <w:tc>
          <w:tcPr>
            <w:tcW w:w="6176" w:type="dxa"/>
            <w:tcBorders>
              <w:top w:val="single" w:color="000000" w:sz="4" w:space="0"/>
              <w:left w:val="single" w:color="000000" w:sz="4" w:space="0"/>
              <w:bottom w:val="single" w:color="000000" w:sz="4" w:space="0"/>
              <w:right w:val="single" w:color="000000" w:sz="4" w:space="0"/>
            </w:tcBorders>
            <w:vAlign w:val="center"/>
          </w:tcPr>
          <w:p w14:paraId="4653F21B">
            <w:pPr>
              <w:widowControl/>
              <w:jc w:val="left"/>
              <w:textAlignment w:val="center"/>
              <w:rPr>
                <w:rFonts w:ascii="宋体" w:hAnsi="宋体" w:cs="宋体"/>
                <w:color w:val="auto"/>
                <w:szCs w:val="22"/>
                <w:highlight w:val="none"/>
              </w:rPr>
            </w:pPr>
            <w:r>
              <w:rPr>
                <w:rFonts w:hint="eastAsia" w:ascii="宋体" w:hAnsi="宋体" w:cs="宋体"/>
                <w:color w:val="auto"/>
                <w:kern w:val="0"/>
                <w:sz w:val="22"/>
                <w:szCs w:val="22"/>
                <w:highlight w:val="none"/>
                <w:lang w:bidi="ar"/>
              </w:rPr>
              <w:t>1、支持ECB、CBC、OFB模式的SM1密码算法；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2、支持SM2密码算法，可在内部进行加解密、签名验签、密钥对生成；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3、支持SM3密码算法；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4、支持ECB、CBC、OFB模式的SM4密码算法；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5、支持数据的安全存储功能；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6、对称密钥数量≥128个；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7、SM2密钥数量≥32对；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8、采用物理噪声源生成真随机数，噪声源芯片≥2个；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9、支持用户通过堡垒机访问应用系统时，实现在堡垒机上远程调用KEY的模式。</w:t>
            </w:r>
          </w:p>
        </w:tc>
        <w:tc>
          <w:tcPr>
            <w:tcW w:w="754" w:type="dxa"/>
            <w:tcBorders>
              <w:top w:val="single" w:color="000000" w:sz="4" w:space="0"/>
              <w:left w:val="single" w:color="000000" w:sz="4" w:space="0"/>
              <w:bottom w:val="single" w:color="000000" w:sz="4" w:space="0"/>
              <w:right w:val="single" w:color="000000" w:sz="4" w:space="0"/>
            </w:tcBorders>
            <w:vAlign w:val="center"/>
          </w:tcPr>
          <w:p w14:paraId="3D68FD0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w:t>
            </w:r>
          </w:p>
        </w:tc>
        <w:tc>
          <w:tcPr>
            <w:tcW w:w="660" w:type="dxa"/>
            <w:tcBorders>
              <w:top w:val="single" w:color="000000" w:sz="4" w:space="0"/>
              <w:left w:val="single" w:color="000000" w:sz="4" w:space="0"/>
              <w:bottom w:val="single" w:color="000000" w:sz="4" w:space="0"/>
              <w:right w:val="single" w:color="000000" w:sz="4" w:space="0"/>
            </w:tcBorders>
            <w:vAlign w:val="center"/>
          </w:tcPr>
          <w:p w14:paraId="084E200D">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2D6AC2DA">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69D9CD5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3.8.7</w:t>
            </w:r>
          </w:p>
        </w:tc>
        <w:tc>
          <w:tcPr>
            <w:tcW w:w="1035" w:type="dxa"/>
            <w:tcBorders>
              <w:top w:val="single" w:color="000000" w:sz="4" w:space="0"/>
              <w:left w:val="single" w:color="000000" w:sz="4" w:space="0"/>
              <w:bottom w:val="single" w:color="000000" w:sz="4" w:space="0"/>
              <w:right w:val="single" w:color="000000" w:sz="4" w:space="0"/>
            </w:tcBorders>
            <w:vAlign w:val="center"/>
          </w:tcPr>
          <w:p w14:paraId="00AD02D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个人数字证书</w:t>
            </w:r>
          </w:p>
        </w:tc>
        <w:tc>
          <w:tcPr>
            <w:tcW w:w="6176" w:type="dxa"/>
            <w:tcBorders>
              <w:top w:val="single" w:color="000000" w:sz="4" w:space="0"/>
              <w:left w:val="single" w:color="000000" w:sz="4" w:space="0"/>
              <w:bottom w:val="single" w:color="000000" w:sz="4" w:space="0"/>
              <w:right w:val="single" w:color="000000" w:sz="4" w:space="0"/>
            </w:tcBorders>
            <w:vAlign w:val="center"/>
          </w:tcPr>
          <w:p w14:paraId="1AC1B721">
            <w:pPr>
              <w:widowControl/>
              <w:jc w:val="left"/>
              <w:textAlignment w:val="center"/>
              <w:rPr>
                <w:rFonts w:ascii="宋体" w:hAnsi="宋体" w:cs="宋体"/>
                <w:color w:val="auto"/>
                <w:szCs w:val="22"/>
                <w:highlight w:val="none"/>
              </w:rPr>
            </w:pPr>
            <w:r>
              <w:rPr>
                <w:rFonts w:hint="eastAsia" w:ascii="宋体" w:hAnsi="宋体" w:cs="宋体"/>
                <w:color w:val="auto"/>
                <w:kern w:val="0"/>
                <w:sz w:val="22"/>
                <w:szCs w:val="22"/>
                <w:highlight w:val="none"/>
                <w:lang w:bidi="ar"/>
              </w:rPr>
              <w:t>1、通过数字证书确认网络中传递信息的个人身份，确保个人线上身份同线下身份一致；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2、利用数字证书进行数字签名，其作用与手写的签名具有同等法律效力；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3、数字证书可以帮助发送方使用接收方的公钥对数据加密，而接收方则使用自己的私钥解密，实现信息安全传输。</w:t>
            </w:r>
          </w:p>
        </w:tc>
        <w:tc>
          <w:tcPr>
            <w:tcW w:w="754" w:type="dxa"/>
            <w:tcBorders>
              <w:top w:val="single" w:color="000000" w:sz="4" w:space="0"/>
              <w:left w:val="single" w:color="000000" w:sz="4" w:space="0"/>
              <w:bottom w:val="single" w:color="000000" w:sz="4" w:space="0"/>
              <w:right w:val="single" w:color="000000" w:sz="4" w:space="0"/>
            </w:tcBorders>
            <w:vAlign w:val="center"/>
          </w:tcPr>
          <w:p w14:paraId="427E7B8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w:t>
            </w:r>
          </w:p>
        </w:tc>
        <w:tc>
          <w:tcPr>
            <w:tcW w:w="660" w:type="dxa"/>
            <w:tcBorders>
              <w:top w:val="single" w:color="000000" w:sz="4" w:space="0"/>
              <w:left w:val="single" w:color="000000" w:sz="4" w:space="0"/>
              <w:bottom w:val="single" w:color="000000" w:sz="4" w:space="0"/>
              <w:right w:val="single" w:color="000000" w:sz="4" w:space="0"/>
            </w:tcBorders>
            <w:vAlign w:val="center"/>
          </w:tcPr>
          <w:p w14:paraId="00C081B6">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4B8B423C">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368DD293">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3.8.8</w:t>
            </w:r>
          </w:p>
        </w:tc>
        <w:tc>
          <w:tcPr>
            <w:tcW w:w="1035" w:type="dxa"/>
            <w:tcBorders>
              <w:top w:val="single" w:color="000000" w:sz="4" w:space="0"/>
              <w:left w:val="single" w:color="000000" w:sz="4" w:space="0"/>
              <w:bottom w:val="single" w:color="000000" w:sz="4" w:space="0"/>
              <w:right w:val="single" w:color="000000" w:sz="4" w:space="0"/>
            </w:tcBorders>
            <w:vAlign w:val="center"/>
          </w:tcPr>
          <w:p w14:paraId="154781B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国密浏览器</w:t>
            </w:r>
          </w:p>
        </w:tc>
        <w:tc>
          <w:tcPr>
            <w:tcW w:w="6176" w:type="dxa"/>
            <w:tcBorders>
              <w:top w:val="single" w:color="000000" w:sz="4" w:space="0"/>
              <w:left w:val="single" w:color="000000" w:sz="4" w:space="0"/>
              <w:bottom w:val="single" w:color="000000" w:sz="4" w:space="0"/>
              <w:right w:val="nil"/>
            </w:tcBorders>
            <w:vAlign w:val="center"/>
          </w:tcPr>
          <w:p w14:paraId="0266F9B4">
            <w:pPr>
              <w:widowControl/>
              <w:jc w:val="left"/>
              <w:textAlignment w:val="center"/>
              <w:rPr>
                <w:rFonts w:ascii="宋体" w:hAnsi="宋体" w:cs="宋体"/>
                <w:color w:val="auto"/>
                <w:szCs w:val="22"/>
                <w:highlight w:val="none"/>
              </w:rPr>
            </w:pPr>
            <w:r>
              <w:rPr>
                <w:rFonts w:hint="eastAsia" w:ascii="宋体" w:hAnsi="宋体" w:cs="宋体"/>
                <w:color w:val="auto"/>
                <w:kern w:val="0"/>
                <w:sz w:val="22"/>
                <w:szCs w:val="22"/>
                <w:highlight w:val="none"/>
                <w:lang w:bidi="ar"/>
              </w:rPr>
              <w:t xml:space="preserve">1、双算法支持，同时支持国密算法和国际通用算法。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对称算法支持 SM4、3DES、AES。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非对称算法支持 SM2、RSA（1024、2048、4096）、ECC。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杂凑密码算法支持 SM3、SHA_1、SHA_256、SHA_512。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2、支持 SSL 链接，浏览器支持 SSL，TLS，可支持配置国密/国际算法。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3、支持 SSL 单项及双向链接，与 Web 服务器之间建立安全通道，保证 Web 网页访问的安全性。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4、支持基于 SM2算法 、RSA算法的数字证书、数字证书撤销列表（CRL）。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5、支持 NPAPI、PPAPI 控件。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6、支持通过国密 SKF 接口访问硬件数字证书。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7、支持页面解析功能，提供对各业务系统功能的承载展示。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8、支持页面标签栏功能，提供多标签呈现形式和标签切换功能。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9、支持地址栏功能，提供输入地址、网页搜索快速访问对应网址的功能。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10、支持前进后退操作按钮，实现对当前标签网页的逐步回滚和恢复浏览。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11、支持页面刷新，提供手动重载当前网页，刷新显示内容的功能。 支持网址收藏，提供查看已收藏的网页列表，和书签快速访问功能。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12、支持收藏夹管理，提供收藏栏显示隐藏和对已收藏网页列表的管理。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13、支持证书管理，提供 HTTPS/SSL 传输协议中根证书的与集成和证书的导入导出功能。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14、支持下载管理，提供曾下载的文件和文件列表详细信息记录。 15、支持扩展管理，提供对于应用扩展，可以进行增删改查的管理功能。 支持默认搜索引擎设置，提供设置使用不同搜索引擎功能，便于网页查找和搜索。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16、支持网络连接设置，提供网络代理和代理服务器配置管理功能。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17、支持数据安全通讯功能，建立信创安全浏览器客户端软件与相关应用系统服 务端间建立基于国产密码算法的加密数据传输安全通道。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18、支持插件管控功能，提供插件的预安装、自定义安装、卸载的统一管理以及 合法插件自动检查、下载、静默安装和非法的插件则禁止安装的功能。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19、支持证书管控功能：提供根证书的安装、卸载的统一管理以及合法证书自动 检查、下载、静默安装和非法的证书禁止安装功能。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20、支持安全沙箱功能，提供对信创安全浏览器客户端软件和计算机操作系统的保护。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21、支持防拷贝功能，提供防拷贝操作管控，避免敏感数据外泄，保护用户隐私 数据。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22、支持隐私设置功能，提供对使用信创安全浏览器客户端软件的过程中产生的 所有浏览数据部分内容或者全部内容的自动清除。提供对 cookie 信息特殊的定 制化处理。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23、支持无痕浏览功能，提供使用信创安全浏览器客户端软件时选择隐私模式进 行无痕浏览。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24、支持水印功能，提供水印添加功能和水印信息管理功能，实现对泄漏数据的 泄漏源进行追踪。</w:t>
            </w:r>
          </w:p>
        </w:tc>
        <w:tc>
          <w:tcPr>
            <w:tcW w:w="754" w:type="dxa"/>
            <w:tcBorders>
              <w:top w:val="single" w:color="000000" w:sz="4" w:space="0"/>
              <w:left w:val="single" w:color="000000" w:sz="4" w:space="0"/>
              <w:bottom w:val="single" w:color="000000" w:sz="4" w:space="0"/>
              <w:right w:val="single" w:color="000000" w:sz="4" w:space="0"/>
            </w:tcBorders>
            <w:vAlign w:val="center"/>
          </w:tcPr>
          <w:p w14:paraId="47C67C8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10</w:t>
            </w:r>
          </w:p>
        </w:tc>
        <w:tc>
          <w:tcPr>
            <w:tcW w:w="660" w:type="dxa"/>
            <w:tcBorders>
              <w:top w:val="single" w:color="000000" w:sz="4" w:space="0"/>
              <w:left w:val="single" w:color="000000" w:sz="4" w:space="0"/>
              <w:bottom w:val="single" w:color="000000" w:sz="4" w:space="0"/>
              <w:right w:val="single" w:color="000000" w:sz="4" w:space="0"/>
            </w:tcBorders>
            <w:vAlign w:val="center"/>
          </w:tcPr>
          <w:p w14:paraId="7F2E2C37">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个</w:t>
            </w:r>
          </w:p>
        </w:tc>
      </w:tr>
      <w:tr w14:paraId="3ECA44F4">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97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2D2">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国密设备数字证书</w:t>
            </w:r>
          </w:p>
        </w:tc>
        <w:tc>
          <w:tcPr>
            <w:tcW w:w="6176" w:type="dxa"/>
            <w:tcBorders>
              <w:top w:val="single" w:color="000000" w:sz="4" w:space="0"/>
              <w:left w:val="single" w:color="000000" w:sz="4" w:space="0"/>
              <w:bottom w:val="single" w:color="000000" w:sz="4" w:space="0"/>
              <w:right w:val="nil"/>
            </w:tcBorders>
            <w:shd w:val="clear" w:color="auto" w:fill="auto"/>
            <w:vAlign w:val="center"/>
          </w:tcPr>
          <w:p w14:paraId="07DBA181">
            <w:pPr>
              <w:widowControl/>
              <w:jc w:val="left"/>
              <w:textAlignment w:val="center"/>
              <w:rPr>
                <w:rFonts w:ascii="宋体" w:hAnsi="宋体" w:cs="宋体"/>
                <w:color w:val="auto"/>
                <w:szCs w:val="22"/>
                <w:highlight w:val="none"/>
              </w:rPr>
            </w:pPr>
            <w:r>
              <w:rPr>
                <w:rFonts w:hint="eastAsia" w:ascii="宋体" w:hAnsi="宋体" w:cs="宋体"/>
                <w:color w:val="auto"/>
                <w:kern w:val="0"/>
                <w:sz w:val="22"/>
                <w:szCs w:val="22"/>
                <w:highlight w:val="none"/>
                <w:lang w:bidi="ar"/>
              </w:rPr>
              <w:t>为签名验签与时间戳二合一服务器等签发的数字证书，用于标识设备、服务器数字身份，支持SM2、SM3、SM4算法，具有身份认证、加/密、签名/验签等功能。要求符合密码测评第三级系统要求。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1、在创建设备时，平台为设备颁发的唯一证书文件，设备建立连接时会强校验设备端证书文件，确保身份合法。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2、通过给设备颁发数字证书的方式给重要设备一层安全防护，有效防止重要设备被调包造成损失。</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3、通过设备身份实现快速检索，主要包括：设备名称、设备备注、在线状态、版本信息、设备证书、设备私钥等等。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4、提供三年服务期</w:t>
            </w:r>
          </w:p>
        </w:tc>
        <w:tc>
          <w:tcPr>
            <w:tcW w:w="754" w:type="dxa"/>
            <w:tcBorders>
              <w:top w:val="single" w:color="000000" w:sz="4" w:space="0"/>
              <w:left w:val="single" w:color="000000" w:sz="4" w:space="0"/>
              <w:bottom w:val="single" w:color="000000" w:sz="4" w:space="0"/>
              <w:right w:val="single" w:color="000000" w:sz="4" w:space="0"/>
            </w:tcBorders>
            <w:vAlign w:val="center"/>
          </w:tcPr>
          <w:p w14:paraId="295234E9">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66CAD2B4">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184DC081">
        <w:tblPrEx>
          <w:tblCellMar>
            <w:top w:w="0" w:type="dxa"/>
            <w:left w:w="108" w:type="dxa"/>
            <w:bottom w:w="0" w:type="dxa"/>
            <w:right w:w="108" w:type="dxa"/>
          </w:tblCellMar>
        </w:tblPrEx>
        <w:trPr>
          <w:trHeight w:val="400" w:hRule="atLeast"/>
        </w:trPr>
        <w:tc>
          <w:tcPr>
            <w:tcW w:w="814" w:type="dxa"/>
            <w:tcBorders>
              <w:top w:val="single" w:color="000000" w:sz="4" w:space="0"/>
              <w:left w:val="single" w:color="000000" w:sz="4" w:space="0"/>
              <w:bottom w:val="single" w:color="000000" w:sz="4" w:space="0"/>
              <w:right w:val="single" w:color="000000" w:sz="4" w:space="0"/>
            </w:tcBorders>
            <w:vAlign w:val="center"/>
          </w:tcPr>
          <w:p w14:paraId="74F08D9B">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3.8.10</w:t>
            </w:r>
          </w:p>
        </w:tc>
        <w:tc>
          <w:tcPr>
            <w:tcW w:w="1035" w:type="dxa"/>
            <w:tcBorders>
              <w:top w:val="single" w:color="000000" w:sz="4" w:space="0"/>
              <w:left w:val="single" w:color="000000" w:sz="4" w:space="0"/>
              <w:bottom w:val="single" w:color="000000" w:sz="4" w:space="0"/>
              <w:right w:val="single" w:color="000000" w:sz="4" w:space="0"/>
            </w:tcBorders>
            <w:vAlign w:val="center"/>
          </w:tcPr>
          <w:p w14:paraId="7BA2C35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SSL数字证书</w:t>
            </w:r>
          </w:p>
        </w:tc>
        <w:tc>
          <w:tcPr>
            <w:tcW w:w="6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5250">
            <w:pPr>
              <w:widowControl/>
              <w:jc w:val="left"/>
              <w:textAlignment w:val="center"/>
              <w:rPr>
                <w:rFonts w:ascii="宋体" w:hAnsi="宋体" w:cs="宋体"/>
                <w:color w:val="auto"/>
                <w:szCs w:val="22"/>
                <w:highlight w:val="none"/>
              </w:rPr>
            </w:pPr>
            <w:r>
              <w:rPr>
                <w:rFonts w:hint="eastAsia" w:ascii="宋体" w:hAnsi="宋体" w:cs="宋体"/>
                <w:color w:val="auto"/>
                <w:kern w:val="0"/>
                <w:sz w:val="22"/>
                <w:szCs w:val="22"/>
                <w:highlight w:val="none"/>
                <w:lang w:bidi="ar"/>
              </w:rPr>
              <w:t>1、启用企业网站全站https安全加密，激活绿色安全标识(DVJO或地栏企业名称标识(EV)；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2、钓鱼网站的信息欺诈手段使得政务网站公信力大打折扣，启用权威认证的SSL证书能够有效保障用户信息安全，提高网站公信力；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3、支付环节极易成为不法用户信息劫持和伪装欺诈的重要目标。实现网站支付环节的HTTPS信息加密传输。</w:t>
            </w:r>
          </w:p>
        </w:tc>
        <w:tc>
          <w:tcPr>
            <w:tcW w:w="754" w:type="dxa"/>
            <w:tcBorders>
              <w:top w:val="single" w:color="000000" w:sz="4" w:space="0"/>
              <w:left w:val="single" w:color="000000" w:sz="4" w:space="0"/>
              <w:bottom w:val="single" w:color="000000" w:sz="4" w:space="0"/>
              <w:right w:val="single" w:color="000000" w:sz="4" w:space="0"/>
            </w:tcBorders>
            <w:vAlign w:val="center"/>
          </w:tcPr>
          <w:p w14:paraId="503D2FDF">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1</w:t>
            </w:r>
          </w:p>
        </w:tc>
        <w:tc>
          <w:tcPr>
            <w:tcW w:w="660" w:type="dxa"/>
            <w:tcBorders>
              <w:top w:val="single" w:color="000000" w:sz="4" w:space="0"/>
              <w:left w:val="single" w:color="000000" w:sz="4" w:space="0"/>
              <w:bottom w:val="single" w:color="000000" w:sz="4" w:space="0"/>
              <w:right w:val="single" w:color="000000" w:sz="4" w:space="0"/>
            </w:tcBorders>
            <w:vAlign w:val="center"/>
          </w:tcPr>
          <w:p w14:paraId="5B47190A">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项</w:t>
            </w:r>
          </w:p>
        </w:tc>
      </w:tr>
      <w:tr w14:paraId="0FB0F137">
        <w:tblPrEx>
          <w:tblCellMar>
            <w:top w:w="0" w:type="dxa"/>
            <w:left w:w="108" w:type="dxa"/>
            <w:bottom w:w="0" w:type="dxa"/>
            <w:right w:w="108" w:type="dxa"/>
          </w:tblCellMar>
        </w:tblPrEx>
        <w:trPr>
          <w:trHeight w:val="875" w:hRule="atLeast"/>
        </w:trPr>
        <w:tc>
          <w:tcPr>
            <w:tcW w:w="9439" w:type="dxa"/>
            <w:gridSpan w:val="5"/>
            <w:tcBorders>
              <w:top w:val="single" w:color="000000" w:sz="4" w:space="0"/>
              <w:left w:val="single" w:color="000000" w:sz="4" w:space="0"/>
              <w:bottom w:val="single" w:color="000000" w:sz="4" w:space="0"/>
              <w:right w:val="single" w:color="000000" w:sz="4" w:space="0"/>
            </w:tcBorders>
            <w:vAlign w:val="center"/>
          </w:tcPr>
          <w:p w14:paraId="19AC3BB9">
            <w:pPr>
              <w:widowControl/>
              <w:spacing w:after="0" w:line="279" w:lineRule="auto"/>
              <w:jc w:val="center"/>
              <w:textAlignment w:val="center"/>
              <w:rPr>
                <w:rFonts w:ascii="宋体" w:hAnsi="宋体" w:cs="宋体"/>
                <w:color w:val="auto"/>
                <w:kern w:val="0"/>
                <w:szCs w:val="22"/>
                <w:highlight w:val="none"/>
                <w:lang w:bidi="ar"/>
              </w:rPr>
            </w:pPr>
            <w:r>
              <w:rPr>
                <w:rFonts w:hint="eastAsia" w:ascii="宋体" w:hAnsi="宋体" w:cs="宋体"/>
                <w:b/>
                <w:bCs/>
                <w:color w:val="auto"/>
                <w:kern w:val="0"/>
                <w:sz w:val="24"/>
                <w:highlight w:val="none"/>
              </w:rPr>
              <w:t>采购预算金额</w:t>
            </w:r>
            <w:r>
              <w:rPr>
                <w:rFonts w:hint="eastAsia" w:ascii="宋体" w:hAnsi="宋体" w:cs="宋体"/>
                <w:color w:val="auto"/>
                <w:kern w:val="0"/>
                <w:sz w:val="24"/>
                <w:highlight w:val="none"/>
              </w:rPr>
              <w:t>：（人民币）壹仟</w:t>
            </w:r>
            <w:r>
              <w:rPr>
                <w:rFonts w:hint="eastAsia" w:ascii="宋体" w:hAnsi="宋体" w:cs="宋体"/>
                <w:color w:val="auto"/>
                <w:kern w:val="0"/>
                <w:sz w:val="24"/>
                <w:highlight w:val="none"/>
                <w:lang w:eastAsia="zh-CN"/>
              </w:rPr>
              <w:t>柒</w:t>
            </w:r>
            <w:r>
              <w:rPr>
                <w:rFonts w:hint="eastAsia" w:ascii="宋体" w:hAnsi="宋体" w:cs="宋体"/>
                <w:color w:val="auto"/>
                <w:kern w:val="0"/>
                <w:sz w:val="24"/>
                <w:highlight w:val="none"/>
              </w:rPr>
              <w:t>佰</w:t>
            </w:r>
            <w:r>
              <w:rPr>
                <w:rFonts w:hint="eastAsia" w:ascii="宋体" w:hAnsi="宋体" w:cs="宋体"/>
                <w:color w:val="auto"/>
                <w:kern w:val="0"/>
                <w:sz w:val="24"/>
                <w:highlight w:val="none"/>
                <w:lang w:eastAsia="zh-CN"/>
              </w:rPr>
              <w:t>零伍万捌</w:t>
            </w:r>
            <w:r>
              <w:rPr>
                <w:rFonts w:hint="eastAsia" w:ascii="宋体" w:hAnsi="宋体" w:cs="宋体"/>
                <w:color w:val="auto"/>
                <w:kern w:val="0"/>
                <w:sz w:val="24"/>
                <w:highlight w:val="none"/>
              </w:rPr>
              <w:t>仟</w:t>
            </w:r>
            <w:r>
              <w:rPr>
                <w:rFonts w:hint="eastAsia" w:ascii="宋体" w:hAnsi="宋体" w:cs="宋体"/>
                <w:color w:val="auto"/>
                <w:kern w:val="0"/>
                <w:sz w:val="24"/>
                <w:highlight w:val="none"/>
                <w:lang w:eastAsia="zh-CN"/>
              </w:rPr>
              <w:t>零捌拾陆</w:t>
            </w:r>
            <w:r>
              <w:rPr>
                <w:rFonts w:hint="eastAsia" w:ascii="宋体" w:hAnsi="宋体" w:cs="宋体"/>
                <w:color w:val="auto"/>
                <w:kern w:val="0"/>
                <w:sz w:val="24"/>
                <w:highlight w:val="none"/>
              </w:rPr>
              <w:t>元整（¥</w:t>
            </w:r>
            <w:r>
              <w:rPr>
                <w:rFonts w:hint="eastAsia" w:ascii="宋体" w:hAnsi="宋体" w:cs="宋体"/>
                <w:color w:val="auto"/>
                <w:kern w:val="0"/>
                <w:sz w:val="24"/>
                <w:highlight w:val="none"/>
                <w:lang w:eastAsia="zh-CN"/>
              </w:rPr>
              <w:t>17058086</w:t>
            </w:r>
            <w:r>
              <w:rPr>
                <w:rFonts w:hint="eastAsia" w:ascii="宋体" w:hAnsi="宋体" w:cs="宋体"/>
                <w:color w:val="auto"/>
                <w:kern w:val="0"/>
                <w:sz w:val="24"/>
                <w:highlight w:val="none"/>
              </w:rPr>
              <w:t>.00）</w:t>
            </w:r>
          </w:p>
        </w:tc>
      </w:tr>
      <w:tr w14:paraId="37D3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439" w:type="dxa"/>
            <w:gridSpan w:val="5"/>
            <w:vAlign w:val="center"/>
          </w:tcPr>
          <w:p w14:paraId="1C466A92">
            <w:pPr>
              <w:widowControl/>
              <w:spacing w:after="0" w:line="279" w:lineRule="auto"/>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商 务 条 款</w:t>
            </w:r>
          </w:p>
        </w:tc>
      </w:tr>
      <w:tr w14:paraId="773C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4C2BC45B">
            <w:pPr>
              <w:widowControl/>
              <w:jc w:val="center"/>
              <w:textAlignment w:val="center"/>
              <w:rPr>
                <w:rFonts w:ascii="宋体" w:hAnsi="宋体" w:cs="宋体"/>
                <w:b/>
                <w:bCs/>
                <w:color w:val="auto"/>
                <w:szCs w:val="22"/>
                <w:highlight w:val="none"/>
              </w:rPr>
            </w:pPr>
            <w:r>
              <w:rPr>
                <w:rFonts w:hint="eastAsia" w:ascii="宋体" w:hAnsi="宋体" w:cs="宋体"/>
                <w:b/>
                <w:bCs/>
                <w:color w:val="auto"/>
                <w:kern w:val="0"/>
                <w:szCs w:val="22"/>
                <w:highlight w:val="none"/>
                <w:lang w:bidi="ar"/>
              </w:rPr>
              <w:t>技术要求</w:t>
            </w:r>
          </w:p>
        </w:tc>
        <w:tc>
          <w:tcPr>
            <w:tcW w:w="7590" w:type="dxa"/>
            <w:gridSpan w:val="3"/>
            <w:vAlign w:val="center"/>
          </w:tcPr>
          <w:p w14:paraId="407E30D5">
            <w:pPr>
              <w:widowControl/>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一、总体要求: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1.业务功能覆盖《化工园区安全风险智能化管控平台建设指南》(以下简称指南)安全基础管理、重大危险源安全管理、双重预防机制、特殊作业管理、封闭化管理、敏捷应急六大功能模块；</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2.满足部级接入规范，可与上级政府应急管理部门进行数据的交换、汇聚、共享和集成，支持第三方采集验证；</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3.稳定性应满足7*24h运行要求；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4.达到安全等保2.0三级并获得相关测评报告；</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5.试运行1个月，并提供连续完整的试运行记录；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6.聚集区内危险化学品企业安全风险智能化管控平台建设率≥90%。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二、网络建设</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1.静态数据(企业基础数据、承包商、特殊作业、双重预防机制等)传输网络延迟不超过2秒；</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2.调出视频画面响应时间应不大于3s;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3.实时动态数据(传感器感知数据)传输网络延迟不超过2秒，数据更新频次不低于每5分钟1次。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三、数据接入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1.聚集区内化工企业平台 接入 聚集区平台率≥90%;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2.聚集区内所有重大危险源基础信息 及 监测监控数据按规范 要求接入园区平台；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3.必建的安全基础管理、重大危险源安全管理、双重预防机制、特殊作业管理、封闭化管理、敏捷应急六大功能模块中，单个平台功能模块数据接入得分率小于60%的情况不超过2次。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四、平台基本要求</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1.采用B/S架构，以及主流、开放的平台应用框架；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2.实现多个功能模块能够通过同一入口进行访问和使用；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3.实现与园区现有系统功能互补；</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4.基础信息数据实现互联互通，信息可相互调用，其他数据预留可共享和交换接口；</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5.功能可拓展，支持扩展新应用或新场景；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6.支持跨平台、跨系统运行，根据不同场景支持大屏、电脑端和移动设备；</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7.支持感知类传感监测设备、工业控制设备、边缘计算设备、监控摄像机、数据网关及其他硬件设备间数据通讯；</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8.统一规划管理各相关软件系统，协调迭代优化，确保互操作性，实现数据“一次性输入、多处调用”。</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五、系统架构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按照工业互联网平台架构进行设计，总体架构层级包含边缘层、网络层、IaaS层、DaaS层、PaaS层、SaaS层六个层次，建立统一的标准规范体系和安全运维保障体系。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六、网络架构</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1.网络拓扑结构、路由策略、交换机配置等可灵活配置；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2.配置防火墙、安全网关等安全措施，有效防范网络安全攻击 ；</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3.满足在未来的发展过程中进行维护升级和故障排除；</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4.实现与化工企业、监管部门之间建立稳定可靠的网络连接通道。</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七、数据体系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1.编制应用数据采集标准、数据交换接口规范，开展统一资源目录管理，规范各类信息资源元数据和编码规则；</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2.提供统一的数据处理机制及数据开发共享能力；</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3.具备数据挖掘和分析能力，为园区安全管理提供决策辅助：</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4.开展数据治理工作，确保数据的准确性、完整性和及时性，不存在数据错误、缺失、重复等问题;</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5.数据备份与恢复措施有效，能够确保数据的可恢复性和可靠性，防止数据丢失。</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八、系统安全体系</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1.提供安全保障软硬件配套设施及服务：</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2.建立满足园区安全管理需求的安全技术体系和相应管理机制。</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九、响应时间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1.交互类：平均响应时间：0.2-0.8s,峰值响应时间：0.5-1s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2.查询类：简单查询平均响应时间：1-3s,复杂查询平均响应时间：3-5s,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地理信息查询平均响应时间：5-10s;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3.在线分析类：平均响应时间：0.3-1s,峰值响应时间：0.5-3s: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4.统计报表类：平均响应时间：1-3s,峰值响应时间：3-8s;</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5.并发数：支持同时在线用户数大于1000,并发用户数不小于300。</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十、运行情况</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1.接入真实业务数据；</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2.实现接入系统的业务数据与实际业务数据保持一致；</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3.实现真实业务数据发生变化时园区系统及时更新：</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4.保留业务数据、关键操作记录等历史记录；</w:t>
            </w:r>
            <w:r>
              <w:rPr>
                <w:rFonts w:hint="eastAsia" w:ascii="宋体" w:hAnsi="宋体" w:cs="宋体"/>
                <w:color w:val="auto"/>
                <w:kern w:val="0"/>
                <w:szCs w:val="22"/>
                <w:highlight w:val="none"/>
                <w:lang w:bidi="ar"/>
              </w:rPr>
              <w:br w:type="textWrapping"/>
            </w:r>
            <w:r>
              <w:rPr>
                <w:rFonts w:hint="eastAsia" w:ascii="宋体" w:hAnsi="宋体" w:cs="宋体"/>
                <w:color w:val="auto"/>
                <w:kern w:val="0"/>
                <w:szCs w:val="22"/>
                <w:highlight w:val="none"/>
                <w:lang w:bidi="ar"/>
              </w:rPr>
              <w:t>5.实现基本功能业务完整操作流程闭环。</w:t>
            </w:r>
          </w:p>
        </w:tc>
      </w:tr>
      <w:tr w14:paraId="16D9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6F2A0A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质保期</w:t>
            </w:r>
          </w:p>
        </w:tc>
        <w:tc>
          <w:tcPr>
            <w:tcW w:w="7590" w:type="dxa"/>
            <w:gridSpan w:val="3"/>
            <w:vAlign w:val="center"/>
          </w:tcPr>
          <w:p w14:paraId="214B447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质保期三年：硬件类货物质保期从初验合格之日起计算；软件类货物质保期从最终验收合格之日起计算。</w:t>
            </w:r>
          </w:p>
        </w:tc>
      </w:tr>
      <w:tr w14:paraId="58C2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0E2DD0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交付时间及地点</w:t>
            </w:r>
          </w:p>
        </w:tc>
        <w:tc>
          <w:tcPr>
            <w:tcW w:w="7590" w:type="dxa"/>
            <w:gridSpan w:val="3"/>
            <w:vAlign w:val="center"/>
          </w:tcPr>
          <w:p w14:paraId="7052E19D">
            <w:pPr>
              <w:widowControl/>
              <w:numPr>
                <w:ilvl w:val="0"/>
                <w:numId w:val="6"/>
              </w:numP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交付使用时间：</w:t>
            </w:r>
            <w:r>
              <w:rPr>
                <w:rFonts w:hint="eastAsia" w:ascii="宋体" w:hAnsi="宋体" w:cs="宋体"/>
                <w:color w:val="auto"/>
                <w:szCs w:val="21"/>
                <w:highlight w:val="none"/>
              </w:rPr>
              <w:t>项目建设期：2025年8月21日前达到试运行条件，试运行不低于1个月，2025年9月30日前项目须通过覃塘区工业园区组织相关部门、专家开展的自验收，形成自验收报告报贵港市应急管理局；2025年10月31日前，项目须通过贵港市应急管理局组织有关部门、专家，按照建设任务验收评分表验收。贵港市应急管理局形成初步验收报告后，再向广西壮族自治区应急管理厅申请验收，2025年11月30日前完成项目验收，直至通过国家应急部组织验收。</w:t>
            </w:r>
          </w:p>
          <w:p w14:paraId="318A291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2、交付地点：采购单位指定地点。</w:t>
            </w:r>
          </w:p>
        </w:tc>
      </w:tr>
      <w:tr w14:paraId="57D6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791735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合同签订时间</w:t>
            </w:r>
          </w:p>
        </w:tc>
        <w:tc>
          <w:tcPr>
            <w:tcW w:w="7590" w:type="dxa"/>
            <w:gridSpan w:val="3"/>
            <w:vAlign w:val="center"/>
          </w:tcPr>
          <w:p w14:paraId="411E500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自中标通知书发出之日起25日内。</w:t>
            </w:r>
          </w:p>
        </w:tc>
      </w:tr>
      <w:tr w14:paraId="1A35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602CD6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报价要求</w:t>
            </w:r>
          </w:p>
        </w:tc>
        <w:tc>
          <w:tcPr>
            <w:tcW w:w="7590" w:type="dxa"/>
            <w:gridSpan w:val="3"/>
            <w:vAlign w:val="center"/>
          </w:tcPr>
          <w:p w14:paraId="094D397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本次报价须为人民币报价，为采购人指定地点的现场交货价，包括投标货物（包括备品备件、专用工具等）的价格，投标货物运输（含保险）、装卸、安装（如有）、调试、检验、修补（如有）、换货及售后服务（如有）、技术服务、培训和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14:paraId="19E6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3AF55A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付款条件</w:t>
            </w:r>
          </w:p>
        </w:tc>
        <w:tc>
          <w:tcPr>
            <w:tcW w:w="7590" w:type="dxa"/>
            <w:gridSpan w:val="3"/>
            <w:vAlign w:val="center"/>
          </w:tcPr>
          <w:p w14:paraId="77A8A24B">
            <w:pPr>
              <w:widowControl/>
              <w:numPr>
                <w:ilvl w:val="-1"/>
                <w:numId w:val="0"/>
              </w:numPr>
              <w:textAlignment w:val="center"/>
              <w:rPr>
                <w:rFonts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1.</w:t>
            </w:r>
            <w:r>
              <w:rPr>
                <w:rFonts w:ascii="宋体" w:hAnsi="宋体" w:eastAsia="宋体" w:cs="宋体"/>
                <w:b w:val="0"/>
                <w:bCs w:val="0"/>
                <w:color w:val="auto"/>
                <w:sz w:val="22"/>
                <w:szCs w:val="22"/>
                <w:highlight w:val="none"/>
              </w:rPr>
              <w:t>合同签订生效后，中标方提交预付合同金额30%的申请，审批通过后支付。2.项目完成安全生产智能化管控平台的产品设计、系统平台软件开发、安装及测试、配套设备采购及安装等工作后，支付至合同金额的60%。</w:t>
            </w:r>
          </w:p>
          <w:p w14:paraId="1735CA3E">
            <w:pPr>
              <w:widowControl/>
              <w:numPr>
                <w:ilvl w:val="-1"/>
                <w:numId w:val="0"/>
              </w:numPr>
              <w:textAlignment w:val="center"/>
              <w:rPr>
                <w:rFonts w:ascii="宋体" w:hAnsi="宋体" w:cs="宋体"/>
                <w:color w:val="auto"/>
                <w:szCs w:val="21"/>
                <w:highlight w:val="none"/>
              </w:rPr>
            </w:pPr>
            <w:r>
              <w:rPr>
                <w:rFonts w:ascii="宋体" w:hAnsi="宋体" w:eastAsia="宋体" w:cs="宋体"/>
                <w:b w:val="0"/>
                <w:bCs w:val="0"/>
                <w:color w:val="auto"/>
                <w:sz w:val="22"/>
                <w:szCs w:val="22"/>
                <w:highlight w:val="none"/>
              </w:rPr>
              <w:t>3.完成项目全部建设，达到验收标准，包含每个系统平台安装、部署、实施，基础数据收集导入、系统集约后的检测、使用者培训、上线使用跟踪、文档整理、验收准备及完成验收等内容，贵港市应急管理局局组织验收合格后支付至合同金额的80%。</w:t>
            </w:r>
          </w:p>
          <w:p w14:paraId="3B7CCC12">
            <w:pPr>
              <w:widowControl/>
              <w:numPr>
                <w:ilvl w:val="-1"/>
                <w:numId w:val="0"/>
              </w:numPr>
              <w:textAlignment w:val="center"/>
              <w:rPr>
                <w:rFonts w:ascii="宋体" w:hAnsi="宋体" w:cs="宋体"/>
                <w:color w:val="auto"/>
                <w:szCs w:val="21"/>
                <w:highlight w:val="none"/>
              </w:rPr>
            </w:pPr>
            <w:r>
              <w:rPr>
                <w:rFonts w:ascii="宋体" w:hAnsi="宋体" w:eastAsia="宋体" w:cs="宋体"/>
                <w:b w:val="0"/>
                <w:bCs w:val="0"/>
                <w:color w:val="auto"/>
                <w:sz w:val="22"/>
                <w:szCs w:val="22"/>
                <w:highlight w:val="none"/>
              </w:rPr>
              <w:t>4.完成广西壮族自治区应急管理厅对本项目的验收，验收合格后，并结算经覃塘区审计部门审定后甲乙双方签字确定，支付至合同金额的97%。</w:t>
            </w:r>
          </w:p>
          <w:p w14:paraId="7361124B">
            <w:pPr>
              <w:widowControl/>
              <w:textAlignment w:val="center"/>
              <w:rPr>
                <w:rFonts w:ascii="宋体" w:hAnsi="宋体" w:eastAsia="宋体" w:cs="宋体"/>
                <w:b w:val="0"/>
                <w:bCs w:val="0"/>
                <w:color w:val="auto"/>
                <w:sz w:val="22"/>
                <w:szCs w:val="22"/>
                <w:highlight w:val="none"/>
              </w:rPr>
            </w:pPr>
            <w:r>
              <w:rPr>
                <w:rFonts w:ascii="宋体" w:hAnsi="宋体" w:eastAsia="宋体" w:cs="宋体"/>
                <w:b w:val="0"/>
                <w:bCs w:val="0"/>
                <w:color w:val="auto"/>
                <w:sz w:val="22"/>
                <w:szCs w:val="22"/>
                <w:highlight w:val="none"/>
              </w:rPr>
              <w:t>5.验收合格三年后采购人按流程支付合同价款的3%。</w:t>
            </w:r>
          </w:p>
          <w:p w14:paraId="150799C8">
            <w:pPr>
              <w:widowControl/>
              <w:textAlignment w:val="center"/>
              <w:rPr>
                <w:rFonts w:ascii="宋体" w:hAnsi="宋体" w:cs="宋体"/>
                <w:color w:val="auto"/>
                <w:szCs w:val="21"/>
                <w:highlight w:val="none"/>
              </w:rPr>
            </w:pPr>
            <w:r>
              <w:rPr>
                <w:rFonts w:ascii="宋体" w:hAnsi="宋体" w:eastAsia="宋体" w:cs="宋体"/>
                <w:b w:val="0"/>
                <w:bCs w:val="0"/>
                <w:color w:val="auto"/>
                <w:sz w:val="22"/>
                <w:szCs w:val="22"/>
                <w:highlight w:val="none"/>
              </w:rPr>
              <w:t>注：付款前提是，中标方需在结款日之前开具等额的增值税发票。</w:t>
            </w:r>
          </w:p>
        </w:tc>
      </w:tr>
      <w:tr w14:paraId="188C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38ADCF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包装和运输要求</w:t>
            </w:r>
          </w:p>
        </w:tc>
        <w:tc>
          <w:tcPr>
            <w:tcW w:w="7590" w:type="dxa"/>
            <w:gridSpan w:val="3"/>
            <w:vAlign w:val="center"/>
          </w:tcPr>
          <w:p w14:paraId="18989EB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产品包装和运输均由中标人负责。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包装：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货物的运输方式：不限。</w:t>
            </w:r>
          </w:p>
        </w:tc>
      </w:tr>
      <w:tr w14:paraId="4518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4762C8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售后服务及培训要求</w:t>
            </w:r>
          </w:p>
        </w:tc>
        <w:tc>
          <w:tcPr>
            <w:tcW w:w="7590" w:type="dxa"/>
            <w:gridSpan w:val="3"/>
            <w:vAlign w:val="center"/>
          </w:tcPr>
          <w:p w14:paraId="5631A8F2">
            <w:pPr>
              <w:widowControl/>
              <w:textAlignment w:val="center"/>
              <w:rPr>
                <w:rFonts w:ascii="宋体" w:hAnsi="宋体" w:cs="宋体"/>
                <w:color w:val="auto"/>
                <w:szCs w:val="21"/>
                <w:highlight w:val="none"/>
              </w:rPr>
            </w:pPr>
            <w:r>
              <w:rPr>
                <w:rFonts w:hint="eastAsia" w:ascii="宋体" w:hAnsi="宋体" w:cs="宋体"/>
                <w:color w:val="auto"/>
                <w:kern w:val="0"/>
                <w:szCs w:val="22"/>
                <w:highlight w:val="none"/>
              </w:rPr>
              <w:t>1.中标人应按照国家有关法律法规和“三包”规定以及招标文件、投标文件、合同及附件的规定，为采购人提供售后服务。中标人承诺质量保证期优于国家“三包”规定的，或优于招标文件规定的，按中标人实际承诺执行。</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2.提供</w:t>
            </w:r>
            <w:r>
              <w:rPr>
                <w:rFonts w:ascii="宋体" w:hAnsi="宋体" w:cs="宋体"/>
                <w:color w:val="auto"/>
                <w:kern w:val="0"/>
                <w:szCs w:val="22"/>
                <w:highlight w:val="none"/>
              </w:rPr>
              <w:t>3</w:t>
            </w:r>
            <w:r>
              <w:rPr>
                <w:rFonts w:hint="eastAsia" w:ascii="宋体" w:hAnsi="宋体" w:cs="宋体"/>
                <w:color w:val="auto"/>
                <w:kern w:val="0"/>
                <w:szCs w:val="22"/>
                <w:highlight w:val="none"/>
              </w:rPr>
              <w:t>年期平台免费运行维护，在运维期间，发生故障时接到通知后立即响应，优先以远程支持的方式处理解决，远程无法修复的</w:t>
            </w:r>
            <w:r>
              <w:rPr>
                <w:rFonts w:ascii="宋体" w:hAnsi="宋体" w:cs="宋体"/>
                <w:color w:val="auto"/>
                <w:kern w:val="0"/>
                <w:szCs w:val="22"/>
                <w:highlight w:val="none"/>
              </w:rPr>
              <w:t>4</w:t>
            </w:r>
            <w:r>
              <w:rPr>
                <w:rFonts w:hint="eastAsia" w:ascii="宋体" w:hAnsi="宋体" w:cs="宋体"/>
                <w:color w:val="auto"/>
                <w:kern w:val="0"/>
                <w:szCs w:val="22"/>
                <w:highlight w:val="none"/>
              </w:rPr>
              <w:t>小时内到达现场维修，一般故障</w:t>
            </w:r>
            <w:r>
              <w:rPr>
                <w:rFonts w:ascii="宋体" w:hAnsi="宋体" w:cs="宋体"/>
                <w:color w:val="auto"/>
                <w:kern w:val="0"/>
                <w:szCs w:val="22"/>
                <w:highlight w:val="none"/>
              </w:rPr>
              <w:t>8</w:t>
            </w:r>
            <w:r>
              <w:rPr>
                <w:rFonts w:hint="eastAsia" w:ascii="宋体" w:hAnsi="宋体" w:cs="宋体"/>
                <w:color w:val="auto"/>
                <w:kern w:val="0"/>
                <w:szCs w:val="22"/>
                <w:highlight w:val="none"/>
              </w:rPr>
              <w:t>小时内恢复，重大故障</w:t>
            </w:r>
            <w:r>
              <w:rPr>
                <w:rFonts w:ascii="宋体" w:hAnsi="宋体" w:cs="宋体"/>
                <w:color w:val="auto"/>
                <w:kern w:val="0"/>
                <w:szCs w:val="22"/>
                <w:highlight w:val="none"/>
              </w:rPr>
              <w:t>24</w:t>
            </w:r>
            <w:r>
              <w:rPr>
                <w:rFonts w:hint="eastAsia" w:ascii="宋体" w:hAnsi="宋体" w:cs="宋体"/>
                <w:color w:val="auto"/>
                <w:kern w:val="0"/>
                <w:szCs w:val="22"/>
                <w:highlight w:val="none"/>
              </w:rPr>
              <w:t>小时内恢复，若无法修复必须提供同等型号或性能更优设备替换。</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3.中标人售后服务中，维修使用的备品备件及易损件应为原厂配件，未经采购人同意不得使用非原厂配件，质保期内维修使用的备品备件及易损件的费用，由中标人承担。</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4.质量保证期内中标人为采购人所提供的所有技术支持和服务费用以及上门维修、更换零部件费用均包含在投标报价中，采购人不再另行支付。</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5.中标人必须提供完善的系统软硬件使用手册、操作培训手册、维护手册。</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6.中标人须对园区平台及企业平台使用人员进行系统培训，培训人员达到熟练掌握平台使用方法及信息应用维护要求；培训课时不少于24个课时，培训方式可采用线上或线下的方式，具体培训时间由中标人跟采购人另行约定。</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7.中标人须对使用人员定期开展信息应用考核，并形成考核记录。</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8.中标人质保期内日常运维须形成运维日志记录，建立安全风险智能化管控平台运行维护档案，定期对运维工作进行评价总结和优化，定期考核运维人员，并形成考核记录。</w:t>
            </w:r>
          </w:p>
        </w:tc>
      </w:tr>
      <w:tr w14:paraId="2FA0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573CE1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验收标准及要求</w:t>
            </w:r>
          </w:p>
        </w:tc>
        <w:tc>
          <w:tcPr>
            <w:tcW w:w="7590" w:type="dxa"/>
            <w:gridSpan w:val="3"/>
            <w:vAlign w:val="center"/>
          </w:tcPr>
          <w:p w14:paraId="6DB5B6A9">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2025年9月30日前项目须通过覃塘区工业园区组织相关部门、专家开展的自验收，形成自验收报告报贵港市应急管理局；2025年10月31日前，项目须通过贵港市应急管理局组织有关部门、专家，按照建设任务验收评分表验收。贵港市应急管理局形成初步验收报告后，再向广西壮族自治区应急管理厅申请验收，2025年11月30日前完成项目验收，直至通过国家应急部组织验收。验收不通过，中标人须按要求完成整改，整改产生的费用由中标人自行承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项目验收按照应急管理部下发的《重点化工产业聚集区重大安全风险防控项目技术验收评分表》、《化工园区安全风险智能化管控平台数据交换规范（试行）》标准要求执行，项目验收前中标人需按要求向采购人提交相应的数据、文档资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项目必须通过具备国家认定的相应评测资质的公司进行第三方软件测试、网络安全等级保护三级2.0以及密码应用安全评估的评测。在测评过程中，若发现与本项目相关的问题，中标人需负责进行整改。整改过程中产生的相关费用也由中标人承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根据贵港覃塘产业园区新材料科技园安全风险D级认定标准，项目建设内容涉及的采购服务按《化工园区安全风险排查治理导则》评分表中的相关评分对应项，须完成对应分值，如需整改，须完成相应整改内容通过化工园区安全风险D级认定，整改产生的相关费用由中标人负责。</w:t>
            </w:r>
          </w:p>
        </w:tc>
      </w:tr>
      <w:tr w14:paraId="7779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44292DA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其他要求</w:t>
            </w:r>
          </w:p>
        </w:tc>
        <w:tc>
          <w:tcPr>
            <w:tcW w:w="7590" w:type="dxa"/>
            <w:gridSpan w:val="3"/>
            <w:vAlign w:val="center"/>
          </w:tcPr>
          <w:p w14:paraId="77FE75ED">
            <w:pPr>
              <w:widowControl/>
              <w:textAlignment w:val="center"/>
              <w:rPr>
                <w:rFonts w:ascii="宋体" w:hAnsi="宋体" w:cs="宋体"/>
                <w:color w:val="auto"/>
                <w:szCs w:val="21"/>
                <w:highlight w:val="none"/>
              </w:rPr>
            </w:pPr>
            <w:r>
              <w:rPr>
                <w:rFonts w:hint="eastAsia" w:ascii="宋体" w:hAnsi="宋体" w:cs="宋体"/>
                <w:color w:val="auto"/>
                <w:kern w:val="0"/>
                <w:szCs w:val="22"/>
                <w:highlight w:val="none"/>
              </w:rPr>
              <w:t>1、投标人为项目的实施和售后服务组建技术团队，至少包含一名项目经理、一名项目实施负责人、一名项目售后负责人。项目经理、实施负责人、售后负责人不能为同一人。</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2、投标人投标产品应是原装全新正品产品，不允许是OEM贴牌产品。</w:t>
            </w:r>
            <w:r>
              <w:rPr>
                <w:rFonts w:hint="eastAsia" w:ascii="宋体" w:hAnsi="宋体" w:cs="宋体"/>
                <w:color w:val="auto"/>
                <w:kern w:val="0"/>
                <w:szCs w:val="22"/>
                <w:highlight w:val="none"/>
              </w:rPr>
              <w:br w:type="textWrapping"/>
            </w:r>
            <w:r>
              <w:rPr>
                <w:rFonts w:hint="eastAsia" w:ascii="宋体" w:hAnsi="宋体" w:cs="宋体"/>
                <w:color w:val="auto"/>
                <w:kern w:val="0"/>
                <w:szCs w:val="22"/>
                <w:highlight w:val="none"/>
              </w:rPr>
              <w:t>▲3、“覃塘化工园区安全风险智能化管控平台（园区端）”融合安全基础管理、重大危险源安全管理、双重预防机制管理、特殊作业管理、封闭化管理、敏捷应急六个功能模块子系统生产厂商必须为同一生产厂商且须集成在同一平台中。</w:t>
            </w:r>
          </w:p>
        </w:tc>
      </w:tr>
      <w:tr w14:paraId="341C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49" w:type="dxa"/>
            <w:gridSpan w:val="2"/>
            <w:vAlign w:val="center"/>
          </w:tcPr>
          <w:p w14:paraId="370EE87E">
            <w:pPr>
              <w:widowControl/>
              <w:jc w:val="center"/>
              <w:textAlignment w:val="center"/>
              <w:rPr>
                <w:rFonts w:ascii="宋体" w:hAnsi="宋体" w:cs="宋体"/>
                <w:color w:val="auto"/>
                <w:szCs w:val="22"/>
                <w:highlight w:val="none"/>
              </w:rPr>
            </w:pPr>
            <w:r>
              <w:rPr>
                <w:rFonts w:hint="eastAsia" w:ascii="宋体" w:hAnsi="宋体" w:cs="宋体"/>
                <w:color w:val="auto"/>
                <w:kern w:val="0"/>
                <w:szCs w:val="22"/>
                <w:highlight w:val="none"/>
                <w:lang w:bidi="ar"/>
              </w:rPr>
              <w:t>进口产品说明</w:t>
            </w:r>
          </w:p>
        </w:tc>
        <w:tc>
          <w:tcPr>
            <w:tcW w:w="7590" w:type="dxa"/>
            <w:gridSpan w:val="3"/>
            <w:vAlign w:val="center"/>
          </w:tcPr>
          <w:p w14:paraId="6EACD81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本标项的货物不接受进口产品（即通过中国海关报关验放进入中国境内且产自关境外的产品）参与投标，如有进口产品参与投标的作无效标处理。</w:t>
            </w:r>
          </w:p>
        </w:tc>
      </w:tr>
    </w:tbl>
    <w:p w14:paraId="7C7FD7D3">
      <w:pPr>
        <w:pStyle w:val="30"/>
        <w:spacing w:after="0" w:line="360" w:lineRule="auto"/>
        <w:ind w:firstLine="0"/>
        <w:rPr>
          <w:color w:val="auto"/>
          <w:highlight w:val="none"/>
        </w:rPr>
      </w:pPr>
    </w:p>
    <w:p w14:paraId="240747B9">
      <w:pPr>
        <w:rPr>
          <w:color w:val="auto"/>
          <w:highlight w:val="none"/>
        </w:rPr>
      </w:pPr>
      <w:r>
        <w:rPr>
          <w:rFonts w:hint="eastAsia"/>
          <w:color w:val="auto"/>
          <w:highlight w:val="none"/>
        </w:rPr>
        <w:br w:type="page"/>
      </w:r>
    </w:p>
    <w:p w14:paraId="4F4550B2">
      <w:pPr>
        <w:pStyle w:val="4"/>
        <w:spacing w:line="460" w:lineRule="exact"/>
        <w:rPr>
          <w:rFonts w:ascii="宋体" w:hAnsi="宋体" w:eastAsia="宋体" w:cs="宋体"/>
          <w:color w:val="auto"/>
          <w:sz w:val="28"/>
          <w:szCs w:val="28"/>
          <w:highlight w:val="none"/>
          <w:lang w:val="zh-CN" w:bidi="zh-CN"/>
        </w:rPr>
      </w:pPr>
      <w:bookmarkStart w:id="43" w:name="_Toc14066"/>
      <w:bookmarkStart w:id="44" w:name="OLE_LINK42"/>
      <w:r>
        <w:rPr>
          <w:rFonts w:hint="eastAsia" w:ascii="宋体" w:hAnsi="宋体" w:eastAsia="宋体" w:cs="宋体"/>
          <w:color w:val="auto"/>
          <w:sz w:val="28"/>
          <w:szCs w:val="28"/>
          <w:highlight w:val="none"/>
          <w:lang w:bidi="zh-CN"/>
        </w:rPr>
        <w:t>标项二：</w:t>
      </w:r>
      <w:r>
        <w:rPr>
          <w:rFonts w:hint="eastAsia" w:ascii="宋体" w:hAnsi="宋体" w:eastAsia="宋体" w:cs="宋体"/>
          <w:color w:val="auto"/>
          <w:sz w:val="28"/>
          <w:szCs w:val="28"/>
          <w:highlight w:val="none"/>
          <w:lang w:val="zh-CN" w:bidi="zh-CN"/>
        </w:rPr>
        <w:t>贵港覃塘产业园区新材料科技园重大安全风险防控项目(</w:t>
      </w:r>
      <w:bookmarkStart w:id="45" w:name="OLE_LINK55"/>
      <w:r>
        <w:rPr>
          <w:rFonts w:hint="eastAsia" w:ascii="宋体" w:hAnsi="宋体" w:eastAsia="宋体" w:cs="宋体"/>
          <w:color w:val="auto"/>
          <w:sz w:val="28"/>
          <w:szCs w:val="28"/>
          <w:highlight w:val="none"/>
          <w:lang w:val="zh-CN" w:bidi="zh-CN"/>
        </w:rPr>
        <w:t>易燃易爆有毒有害气体泄漏探测设备</w:t>
      </w:r>
      <w:bookmarkEnd w:id="45"/>
      <w:r>
        <w:rPr>
          <w:rFonts w:hint="eastAsia" w:ascii="宋体" w:hAnsi="宋体" w:eastAsia="宋体" w:cs="宋体"/>
          <w:color w:val="auto"/>
          <w:sz w:val="28"/>
          <w:szCs w:val="28"/>
          <w:highlight w:val="none"/>
          <w:lang w:val="zh-CN" w:bidi="zh-CN"/>
        </w:rPr>
        <w:t>)-</w:t>
      </w:r>
      <w:r>
        <w:rPr>
          <w:rFonts w:hint="eastAsia" w:ascii="宋体" w:hAnsi="宋体" w:eastAsia="宋体" w:cs="宋体"/>
          <w:color w:val="auto"/>
          <w:sz w:val="28"/>
          <w:szCs w:val="28"/>
          <w:highlight w:val="none"/>
          <w:lang w:bidi="zh-CN"/>
        </w:rPr>
        <w:t>分标2</w:t>
      </w:r>
      <w:bookmarkEnd w:id="43"/>
    </w:p>
    <w:bookmarkEnd w:id="44"/>
    <w:p w14:paraId="4EE1F1B0">
      <w:pPr>
        <w:spacing w:line="360" w:lineRule="auto"/>
        <w:jc w:val="left"/>
        <w:rPr>
          <w:rFonts w:ascii="宋体" w:hAnsi="宋体" w:cs="宋体"/>
          <w:color w:val="auto"/>
          <w:szCs w:val="21"/>
          <w:highlight w:val="none"/>
          <w:u w:val="single"/>
        </w:rPr>
      </w:pPr>
      <w:r>
        <w:rPr>
          <w:rFonts w:hint="eastAsia" w:ascii="宋体" w:hAnsi="宋体" w:cs="宋体"/>
          <w:b/>
          <w:bCs/>
          <w:color w:val="auto"/>
          <w:szCs w:val="21"/>
          <w:highlight w:val="none"/>
        </w:rPr>
        <w:t>注：</w:t>
      </w:r>
      <w:r>
        <w:rPr>
          <w:rFonts w:hint="eastAsia" w:ascii="宋体" w:hAnsi="宋体" w:cs="宋体"/>
          <w:color w:val="auto"/>
          <w:szCs w:val="21"/>
          <w:highlight w:val="none"/>
        </w:rPr>
        <w:t>1、本标项中小企业划分标准所属行业名称（行业名称及划分见本章附件1）：</w:t>
      </w:r>
      <w:r>
        <w:rPr>
          <w:rFonts w:hint="eastAsia" w:ascii="宋体" w:hAnsi="宋体" w:cs="宋体"/>
          <w:color w:val="auto"/>
          <w:szCs w:val="21"/>
          <w:highlight w:val="none"/>
          <w:u w:val="single"/>
        </w:rPr>
        <w:t xml:space="preserve"> 工业 。</w:t>
      </w:r>
    </w:p>
    <w:p w14:paraId="01A16024">
      <w:pPr>
        <w:tabs>
          <w:tab w:val="left" w:pos="180"/>
          <w:tab w:val="left" w:pos="1620"/>
        </w:tabs>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 、本标项为非单一产品采购项目，</w:t>
      </w:r>
      <w:r>
        <w:rPr>
          <w:rFonts w:hint="eastAsia" w:asciiTheme="majorEastAsia" w:hAnsiTheme="majorEastAsia" w:eastAsiaTheme="majorEastAsia" w:cstheme="majorEastAsia"/>
          <w:color w:val="auto"/>
          <w:kern w:val="0"/>
          <w:szCs w:val="21"/>
          <w:highlight w:val="none"/>
        </w:rPr>
        <w:t>分标2</w:t>
      </w:r>
      <w:r>
        <w:rPr>
          <w:rFonts w:hint="eastAsia" w:ascii="宋体" w:hAnsi="宋体" w:cs="宋体"/>
          <w:color w:val="auto"/>
          <w:kern w:val="0"/>
          <w:szCs w:val="21"/>
          <w:highlight w:val="none"/>
        </w:rPr>
        <w:t>的核心产品为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bidi="ar"/>
        </w:rPr>
        <w:t xml:space="preserve">  </w:t>
      </w:r>
      <w:r>
        <w:rPr>
          <w:rFonts w:hint="eastAsia" w:ascii="宋体" w:hAnsi="宋体" w:cs="宋体"/>
          <w:b/>
          <w:bCs/>
          <w:color w:val="auto"/>
          <w:szCs w:val="21"/>
          <w:highlight w:val="none"/>
          <w:u w:val="single"/>
        </w:rPr>
        <w:t>点型可燃气体探测器</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rPr>
        <w:t>。核心产品提供相同品牌产品且通过资格审查、符合性审查的不同投标人参加同一合同项下投标的，按一家投标人计算，评审后得分最高的同品牌投标人获得中标人推荐资格；评审得分相同的，按照</w:t>
      </w:r>
      <w:r>
        <w:rPr>
          <w:rFonts w:hint="eastAsia" w:ascii="宋体" w:hAnsi="宋体" w:cs="宋体"/>
          <w:color w:val="auto"/>
          <w:szCs w:val="21"/>
          <w:highlight w:val="none"/>
          <w:u w:val="single"/>
        </w:rPr>
        <w:t>提供货物品牌、技术参数、售后服务的</w:t>
      </w:r>
      <w:r>
        <w:rPr>
          <w:rFonts w:hint="eastAsia" w:ascii="宋体" w:hAnsi="宋体" w:cs="宋体"/>
          <w:color w:val="auto"/>
          <w:kern w:val="0"/>
          <w:szCs w:val="21"/>
          <w:highlight w:val="none"/>
        </w:rPr>
        <w:t>优劣方式确定一个投标人获得中标人推荐资格。</w:t>
      </w:r>
    </w:p>
    <w:p w14:paraId="72D45AA0">
      <w:pPr>
        <w:tabs>
          <w:tab w:val="left" w:pos="180"/>
          <w:tab w:val="left" w:pos="1620"/>
        </w:tabs>
        <w:spacing w:after="0"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易燃易爆有毒有害气体泄漏探测设备建设需求主要包括以下：</w:t>
      </w:r>
    </w:p>
    <w:p w14:paraId="2D8B3E87">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（1）易燃易爆有毒有害气体泄漏探测设备建设需求</w:t>
      </w:r>
    </w:p>
    <w:p w14:paraId="7E975998">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为园区建设一套易燃易爆有毒有害气体泄漏探测设备，由可燃气体探测器、有毒有害气体探测器、气云成像云台摄像机、易燃易爆有毒有害气体监测预警系统及配套设备组成，能够实现实时园区公共重点区域危险气体浓度监测和公共区域气体泄漏及时报警。</w:t>
      </w:r>
    </w:p>
    <w:p w14:paraId="1BEE1F36">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前端点型气体探测器探测到现场防护区域的可燃气体、有毒有害气体等监测气体浓度超出了报警阈值，会将报警信息传输至可燃气体报警控制器。可燃气体报警控制器输出干接点信号连接至报警主机中，同时将可燃气体探测报警系统的警情、故障、反馈等各种工况信息上传至管理平台。</w:t>
      </w:r>
    </w:p>
    <w:p w14:paraId="790D5867">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（2）公用工程安全风险感知设备建设需求</w:t>
      </w:r>
    </w:p>
    <w:p w14:paraId="133E6840">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为园区建设一套公用工程安全风险感知设备，由园区智能物联网关、企业智能物联网关、微距表计摄像机、双光谱球机、防爆全彩筒机、公用工程安全风险感知系统及配套设备组成。能够实现公用工程（水、污水、电、气、热）安全风险实时在线监测和重点区域监控。</w:t>
      </w:r>
    </w:p>
    <w:p w14:paraId="033F3CD1">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（3）区域安全风险隔离管控设备建设需求</w:t>
      </w:r>
    </w:p>
    <w:p w14:paraId="74E75445">
      <w:pPr>
        <w:spacing w:after="0" w:line="400" w:lineRule="exact"/>
        <w:ind w:firstLine="420" w:firstLineChars="200"/>
        <w:rPr>
          <w:rFonts w:asciiTheme="majorEastAsia" w:hAnsiTheme="majorEastAsia" w:eastAsiaTheme="majorEastAsia" w:cstheme="majorEastAsia"/>
          <w:iCs/>
          <w:color w:val="auto"/>
          <w:szCs w:val="21"/>
          <w:highlight w:val="none"/>
        </w:rPr>
      </w:pPr>
      <w:r>
        <w:rPr>
          <w:rFonts w:hint="eastAsia" w:asciiTheme="majorEastAsia" w:hAnsiTheme="majorEastAsia" w:eastAsiaTheme="majorEastAsia" w:cstheme="majorEastAsia"/>
          <w:iCs/>
          <w:color w:val="auto"/>
          <w:szCs w:val="21"/>
          <w:highlight w:val="none"/>
        </w:rPr>
        <w:t>为园区建设一套区域安全风险隔离管控设备，由人流量统计摄像机、人员定位设备、卫星车载定位器、发卡终端、人员摆闸、访客机、车辆道闸、设备网络管理、区域安全风险隔离管控平台及配套设备组成。能够实现园区人流、车流和物流出入管控及运动路径的规范和优化。</w:t>
      </w:r>
    </w:p>
    <w:p w14:paraId="52689801">
      <w:pPr>
        <w:pStyle w:val="30"/>
        <w:jc w:val="center"/>
        <w:rPr>
          <w:rFonts w:asciiTheme="majorEastAsia" w:hAnsiTheme="majorEastAsia" w:eastAsiaTheme="majorEastAsia" w:cstheme="majorEastAsia"/>
          <w:iCs/>
          <w:color w:val="auto"/>
          <w:kern w:val="2"/>
          <w:sz w:val="21"/>
          <w:szCs w:val="21"/>
          <w:highlight w:val="none"/>
        </w:rPr>
      </w:pPr>
      <w:r>
        <w:rPr>
          <w:rFonts w:hint="eastAsia" w:asciiTheme="majorEastAsia" w:hAnsiTheme="majorEastAsia" w:eastAsiaTheme="majorEastAsia" w:cstheme="majorEastAsia"/>
          <w:iCs/>
          <w:color w:val="auto"/>
          <w:kern w:val="2"/>
          <w:sz w:val="21"/>
          <w:szCs w:val="21"/>
          <w:highlight w:val="none"/>
          <w:lang w:val="zh-CN"/>
        </w:rPr>
        <w:t>易燃易爆有毒有害气体泄漏探测设备</w:t>
      </w:r>
      <w:r>
        <w:rPr>
          <w:rFonts w:hint="eastAsia" w:asciiTheme="majorEastAsia" w:hAnsiTheme="majorEastAsia" w:eastAsiaTheme="majorEastAsia" w:cstheme="majorEastAsia"/>
          <w:iCs/>
          <w:color w:val="auto"/>
          <w:kern w:val="2"/>
          <w:sz w:val="21"/>
          <w:szCs w:val="21"/>
          <w:highlight w:val="none"/>
        </w:rPr>
        <w:t>建设需求一览表</w:t>
      </w:r>
    </w:p>
    <w:bookmarkEnd w:id="39"/>
    <w:tbl>
      <w:tblPr>
        <w:tblStyle w:val="50"/>
        <w:tblW w:w="9285" w:type="dxa"/>
        <w:tblInd w:w="0" w:type="dxa"/>
        <w:tblLayout w:type="fixed"/>
        <w:tblCellMar>
          <w:top w:w="0" w:type="dxa"/>
          <w:left w:w="108" w:type="dxa"/>
          <w:bottom w:w="0" w:type="dxa"/>
          <w:right w:w="108" w:type="dxa"/>
        </w:tblCellMar>
      </w:tblPr>
      <w:tblGrid>
        <w:gridCol w:w="660"/>
        <w:gridCol w:w="1110"/>
        <w:gridCol w:w="6120"/>
        <w:gridCol w:w="780"/>
        <w:gridCol w:w="615"/>
      </w:tblGrid>
      <w:tr w14:paraId="651E79C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D6EA5F0">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序号</w:t>
            </w:r>
          </w:p>
        </w:tc>
        <w:tc>
          <w:tcPr>
            <w:tcW w:w="1110" w:type="dxa"/>
            <w:tcBorders>
              <w:top w:val="single" w:color="000000" w:sz="4" w:space="0"/>
              <w:left w:val="single" w:color="000000" w:sz="4" w:space="0"/>
              <w:bottom w:val="single" w:color="000000" w:sz="4" w:space="0"/>
              <w:right w:val="single" w:color="000000" w:sz="4" w:space="0"/>
            </w:tcBorders>
            <w:vAlign w:val="center"/>
          </w:tcPr>
          <w:p w14:paraId="572115B7">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设备名称 </w:t>
            </w:r>
          </w:p>
        </w:tc>
        <w:tc>
          <w:tcPr>
            <w:tcW w:w="6120" w:type="dxa"/>
            <w:tcBorders>
              <w:top w:val="single" w:color="000000" w:sz="4" w:space="0"/>
              <w:left w:val="single" w:color="000000" w:sz="4" w:space="0"/>
              <w:bottom w:val="single" w:color="000000" w:sz="4" w:space="0"/>
              <w:right w:val="single" w:color="000000" w:sz="4" w:space="0"/>
            </w:tcBorders>
            <w:vAlign w:val="center"/>
          </w:tcPr>
          <w:p w14:paraId="796BE254">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设备性能参数</w:t>
            </w:r>
          </w:p>
        </w:tc>
        <w:tc>
          <w:tcPr>
            <w:tcW w:w="780" w:type="dxa"/>
            <w:tcBorders>
              <w:top w:val="single" w:color="000000" w:sz="4" w:space="0"/>
              <w:left w:val="single" w:color="000000" w:sz="4" w:space="0"/>
              <w:bottom w:val="single" w:color="000000" w:sz="4" w:space="0"/>
              <w:right w:val="single" w:color="000000" w:sz="4" w:space="0"/>
            </w:tcBorders>
            <w:vAlign w:val="center"/>
          </w:tcPr>
          <w:p w14:paraId="1E030001">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数量 </w:t>
            </w:r>
          </w:p>
        </w:tc>
        <w:tc>
          <w:tcPr>
            <w:tcW w:w="615" w:type="dxa"/>
            <w:tcBorders>
              <w:top w:val="single" w:color="000000" w:sz="4" w:space="0"/>
              <w:left w:val="single" w:color="000000" w:sz="4" w:space="0"/>
              <w:bottom w:val="single" w:color="000000" w:sz="4" w:space="0"/>
              <w:right w:val="single" w:color="000000" w:sz="4" w:space="0"/>
            </w:tcBorders>
            <w:vAlign w:val="center"/>
          </w:tcPr>
          <w:p w14:paraId="3C678F2C">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r>
      <w:tr w14:paraId="3C0278CD">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5996A31B">
            <w:pPr>
              <w:jc w:val="center"/>
              <w:rPr>
                <w:rFonts w:ascii="宋体" w:hAnsi="宋体" w:cs="宋体"/>
                <w:b/>
                <w:bCs/>
                <w:color w:val="auto"/>
                <w:sz w:val="22"/>
                <w:szCs w:val="22"/>
                <w:highlight w:val="none"/>
              </w:rPr>
            </w:pPr>
          </w:p>
        </w:tc>
        <w:tc>
          <w:tcPr>
            <w:tcW w:w="7230" w:type="dxa"/>
            <w:gridSpan w:val="2"/>
            <w:tcBorders>
              <w:top w:val="single" w:color="000000" w:sz="4" w:space="0"/>
              <w:left w:val="single" w:color="000000" w:sz="4" w:space="0"/>
              <w:bottom w:val="single" w:color="000000" w:sz="4" w:space="0"/>
              <w:right w:val="single" w:color="000000" w:sz="4" w:space="0"/>
            </w:tcBorders>
            <w:vAlign w:val="center"/>
          </w:tcPr>
          <w:p w14:paraId="252400BE">
            <w:pPr>
              <w:spacing w:after="0" w:line="279" w:lineRule="auto"/>
              <w:jc w:val="lef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易燃易爆有毒有害气体泄漏监测管控设备</w:t>
            </w:r>
          </w:p>
        </w:tc>
        <w:tc>
          <w:tcPr>
            <w:tcW w:w="780" w:type="dxa"/>
            <w:tcBorders>
              <w:top w:val="single" w:color="000000" w:sz="4" w:space="0"/>
              <w:left w:val="single" w:color="000000" w:sz="4" w:space="0"/>
              <w:bottom w:val="single" w:color="000000" w:sz="4" w:space="0"/>
              <w:right w:val="single" w:color="000000" w:sz="4" w:space="0"/>
            </w:tcBorders>
            <w:vAlign w:val="center"/>
          </w:tcPr>
          <w:p w14:paraId="07DCA5DF">
            <w:pPr>
              <w:jc w:val="center"/>
              <w:rPr>
                <w:rFonts w:ascii="宋体" w:hAnsi="宋体" w:cs="宋体"/>
                <w:b/>
                <w:bCs/>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E36F89B">
            <w:pPr>
              <w:jc w:val="center"/>
              <w:rPr>
                <w:rFonts w:ascii="宋体" w:hAnsi="宋体" w:cs="宋体"/>
                <w:b/>
                <w:bCs/>
                <w:color w:val="auto"/>
                <w:sz w:val="22"/>
                <w:szCs w:val="22"/>
                <w:highlight w:val="none"/>
              </w:rPr>
            </w:pPr>
          </w:p>
        </w:tc>
      </w:tr>
      <w:tr w14:paraId="4B125E4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DEBBDC2">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w:t>
            </w:r>
          </w:p>
        </w:tc>
        <w:tc>
          <w:tcPr>
            <w:tcW w:w="7230" w:type="dxa"/>
            <w:gridSpan w:val="2"/>
            <w:tcBorders>
              <w:top w:val="single" w:color="000000" w:sz="4" w:space="0"/>
              <w:left w:val="single" w:color="000000" w:sz="4" w:space="0"/>
              <w:bottom w:val="single" w:color="000000" w:sz="4" w:space="0"/>
              <w:right w:val="single" w:color="000000" w:sz="4" w:space="0"/>
            </w:tcBorders>
            <w:vAlign w:val="center"/>
          </w:tcPr>
          <w:p w14:paraId="04329344">
            <w:pPr>
              <w:spacing w:after="0" w:line="279" w:lineRule="auto"/>
              <w:jc w:val="lef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易燃易爆有毒有害气体泄漏探测设备</w:t>
            </w:r>
          </w:p>
        </w:tc>
        <w:tc>
          <w:tcPr>
            <w:tcW w:w="780" w:type="dxa"/>
            <w:tcBorders>
              <w:top w:val="single" w:color="000000" w:sz="4" w:space="0"/>
              <w:left w:val="single" w:color="000000" w:sz="4" w:space="0"/>
              <w:bottom w:val="single" w:color="000000" w:sz="4" w:space="0"/>
              <w:right w:val="single" w:color="000000" w:sz="4" w:space="0"/>
            </w:tcBorders>
            <w:vAlign w:val="center"/>
          </w:tcPr>
          <w:p w14:paraId="6987673A">
            <w:pPr>
              <w:jc w:val="center"/>
              <w:rPr>
                <w:rFonts w:ascii="宋体" w:hAnsi="宋体" w:cs="宋体"/>
                <w:b/>
                <w:bCs/>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CED840F">
            <w:pPr>
              <w:jc w:val="center"/>
              <w:rPr>
                <w:rFonts w:ascii="宋体" w:hAnsi="宋体" w:cs="宋体"/>
                <w:b/>
                <w:bCs/>
                <w:color w:val="auto"/>
                <w:sz w:val="22"/>
                <w:szCs w:val="22"/>
                <w:highlight w:val="none"/>
              </w:rPr>
            </w:pPr>
          </w:p>
        </w:tc>
      </w:tr>
      <w:tr w14:paraId="587E9752">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7891B58">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1.1</w:t>
            </w:r>
          </w:p>
        </w:tc>
        <w:tc>
          <w:tcPr>
            <w:tcW w:w="7230" w:type="dxa"/>
            <w:gridSpan w:val="2"/>
            <w:tcBorders>
              <w:top w:val="single" w:color="000000" w:sz="4" w:space="0"/>
              <w:left w:val="single" w:color="000000" w:sz="4" w:space="0"/>
              <w:bottom w:val="single" w:color="000000" w:sz="4" w:space="0"/>
              <w:right w:val="single" w:color="000000" w:sz="4" w:space="0"/>
            </w:tcBorders>
            <w:vAlign w:val="center"/>
          </w:tcPr>
          <w:p w14:paraId="25D0B4ED">
            <w:pPr>
              <w:spacing w:after="0" w:line="279" w:lineRule="auto"/>
              <w:jc w:val="left"/>
              <w:rPr>
                <w:rFonts w:ascii="宋体" w:hAnsi="宋体" w:cs="宋体"/>
                <w:color w:val="auto"/>
                <w:sz w:val="22"/>
                <w:szCs w:val="22"/>
                <w:highlight w:val="none"/>
              </w:rPr>
            </w:pPr>
            <w:r>
              <w:rPr>
                <w:rFonts w:hint="eastAsia" w:ascii="宋体" w:hAnsi="宋体" w:cs="宋体"/>
                <w:b/>
                <w:bCs/>
                <w:color w:val="auto"/>
                <w:kern w:val="0"/>
                <w:sz w:val="22"/>
                <w:szCs w:val="22"/>
                <w:highlight w:val="none"/>
                <w:lang w:bidi="ar"/>
              </w:rPr>
              <w:t>易燃易爆有毒有害气体泄漏探测硬件</w:t>
            </w:r>
          </w:p>
        </w:tc>
        <w:tc>
          <w:tcPr>
            <w:tcW w:w="780" w:type="dxa"/>
            <w:tcBorders>
              <w:top w:val="single" w:color="000000" w:sz="4" w:space="0"/>
              <w:left w:val="single" w:color="000000" w:sz="4" w:space="0"/>
              <w:bottom w:val="single" w:color="000000" w:sz="4" w:space="0"/>
              <w:right w:val="single" w:color="000000" w:sz="4" w:space="0"/>
            </w:tcBorders>
            <w:vAlign w:val="center"/>
          </w:tcPr>
          <w:p w14:paraId="20609D6F">
            <w:pPr>
              <w:jc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29ECB72">
            <w:pPr>
              <w:jc w:val="center"/>
              <w:rPr>
                <w:rFonts w:ascii="宋体" w:hAnsi="宋体" w:cs="宋体"/>
                <w:color w:val="auto"/>
                <w:sz w:val="22"/>
                <w:szCs w:val="22"/>
                <w:highlight w:val="none"/>
              </w:rPr>
            </w:pPr>
          </w:p>
        </w:tc>
      </w:tr>
      <w:tr w14:paraId="30F6540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BD38BB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w:t>
            </w:r>
          </w:p>
        </w:tc>
        <w:tc>
          <w:tcPr>
            <w:tcW w:w="1110" w:type="dxa"/>
            <w:tcBorders>
              <w:top w:val="single" w:color="000000" w:sz="4" w:space="0"/>
              <w:left w:val="single" w:color="000000" w:sz="4" w:space="0"/>
              <w:bottom w:val="single" w:color="000000" w:sz="4" w:space="0"/>
              <w:right w:val="single" w:color="000000" w:sz="4" w:space="0"/>
            </w:tcBorders>
            <w:vAlign w:val="center"/>
          </w:tcPr>
          <w:p w14:paraId="27A4BC6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点型可燃气体探测器</w:t>
            </w:r>
          </w:p>
        </w:tc>
        <w:tc>
          <w:tcPr>
            <w:tcW w:w="6120" w:type="dxa"/>
            <w:tcBorders>
              <w:top w:val="single" w:color="000000" w:sz="4" w:space="0"/>
              <w:left w:val="single" w:color="000000" w:sz="4" w:space="0"/>
              <w:bottom w:val="single" w:color="000000" w:sz="4" w:space="0"/>
              <w:right w:val="single" w:color="000000" w:sz="4" w:space="0"/>
            </w:tcBorders>
            <w:vAlign w:val="center"/>
          </w:tcPr>
          <w:p w14:paraId="5A47DB7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1.安装方式：抱管装、支架安装或贴壁安装；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2.执行标准： GB 15322.1-2019；</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3.额定工作电压：DC 36 V；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4.额定功率：≤1W；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5.信号输出：两总线通讯；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6.检测原理：催化燃烧式；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7.测量范围：（3～100）%LEL；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8.报警设定值：一级报警设定值25%LEL，二级报警设定值50%LEL；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9.测量精度：精度：1% LEL，误差：±3% LEL；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10.防爆等级：Ex db ⅡC T6 Gb；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11.外壳防护等级：≥IP66；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12.工作环境：温度：-40 °C～70 °C；湿度：≤95% RH无结霜。</w:t>
            </w:r>
          </w:p>
        </w:tc>
        <w:tc>
          <w:tcPr>
            <w:tcW w:w="780" w:type="dxa"/>
            <w:tcBorders>
              <w:top w:val="single" w:color="000000" w:sz="4" w:space="0"/>
              <w:left w:val="single" w:color="000000" w:sz="4" w:space="0"/>
              <w:bottom w:val="single" w:color="000000" w:sz="4" w:space="0"/>
              <w:right w:val="single" w:color="000000" w:sz="4" w:space="0"/>
            </w:tcBorders>
            <w:vAlign w:val="center"/>
          </w:tcPr>
          <w:p w14:paraId="6870436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615" w:type="dxa"/>
            <w:tcBorders>
              <w:top w:val="single" w:color="000000" w:sz="4" w:space="0"/>
              <w:left w:val="single" w:color="000000" w:sz="4" w:space="0"/>
              <w:bottom w:val="single" w:color="000000" w:sz="4" w:space="0"/>
              <w:right w:val="single" w:color="000000" w:sz="4" w:space="0"/>
            </w:tcBorders>
            <w:vAlign w:val="center"/>
          </w:tcPr>
          <w:p w14:paraId="6B55505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08B49C6D">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52261A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w:t>
            </w:r>
          </w:p>
        </w:tc>
        <w:tc>
          <w:tcPr>
            <w:tcW w:w="1110" w:type="dxa"/>
            <w:tcBorders>
              <w:top w:val="single" w:color="000000" w:sz="4" w:space="0"/>
              <w:left w:val="single" w:color="000000" w:sz="4" w:space="0"/>
              <w:bottom w:val="single" w:color="000000" w:sz="4" w:space="0"/>
              <w:right w:val="single" w:color="000000" w:sz="4" w:space="0"/>
            </w:tcBorders>
            <w:vAlign w:val="center"/>
          </w:tcPr>
          <w:p w14:paraId="67B6CF3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点型有毒有害气体探测器</w:t>
            </w:r>
          </w:p>
        </w:tc>
        <w:tc>
          <w:tcPr>
            <w:tcW w:w="6120" w:type="dxa"/>
            <w:tcBorders>
              <w:top w:val="single" w:color="000000" w:sz="4" w:space="0"/>
              <w:left w:val="single" w:color="000000" w:sz="4" w:space="0"/>
              <w:bottom w:val="single" w:color="000000" w:sz="4" w:space="0"/>
              <w:right w:val="single" w:color="000000" w:sz="4" w:space="0"/>
            </w:tcBorders>
            <w:vAlign w:val="center"/>
          </w:tcPr>
          <w:p w14:paraId="4CCB826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1.安装方式：抱管装、支架安装或贴壁安装；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2.执行标准： GB 12358-2006/GB 15322.1-2019；</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3.额定工作电压：DC 36 V；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4.额定功率：≤1W；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5.信号输出：两总线通讯；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6.检测原理：电化学/催化燃烧式；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7.报警设定：支持一、二级报警设定值；</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8.防爆等级：Ex db ⅡC T6 Gb；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9.外壳防护等级： ≥IP66；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10.工作环境：温度：-10 °C～55 °C；湿度：≤95% RH无结霜。</w:t>
            </w:r>
          </w:p>
        </w:tc>
        <w:tc>
          <w:tcPr>
            <w:tcW w:w="780" w:type="dxa"/>
            <w:tcBorders>
              <w:top w:val="single" w:color="000000" w:sz="4" w:space="0"/>
              <w:left w:val="single" w:color="000000" w:sz="4" w:space="0"/>
              <w:bottom w:val="single" w:color="000000" w:sz="4" w:space="0"/>
              <w:right w:val="single" w:color="000000" w:sz="4" w:space="0"/>
            </w:tcBorders>
            <w:vAlign w:val="center"/>
          </w:tcPr>
          <w:p w14:paraId="7C6F5EB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615" w:type="dxa"/>
            <w:tcBorders>
              <w:top w:val="single" w:color="000000" w:sz="4" w:space="0"/>
              <w:left w:val="single" w:color="000000" w:sz="4" w:space="0"/>
              <w:bottom w:val="single" w:color="000000" w:sz="4" w:space="0"/>
              <w:right w:val="single" w:color="000000" w:sz="4" w:space="0"/>
            </w:tcBorders>
            <w:vAlign w:val="center"/>
          </w:tcPr>
          <w:p w14:paraId="602B25E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7E3685F9">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6FA8D13">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w:t>
            </w:r>
          </w:p>
        </w:tc>
        <w:tc>
          <w:tcPr>
            <w:tcW w:w="1110" w:type="dxa"/>
            <w:tcBorders>
              <w:top w:val="single" w:color="000000" w:sz="4" w:space="0"/>
              <w:left w:val="single" w:color="000000" w:sz="4" w:space="0"/>
              <w:bottom w:val="single" w:color="000000" w:sz="4" w:space="0"/>
              <w:right w:val="single" w:color="000000" w:sz="4" w:space="0"/>
            </w:tcBorders>
            <w:vAlign w:val="center"/>
          </w:tcPr>
          <w:p w14:paraId="2614FB3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报警主机</w:t>
            </w:r>
          </w:p>
        </w:tc>
        <w:tc>
          <w:tcPr>
            <w:tcW w:w="6120" w:type="dxa"/>
            <w:tcBorders>
              <w:top w:val="single" w:color="000000" w:sz="4" w:space="0"/>
              <w:left w:val="single" w:color="000000" w:sz="4" w:space="0"/>
              <w:bottom w:val="single" w:color="000000" w:sz="4" w:space="0"/>
              <w:right w:val="single" w:color="000000" w:sz="4" w:space="0"/>
            </w:tcBorders>
            <w:vAlign w:val="center"/>
          </w:tcPr>
          <w:p w14:paraId="712D957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1.支持odbus/RTU协议；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2.主电源： AC 220 V±15%，50 Hz±1%；</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3.备电电源 ：36 V DC/1.8 Ah；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4.线制： M-Bus两总线；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5.功耗 ：≤10 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6.报警方式： 声光报警；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7.声压级： ≥75 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8.信号输出： 两组继电器输出（容量：5 A/250 VAC或5 A/30 VDC）；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9.联动1默认为常保持无源开关量，联动2默认为脉冲无源开关量。</w:t>
            </w:r>
          </w:p>
        </w:tc>
        <w:tc>
          <w:tcPr>
            <w:tcW w:w="780" w:type="dxa"/>
            <w:tcBorders>
              <w:top w:val="single" w:color="000000" w:sz="4" w:space="0"/>
              <w:left w:val="single" w:color="000000" w:sz="4" w:space="0"/>
              <w:bottom w:val="single" w:color="000000" w:sz="4" w:space="0"/>
              <w:right w:val="single" w:color="000000" w:sz="4" w:space="0"/>
            </w:tcBorders>
            <w:vAlign w:val="center"/>
          </w:tcPr>
          <w:p w14:paraId="5FFF65D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615" w:type="dxa"/>
            <w:tcBorders>
              <w:top w:val="single" w:color="000000" w:sz="4" w:space="0"/>
              <w:left w:val="single" w:color="000000" w:sz="4" w:space="0"/>
              <w:bottom w:val="single" w:color="000000" w:sz="4" w:space="0"/>
              <w:right w:val="single" w:color="000000" w:sz="4" w:space="0"/>
            </w:tcBorders>
            <w:vAlign w:val="center"/>
          </w:tcPr>
          <w:p w14:paraId="5AA2DF8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569CF3E9">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009622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1.1.4</w:t>
            </w:r>
          </w:p>
        </w:tc>
        <w:tc>
          <w:tcPr>
            <w:tcW w:w="1110" w:type="dxa"/>
            <w:tcBorders>
              <w:top w:val="single" w:color="000000" w:sz="4" w:space="0"/>
              <w:left w:val="single" w:color="000000" w:sz="4" w:space="0"/>
              <w:bottom w:val="single" w:color="000000" w:sz="4" w:space="0"/>
              <w:right w:val="single" w:color="000000" w:sz="4" w:space="0"/>
            </w:tcBorders>
            <w:vAlign w:val="center"/>
          </w:tcPr>
          <w:p w14:paraId="7B42FF3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联网网关</w:t>
            </w:r>
          </w:p>
        </w:tc>
        <w:tc>
          <w:tcPr>
            <w:tcW w:w="6120" w:type="dxa"/>
            <w:tcBorders>
              <w:top w:val="single" w:color="000000" w:sz="4" w:space="0"/>
              <w:left w:val="single" w:color="000000" w:sz="4" w:space="0"/>
              <w:bottom w:val="single" w:color="000000" w:sz="4" w:space="0"/>
              <w:right w:val="single" w:color="000000" w:sz="4" w:space="0"/>
            </w:tcBorders>
            <w:vAlign w:val="center"/>
          </w:tcPr>
          <w:p w14:paraId="46619D2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1、供电方式：12V 1A，含适配器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2、待机电流：≥500mA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3、接口参数：≥1路RS485、≥1路RS232、≥1路输出、≥1路输入、≥1路以太网口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4、通讯方式：上行：有线网络/4G；下行：RS485、RS232</w:t>
            </w:r>
          </w:p>
        </w:tc>
        <w:tc>
          <w:tcPr>
            <w:tcW w:w="780" w:type="dxa"/>
            <w:tcBorders>
              <w:top w:val="single" w:color="000000" w:sz="4" w:space="0"/>
              <w:left w:val="single" w:color="000000" w:sz="4" w:space="0"/>
              <w:bottom w:val="single" w:color="000000" w:sz="4" w:space="0"/>
              <w:right w:val="single" w:color="000000" w:sz="4" w:space="0"/>
            </w:tcBorders>
            <w:vAlign w:val="center"/>
          </w:tcPr>
          <w:p w14:paraId="242B3DC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615" w:type="dxa"/>
            <w:tcBorders>
              <w:top w:val="single" w:color="000000" w:sz="4" w:space="0"/>
              <w:left w:val="single" w:color="000000" w:sz="4" w:space="0"/>
              <w:bottom w:val="single" w:color="000000" w:sz="4" w:space="0"/>
              <w:right w:val="single" w:color="000000" w:sz="4" w:space="0"/>
            </w:tcBorders>
            <w:vAlign w:val="center"/>
          </w:tcPr>
          <w:p w14:paraId="1A4BD24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2C201CC8">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E81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CFD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气云成像云台摄像机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73EA">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1、采用一体化设计，由可见光部分以及气云成像部分组成，可见光部分：像素≥400万，可见光最大分辨率≥2560 × 1440，采用≥1/1.8＂CMOS高性能图像传感器；气云成像部分原始分辨率≥320 × 256。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2、外壳采用316L不锈钢外壳，设备表面带防腐蚀涂层。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●3、内置GPU芯片，eMMC容量≥8GB，镜头焦距6.0-240mm，可见光镜头可支持40倍光学变倍，支持最低照度可达彩色≤0.0002Lux，黑白≤0.0001Lux。</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4、支持自动/手动变焦，自动/手动调节光圈功能，支持一键聚焦且最小聚焦距离可设置为10cm，光学变倍速度3级可调，可见光最大水平视场角不小于57°，最大垂直视场角不小于32°。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●5、内置≥1个高灵敏度制冷型碲镉汞探测器，气体探测器工作波频段在3.0um~3.5um。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6、支持自动光圈、自动聚焦、自动白平衡、背光补偿、宽动态、3D数字降噪、日夜转换。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7、内置高精度云台，控制精度≤0.1°，保障运动过程中图像无抖动。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8、支持监测碳氢类危险气体，准确定位泄漏源，实时显示泄漏气体轨迹。可检测≥220米外的气状VOCs类物质。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可检测甲烷、乙烯等50多种碳氢类物质。可检测包括但不限于：甲烷、乙烷、丙烷、丁烷、戊烷、己烷、庚烷、辛烷、氯甲烷、环氧氯丙烷、环氧乙烷环氧丙烷、三羟甲基丙烷、苯、甲苯、均三甲苯、对二甲苯、邻二甲苯、乙苯、乙烯、丙烯、2-甲基-2-丁烯、苯乙烯、1-丁烯、环戊二烯、甲醇、乙二醇、乙硫醇、乙醇、丁醇、异丙醇、乙醚、二甲基硫醚、二甲醚、甲基叔丁基醚、三甲胺、三乙胺、二甲胺、一甲胺、苯胺、丙醛、吡啶、四氢呋喃等50多种碳氢类物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10、支持断电状态记忆功能，上电后自动回到断电前的云台和镜头状态。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11、支持透雾、强光抑制、Smart IR防红外过曝技术，支持红外灯，照射距离≥200 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●12、当检测到空气中的VOCs类物质后，可将检测场景中不同位置物质的浓度映射为预览图像对应位置不同色温的色彩信息，生成伪彩预览图像，且可在录像中保留伪彩信息。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13、支持VOCs类气体检测报警功能。当检测到气体中VOCs类物质达到设定阈值时，可触发发送邮件、上传中心、上传FTP/SD卡.NAS、闪光报警、声音联动、报警输出、录像。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14、非VOCs类气体（如氧、氮、二氧化碳）不应在预览画面上叠加伪彩色，也不应触发报警信息。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15、可根据当前场景不同位置的不同温度实时生成灰度预览图像。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16、满足Exd ⅡC T6 Gb/Ex tD A21 IP68 T80℃。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17、具备较好的环境适应性，支持≥IP68，≥IK10，工作温度范围可达-30℃-50℃。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18、符合在150kHz~30MHz，限值要求在ClassA（电源：AC 220V/50Hz）下的传导骚扰试验。</w:t>
            </w:r>
          </w:p>
        </w:tc>
        <w:tc>
          <w:tcPr>
            <w:tcW w:w="780" w:type="dxa"/>
            <w:tcBorders>
              <w:top w:val="single" w:color="000000" w:sz="4" w:space="0"/>
              <w:left w:val="single" w:color="000000" w:sz="4" w:space="0"/>
              <w:bottom w:val="single" w:color="000000" w:sz="4" w:space="0"/>
              <w:right w:val="single" w:color="000000" w:sz="4" w:space="0"/>
            </w:tcBorders>
            <w:vAlign w:val="center"/>
          </w:tcPr>
          <w:p w14:paraId="4139ED2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4AA2B63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3F104542">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FB3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A20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防爆接线盒</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D11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1.304不锈钢材质；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2.适用于厂用防爆场景中的线缆连接；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3.防护等级：≥IP68；</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4.防爆标志：Ex db ⅡC T6 Gb/Ex tb ⅢC T80℃ 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5.出线孔：≥4个（G3/4螺纹）；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6.外壳材质：不锈钢304；</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7.存储温湿度：-40 °C~60 °C，湿度小于90%（无凝结）；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8.启动和工作温湿度：-40 °C~60 °C，湿度小于90%（无凝结）</w:t>
            </w:r>
          </w:p>
        </w:tc>
        <w:tc>
          <w:tcPr>
            <w:tcW w:w="780" w:type="dxa"/>
            <w:tcBorders>
              <w:top w:val="single" w:color="000000" w:sz="4" w:space="0"/>
              <w:left w:val="single" w:color="000000" w:sz="4" w:space="0"/>
              <w:bottom w:val="single" w:color="000000" w:sz="4" w:space="0"/>
              <w:right w:val="single" w:color="000000" w:sz="4" w:space="0"/>
            </w:tcBorders>
            <w:vAlign w:val="center"/>
          </w:tcPr>
          <w:p w14:paraId="2596135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2439D2A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5394BC6A">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C6CE00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110" w:type="dxa"/>
            <w:tcBorders>
              <w:top w:val="single" w:color="000000" w:sz="4" w:space="0"/>
              <w:left w:val="single" w:color="000000" w:sz="4" w:space="0"/>
              <w:bottom w:val="single" w:color="000000" w:sz="4" w:space="0"/>
              <w:right w:val="single" w:color="000000" w:sz="4" w:space="0"/>
            </w:tcBorders>
            <w:vAlign w:val="center"/>
          </w:tcPr>
          <w:p w14:paraId="3EDDB85A">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工程实施及线缆</w:t>
            </w:r>
          </w:p>
        </w:tc>
        <w:tc>
          <w:tcPr>
            <w:tcW w:w="6120" w:type="dxa"/>
            <w:tcBorders>
              <w:top w:val="single" w:color="000000" w:sz="4" w:space="0"/>
              <w:left w:val="single" w:color="000000" w:sz="4" w:space="0"/>
              <w:bottom w:val="single" w:color="000000" w:sz="4" w:space="0"/>
              <w:right w:val="single" w:color="000000" w:sz="4" w:space="0"/>
            </w:tcBorders>
            <w:vAlign w:val="center"/>
          </w:tcPr>
          <w:p w14:paraId="46D81FF2">
            <w:pPr>
              <w:spacing w:after="0" w:line="279" w:lineRule="auto"/>
              <w:jc w:val="left"/>
              <w:rPr>
                <w:rFonts w:ascii="宋体" w:hAnsi="宋体" w:cs="宋体"/>
                <w:color w:val="auto"/>
                <w:sz w:val="22"/>
                <w:szCs w:val="22"/>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30827D7D">
            <w:pPr>
              <w:spacing w:after="0" w:line="279" w:lineRule="auto"/>
              <w:jc w:val="left"/>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DEDC403">
            <w:pPr>
              <w:spacing w:after="0" w:line="279" w:lineRule="auto"/>
              <w:jc w:val="center"/>
              <w:rPr>
                <w:rFonts w:ascii="宋体" w:hAnsi="宋体" w:cs="宋体"/>
                <w:color w:val="auto"/>
                <w:sz w:val="22"/>
                <w:szCs w:val="22"/>
                <w:highlight w:val="none"/>
              </w:rPr>
            </w:pPr>
          </w:p>
        </w:tc>
      </w:tr>
      <w:tr w14:paraId="647E7639">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47E89D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2.2.1</w:t>
            </w:r>
          </w:p>
        </w:tc>
        <w:tc>
          <w:tcPr>
            <w:tcW w:w="1110" w:type="dxa"/>
            <w:tcBorders>
              <w:top w:val="single" w:color="000000" w:sz="4" w:space="0"/>
              <w:left w:val="single" w:color="000000" w:sz="4" w:space="0"/>
              <w:bottom w:val="single" w:color="000000" w:sz="4" w:space="0"/>
              <w:right w:val="single" w:color="000000" w:sz="4" w:space="0"/>
            </w:tcBorders>
            <w:vAlign w:val="center"/>
          </w:tcPr>
          <w:p w14:paraId="6D7DC1B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28C7445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RVV2*2.5mm2电源线。</w:t>
            </w:r>
          </w:p>
        </w:tc>
        <w:tc>
          <w:tcPr>
            <w:tcW w:w="780" w:type="dxa"/>
            <w:tcBorders>
              <w:top w:val="single" w:color="000000" w:sz="4" w:space="0"/>
              <w:left w:val="single" w:color="000000" w:sz="4" w:space="0"/>
              <w:bottom w:val="single" w:color="000000" w:sz="4" w:space="0"/>
              <w:right w:val="single" w:color="000000" w:sz="4" w:space="0"/>
            </w:tcBorders>
            <w:vAlign w:val="center"/>
          </w:tcPr>
          <w:p w14:paraId="5082233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10500</w:t>
            </w:r>
          </w:p>
        </w:tc>
        <w:tc>
          <w:tcPr>
            <w:tcW w:w="615" w:type="dxa"/>
            <w:tcBorders>
              <w:top w:val="single" w:color="000000" w:sz="4" w:space="0"/>
              <w:left w:val="single" w:color="000000" w:sz="4" w:space="0"/>
              <w:bottom w:val="single" w:color="000000" w:sz="4" w:space="0"/>
              <w:right w:val="single" w:color="000000" w:sz="4" w:space="0"/>
            </w:tcBorders>
            <w:vAlign w:val="center"/>
          </w:tcPr>
          <w:p w14:paraId="15B41E7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7D5504F1">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3AFBEAA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2.2.2</w:t>
            </w:r>
          </w:p>
        </w:tc>
        <w:tc>
          <w:tcPr>
            <w:tcW w:w="1110" w:type="dxa"/>
            <w:tcBorders>
              <w:top w:val="single" w:color="000000" w:sz="4" w:space="0"/>
              <w:left w:val="single" w:color="000000" w:sz="4" w:space="0"/>
              <w:bottom w:val="single" w:color="000000" w:sz="4" w:space="0"/>
              <w:right w:val="single" w:color="000000" w:sz="4" w:space="0"/>
            </w:tcBorders>
            <w:vAlign w:val="center"/>
          </w:tcPr>
          <w:p w14:paraId="4DC6945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1DE2903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国标 超五类非屏蔽网线。</w:t>
            </w:r>
          </w:p>
        </w:tc>
        <w:tc>
          <w:tcPr>
            <w:tcW w:w="780" w:type="dxa"/>
            <w:tcBorders>
              <w:top w:val="single" w:color="000000" w:sz="4" w:space="0"/>
              <w:left w:val="single" w:color="000000" w:sz="4" w:space="0"/>
              <w:bottom w:val="single" w:color="000000" w:sz="4" w:space="0"/>
              <w:right w:val="single" w:color="000000" w:sz="4" w:space="0"/>
            </w:tcBorders>
            <w:vAlign w:val="center"/>
          </w:tcPr>
          <w:p w14:paraId="58B7579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10500</w:t>
            </w:r>
          </w:p>
        </w:tc>
        <w:tc>
          <w:tcPr>
            <w:tcW w:w="615" w:type="dxa"/>
            <w:tcBorders>
              <w:top w:val="single" w:color="000000" w:sz="4" w:space="0"/>
              <w:left w:val="single" w:color="000000" w:sz="4" w:space="0"/>
              <w:bottom w:val="single" w:color="000000" w:sz="4" w:space="0"/>
              <w:right w:val="single" w:color="000000" w:sz="4" w:space="0"/>
            </w:tcBorders>
            <w:vAlign w:val="center"/>
          </w:tcPr>
          <w:p w14:paraId="7D4D441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05D2D894">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588DA9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2.2.3</w:t>
            </w:r>
          </w:p>
        </w:tc>
        <w:tc>
          <w:tcPr>
            <w:tcW w:w="1110" w:type="dxa"/>
            <w:tcBorders>
              <w:top w:val="single" w:color="000000" w:sz="4" w:space="0"/>
              <w:left w:val="single" w:color="000000" w:sz="4" w:space="0"/>
              <w:bottom w:val="single" w:color="000000" w:sz="4" w:space="0"/>
              <w:right w:val="single" w:color="000000" w:sz="4" w:space="0"/>
            </w:tcBorders>
            <w:vAlign w:val="center"/>
          </w:tcPr>
          <w:p w14:paraId="1397E5D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光缆</w:t>
            </w:r>
          </w:p>
        </w:tc>
        <w:tc>
          <w:tcPr>
            <w:tcW w:w="6120" w:type="dxa"/>
            <w:tcBorders>
              <w:top w:val="single" w:color="000000" w:sz="4" w:space="0"/>
              <w:left w:val="single" w:color="000000" w:sz="4" w:space="0"/>
              <w:bottom w:val="single" w:color="000000" w:sz="4" w:space="0"/>
              <w:right w:val="single" w:color="000000" w:sz="4" w:space="0"/>
            </w:tcBorders>
            <w:vAlign w:val="center"/>
          </w:tcPr>
          <w:p w14:paraId="5386C39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4芯光缆。</w:t>
            </w:r>
          </w:p>
        </w:tc>
        <w:tc>
          <w:tcPr>
            <w:tcW w:w="780" w:type="dxa"/>
            <w:tcBorders>
              <w:top w:val="single" w:color="000000" w:sz="4" w:space="0"/>
              <w:left w:val="single" w:color="000000" w:sz="4" w:space="0"/>
              <w:bottom w:val="single" w:color="000000" w:sz="4" w:space="0"/>
              <w:right w:val="single" w:color="000000" w:sz="4" w:space="0"/>
            </w:tcBorders>
            <w:vAlign w:val="center"/>
          </w:tcPr>
          <w:p w14:paraId="7837E20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1000</w:t>
            </w:r>
          </w:p>
        </w:tc>
        <w:tc>
          <w:tcPr>
            <w:tcW w:w="615" w:type="dxa"/>
            <w:tcBorders>
              <w:top w:val="single" w:color="000000" w:sz="4" w:space="0"/>
              <w:left w:val="single" w:color="000000" w:sz="4" w:space="0"/>
              <w:bottom w:val="single" w:color="000000" w:sz="4" w:space="0"/>
              <w:right w:val="single" w:color="000000" w:sz="4" w:space="0"/>
            </w:tcBorders>
            <w:vAlign w:val="center"/>
          </w:tcPr>
          <w:p w14:paraId="7DF73CC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47D523F4">
        <w:tblPrEx>
          <w:tblCellMar>
            <w:top w:w="0" w:type="dxa"/>
            <w:left w:w="108" w:type="dxa"/>
            <w:bottom w:w="0" w:type="dxa"/>
            <w:right w:w="108" w:type="dxa"/>
          </w:tblCellMar>
        </w:tblPrEx>
        <w:trPr>
          <w:trHeight w:val="706"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F6E5D0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2.2.4</w:t>
            </w:r>
          </w:p>
        </w:tc>
        <w:tc>
          <w:tcPr>
            <w:tcW w:w="1110" w:type="dxa"/>
            <w:tcBorders>
              <w:top w:val="single" w:color="000000" w:sz="4" w:space="0"/>
              <w:left w:val="single" w:color="000000" w:sz="4" w:space="0"/>
              <w:bottom w:val="single" w:color="000000" w:sz="4" w:space="0"/>
              <w:right w:val="single" w:color="000000" w:sz="4" w:space="0"/>
            </w:tcBorders>
            <w:vAlign w:val="center"/>
          </w:tcPr>
          <w:p w14:paraId="2E762DF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线缆布设</w:t>
            </w:r>
          </w:p>
        </w:tc>
        <w:tc>
          <w:tcPr>
            <w:tcW w:w="6120" w:type="dxa"/>
            <w:tcBorders>
              <w:top w:val="single" w:color="000000" w:sz="4" w:space="0"/>
              <w:left w:val="single" w:color="000000" w:sz="4" w:space="0"/>
              <w:bottom w:val="single" w:color="000000" w:sz="4" w:space="0"/>
              <w:right w:val="single" w:color="000000" w:sz="4" w:space="0"/>
            </w:tcBorders>
            <w:vAlign w:val="center"/>
          </w:tcPr>
          <w:p w14:paraId="35A98BC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电源线、网线、光缆布放。</w:t>
            </w:r>
          </w:p>
        </w:tc>
        <w:tc>
          <w:tcPr>
            <w:tcW w:w="780" w:type="dxa"/>
            <w:tcBorders>
              <w:top w:val="single" w:color="000000" w:sz="4" w:space="0"/>
              <w:left w:val="single" w:color="000000" w:sz="4" w:space="0"/>
              <w:bottom w:val="single" w:color="000000" w:sz="4" w:space="0"/>
              <w:right w:val="single" w:color="000000" w:sz="4" w:space="0"/>
            </w:tcBorders>
            <w:vAlign w:val="center"/>
          </w:tcPr>
          <w:p w14:paraId="473A0BE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22000</w:t>
            </w:r>
          </w:p>
        </w:tc>
        <w:tc>
          <w:tcPr>
            <w:tcW w:w="615" w:type="dxa"/>
            <w:tcBorders>
              <w:top w:val="single" w:color="000000" w:sz="4" w:space="0"/>
              <w:left w:val="single" w:color="000000" w:sz="4" w:space="0"/>
              <w:bottom w:val="single" w:color="000000" w:sz="4" w:space="0"/>
              <w:right w:val="single" w:color="000000" w:sz="4" w:space="0"/>
            </w:tcBorders>
            <w:vAlign w:val="center"/>
          </w:tcPr>
          <w:p w14:paraId="3B02CDE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57BA1726">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EA04FE2">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1.2</w:t>
            </w:r>
          </w:p>
        </w:tc>
        <w:tc>
          <w:tcPr>
            <w:tcW w:w="1110" w:type="dxa"/>
            <w:tcBorders>
              <w:top w:val="single" w:color="000000" w:sz="4" w:space="0"/>
              <w:left w:val="single" w:color="000000" w:sz="4" w:space="0"/>
              <w:bottom w:val="single" w:color="000000" w:sz="4" w:space="0"/>
              <w:right w:val="single" w:color="000000" w:sz="4" w:space="0"/>
            </w:tcBorders>
            <w:vAlign w:val="center"/>
          </w:tcPr>
          <w:p w14:paraId="2BA077C7">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易燃易爆有毒有害气体泄漏探测软件开发</w:t>
            </w:r>
          </w:p>
        </w:tc>
        <w:tc>
          <w:tcPr>
            <w:tcW w:w="6120" w:type="dxa"/>
            <w:tcBorders>
              <w:top w:val="single" w:color="000000" w:sz="4" w:space="0"/>
              <w:left w:val="single" w:color="000000" w:sz="4" w:space="0"/>
              <w:bottom w:val="single" w:color="000000" w:sz="4" w:space="0"/>
              <w:right w:val="single" w:color="000000" w:sz="4" w:space="0"/>
            </w:tcBorders>
            <w:vAlign w:val="center"/>
          </w:tcPr>
          <w:p w14:paraId="3C3F3F55">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一、有毒有害气体探测器接入管理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点型探测器设备接入：①支持易燃易爆气体点型探测器以及相关物联设备的兼容接入；②支持有毒有害气体点型探测器以及相关物联设备的兼容接入。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点型探测器设备管理：①支持易燃易爆气体点型探测器设备管理与型号维护；②支持有毒有害气体点型探测器设备管理与型号维护。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气云成像设备接入：支持气云成像设备以及相关物联设备的兼容接入。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气云成像设备管理：支持设备类型配置，气云成像设备管理与型号维护。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二、易燃易爆有毒有害气体泄漏探测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实时检测：①可实时查看设备的检测情况；②气云成像设备若检测到气体泄漏，可在可见光通道展示叠加的伪彩画面；③支持处理设备相关的告警事件。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参数配置：①用户可在当前页面配置泄漏检测看板是否开启弹窗和声音提醒；②支持配置看板的弹窗和提示声音，提示声音支持自定义；③支持配置获取录像的长度以及实时数据保存时间长度。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预览管理：支持对气云成像设备进行云台操作和实时预览。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泄漏报警管理：①用户可查看设备产生的告警数据，告警详情包含图片和录像，便于后期追溯；②支持查看气云成像的告警信息并处理，告警数据支持导出；③告警支持批量处理。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 历史记录管理：①用户可以查看设备的历史检测数据；②支持查看气云检测设备的录像信息。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三、通用数据对接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数据流管理：支持在画布中拖拉拽输入插件、处理插件、输出插件形成数据流，输入插件和输出插件选择对应的数据源以及属性配置完成数据集成任务的开发。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数据集成：支持通过导入已有任务模板的方式快速生成数据集成任务。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分组管理：支持将数据集成任务根据不同的文件夹实现分组管理，支持修改数据集成任务的文件夹。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任务查看：支持查看所有数据集成任务，包括任务名称、运行状态、增量激活状态、节点数、创建者、创建时间、最近修改人、修改时间等信息。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 任务导入导出：支持导出数据集成任务文件到本地和从本地导入数据集成任务到系统中。</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 任务记录管理：支持查看任务的所有执行记录，包含各时间点执行的情况。支持查看输入、处理、输出每一个节点的数据量报表、执行日志、性能日志、执行记录等信息。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四、气体监测数据汇聚整合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基于园区公共区域物联探测数据进行汇聚，进行易燃易爆有毒有害气体监测数据对接整合。</w:t>
            </w:r>
          </w:p>
        </w:tc>
        <w:tc>
          <w:tcPr>
            <w:tcW w:w="780" w:type="dxa"/>
            <w:tcBorders>
              <w:top w:val="single" w:color="000000" w:sz="4" w:space="0"/>
              <w:left w:val="single" w:color="000000" w:sz="4" w:space="0"/>
              <w:bottom w:val="single" w:color="000000" w:sz="4" w:space="0"/>
              <w:right w:val="single" w:color="000000" w:sz="4" w:space="0"/>
            </w:tcBorders>
            <w:vAlign w:val="center"/>
          </w:tcPr>
          <w:p w14:paraId="4F80930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433B75C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31A199EA">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1A6F184">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1.3</w:t>
            </w:r>
          </w:p>
        </w:tc>
        <w:tc>
          <w:tcPr>
            <w:tcW w:w="7230" w:type="dxa"/>
            <w:gridSpan w:val="2"/>
            <w:tcBorders>
              <w:top w:val="single" w:color="000000" w:sz="4" w:space="0"/>
              <w:left w:val="single" w:color="000000" w:sz="4" w:space="0"/>
              <w:bottom w:val="single" w:color="000000" w:sz="4" w:space="0"/>
              <w:right w:val="single" w:color="000000" w:sz="4" w:space="0"/>
            </w:tcBorders>
            <w:vAlign w:val="center"/>
          </w:tcPr>
          <w:p w14:paraId="5ECE5A5A">
            <w:pPr>
              <w:widowControl/>
              <w:spacing w:after="0" w:line="279"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气体防护应急设备</w:t>
            </w:r>
          </w:p>
        </w:tc>
        <w:tc>
          <w:tcPr>
            <w:tcW w:w="780" w:type="dxa"/>
            <w:tcBorders>
              <w:top w:val="single" w:color="000000" w:sz="4" w:space="0"/>
              <w:left w:val="single" w:color="000000" w:sz="4" w:space="0"/>
              <w:bottom w:val="single" w:color="000000" w:sz="4" w:space="0"/>
              <w:right w:val="single" w:color="000000" w:sz="4" w:space="0"/>
            </w:tcBorders>
            <w:vAlign w:val="center"/>
          </w:tcPr>
          <w:p w14:paraId="561DE2A5">
            <w:pPr>
              <w:widowControl/>
              <w:spacing w:after="0" w:line="279" w:lineRule="auto"/>
              <w:jc w:val="center"/>
              <w:textAlignment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20F0559">
            <w:pPr>
              <w:widowControl/>
              <w:spacing w:after="0" w:line="279" w:lineRule="auto"/>
              <w:jc w:val="center"/>
              <w:textAlignment w:val="center"/>
              <w:rPr>
                <w:rFonts w:ascii="宋体" w:hAnsi="宋体" w:cs="宋体"/>
                <w:color w:val="auto"/>
                <w:sz w:val="22"/>
                <w:szCs w:val="22"/>
                <w:highlight w:val="none"/>
              </w:rPr>
            </w:pPr>
          </w:p>
        </w:tc>
      </w:tr>
      <w:tr w14:paraId="13B6D81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A06E35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w:t>
            </w:r>
          </w:p>
        </w:tc>
        <w:tc>
          <w:tcPr>
            <w:tcW w:w="1110" w:type="dxa"/>
            <w:tcBorders>
              <w:top w:val="single" w:color="000000" w:sz="4" w:space="0"/>
              <w:left w:val="single" w:color="000000" w:sz="4" w:space="0"/>
              <w:bottom w:val="single" w:color="000000" w:sz="4" w:space="0"/>
              <w:right w:val="single" w:color="000000" w:sz="4" w:space="0"/>
            </w:tcBorders>
            <w:vAlign w:val="center"/>
          </w:tcPr>
          <w:p w14:paraId="61ADC75A">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正压空气呼吸器</w:t>
            </w:r>
          </w:p>
        </w:tc>
        <w:tc>
          <w:tcPr>
            <w:tcW w:w="6120" w:type="dxa"/>
            <w:tcBorders>
              <w:top w:val="single" w:color="000000" w:sz="4" w:space="0"/>
              <w:left w:val="single" w:color="000000" w:sz="4" w:space="0"/>
              <w:bottom w:val="single" w:color="000000" w:sz="4" w:space="0"/>
              <w:right w:val="single" w:color="000000" w:sz="4" w:space="0"/>
            </w:tcBorders>
            <w:vAlign w:val="center"/>
          </w:tcPr>
          <w:p w14:paraId="58C215C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技术性能符合 GB/T 16556—2007 中第5章的要求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每套配备1个备用气瓶。</w:t>
            </w:r>
          </w:p>
        </w:tc>
        <w:tc>
          <w:tcPr>
            <w:tcW w:w="780" w:type="dxa"/>
            <w:tcBorders>
              <w:top w:val="single" w:color="000000" w:sz="4" w:space="0"/>
              <w:left w:val="single" w:color="000000" w:sz="4" w:space="0"/>
              <w:bottom w:val="single" w:color="000000" w:sz="4" w:space="0"/>
              <w:right w:val="single" w:color="000000" w:sz="4" w:space="0"/>
            </w:tcBorders>
            <w:vAlign w:val="center"/>
          </w:tcPr>
          <w:p w14:paraId="5E77137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3CE4C40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258553B6">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C83309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1.3.2</w:t>
            </w:r>
          </w:p>
        </w:tc>
        <w:tc>
          <w:tcPr>
            <w:tcW w:w="1110" w:type="dxa"/>
            <w:tcBorders>
              <w:top w:val="single" w:color="000000" w:sz="4" w:space="0"/>
              <w:left w:val="single" w:color="000000" w:sz="4" w:space="0"/>
              <w:bottom w:val="single" w:color="000000" w:sz="4" w:space="0"/>
              <w:right w:val="single" w:color="000000" w:sz="4" w:space="0"/>
            </w:tcBorders>
            <w:vAlign w:val="center"/>
          </w:tcPr>
          <w:p w14:paraId="6E2FE71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自动苏生器</w:t>
            </w:r>
          </w:p>
        </w:tc>
        <w:tc>
          <w:tcPr>
            <w:tcW w:w="6120" w:type="dxa"/>
            <w:tcBorders>
              <w:top w:val="single" w:color="000000" w:sz="4" w:space="0"/>
              <w:left w:val="single" w:color="000000" w:sz="4" w:space="0"/>
              <w:bottom w:val="single" w:color="000000" w:sz="4" w:space="0"/>
              <w:right w:val="single" w:color="000000" w:sz="4" w:space="0"/>
            </w:tcBorders>
            <w:vAlign w:val="center"/>
          </w:tcPr>
          <w:p w14:paraId="6537037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自动进行正负压人工呼吸。</w:t>
            </w:r>
          </w:p>
        </w:tc>
        <w:tc>
          <w:tcPr>
            <w:tcW w:w="780" w:type="dxa"/>
            <w:tcBorders>
              <w:top w:val="single" w:color="000000" w:sz="4" w:space="0"/>
              <w:left w:val="single" w:color="000000" w:sz="4" w:space="0"/>
              <w:bottom w:val="single" w:color="000000" w:sz="4" w:space="0"/>
              <w:right w:val="single" w:color="000000" w:sz="4" w:space="0"/>
            </w:tcBorders>
            <w:vAlign w:val="center"/>
          </w:tcPr>
          <w:p w14:paraId="7DC319A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50B0600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5CB34CB5">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745916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1.3.3</w:t>
            </w:r>
          </w:p>
        </w:tc>
        <w:tc>
          <w:tcPr>
            <w:tcW w:w="1110" w:type="dxa"/>
            <w:tcBorders>
              <w:top w:val="single" w:color="000000" w:sz="4" w:space="0"/>
              <w:left w:val="single" w:color="000000" w:sz="4" w:space="0"/>
              <w:bottom w:val="single" w:color="000000" w:sz="4" w:space="0"/>
              <w:right w:val="single" w:color="000000" w:sz="4" w:space="0"/>
            </w:tcBorders>
            <w:vAlign w:val="center"/>
          </w:tcPr>
          <w:p w14:paraId="79EA69F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供氧设备</w:t>
            </w:r>
          </w:p>
        </w:tc>
        <w:tc>
          <w:tcPr>
            <w:tcW w:w="6120" w:type="dxa"/>
            <w:tcBorders>
              <w:top w:val="single" w:color="000000" w:sz="4" w:space="0"/>
              <w:left w:val="single" w:color="000000" w:sz="4" w:space="0"/>
              <w:bottom w:val="single" w:color="000000" w:sz="4" w:space="0"/>
              <w:right w:val="single" w:color="000000" w:sz="4" w:space="0"/>
            </w:tcBorders>
            <w:vAlign w:val="center"/>
          </w:tcPr>
          <w:p w14:paraId="4C8C0C9E">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治疗中毒人员，包括医用氧气瓶。</w:t>
            </w:r>
          </w:p>
        </w:tc>
        <w:tc>
          <w:tcPr>
            <w:tcW w:w="780" w:type="dxa"/>
            <w:tcBorders>
              <w:top w:val="single" w:color="000000" w:sz="4" w:space="0"/>
              <w:left w:val="single" w:color="000000" w:sz="4" w:space="0"/>
              <w:bottom w:val="single" w:color="000000" w:sz="4" w:space="0"/>
              <w:right w:val="single" w:color="000000" w:sz="4" w:space="0"/>
            </w:tcBorders>
            <w:vAlign w:val="center"/>
          </w:tcPr>
          <w:p w14:paraId="09DD440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667FB33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3C96FAC5">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E10A45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1.3.4</w:t>
            </w:r>
          </w:p>
        </w:tc>
        <w:tc>
          <w:tcPr>
            <w:tcW w:w="1110" w:type="dxa"/>
            <w:tcBorders>
              <w:top w:val="single" w:color="000000" w:sz="4" w:space="0"/>
              <w:left w:val="single" w:color="000000" w:sz="4" w:space="0"/>
              <w:bottom w:val="single" w:color="000000" w:sz="4" w:space="0"/>
              <w:right w:val="single" w:color="000000" w:sz="4" w:space="0"/>
            </w:tcBorders>
            <w:vAlign w:val="center"/>
          </w:tcPr>
          <w:p w14:paraId="291CD37E">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移动式长管供气系统</w:t>
            </w:r>
          </w:p>
        </w:tc>
        <w:tc>
          <w:tcPr>
            <w:tcW w:w="6120" w:type="dxa"/>
            <w:tcBorders>
              <w:top w:val="single" w:color="000000" w:sz="4" w:space="0"/>
              <w:left w:val="single" w:color="000000" w:sz="4" w:space="0"/>
              <w:bottom w:val="single" w:color="000000" w:sz="4" w:space="0"/>
              <w:right w:val="single" w:color="000000" w:sz="4" w:space="0"/>
            </w:tcBorders>
            <w:vAlign w:val="center"/>
          </w:tcPr>
          <w:p w14:paraId="06A0C17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缺氧或有毒有害气体环境中为抢险救灾人员提供长时间呼吸保护。</w:t>
            </w:r>
          </w:p>
        </w:tc>
        <w:tc>
          <w:tcPr>
            <w:tcW w:w="780" w:type="dxa"/>
            <w:tcBorders>
              <w:top w:val="single" w:color="000000" w:sz="4" w:space="0"/>
              <w:left w:val="single" w:color="000000" w:sz="4" w:space="0"/>
              <w:bottom w:val="single" w:color="000000" w:sz="4" w:space="0"/>
              <w:right w:val="single" w:color="000000" w:sz="4" w:space="0"/>
            </w:tcBorders>
            <w:vAlign w:val="center"/>
          </w:tcPr>
          <w:p w14:paraId="0D6A7B2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1AAB606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0F358A4E">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BD4141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1.3.5</w:t>
            </w:r>
          </w:p>
        </w:tc>
        <w:tc>
          <w:tcPr>
            <w:tcW w:w="1110" w:type="dxa"/>
            <w:tcBorders>
              <w:top w:val="single" w:color="000000" w:sz="4" w:space="0"/>
              <w:left w:val="single" w:color="000000" w:sz="4" w:space="0"/>
              <w:bottom w:val="single" w:color="000000" w:sz="4" w:space="0"/>
              <w:right w:val="single" w:color="000000" w:sz="4" w:space="0"/>
            </w:tcBorders>
            <w:vAlign w:val="center"/>
          </w:tcPr>
          <w:p w14:paraId="2B673F8A">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对讲机</w:t>
            </w:r>
          </w:p>
        </w:tc>
        <w:tc>
          <w:tcPr>
            <w:tcW w:w="6120" w:type="dxa"/>
            <w:tcBorders>
              <w:top w:val="single" w:color="000000" w:sz="4" w:space="0"/>
              <w:left w:val="single" w:color="000000" w:sz="4" w:space="0"/>
              <w:bottom w:val="single" w:color="000000" w:sz="4" w:space="0"/>
              <w:right w:val="single" w:color="000000" w:sz="4" w:space="0"/>
            </w:tcBorders>
            <w:vAlign w:val="center"/>
          </w:tcPr>
          <w:p w14:paraId="78A6D5B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易燃易爆场所应选防爆型，通信距离不低于1000 m</w:t>
            </w:r>
          </w:p>
        </w:tc>
        <w:tc>
          <w:tcPr>
            <w:tcW w:w="780" w:type="dxa"/>
            <w:tcBorders>
              <w:top w:val="single" w:color="000000" w:sz="4" w:space="0"/>
              <w:left w:val="single" w:color="000000" w:sz="4" w:space="0"/>
              <w:bottom w:val="single" w:color="000000" w:sz="4" w:space="0"/>
              <w:right w:val="single" w:color="000000" w:sz="4" w:space="0"/>
            </w:tcBorders>
            <w:vAlign w:val="center"/>
          </w:tcPr>
          <w:p w14:paraId="0602D2F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699DD68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5C1E81AA">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35A3C89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1110" w:type="dxa"/>
            <w:tcBorders>
              <w:top w:val="single" w:color="000000" w:sz="4" w:space="0"/>
              <w:left w:val="single" w:color="000000" w:sz="4" w:space="0"/>
              <w:bottom w:val="single" w:color="000000" w:sz="4" w:space="0"/>
              <w:right w:val="single" w:color="000000" w:sz="4" w:space="0"/>
            </w:tcBorders>
            <w:vAlign w:val="center"/>
          </w:tcPr>
          <w:p w14:paraId="7EC5B9F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抢险救援服</w:t>
            </w:r>
          </w:p>
        </w:tc>
        <w:tc>
          <w:tcPr>
            <w:tcW w:w="6120" w:type="dxa"/>
            <w:tcBorders>
              <w:top w:val="single" w:color="000000" w:sz="4" w:space="0"/>
              <w:left w:val="single" w:color="000000" w:sz="4" w:space="0"/>
              <w:bottom w:val="single" w:color="000000" w:sz="4" w:space="0"/>
              <w:right w:val="single" w:color="000000" w:sz="4" w:space="0"/>
            </w:tcBorders>
            <w:vAlign w:val="center"/>
          </w:tcPr>
          <w:p w14:paraId="08D15A7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抢险人员躯体保护，橘红色。</w:t>
            </w:r>
          </w:p>
        </w:tc>
        <w:tc>
          <w:tcPr>
            <w:tcW w:w="780" w:type="dxa"/>
            <w:tcBorders>
              <w:top w:val="single" w:color="000000" w:sz="4" w:space="0"/>
              <w:left w:val="single" w:color="000000" w:sz="4" w:space="0"/>
              <w:bottom w:val="single" w:color="000000" w:sz="4" w:space="0"/>
              <w:right w:val="single" w:color="000000" w:sz="4" w:space="0"/>
            </w:tcBorders>
            <w:vAlign w:val="center"/>
          </w:tcPr>
          <w:p w14:paraId="0CBE50C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15" w:type="dxa"/>
            <w:tcBorders>
              <w:top w:val="single" w:color="000000" w:sz="4" w:space="0"/>
              <w:left w:val="single" w:color="000000" w:sz="4" w:space="0"/>
              <w:bottom w:val="single" w:color="000000" w:sz="4" w:space="0"/>
              <w:right w:val="single" w:color="000000" w:sz="4" w:space="0"/>
            </w:tcBorders>
            <w:vAlign w:val="center"/>
          </w:tcPr>
          <w:p w14:paraId="5715613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0E2AE418">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BD0DF0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1110" w:type="dxa"/>
            <w:tcBorders>
              <w:top w:val="single" w:color="000000" w:sz="4" w:space="0"/>
              <w:left w:val="single" w:color="000000" w:sz="4" w:space="0"/>
              <w:bottom w:val="single" w:color="000000" w:sz="4" w:space="0"/>
              <w:right w:val="single" w:color="000000" w:sz="4" w:space="0"/>
            </w:tcBorders>
            <w:vAlign w:val="center"/>
          </w:tcPr>
          <w:p w14:paraId="3F00232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头戴式防爆照明灯</w:t>
            </w:r>
          </w:p>
        </w:tc>
        <w:tc>
          <w:tcPr>
            <w:tcW w:w="6120" w:type="dxa"/>
            <w:tcBorders>
              <w:top w:val="single" w:color="000000" w:sz="4" w:space="0"/>
              <w:left w:val="single" w:color="000000" w:sz="4" w:space="0"/>
              <w:bottom w:val="single" w:color="000000" w:sz="4" w:space="0"/>
              <w:right w:val="single" w:color="000000" w:sz="4" w:space="0"/>
            </w:tcBorders>
            <w:vAlign w:val="center"/>
          </w:tcPr>
          <w:p w14:paraId="1695144E">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灭火和抢险救援现场作业时的照明</w:t>
            </w:r>
          </w:p>
        </w:tc>
        <w:tc>
          <w:tcPr>
            <w:tcW w:w="780" w:type="dxa"/>
            <w:tcBorders>
              <w:top w:val="single" w:color="000000" w:sz="4" w:space="0"/>
              <w:left w:val="single" w:color="000000" w:sz="4" w:space="0"/>
              <w:bottom w:val="single" w:color="000000" w:sz="4" w:space="0"/>
              <w:right w:val="single" w:color="000000" w:sz="4" w:space="0"/>
            </w:tcBorders>
            <w:vAlign w:val="center"/>
          </w:tcPr>
          <w:p w14:paraId="4C1A11D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15" w:type="dxa"/>
            <w:tcBorders>
              <w:top w:val="single" w:color="000000" w:sz="4" w:space="0"/>
              <w:left w:val="single" w:color="000000" w:sz="4" w:space="0"/>
              <w:bottom w:val="single" w:color="000000" w:sz="4" w:space="0"/>
              <w:right w:val="single" w:color="000000" w:sz="4" w:space="0"/>
            </w:tcBorders>
            <w:vAlign w:val="center"/>
          </w:tcPr>
          <w:p w14:paraId="7F1B24E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r>
      <w:tr w14:paraId="5A88D274">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B041DB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1.3.8</w:t>
            </w:r>
          </w:p>
        </w:tc>
        <w:tc>
          <w:tcPr>
            <w:tcW w:w="1110" w:type="dxa"/>
            <w:tcBorders>
              <w:top w:val="single" w:color="000000" w:sz="4" w:space="0"/>
              <w:left w:val="single" w:color="000000" w:sz="4" w:space="0"/>
              <w:bottom w:val="single" w:color="000000" w:sz="4" w:space="0"/>
              <w:right w:val="single" w:color="000000" w:sz="4" w:space="0"/>
            </w:tcBorders>
            <w:vAlign w:val="center"/>
          </w:tcPr>
          <w:p w14:paraId="1A48CD2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一级化学防护服</w:t>
            </w:r>
          </w:p>
        </w:tc>
        <w:tc>
          <w:tcPr>
            <w:tcW w:w="6120" w:type="dxa"/>
            <w:tcBorders>
              <w:top w:val="single" w:color="000000" w:sz="4" w:space="0"/>
              <w:left w:val="single" w:color="000000" w:sz="4" w:space="0"/>
              <w:bottom w:val="single" w:color="000000" w:sz="4" w:space="0"/>
              <w:right w:val="single" w:color="000000" w:sz="4" w:space="0"/>
            </w:tcBorders>
            <w:vAlign w:val="center"/>
          </w:tcPr>
          <w:p w14:paraId="27F61DB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重度化学灾害现场全身防护</w:t>
            </w:r>
          </w:p>
        </w:tc>
        <w:tc>
          <w:tcPr>
            <w:tcW w:w="780" w:type="dxa"/>
            <w:tcBorders>
              <w:top w:val="single" w:color="000000" w:sz="4" w:space="0"/>
              <w:left w:val="single" w:color="000000" w:sz="4" w:space="0"/>
              <w:bottom w:val="single" w:color="000000" w:sz="4" w:space="0"/>
              <w:right w:val="single" w:color="000000" w:sz="4" w:space="0"/>
            </w:tcBorders>
            <w:vAlign w:val="center"/>
          </w:tcPr>
          <w:p w14:paraId="02FCFE3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4035804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6B486F9E">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DE5025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1.3.9</w:t>
            </w:r>
          </w:p>
        </w:tc>
        <w:tc>
          <w:tcPr>
            <w:tcW w:w="1110" w:type="dxa"/>
            <w:tcBorders>
              <w:top w:val="single" w:color="000000" w:sz="4" w:space="0"/>
              <w:left w:val="single" w:color="000000" w:sz="4" w:space="0"/>
              <w:bottom w:val="single" w:color="000000" w:sz="4" w:space="0"/>
              <w:right w:val="single" w:color="000000" w:sz="4" w:space="0"/>
            </w:tcBorders>
            <w:vAlign w:val="center"/>
          </w:tcPr>
          <w:p w14:paraId="1F32D32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二级化学防护服</w:t>
            </w:r>
          </w:p>
        </w:tc>
        <w:tc>
          <w:tcPr>
            <w:tcW w:w="6120" w:type="dxa"/>
            <w:tcBorders>
              <w:top w:val="single" w:color="000000" w:sz="4" w:space="0"/>
              <w:left w:val="single" w:color="000000" w:sz="4" w:space="0"/>
              <w:bottom w:val="single" w:color="000000" w:sz="4" w:space="0"/>
              <w:right w:val="single" w:color="000000" w:sz="4" w:space="0"/>
            </w:tcBorders>
            <w:vAlign w:val="center"/>
          </w:tcPr>
          <w:p w14:paraId="5408E01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化学灾害现场作业时的躯体防护</w:t>
            </w:r>
          </w:p>
        </w:tc>
        <w:tc>
          <w:tcPr>
            <w:tcW w:w="780" w:type="dxa"/>
            <w:tcBorders>
              <w:top w:val="single" w:color="000000" w:sz="4" w:space="0"/>
              <w:left w:val="single" w:color="000000" w:sz="4" w:space="0"/>
              <w:bottom w:val="single" w:color="000000" w:sz="4" w:space="0"/>
              <w:right w:val="single" w:color="000000" w:sz="4" w:space="0"/>
            </w:tcBorders>
            <w:vAlign w:val="center"/>
          </w:tcPr>
          <w:p w14:paraId="6F40E05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0C2BB53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442325B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9B3D21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1.3.10</w:t>
            </w:r>
          </w:p>
        </w:tc>
        <w:tc>
          <w:tcPr>
            <w:tcW w:w="1110" w:type="dxa"/>
            <w:tcBorders>
              <w:top w:val="single" w:color="000000" w:sz="4" w:space="0"/>
              <w:left w:val="single" w:color="000000" w:sz="4" w:space="0"/>
              <w:bottom w:val="single" w:color="000000" w:sz="4" w:space="0"/>
              <w:right w:val="single" w:color="000000" w:sz="4" w:space="0"/>
            </w:tcBorders>
            <w:vAlign w:val="center"/>
          </w:tcPr>
          <w:p w14:paraId="5AC733D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隔热服</w:t>
            </w:r>
          </w:p>
        </w:tc>
        <w:tc>
          <w:tcPr>
            <w:tcW w:w="6120" w:type="dxa"/>
            <w:tcBorders>
              <w:top w:val="single" w:color="000000" w:sz="4" w:space="0"/>
              <w:left w:val="single" w:color="000000" w:sz="4" w:space="0"/>
              <w:bottom w:val="single" w:color="000000" w:sz="4" w:space="0"/>
              <w:right w:val="single" w:color="000000" w:sz="4" w:space="0"/>
            </w:tcBorders>
            <w:vAlign w:val="center"/>
          </w:tcPr>
          <w:p w14:paraId="12B4CF1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技术性能符合 GB-38453 要求，强热辐射场所下配备</w:t>
            </w:r>
          </w:p>
        </w:tc>
        <w:tc>
          <w:tcPr>
            <w:tcW w:w="780" w:type="dxa"/>
            <w:tcBorders>
              <w:top w:val="single" w:color="000000" w:sz="4" w:space="0"/>
              <w:left w:val="single" w:color="000000" w:sz="4" w:space="0"/>
              <w:bottom w:val="single" w:color="000000" w:sz="4" w:space="0"/>
              <w:right w:val="single" w:color="000000" w:sz="4" w:space="0"/>
            </w:tcBorders>
            <w:vAlign w:val="center"/>
          </w:tcPr>
          <w:p w14:paraId="165223D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15" w:type="dxa"/>
            <w:tcBorders>
              <w:top w:val="single" w:color="000000" w:sz="4" w:space="0"/>
              <w:left w:val="single" w:color="000000" w:sz="4" w:space="0"/>
              <w:bottom w:val="single" w:color="000000" w:sz="4" w:space="0"/>
              <w:right w:val="single" w:color="000000" w:sz="4" w:space="0"/>
            </w:tcBorders>
            <w:vAlign w:val="center"/>
          </w:tcPr>
          <w:p w14:paraId="1520EBE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0462423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C0A2FD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1.3.11</w:t>
            </w:r>
          </w:p>
        </w:tc>
        <w:tc>
          <w:tcPr>
            <w:tcW w:w="1110" w:type="dxa"/>
            <w:tcBorders>
              <w:top w:val="single" w:color="000000" w:sz="4" w:space="0"/>
              <w:left w:val="single" w:color="000000" w:sz="4" w:space="0"/>
              <w:bottom w:val="single" w:color="000000" w:sz="4" w:space="0"/>
              <w:right w:val="single" w:color="000000" w:sz="4" w:space="0"/>
            </w:tcBorders>
            <w:vAlign w:val="center"/>
          </w:tcPr>
          <w:p w14:paraId="52A2EF3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折叠担架</w:t>
            </w:r>
          </w:p>
        </w:tc>
        <w:tc>
          <w:tcPr>
            <w:tcW w:w="6120" w:type="dxa"/>
            <w:tcBorders>
              <w:top w:val="single" w:color="000000" w:sz="4" w:space="0"/>
              <w:left w:val="single" w:color="000000" w:sz="4" w:space="0"/>
              <w:bottom w:val="single" w:color="000000" w:sz="4" w:space="0"/>
              <w:right w:val="single" w:color="000000" w:sz="4" w:space="0"/>
            </w:tcBorders>
            <w:vAlign w:val="center"/>
          </w:tcPr>
          <w:p w14:paraId="6A0B121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运送事故现场受伤人员</w:t>
            </w:r>
          </w:p>
        </w:tc>
        <w:tc>
          <w:tcPr>
            <w:tcW w:w="780" w:type="dxa"/>
            <w:tcBorders>
              <w:top w:val="single" w:color="000000" w:sz="4" w:space="0"/>
              <w:left w:val="single" w:color="000000" w:sz="4" w:space="0"/>
              <w:bottom w:val="single" w:color="000000" w:sz="4" w:space="0"/>
              <w:right w:val="single" w:color="000000" w:sz="4" w:space="0"/>
            </w:tcBorders>
            <w:vAlign w:val="center"/>
          </w:tcPr>
          <w:p w14:paraId="1677F31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462FD76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副</w:t>
            </w:r>
          </w:p>
        </w:tc>
      </w:tr>
      <w:tr w14:paraId="397AFC6C">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3B35143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1.3.12</w:t>
            </w:r>
          </w:p>
        </w:tc>
        <w:tc>
          <w:tcPr>
            <w:tcW w:w="1110" w:type="dxa"/>
            <w:tcBorders>
              <w:top w:val="single" w:color="000000" w:sz="4" w:space="0"/>
              <w:left w:val="single" w:color="000000" w:sz="4" w:space="0"/>
              <w:bottom w:val="single" w:color="000000" w:sz="4" w:space="0"/>
              <w:right w:val="single" w:color="000000" w:sz="4" w:space="0"/>
            </w:tcBorders>
            <w:vAlign w:val="center"/>
          </w:tcPr>
          <w:p w14:paraId="2672B0B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急救包</w:t>
            </w:r>
          </w:p>
        </w:tc>
        <w:tc>
          <w:tcPr>
            <w:tcW w:w="6120" w:type="dxa"/>
            <w:tcBorders>
              <w:top w:val="single" w:color="000000" w:sz="4" w:space="0"/>
              <w:left w:val="single" w:color="000000" w:sz="4" w:space="0"/>
              <w:bottom w:val="single" w:color="000000" w:sz="4" w:space="0"/>
              <w:right w:val="single" w:color="000000" w:sz="4" w:space="0"/>
            </w:tcBorders>
            <w:vAlign w:val="center"/>
          </w:tcPr>
          <w:p w14:paraId="4541415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物资清单符合 GBZ 1—2010 中表 A.4的要求，盛放常规外伤和化学伤害急救所需的敷料、药品和器械等。</w:t>
            </w:r>
          </w:p>
        </w:tc>
        <w:tc>
          <w:tcPr>
            <w:tcW w:w="780" w:type="dxa"/>
            <w:tcBorders>
              <w:top w:val="single" w:color="000000" w:sz="4" w:space="0"/>
              <w:left w:val="single" w:color="000000" w:sz="4" w:space="0"/>
              <w:bottom w:val="single" w:color="000000" w:sz="4" w:space="0"/>
              <w:right w:val="single" w:color="000000" w:sz="4" w:space="0"/>
            </w:tcBorders>
            <w:vAlign w:val="center"/>
          </w:tcPr>
          <w:p w14:paraId="44A0BEE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0DD850A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r>
      <w:tr w14:paraId="7D6C1A12">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8B175E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1.3.13</w:t>
            </w:r>
          </w:p>
        </w:tc>
        <w:tc>
          <w:tcPr>
            <w:tcW w:w="1110" w:type="dxa"/>
            <w:tcBorders>
              <w:top w:val="single" w:color="000000" w:sz="4" w:space="0"/>
              <w:left w:val="single" w:color="000000" w:sz="4" w:space="0"/>
              <w:bottom w:val="single" w:color="000000" w:sz="4" w:space="0"/>
              <w:right w:val="single" w:color="000000" w:sz="4" w:space="0"/>
            </w:tcBorders>
            <w:vAlign w:val="center"/>
          </w:tcPr>
          <w:p w14:paraId="3929E04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可燃气体检测仪</w:t>
            </w:r>
          </w:p>
        </w:tc>
        <w:tc>
          <w:tcPr>
            <w:tcW w:w="6120" w:type="dxa"/>
            <w:tcBorders>
              <w:top w:val="single" w:color="000000" w:sz="4" w:space="0"/>
              <w:left w:val="single" w:color="000000" w:sz="4" w:space="0"/>
              <w:bottom w:val="single" w:color="000000" w:sz="4" w:space="0"/>
              <w:right w:val="single" w:color="000000" w:sz="4" w:space="0"/>
            </w:tcBorders>
            <w:vAlign w:val="center"/>
          </w:tcPr>
          <w:p w14:paraId="46380CD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可检测多种易燃易爆气体的浓度，防爆型，具备防水和快速感应性能，技术性能符合 GB 12358 的要求。检测事故现场易燃易爆气体，根据企业可燃气体的种类配备</w:t>
            </w:r>
          </w:p>
        </w:tc>
        <w:tc>
          <w:tcPr>
            <w:tcW w:w="780" w:type="dxa"/>
            <w:tcBorders>
              <w:top w:val="single" w:color="000000" w:sz="4" w:space="0"/>
              <w:left w:val="single" w:color="000000" w:sz="4" w:space="0"/>
              <w:bottom w:val="single" w:color="000000" w:sz="4" w:space="0"/>
              <w:right w:val="single" w:color="000000" w:sz="4" w:space="0"/>
            </w:tcBorders>
            <w:vAlign w:val="center"/>
          </w:tcPr>
          <w:p w14:paraId="5342987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26AC30B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5636AB6D">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F0C362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1.3.14</w:t>
            </w:r>
          </w:p>
        </w:tc>
        <w:tc>
          <w:tcPr>
            <w:tcW w:w="1110" w:type="dxa"/>
            <w:tcBorders>
              <w:top w:val="single" w:color="000000" w:sz="4" w:space="0"/>
              <w:left w:val="single" w:color="000000" w:sz="4" w:space="0"/>
              <w:bottom w:val="single" w:color="000000" w:sz="4" w:space="0"/>
              <w:right w:val="single" w:color="000000" w:sz="4" w:space="0"/>
            </w:tcBorders>
            <w:vAlign w:val="center"/>
          </w:tcPr>
          <w:p w14:paraId="796B095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有毒气体检测仪</w:t>
            </w:r>
          </w:p>
        </w:tc>
        <w:tc>
          <w:tcPr>
            <w:tcW w:w="6120" w:type="dxa"/>
            <w:tcBorders>
              <w:top w:val="single" w:color="000000" w:sz="4" w:space="0"/>
              <w:left w:val="single" w:color="000000" w:sz="4" w:space="0"/>
              <w:bottom w:val="single" w:color="000000" w:sz="4" w:space="0"/>
              <w:right w:val="single" w:color="000000" w:sz="4" w:space="0"/>
            </w:tcBorders>
            <w:vAlign w:val="center"/>
          </w:tcPr>
          <w:p w14:paraId="544C760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具备自动识别、防水、防爆性能：能探測有毒、有害气体及氧含量，防爆型，技术性能符合GB 12358的要求。根据企业有毒有害气体的种类配备。</w:t>
            </w:r>
          </w:p>
        </w:tc>
        <w:tc>
          <w:tcPr>
            <w:tcW w:w="780" w:type="dxa"/>
            <w:tcBorders>
              <w:top w:val="single" w:color="000000" w:sz="4" w:space="0"/>
              <w:left w:val="single" w:color="000000" w:sz="4" w:space="0"/>
              <w:bottom w:val="single" w:color="000000" w:sz="4" w:space="0"/>
              <w:right w:val="single" w:color="000000" w:sz="4" w:space="0"/>
            </w:tcBorders>
            <w:vAlign w:val="center"/>
          </w:tcPr>
          <w:p w14:paraId="3EA0865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44A2EF4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01BFBEE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82850E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1.3.15</w:t>
            </w:r>
          </w:p>
        </w:tc>
        <w:tc>
          <w:tcPr>
            <w:tcW w:w="1110" w:type="dxa"/>
            <w:tcBorders>
              <w:top w:val="single" w:color="000000" w:sz="4" w:space="0"/>
              <w:left w:val="single" w:color="000000" w:sz="4" w:space="0"/>
              <w:bottom w:val="single" w:color="000000" w:sz="4" w:space="0"/>
              <w:right w:val="single" w:color="000000" w:sz="4" w:space="0"/>
            </w:tcBorders>
            <w:vAlign w:val="center"/>
          </w:tcPr>
          <w:p w14:paraId="7044736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风向仪</w:t>
            </w:r>
          </w:p>
        </w:tc>
        <w:tc>
          <w:tcPr>
            <w:tcW w:w="6120" w:type="dxa"/>
            <w:tcBorders>
              <w:top w:val="single" w:color="000000" w:sz="4" w:space="0"/>
              <w:left w:val="single" w:color="000000" w:sz="4" w:space="0"/>
              <w:bottom w:val="single" w:color="000000" w:sz="4" w:space="0"/>
              <w:right w:val="single" w:color="000000" w:sz="4" w:space="0"/>
            </w:tcBorders>
            <w:vAlign w:val="center"/>
          </w:tcPr>
          <w:p w14:paraId="54F168C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气体防护及检测工作</w:t>
            </w:r>
          </w:p>
        </w:tc>
        <w:tc>
          <w:tcPr>
            <w:tcW w:w="780" w:type="dxa"/>
            <w:tcBorders>
              <w:top w:val="single" w:color="000000" w:sz="4" w:space="0"/>
              <w:left w:val="single" w:color="000000" w:sz="4" w:space="0"/>
              <w:bottom w:val="single" w:color="000000" w:sz="4" w:space="0"/>
              <w:right w:val="single" w:color="000000" w:sz="4" w:space="0"/>
            </w:tcBorders>
            <w:vAlign w:val="center"/>
          </w:tcPr>
          <w:p w14:paraId="1190210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76FDBB8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47500147">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4C1A3A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1.3.16</w:t>
            </w:r>
          </w:p>
        </w:tc>
        <w:tc>
          <w:tcPr>
            <w:tcW w:w="1110" w:type="dxa"/>
            <w:tcBorders>
              <w:top w:val="single" w:color="000000" w:sz="4" w:space="0"/>
              <w:left w:val="single" w:color="000000" w:sz="4" w:space="0"/>
              <w:bottom w:val="single" w:color="000000" w:sz="4" w:space="0"/>
              <w:right w:val="single" w:color="000000" w:sz="4" w:space="0"/>
            </w:tcBorders>
            <w:vAlign w:val="center"/>
          </w:tcPr>
          <w:p w14:paraId="12AABA8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水成膜泡沫灭火剂（6%）</w:t>
            </w:r>
          </w:p>
        </w:tc>
        <w:tc>
          <w:tcPr>
            <w:tcW w:w="6120" w:type="dxa"/>
            <w:tcBorders>
              <w:top w:val="single" w:color="000000" w:sz="4" w:space="0"/>
              <w:left w:val="single" w:color="000000" w:sz="4" w:space="0"/>
              <w:bottom w:val="single" w:color="000000" w:sz="4" w:space="0"/>
              <w:right w:val="single" w:color="000000" w:sz="4" w:space="0"/>
            </w:tcBorders>
            <w:vAlign w:val="center"/>
          </w:tcPr>
          <w:p w14:paraId="24DA819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合成型水成膜泡沫灭火剂，浓度6%。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混合比：6%比例与水混合（6:94）；</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成分：氟碳表面活性剂、碳氢表面活性剂、稳定剂、抗冻剂；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灭火性能：灭火时间≤30秒（油盘火试验），抗烧时间≥10分钟；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环保性：无PFOS/PFOA，生物降解率≥90%</w:t>
            </w:r>
          </w:p>
        </w:tc>
        <w:tc>
          <w:tcPr>
            <w:tcW w:w="780" w:type="dxa"/>
            <w:tcBorders>
              <w:top w:val="single" w:color="000000" w:sz="4" w:space="0"/>
              <w:left w:val="single" w:color="000000" w:sz="4" w:space="0"/>
              <w:bottom w:val="single" w:color="000000" w:sz="4" w:space="0"/>
              <w:right w:val="single" w:color="000000" w:sz="4" w:space="0"/>
            </w:tcBorders>
            <w:vAlign w:val="center"/>
          </w:tcPr>
          <w:p w14:paraId="57AE9A3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615" w:type="dxa"/>
            <w:tcBorders>
              <w:top w:val="single" w:color="000000" w:sz="4" w:space="0"/>
              <w:left w:val="single" w:color="000000" w:sz="4" w:space="0"/>
              <w:bottom w:val="single" w:color="000000" w:sz="4" w:space="0"/>
              <w:right w:val="single" w:color="000000" w:sz="4" w:space="0"/>
            </w:tcBorders>
            <w:vAlign w:val="center"/>
          </w:tcPr>
          <w:p w14:paraId="146D14E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吨</w:t>
            </w:r>
          </w:p>
        </w:tc>
      </w:tr>
      <w:tr w14:paraId="6FFEEC6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03F077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1.3.17</w:t>
            </w:r>
          </w:p>
        </w:tc>
        <w:tc>
          <w:tcPr>
            <w:tcW w:w="1110" w:type="dxa"/>
            <w:tcBorders>
              <w:top w:val="single" w:color="000000" w:sz="4" w:space="0"/>
              <w:left w:val="single" w:color="000000" w:sz="4" w:space="0"/>
              <w:bottom w:val="single" w:color="000000" w:sz="4" w:space="0"/>
              <w:right w:val="single" w:color="000000" w:sz="4" w:space="0"/>
            </w:tcBorders>
            <w:vAlign w:val="center"/>
          </w:tcPr>
          <w:p w14:paraId="3667005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抗溶性水成膜泡沫</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w:t>
            </w:r>
          </w:p>
        </w:tc>
        <w:tc>
          <w:tcPr>
            <w:tcW w:w="6120" w:type="dxa"/>
            <w:tcBorders>
              <w:top w:val="single" w:color="000000" w:sz="4" w:space="0"/>
              <w:left w:val="single" w:color="000000" w:sz="4" w:space="0"/>
              <w:bottom w:val="single" w:color="000000" w:sz="4" w:space="0"/>
              <w:right w:val="single" w:color="000000" w:sz="4" w:space="0"/>
            </w:tcBorders>
            <w:vAlign w:val="center"/>
          </w:tcPr>
          <w:p w14:paraId="427881C8">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抗溶性水成膜泡沫灭火剂，浓度6%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混合比：6%比例与水混合（6:94）；</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成分：添加多糖类抗醇成分，形成凝胶保护膜；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灭火性能：≤45秒（丙酮火试验）；</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环保性：无PFOS/PFOA，生物降解率≥90%</w:t>
            </w:r>
          </w:p>
        </w:tc>
        <w:tc>
          <w:tcPr>
            <w:tcW w:w="780" w:type="dxa"/>
            <w:tcBorders>
              <w:top w:val="single" w:color="000000" w:sz="4" w:space="0"/>
              <w:left w:val="single" w:color="000000" w:sz="4" w:space="0"/>
              <w:bottom w:val="single" w:color="000000" w:sz="4" w:space="0"/>
              <w:right w:val="single" w:color="000000" w:sz="4" w:space="0"/>
            </w:tcBorders>
            <w:vAlign w:val="center"/>
          </w:tcPr>
          <w:p w14:paraId="46C5005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615" w:type="dxa"/>
            <w:tcBorders>
              <w:top w:val="single" w:color="000000" w:sz="4" w:space="0"/>
              <w:left w:val="single" w:color="000000" w:sz="4" w:space="0"/>
              <w:bottom w:val="single" w:color="000000" w:sz="4" w:space="0"/>
              <w:right w:val="single" w:color="000000" w:sz="4" w:space="0"/>
            </w:tcBorders>
            <w:vAlign w:val="center"/>
          </w:tcPr>
          <w:p w14:paraId="618FB82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吨</w:t>
            </w:r>
          </w:p>
        </w:tc>
      </w:tr>
      <w:tr w14:paraId="6491DD7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EF3BA0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1.3.18</w:t>
            </w:r>
          </w:p>
        </w:tc>
        <w:tc>
          <w:tcPr>
            <w:tcW w:w="1110" w:type="dxa"/>
            <w:tcBorders>
              <w:top w:val="single" w:color="000000" w:sz="4" w:space="0"/>
              <w:left w:val="single" w:color="000000" w:sz="4" w:space="0"/>
              <w:bottom w:val="single" w:color="000000" w:sz="4" w:space="0"/>
              <w:right w:val="single" w:color="000000" w:sz="4" w:space="0"/>
            </w:tcBorders>
            <w:vAlign w:val="center"/>
          </w:tcPr>
          <w:p w14:paraId="1056F0FE">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A类泡沫</w:t>
            </w:r>
          </w:p>
        </w:tc>
        <w:tc>
          <w:tcPr>
            <w:tcW w:w="6120" w:type="dxa"/>
            <w:tcBorders>
              <w:top w:val="single" w:color="000000" w:sz="4" w:space="0"/>
              <w:left w:val="single" w:color="000000" w:sz="4" w:space="0"/>
              <w:bottom w:val="single" w:color="000000" w:sz="4" w:space="0"/>
              <w:right w:val="single" w:color="000000" w:sz="4" w:space="0"/>
            </w:tcBorders>
            <w:vAlign w:val="center"/>
          </w:tcPr>
          <w:p w14:paraId="098FDC28">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A类泡沫灭火剂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混合比：0.1%-1%浓度可调；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渗透性：渗透深度≥10cm（棉麻堆垛火），减少水渍损失30%；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成分：环保表面活性剂、润湿剂、阻燃剂</w:t>
            </w:r>
          </w:p>
        </w:tc>
        <w:tc>
          <w:tcPr>
            <w:tcW w:w="780" w:type="dxa"/>
            <w:tcBorders>
              <w:top w:val="single" w:color="000000" w:sz="4" w:space="0"/>
              <w:left w:val="single" w:color="000000" w:sz="4" w:space="0"/>
              <w:bottom w:val="single" w:color="000000" w:sz="4" w:space="0"/>
              <w:right w:val="single" w:color="000000" w:sz="4" w:space="0"/>
            </w:tcBorders>
            <w:vAlign w:val="center"/>
          </w:tcPr>
          <w:p w14:paraId="148D96F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6D5A14B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吨</w:t>
            </w:r>
          </w:p>
        </w:tc>
      </w:tr>
      <w:tr w14:paraId="7CAC3EFC">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C067713">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w:t>
            </w:r>
          </w:p>
        </w:tc>
        <w:tc>
          <w:tcPr>
            <w:tcW w:w="7230" w:type="dxa"/>
            <w:gridSpan w:val="2"/>
            <w:tcBorders>
              <w:top w:val="single" w:color="000000" w:sz="4" w:space="0"/>
              <w:left w:val="single" w:color="000000" w:sz="4" w:space="0"/>
              <w:bottom w:val="single" w:color="000000" w:sz="4" w:space="0"/>
              <w:right w:val="single" w:color="000000" w:sz="4" w:space="0"/>
            </w:tcBorders>
            <w:vAlign w:val="center"/>
          </w:tcPr>
          <w:p w14:paraId="7F72864A">
            <w:pPr>
              <w:spacing w:after="0" w:line="279" w:lineRule="auto"/>
              <w:jc w:val="lef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公用工程安全风险感知设备</w:t>
            </w:r>
          </w:p>
        </w:tc>
        <w:tc>
          <w:tcPr>
            <w:tcW w:w="780" w:type="dxa"/>
            <w:tcBorders>
              <w:top w:val="single" w:color="000000" w:sz="4" w:space="0"/>
              <w:left w:val="single" w:color="000000" w:sz="4" w:space="0"/>
              <w:bottom w:val="single" w:color="000000" w:sz="4" w:space="0"/>
              <w:right w:val="single" w:color="000000" w:sz="4" w:space="0"/>
            </w:tcBorders>
            <w:vAlign w:val="center"/>
          </w:tcPr>
          <w:p w14:paraId="3E75308F">
            <w:pPr>
              <w:jc w:val="center"/>
              <w:rPr>
                <w:rFonts w:ascii="宋体" w:hAnsi="宋体" w:cs="宋体"/>
                <w:b/>
                <w:bCs/>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ECCD643">
            <w:pPr>
              <w:jc w:val="center"/>
              <w:rPr>
                <w:rFonts w:ascii="宋体" w:hAnsi="宋体" w:cs="宋体"/>
                <w:b/>
                <w:bCs/>
                <w:color w:val="auto"/>
                <w:sz w:val="22"/>
                <w:szCs w:val="22"/>
                <w:highlight w:val="none"/>
              </w:rPr>
            </w:pPr>
          </w:p>
        </w:tc>
      </w:tr>
      <w:tr w14:paraId="64C479AD">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5D9C0ED">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2.1</w:t>
            </w:r>
          </w:p>
        </w:tc>
        <w:tc>
          <w:tcPr>
            <w:tcW w:w="7230" w:type="dxa"/>
            <w:gridSpan w:val="2"/>
            <w:tcBorders>
              <w:top w:val="single" w:color="000000" w:sz="4" w:space="0"/>
              <w:left w:val="single" w:color="000000" w:sz="4" w:space="0"/>
              <w:bottom w:val="single" w:color="000000" w:sz="4" w:space="0"/>
              <w:right w:val="single" w:color="000000" w:sz="4" w:space="0"/>
            </w:tcBorders>
            <w:vAlign w:val="center"/>
          </w:tcPr>
          <w:p w14:paraId="19C7680E">
            <w:pPr>
              <w:spacing w:after="0" w:line="279" w:lineRule="auto"/>
              <w:jc w:val="left"/>
              <w:rPr>
                <w:rFonts w:ascii="宋体" w:hAnsi="宋体" w:cs="宋体"/>
                <w:color w:val="auto"/>
                <w:sz w:val="22"/>
                <w:szCs w:val="22"/>
                <w:highlight w:val="none"/>
              </w:rPr>
            </w:pPr>
            <w:r>
              <w:rPr>
                <w:rFonts w:hint="eastAsia" w:ascii="宋体" w:hAnsi="宋体" w:cs="宋体"/>
                <w:b/>
                <w:bCs/>
                <w:color w:val="auto"/>
                <w:kern w:val="0"/>
                <w:sz w:val="22"/>
                <w:szCs w:val="22"/>
                <w:highlight w:val="none"/>
                <w:lang w:bidi="ar"/>
              </w:rPr>
              <w:t>公用工程安全风险感知硬件</w:t>
            </w:r>
          </w:p>
        </w:tc>
        <w:tc>
          <w:tcPr>
            <w:tcW w:w="780" w:type="dxa"/>
            <w:tcBorders>
              <w:top w:val="single" w:color="000000" w:sz="4" w:space="0"/>
              <w:left w:val="single" w:color="000000" w:sz="4" w:space="0"/>
              <w:bottom w:val="single" w:color="000000" w:sz="4" w:space="0"/>
              <w:right w:val="single" w:color="000000" w:sz="4" w:space="0"/>
            </w:tcBorders>
            <w:vAlign w:val="center"/>
          </w:tcPr>
          <w:p w14:paraId="47DC1916">
            <w:pPr>
              <w:jc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D1B6030">
            <w:pPr>
              <w:jc w:val="center"/>
              <w:rPr>
                <w:rFonts w:ascii="宋体" w:hAnsi="宋体" w:cs="宋体"/>
                <w:color w:val="auto"/>
                <w:sz w:val="22"/>
                <w:szCs w:val="22"/>
                <w:highlight w:val="none"/>
              </w:rPr>
            </w:pPr>
          </w:p>
        </w:tc>
      </w:tr>
      <w:tr w14:paraId="707E2BA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B4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CB6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园区智能物联网关</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F70D">
            <w:pPr>
              <w:widowControl/>
              <w:jc w:val="left"/>
              <w:textAlignment w:val="center"/>
              <w:rPr>
                <w:color w:val="auto"/>
                <w:sz w:val="22"/>
                <w:szCs w:val="22"/>
                <w:highlight w:val="none"/>
              </w:rPr>
            </w:pPr>
            <w:r>
              <w:rPr>
                <w:rFonts w:hint="eastAsia"/>
                <w:color w:val="auto"/>
                <w:sz w:val="22"/>
                <w:szCs w:val="22"/>
                <w:highlight w:val="none"/>
              </w:rPr>
              <w:t>一、设备性能</w:t>
            </w:r>
          </w:p>
          <w:p w14:paraId="5B0A0502">
            <w:pPr>
              <w:widowControl/>
              <w:jc w:val="left"/>
              <w:textAlignment w:val="center"/>
              <w:rPr>
                <w:color w:val="auto"/>
                <w:sz w:val="22"/>
                <w:szCs w:val="22"/>
                <w:highlight w:val="none"/>
              </w:rPr>
            </w:pPr>
            <w:r>
              <w:rPr>
                <w:rFonts w:hint="eastAsia"/>
                <w:color w:val="auto"/>
                <w:sz w:val="22"/>
                <w:szCs w:val="22"/>
                <w:highlight w:val="none"/>
              </w:rPr>
              <w:t>1.支持</w:t>
            </w:r>
            <w:r>
              <w:rPr>
                <w:rFonts w:hint="eastAsia" w:ascii="宋体" w:hAnsi="宋体" w:cs="宋体"/>
                <w:color w:val="auto"/>
                <w:kern w:val="0"/>
                <w:sz w:val="22"/>
                <w:szCs w:val="22"/>
                <w:highlight w:val="none"/>
                <w:lang w:bidi="ar"/>
              </w:rPr>
              <w:t>≥</w:t>
            </w:r>
            <w:r>
              <w:rPr>
                <w:rFonts w:hint="eastAsia"/>
                <w:color w:val="auto"/>
                <w:sz w:val="22"/>
                <w:szCs w:val="22"/>
                <w:highlight w:val="none"/>
              </w:rPr>
              <w:t>8路H.265、H.264 编码摄像机接入、预览、存储、回放；</w:t>
            </w:r>
          </w:p>
          <w:p w14:paraId="37A4FB89">
            <w:pPr>
              <w:widowControl/>
              <w:jc w:val="left"/>
              <w:textAlignment w:val="center"/>
              <w:rPr>
                <w:color w:val="auto"/>
                <w:sz w:val="22"/>
                <w:szCs w:val="22"/>
                <w:highlight w:val="none"/>
              </w:rPr>
            </w:pPr>
            <w:r>
              <w:rPr>
                <w:rFonts w:hint="eastAsia"/>
                <w:color w:val="auto"/>
                <w:sz w:val="22"/>
                <w:szCs w:val="22"/>
                <w:highlight w:val="none"/>
              </w:rPr>
              <w:t>2.具备</w:t>
            </w:r>
            <w:r>
              <w:rPr>
                <w:rFonts w:hint="eastAsia" w:ascii="宋体" w:hAnsi="宋体" w:cs="宋体"/>
                <w:color w:val="auto"/>
                <w:kern w:val="0"/>
                <w:sz w:val="22"/>
                <w:szCs w:val="22"/>
                <w:highlight w:val="none"/>
                <w:lang w:bidi="ar"/>
              </w:rPr>
              <w:t>≥</w:t>
            </w:r>
            <w:r>
              <w:rPr>
                <w:rFonts w:hint="eastAsia"/>
                <w:color w:val="auto"/>
                <w:sz w:val="22"/>
                <w:szCs w:val="22"/>
                <w:highlight w:val="none"/>
              </w:rPr>
              <w:t>4路PoE 网络接口；</w:t>
            </w:r>
          </w:p>
          <w:p w14:paraId="0A760C3B">
            <w:pPr>
              <w:widowControl/>
              <w:jc w:val="left"/>
              <w:textAlignment w:val="center"/>
              <w:rPr>
                <w:color w:val="auto"/>
                <w:sz w:val="22"/>
                <w:szCs w:val="22"/>
                <w:highlight w:val="none"/>
              </w:rPr>
            </w:pPr>
            <w:r>
              <w:rPr>
                <w:rFonts w:hint="eastAsia"/>
                <w:color w:val="auto"/>
                <w:sz w:val="22"/>
                <w:szCs w:val="22"/>
                <w:highlight w:val="none"/>
              </w:rPr>
              <w:t>3.支持4～20 mA/0～5 V 模拟量信号设备接入；</w:t>
            </w:r>
          </w:p>
          <w:p w14:paraId="4C50A8B5">
            <w:pPr>
              <w:widowControl/>
              <w:jc w:val="left"/>
              <w:textAlignment w:val="center"/>
              <w:rPr>
                <w:color w:val="auto"/>
                <w:sz w:val="22"/>
                <w:szCs w:val="22"/>
                <w:highlight w:val="none"/>
              </w:rPr>
            </w:pPr>
            <w:r>
              <w:rPr>
                <w:rFonts w:hint="eastAsia"/>
                <w:color w:val="auto"/>
                <w:sz w:val="22"/>
                <w:szCs w:val="22"/>
                <w:highlight w:val="none"/>
              </w:rPr>
              <w:t>4.支持</w:t>
            </w:r>
            <w:r>
              <w:rPr>
                <w:rFonts w:hint="eastAsia" w:ascii="宋体" w:hAnsi="宋体" w:cs="宋体"/>
                <w:color w:val="auto"/>
                <w:kern w:val="0"/>
                <w:sz w:val="22"/>
                <w:szCs w:val="22"/>
                <w:highlight w:val="none"/>
                <w:lang w:bidi="ar"/>
              </w:rPr>
              <w:t>≥</w:t>
            </w:r>
            <w:r>
              <w:rPr>
                <w:rFonts w:hint="eastAsia"/>
                <w:color w:val="auto"/>
                <w:sz w:val="22"/>
                <w:szCs w:val="22"/>
                <w:highlight w:val="none"/>
              </w:rPr>
              <w:t>16路开关量信号设备接入，常开、常闭可配置；</w:t>
            </w:r>
          </w:p>
          <w:p w14:paraId="57801FD1">
            <w:pPr>
              <w:widowControl/>
              <w:jc w:val="left"/>
              <w:textAlignment w:val="center"/>
              <w:rPr>
                <w:color w:val="auto"/>
                <w:sz w:val="22"/>
                <w:szCs w:val="22"/>
                <w:highlight w:val="none"/>
              </w:rPr>
            </w:pPr>
            <w:r>
              <w:rPr>
                <w:rFonts w:hint="eastAsia"/>
                <w:color w:val="auto"/>
                <w:sz w:val="22"/>
                <w:szCs w:val="22"/>
                <w:highlight w:val="none"/>
              </w:rPr>
              <w:t>5.支持</w:t>
            </w:r>
            <w:r>
              <w:rPr>
                <w:rFonts w:hint="eastAsia" w:ascii="宋体" w:hAnsi="宋体" w:cs="宋体"/>
                <w:color w:val="auto"/>
                <w:kern w:val="0"/>
                <w:sz w:val="22"/>
                <w:szCs w:val="22"/>
                <w:highlight w:val="none"/>
                <w:lang w:bidi="ar"/>
              </w:rPr>
              <w:t>≥</w:t>
            </w:r>
            <w:r>
              <w:rPr>
                <w:rFonts w:hint="eastAsia"/>
                <w:color w:val="auto"/>
                <w:sz w:val="22"/>
                <w:szCs w:val="22"/>
                <w:highlight w:val="none"/>
              </w:rPr>
              <w:t>8路 RS485 接口，每个RS485可以接入8个传感器；</w:t>
            </w:r>
          </w:p>
          <w:p w14:paraId="3624C341">
            <w:pPr>
              <w:widowControl/>
              <w:jc w:val="left"/>
              <w:textAlignment w:val="center"/>
              <w:rPr>
                <w:color w:val="auto"/>
                <w:sz w:val="22"/>
                <w:szCs w:val="22"/>
                <w:highlight w:val="none"/>
              </w:rPr>
            </w:pPr>
            <w:r>
              <w:rPr>
                <w:rFonts w:hint="eastAsia"/>
                <w:color w:val="auto"/>
                <w:sz w:val="22"/>
                <w:szCs w:val="22"/>
                <w:highlight w:val="none"/>
              </w:rPr>
              <w:t>6.支持传感器报警联动 IPC 通道抓图、录像；</w:t>
            </w:r>
          </w:p>
          <w:p w14:paraId="1C21514D">
            <w:pPr>
              <w:widowControl/>
              <w:jc w:val="left"/>
              <w:textAlignment w:val="center"/>
              <w:rPr>
                <w:color w:val="auto"/>
                <w:sz w:val="22"/>
                <w:szCs w:val="22"/>
                <w:highlight w:val="none"/>
              </w:rPr>
            </w:pPr>
            <w:r>
              <w:rPr>
                <w:rFonts w:hint="eastAsia"/>
                <w:color w:val="auto"/>
                <w:sz w:val="22"/>
                <w:szCs w:val="22"/>
                <w:highlight w:val="none"/>
              </w:rPr>
              <w:t>7.支持传感器数据OSD 叠加到视频画面；</w:t>
            </w:r>
          </w:p>
          <w:p w14:paraId="29BB1237">
            <w:pPr>
              <w:widowControl/>
              <w:jc w:val="left"/>
              <w:textAlignment w:val="center"/>
              <w:rPr>
                <w:color w:val="auto"/>
                <w:sz w:val="22"/>
                <w:szCs w:val="22"/>
                <w:highlight w:val="none"/>
              </w:rPr>
            </w:pPr>
            <w:r>
              <w:rPr>
                <w:rFonts w:hint="eastAsia"/>
                <w:color w:val="auto"/>
                <w:sz w:val="22"/>
                <w:szCs w:val="22"/>
                <w:highlight w:val="none"/>
              </w:rPr>
              <w:t>8.支持设备协议库在线升级、标准 Modbus 协议（以配置文件形式）导入导出；</w:t>
            </w:r>
          </w:p>
          <w:p w14:paraId="50458512">
            <w:pPr>
              <w:widowControl/>
              <w:jc w:val="left"/>
              <w:textAlignment w:val="center"/>
              <w:rPr>
                <w:color w:val="auto"/>
                <w:sz w:val="22"/>
                <w:szCs w:val="22"/>
                <w:highlight w:val="none"/>
              </w:rPr>
            </w:pPr>
            <w:r>
              <w:rPr>
                <w:rFonts w:hint="eastAsia"/>
                <w:color w:val="auto"/>
                <w:sz w:val="22"/>
                <w:szCs w:val="22"/>
                <w:highlight w:val="none"/>
              </w:rPr>
              <w:t>9.支持对接汇聚网关实现一体化机房数据采集；</w:t>
            </w:r>
          </w:p>
          <w:p w14:paraId="25A02A63">
            <w:pPr>
              <w:widowControl/>
              <w:jc w:val="left"/>
              <w:textAlignment w:val="center"/>
              <w:rPr>
                <w:color w:val="auto"/>
                <w:sz w:val="22"/>
                <w:szCs w:val="22"/>
                <w:highlight w:val="none"/>
              </w:rPr>
            </w:pPr>
            <w:r>
              <w:rPr>
                <w:rFonts w:hint="eastAsia"/>
                <w:color w:val="auto"/>
                <w:sz w:val="22"/>
                <w:szCs w:val="22"/>
                <w:highlight w:val="none"/>
              </w:rPr>
              <w:t>10.高标准的硬件防护技术，EMC 四级防护；</w:t>
            </w:r>
          </w:p>
          <w:p w14:paraId="3B57AC6C">
            <w:pPr>
              <w:widowControl/>
              <w:jc w:val="left"/>
              <w:textAlignment w:val="center"/>
              <w:rPr>
                <w:color w:val="auto"/>
                <w:sz w:val="22"/>
                <w:szCs w:val="22"/>
                <w:highlight w:val="none"/>
              </w:rPr>
            </w:pPr>
            <w:r>
              <w:rPr>
                <w:rFonts w:hint="eastAsia"/>
                <w:color w:val="auto"/>
                <w:sz w:val="22"/>
                <w:szCs w:val="22"/>
                <w:highlight w:val="none"/>
              </w:rPr>
              <w:t>二、硬件规格</w:t>
            </w:r>
          </w:p>
          <w:p w14:paraId="2AB8D6AE">
            <w:pPr>
              <w:widowControl/>
              <w:jc w:val="left"/>
              <w:textAlignment w:val="center"/>
              <w:rPr>
                <w:color w:val="auto"/>
                <w:sz w:val="22"/>
                <w:szCs w:val="22"/>
                <w:highlight w:val="none"/>
              </w:rPr>
            </w:pPr>
            <w:r>
              <w:rPr>
                <w:rFonts w:hint="eastAsia"/>
                <w:color w:val="auto"/>
                <w:sz w:val="22"/>
                <w:szCs w:val="22"/>
                <w:highlight w:val="none"/>
              </w:rPr>
              <w:t xml:space="preserve">1.网口数量 </w:t>
            </w:r>
            <w:r>
              <w:rPr>
                <w:rFonts w:hint="eastAsia" w:ascii="宋体" w:hAnsi="宋体" w:cs="宋体"/>
                <w:color w:val="auto"/>
                <w:kern w:val="0"/>
                <w:sz w:val="22"/>
                <w:szCs w:val="22"/>
                <w:highlight w:val="none"/>
                <w:lang w:bidi="ar"/>
              </w:rPr>
              <w:t>≥</w:t>
            </w:r>
            <w:r>
              <w:rPr>
                <w:rFonts w:hint="eastAsia"/>
                <w:color w:val="auto"/>
                <w:sz w:val="22"/>
                <w:szCs w:val="22"/>
                <w:highlight w:val="none"/>
              </w:rPr>
              <w:t>1 个J45 10M/100M/1000M 自适应以太网口，4个J45 10M/100M 自适应POE以太网口；</w:t>
            </w:r>
          </w:p>
          <w:p w14:paraId="537B2309">
            <w:pPr>
              <w:widowControl/>
              <w:jc w:val="left"/>
              <w:textAlignment w:val="center"/>
              <w:rPr>
                <w:color w:val="auto"/>
                <w:sz w:val="22"/>
                <w:szCs w:val="22"/>
                <w:highlight w:val="none"/>
              </w:rPr>
            </w:pPr>
            <w:r>
              <w:rPr>
                <w:rFonts w:hint="eastAsia"/>
                <w:color w:val="auto"/>
                <w:sz w:val="22"/>
                <w:szCs w:val="22"/>
                <w:highlight w:val="none"/>
              </w:rPr>
              <w:t>2.</w:t>
            </w:r>
            <w:r>
              <w:rPr>
                <w:rFonts w:hint="eastAsia" w:ascii="宋体" w:hAnsi="宋体" w:cs="宋体"/>
                <w:color w:val="auto"/>
                <w:kern w:val="0"/>
                <w:sz w:val="22"/>
                <w:szCs w:val="22"/>
                <w:highlight w:val="none"/>
                <w:lang w:bidi="ar"/>
              </w:rPr>
              <w:t>≥</w:t>
            </w:r>
            <w:r>
              <w:rPr>
                <w:rFonts w:hint="eastAsia"/>
                <w:color w:val="auto"/>
                <w:sz w:val="22"/>
                <w:szCs w:val="22"/>
                <w:highlight w:val="none"/>
              </w:rPr>
              <w:t>16路开关量输入/输出DI；4路开关量输出DO；</w:t>
            </w:r>
          </w:p>
          <w:p w14:paraId="4F6BB08B">
            <w:pPr>
              <w:widowControl/>
              <w:jc w:val="left"/>
              <w:textAlignment w:val="center"/>
              <w:rPr>
                <w:color w:val="auto"/>
                <w:sz w:val="22"/>
                <w:szCs w:val="22"/>
                <w:highlight w:val="none"/>
              </w:rPr>
            </w:pPr>
            <w:r>
              <w:rPr>
                <w:rFonts w:hint="eastAsia"/>
                <w:color w:val="auto"/>
                <w:sz w:val="22"/>
                <w:szCs w:val="22"/>
                <w:highlight w:val="none"/>
              </w:rPr>
              <w:t>3.对外供电接口 ：</w:t>
            </w:r>
            <w:r>
              <w:rPr>
                <w:rFonts w:hint="eastAsia" w:ascii="宋体" w:hAnsi="宋体" w:cs="宋体"/>
                <w:color w:val="auto"/>
                <w:kern w:val="0"/>
                <w:sz w:val="22"/>
                <w:szCs w:val="22"/>
                <w:highlight w:val="none"/>
                <w:lang w:bidi="ar"/>
              </w:rPr>
              <w:t>≥</w:t>
            </w:r>
            <w:r>
              <w:rPr>
                <w:rFonts w:hint="eastAsia"/>
                <w:color w:val="auto"/>
                <w:sz w:val="22"/>
                <w:szCs w:val="22"/>
                <w:highlight w:val="none"/>
              </w:rPr>
              <w:t>4路DC 12V；</w:t>
            </w:r>
          </w:p>
          <w:p w14:paraId="5BAC0B29">
            <w:pPr>
              <w:widowControl/>
              <w:jc w:val="left"/>
              <w:textAlignment w:val="center"/>
              <w:rPr>
                <w:color w:val="auto"/>
                <w:sz w:val="22"/>
                <w:szCs w:val="22"/>
                <w:highlight w:val="none"/>
              </w:rPr>
            </w:pPr>
            <w:r>
              <w:rPr>
                <w:rFonts w:hint="eastAsia"/>
                <w:color w:val="auto"/>
                <w:sz w:val="22"/>
                <w:szCs w:val="22"/>
                <w:highlight w:val="none"/>
              </w:rPr>
              <w:t>4.</w:t>
            </w:r>
            <w:r>
              <w:rPr>
                <w:rFonts w:hint="eastAsia" w:ascii="宋体" w:hAnsi="宋体" w:cs="宋体"/>
                <w:color w:val="auto"/>
                <w:kern w:val="0"/>
                <w:sz w:val="22"/>
                <w:szCs w:val="22"/>
                <w:highlight w:val="none"/>
                <w:lang w:bidi="ar"/>
              </w:rPr>
              <w:t>≥</w:t>
            </w:r>
            <w:r>
              <w:rPr>
                <w:rFonts w:hint="eastAsia"/>
                <w:color w:val="auto"/>
                <w:sz w:val="22"/>
                <w:szCs w:val="22"/>
                <w:highlight w:val="none"/>
              </w:rPr>
              <w:t>2个3.5寸硬盘槽位；</w:t>
            </w:r>
          </w:p>
          <w:p w14:paraId="64CC846D">
            <w:pPr>
              <w:widowControl/>
              <w:jc w:val="left"/>
              <w:textAlignment w:val="center"/>
              <w:rPr>
                <w:color w:val="auto"/>
                <w:sz w:val="22"/>
                <w:szCs w:val="22"/>
                <w:highlight w:val="none"/>
              </w:rPr>
            </w:pPr>
            <w:r>
              <w:rPr>
                <w:rFonts w:hint="eastAsia"/>
                <w:color w:val="auto"/>
                <w:sz w:val="22"/>
                <w:szCs w:val="22"/>
                <w:highlight w:val="none"/>
              </w:rPr>
              <w:t>5.RS485/RS232接口：</w:t>
            </w:r>
            <w:r>
              <w:rPr>
                <w:rFonts w:hint="eastAsia" w:ascii="宋体" w:hAnsi="宋体" w:cs="宋体"/>
                <w:color w:val="auto"/>
                <w:kern w:val="0"/>
                <w:sz w:val="22"/>
                <w:szCs w:val="22"/>
                <w:highlight w:val="none"/>
                <w:lang w:bidi="ar"/>
              </w:rPr>
              <w:t>≥</w:t>
            </w:r>
            <w:r>
              <w:rPr>
                <w:rFonts w:hint="eastAsia"/>
                <w:color w:val="auto"/>
                <w:sz w:val="22"/>
                <w:szCs w:val="22"/>
                <w:highlight w:val="none"/>
              </w:rPr>
              <w:t>8路RS485，其中1/2/7/8可以复用为RS232；</w:t>
            </w:r>
          </w:p>
          <w:p w14:paraId="7CF1E754">
            <w:pPr>
              <w:widowControl/>
              <w:jc w:val="left"/>
              <w:textAlignment w:val="center"/>
              <w:rPr>
                <w:color w:val="auto"/>
                <w:sz w:val="22"/>
                <w:szCs w:val="22"/>
                <w:highlight w:val="none"/>
              </w:rPr>
            </w:pPr>
            <w:r>
              <w:rPr>
                <w:rFonts w:hint="eastAsia"/>
                <w:color w:val="auto"/>
                <w:sz w:val="22"/>
                <w:szCs w:val="22"/>
                <w:highlight w:val="none"/>
              </w:rPr>
              <w:t>6.</w:t>
            </w:r>
            <w:r>
              <w:rPr>
                <w:rFonts w:hint="eastAsia" w:ascii="宋体" w:hAnsi="宋体" w:cs="宋体"/>
                <w:color w:val="auto"/>
                <w:kern w:val="0"/>
                <w:sz w:val="22"/>
                <w:szCs w:val="22"/>
                <w:highlight w:val="none"/>
                <w:lang w:bidi="ar"/>
              </w:rPr>
              <w:t>≥</w:t>
            </w:r>
            <w:r>
              <w:rPr>
                <w:rFonts w:hint="eastAsia"/>
                <w:color w:val="auto"/>
                <w:sz w:val="22"/>
                <w:szCs w:val="22"/>
                <w:highlight w:val="none"/>
              </w:rPr>
              <w:t>8路模拟量输入（0-5V或4-20mA）；</w:t>
            </w:r>
          </w:p>
          <w:p w14:paraId="7CF619AE">
            <w:pPr>
              <w:widowControl/>
              <w:jc w:val="left"/>
              <w:textAlignment w:val="center"/>
              <w:rPr>
                <w:rFonts w:ascii="宋体" w:hAnsi="宋体" w:cs="宋体"/>
                <w:color w:val="auto"/>
                <w:kern w:val="0"/>
                <w:sz w:val="22"/>
                <w:szCs w:val="22"/>
                <w:highlight w:val="none"/>
                <w:lang w:bidi="ar"/>
              </w:rPr>
            </w:pPr>
            <w:r>
              <w:rPr>
                <w:rFonts w:hint="eastAsia"/>
                <w:color w:val="auto"/>
                <w:sz w:val="22"/>
                <w:szCs w:val="22"/>
                <w:highlight w:val="none"/>
              </w:rPr>
              <w:t>7.整机变量数量</w:t>
            </w:r>
            <w:r>
              <w:rPr>
                <w:rFonts w:hint="eastAsia" w:ascii="宋体" w:hAnsi="宋体" w:cs="宋体"/>
                <w:color w:val="auto"/>
                <w:kern w:val="0"/>
                <w:sz w:val="22"/>
                <w:szCs w:val="22"/>
                <w:highlight w:val="none"/>
                <w:lang w:bidi="ar"/>
              </w:rPr>
              <w:t>≥</w:t>
            </w:r>
            <w:r>
              <w:rPr>
                <w:rFonts w:hint="eastAsia"/>
                <w:color w:val="auto"/>
                <w:sz w:val="22"/>
                <w:szCs w:val="22"/>
                <w:highlight w:val="none"/>
              </w:rPr>
              <w:t xml:space="preserve"> 2000个 。</w:t>
            </w:r>
          </w:p>
        </w:tc>
        <w:tc>
          <w:tcPr>
            <w:tcW w:w="780" w:type="dxa"/>
            <w:tcBorders>
              <w:top w:val="single" w:color="000000" w:sz="4" w:space="0"/>
              <w:left w:val="single" w:color="000000" w:sz="4" w:space="0"/>
              <w:bottom w:val="single" w:color="000000" w:sz="4" w:space="0"/>
              <w:right w:val="single" w:color="000000" w:sz="4" w:space="0"/>
            </w:tcBorders>
            <w:vAlign w:val="center"/>
          </w:tcPr>
          <w:p w14:paraId="2AB3695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615" w:type="dxa"/>
            <w:tcBorders>
              <w:top w:val="single" w:color="000000" w:sz="4" w:space="0"/>
              <w:left w:val="single" w:color="000000" w:sz="4" w:space="0"/>
              <w:bottom w:val="single" w:color="000000" w:sz="4" w:space="0"/>
              <w:right w:val="single" w:color="000000" w:sz="4" w:space="0"/>
            </w:tcBorders>
            <w:vAlign w:val="center"/>
          </w:tcPr>
          <w:p w14:paraId="03427CD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205CC086">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285ED5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2.1.2</w:t>
            </w:r>
          </w:p>
        </w:tc>
        <w:tc>
          <w:tcPr>
            <w:tcW w:w="1110" w:type="dxa"/>
            <w:tcBorders>
              <w:top w:val="single" w:color="000000" w:sz="4" w:space="0"/>
              <w:left w:val="single" w:color="000000" w:sz="4" w:space="0"/>
              <w:bottom w:val="single" w:color="000000" w:sz="4" w:space="0"/>
              <w:right w:val="single" w:color="000000" w:sz="4" w:space="0"/>
            </w:tcBorders>
            <w:vAlign w:val="center"/>
          </w:tcPr>
          <w:p w14:paraId="7DEDE38C">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企业智能物联网关</w:t>
            </w:r>
          </w:p>
        </w:tc>
        <w:tc>
          <w:tcPr>
            <w:tcW w:w="6120" w:type="dxa"/>
            <w:tcBorders>
              <w:top w:val="single" w:color="000000" w:sz="4" w:space="0"/>
              <w:left w:val="single" w:color="000000" w:sz="4" w:space="0"/>
              <w:bottom w:val="single" w:color="000000" w:sz="4" w:space="0"/>
              <w:right w:val="single" w:color="000000" w:sz="4" w:space="0"/>
            </w:tcBorders>
            <w:vAlign w:val="center"/>
          </w:tcPr>
          <w:p w14:paraId="3C7D18B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一、硬件规格</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1.RS485/RS232接口：≥2路RS485，支持切换RS232；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2.开关量输入（DI）：≥4路；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3.开关量输出（DO）：≥2路；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4.模拟量输入（4～20 mA电流量或0～5 V电压量 ）：4路，和开关量输入（DI）复用；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5.对外供电接口 ：≥3路DC12V，最大功率≥12W；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6.网络接口： ≥5 个RJ45 10M/100M自适应以太网口；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7.其它接口：≥1×USB 2.0。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二、设备性能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传感器接入性能：≥4路开关量信号设备接入，支持切换为模拟量输入；每个串口支持≥8个传感器共计≥16个传感器；接入数据（传感器数据数）总数≥1000个；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三、设备功能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1.支持双网络；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2.支持Modbus TCP、Modbus RTU、DLT645、 CJT188、BACNet、 IEC104等标准协议；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3.支持≥450多个三方设备接入协议, 涉及UPS、传感器等南向采集协议；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4.支持标准 Modbus 协议自定义配置导入 。</w:t>
            </w:r>
          </w:p>
        </w:tc>
        <w:tc>
          <w:tcPr>
            <w:tcW w:w="780" w:type="dxa"/>
            <w:tcBorders>
              <w:top w:val="single" w:color="000000" w:sz="4" w:space="0"/>
              <w:left w:val="single" w:color="000000" w:sz="4" w:space="0"/>
              <w:bottom w:val="single" w:color="000000" w:sz="4" w:space="0"/>
              <w:right w:val="single" w:color="000000" w:sz="4" w:space="0"/>
            </w:tcBorders>
            <w:vAlign w:val="center"/>
          </w:tcPr>
          <w:p w14:paraId="41ABA0D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615" w:type="dxa"/>
            <w:tcBorders>
              <w:top w:val="single" w:color="000000" w:sz="4" w:space="0"/>
              <w:left w:val="single" w:color="000000" w:sz="4" w:space="0"/>
              <w:bottom w:val="single" w:color="000000" w:sz="4" w:space="0"/>
              <w:right w:val="single" w:color="000000" w:sz="4" w:space="0"/>
            </w:tcBorders>
            <w:vAlign w:val="center"/>
          </w:tcPr>
          <w:p w14:paraId="4EF1D79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072FAEB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1F8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F44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微距表计摄像机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931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1．≥500万像素微距摄像机；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2．采用白光补光，保证色彩颜色还原，可全时段分清红/绿等色彩；</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●3．通过镜头聚焦，可看清距离镜头5cm-50cm范围内的5号（10.5磅）宋体数字；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4．内置麦克风，支持声音拾取；</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5．支持低功耗模式，最低功耗≤1.2 W，可以有效节约能源。开启后，若设备30 s内无访问则进入休眠，可通过访问或抓图任务唤醒；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6．自带MicroSD卡卡槽，最大支持≥256 GB；自带RESET键；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7．图像功能：最高分辨率可达500万像素（2560 × 1920），并在此分辨率下可输出25 fps实时图像；支持场景模式切换：通用、白天、夜晚；支持宽动态：120 dB；支持透雾；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8．系统功能：开放型网络视频接口，ISAPI，SDK，Ehome，GB28181；支持双码流技术，双路高清；支持同时≥15路取流；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9．安全服务：支持三级用户权限管理；支持授权的用户和密码；支持IP地址过滤；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10．防护等级：≥IP67；</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11．传感器类型：1/2.7" Progressive Scan CMOS；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12．最低照度：彩色≤0.005 Lux @（F1.2，AGC ON），0 Lux with Light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13．宽动态：≥120 dB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14．支持柔光灯补光，最远补光距离≥500 mm；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●15.具有光斑消除功能，开启白光灯正对表盘时，可消除表盘反射的光源光斑，可清晰显示表盘刻度或数字。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16．视频压缩标准：主码流：H.265/H.264/MJPEG；</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17．子码流：H.265/H.264/MJPEG；</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18．最大图像尺寸：≥2560 × 1920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19．SD卡扩展：内置MicroSD/MicroSDHC/MicroSDXC插槽，最大支持256 GB；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20．网络：≥1个RJ45 10 M/100 M自适应以太网口；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21．启动及工作温湿度：-30 ℃~60 ℃，湿度小于95%（无凝结）；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22．存储温湿度：-30 ℃~60 ℃，湿度小于95%（无凝结）；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23．供电方式：DC：12 V ± 25%；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24．PoE：802.3af，Type 1，Class 3。 </w:t>
            </w:r>
          </w:p>
        </w:tc>
        <w:tc>
          <w:tcPr>
            <w:tcW w:w="780" w:type="dxa"/>
            <w:tcBorders>
              <w:top w:val="single" w:color="000000" w:sz="4" w:space="0"/>
              <w:left w:val="single" w:color="000000" w:sz="4" w:space="0"/>
              <w:bottom w:val="single" w:color="000000" w:sz="4" w:space="0"/>
              <w:right w:val="single" w:color="000000" w:sz="4" w:space="0"/>
            </w:tcBorders>
            <w:vAlign w:val="center"/>
          </w:tcPr>
          <w:p w14:paraId="7D6B95A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615" w:type="dxa"/>
            <w:tcBorders>
              <w:top w:val="single" w:color="000000" w:sz="4" w:space="0"/>
              <w:left w:val="single" w:color="000000" w:sz="4" w:space="0"/>
              <w:bottom w:val="single" w:color="000000" w:sz="4" w:space="0"/>
              <w:right w:val="single" w:color="000000" w:sz="4" w:space="0"/>
            </w:tcBorders>
            <w:vAlign w:val="center"/>
          </w:tcPr>
          <w:p w14:paraId="4C89AF4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68BFF2E6">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74C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146B">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表计巡检主机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E38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 2U标准机架式表计分析主机，支持≥32路H.264、H.265格式高清码流接入；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2．双异源输出，支持双4K输出；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具有≥2个HDMI接口、≥2个VGA接口、≥2个RJ45网络接口、≥2个USB2.0接口、≥1个USB3.0接口、≥1个RS232接口、≥1个RS485接口、≥1个eSata接口、≥1个键盘485接口；≥1路音频输入接口、≥2路音频输出接口、≥16路报警输入接口、≥8路报警输出接口；可内置≥8块SATA接口硬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4．输入带宽≥320Mbps，输出带宽≥256Mbps，解码能力最大支持≥16×1080P；</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5．接入能力：32路H.264、H.265格式高清码流接入；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6．解码能力：最大支持16×1080P；</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7．RAID模式：RAID0、RAID1、RAID5、RAID6、RAID10，支持全局热备盘；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8.内置≥2颗GPU，支持≥5种引擎功能： 人脸识别、周界防范、视频结构化、行为分析和AI算法引擎；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●9.算法支持类型：集成表计，缺陷类变电站业务算法；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支持摄像机识别室外装置表计读数，包括避雷器，压力表，温度计，室外分合指示器，油位计，呼吸器，刀闸状态检测。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10.表计：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指针类，读数指针：SF6表，电流电压表，压力表，6L2功率因素表，6L2功率表，6L2频率表，计数器，油位计，泄漏电流读数表，主变油温表，有载调压表，FJZD压力温度表，状态指针/旋钮：旋转指针分合字符断路器， 平移指针分合字符断路器，旋钮开关；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（2）数值类，机械数值表，LED数表，智能数表；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（3）状态类，包含字符、颜色、开关、开合类监测。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（4）液位：视窗液位，读数液位；尺子：直尺；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●11.支持摄像机识别室内主控室相关仪器状态，包括旋拧开关，室内仪器指示灯，指针表读数，数字表读数，压板状态，空开开关。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12.缺陷类算法：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器件缺陷（≥10种）：表计（表盘模糊，表盘外壳破损，表盘破损，表计读数异常），硅胶筒（硅胶变色，硅胶筒破损），呼吸器（油封异常），绝缘子（绝缘子破损），箱门（箱门闭合异常），压板（压板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(2)环境缺陷识别（≥4种）：鸟巢，悬浮物，地面油污；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(3)标定集的个数：支持≥256个表盘标定；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(4)分析能力：图片流分析 ≥2张/3秒/台。</w:t>
            </w:r>
          </w:p>
        </w:tc>
        <w:tc>
          <w:tcPr>
            <w:tcW w:w="780" w:type="dxa"/>
            <w:tcBorders>
              <w:top w:val="single" w:color="000000" w:sz="4" w:space="0"/>
              <w:left w:val="single" w:color="000000" w:sz="4" w:space="0"/>
              <w:bottom w:val="single" w:color="000000" w:sz="4" w:space="0"/>
              <w:right w:val="single" w:color="000000" w:sz="4" w:space="0"/>
            </w:tcBorders>
            <w:vAlign w:val="center"/>
          </w:tcPr>
          <w:p w14:paraId="09434C45">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2198420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17DF6617">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4D13">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2C1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存储硬盘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AF8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1．≥6TB容量，3.5英寸，SATA3.0接口，≥5400RPM；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2．传输速率≥176.4 MiB/s；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3．高级格式（AF）512e扇区技术，保障硬盘扇区4K对齐；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4．满足数据严苛的7*24小时运行可靠性、安全性的需求；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5．适用海拔高度范围-305m至3050m；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6．外形规格：3.5-inch；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7．接口类型：SATA；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8．缓存：256MiB；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9．接口传输速率（最大值）：≥6.0Gb/s；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10．年负荷（TB/年）：≥180TB；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11．工作状态温度(°C)：0-70℃。</w:t>
            </w:r>
          </w:p>
        </w:tc>
        <w:tc>
          <w:tcPr>
            <w:tcW w:w="780" w:type="dxa"/>
            <w:tcBorders>
              <w:top w:val="single" w:color="000000" w:sz="4" w:space="0"/>
              <w:left w:val="single" w:color="000000" w:sz="4" w:space="0"/>
              <w:bottom w:val="single" w:color="000000" w:sz="4" w:space="0"/>
              <w:right w:val="single" w:color="000000" w:sz="4" w:space="0"/>
            </w:tcBorders>
            <w:vAlign w:val="center"/>
          </w:tcPr>
          <w:p w14:paraId="4ED81C1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615" w:type="dxa"/>
            <w:tcBorders>
              <w:top w:val="single" w:color="000000" w:sz="4" w:space="0"/>
              <w:left w:val="single" w:color="000000" w:sz="4" w:space="0"/>
              <w:bottom w:val="single" w:color="000000" w:sz="4" w:space="0"/>
              <w:right w:val="single" w:color="000000" w:sz="4" w:space="0"/>
            </w:tcBorders>
            <w:vAlign w:val="center"/>
          </w:tcPr>
          <w:p w14:paraId="13E14DA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r>
      <w:tr w14:paraId="6070E2D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A79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7A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双光谱球机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F18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1．支持3D定位功能，通过客户端/IE可实现点击跟随和放大；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2．支持断电状态记忆功能，上电后自动回到断电前的云台和镜头状态；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3．可见光支持自动光圈、自动聚焦、自动平衡、背光补偿、宽动态、3D数字降噪、日夜转换；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4．可见光支持强光抑制、电子防抖、Smart IR防红外过曝技术;；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5．支持电子罗盘、镜像；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太阳防灼烧功能，太阳光直射热成像镜头≥5分钟后停止照射，热成像视频图像在30分钟内可恢复正常视频图像输出；当开启挡片或自动转动功能后，太阳光直射热成像镜头时，设备会自动进行挡片遮挡或自动转动到预先设定的角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7．支持热成像目标检测，可见光联动跟随，热成像帧率支持≥50帧/秒。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8．支持区域入侵检测、越界检测、进入区域检测、离开区域检测功能；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9．支持智能烟火检测功能；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10．支持测温功能，测温范围：-20 ℃~150 ℃，测温精度：±8 ℃，或者读数的±8%，取最大值;；</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11．热成像分辨率：≥256 × 192， 热成像焦距：≥10 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12．可见光分辨率：≥2688 × 1520，≥400万实时高清。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●13.当CPU占有率超过预设值或内存可用容量低于预设值时，可通过客户端软件或者IE浏览器报警。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14.设备支持雨刷功能，支持≥7路报警输入，≥2路报警输出。</w:t>
            </w:r>
          </w:p>
        </w:tc>
        <w:tc>
          <w:tcPr>
            <w:tcW w:w="780" w:type="dxa"/>
            <w:tcBorders>
              <w:top w:val="single" w:color="000000" w:sz="4" w:space="0"/>
              <w:left w:val="single" w:color="000000" w:sz="4" w:space="0"/>
              <w:bottom w:val="single" w:color="000000" w:sz="4" w:space="0"/>
              <w:right w:val="single" w:color="000000" w:sz="4" w:space="0"/>
            </w:tcBorders>
            <w:vAlign w:val="center"/>
          </w:tcPr>
          <w:p w14:paraId="1471DCA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15" w:type="dxa"/>
            <w:tcBorders>
              <w:top w:val="single" w:color="000000" w:sz="4" w:space="0"/>
              <w:left w:val="single" w:color="000000" w:sz="4" w:space="0"/>
              <w:bottom w:val="single" w:color="000000" w:sz="4" w:space="0"/>
              <w:right w:val="single" w:color="000000" w:sz="4" w:space="0"/>
            </w:tcBorders>
            <w:vAlign w:val="center"/>
          </w:tcPr>
          <w:p w14:paraId="76EB989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3BD573B8">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C69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E3FD">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水位观测球</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29A">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1.≥400万水位观测球。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2。采用毫米波雷达技术，分辨率更高，检测性能更稳定，不受光照、雨雪、灰尘、水雾等恶劣环境的影响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3.支持水位监测，波束角≥6°，水位精度±1mm。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4.内置漂浮物、船只、河岸垃圾智能算法检测。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5.支持全景路≥2560 × 1440 @30 fps高清画面输出。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6.支持全彩画面，F1.0大光圈，支持H.265高效压缩算法。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7.采用白光补光，有效白光≥30米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8.支持开放型网络视频接口，ISAPI，GB/T28181，ISUP</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9.支持宽动态范围达120 dB，适合逆光环境监控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10.支持≥340°水平旋转，垂直方向-20°~90°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11.支持3D数字降噪、强光抑制、SmartIR</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12.设备内置≥1个32GB EMMC芯片，≥1个雷达，≥1个RJ45接口，≥1个音频输出接口，≥2个报警输入接口，≥1个报警输出接口，≥1个RS485接口。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12.支持水位报警联动视频抓拍上报，内置≥32 GB EMMC存储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支持≥256G的 Micro SD/Micro SDHC/Micro SDXC卡存储。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13.≥IP67，抗干扰能力强，适用于严酷的电磁环境，符合GB/T17626.2/3/4/5/6四级标准。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●14.支持雷达测量范围，可监测范围为0.15m-15 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15.最低照度：全景，彩色：≤0.0005 Lux @（F1.0，AGC ON），黑白：≤0.0001 Lux @（F1.0，AGC ON）， 0 Lux with light；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16.宽动态：≥120dB超宽动态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17.焦距：≥4mm；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18.水平范围：0°~340°，垂直范围：-20°-90°，无自动翻转。</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19.主码流帧率分辨率不低于：50 Hz：25 fps（2560 × 1440，1920 × 1080，1280 × 960，1280 × 720）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60 Hz：30 fps（2560 × 1440，1920 × 1080，1280 × 960，1280 × 720）。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20.视频压缩标准：H.265；H.264；MJPEG；</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21.供电方式：DC12V；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工作温湿度：-35℃-70℃；湿度≤95%；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22.除雾：加热玻璃除雾；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23.防护：≥IP67; 6000V 防雷、防浪涌、防突波，符合GB/T17626.2/3/4/5/6四级标准。</w:t>
            </w:r>
          </w:p>
        </w:tc>
        <w:tc>
          <w:tcPr>
            <w:tcW w:w="780" w:type="dxa"/>
            <w:tcBorders>
              <w:top w:val="single" w:color="000000" w:sz="4" w:space="0"/>
              <w:left w:val="single" w:color="000000" w:sz="4" w:space="0"/>
              <w:bottom w:val="single" w:color="000000" w:sz="4" w:space="0"/>
              <w:right w:val="single" w:color="000000" w:sz="4" w:space="0"/>
            </w:tcBorders>
            <w:vAlign w:val="center"/>
          </w:tcPr>
          <w:p w14:paraId="780DE287">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43A6C07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0A9CBD1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6B4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1D1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防爆全彩筒机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F41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1．防爆标志：Ex db IIC T6 Gb/Ex tb IIIC T80℃ 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2．防护等级：≥IP66/68（2m/2h）；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3．最高分辨率≥2560 × 1440 @25 fps；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4．支持低码率、低延时、ROI感兴趣区域增强编码、SVC自适应编码技术，支持Smart265编码；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5．高效白光补光灯，使用寿命长，照射距离可达60 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6．支持AC100-240V和PoE供电功能；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7．支持3D数字降噪，支持≥120 dB超宽动态；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8．支持走廊模式，背光补偿，自动电子快门功能，适应不同监控环境；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9．支持GB28181接入；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10．防爆认证：防爆合格证，防爆CCC。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11.支持≥IK10 防暴，≥IP68防护等级。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12.具备较好的环境适应性，工作温度范围可达-30℃-60℃。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13.支持全彩模式，在彩色模式下，当照度降低至一定值时，设备可自动开启白光灯补光，在白天夜晚均可输出彩色视频图像。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14.当移动侦测、进入区域、离开区域、越界侦测或区域入侵报警产生时，可在报警布放时间内联动声音报警及白光灯闪烁。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15.接口：≥1个复位键，≥1个RJ45网口，≥1个音频输入接口，≥1个音频输出接口，≥1个报警输入接口，≥1个报警输出接口，≥1个micro SD卡接口。</w:t>
            </w:r>
          </w:p>
        </w:tc>
        <w:tc>
          <w:tcPr>
            <w:tcW w:w="780" w:type="dxa"/>
            <w:tcBorders>
              <w:top w:val="single" w:color="000000" w:sz="4" w:space="0"/>
              <w:left w:val="single" w:color="000000" w:sz="4" w:space="0"/>
              <w:bottom w:val="single" w:color="000000" w:sz="4" w:space="0"/>
              <w:right w:val="single" w:color="000000" w:sz="4" w:space="0"/>
            </w:tcBorders>
            <w:vAlign w:val="center"/>
          </w:tcPr>
          <w:p w14:paraId="571566F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615" w:type="dxa"/>
            <w:tcBorders>
              <w:top w:val="single" w:color="000000" w:sz="4" w:space="0"/>
              <w:left w:val="single" w:color="000000" w:sz="4" w:space="0"/>
              <w:bottom w:val="single" w:color="000000" w:sz="4" w:space="0"/>
              <w:right w:val="single" w:color="000000" w:sz="4" w:space="0"/>
            </w:tcBorders>
            <w:vAlign w:val="center"/>
          </w:tcPr>
          <w:p w14:paraId="45F31631">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1F7576C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3057D2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2.1.9</w:t>
            </w:r>
          </w:p>
        </w:tc>
        <w:tc>
          <w:tcPr>
            <w:tcW w:w="1110" w:type="dxa"/>
            <w:tcBorders>
              <w:top w:val="single" w:color="000000" w:sz="4" w:space="0"/>
              <w:left w:val="single" w:color="000000" w:sz="4" w:space="0"/>
              <w:bottom w:val="single" w:color="000000" w:sz="4" w:space="0"/>
              <w:right w:val="single" w:color="000000" w:sz="4" w:space="0"/>
            </w:tcBorders>
            <w:vAlign w:val="center"/>
          </w:tcPr>
          <w:p w14:paraId="4395A196">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防爆接线箱</w:t>
            </w:r>
          </w:p>
        </w:tc>
        <w:tc>
          <w:tcPr>
            <w:tcW w:w="6120" w:type="dxa"/>
            <w:tcBorders>
              <w:top w:val="single" w:color="000000" w:sz="4" w:space="0"/>
              <w:left w:val="single" w:color="000000" w:sz="4" w:space="0"/>
              <w:bottom w:val="single" w:color="000000" w:sz="4" w:space="0"/>
              <w:right w:val="single" w:color="000000" w:sz="4" w:space="0"/>
            </w:tcBorders>
            <w:vAlign w:val="center"/>
          </w:tcPr>
          <w:p w14:paraId="3F33166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1.铝合金材质，一体化成型设计；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2.适用于厂用防爆场景中的线缆连接；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3.出线孔：≥3个（G3/4螺纹）；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4.防护等级：IP66/IP68(2m/2h)；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5.防爆标志：Ex db ⅡC T6 Gb/Ex tb ⅢC T80℃ Db。</w:t>
            </w:r>
          </w:p>
        </w:tc>
        <w:tc>
          <w:tcPr>
            <w:tcW w:w="780" w:type="dxa"/>
            <w:tcBorders>
              <w:top w:val="single" w:color="000000" w:sz="4" w:space="0"/>
              <w:left w:val="single" w:color="000000" w:sz="4" w:space="0"/>
              <w:bottom w:val="single" w:color="000000" w:sz="4" w:space="0"/>
              <w:right w:val="single" w:color="000000" w:sz="4" w:space="0"/>
            </w:tcBorders>
            <w:vAlign w:val="center"/>
          </w:tcPr>
          <w:p w14:paraId="60756C9E">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615" w:type="dxa"/>
            <w:tcBorders>
              <w:top w:val="single" w:color="000000" w:sz="4" w:space="0"/>
              <w:left w:val="single" w:color="000000" w:sz="4" w:space="0"/>
              <w:bottom w:val="single" w:color="000000" w:sz="4" w:space="0"/>
              <w:right w:val="single" w:color="000000" w:sz="4" w:space="0"/>
            </w:tcBorders>
            <w:vAlign w:val="center"/>
          </w:tcPr>
          <w:p w14:paraId="4285785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765A25F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885E401">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2.2</w:t>
            </w:r>
          </w:p>
        </w:tc>
        <w:tc>
          <w:tcPr>
            <w:tcW w:w="1110" w:type="dxa"/>
            <w:tcBorders>
              <w:top w:val="single" w:color="000000" w:sz="4" w:space="0"/>
              <w:left w:val="single" w:color="000000" w:sz="4" w:space="0"/>
              <w:bottom w:val="single" w:color="000000" w:sz="4" w:space="0"/>
              <w:right w:val="single" w:color="000000" w:sz="4" w:space="0"/>
            </w:tcBorders>
            <w:vAlign w:val="center"/>
          </w:tcPr>
          <w:p w14:paraId="15A1DA90">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公用工程安全风险感知软件开发</w:t>
            </w:r>
          </w:p>
        </w:tc>
        <w:tc>
          <w:tcPr>
            <w:tcW w:w="6120" w:type="dxa"/>
            <w:tcBorders>
              <w:top w:val="single" w:color="000000" w:sz="4" w:space="0"/>
              <w:left w:val="single" w:color="000000" w:sz="4" w:space="0"/>
              <w:bottom w:val="single" w:color="000000" w:sz="4" w:space="0"/>
              <w:right w:val="single" w:color="000000" w:sz="4" w:space="0"/>
            </w:tcBorders>
            <w:vAlign w:val="center"/>
          </w:tcPr>
          <w:p w14:paraId="542E18B8">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一、公用工程视频监控管理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设备管理：①支持监控点的增删改查；②支持监控点移动到其他区域；③支持监控点拖动调整次序；④支持批量配置监控点类型；⑤支持导出监控点信息；⑥支持同步平台与监控点的监控点名称。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录像计划：①支持导出录像计划报表，包括实时流录像计划、历史流录像计划；②支持查看录像计划下发结果；③支持录像计划查询；④支持批量下发录像计划；⑤支持批量远程获取设备存储配置信息；⑥支持批量清除录像计划；⑦支持复制录像计划到指定监控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视频预览：支持预览取流方式切换包括直连设备取流/非直连设备取流；支持监控画面3D放大；支持视频预览切换为图片监控；支持监控画面实时抓图；支持预览窗口布局切换；支持预览画面自适应和全屏一键切换；支持监控画面中紧急录像、即时回放、主子码流切换、声音开启/关闭；支持监控画面显示码流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录像回放：支持按不同的存储模式取流回放；支持多画面播放时同步回放和异步回放切换；支持录像正放、倒放、快进、慢放、单帧播放，拖动进度条操作；支持录像下载、录像剪辑、录像标签、录像锁定设置；支持录像播放时声音开关闭、录像抓图、录像画面关闭、全屏播放操作；支持当鼠标停留时间轴时显示缩略图；支持分段回放；支持录像下载暂停、开启、搜索操作；支持录像下载任务查询；支持切换监控点后，录像回放、下载时间范围保持不变；支持提前根据录像类型、存储类型、时间段条件筛选，进行录像回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二、视频级联管理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视频联网网关：视频联网网关对外标准化，基于通用视频联网标准协议（GB/T28181）实现异构或同构平台间，在同网或跨网环境下视频互联互通。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视频联网配置管理：支持信令网关配置、多网域配置、协议驱动配置、上下级域配置和转码配置；支持指定本域或外域的资源进行共享/取消共享操作，未被选择的资源将不会被共享；支持对本域或者下级域资源检索查询，可对下级域进行目录订阅，当下级发生变动时会通知上级；支持目录调整，可以将下级域推送的不规范的点位资源编码转换为标准编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联网应用：支持通过GB/T28181-2016协议将本级域中的监控点和目录推送给上级域，也可以作为上级域接收下级域推送的监控点和目录；、支持级联点位取流，实现视频监控相关功能，包括实时预览、录像查询、录像回放控制（暂停、快慢放、跳转）、录像文件下载、语音对讲和广播、云台控制；支持记录关键操作日志，包括增加关键网域、网关配置、资源检索、资源共享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三、公用工程监测管理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物联设备管理：支持物联设备的增删改查；支持物联设备的在线检测；支持批量添加设备，批量添加设备时支持展示添加进度；支持设备名称在设备和平台之间互相同步。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报警输入管理：支持报警输入通道的增删改查；支持报警输入通道移动到其他区域；支持报警输入的查询和布撤防。</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开关量输出管理：支持开关量输出通道的增删改查；支持开关量输出移动到其他区域。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四、设备网络管理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网络管理配置：支持巡检计划配置，包括计划的添加、删除、修改、启用、禁用、查询、同步操作；支持启用或关闭告警状态推送，包括状态告警和性能告警；支持白名单资源的增删改查，添加到白名单的资源不再巡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运维概况：支持对监控点分辨率、监控点在线率、图像正常率、录像完整率进行监测和统计，可查看统计数据明细；支持以监控点分辨率、监控点在线率、图像正常率、录像完整率、编码设备在线率为排名项，对各区域运行情况进行排名，可查看统计数据明细；支持展示监控点在线率、图像正常率数据的趋势图；支持对视频和图像异常问题进行统计，可查看统计数据明细；支持根据监控点状态、录像状态、视频诊断状态、预览状态对系统运行情况进行评分；支持对各区域的得分进行排名统计；支持单独查看某个区域的得分情况；支持按区域筛选统计结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在线监测：支持对公用工程部分监控点在线检测，可按监控点总数、在线数、离线数、未检测数进行统计；支持监控点在线状态手动检测；支持监控点在线结果查询，可导出统计结果；支持本级、级联监控点取流链路诊断。</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编码设备巡检：支持对编码设备进行巡检，可按设备总数、在线数、离线数、未检测数进行统计；支持查看编码设备巡检结果，可导出统计结果。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五、传感器数据联网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传感数据汇聚：支持平台对外标准化协议向上进行安全生产传感数据汇聚。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传感器数据管理：支持平台间安全生产数据联网，可实现易燃气体浓度，有毒气体浓度等重要安全参数和报警数据的数据推送。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六、数据联网推送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配置管理：支持按照多种协议配置网关信息、订阅信息、上下级域信息、发布配置、协议参数配置、下级采集系统配置和任务管理配置；支持对接方式配置，包括文件对接、数据库对接；支持系统参数配置，包括历史记录保存时长、数据保存时长。</w:t>
            </w:r>
          </w:p>
        </w:tc>
        <w:tc>
          <w:tcPr>
            <w:tcW w:w="780" w:type="dxa"/>
            <w:tcBorders>
              <w:top w:val="single" w:color="000000" w:sz="4" w:space="0"/>
              <w:left w:val="single" w:color="000000" w:sz="4" w:space="0"/>
              <w:bottom w:val="single" w:color="000000" w:sz="4" w:space="0"/>
              <w:right w:val="single" w:color="000000" w:sz="4" w:space="0"/>
            </w:tcBorders>
            <w:vAlign w:val="center"/>
          </w:tcPr>
          <w:p w14:paraId="09844CA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7C58AC9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512B602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3DA3C25B">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w:t>
            </w:r>
          </w:p>
        </w:tc>
        <w:tc>
          <w:tcPr>
            <w:tcW w:w="7230" w:type="dxa"/>
            <w:gridSpan w:val="2"/>
            <w:tcBorders>
              <w:top w:val="single" w:color="000000" w:sz="4" w:space="0"/>
              <w:left w:val="single" w:color="000000" w:sz="4" w:space="0"/>
              <w:bottom w:val="single" w:color="000000" w:sz="4" w:space="0"/>
              <w:right w:val="single" w:color="000000" w:sz="4" w:space="0"/>
            </w:tcBorders>
            <w:vAlign w:val="center"/>
          </w:tcPr>
          <w:p w14:paraId="1C081444">
            <w:pPr>
              <w:spacing w:after="0" w:line="279" w:lineRule="auto"/>
              <w:jc w:val="lef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区域安全风险隔离管控设备</w:t>
            </w:r>
          </w:p>
        </w:tc>
        <w:tc>
          <w:tcPr>
            <w:tcW w:w="780" w:type="dxa"/>
            <w:tcBorders>
              <w:top w:val="single" w:color="000000" w:sz="4" w:space="0"/>
              <w:left w:val="single" w:color="000000" w:sz="4" w:space="0"/>
              <w:bottom w:val="single" w:color="000000" w:sz="4" w:space="0"/>
              <w:right w:val="single" w:color="000000" w:sz="4" w:space="0"/>
            </w:tcBorders>
            <w:vAlign w:val="center"/>
          </w:tcPr>
          <w:p w14:paraId="27D9AF1E">
            <w:pPr>
              <w:jc w:val="center"/>
              <w:rPr>
                <w:rFonts w:ascii="宋体" w:hAnsi="宋体" w:cs="宋体"/>
                <w:b/>
                <w:bCs/>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BFBB27A">
            <w:pPr>
              <w:jc w:val="center"/>
              <w:rPr>
                <w:rFonts w:ascii="宋体" w:hAnsi="宋体" w:cs="宋体"/>
                <w:b/>
                <w:bCs/>
                <w:color w:val="auto"/>
                <w:sz w:val="22"/>
                <w:szCs w:val="22"/>
                <w:highlight w:val="none"/>
              </w:rPr>
            </w:pPr>
          </w:p>
        </w:tc>
      </w:tr>
      <w:tr w14:paraId="0284B66B">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5C2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D5A1">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人流量统计摄像机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3387">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统计指定场景内目标人员进入、离开和经过的情况，对客流进行统计；客流过滤支持服装模式和人脸模式切换；内置GPU芯片，可同时支持人脸比对、人脸属性分析、客流统计及人员重复进出次数统计功能；支持单场景同时检出不少于30张人脸图片，支持侧脸过滤功能，可过滤上下、左右角度达到预设值的人脸。</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2.内置GPU芯片，可同时支持人脸比对、人脸属性分析、客流统计及人员重复进出次数统计功能。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3．事件报警功能：支持移动侦测，遮挡报警，硬盘满，硬盘错误，网络断开，IP地址冲突，非法访问，异常重启；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4．支持单场景同时检出不少于30张人脸图片，支持侧脸过滤功能，可过滤上下、左右角度达到预设值的人脸；</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5．支持开放型网络视频接口，ISAPI，GB/T28181-2016，ISUP5.0，视图库；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6．支持三级用户权限管理，支持授权的用户和密码，支持IP地址过滤；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7．焦距&amp;视场角：8~12 mm：水平视场角：99.6°~39.8°，垂直视场角：53°~24°，对角视场角：119.9°~45.7°；</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8．补光距离：最远≥50 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9．最大图像尺寸：≥2560 × 1440；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10．供电方式：DC：12 V ± 20%，支持防反接保护；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11．PoE：803at，Type 2，Class 4；</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1电源接口类型：3芯电源接口；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13．恢复出厂设置：支持RESET按键，客户端或浏览器恢复；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14．防护：≥IP67。</w:t>
            </w:r>
          </w:p>
        </w:tc>
        <w:tc>
          <w:tcPr>
            <w:tcW w:w="780" w:type="dxa"/>
            <w:tcBorders>
              <w:top w:val="single" w:color="000000" w:sz="4" w:space="0"/>
              <w:left w:val="single" w:color="000000" w:sz="4" w:space="0"/>
              <w:bottom w:val="single" w:color="000000" w:sz="4" w:space="0"/>
              <w:right w:val="single" w:color="000000" w:sz="4" w:space="0"/>
            </w:tcBorders>
            <w:vAlign w:val="center"/>
          </w:tcPr>
          <w:p w14:paraId="7691B19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615" w:type="dxa"/>
            <w:tcBorders>
              <w:top w:val="single" w:color="000000" w:sz="4" w:space="0"/>
              <w:left w:val="single" w:color="000000" w:sz="4" w:space="0"/>
              <w:bottom w:val="single" w:color="000000" w:sz="4" w:space="0"/>
              <w:right w:val="single" w:color="000000" w:sz="4" w:space="0"/>
            </w:tcBorders>
            <w:vAlign w:val="center"/>
          </w:tcPr>
          <w:p w14:paraId="792D8A9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0E4354D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5D2E73F">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3.2</w:t>
            </w:r>
          </w:p>
        </w:tc>
        <w:tc>
          <w:tcPr>
            <w:tcW w:w="1110" w:type="dxa"/>
            <w:tcBorders>
              <w:top w:val="single" w:color="000000" w:sz="4" w:space="0"/>
              <w:left w:val="single" w:color="000000" w:sz="4" w:space="0"/>
              <w:bottom w:val="single" w:color="000000" w:sz="4" w:space="0"/>
              <w:right w:val="single" w:color="000000" w:sz="4" w:space="0"/>
            </w:tcBorders>
            <w:vAlign w:val="center"/>
          </w:tcPr>
          <w:p w14:paraId="47F3126C">
            <w:pPr>
              <w:widowControl/>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车载定位</w:t>
            </w:r>
          </w:p>
        </w:tc>
        <w:tc>
          <w:tcPr>
            <w:tcW w:w="6120" w:type="dxa"/>
            <w:tcBorders>
              <w:top w:val="single" w:color="000000" w:sz="4" w:space="0"/>
              <w:left w:val="single" w:color="000000" w:sz="4" w:space="0"/>
              <w:bottom w:val="single" w:color="000000" w:sz="4" w:space="0"/>
              <w:right w:val="single" w:color="000000" w:sz="4" w:space="0"/>
            </w:tcBorders>
            <w:vAlign w:val="center"/>
          </w:tcPr>
          <w:p w14:paraId="5494F90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车载定位器配套使用，2年服务期间，首年免费，次年起每年50元/张资费。</w:t>
            </w:r>
          </w:p>
        </w:tc>
        <w:tc>
          <w:tcPr>
            <w:tcW w:w="780" w:type="dxa"/>
            <w:tcBorders>
              <w:top w:val="single" w:color="000000" w:sz="4" w:space="0"/>
              <w:left w:val="single" w:color="000000" w:sz="4" w:space="0"/>
              <w:bottom w:val="single" w:color="000000" w:sz="4" w:space="0"/>
              <w:right w:val="single" w:color="000000" w:sz="4" w:space="0"/>
            </w:tcBorders>
            <w:vAlign w:val="center"/>
          </w:tcPr>
          <w:p w14:paraId="39BC2F40">
            <w:pPr>
              <w:jc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AEA8571">
            <w:pPr>
              <w:jc w:val="center"/>
              <w:rPr>
                <w:rFonts w:ascii="宋体" w:hAnsi="宋体" w:cs="宋体"/>
                <w:color w:val="auto"/>
                <w:sz w:val="22"/>
                <w:szCs w:val="22"/>
                <w:highlight w:val="none"/>
              </w:rPr>
            </w:pPr>
          </w:p>
        </w:tc>
      </w:tr>
      <w:tr w14:paraId="49175154">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1429">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C6E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卫星车载定位器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8F3">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卫星车载定位器（电池款）：</w:t>
            </w:r>
          </w:p>
          <w:p w14:paraId="1723463F">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1.双频GNSS定位；</w:t>
            </w:r>
          </w:p>
          <w:p w14:paraId="33B357C6">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2.定位精度空旷范围5米以内，定位频次1HZ；</w:t>
            </w:r>
          </w:p>
          <w:p w14:paraId="35E6230D">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3.4G cat1通信，内置物联网卡，自带500MB流量；</w:t>
            </w:r>
          </w:p>
          <w:p w14:paraId="5C8F25B9">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4.支持JT/T 808-2019协议上传定位数据，接入无忧；</w:t>
            </w:r>
          </w:p>
          <w:p w14:paraId="42F13EA1">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5.≥5000mAh可充电锂电池（TypeC接口），低功耗高续航，一次充电</w:t>
            </w:r>
          </w:p>
          <w:p w14:paraId="5B09BC3D">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可正常使用≥24小时；</w:t>
            </w:r>
          </w:p>
          <w:p w14:paraId="325C435F">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6.电流功耗：DC：5 V，2 A，最大功耗：10 W  </w:t>
            </w:r>
          </w:p>
          <w:p w14:paraId="3EB6F50C">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7.工作温度和湿度：-20-60℃,95%无冷凝  </w:t>
            </w:r>
          </w:p>
          <w:p w14:paraId="6D4770AD">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8.防护等级：≥IP67</w:t>
            </w:r>
          </w:p>
        </w:tc>
        <w:tc>
          <w:tcPr>
            <w:tcW w:w="780" w:type="dxa"/>
            <w:tcBorders>
              <w:top w:val="single" w:color="000000" w:sz="4" w:space="0"/>
              <w:left w:val="single" w:color="000000" w:sz="4" w:space="0"/>
              <w:bottom w:val="single" w:color="000000" w:sz="4" w:space="0"/>
              <w:right w:val="single" w:color="000000" w:sz="4" w:space="0"/>
            </w:tcBorders>
            <w:vAlign w:val="center"/>
          </w:tcPr>
          <w:p w14:paraId="7C001AD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t>
            </w:r>
          </w:p>
        </w:tc>
        <w:tc>
          <w:tcPr>
            <w:tcW w:w="615" w:type="dxa"/>
            <w:tcBorders>
              <w:top w:val="single" w:color="000000" w:sz="4" w:space="0"/>
              <w:left w:val="single" w:color="000000" w:sz="4" w:space="0"/>
              <w:bottom w:val="single" w:color="000000" w:sz="4" w:space="0"/>
              <w:right w:val="single" w:color="000000" w:sz="4" w:space="0"/>
            </w:tcBorders>
            <w:vAlign w:val="center"/>
          </w:tcPr>
          <w:p w14:paraId="5F80731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3708B4B6">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10C50F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3.2.2</w:t>
            </w:r>
          </w:p>
        </w:tc>
        <w:tc>
          <w:tcPr>
            <w:tcW w:w="1110" w:type="dxa"/>
            <w:tcBorders>
              <w:top w:val="single" w:color="000000" w:sz="4" w:space="0"/>
              <w:left w:val="single" w:color="000000" w:sz="4" w:space="0"/>
              <w:bottom w:val="single" w:color="000000" w:sz="4" w:space="0"/>
              <w:right w:val="single" w:color="000000" w:sz="4" w:space="0"/>
            </w:tcBorders>
            <w:vAlign w:val="center"/>
          </w:tcPr>
          <w:p w14:paraId="110668A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SIM卡</w:t>
            </w:r>
          </w:p>
        </w:tc>
        <w:tc>
          <w:tcPr>
            <w:tcW w:w="6120" w:type="dxa"/>
            <w:tcBorders>
              <w:top w:val="single" w:color="000000" w:sz="4" w:space="0"/>
              <w:left w:val="single" w:color="000000" w:sz="4" w:space="0"/>
              <w:bottom w:val="single" w:color="000000" w:sz="4" w:space="0"/>
              <w:right w:val="single" w:color="000000" w:sz="4" w:space="0"/>
            </w:tcBorders>
            <w:vAlign w:val="center"/>
          </w:tcPr>
          <w:p w14:paraId="4EABE208">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车载定位器配套使用，2年服务期间，首年免费，次年起每年49元/张资费。</w:t>
            </w:r>
          </w:p>
        </w:tc>
        <w:tc>
          <w:tcPr>
            <w:tcW w:w="780" w:type="dxa"/>
            <w:tcBorders>
              <w:top w:val="single" w:color="000000" w:sz="4" w:space="0"/>
              <w:left w:val="single" w:color="000000" w:sz="4" w:space="0"/>
              <w:bottom w:val="single" w:color="000000" w:sz="4" w:space="0"/>
              <w:right w:val="single" w:color="000000" w:sz="4" w:space="0"/>
            </w:tcBorders>
            <w:vAlign w:val="center"/>
          </w:tcPr>
          <w:p w14:paraId="1931C05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t>
            </w:r>
          </w:p>
        </w:tc>
        <w:tc>
          <w:tcPr>
            <w:tcW w:w="615" w:type="dxa"/>
            <w:tcBorders>
              <w:top w:val="single" w:color="000000" w:sz="4" w:space="0"/>
              <w:left w:val="single" w:color="000000" w:sz="4" w:space="0"/>
              <w:bottom w:val="single" w:color="000000" w:sz="4" w:space="0"/>
              <w:right w:val="single" w:color="000000" w:sz="4" w:space="0"/>
            </w:tcBorders>
            <w:vAlign w:val="center"/>
          </w:tcPr>
          <w:p w14:paraId="2FE0132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张/年</w:t>
            </w:r>
          </w:p>
        </w:tc>
      </w:tr>
      <w:tr w14:paraId="31FDF4F2">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278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C278">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集中充电柜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BFB4">
            <w:pPr>
              <w:widowControl/>
              <w:spacing w:line="240" w:lineRule="auto"/>
              <w:jc w:val="left"/>
              <w:textAlignment w:val="center"/>
              <w:rPr>
                <w:color w:val="auto"/>
                <w:sz w:val="22"/>
                <w:szCs w:val="22"/>
                <w:highlight w:val="none"/>
              </w:rPr>
            </w:pPr>
            <w:r>
              <w:rPr>
                <w:rFonts w:hint="eastAsia"/>
                <w:color w:val="auto"/>
                <w:sz w:val="22"/>
                <w:szCs w:val="22"/>
                <w:highlight w:val="none"/>
              </w:rPr>
              <w:t>1.产品规格:钣金柜体，可同时支持≥40口设备集中充电</w:t>
            </w:r>
          </w:p>
          <w:p w14:paraId="46D0DFC4">
            <w:pPr>
              <w:widowControl/>
              <w:spacing w:line="240" w:lineRule="auto"/>
              <w:jc w:val="left"/>
              <w:textAlignment w:val="center"/>
              <w:rPr>
                <w:color w:val="auto"/>
                <w:sz w:val="22"/>
                <w:szCs w:val="22"/>
                <w:highlight w:val="none"/>
              </w:rPr>
            </w:pPr>
            <w:r>
              <w:rPr>
                <w:rFonts w:hint="eastAsia"/>
                <w:color w:val="auto"/>
                <w:sz w:val="22"/>
                <w:szCs w:val="22"/>
                <w:highlight w:val="none"/>
              </w:rPr>
              <w:t>2.充电情况：5V ，2A</w:t>
            </w:r>
          </w:p>
          <w:p w14:paraId="3F3DB510">
            <w:pPr>
              <w:widowControl/>
              <w:spacing w:line="240" w:lineRule="auto"/>
              <w:jc w:val="left"/>
              <w:textAlignment w:val="center"/>
              <w:rPr>
                <w:color w:val="auto"/>
                <w:sz w:val="22"/>
                <w:szCs w:val="22"/>
                <w:highlight w:val="none"/>
              </w:rPr>
            </w:pPr>
            <w:r>
              <w:rPr>
                <w:rFonts w:hint="eastAsia"/>
                <w:color w:val="auto"/>
                <w:sz w:val="22"/>
                <w:szCs w:val="22"/>
                <w:highlight w:val="none"/>
              </w:rPr>
              <w:t>3.接口形式：TypeC</w:t>
            </w:r>
          </w:p>
          <w:p w14:paraId="561F482C">
            <w:pPr>
              <w:widowControl/>
              <w:spacing w:line="240" w:lineRule="auto"/>
              <w:jc w:val="left"/>
              <w:textAlignment w:val="center"/>
              <w:rPr>
                <w:color w:val="auto"/>
                <w:sz w:val="22"/>
                <w:szCs w:val="22"/>
                <w:highlight w:val="none"/>
              </w:rPr>
            </w:pPr>
            <w:r>
              <w:rPr>
                <w:rFonts w:hint="eastAsia"/>
                <w:color w:val="auto"/>
                <w:sz w:val="22"/>
                <w:szCs w:val="22"/>
                <w:highlight w:val="none"/>
              </w:rPr>
              <w:t>4.工作温度 -20℃~75℃</w:t>
            </w:r>
          </w:p>
          <w:p w14:paraId="4FEDDA29">
            <w:pPr>
              <w:widowControl/>
              <w:spacing w:line="240" w:lineRule="auto"/>
              <w:jc w:val="left"/>
              <w:textAlignment w:val="center"/>
              <w:rPr>
                <w:color w:val="auto"/>
                <w:sz w:val="22"/>
                <w:szCs w:val="22"/>
                <w:highlight w:val="none"/>
              </w:rPr>
            </w:pPr>
            <w:r>
              <w:rPr>
                <w:rFonts w:hint="eastAsia"/>
                <w:color w:val="auto"/>
                <w:sz w:val="22"/>
                <w:szCs w:val="22"/>
                <w:highlight w:val="none"/>
              </w:rPr>
              <w:t>5.工作湿度10%~95%不凝结</w:t>
            </w:r>
          </w:p>
          <w:p w14:paraId="7C355CDD">
            <w:pPr>
              <w:widowControl/>
              <w:spacing w:line="240" w:lineRule="auto"/>
              <w:jc w:val="left"/>
              <w:textAlignment w:val="center"/>
              <w:rPr>
                <w:color w:val="auto"/>
                <w:sz w:val="22"/>
                <w:szCs w:val="22"/>
                <w:highlight w:val="none"/>
              </w:rPr>
            </w:pPr>
            <w:r>
              <w:rPr>
                <w:rFonts w:hint="eastAsia"/>
                <w:color w:val="auto"/>
                <w:sz w:val="22"/>
                <w:szCs w:val="22"/>
                <w:highlight w:val="none"/>
              </w:rPr>
              <w:t>6.存储温度 -20℃~75℃</w:t>
            </w:r>
          </w:p>
          <w:p w14:paraId="7FCF9A94">
            <w:pPr>
              <w:widowControl/>
              <w:spacing w:line="240" w:lineRule="auto"/>
              <w:jc w:val="left"/>
              <w:textAlignment w:val="center"/>
              <w:rPr>
                <w:rFonts w:ascii="宋体" w:hAnsi="宋体" w:cs="宋体"/>
                <w:color w:val="auto"/>
                <w:sz w:val="22"/>
                <w:szCs w:val="22"/>
                <w:highlight w:val="none"/>
              </w:rPr>
            </w:pPr>
            <w:r>
              <w:rPr>
                <w:rFonts w:hint="eastAsia"/>
                <w:color w:val="auto"/>
                <w:sz w:val="22"/>
                <w:szCs w:val="22"/>
                <w:highlight w:val="none"/>
              </w:rPr>
              <w:t>7.存储湿度10%~95%不凝结</w:t>
            </w:r>
          </w:p>
        </w:tc>
        <w:tc>
          <w:tcPr>
            <w:tcW w:w="780" w:type="dxa"/>
            <w:tcBorders>
              <w:top w:val="single" w:color="000000" w:sz="4" w:space="0"/>
              <w:left w:val="single" w:color="000000" w:sz="4" w:space="0"/>
              <w:bottom w:val="single" w:color="000000" w:sz="4" w:space="0"/>
              <w:right w:val="single" w:color="000000" w:sz="4" w:space="0"/>
            </w:tcBorders>
            <w:vAlign w:val="center"/>
          </w:tcPr>
          <w:p w14:paraId="481268A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615" w:type="dxa"/>
            <w:tcBorders>
              <w:top w:val="single" w:color="000000" w:sz="4" w:space="0"/>
              <w:left w:val="single" w:color="000000" w:sz="4" w:space="0"/>
              <w:bottom w:val="single" w:color="000000" w:sz="4" w:space="0"/>
              <w:right w:val="single" w:color="000000" w:sz="4" w:space="0"/>
            </w:tcBorders>
            <w:vAlign w:val="center"/>
          </w:tcPr>
          <w:p w14:paraId="12AFE1E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56E4B63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C3A28C2">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w:t>
            </w:r>
          </w:p>
        </w:tc>
        <w:tc>
          <w:tcPr>
            <w:tcW w:w="1110" w:type="dxa"/>
            <w:tcBorders>
              <w:top w:val="single" w:color="000000" w:sz="4" w:space="0"/>
              <w:left w:val="single" w:color="000000" w:sz="4" w:space="0"/>
              <w:bottom w:val="single" w:color="000000" w:sz="4" w:space="0"/>
              <w:right w:val="single" w:color="000000" w:sz="4" w:space="0"/>
            </w:tcBorders>
            <w:vAlign w:val="center"/>
          </w:tcPr>
          <w:p w14:paraId="119C29A2">
            <w:pPr>
              <w:widowControl/>
              <w:spacing w:after="0" w:line="279"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人员通行</w:t>
            </w:r>
          </w:p>
        </w:tc>
        <w:tc>
          <w:tcPr>
            <w:tcW w:w="6120" w:type="dxa"/>
            <w:tcBorders>
              <w:top w:val="single" w:color="000000" w:sz="4" w:space="0"/>
              <w:left w:val="single" w:color="000000" w:sz="4" w:space="0"/>
              <w:bottom w:val="single" w:color="000000" w:sz="4" w:space="0"/>
              <w:right w:val="single" w:color="000000" w:sz="4" w:space="0"/>
            </w:tcBorders>
            <w:vAlign w:val="center"/>
          </w:tcPr>
          <w:p w14:paraId="4567DC35">
            <w:pPr>
              <w:spacing w:after="0" w:line="279" w:lineRule="auto"/>
              <w:jc w:val="left"/>
              <w:rPr>
                <w:rFonts w:ascii="宋体" w:hAnsi="宋体" w:cs="宋体"/>
                <w:color w:val="auto"/>
                <w:sz w:val="22"/>
                <w:szCs w:val="22"/>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2A2B1C03">
            <w:pPr>
              <w:spacing w:after="0" w:line="279" w:lineRule="auto"/>
              <w:jc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E3876E1">
            <w:pPr>
              <w:spacing w:after="0" w:line="279" w:lineRule="auto"/>
              <w:jc w:val="center"/>
              <w:rPr>
                <w:rFonts w:ascii="宋体" w:hAnsi="宋体" w:cs="宋体"/>
                <w:color w:val="auto"/>
                <w:sz w:val="22"/>
                <w:szCs w:val="22"/>
                <w:highlight w:val="none"/>
              </w:rPr>
            </w:pPr>
          </w:p>
        </w:tc>
      </w:tr>
      <w:tr w14:paraId="520DE81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37A8932">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3.3.1</w:t>
            </w:r>
          </w:p>
        </w:tc>
        <w:tc>
          <w:tcPr>
            <w:tcW w:w="1110" w:type="dxa"/>
            <w:tcBorders>
              <w:top w:val="single" w:color="000000" w:sz="4" w:space="0"/>
              <w:left w:val="single" w:color="000000" w:sz="4" w:space="0"/>
              <w:bottom w:val="single" w:color="000000" w:sz="4" w:space="0"/>
              <w:right w:val="single" w:color="000000" w:sz="4" w:space="0"/>
            </w:tcBorders>
            <w:vAlign w:val="center"/>
          </w:tcPr>
          <w:p w14:paraId="3CF2579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人员通行一体化摆闸左边道</w:t>
            </w:r>
          </w:p>
        </w:tc>
        <w:tc>
          <w:tcPr>
            <w:tcW w:w="6120" w:type="dxa"/>
            <w:tcBorders>
              <w:top w:val="single" w:color="000000" w:sz="4" w:space="0"/>
              <w:left w:val="single" w:color="000000" w:sz="4" w:space="0"/>
              <w:bottom w:val="single" w:color="000000" w:sz="4" w:space="0"/>
              <w:right w:val="single" w:color="000000" w:sz="4" w:space="0"/>
            </w:tcBorders>
            <w:vAlign w:val="center"/>
          </w:tcPr>
          <w:p w14:paraId="78608AB0">
            <w:pPr>
              <w:widowControl/>
              <w:spacing w:after="0" w:line="279" w:lineRule="auto"/>
              <w:jc w:val="left"/>
              <w:textAlignment w:val="center"/>
              <w:rPr>
                <w:color w:val="auto"/>
                <w:sz w:val="22"/>
                <w:szCs w:val="22"/>
                <w:highlight w:val="none"/>
              </w:rPr>
            </w:pPr>
            <w:r>
              <w:rPr>
                <w:rFonts w:hint="eastAsia"/>
                <w:color w:val="auto"/>
                <w:sz w:val="22"/>
                <w:szCs w:val="22"/>
                <w:highlight w:val="none"/>
              </w:rPr>
              <w:t>1.外观特征：简约圆弧机身；</w:t>
            </w:r>
          </w:p>
          <w:p w14:paraId="3C4130CF">
            <w:pPr>
              <w:widowControl/>
              <w:spacing w:after="0" w:line="279" w:lineRule="auto"/>
              <w:jc w:val="left"/>
              <w:textAlignment w:val="center"/>
              <w:rPr>
                <w:color w:val="auto"/>
                <w:sz w:val="22"/>
                <w:szCs w:val="22"/>
                <w:highlight w:val="none"/>
              </w:rPr>
            </w:pPr>
            <w:r>
              <w:rPr>
                <w:rFonts w:hint="eastAsia"/>
                <w:color w:val="auto"/>
                <w:sz w:val="22"/>
                <w:szCs w:val="22"/>
                <w:highlight w:val="none"/>
              </w:rPr>
              <w:t>2.尺寸：L1600*W180*H980mm；</w:t>
            </w:r>
          </w:p>
          <w:p w14:paraId="79256198">
            <w:pPr>
              <w:widowControl/>
              <w:spacing w:after="0" w:line="279" w:lineRule="auto"/>
              <w:jc w:val="left"/>
              <w:textAlignment w:val="center"/>
              <w:rPr>
                <w:color w:val="auto"/>
                <w:sz w:val="22"/>
                <w:szCs w:val="22"/>
                <w:highlight w:val="none"/>
              </w:rPr>
            </w:pPr>
            <w:r>
              <w:rPr>
                <w:rFonts w:hint="eastAsia"/>
                <w:color w:val="auto"/>
                <w:sz w:val="22"/>
                <w:szCs w:val="22"/>
                <w:highlight w:val="none"/>
              </w:rPr>
              <w:t>3.箱体材质：304拉丝不锈钢，顶盖厚度1.0mm,机身厚度0.8mm；</w:t>
            </w:r>
          </w:p>
          <w:p w14:paraId="35DA5594">
            <w:pPr>
              <w:widowControl/>
              <w:spacing w:after="0" w:line="279" w:lineRule="auto"/>
              <w:jc w:val="left"/>
              <w:textAlignment w:val="center"/>
              <w:rPr>
                <w:color w:val="auto"/>
                <w:sz w:val="22"/>
                <w:szCs w:val="22"/>
                <w:highlight w:val="none"/>
              </w:rPr>
            </w:pPr>
            <w:r>
              <w:rPr>
                <w:rFonts w:hint="eastAsia"/>
                <w:color w:val="auto"/>
                <w:sz w:val="22"/>
                <w:szCs w:val="22"/>
                <w:highlight w:val="none"/>
              </w:rPr>
              <w:t>4.摆臂材质：亚克力/不锈钢摆臂（可选）；</w:t>
            </w:r>
          </w:p>
          <w:p w14:paraId="571086F9">
            <w:pPr>
              <w:widowControl/>
              <w:spacing w:after="0" w:line="279" w:lineRule="auto"/>
              <w:jc w:val="left"/>
              <w:textAlignment w:val="center"/>
              <w:rPr>
                <w:color w:val="auto"/>
                <w:sz w:val="22"/>
                <w:szCs w:val="22"/>
                <w:highlight w:val="none"/>
              </w:rPr>
            </w:pPr>
            <w:r>
              <w:rPr>
                <w:rFonts w:hint="eastAsia"/>
                <w:color w:val="auto"/>
                <w:sz w:val="22"/>
                <w:szCs w:val="22"/>
                <w:highlight w:val="none"/>
              </w:rPr>
              <w:t>5.基本功能：双向读卡、双向刷卡指示灯、断电自动开闸、具有防夹功能、具有防尾随功能；</w:t>
            </w:r>
          </w:p>
          <w:p w14:paraId="0BED795F">
            <w:pPr>
              <w:widowControl/>
              <w:spacing w:after="0" w:line="279" w:lineRule="auto"/>
              <w:jc w:val="left"/>
              <w:textAlignment w:val="center"/>
              <w:rPr>
                <w:color w:val="auto"/>
                <w:sz w:val="22"/>
                <w:szCs w:val="22"/>
                <w:highlight w:val="none"/>
              </w:rPr>
            </w:pPr>
            <w:r>
              <w:rPr>
                <w:rFonts w:hint="eastAsia"/>
                <w:color w:val="auto"/>
                <w:sz w:val="22"/>
                <w:szCs w:val="22"/>
                <w:highlight w:val="none"/>
              </w:rPr>
              <w:t>6.工作模式：合法通行自动关闸，常开、常闭任选；</w:t>
            </w:r>
          </w:p>
          <w:p w14:paraId="48BD83F5">
            <w:pPr>
              <w:widowControl/>
              <w:spacing w:after="0" w:line="279" w:lineRule="auto"/>
              <w:jc w:val="left"/>
              <w:textAlignment w:val="center"/>
              <w:rPr>
                <w:color w:val="auto"/>
                <w:sz w:val="22"/>
                <w:szCs w:val="22"/>
                <w:highlight w:val="none"/>
              </w:rPr>
            </w:pPr>
            <w:r>
              <w:rPr>
                <w:rFonts w:hint="eastAsia"/>
                <w:color w:val="auto"/>
                <w:sz w:val="22"/>
                <w:szCs w:val="22"/>
                <w:highlight w:val="none"/>
              </w:rPr>
              <w:t>7.驱动方式：采用直流无刷电机驱动，单机芯；</w:t>
            </w:r>
          </w:p>
          <w:p w14:paraId="5FF7698E">
            <w:pPr>
              <w:widowControl/>
              <w:spacing w:after="0" w:line="279" w:lineRule="auto"/>
              <w:jc w:val="left"/>
              <w:textAlignment w:val="center"/>
              <w:rPr>
                <w:color w:val="auto"/>
                <w:sz w:val="22"/>
                <w:szCs w:val="22"/>
                <w:highlight w:val="none"/>
              </w:rPr>
            </w:pPr>
            <w:r>
              <w:rPr>
                <w:rFonts w:hint="eastAsia"/>
                <w:color w:val="auto"/>
                <w:sz w:val="22"/>
                <w:szCs w:val="22"/>
                <w:highlight w:val="none"/>
              </w:rPr>
              <w:t>8.每个通道闸机有安装4对红外;</w:t>
            </w:r>
          </w:p>
          <w:p w14:paraId="0B231CEC">
            <w:pPr>
              <w:widowControl/>
              <w:spacing w:after="0" w:line="279" w:lineRule="auto"/>
              <w:jc w:val="left"/>
              <w:textAlignment w:val="center"/>
              <w:rPr>
                <w:color w:val="auto"/>
                <w:sz w:val="22"/>
                <w:szCs w:val="22"/>
                <w:highlight w:val="none"/>
              </w:rPr>
            </w:pPr>
            <w:r>
              <w:rPr>
                <w:rFonts w:hint="eastAsia"/>
                <w:color w:val="auto"/>
                <w:sz w:val="22"/>
                <w:szCs w:val="22"/>
                <w:highlight w:val="none"/>
              </w:rPr>
              <w:t>9.通道宽度：不大于1200mm；亚克力摆臂：不大于900，不锈钢摆臂：900-1200；</w:t>
            </w:r>
          </w:p>
          <w:p w14:paraId="28A92571">
            <w:pPr>
              <w:widowControl/>
              <w:spacing w:after="0" w:line="279" w:lineRule="auto"/>
              <w:jc w:val="left"/>
              <w:textAlignment w:val="center"/>
              <w:rPr>
                <w:color w:val="auto"/>
                <w:sz w:val="22"/>
                <w:szCs w:val="22"/>
                <w:highlight w:val="none"/>
              </w:rPr>
            </w:pPr>
            <w:r>
              <w:rPr>
                <w:rFonts w:hint="eastAsia"/>
                <w:color w:val="auto"/>
                <w:sz w:val="22"/>
                <w:szCs w:val="22"/>
                <w:highlight w:val="none"/>
              </w:rPr>
              <w:t>10.工作环境：室内/室外（防水台）。</w:t>
            </w:r>
          </w:p>
          <w:p w14:paraId="1667D1A5">
            <w:pPr>
              <w:widowControl/>
              <w:spacing w:after="0" w:line="279" w:lineRule="auto"/>
              <w:jc w:val="left"/>
              <w:textAlignment w:val="center"/>
              <w:rPr>
                <w:color w:val="auto"/>
                <w:sz w:val="22"/>
                <w:szCs w:val="22"/>
                <w:highlight w:val="none"/>
              </w:rPr>
            </w:pPr>
            <w:r>
              <w:rPr>
                <w:rFonts w:hint="eastAsia"/>
                <w:color w:val="auto"/>
                <w:sz w:val="22"/>
                <w:szCs w:val="22"/>
                <w:highlight w:val="none"/>
              </w:rPr>
              <w:t>11.电源输入:AC220V+10% 50HZ电源输出:供电模块 24V;</w:t>
            </w:r>
          </w:p>
          <w:p w14:paraId="501D391B">
            <w:pPr>
              <w:widowControl/>
              <w:spacing w:after="0" w:line="279" w:lineRule="auto"/>
              <w:jc w:val="left"/>
              <w:textAlignment w:val="center"/>
              <w:rPr>
                <w:color w:val="auto"/>
                <w:sz w:val="22"/>
                <w:szCs w:val="22"/>
                <w:highlight w:val="none"/>
              </w:rPr>
            </w:pPr>
            <w:r>
              <w:rPr>
                <w:rFonts w:hint="eastAsia"/>
                <w:color w:val="auto"/>
                <w:sz w:val="22"/>
                <w:szCs w:val="22"/>
                <w:highlight w:val="none"/>
              </w:rPr>
              <w:t>12.电机功率:40W;</w:t>
            </w:r>
          </w:p>
          <w:p w14:paraId="454FEBCA">
            <w:pPr>
              <w:widowControl/>
              <w:spacing w:after="0" w:line="279" w:lineRule="auto"/>
              <w:jc w:val="left"/>
              <w:textAlignment w:val="center"/>
              <w:rPr>
                <w:color w:val="auto"/>
                <w:sz w:val="22"/>
                <w:szCs w:val="22"/>
                <w:highlight w:val="none"/>
              </w:rPr>
            </w:pPr>
            <w:r>
              <w:rPr>
                <w:rFonts w:hint="eastAsia"/>
                <w:color w:val="auto"/>
                <w:sz w:val="22"/>
                <w:szCs w:val="22"/>
                <w:highlight w:val="none"/>
              </w:rPr>
              <w:t>13.整体功率:单机芯 100W，双机芯 200W驱动方式:采用直流无刷电机驱动;</w:t>
            </w:r>
          </w:p>
          <w:p w14:paraId="022BAB6F">
            <w:pPr>
              <w:widowControl/>
              <w:spacing w:after="0" w:line="279" w:lineRule="auto"/>
              <w:jc w:val="left"/>
              <w:textAlignment w:val="center"/>
              <w:rPr>
                <w:color w:val="auto"/>
                <w:sz w:val="22"/>
                <w:szCs w:val="22"/>
                <w:highlight w:val="none"/>
              </w:rPr>
            </w:pPr>
            <w:r>
              <w:rPr>
                <w:rFonts w:hint="eastAsia"/>
                <w:color w:val="auto"/>
                <w:sz w:val="22"/>
                <w:szCs w:val="22"/>
                <w:highlight w:val="none"/>
              </w:rPr>
              <w:t>上位机通讯接口:RS232 串口使用寿命:连续转动 500 万次以上无故障通行速度:30-40 人/分钟;</w:t>
            </w:r>
          </w:p>
          <w:p w14:paraId="2C6986D1">
            <w:pPr>
              <w:widowControl/>
              <w:spacing w:after="0" w:line="279" w:lineRule="auto"/>
              <w:jc w:val="left"/>
              <w:textAlignment w:val="center"/>
              <w:rPr>
                <w:color w:val="auto"/>
                <w:sz w:val="22"/>
                <w:szCs w:val="22"/>
                <w:highlight w:val="none"/>
              </w:rPr>
            </w:pPr>
            <w:r>
              <w:rPr>
                <w:rFonts w:hint="eastAsia"/>
                <w:color w:val="auto"/>
                <w:sz w:val="22"/>
                <w:szCs w:val="22"/>
                <w:highlight w:val="none"/>
              </w:rPr>
              <w:t>.14.闸门开、关时间:1-2秒;</w:t>
            </w:r>
          </w:p>
          <w:p w14:paraId="2574AE66">
            <w:pPr>
              <w:widowControl/>
              <w:spacing w:after="0" w:line="279" w:lineRule="auto"/>
              <w:jc w:val="left"/>
              <w:textAlignment w:val="center"/>
              <w:rPr>
                <w:color w:val="auto"/>
                <w:sz w:val="22"/>
                <w:szCs w:val="22"/>
                <w:highlight w:val="none"/>
              </w:rPr>
            </w:pPr>
            <w:r>
              <w:rPr>
                <w:rFonts w:hint="eastAsia"/>
                <w:color w:val="auto"/>
                <w:sz w:val="22"/>
                <w:szCs w:val="22"/>
                <w:highlight w:val="none"/>
              </w:rPr>
              <w:t>上电后进入通行状态所需时间:3 秒出现故障后的自动复位时间:10秒工作环境:室内、室外(防水台);</w:t>
            </w:r>
          </w:p>
          <w:p w14:paraId="0BD39DE2">
            <w:pPr>
              <w:widowControl/>
              <w:spacing w:after="0" w:line="279" w:lineRule="auto"/>
              <w:jc w:val="left"/>
              <w:textAlignment w:val="center"/>
              <w:rPr>
                <w:color w:val="auto"/>
                <w:sz w:val="22"/>
                <w:szCs w:val="22"/>
                <w:highlight w:val="none"/>
              </w:rPr>
            </w:pPr>
            <w:r>
              <w:rPr>
                <w:rFonts w:hint="eastAsia"/>
                <w:color w:val="auto"/>
                <w:sz w:val="22"/>
                <w:szCs w:val="22"/>
                <w:highlight w:val="none"/>
              </w:rPr>
              <w:t>15.温度:-10℃-60℃;</w:t>
            </w:r>
          </w:p>
          <w:p w14:paraId="26140E67">
            <w:pPr>
              <w:widowControl/>
              <w:spacing w:after="0" w:line="279" w:lineRule="auto"/>
              <w:jc w:val="left"/>
              <w:textAlignment w:val="center"/>
              <w:rPr>
                <w:color w:val="auto"/>
                <w:sz w:val="22"/>
                <w:szCs w:val="22"/>
                <w:highlight w:val="none"/>
              </w:rPr>
            </w:pPr>
            <w:r>
              <w:rPr>
                <w:rFonts w:hint="eastAsia"/>
                <w:color w:val="auto"/>
                <w:sz w:val="22"/>
                <w:szCs w:val="22"/>
                <w:highlight w:val="none"/>
              </w:rPr>
              <w:t>16.相对湿度:≤90%不凝露;</w:t>
            </w:r>
          </w:p>
          <w:p w14:paraId="347A3AA9">
            <w:pPr>
              <w:widowControl/>
              <w:spacing w:after="0" w:line="279" w:lineRule="auto"/>
              <w:jc w:val="left"/>
              <w:textAlignment w:val="center"/>
              <w:rPr>
                <w:color w:val="auto"/>
                <w:sz w:val="22"/>
                <w:szCs w:val="22"/>
                <w:highlight w:val="none"/>
              </w:rPr>
            </w:pPr>
            <w:r>
              <w:rPr>
                <w:rFonts w:hint="eastAsia"/>
                <w:color w:val="auto"/>
                <w:sz w:val="22"/>
                <w:szCs w:val="22"/>
                <w:highlight w:val="none"/>
              </w:rPr>
              <w:t>17.通行模式:单/双向通行;</w:t>
            </w:r>
          </w:p>
          <w:p w14:paraId="2EDDAE35">
            <w:pPr>
              <w:widowControl/>
              <w:spacing w:after="0" w:line="279" w:lineRule="auto"/>
              <w:jc w:val="left"/>
              <w:textAlignment w:val="center"/>
              <w:rPr>
                <w:color w:val="auto"/>
                <w:sz w:val="22"/>
                <w:szCs w:val="22"/>
                <w:highlight w:val="none"/>
              </w:rPr>
            </w:pPr>
            <w:r>
              <w:rPr>
                <w:rFonts w:hint="eastAsia"/>
                <w:color w:val="auto"/>
                <w:sz w:val="22"/>
                <w:szCs w:val="22"/>
                <w:highlight w:val="none"/>
              </w:rPr>
              <w:t>18.防护等级:密封、防水、防尘、防护达IP65:闸机组成:箱体/机芯/通道控制板/红外传感器/电源模块;</w:t>
            </w:r>
          </w:p>
          <w:p w14:paraId="7BAF608E">
            <w:pPr>
              <w:widowControl/>
              <w:spacing w:after="0" w:line="279" w:lineRule="auto"/>
              <w:jc w:val="left"/>
              <w:textAlignment w:val="center"/>
              <w:rPr>
                <w:color w:val="auto"/>
                <w:sz w:val="22"/>
                <w:szCs w:val="22"/>
                <w:highlight w:val="none"/>
              </w:rPr>
            </w:pPr>
            <w:r>
              <w:rPr>
                <w:rFonts w:hint="eastAsia"/>
                <w:color w:val="auto"/>
                <w:sz w:val="22"/>
                <w:szCs w:val="22"/>
                <w:highlight w:val="none"/>
              </w:rPr>
              <w:t>19.采用纯电动机芯匀速转动，直流无刷电机驱动，整个系统运行平稳、音小、无机械冲击，且具有遇阻返回机械防夹功能;</w:t>
            </w:r>
          </w:p>
          <w:p w14:paraId="70FB1302">
            <w:pPr>
              <w:widowControl/>
              <w:spacing w:after="0" w:line="279" w:lineRule="auto"/>
              <w:jc w:val="left"/>
              <w:textAlignment w:val="center"/>
              <w:rPr>
                <w:color w:val="auto"/>
                <w:sz w:val="22"/>
                <w:szCs w:val="22"/>
                <w:highlight w:val="none"/>
              </w:rPr>
            </w:pPr>
            <w:r>
              <w:rPr>
                <w:rFonts w:hint="eastAsia"/>
                <w:color w:val="auto"/>
                <w:sz w:val="22"/>
                <w:szCs w:val="22"/>
                <w:highlight w:val="none"/>
              </w:rPr>
              <w:t>20.具有故障自检和报警提示功能，方便用户维护及使用，可外接任何控制设备输出的控制信号或按钮或遥控，实现单双向控制通行。</w:t>
            </w:r>
          </w:p>
          <w:p w14:paraId="601FA567">
            <w:pPr>
              <w:widowControl/>
              <w:spacing w:after="0" w:line="279" w:lineRule="auto"/>
              <w:jc w:val="left"/>
              <w:textAlignment w:val="center"/>
              <w:rPr>
                <w:color w:val="auto"/>
                <w:sz w:val="22"/>
                <w:szCs w:val="22"/>
                <w:highlight w:val="none"/>
              </w:rPr>
            </w:pPr>
            <w:r>
              <w:rPr>
                <w:rFonts w:hint="eastAsia"/>
                <w:color w:val="auto"/>
                <w:sz w:val="22"/>
                <w:szCs w:val="22"/>
                <w:highlight w:val="none"/>
              </w:rPr>
              <w:t>22.自动复位功能:每摆动 90 度，并检测人和物体通过后，即自动复位，或在规定的时间内(延时多档可调)未通行时，系统将自动取消此次通行的权限而回归初始位。</w:t>
            </w:r>
          </w:p>
          <w:p w14:paraId="4FE12633">
            <w:pPr>
              <w:widowControl/>
              <w:spacing w:after="0" w:line="279" w:lineRule="auto"/>
              <w:jc w:val="left"/>
              <w:textAlignment w:val="center"/>
              <w:rPr>
                <w:color w:val="auto"/>
                <w:sz w:val="22"/>
                <w:szCs w:val="22"/>
                <w:highlight w:val="none"/>
              </w:rPr>
            </w:pPr>
            <w:r>
              <w:rPr>
                <w:rFonts w:hint="eastAsia"/>
                <w:color w:val="auto"/>
                <w:sz w:val="22"/>
                <w:szCs w:val="22"/>
                <w:highlight w:val="none"/>
              </w:rPr>
              <w:t>23.灯光指示:高亮度通行灯状态指示，指引通行。消防输入:可与消防报警信号连接，实现通道常开，信号撤销自动恢复报警提示功能:非法通行或冲闸时，自动发出报警提示。速度可调:摆臂打开及关闭的速度多级可调，用户可根据实际需求进行设定。</w:t>
            </w:r>
          </w:p>
          <w:p w14:paraId="166E00D5">
            <w:pPr>
              <w:widowControl/>
              <w:spacing w:after="0" w:line="279" w:lineRule="auto"/>
              <w:jc w:val="left"/>
              <w:textAlignment w:val="center"/>
              <w:rPr>
                <w:color w:val="auto"/>
                <w:sz w:val="22"/>
                <w:szCs w:val="22"/>
                <w:highlight w:val="none"/>
              </w:rPr>
            </w:pPr>
            <w:r>
              <w:rPr>
                <w:rFonts w:hint="eastAsia"/>
                <w:color w:val="auto"/>
                <w:sz w:val="22"/>
                <w:szCs w:val="22"/>
                <w:highlight w:val="none"/>
              </w:rPr>
              <w:t>24.工业级 ARM 控制系统，增设多功能数码设置、加密及复位等功能。防反转功能:在摆臂复位的过程中，如发生外力逆转摆臂，摆臂即自动启动反推力且发出报警，待外力消失后则自动回到零位恢复通行，自动保护功能:当外力阻止摆臂正常运动时，且外力连续不断，系统将自动检测 20 秒后自动保护并进入休眠状态。当下一次合法信号输入时，闸机将自动恢复正常。</w:t>
            </w:r>
          </w:p>
          <w:p w14:paraId="66BD4940">
            <w:pPr>
              <w:widowControl/>
              <w:spacing w:after="0" w:line="279" w:lineRule="auto"/>
              <w:jc w:val="left"/>
              <w:textAlignment w:val="center"/>
              <w:rPr>
                <w:color w:val="auto"/>
                <w:sz w:val="22"/>
                <w:szCs w:val="22"/>
                <w:highlight w:val="none"/>
              </w:rPr>
            </w:pPr>
            <w:r>
              <w:rPr>
                <w:rFonts w:hint="eastAsia"/>
                <w:color w:val="auto"/>
                <w:sz w:val="22"/>
                <w:szCs w:val="22"/>
                <w:highlight w:val="none"/>
              </w:rPr>
              <w:t>25.多级防撞缓冲功能:非法通行或冲闸时，闸杆缓冲相应角度且启动即时反推力，同时启动报警，在实现人性化防伤害的同时也大大减少了因经常或连续冲撞而产生的机械损坏。</w:t>
            </w:r>
          </w:p>
          <w:p w14:paraId="27040FFC">
            <w:pPr>
              <w:widowControl/>
              <w:spacing w:after="0" w:line="279" w:lineRule="auto"/>
              <w:jc w:val="left"/>
              <w:textAlignment w:val="center"/>
              <w:rPr>
                <w:rFonts w:ascii="宋体" w:hAnsi="宋体" w:cs="宋体"/>
                <w:color w:val="auto"/>
                <w:sz w:val="22"/>
                <w:szCs w:val="22"/>
                <w:highlight w:val="none"/>
              </w:rPr>
            </w:pPr>
            <w:r>
              <w:rPr>
                <w:rFonts w:hint="eastAsia"/>
                <w:color w:val="auto"/>
                <w:sz w:val="22"/>
                <w:szCs w:val="22"/>
                <w:highlight w:val="none"/>
              </w:rPr>
              <w:t>26.无人职守:断电摆臂自动常开，通电自动复位(阻挡通行)</w:t>
            </w:r>
          </w:p>
        </w:tc>
        <w:tc>
          <w:tcPr>
            <w:tcW w:w="780" w:type="dxa"/>
            <w:tcBorders>
              <w:top w:val="single" w:color="000000" w:sz="4" w:space="0"/>
              <w:left w:val="single" w:color="000000" w:sz="4" w:space="0"/>
              <w:bottom w:val="single" w:color="000000" w:sz="4" w:space="0"/>
              <w:right w:val="single" w:color="000000" w:sz="4" w:space="0"/>
            </w:tcBorders>
            <w:vAlign w:val="center"/>
          </w:tcPr>
          <w:p w14:paraId="766B08C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615" w:type="dxa"/>
            <w:tcBorders>
              <w:top w:val="single" w:color="000000" w:sz="4" w:space="0"/>
              <w:left w:val="single" w:color="000000" w:sz="4" w:space="0"/>
              <w:bottom w:val="single" w:color="000000" w:sz="4" w:space="0"/>
              <w:right w:val="single" w:color="000000" w:sz="4" w:space="0"/>
            </w:tcBorders>
            <w:vAlign w:val="center"/>
          </w:tcPr>
          <w:p w14:paraId="73A9DC7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1D4F6E04">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F1931DE">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3.3.2</w:t>
            </w:r>
          </w:p>
        </w:tc>
        <w:tc>
          <w:tcPr>
            <w:tcW w:w="1110" w:type="dxa"/>
            <w:tcBorders>
              <w:top w:val="single" w:color="000000" w:sz="4" w:space="0"/>
              <w:left w:val="single" w:color="000000" w:sz="4" w:space="0"/>
              <w:bottom w:val="single" w:color="000000" w:sz="4" w:space="0"/>
              <w:right w:val="single" w:color="000000" w:sz="4" w:space="0"/>
            </w:tcBorders>
            <w:vAlign w:val="center"/>
          </w:tcPr>
          <w:p w14:paraId="2C4D633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人员通行一体化摆闸右边道</w:t>
            </w:r>
          </w:p>
        </w:tc>
        <w:tc>
          <w:tcPr>
            <w:tcW w:w="6120" w:type="dxa"/>
            <w:tcBorders>
              <w:top w:val="single" w:color="000000" w:sz="4" w:space="0"/>
              <w:left w:val="single" w:color="000000" w:sz="4" w:space="0"/>
              <w:bottom w:val="single" w:color="000000" w:sz="4" w:space="0"/>
              <w:right w:val="single" w:color="000000" w:sz="4" w:space="0"/>
            </w:tcBorders>
            <w:vAlign w:val="center"/>
          </w:tcPr>
          <w:p w14:paraId="65DCDD2B">
            <w:pPr>
              <w:widowControl/>
              <w:spacing w:after="0" w:line="279" w:lineRule="auto"/>
              <w:jc w:val="left"/>
              <w:textAlignment w:val="center"/>
              <w:rPr>
                <w:color w:val="auto"/>
                <w:sz w:val="22"/>
                <w:szCs w:val="22"/>
                <w:highlight w:val="none"/>
              </w:rPr>
            </w:pPr>
            <w:r>
              <w:rPr>
                <w:rFonts w:hint="eastAsia"/>
                <w:color w:val="auto"/>
                <w:sz w:val="22"/>
                <w:szCs w:val="22"/>
                <w:highlight w:val="none"/>
              </w:rPr>
              <w:t>1.外观特征：简约圆弧机身；</w:t>
            </w:r>
          </w:p>
          <w:p w14:paraId="4F6D772E">
            <w:pPr>
              <w:widowControl/>
              <w:spacing w:after="0" w:line="279" w:lineRule="auto"/>
              <w:jc w:val="left"/>
              <w:textAlignment w:val="center"/>
              <w:rPr>
                <w:color w:val="auto"/>
                <w:sz w:val="22"/>
                <w:szCs w:val="22"/>
                <w:highlight w:val="none"/>
              </w:rPr>
            </w:pPr>
            <w:r>
              <w:rPr>
                <w:rFonts w:hint="eastAsia"/>
                <w:color w:val="auto"/>
                <w:sz w:val="22"/>
                <w:szCs w:val="22"/>
                <w:highlight w:val="none"/>
              </w:rPr>
              <w:t>2.尺寸：L1600*W180*H980mm；</w:t>
            </w:r>
          </w:p>
          <w:p w14:paraId="3DAE3B62">
            <w:pPr>
              <w:widowControl/>
              <w:spacing w:after="0" w:line="279" w:lineRule="auto"/>
              <w:jc w:val="left"/>
              <w:textAlignment w:val="center"/>
              <w:rPr>
                <w:color w:val="auto"/>
                <w:sz w:val="22"/>
                <w:szCs w:val="22"/>
                <w:highlight w:val="none"/>
              </w:rPr>
            </w:pPr>
            <w:r>
              <w:rPr>
                <w:rFonts w:hint="eastAsia"/>
                <w:color w:val="auto"/>
                <w:sz w:val="22"/>
                <w:szCs w:val="22"/>
                <w:highlight w:val="none"/>
              </w:rPr>
              <w:t>3.箱体材质：304拉丝不锈钢，顶盖厚度1.0mm,机身厚度0.8mm；</w:t>
            </w:r>
          </w:p>
          <w:p w14:paraId="6D18F8A3">
            <w:pPr>
              <w:widowControl/>
              <w:spacing w:after="0" w:line="279" w:lineRule="auto"/>
              <w:jc w:val="left"/>
              <w:textAlignment w:val="center"/>
              <w:rPr>
                <w:color w:val="auto"/>
                <w:sz w:val="22"/>
                <w:szCs w:val="22"/>
                <w:highlight w:val="none"/>
              </w:rPr>
            </w:pPr>
            <w:r>
              <w:rPr>
                <w:rFonts w:hint="eastAsia"/>
                <w:color w:val="auto"/>
                <w:sz w:val="22"/>
                <w:szCs w:val="22"/>
                <w:highlight w:val="none"/>
              </w:rPr>
              <w:t>4.摆臂材质：亚克力/不锈钢摆臂（可选）；</w:t>
            </w:r>
          </w:p>
          <w:p w14:paraId="3E729AFD">
            <w:pPr>
              <w:widowControl/>
              <w:spacing w:after="0" w:line="279" w:lineRule="auto"/>
              <w:jc w:val="left"/>
              <w:textAlignment w:val="center"/>
              <w:rPr>
                <w:color w:val="auto"/>
                <w:sz w:val="22"/>
                <w:szCs w:val="22"/>
                <w:highlight w:val="none"/>
              </w:rPr>
            </w:pPr>
            <w:r>
              <w:rPr>
                <w:rFonts w:hint="eastAsia"/>
                <w:color w:val="auto"/>
                <w:sz w:val="22"/>
                <w:szCs w:val="22"/>
                <w:highlight w:val="none"/>
              </w:rPr>
              <w:t>5.基本功能：双向读卡、双向刷卡指示灯、断电自动开闸、具有防夹功能、具有防尾随功能；</w:t>
            </w:r>
          </w:p>
          <w:p w14:paraId="183FAB4F">
            <w:pPr>
              <w:widowControl/>
              <w:spacing w:after="0" w:line="279" w:lineRule="auto"/>
              <w:jc w:val="left"/>
              <w:textAlignment w:val="center"/>
              <w:rPr>
                <w:color w:val="auto"/>
                <w:sz w:val="22"/>
                <w:szCs w:val="22"/>
                <w:highlight w:val="none"/>
              </w:rPr>
            </w:pPr>
            <w:r>
              <w:rPr>
                <w:rFonts w:hint="eastAsia"/>
                <w:color w:val="auto"/>
                <w:sz w:val="22"/>
                <w:szCs w:val="22"/>
                <w:highlight w:val="none"/>
              </w:rPr>
              <w:t>6.工作模式：合法通行自动关闸，常开、常闭任选；</w:t>
            </w:r>
          </w:p>
          <w:p w14:paraId="57A737D6">
            <w:pPr>
              <w:widowControl/>
              <w:spacing w:after="0" w:line="279" w:lineRule="auto"/>
              <w:jc w:val="left"/>
              <w:textAlignment w:val="center"/>
              <w:rPr>
                <w:color w:val="auto"/>
                <w:sz w:val="22"/>
                <w:szCs w:val="22"/>
                <w:highlight w:val="none"/>
              </w:rPr>
            </w:pPr>
            <w:r>
              <w:rPr>
                <w:rFonts w:hint="eastAsia"/>
                <w:color w:val="auto"/>
                <w:sz w:val="22"/>
                <w:szCs w:val="22"/>
                <w:highlight w:val="none"/>
              </w:rPr>
              <w:t>7.驱动方式：采用直流无刷电机驱动，单机芯；</w:t>
            </w:r>
          </w:p>
          <w:p w14:paraId="4C66D310">
            <w:pPr>
              <w:widowControl/>
              <w:spacing w:after="0" w:line="279" w:lineRule="auto"/>
              <w:jc w:val="left"/>
              <w:textAlignment w:val="center"/>
              <w:rPr>
                <w:color w:val="auto"/>
                <w:sz w:val="22"/>
                <w:szCs w:val="22"/>
                <w:highlight w:val="none"/>
              </w:rPr>
            </w:pPr>
            <w:r>
              <w:rPr>
                <w:rFonts w:hint="eastAsia"/>
                <w:color w:val="auto"/>
                <w:sz w:val="22"/>
                <w:szCs w:val="22"/>
                <w:highlight w:val="none"/>
              </w:rPr>
              <w:t>8.每个通道闸机有安装4对红外;</w:t>
            </w:r>
          </w:p>
          <w:p w14:paraId="0E90AA75">
            <w:pPr>
              <w:widowControl/>
              <w:spacing w:after="0" w:line="279" w:lineRule="auto"/>
              <w:jc w:val="left"/>
              <w:textAlignment w:val="center"/>
              <w:rPr>
                <w:color w:val="auto"/>
                <w:sz w:val="22"/>
                <w:szCs w:val="22"/>
                <w:highlight w:val="none"/>
              </w:rPr>
            </w:pPr>
            <w:r>
              <w:rPr>
                <w:rFonts w:hint="eastAsia"/>
                <w:color w:val="auto"/>
                <w:sz w:val="22"/>
                <w:szCs w:val="22"/>
                <w:highlight w:val="none"/>
              </w:rPr>
              <w:t>9.通道宽度：不大于1200mm；亚克力摆臂：不大于900，不锈钢摆臂：900-1200；</w:t>
            </w:r>
          </w:p>
          <w:p w14:paraId="412662EE">
            <w:pPr>
              <w:widowControl/>
              <w:spacing w:after="0" w:line="279" w:lineRule="auto"/>
              <w:jc w:val="left"/>
              <w:textAlignment w:val="center"/>
              <w:rPr>
                <w:color w:val="auto"/>
                <w:sz w:val="22"/>
                <w:szCs w:val="22"/>
                <w:highlight w:val="none"/>
              </w:rPr>
            </w:pPr>
            <w:r>
              <w:rPr>
                <w:rFonts w:hint="eastAsia"/>
                <w:color w:val="auto"/>
                <w:sz w:val="22"/>
                <w:szCs w:val="22"/>
                <w:highlight w:val="none"/>
              </w:rPr>
              <w:t>10.工作环境：室内/室外（防水台）。</w:t>
            </w:r>
          </w:p>
          <w:p w14:paraId="5D29D365">
            <w:pPr>
              <w:widowControl/>
              <w:spacing w:after="0" w:line="279" w:lineRule="auto"/>
              <w:jc w:val="left"/>
              <w:textAlignment w:val="center"/>
              <w:rPr>
                <w:color w:val="auto"/>
                <w:sz w:val="22"/>
                <w:szCs w:val="22"/>
                <w:highlight w:val="none"/>
              </w:rPr>
            </w:pPr>
            <w:r>
              <w:rPr>
                <w:rFonts w:hint="eastAsia"/>
                <w:color w:val="auto"/>
                <w:sz w:val="22"/>
                <w:szCs w:val="22"/>
                <w:highlight w:val="none"/>
              </w:rPr>
              <w:t>11.电源输入:AC220V+10% 50HZ电源输出:供电模块 24V;</w:t>
            </w:r>
          </w:p>
          <w:p w14:paraId="4B5A7B83">
            <w:pPr>
              <w:widowControl/>
              <w:spacing w:after="0" w:line="279" w:lineRule="auto"/>
              <w:jc w:val="left"/>
              <w:textAlignment w:val="center"/>
              <w:rPr>
                <w:color w:val="auto"/>
                <w:sz w:val="22"/>
                <w:szCs w:val="22"/>
                <w:highlight w:val="none"/>
              </w:rPr>
            </w:pPr>
            <w:r>
              <w:rPr>
                <w:rFonts w:hint="eastAsia"/>
                <w:color w:val="auto"/>
                <w:sz w:val="22"/>
                <w:szCs w:val="22"/>
                <w:highlight w:val="none"/>
              </w:rPr>
              <w:t>12.电机功率:40W;</w:t>
            </w:r>
          </w:p>
          <w:p w14:paraId="62C8EE9F">
            <w:pPr>
              <w:widowControl/>
              <w:spacing w:after="0" w:line="279" w:lineRule="auto"/>
              <w:jc w:val="left"/>
              <w:textAlignment w:val="center"/>
              <w:rPr>
                <w:color w:val="auto"/>
                <w:sz w:val="22"/>
                <w:szCs w:val="22"/>
                <w:highlight w:val="none"/>
              </w:rPr>
            </w:pPr>
            <w:r>
              <w:rPr>
                <w:rFonts w:hint="eastAsia"/>
                <w:color w:val="auto"/>
                <w:sz w:val="22"/>
                <w:szCs w:val="22"/>
                <w:highlight w:val="none"/>
              </w:rPr>
              <w:t>13.整体功率:单机芯 100W，双机芯 200W驱动方式:采用直流无刷电机驱动;</w:t>
            </w:r>
          </w:p>
          <w:p w14:paraId="56AF77D4">
            <w:pPr>
              <w:widowControl/>
              <w:spacing w:after="0" w:line="279" w:lineRule="auto"/>
              <w:jc w:val="left"/>
              <w:textAlignment w:val="center"/>
              <w:rPr>
                <w:color w:val="auto"/>
                <w:sz w:val="22"/>
                <w:szCs w:val="22"/>
                <w:highlight w:val="none"/>
              </w:rPr>
            </w:pPr>
            <w:r>
              <w:rPr>
                <w:rFonts w:hint="eastAsia"/>
                <w:color w:val="auto"/>
                <w:sz w:val="22"/>
                <w:szCs w:val="22"/>
                <w:highlight w:val="none"/>
              </w:rPr>
              <w:t>上位机通讯接口:RS232 串口使用寿命:连续转动 500 万次以上无故障通行速度:30-40 人/分钟;</w:t>
            </w:r>
          </w:p>
          <w:p w14:paraId="436DD404">
            <w:pPr>
              <w:widowControl/>
              <w:spacing w:after="0" w:line="279" w:lineRule="auto"/>
              <w:jc w:val="left"/>
              <w:textAlignment w:val="center"/>
              <w:rPr>
                <w:color w:val="auto"/>
                <w:sz w:val="22"/>
                <w:szCs w:val="22"/>
                <w:highlight w:val="none"/>
              </w:rPr>
            </w:pPr>
            <w:r>
              <w:rPr>
                <w:rFonts w:hint="eastAsia"/>
                <w:color w:val="auto"/>
                <w:sz w:val="22"/>
                <w:szCs w:val="22"/>
                <w:highlight w:val="none"/>
              </w:rPr>
              <w:t>.14.闸门开、关时间:1-2秒;</w:t>
            </w:r>
          </w:p>
          <w:p w14:paraId="42A3FF9D">
            <w:pPr>
              <w:widowControl/>
              <w:spacing w:after="0" w:line="279" w:lineRule="auto"/>
              <w:jc w:val="left"/>
              <w:textAlignment w:val="center"/>
              <w:rPr>
                <w:color w:val="auto"/>
                <w:sz w:val="22"/>
                <w:szCs w:val="22"/>
                <w:highlight w:val="none"/>
              </w:rPr>
            </w:pPr>
            <w:r>
              <w:rPr>
                <w:rFonts w:hint="eastAsia"/>
                <w:color w:val="auto"/>
                <w:sz w:val="22"/>
                <w:szCs w:val="22"/>
                <w:highlight w:val="none"/>
              </w:rPr>
              <w:t>上电后进入通行状态所需时间:3 秒出现故障后的自动复位时间:10秒工作环境:室内、室外(防水台);</w:t>
            </w:r>
          </w:p>
          <w:p w14:paraId="6011B5FA">
            <w:pPr>
              <w:widowControl/>
              <w:spacing w:after="0" w:line="279" w:lineRule="auto"/>
              <w:jc w:val="left"/>
              <w:textAlignment w:val="center"/>
              <w:rPr>
                <w:color w:val="auto"/>
                <w:sz w:val="22"/>
                <w:szCs w:val="22"/>
                <w:highlight w:val="none"/>
              </w:rPr>
            </w:pPr>
            <w:r>
              <w:rPr>
                <w:rFonts w:hint="eastAsia"/>
                <w:color w:val="auto"/>
                <w:sz w:val="22"/>
                <w:szCs w:val="22"/>
                <w:highlight w:val="none"/>
              </w:rPr>
              <w:t>15.温度:-10℃-60℃;</w:t>
            </w:r>
          </w:p>
          <w:p w14:paraId="2CF8D0B7">
            <w:pPr>
              <w:widowControl/>
              <w:spacing w:after="0" w:line="279" w:lineRule="auto"/>
              <w:jc w:val="left"/>
              <w:textAlignment w:val="center"/>
              <w:rPr>
                <w:color w:val="auto"/>
                <w:sz w:val="22"/>
                <w:szCs w:val="22"/>
                <w:highlight w:val="none"/>
              </w:rPr>
            </w:pPr>
            <w:r>
              <w:rPr>
                <w:rFonts w:hint="eastAsia"/>
                <w:color w:val="auto"/>
                <w:sz w:val="22"/>
                <w:szCs w:val="22"/>
                <w:highlight w:val="none"/>
              </w:rPr>
              <w:t>16.相对湿度:≤90%不凝露;</w:t>
            </w:r>
          </w:p>
          <w:p w14:paraId="38299DAA">
            <w:pPr>
              <w:widowControl/>
              <w:spacing w:after="0" w:line="279" w:lineRule="auto"/>
              <w:jc w:val="left"/>
              <w:textAlignment w:val="center"/>
              <w:rPr>
                <w:color w:val="auto"/>
                <w:sz w:val="22"/>
                <w:szCs w:val="22"/>
                <w:highlight w:val="none"/>
              </w:rPr>
            </w:pPr>
            <w:r>
              <w:rPr>
                <w:rFonts w:hint="eastAsia"/>
                <w:color w:val="auto"/>
                <w:sz w:val="22"/>
                <w:szCs w:val="22"/>
                <w:highlight w:val="none"/>
              </w:rPr>
              <w:t>17.通行模式:单/双向通行;</w:t>
            </w:r>
          </w:p>
          <w:p w14:paraId="73951F3D">
            <w:pPr>
              <w:widowControl/>
              <w:spacing w:after="0" w:line="279" w:lineRule="auto"/>
              <w:jc w:val="left"/>
              <w:textAlignment w:val="center"/>
              <w:rPr>
                <w:color w:val="auto"/>
                <w:sz w:val="22"/>
                <w:szCs w:val="22"/>
                <w:highlight w:val="none"/>
              </w:rPr>
            </w:pPr>
            <w:r>
              <w:rPr>
                <w:rFonts w:hint="eastAsia"/>
                <w:color w:val="auto"/>
                <w:sz w:val="22"/>
                <w:szCs w:val="22"/>
                <w:highlight w:val="none"/>
              </w:rPr>
              <w:t>18.防护等级:密封、防水、防尘、防护达IP65:闸机组成:箱体/机芯/通道控制板/红外传感器/电源模块;</w:t>
            </w:r>
          </w:p>
          <w:p w14:paraId="1B03C8B6">
            <w:pPr>
              <w:widowControl/>
              <w:spacing w:after="0" w:line="279" w:lineRule="auto"/>
              <w:jc w:val="left"/>
              <w:textAlignment w:val="center"/>
              <w:rPr>
                <w:color w:val="auto"/>
                <w:sz w:val="22"/>
                <w:szCs w:val="22"/>
                <w:highlight w:val="none"/>
              </w:rPr>
            </w:pPr>
            <w:r>
              <w:rPr>
                <w:rFonts w:hint="eastAsia"/>
                <w:color w:val="auto"/>
                <w:sz w:val="22"/>
                <w:szCs w:val="22"/>
                <w:highlight w:val="none"/>
              </w:rPr>
              <w:t>19.采用纯电动机芯匀速转动，直流无刷电机驱动，整个系统运行平稳、音小、无机械冲击，且具有遇阻返回机械防夹功能;</w:t>
            </w:r>
          </w:p>
          <w:p w14:paraId="464C33C1">
            <w:pPr>
              <w:widowControl/>
              <w:spacing w:after="0" w:line="279" w:lineRule="auto"/>
              <w:jc w:val="left"/>
              <w:textAlignment w:val="center"/>
              <w:rPr>
                <w:color w:val="auto"/>
                <w:sz w:val="22"/>
                <w:szCs w:val="22"/>
                <w:highlight w:val="none"/>
              </w:rPr>
            </w:pPr>
            <w:r>
              <w:rPr>
                <w:rFonts w:hint="eastAsia"/>
                <w:color w:val="auto"/>
                <w:sz w:val="22"/>
                <w:szCs w:val="22"/>
                <w:highlight w:val="none"/>
              </w:rPr>
              <w:t>20.具有故障自检和报警提示功能，方便用户维护及使用，可外接任何控制设备输出的控制信号或按钮或遥控，实现单双向控制通行。</w:t>
            </w:r>
          </w:p>
          <w:p w14:paraId="2B1946DE">
            <w:pPr>
              <w:widowControl/>
              <w:spacing w:after="0" w:line="279" w:lineRule="auto"/>
              <w:jc w:val="left"/>
              <w:textAlignment w:val="center"/>
              <w:rPr>
                <w:color w:val="auto"/>
                <w:sz w:val="22"/>
                <w:szCs w:val="22"/>
                <w:highlight w:val="none"/>
              </w:rPr>
            </w:pPr>
            <w:r>
              <w:rPr>
                <w:rFonts w:hint="eastAsia"/>
                <w:color w:val="auto"/>
                <w:sz w:val="22"/>
                <w:szCs w:val="22"/>
                <w:highlight w:val="none"/>
              </w:rPr>
              <w:t>22.自动复位功能:每摆动 90 度，并检测人和物体通过后，即自动复位，或在规定的时间内(延时多档可调)未通行时，系统将自动取消此次通行的权限而回归初始位。</w:t>
            </w:r>
          </w:p>
          <w:p w14:paraId="26A99B10">
            <w:pPr>
              <w:widowControl/>
              <w:spacing w:after="0" w:line="279" w:lineRule="auto"/>
              <w:jc w:val="left"/>
              <w:textAlignment w:val="center"/>
              <w:rPr>
                <w:color w:val="auto"/>
                <w:sz w:val="22"/>
                <w:szCs w:val="22"/>
                <w:highlight w:val="none"/>
              </w:rPr>
            </w:pPr>
            <w:r>
              <w:rPr>
                <w:rFonts w:hint="eastAsia"/>
                <w:color w:val="auto"/>
                <w:sz w:val="22"/>
                <w:szCs w:val="22"/>
                <w:highlight w:val="none"/>
              </w:rPr>
              <w:t>23.灯光指示:高亮度通行灯状态指示，指引通行。消防输入:可与消防报警信号连接，实现通道常开，信号撤销自动恢复报警提示功能:非法通行或冲闸时，自动发出报警提示。速度可调:摆臂打开及关闭的速度多级可调，用户可根据实际需求进行设定。</w:t>
            </w:r>
          </w:p>
          <w:p w14:paraId="54F1FCD3">
            <w:pPr>
              <w:widowControl/>
              <w:spacing w:after="0" w:line="279" w:lineRule="auto"/>
              <w:jc w:val="left"/>
              <w:textAlignment w:val="center"/>
              <w:rPr>
                <w:color w:val="auto"/>
                <w:sz w:val="22"/>
                <w:szCs w:val="22"/>
                <w:highlight w:val="none"/>
              </w:rPr>
            </w:pPr>
            <w:r>
              <w:rPr>
                <w:rFonts w:hint="eastAsia"/>
                <w:color w:val="auto"/>
                <w:sz w:val="22"/>
                <w:szCs w:val="22"/>
                <w:highlight w:val="none"/>
              </w:rPr>
              <w:t>24.工业级 ARM 控制系统，增设多功能数码设置、加密及复位等功能。防反转功能:在摆臂复位的过程中，如发生外力逆转摆臂，摆臂即自动启动反推力且发出报警，待外力消失后则自动回到零位恢复通行，自动保护功能:当外力阻止摆臂正常运动时，且外力连续不断，系统将自动检测 20 秒后自动保护并进入休眠状态。当下一次合法信号输入时，闸机将自动恢复正常。</w:t>
            </w:r>
          </w:p>
          <w:p w14:paraId="28E99805">
            <w:pPr>
              <w:widowControl/>
              <w:spacing w:after="0" w:line="279" w:lineRule="auto"/>
              <w:jc w:val="left"/>
              <w:textAlignment w:val="center"/>
              <w:rPr>
                <w:color w:val="auto"/>
                <w:sz w:val="22"/>
                <w:szCs w:val="22"/>
                <w:highlight w:val="none"/>
              </w:rPr>
            </w:pPr>
            <w:r>
              <w:rPr>
                <w:rFonts w:hint="eastAsia"/>
                <w:color w:val="auto"/>
                <w:sz w:val="22"/>
                <w:szCs w:val="22"/>
                <w:highlight w:val="none"/>
              </w:rPr>
              <w:t>25.多级防撞缓冲功能:非法通行或冲闸时，闸杆缓冲相应角度且启动即时反推力，同时启动报警，在实现人性化防伤害的同时也大大减少了因经常或连续冲撞而产生的机械损坏。</w:t>
            </w:r>
          </w:p>
          <w:p w14:paraId="3C7B14E6">
            <w:pPr>
              <w:widowControl/>
              <w:spacing w:after="0" w:line="279" w:lineRule="auto"/>
              <w:jc w:val="left"/>
              <w:textAlignment w:val="center"/>
              <w:rPr>
                <w:rFonts w:ascii="宋体" w:hAnsi="宋体" w:cs="宋体"/>
                <w:color w:val="auto"/>
                <w:sz w:val="22"/>
                <w:szCs w:val="22"/>
                <w:highlight w:val="none"/>
              </w:rPr>
            </w:pPr>
            <w:r>
              <w:rPr>
                <w:rFonts w:hint="eastAsia"/>
                <w:color w:val="auto"/>
                <w:sz w:val="22"/>
                <w:szCs w:val="22"/>
                <w:highlight w:val="none"/>
              </w:rPr>
              <w:t>27.无人职守:断电摆臂自动常开，通电自动复位(阻挡通行)</w:t>
            </w:r>
          </w:p>
        </w:tc>
        <w:tc>
          <w:tcPr>
            <w:tcW w:w="780" w:type="dxa"/>
            <w:tcBorders>
              <w:top w:val="single" w:color="000000" w:sz="4" w:space="0"/>
              <w:left w:val="single" w:color="000000" w:sz="4" w:space="0"/>
              <w:bottom w:val="single" w:color="000000" w:sz="4" w:space="0"/>
              <w:right w:val="single" w:color="000000" w:sz="4" w:space="0"/>
            </w:tcBorders>
            <w:vAlign w:val="center"/>
          </w:tcPr>
          <w:p w14:paraId="3E150B6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615" w:type="dxa"/>
            <w:tcBorders>
              <w:top w:val="single" w:color="000000" w:sz="4" w:space="0"/>
              <w:left w:val="single" w:color="000000" w:sz="4" w:space="0"/>
              <w:bottom w:val="single" w:color="000000" w:sz="4" w:space="0"/>
              <w:right w:val="single" w:color="000000" w:sz="4" w:space="0"/>
            </w:tcBorders>
            <w:vAlign w:val="center"/>
          </w:tcPr>
          <w:p w14:paraId="7137BB4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78B230CC">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5ED0CD02">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3.3.3</w:t>
            </w:r>
          </w:p>
        </w:tc>
        <w:tc>
          <w:tcPr>
            <w:tcW w:w="1110" w:type="dxa"/>
            <w:tcBorders>
              <w:top w:val="single" w:color="000000" w:sz="4" w:space="0"/>
              <w:left w:val="single" w:color="000000" w:sz="4" w:space="0"/>
              <w:bottom w:val="single" w:color="000000" w:sz="4" w:space="0"/>
              <w:right w:val="single" w:color="000000" w:sz="4" w:space="0"/>
            </w:tcBorders>
            <w:vAlign w:val="center"/>
          </w:tcPr>
          <w:p w14:paraId="68CC21FE">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访客机</w:t>
            </w:r>
          </w:p>
        </w:tc>
        <w:tc>
          <w:tcPr>
            <w:tcW w:w="6120" w:type="dxa"/>
            <w:tcBorders>
              <w:top w:val="single" w:color="000000" w:sz="4" w:space="0"/>
              <w:left w:val="single" w:color="000000" w:sz="4" w:space="0"/>
              <w:bottom w:val="single" w:color="000000" w:sz="4" w:space="0"/>
              <w:right w:val="single" w:color="000000" w:sz="4" w:space="0"/>
            </w:tcBorders>
            <w:vAlign w:val="center"/>
          </w:tcPr>
          <w:p w14:paraId="667087C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主屏幕：带触摸屏，全视角， 15.6英寸（分辨率1920*1080）；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副屏幕：不带触屏，全视角， 12.1英寸（分辨率 1600*900）；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宽动态摄像头：装在副屏上方 RGB 分辨率 300万像素 上下角度可调，光圈 F2.4，焦距 3.0MM，自动白平衡， 水平广角 57度，垂直广角 88度；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身份证阅读模块：可自动找卡、实时读取和显示第二代、第三代身份证的文字和照片、指纹信息；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操作系统： Android ；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相对湿度： 0%-90%（在不凝结水滴状态下）；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工作温度： 0°C～45°C 存储温度 -20°C～70°C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接口： USB Type-A *2 RJ45 LAN口*1 Micro-USB调试口*1 DC电源口*1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扬声器 3W*1；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通讯方式：以太网/WIFI；</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打印机: 类别 58热敏打印机 打印速度 70mm/s Max，标配1卷纸。</w:t>
            </w:r>
          </w:p>
        </w:tc>
        <w:tc>
          <w:tcPr>
            <w:tcW w:w="780" w:type="dxa"/>
            <w:tcBorders>
              <w:top w:val="single" w:color="000000" w:sz="4" w:space="0"/>
              <w:left w:val="single" w:color="000000" w:sz="4" w:space="0"/>
              <w:bottom w:val="single" w:color="000000" w:sz="4" w:space="0"/>
              <w:right w:val="single" w:color="000000" w:sz="4" w:space="0"/>
            </w:tcBorders>
            <w:vAlign w:val="center"/>
          </w:tcPr>
          <w:p w14:paraId="776FCED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4DA5C89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2845CB1E">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995634A">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3.3.4</w:t>
            </w:r>
          </w:p>
        </w:tc>
        <w:tc>
          <w:tcPr>
            <w:tcW w:w="1110" w:type="dxa"/>
            <w:tcBorders>
              <w:top w:val="single" w:color="000000" w:sz="4" w:space="0"/>
              <w:left w:val="single" w:color="000000" w:sz="4" w:space="0"/>
              <w:bottom w:val="single" w:color="000000" w:sz="4" w:space="0"/>
              <w:right w:val="single" w:color="000000" w:sz="4" w:space="0"/>
            </w:tcBorders>
            <w:vAlign w:val="center"/>
          </w:tcPr>
          <w:p w14:paraId="45B06E5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人脸识别设备</w:t>
            </w:r>
          </w:p>
        </w:tc>
        <w:tc>
          <w:tcPr>
            <w:tcW w:w="6120" w:type="dxa"/>
            <w:tcBorders>
              <w:top w:val="single" w:color="000000" w:sz="4" w:space="0"/>
              <w:left w:val="single" w:color="000000" w:sz="4" w:space="0"/>
              <w:bottom w:val="single" w:color="000000" w:sz="4" w:space="0"/>
              <w:right w:val="single" w:color="000000" w:sz="4" w:space="0"/>
            </w:tcBorders>
            <w:vAlign w:val="center"/>
          </w:tcPr>
          <w:p w14:paraId="141D2C5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屏幕尺寸：采用8英寸IPS高清触摸屏；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安装方式：闸机；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验证方式：人脸、刷卡、密码、二维码（电子）卡加人脸组合认证；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操作系统：Android；</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人脸算法：独有的人脸识别算法，精准识别人脸，支持双目活体检测技术，真人防假；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屏幕尺寸：8英寸IPS高清显示屏，分辨率1280*800；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摄像头：可见光和近红外双目摄像头，200万有效像素，1920*1080；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补光灯：红外补光、白色补光；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读卡模块：13．56MHz，可读M1、CPU卡(非本公司卡片需要验证读卡功能)可读卡流水号；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通讯接口：1 个 RJ45 10M / 100M 自适应以太网口；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常用接口：韦根输出、门锁输出（NO\COM）；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扩展接口： USB口、1路扩展485通讯接口；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工作温度：-20℃~ 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工作湿度：5~90%,相对湿度,无冷凝；</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防护等级：室内IP65级防水、防尘。</w:t>
            </w:r>
          </w:p>
        </w:tc>
        <w:tc>
          <w:tcPr>
            <w:tcW w:w="780" w:type="dxa"/>
            <w:tcBorders>
              <w:top w:val="single" w:color="000000" w:sz="4" w:space="0"/>
              <w:left w:val="single" w:color="000000" w:sz="4" w:space="0"/>
              <w:bottom w:val="single" w:color="000000" w:sz="4" w:space="0"/>
              <w:right w:val="single" w:color="000000" w:sz="4" w:space="0"/>
            </w:tcBorders>
            <w:vAlign w:val="center"/>
          </w:tcPr>
          <w:p w14:paraId="776E9F2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615" w:type="dxa"/>
            <w:tcBorders>
              <w:top w:val="single" w:color="000000" w:sz="4" w:space="0"/>
              <w:left w:val="single" w:color="000000" w:sz="4" w:space="0"/>
              <w:bottom w:val="single" w:color="000000" w:sz="4" w:space="0"/>
              <w:right w:val="single" w:color="000000" w:sz="4" w:space="0"/>
            </w:tcBorders>
            <w:vAlign w:val="center"/>
          </w:tcPr>
          <w:p w14:paraId="741C833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6B879C4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345A4B87">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3.3.5</w:t>
            </w:r>
          </w:p>
        </w:tc>
        <w:tc>
          <w:tcPr>
            <w:tcW w:w="1110" w:type="dxa"/>
            <w:tcBorders>
              <w:top w:val="single" w:color="000000" w:sz="4" w:space="0"/>
              <w:left w:val="single" w:color="000000" w:sz="4" w:space="0"/>
              <w:bottom w:val="single" w:color="000000" w:sz="4" w:space="0"/>
              <w:right w:val="single" w:color="000000" w:sz="4" w:space="0"/>
            </w:tcBorders>
            <w:vAlign w:val="center"/>
          </w:tcPr>
          <w:p w14:paraId="1484AD0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人脸识别防雨罩</w:t>
            </w:r>
          </w:p>
        </w:tc>
        <w:tc>
          <w:tcPr>
            <w:tcW w:w="6120" w:type="dxa"/>
            <w:tcBorders>
              <w:top w:val="single" w:color="000000" w:sz="4" w:space="0"/>
              <w:left w:val="single" w:color="000000" w:sz="4" w:space="0"/>
              <w:bottom w:val="single" w:color="000000" w:sz="4" w:space="0"/>
              <w:right w:val="single" w:color="000000" w:sz="4" w:space="0"/>
            </w:tcBorders>
            <w:vAlign w:val="center"/>
          </w:tcPr>
          <w:p w14:paraId="2369047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主体采用亚克力透明材料，顶部做了黑色丝印；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尺寸与人脸识别设备适配；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防水，前方和顶部尽可能的大面积遮挡；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防晒，顶部黑色丝印，遮挡阳光照射；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前面安装维护门，兼容触屏和非触屏款；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结实耐用，3mm厚的板材加上强粘合技术，不易开胶。</w:t>
            </w:r>
          </w:p>
        </w:tc>
        <w:tc>
          <w:tcPr>
            <w:tcW w:w="780" w:type="dxa"/>
            <w:tcBorders>
              <w:top w:val="single" w:color="000000" w:sz="4" w:space="0"/>
              <w:left w:val="single" w:color="000000" w:sz="4" w:space="0"/>
              <w:bottom w:val="single" w:color="000000" w:sz="4" w:space="0"/>
              <w:right w:val="single" w:color="000000" w:sz="4" w:space="0"/>
            </w:tcBorders>
            <w:vAlign w:val="center"/>
          </w:tcPr>
          <w:p w14:paraId="3C4CCAF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615" w:type="dxa"/>
            <w:tcBorders>
              <w:top w:val="single" w:color="000000" w:sz="4" w:space="0"/>
              <w:left w:val="single" w:color="000000" w:sz="4" w:space="0"/>
              <w:bottom w:val="single" w:color="000000" w:sz="4" w:space="0"/>
              <w:right w:val="single" w:color="000000" w:sz="4" w:space="0"/>
            </w:tcBorders>
            <w:vAlign w:val="center"/>
          </w:tcPr>
          <w:p w14:paraId="492D694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r>
      <w:tr w14:paraId="6D56601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6EF7F6E">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3.3.6</w:t>
            </w:r>
          </w:p>
        </w:tc>
        <w:tc>
          <w:tcPr>
            <w:tcW w:w="1110" w:type="dxa"/>
            <w:tcBorders>
              <w:top w:val="single" w:color="000000" w:sz="4" w:space="0"/>
              <w:left w:val="single" w:color="000000" w:sz="4" w:space="0"/>
              <w:bottom w:val="single" w:color="000000" w:sz="4" w:space="0"/>
              <w:right w:val="single" w:color="000000" w:sz="4" w:space="0"/>
            </w:tcBorders>
            <w:vAlign w:val="center"/>
          </w:tcPr>
          <w:p w14:paraId="331926A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发卡器</w:t>
            </w:r>
          </w:p>
        </w:tc>
        <w:tc>
          <w:tcPr>
            <w:tcW w:w="6120" w:type="dxa"/>
            <w:tcBorders>
              <w:top w:val="single" w:color="000000" w:sz="4" w:space="0"/>
              <w:left w:val="single" w:color="000000" w:sz="4" w:space="0"/>
              <w:bottom w:val="single" w:color="000000" w:sz="4" w:space="0"/>
              <w:right w:val="single" w:color="000000" w:sz="4" w:space="0"/>
            </w:tcBorders>
            <w:vAlign w:val="center"/>
          </w:tcPr>
          <w:p w14:paraId="5A58830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USB通讯，可发IC/CPU卡，工作频率13.56MHz，读写时间小于0.3S，感应距离大于30MM，最大功耗6W。应提供CE认证证书。</w:t>
            </w:r>
          </w:p>
        </w:tc>
        <w:tc>
          <w:tcPr>
            <w:tcW w:w="780" w:type="dxa"/>
            <w:tcBorders>
              <w:top w:val="single" w:color="000000" w:sz="4" w:space="0"/>
              <w:left w:val="single" w:color="000000" w:sz="4" w:space="0"/>
              <w:bottom w:val="single" w:color="000000" w:sz="4" w:space="0"/>
              <w:right w:val="single" w:color="000000" w:sz="4" w:space="0"/>
            </w:tcBorders>
            <w:vAlign w:val="center"/>
          </w:tcPr>
          <w:p w14:paraId="18A16D1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283A2B0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2A5DB905">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5B19C9B4">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3.3.7</w:t>
            </w:r>
          </w:p>
        </w:tc>
        <w:tc>
          <w:tcPr>
            <w:tcW w:w="1110" w:type="dxa"/>
            <w:tcBorders>
              <w:top w:val="single" w:color="000000" w:sz="4" w:space="0"/>
              <w:left w:val="single" w:color="000000" w:sz="4" w:space="0"/>
              <w:bottom w:val="single" w:color="000000" w:sz="4" w:space="0"/>
              <w:right w:val="single" w:color="000000" w:sz="4" w:space="0"/>
            </w:tcBorders>
            <w:vAlign w:val="center"/>
          </w:tcPr>
          <w:p w14:paraId="2E4D2BD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IC卡</w:t>
            </w:r>
          </w:p>
        </w:tc>
        <w:tc>
          <w:tcPr>
            <w:tcW w:w="6120" w:type="dxa"/>
            <w:tcBorders>
              <w:top w:val="single" w:color="000000" w:sz="4" w:space="0"/>
              <w:left w:val="single" w:color="000000" w:sz="4" w:space="0"/>
              <w:bottom w:val="single" w:color="000000" w:sz="4" w:space="0"/>
              <w:right w:val="single" w:color="000000" w:sz="4" w:space="0"/>
            </w:tcBorders>
            <w:vAlign w:val="center"/>
          </w:tcPr>
          <w:p w14:paraId="19C5792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规格：</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国产S50非接触卡，卡内芯片容量为1K x 8 bits，具有安全保护结构的16个独立的扇区，支持多种应用，符合ISO14443 -A国际标准，工作频率为13.56MHz。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技术参数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通讯协议：符合ISO/IEC 14443-A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工作频率：13.56MHz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非接触的数据和能量传输（无需电源）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波特 率：106Kbit/s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操作距离：小于100mm (和天线尺寸相关)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通讯方式：半双工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扇区数量：16个独立的扇区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加密算法：符合M1标准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处理时间：＜100ms（典型）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卡片尺寸：85.5MM*54MM*0.8MM</w:t>
            </w:r>
          </w:p>
        </w:tc>
        <w:tc>
          <w:tcPr>
            <w:tcW w:w="780" w:type="dxa"/>
            <w:tcBorders>
              <w:top w:val="single" w:color="000000" w:sz="4" w:space="0"/>
              <w:left w:val="single" w:color="000000" w:sz="4" w:space="0"/>
              <w:bottom w:val="single" w:color="000000" w:sz="4" w:space="0"/>
              <w:right w:val="single" w:color="000000" w:sz="4" w:space="0"/>
            </w:tcBorders>
            <w:vAlign w:val="center"/>
          </w:tcPr>
          <w:p w14:paraId="7EE1E8B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615" w:type="dxa"/>
            <w:tcBorders>
              <w:top w:val="single" w:color="000000" w:sz="4" w:space="0"/>
              <w:left w:val="single" w:color="000000" w:sz="4" w:space="0"/>
              <w:bottom w:val="single" w:color="000000" w:sz="4" w:space="0"/>
              <w:right w:val="single" w:color="000000" w:sz="4" w:space="0"/>
            </w:tcBorders>
            <w:vAlign w:val="center"/>
          </w:tcPr>
          <w:p w14:paraId="0922686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张</w:t>
            </w:r>
          </w:p>
        </w:tc>
      </w:tr>
      <w:tr w14:paraId="59C554A1">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81E2951">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3.4</w:t>
            </w:r>
          </w:p>
        </w:tc>
        <w:tc>
          <w:tcPr>
            <w:tcW w:w="1110" w:type="dxa"/>
            <w:tcBorders>
              <w:top w:val="single" w:color="000000" w:sz="4" w:space="0"/>
              <w:left w:val="single" w:color="000000" w:sz="4" w:space="0"/>
              <w:bottom w:val="single" w:color="000000" w:sz="4" w:space="0"/>
              <w:right w:val="single" w:color="000000" w:sz="4" w:space="0"/>
            </w:tcBorders>
            <w:vAlign w:val="center"/>
          </w:tcPr>
          <w:p w14:paraId="0542CF25">
            <w:pPr>
              <w:widowControl/>
              <w:spacing w:after="0" w:line="279"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车辆通行</w:t>
            </w:r>
          </w:p>
        </w:tc>
        <w:tc>
          <w:tcPr>
            <w:tcW w:w="6120" w:type="dxa"/>
            <w:tcBorders>
              <w:top w:val="single" w:color="000000" w:sz="4" w:space="0"/>
              <w:left w:val="single" w:color="000000" w:sz="4" w:space="0"/>
              <w:bottom w:val="single" w:color="000000" w:sz="4" w:space="0"/>
              <w:right w:val="single" w:color="000000" w:sz="4" w:space="0"/>
            </w:tcBorders>
            <w:vAlign w:val="center"/>
          </w:tcPr>
          <w:p w14:paraId="587AAE9C">
            <w:pPr>
              <w:widowControl/>
              <w:spacing w:after="0" w:line="279" w:lineRule="auto"/>
              <w:jc w:val="left"/>
              <w:rPr>
                <w:rFonts w:ascii="宋体" w:hAnsi="宋体" w:cs="宋体"/>
                <w:color w:val="auto"/>
                <w:sz w:val="22"/>
                <w:szCs w:val="22"/>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7601350C">
            <w:pPr>
              <w:widowControl/>
              <w:spacing w:after="0" w:line="279" w:lineRule="auto"/>
              <w:jc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9521AD3">
            <w:pPr>
              <w:widowControl/>
              <w:spacing w:after="0" w:line="279" w:lineRule="auto"/>
              <w:jc w:val="center"/>
              <w:rPr>
                <w:rFonts w:ascii="宋体" w:hAnsi="宋体" w:cs="宋体"/>
                <w:color w:val="auto"/>
                <w:sz w:val="22"/>
                <w:szCs w:val="22"/>
                <w:highlight w:val="none"/>
              </w:rPr>
            </w:pPr>
          </w:p>
        </w:tc>
      </w:tr>
      <w:tr w14:paraId="34E9B5EA">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3F80EB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3.4.1</w:t>
            </w:r>
          </w:p>
        </w:tc>
        <w:tc>
          <w:tcPr>
            <w:tcW w:w="1110" w:type="dxa"/>
            <w:tcBorders>
              <w:top w:val="single" w:color="000000" w:sz="4" w:space="0"/>
              <w:left w:val="single" w:color="000000" w:sz="4" w:space="0"/>
              <w:bottom w:val="single" w:color="000000" w:sz="4" w:space="0"/>
              <w:right w:val="single" w:color="000000" w:sz="4" w:space="0"/>
            </w:tcBorders>
            <w:vAlign w:val="center"/>
          </w:tcPr>
          <w:p w14:paraId="499C2E1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车辆抓拍显示一体机</w:t>
            </w:r>
          </w:p>
        </w:tc>
        <w:tc>
          <w:tcPr>
            <w:tcW w:w="6120" w:type="dxa"/>
            <w:tcBorders>
              <w:top w:val="single" w:color="000000" w:sz="4" w:space="0"/>
              <w:left w:val="single" w:color="000000" w:sz="4" w:space="0"/>
              <w:bottom w:val="single" w:color="000000" w:sz="4" w:space="0"/>
              <w:right w:val="single" w:color="000000" w:sz="4" w:space="0"/>
            </w:tcBorders>
            <w:vAlign w:val="center"/>
          </w:tcPr>
          <w:p w14:paraId="2DA80B1B">
            <w:pPr>
              <w:widowControl/>
              <w:spacing w:after="0" w:line="279" w:lineRule="auto"/>
              <w:jc w:val="left"/>
              <w:textAlignment w:val="center"/>
              <w:rPr>
                <w:color w:val="auto"/>
                <w:sz w:val="22"/>
                <w:szCs w:val="22"/>
                <w:highlight w:val="none"/>
              </w:rPr>
            </w:pPr>
            <w:r>
              <w:rPr>
                <w:rFonts w:hint="eastAsia"/>
                <w:color w:val="auto"/>
                <w:sz w:val="22"/>
                <w:szCs w:val="22"/>
                <w:highlight w:val="none"/>
              </w:rPr>
              <w:t>1．高度集成：快速道闸、智能抓拍机、补光灯、LED屏/LCD屏、防砸雷达、求助按钮、语音播报、语音对讲于一体；产品使用镀锌钢板加工成型，标准防锈表面处理工艺：电镀、喷粉烤漆。</w:t>
            </w:r>
          </w:p>
          <w:p w14:paraId="69ECE0A0">
            <w:pPr>
              <w:widowControl/>
              <w:spacing w:after="0" w:line="279" w:lineRule="auto"/>
              <w:jc w:val="left"/>
              <w:textAlignment w:val="center"/>
              <w:rPr>
                <w:color w:val="auto"/>
                <w:sz w:val="22"/>
                <w:szCs w:val="22"/>
                <w:highlight w:val="none"/>
              </w:rPr>
            </w:pPr>
          </w:p>
          <w:p w14:paraId="3A4DEDBD">
            <w:pPr>
              <w:widowControl/>
              <w:spacing w:after="0" w:line="279" w:lineRule="auto"/>
              <w:jc w:val="left"/>
              <w:textAlignment w:val="center"/>
              <w:rPr>
                <w:color w:val="auto"/>
                <w:sz w:val="22"/>
                <w:szCs w:val="22"/>
                <w:highlight w:val="none"/>
              </w:rPr>
            </w:pPr>
            <w:r>
              <w:rPr>
                <w:rFonts w:hint="eastAsia"/>
                <w:color w:val="auto"/>
                <w:sz w:val="22"/>
                <w:szCs w:val="22"/>
                <w:highlight w:val="none"/>
              </w:rPr>
              <w:t>2．车牌识别摄像机：≥500 万高清成像效果，提供最大 2880*1620 分辨率的视频和图片输出，定焦摄像头，全天正确识别率≧99.8%以上。视频流和地感触发识别可自由选择。全系列车牌均可识别（蓝牌、黄牌、警牌、新武警、新军牌、单双层牌、粤港澳车牌及新能源车牌）；硬件集成 H265 视频压缩解码器。</w:t>
            </w:r>
          </w:p>
          <w:p w14:paraId="241A7BC7">
            <w:pPr>
              <w:widowControl/>
              <w:spacing w:after="0" w:line="279" w:lineRule="auto"/>
              <w:jc w:val="left"/>
              <w:textAlignment w:val="center"/>
              <w:rPr>
                <w:color w:val="auto"/>
                <w:sz w:val="22"/>
                <w:szCs w:val="22"/>
                <w:highlight w:val="none"/>
              </w:rPr>
            </w:pPr>
            <w:r>
              <w:rPr>
                <w:rFonts w:hint="eastAsia"/>
                <w:color w:val="auto"/>
                <w:sz w:val="22"/>
                <w:szCs w:val="22"/>
                <w:highlight w:val="none"/>
              </w:rPr>
              <w:t>车牌\车辆识别算法：采用深度学习技术与车牌/车辆识别算法框架。。</w:t>
            </w:r>
          </w:p>
          <w:p w14:paraId="1DCC9EE2">
            <w:pPr>
              <w:widowControl/>
              <w:spacing w:after="0" w:line="279" w:lineRule="auto"/>
              <w:jc w:val="left"/>
              <w:textAlignment w:val="center"/>
              <w:rPr>
                <w:color w:val="auto"/>
                <w:sz w:val="22"/>
                <w:szCs w:val="22"/>
                <w:highlight w:val="none"/>
              </w:rPr>
            </w:pPr>
            <w:r>
              <w:rPr>
                <w:rFonts w:hint="eastAsia"/>
                <w:color w:val="auto"/>
                <w:sz w:val="22"/>
                <w:szCs w:val="22"/>
                <w:highlight w:val="none"/>
              </w:rPr>
              <w:t>典型车牌识别率≧ 99.8%：支持识别普通蓝牌、新能源车牌、单双层黄牌（含泥头车）、单双层军/营牌使领馆、港澳入出大陆车牌、应急车牌等多种车牌的牌号、颜色、类型等，典型场景中主流车牌识别准确率≧ 99.8%。</w:t>
            </w:r>
          </w:p>
          <w:p w14:paraId="719489E7">
            <w:pPr>
              <w:widowControl/>
              <w:spacing w:after="0" w:line="279" w:lineRule="auto"/>
              <w:jc w:val="left"/>
              <w:textAlignment w:val="center"/>
              <w:rPr>
                <w:color w:val="auto"/>
                <w:sz w:val="22"/>
                <w:szCs w:val="22"/>
                <w:highlight w:val="none"/>
              </w:rPr>
            </w:pPr>
          </w:p>
          <w:p w14:paraId="421F3DF3">
            <w:pPr>
              <w:widowControl/>
              <w:spacing w:after="0" w:line="279" w:lineRule="auto"/>
              <w:jc w:val="left"/>
              <w:textAlignment w:val="center"/>
              <w:rPr>
                <w:color w:val="auto"/>
                <w:sz w:val="22"/>
                <w:szCs w:val="22"/>
                <w:highlight w:val="none"/>
              </w:rPr>
            </w:pPr>
            <w:r>
              <w:rPr>
                <w:rFonts w:hint="eastAsia"/>
                <w:color w:val="auto"/>
                <w:sz w:val="22"/>
                <w:szCs w:val="22"/>
                <w:highlight w:val="none"/>
              </w:rPr>
              <w:t>无牌车非机动车免地感触发：可识别车头、车标（品牌）信息，实现无牌车\非机动车辆通过视频触发的效果，上位软件\平台可基于此特性制定“无牌车扫码通行”或者“限制非机动通行”等策路略。</w:t>
            </w:r>
          </w:p>
          <w:p w14:paraId="1C99A024">
            <w:pPr>
              <w:widowControl/>
              <w:spacing w:after="0" w:line="279" w:lineRule="auto"/>
              <w:jc w:val="left"/>
              <w:textAlignment w:val="center"/>
              <w:rPr>
                <w:color w:val="auto"/>
                <w:sz w:val="22"/>
                <w:szCs w:val="22"/>
                <w:highlight w:val="none"/>
              </w:rPr>
            </w:pPr>
            <w:r>
              <w:rPr>
                <w:rFonts w:hint="eastAsia"/>
                <w:color w:val="auto"/>
                <w:sz w:val="22"/>
                <w:szCs w:val="22"/>
                <w:highlight w:val="none"/>
              </w:rPr>
              <w:t>防止误识别，过滤伪车牌：算法综合车辆及车牌的特征，可有效避免了“误识别”非车牌上的数字、字符及图形内容信息的问题；并对不法分子通过手机拍照、打印车牌等方式，冒用他人车牌达到抬杆逃费的行为进行过滤。</w:t>
            </w:r>
          </w:p>
          <w:p w14:paraId="5AE43FE1">
            <w:pPr>
              <w:widowControl/>
              <w:spacing w:after="0" w:line="279" w:lineRule="auto"/>
              <w:jc w:val="left"/>
              <w:textAlignment w:val="center"/>
              <w:rPr>
                <w:color w:val="auto"/>
                <w:sz w:val="22"/>
                <w:szCs w:val="22"/>
                <w:highlight w:val="none"/>
              </w:rPr>
            </w:pPr>
          </w:p>
          <w:p w14:paraId="693A2EB9">
            <w:pPr>
              <w:widowControl/>
              <w:spacing w:after="0" w:line="279" w:lineRule="auto"/>
              <w:jc w:val="left"/>
              <w:textAlignment w:val="center"/>
              <w:rPr>
                <w:color w:val="auto"/>
                <w:sz w:val="22"/>
                <w:szCs w:val="22"/>
                <w:highlight w:val="none"/>
              </w:rPr>
            </w:pPr>
            <w:r>
              <w:rPr>
                <w:rFonts w:hint="eastAsia"/>
                <w:color w:val="auto"/>
                <w:sz w:val="22"/>
                <w:szCs w:val="22"/>
                <w:highlight w:val="none"/>
              </w:rPr>
              <w:t>视频去控件播放：采用 MJPEG 格式传输视频流，兼容 ≥90%主流浏览器。硬件形态：可接入不同焦距镜头，整机支持≥ 2路报警输入、2路报警输出、2路 RS485。支持 TF 数据存储，断网不丢失、系统日志实时存储；</w:t>
            </w:r>
          </w:p>
          <w:p w14:paraId="0F995588">
            <w:pPr>
              <w:widowControl/>
              <w:spacing w:after="0" w:line="279" w:lineRule="auto"/>
              <w:jc w:val="left"/>
              <w:textAlignment w:val="center"/>
              <w:rPr>
                <w:color w:val="auto"/>
                <w:sz w:val="22"/>
                <w:szCs w:val="22"/>
                <w:highlight w:val="none"/>
              </w:rPr>
            </w:pPr>
            <w:r>
              <w:rPr>
                <w:rFonts w:hint="eastAsia"/>
                <w:color w:val="auto"/>
                <w:sz w:val="22"/>
                <w:szCs w:val="22"/>
                <w:highlight w:val="none"/>
              </w:rPr>
              <w:t>抓拍率:≧99.9%；</w:t>
            </w:r>
          </w:p>
          <w:p w14:paraId="5ED7F716">
            <w:pPr>
              <w:widowControl/>
              <w:spacing w:after="0" w:line="279" w:lineRule="auto"/>
              <w:jc w:val="left"/>
              <w:textAlignment w:val="center"/>
              <w:rPr>
                <w:color w:val="auto"/>
                <w:sz w:val="22"/>
                <w:szCs w:val="22"/>
                <w:highlight w:val="none"/>
              </w:rPr>
            </w:pPr>
            <w:r>
              <w:rPr>
                <w:rFonts w:hint="eastAsia"/>
                <w:color w:val="auto"/>
                <w:sz w:val="22"/>
                <w:szCs w:val="22"/>
                <w:highlight w:val="none"/>
              </w:rPr>
              <w:t>识别率:≧99.8%；</w:t>
            </w:r>
          </w:p>
          <w:p w14:paraId="4D7A6589">
            <w:pPr>
              <w:widowControl/>
              <w:spacing w:after="0" w:line="279" w:lineRule="auto"/>
              <w:jc w:val="left"/>
              <w:textAlignment w:val="center"/>
              <w:rPr>
                <w:color w:val="auto"/>
                <w:sz w:val="22"/>
                <w:szCs w:val="22"/>
                <w:highlight w:val="none"/>
              </w:rPr>
            </w:pPr>
            <w:r>
              <w:rPr>
                <w:rFonts w:hint="eastAsia"/>
                <w:color w:val="auto"/>
                <w:sz w:val="22"/>
                <w:szCs w:val="22"/>
                <w:highlight w:val="none"/>
              </w:rPr>
              <w:t>适应车速:0-40 公里/小时；</w:t>
            </w:r>
          </w:p>
          <w:p w14:paraId="4EBFCEF8">
            <w:pPr>
              <w:widowControl/>
              <w:spacing w:after="0" w:line="279" w:lineRule="auto"/>
              <w:jc w:val="left"/>
              <w:textAlignment w:val="center"/>
              <w:rPr>
                <w:color w:val="auto"/>
                <w:sz w:val="22"/>
                <w:szCs w:val="22"/>
                <w:highlight w:val="none"/>
              </w:rPr>
            </w:pPr>
            <w:r>
              <w:rPr>
                <w:rFonts w:hint="eastAsia"/>
                <w:color w:val="auto"/>
                <w:sz w:val="22"/>
                <w:szCs w:val="22"/>
                <w:highlight w:val="none"/>
              </w:rPr>
              <w:t>车牌识别类型:普通蓝牌、新能源、单双层黄牌、单双层警车、新武警、单双层军牌、新使馆、教练车、港澳进出大陆车牌、应急车牌、民航、特殊车牌等</w:t>
            </w:r>
          </w:p>
          <w:p w14:paraId="708EBE3A">
            <w:pPr>
              <w:widowControl/>
              <w:spacing w:after="0" w:line="279" w:lineRule="auto"/>
              <w:jc w:val="left"/>
              <w:textAlignment w:val="center"/>
              <w:rPr>
                <w:color w:val="auto"/>
                <w:sz w:val="22"/>
                <w:szCs w:val="22"/>
                <w:highlight w:val="none"/>
              </w:rPr>
            </w:pPr>
            <w:r>
              <w:rPr>
                <w:rFonts w:hint="eastAsia"/>
                <w:color w:val="auto"/>
                <w:sz w:val="22"/>
                <w:szCs w:val="22"/>
                <w:highlight w:val="none"/>
              </w:rPr>
              <w:t>车牌识别特征:车标、车型、车身颜色、车款；</w:t>
            </w:r>
          </w:p>
          <w:p w14:paraId="39A5B444">
            <w:pPr>
              <w:widowControl/>
              <w:spacing w:after="0" w:line="279" w:lineRule="auto"/>
              <w:jc w:val="left"/>
              <w:textAlignment w:val="center"/>
              <w:rPr>
                <w:color w:val="auto"/>
                <w:sz w:val="22"/>
                <w:szCs w:val="22"/>
                <w:highlight w:val="none"/>
              </w:rPr>
            </w:pPr>
            <w:r>
              <w:rPr>
                <w:rFonts w:hint="eastAsia"/>
                <w:color w:val="auto"/>
                <w:sz w:val="22"/>
                <w:szCs w:val="22"/>
                <w:highlight w:val="none"/>
              </w:rPr>
              <w:t>车牌防伪:支持异常车牌告警，准确率≥95%；</w:t>
            </w:r>
          </w:p>
          <w:p w14:paraId="75C56717">
            <w:pPr>
              <w:widowControl/>
              <w:spacing w:after="0" w:line="279" w:lineRule="auto"/>
              <w:jc w:val="left"/>
              <w:textAlignment w:val="center"/>
              <w:rPr>
                <w:color w:val="auto"/>
                <w:sz w:val="22"/>
                <w:szCs w:val="22"/>
                <w:highlight w:val="none"/>
              </w:rPr>
            </w:pPr>
            <w:r>
              <w:rPr>
                <w:rFonts w:hint="eastAsia"/>
                <w:color w:val="auto"/>
                <w:sz w:val="22"/>
                <w:szCs w:val="22"/>
                <w:highlight w:val="none"/>
              </w:rPr>
              <w:t>无牌车触发:支持无牌车触发；</w:t>
            </w:r>
          </w:p>
          <w:p w14:paraId="78D760E2">
            <w:pPr>
              <w:widowControl/>
              <w:spacing w:after="0" w:line="279" w:lineRule="auto"/>
              <w:jc w:val="left"/>
              <w:textAlignment w:val="center"/>
              <w:rPr>
                <w:color w:val="auto"/>
                <w:sz w:val="22"/>
                <w:szCs w:val="22"/>
                <w:highlight w:val="none"/>
              </w:rPr>
            </w:pPr>
            <w:r>
              <w:rPr>
                <w:rFonts w:hint="eastAsia"/>
                <w:color w:val="auto"/>
                <w:sz w:val="22"/>
                <w:szCs w:val="22"/>
                <w:highlight w:val="none"/>
              </w:rPr>
              <w:t>车牌识别 :支持三地车牌识别；</w:t>
            </w:r>
          </w:p>
          <w:p w14:paraId="46637730">
            <w:pPr>
              <w:widowControl/>
              <w:spacing w:after="0" w:line="279" w:lineRule="auto"/>
              <w:jc w:val="left"/>
              <w:textAlignment w:val="center"/>
              <w:rPr>
                <w:color w:val="auto"/>
                <w:sz w:val="22"/>
                <w:szCs w:val="22"/>
                <w:highlight w:val="none"/>
              </w:rPr>
            </w:pPr>
            <w:r>
              <w:rPr>
                <w:rFonts w:hint="eastAsia"/>
                <w:color w:val="auto"/>
                <w:sz w:val="22"/>
                <w:szCs w:val="22"/>
                <w:highlight w:val="none"/>
              </w:rPr>
              <w:t>车辆白名单:支持精准、智能模糊匹配白名单车牌规则；</w:t>
            </w:r>
          </w:p>
          <w:p w14:paraId="6D511587">
            <w:pPr>
              <w:widowControl/>
              <w:spacing w:after="0" w:line="279" w:lineRule="auto"/>
              <w:jc w:val="left"/>
              <w:textAlignment w:val="center"/>
              <w:rPr>
                <w:color w:val="auto"/>
                <w:sz w:val="22"/>
                <w:szCs w:val="22"/>
                <w:highlight w:val="none"/>
              </w:rPr>
            </w:pPr>
            <w:r>
              <w:rPr>
                <w:rFonts w:hint="eastAsia"/>
                <w:color w:val="auto"/>
                <w:sz w:val="22"/>
                <w:szCs w:val="22"/>
                <w:highlight w:val="none"/>
              </w:rPr>
              <w:t>智能校准:支持精准或以通配符的方式、智能校准车牌号及车牌类型及颜色；</w:t>
            </w:r>
          </w:p>
          <w:p w14:paraId="34F9600F">
            <w:pPr>
              <w:widowControl/>
              <w:spacing w:after="0" w:line="279" w:lineRule="auto"/>
              <w:jc w:val="left"/>
              <w:textAlignment w:val="center"/>
              <w:rPr>
                <w:color w:val="auto"/>
                <w:sz w:val="22"/>
                <w:szCs w:val="22"/>
                <w:highlight w:val="none"/>
              </w:rPr>
            </w:pPr>
            <w:r>
              <w:rPr>
                <w:rFonts w:hint="eastAsia"/>
                <w:color w:val="auto"/>
                <w:sz w:val="22"/>
                <w:szCs w:val="22"/>
                <w:highlight w:val="none"/>
              </w:rPr>
              <w:t>成像基本配置:智能优化调光算法、复杂场景智能适应视音频；</w:t>
            </w:r>
          </w:p>
          <w:p w14:paraId="6AB01286">
            <w:pPr>
              <w:widowControl/>
              <w:spacing w:after="0" w:line="279" w:lineRule="auto"/>
              <w:jc w:val="left"/>
              <w:textAlignment w:val="center"/>
              <w:rPr>
                <w:color w:val="auto"/>
                <w:sz w:val="22"/>
                <w:szCs w:val="22"/>
                <w:highlight w:val="none"/>
              </w:rPr>
            </w:pPr>
            <w:r>
              <w:rPr>
                <w:rFonts w:hint="eastAsia"/>
                <w:color w:val="auto"/>
                <w:sz w:val="22"/>
                <w:szCs w:val="22"/>
                <w:highlight w:val="none"/>
              </w:rPr>
              <w:t>视频压缩标准：H.264/H2.65/MJPEG；</w:t>
            </w:r>
          </w:p>
          <w:p w14:paraId="15B7877E">
            <w:pPr>
              <w:widowControl/>
              <w:spacing w:after="0" w:line="279" w:lineRule="auto"/>
              <w:jc w:val="left"/>
              <w:textAlignment w:val="center"/>
              <w:rPr>
                <w:color w:val="auto"/>
                <w:sz w:val="22"/>
                <w:szCs w:val="22"/>
                <w:highlight w:val="none"/>
              </w:rPr>
            </w:pPr>
            <w:r>
              <w:rPr>
                <w:rFonts w:hint="eastAsia"/>
                <w:color w:val="auto"/>
                <w:sz w:val="22"/>
                <w:szCs w:val="22"/>
                <w:highlight w:val="none"/>
              </w:rPr>
              <w:t>视频分辨率：640*360、704*576、1280*720、1920*1080、2304*1296、2880*1620；</w:t>
            </w:r>
          </w:p>
          <w:p w14:paraId="65065911">
            <w:pPr>
              <w:widowControl/>
              <w:spacing w:after="0" w:line="279" w:lineRule="auto"/>
              <w:jc w:val="left"/>
              <w:textAlignment w:val="center"/>
              <w:rPr>
                <w:color w:val="auto"/>
                <w:sz w:val="22"/>
                <w:szCs w:val="22"/>
                <w:highlight w:val="none"/>
              </w:rPr>
            </w:pPr>
            <w:r>
              <w:rPr>
                <w:rFonts w:hint="eastAsia"/>
                <w:color w:val="auto"/>
                <w:sz w:val="22"/>
                <w:szCs w:val="22"/>
                <w:highlight w:val="none"/>
              </w:rPr>
              <w:t>压缩输出码率：512kbps-5000kbps；</w:t>
            </w:r>
          </w:p>
          <w:p w14:paraId="403E13FA">
            <w:pPr>
              <w:widowControl/>
              <w:spacing w:after="0" w:line="279" w:lineRule="auto"/>
              <w:jc w:val="left"/>
              <w:textAlignment w:val="center"/>
              <w:rPr>
                <w:color w:val="auto"/>
                <w:sz w:val="22"/>
                <w:szCs w:val="22"/>
                <w:highlight w:val="none"/>
              </w:rPr>
            </w:pPr>
            <w:r>
              <w:rPr>
                <w:rFonts w:hint="eastAsia"/>
                <w:color w:val="auto"/>
                <w:sz w:val="22"/>
                <w:szCs w:val="22"/>
                <w:highlight w:val="none"/>
              </w:rPr>
              <w:t>音频编码： G.711/ACC；</w:t>
            </w:r>
          </w:p>
          <w:p w14:paraId="56193489">
            <w:pPr>
              <w:widowControl/>
              <w:spacing w:after="0" w:line="279" w:lineRule="auto"/>
              <w:jc w:val="left"/>
              <w:textAlignment w:val="center"/>
              <w:rPr>
                <w:color w:val="auto"/>
                <w:sz w:val="22"/>
                <w:szCs w:val="22"/>
                <w:highlight w:val="none"/>
              </w:rPr>
            </w:pPr>
            <w:r>
              <w:rPr>
                <w:rFonts w:hint="eastAsia"/>
                <w:color w:val="auto"/>
                <w:sz w:val="22"/>
                <w:szCs w:val="22"/>
                <w:highlight w:val="none"/>
              </w:rPr>
              <w:t>帧率： 1-25 帧，默认 25 帧；</w:t>
            </w:r>
          </w:p>
          <w:p w14:paraId="60B2FDCF">
            <w:pPr>
              <w:widowControl/>
              <w:spacing w:after="0" w:line="279" w:lineRule="auto"/>
              <w:jc w:val="left"/>
              <w:textAlignment w:val="center"/>
              <w:rPr>
                <w:color w:val="auto"/>
                <w:sz w:val="22"/>
                <w:szCs w:val="22"/>
                <w:highlight w:val="none"/>
              </w:rPr>
            </w:pPr>
            <w:r>
              <w:rPr>
                <w:rFonts w:hint="eastAsia"/>
                <w:color w:val="auto"/>
                <w:sz w:val="22"/>
                <w:szCs w:val="22"/>
                <w:highlight w:val="none"/>
              </w:rPr>
              <w:t>通讯协议：SDK、ONVIF、HTTP、RTSP、TCP/IP、UDP、RS485、IO、NTP；</w:t>
            </w:r>
          </w:p>
          <w:p w14:paraId="7C6EA684">
            <w:pPr>
              <w:widowControl/>
              <w:spacing w:after="0" w:line="279" w:lineRule="auto"/>
              <w:jc w:val="left"/>
              <w:textAlignment w:val="center"/>
              <w:rPr>
                <w:color w:val="auto"/>
                <w:sz w:val="22"/>
                <w:szCs w:val="22"/>
                <w:highlight w:val="none"/>
              </w:rPr>
            </w:pPr>
            <w:r>
              <w:rPr>
                <w:rFonts w:hint="eastAsia"/>
                <w:color w:val="auto"/>
                <w:sz w:val="22"/>
                <w:szCs w:val="22"/>
                <w:highlight w:val="none"/>
              </w:rPr>
              <w:t>FTP上传图片：支持通过 FTP 上传抓拍图片至服务器；</w:t>
            </w:r>
          </w:p>
          <w:p w14:paraId="307526B2">
            <w:pPr>
              <w:widowControl/>
              <w:spacing w:after="0" w:line="279" w:lineRule="auto"/>
              <w:jc w:val="left"/>
              <w:textAlignment w:val="center"/>
              <w:rPr>
                <w:color w:val="auto"/>
                <w:sz w:val="22"/>
                <w:szCs w:val="22"/>
                <w:highlight w:val="none"/>
              </w:rPr>
            </w:pPr>
            <w:r>
              <w:rPr>
                <w:rFonts w:hint="eastAsia"/>
                <w:color w:val="auto"/>
                <w:sz w:val="22"/>
                <w:szCs w:val="22"/>
                <w:highlight w:val="none"/>
              </w:rPr>
              <w:t>VPN 虚拟专网：支持通过 OpenVpn 组建虚拟专网；</w:t>
            </w:r>
          </w:p>
          <w:p w14:paraId="0DC67807">
            <w:pPr>
              <w:widowControl/>
              <w:spacing w:after="0" w:line="279" w:lineRule="auto"/>
              <w:jc w:val="left"/>
              <w:textAlignment w:val="center"/>
              <w:rPr>
                <w:color w:val="auto"/>
                <w:sz w:val="22"/>
                <w:szCs w:val="22"/>
                <w:highlight w:val="none"/>
              </w:rPr>
            </w:pPr>
            <w:r>
              <w:rPr>
                <w:rFonts w:hint="eastAsia"/>
                <w:color w:val="auto"/>
                <w:sz w:val="22"/>
                <w:szCs w:val="22"/>
                <w:highlight w:val="none"/>
              </w:rPr>
              <w:t>HTTP 推送：支持，支持上传识别结果、离线重传；</w:t>
            </w:r>
          </w:p>
          <w:p w14:paraId="6A3C0067">
            <w:pPr>
              <w:widowControl/>
              <w:spacing w:after="0" w:line="279" w:lineRule="auto"/>
              <w:jc w:val="left"/>
              <w:textAlignment w:val="center"/>
              <w:rPr>
                <w:color w:val="auto"/>
                <w:sz w:val="22"/>
                <w:szCs w:val="22"/>
                <w:highlight w:val="none"/>
              </w:rPr>
            </w:pPr>
            <w:r>
              <w:rPr>
                <w:rFonts w:hint="eastAsia"/>
                <w:color w:val="auto"/>
                <w:sz w:val="22"/>
                <w:szCs w:val="22"/>
                <w:highlight w:val="none"/>
              </w:rPr>
              <w:t>动态域名 ：支持对接 3322 动态域名服务；</w:t>
            </w:r>
          </w:p>
          <w:p w14:paraId="39D4920D">
            <w:pPr>
              <w:widowControl/>
              <w:spacing w:after="0" w:line="279" w:lineRule="auto"/>
              <w:jc w:val="left"/>
              <w:textAlignment w:val="center"/>
              <w:rPr>
                <w:color w:val="auto"/>
                <w:sz w:val="22"/>
                <w:szCs w:val="22"/>
                <w:highlight w:val="none"/>
              </w:rPr>
            </w:pPr>
            <w:r>
              <w:rPr>
                <w:rFonts w:hint="eastAsia"/>
                <w:color w:val="auto"/>
                <w:sz w:val="22"/>
                <w:szCs w:val="22"/>
                <w:highlight w:val="none"/>
              </w:rPr>
              <w:t>UPNP 端口映射：支持、自动映射 HTTP/RSTP 通讯端口；</w:t>
            </w:r>
          </w:p>
          <w:p w14:paraId="2F6AF563">
            <w:pPr>
              <w:widowControl/>
              <w:spacing w:after="0" w:line="279" w:lineRule="auto"/>
              <w:jc w:val="left"/>
              <w:textAlignment w:val="center"/>
              <w:rPr>
                <w:color w:val="auto"/>
                <w:sz w:val="22"/>
                <w:szCs w:val="22"/>
                <w:highlight w:val="none"/>
              </w:rPr>
            </w:pPr>
            <w:r>
              <w:rPr>
                <w:rFonts w:hint="eastAsia"/>
                <w:color w:val="auto"/>
                <w:sz w:val="22"/>
                <w:szCs w:val="22"/>
                <w:highlight w:val="none"/>
              </w:rPr>
              <w:t>脱机组网：无线上位机或服务器，相机间自动实现运营组网；</w:t>
            </w:r>
          </w:p>
          <w:p w14:paraId="41DDE395">
            <w:pPr>
              <w:widowControl/>
              <w:spacing w:after="0" w:line="279" w:lineRule="auto"/>
              <w:jc w:val="left"/>
              <w:textAlignment w:val="center"/>
              <w:rPr>
                <w:color w:val="auto"/>
                <w:sz w:val="22"/>
                <w:szCs w:val="22"/>
                <w:highlight w:val="none"/>
              </w:rPr>
            </w:pPr>
            <w:r>
              <w:rPr>
                <w:rFonts w:hint="eastAsia"/>
                <w:color w:val="auto"/>
                <w:sz w:val="22"/>
                <w:szCs w:val="22"/>
                <w:highlight w:val="none"/>
              </w:rPr>
              <w:t>黑白名单：配合策略满足车辆分机管理；</w:t>
            </w:r>
          </w:p>
          <w:p w14:paraId="28B81D90">
            <w:pPr>
              <w:widowControl/>
              <w:spacing w:after="0" w:line="279" w:lineRule="auto"/>
              <w:jc w:val="left"/>
              <w:textAlignment w:val="center"/>
              <w:rPr>
                <w:color w:val="auto"/>
                <w:sz w:val="22"/>
                <w:szCs w:val="22"/>
                <w:highlight w:val="none"/>
              </w:rPr>
            </w:pPr>
            <w:r>
              <w:rPr>
                <w:rFonts w:hint="eastAsia"/>
                <w:color w:val="auto"/>
                <w:sz w:val="22"/>
                <w:szCs w:val="22"/>
                <w:highlight w:val="none"/>
              </w:rPr>
              <w:t>相辅相机：同一出/入口可以添加≦4 台辅助相机；</w:t>
            </w:r>
          </w:p>
          <w:p w14:paraId="651D9522">
            <w:pPr>
              <w:widowControl/>
              <w:spacing w:after="0" w:line="279" w:lineRule="auto"/>
              <w:jc w:val="left"/>
              <w:textAlignment w:val="center"/>
              <w:rPr>
                <w:color w:val="auto"/>
                <w:sz w:val="22"/>
                <w:szCs w:val="22"/>
                <w:highlight w:val="none"/>
              </w:rPr>
            </w:pPr>
            <w:r>
              <w:rPr>
                <w:rFonts w:hint="eastAsia"/>
                <w:color w:val="auto"/>
                <w:sz w:val="22"/>
                <w:szCs w:val="22"/>
                <w:highlight w:val="none"/>
              </w:rPr>
              <w:t>音频输出：支持外接喇叭播报。</w:t>
            </w:r>
          </w:p>
          <w:p w14:paraId="52D68671">
            <w:pPr>
              <w:widowControl/>
              <w:spacing w:after="0" w:line="279" w:lineRule="auto"/>
              <w:jc w:val="left"/>
              <w:textAlignment w:val="center"/>
              <w:rPr>
                <w:color w:val="auto"/>
                <w:sz w:val="22"/>
                <w:szCs w:val="22"/>
                <w:highlight w:val="none"/>
              </w:rPr>
            </w:pPr>
          </w:p>
          <w:p w14:paraId="33995B13">
            <w:pPr>
              <w:widowControl/>
              <w:spacing w:after="0" w:line="279" w:lineRule="auto"/>
              <w:jc w:val="left"/>
              <w:textAlignment w:val="center"/>
              <w:rPr>
                <w:color w:val="auto"/>
                <w:sz w:val="22"/>
                <w:szCs w:val="22"/>
                <w:highlight w:val="none"/>
              </w:rPr>
            </w:pPr>
            <w:r>
              <w:rPr>
                <w:rFonts w:hint="eastAsia"/>
                <w:color w:val="auto"/>
                <w:sz w:val="22"/>
                <w:szCs w:val="22"/>
                <w:highlight w:val="none"/>
              </w:rPr>
              <w:t>3．显示屏及控制卡：</w:t>
            </w:r>
          </w:p>
          <w:p w14:paraId="7D1EE8D0">
            <w:pPr>
              <w:widowControl/>
              <w:spacing w:after="0" w:line="279" w:lineRule="auto"/>
              <w:jc w:val="left"/>
              <w:textAlignment w:val="center"/>
              <w:rPr>
                <w:color w:val="auto"/>
                <w:sz w:val="22"/>
                <w:szCs w:val="22"/>
                <w:highlight w:val="none"/>
              </w:rPr>
            </w:pPr>
            <w:r>
              <w:rPr>
                <w:rFonts w:hint="eastAsia"/>
                <w:color w:val="auto"/>
                <w:sz w:val="22"/>
                <w:szCs w:val="22"/>
                <w:highlight w:val="none"/>
              </w:rPr>
              <w:t>显示区尺寸≥256*256MM 四行彩屏／双色屏滚动循环显示，除正常显示进出车牌、收费金额之外，可以自定义显示广告语，显示屏采用进口灯珠,超高亮度，超大字体，户外远距离也可清晰分辨。工作电压：5V0.5A；屏规格：四层显示 红色高亮；工作温度： -20℃~60℃；工作湿度： 10%~90%；存储温度： -35℃~85℃；存储湿度： 10%~90%；标准语音／万能语音可选；通讯方式： RS485。</w:t>
            </w:r>
          </w:p>
          <w:p w14:paraId="77F1E0B7">
            <w:pPr>
              <w:widowControl/>
              <w:spacing w:after="0" w:line="279" w:lineRule="auto"/>
              <w:jc w:val="left"/>
              <w:textAlignment w:val="center"/>
              <w:rPr>
                <w:color w:val="auto"/>
                <w:sz w:val="22"/>
                <w:szCs w:val="22"/>
                <w:highlight w:val="none"/>
              </w:rPr>
            </w:pPr>
            <w:r>
              <w:rPr>
                <w:rFonts w:hint="eastAsia"/>
                <w:color w:val="auto"/>
                <w:sz w:val="22"/>
                <w:szCs w:val="22"/>
                <w:highlight w:val="none"/>
              </w:rPr>
              <w:t>控制卡主要参数:</w:t>
            </w:r>
          </w:p>
          <w:p w14:paraId="633FC5C2">
            <w:pPr>
              <w:widowControl/>
              <w:spacing w:after="0" w:line="279" w:lineRule="auto"/>
              <w:jc w:val="left"/>
              <w:textAlignment w:val="center"/>
              <w:rPr>
                <w:color w:val="auto"/>
                <w:sz w:val="22"/>
                <w:szCs w:val="22"/>
                <w:highlight w:val="none"/>
              </w:rPr>
            </w:pPr>
            <w:r>
              <w:rPr>
                <w:rFonts w:hint="eastAsia"/>
                <w:color w:val="auto"/>
                <w:sz w:val="22"/>
                <w:szCs w:val="22"/>
                <w:highlight w:val="none"/>
              </w:rPr>
              <w:t>支持≥ 1路 HUB08 接口，最大支持分辨率为 ≥64*64 双色和单色；</w:t>
            </w:r>
          </w:p>
          <w:p w14:paraId="395FBF5F">
            <w:pPr>
              <w:widowControl/>
              <w:spacing w:after="0" w:line="279" w:lineRule="auto"/>
              <w:jc w:val="left"/>
              <w:textAlignment w:val="center"/>
              <w:rPr>
                <w:color w:val="auto"/>
                <w:sz w:val="22"/>
                <w:szCs w:val="22"/>
                <w:highlight w:val="none"/>
              </w:rPr>
            </w:pPr>
            <w:r>
              <w:rPr>
                <w:rFonts w:hint="eastAsia"/>
                <w:color w:val="auto"/>
                <w:sz w:val="22"/>
                <w:szCs w:val="22"/>
                <w:highlight w:val="none"/>
              </w:rPr>
              <w:t>管理协议：PC\移动端管理、PC 管理工具、SDK 开发包、OpenDevSDK、HTTP 推送；</w:t>
            </w:r>
          </w:p>
          <w:p w14:paraId="6B3F7855">
            <w:pPr>
              <w:widowControl/>
              <w:spacing w:after="0" w:line="279" w:lineRule="auto"/>
              <w:jc w:val="left"/>
              <w:textAlignment w:val="center"/>
              <w:rPr>
                <w:color w:val="auto"/>
                <w:sz w:val="22"/>
                <w:szCs w:val="22"/>
                <w:highlight w:val="none"/>
              </w:rPr>
            </w:pPr>
            <w:r>
              <w:rPr>
                <w:rFonts w:hint="eastAsia"/>
                <w:color w:val="auto"/>
                <w:sz w:val="22"/>
                <w:szCs w:val="22"/>
                <w:highlight w:val="none"/>
              </w:rPr>
              <w:t>支持 RS485 通信接口, 可自定义多种波特率；</w:t>
            </w:r>
          </w:p>
          <w:p w14:paraId="62EC718A">
            <w:pPr>
              <w:widowControl/>
              <w:spacing w:after="0" w:line="279" w:lineRule="auto"/>
              <w:jc w:val="left"/>
              <w:textAlignment w:val="center"/>
              <w:rPr>
                <w:color w:val="auto"/>
                <w:sz w:val="22"/>
                <w:szCs w:val="22"/>
                <w:highlight w:val="none"/>
              </w:rPr>
            </w:pPr>
            <w:r>
              <w:rPr>
                <w:rFonts w:hint="eastAsia"/>
                <w:color w:val="auto"/>
                <w:sz w:val="22"/>
                <w:szCs w:val="22"/>
                <w:highlight w:val="none"/>
              </w:rPr>
              <w:t>支持简体中文、繁体中文、英语文字显示等语言；</w:t>
            </w:r>
          </w:p>
          <w:p w14:paraId="720322C6">
            <w:pPr>
              <w:widowControl/>
              <w:spacing w:after="0" w:line="279" w:lineRule="auto"/>
              <w:jc w:val="left"/>
              <w:textAlignment w:val="center"/>
              <w:rPr>
                <w:color w:val="auto"/>
                <w:sz w:val="22"/>
                <w:szCs w:val="22"/>
                <w:highlight w:val="none"/>
              </w:rPr>
            </w:pPr>
            <w:r>
              <w:rPr>
                <w:rFonts w:hint="eastAsia"/>
                <w:color w:val="auto"/>
                <w:sz w:val="22"/>
                <w:szCs w:val="22"/>
                <w:highlight w:val="none"/>
              </w:rPr>
              <w:t>支持语音播报功能，≥10 级音量调节。可以播报停车场常用真人语音，语音库可扩展；</w:t>
            </w:r>
          </w:p>
          <w:p w14:paraId="504471C0">
            <w:pPr>
              <w:widowControl/>
              <w:spacing w:after="0" w:line="279" w:lineRule="auto"/>
              <w:jc w:val="left"/>
              <w:textAlignment w:val="center"/>
              <w:rPr>
                <w:color w:val="auto"/>
                <w:sz w:val="22"/>
                <w:szCs w:val="22"/>
                <w:highlight w:val="none"/>
              </w:rPr>
            </w:pPr>
            <w:r>
              <w:rPr>
                <w:rFonts w:hint="eastAsia"/>
                <w:color w:val="auto"/>
                <w:sz w:val="22"/>
                <w:szCs w:val="22"/>
                <w:highlight w:val="none"/>
              </w:rPr>
              <w:t>扫描频率最高达 960Hz,移动时稳定无重影，字迹清晰。全户外灯芯，直射仍清晰可见，10 级亮度调节；</w:t>
            </w:r>
          </w:p>
          <w:p w14:paraId="3BB71740">
            <w:pPr>
              <w:widowControl/>
              <w:spacing w:after="0" w:line="279" w:lineRule="auto"/>
              <w:jc w:val="left"/>
              <w:textAlignment w:val="center"/>
              <w:rPr>
                <w:color w:val="auto"/>
                <w:sz w:val="22"/>
                <w:szCs w:val="22"/>
                <w:highlight w:val="none"/>
              </w:rPr>
            </w:pPr>
            <w:r>
              <w:rPr>
                <w:rFonts w:hint="eastAsia"/>
                <w:color w:val="auto"/>
                <w:sz w:val="22"/>
                <w:szCs w:val="22"/>
                <w:highlight w:val="none"/>
              </w:rPr>
              <w:t>提供≥2路IO线路，可以控制红绿灯；</w:t>
            </w:r>
          </w:p>
          <w:p w14:paraId="6D690D63">
            <w:pPr>
              <w:widowControl/>
              <w:spacing w:after="0" w:line="279" w:lineRule="auto"/>
              <w:jc w:val="left"/>
              <w:textAlignment w:val="center"/>
              <w:rPr>
                <w:color w:val="auto"/>
                <w:sz w:val="22"/>
                <w:szCs w:val="22"/>
                <w:highlight w:val="none"/>
              </w:rPr>
            </w:pPr>
            <w:r>
              <w:rPr>
                <w:rFonts w:hint="eastAsia"/>
                <w:color w:val="auto"/>
                <w:sz w:val="22"/>
                <w:szCs w:val="22"/>
                <w:highlight w:val="none"/>
              </w:rPr>
              <w:t>板载实时时钟功能(RTC)，最大误差为每天±3 秒。</w:t>
            </w:r>
          </w:p>
          <w:p w14:paraId="66A24DEB">
            <w:pPr>
              <w:widowControl/>
              <w:spacing w:after="0" w:line="279" w:lineRule="auto"/>
              <w:jc w:val="left"/>
              <w:textAlignment w:val="center"/>
              <w:rPr>
                <w:color w:val="auto"/>
                <w:sz w:val="22"/>
                <w:szCs w:val="22"/>
                <w:highlight w:val="none"/>
              </w:rPr>
            </w:pPr>
          </w:p>
          <w:p w14:paraId="7422E2EC">
            <w:pPr>
              <w:widowControl/>
              <w:spacing w:after="0" w:line="279" w:lineRule="auto"/>
              <w:jc w:val="left"/>
              <w:textAlignment w:val="center"/>
              <w:rPr>
                <w:color w:val="auto"/>
                <w:sz w:val="22"/>
                <w:szCs w:val="22"/>
                <w:highlight w:val="none"/>
              </w:rPr>
            </w:pPr>
            <w:r>
              <w:rPr>
                <w:rFonts w:hint="eastAsia"/>
                <w:color w:val="auto"/>
                <w:sz w:val="22"/>
                <w:szCs w:val="22"/>
                <w:highlight w:val="none"/>
              </w:rPr>
              <w:t>4．补光灯：采用1-3W 12粒高亮度LED灯珠，自动光控，补光灯角度可根据现场安装环境进行多角度调节。 电源：交流 100～240V，50～60Hz； LED 灯数量：1-3W LED 灯珠 12 颗；控制：常亮/时控开关/光敏控制（可选）；开启照度：≤6Lux（可调节） ，关闭照度：≥9Lux（可调节） ，照度回差：3Lux ；通光量：1440lm；功率：15W ；工作电压：AC220V 可订制 AC24V 或 DC12V ；工作温度：－25 度～85 度；外型尺寸：L180*W135*H105mm ；重量：1.5Kg ；视角/视距：15°/75 米，30°/40 米，45°/25 米，60°/15 米。</w:t>
            </w:r>
          </w:p>
          <w:p w14:paraId="488FDD41">
            <w:pPr>
              <w:widowControl/>
              <w:spacing w:after="0" w:line="279" w:lineRule="auto"/>
              <w:jc w:val="left"/>
              <w:textAlignment w:val="center"/>
              <w:rPr>
                <w:color w:val="auto"/>
                <w:sz w:val="22"/>
                <w:szCs w:val="22"/>
                <w:highlight w:val="none"/>
              </w:rPr>
            </w:pPr>
          </w:p>
          <w:p w14:paraId="38F213AF">
            <w:pPr>
              <w:widowControl/>
              <w:spacing w:after="0" w:line="279" w:lineRule="auto"/>
              <w:jc w:val="left"/>
              <w:textAlignment w:val="center"/>
              <w:rPr>
                <w:color w:val="auto"/>
                <w:sz w:val="22"/>
                <w:szCs w:val="22"/>
                <w:highlight w:val="none"/>
              </w:rPr>
            </w:pPr>
            <w:r>
              <w:rPr>
                <w:rFonts w:hint="eastAsia"/>
                <w:color w:val="auto"/>
                <w:sz w:val="22"/>
                <w:szCs w:val="22"/>
                <w:highlight w:val="none"/>
              </w:rPr>
              <w:t>5.功能：</w:t>
            </w:r>
          </w:p>
          <w:p w14:paraId="3245EFD1">
            <w:pPr>
              <w:widowControl/>
              <w:spacing w:after="0" w:line="279" w:lineRule="auto"/>
              <w:jc w:val="left"/>
              <w:textAlignment w:val="center"/>
              <w:rPr>
                <w:color w:val="auto"/>
                <w:sz w:val="22"/>
                <w:szCs w:val="22"/>
                <w:highlight w:val="none"/>
              </w:rPr>
            </w:pPr>
            <w:r>
              <w:rPr>
                <w:rFonts w:hint="eastAsia"/>
                <w:color w:val="auto"/>
                <w:sz w:val="22"/>
                <w:szCs w:val="22"/>
                <w:highlight w:val="none"/>
              </w:rPr>
              <w:t>不停车快速通行，采用视频识别车牌自动出入场；</w:t>
            </w:r>
          </w:p>
          <w:p w14:paraId="3DDCA630">
            <w:pPr>
              <w:widowControl/>
              <w:spacing w:after="0" w:line="279" w:lineRule="auto"/>
              <w:jc w:val="left"/>
              <w:textAlignment w:val="center"/>
              <w:rPr>
                <w:color w:val="auto"/>
                <w:sz w:val="22"/>
                <w:szCs w:val="22"/>
                <w:highlight w:val="none"/>
              </w:rPr>
            </w:pPr>
            <w:r>
              <w:rPr>
                <w:rFonts w:hint="eastAsia"/>
                <w:color w:val="auto"/>
                <w:sz w:val="22"/>
                <w:szCs w:val="22"/>
                <w:highlight w:val="none"/>
              </w:rPr>
              <w:t>设置显示 DIY 功能，可根据客户需求任意设置显示信息；</w:t>
            </w:r>
          </w:p>
          <w:p w14:paraId="1B4AF300">
            <w:pPr>
              <w:widowControl/>
              <w:spacing w:after="0" w:line="279" w:lineRule="auto"/>
              <w:jc w:val="left"/>
              <w:textAlignment w:val="center"/>
              <w:rPr>
                <w:color w:val="auto"/>
                <w:sz w:val="22"/>
                <w:szCs w:val="22"/>
                <w:highlight w:val="none"/>
              </w:rPr>
            </w:pPr>
            <w:r>
              <w:rPr>
                <w:rFonts w:hint="eastAsia"/>
                <w:color w:val="auto"/>
                <w:sz w:val="22"/>
                <w:szCs w:val="22"/>
                <w:highlight w:val="none"/>
              </w:rPr>
              <w:t>软/硬件程序在线下载，支持快速实现程序升级；</w:t>
            </w:r>
          </w:p>
          <w:p w14:paraId="0EBB5849">
            <w:pPr>
              <w:widowControl/>
              <w:spacing w:after="0" w:line="279" w:lineRule="auto"/>
              <w:jc w:val="left"/>
              <w:textAlignment w:val="center"/>
              <w:rPr>
                <w:color w:val="auto"/>
                <w:sz w:val="22"/>
                <w:szCs w:val="22"/>
                <w:highlight w:val="none"/>
              </w:rPr>
            </w:pPr>
            <w:r>
              <w:rPr>
                <w:rFonts w:hint="eastAsia"/>
                <w:color w:val="auto"/>
                <w:sz w:val="22"/>
                <w:szCs w:val="22"/>
                <w:highlight w:val="none"/>
              </w:rPr>
              <w:t>机箱一体化，集成补光灯；</w:t>
            </w:r>
          </w:p>
          <w:p w14:paraId="267C2843">
            <w:pPr>
              <w:widowControl/>
              <w:spacing w:after="0" w:line="279" w:lineRule="auto"/>
              <w:jc w:val="left"/>
              <w:textAlignment w:val="center"/>
              <w:rPr>
                <w:color w:val="auto"/>
                <w:sz w:val="22"/>
                <w:szCs w:val="22"/>
                <w:highlight w:val="none"/>
              </w:rPr>
            </w:pPr>
            <w:r>
              <w:rPr>
                <w:rFonts w:hint="eastAsia"/>
                <w:color w:val="auto"/>
                <w:sz w:val="22"/>
                <w:szCs w:val="22"/>
                <w:highlight w:val="none"/>
              </w:rPr>
              <w:t>内置车牌识别算法，支持线圈触发、视频触发、混合模式触发；</w:t>
            </w:r>
          </w:p>
          <w:p w14:paraId="1D9F946A">
            <w:pPr>
              <w:widowControl/>
              <w:spacing w:after="0" w:line="279" w:lineRule="auto"/>
              <w:jc w:val="left"/>
              <w:textAlignment w:val="center"/>
              <w:rPr>
                <w:color w:val="auto"/>
                <w:sz w:val="22"/>
                <w:szCs w:val="22"/>
                <w:highlight w:val="none"/>
              </w:rPr>
            </w:pPr>
            <w:r>
              <w:rPr>
                <w:rFonts w:hint="eastAsia"/>
                <w:color w:val="auto"/>
                <w:sz w:val="22"/>
                <w:szCs w:val="22"/>
                <w:highlight w:val="none"/>
              </w:rPr>
              <w:t>智能管控，无人值守；</w:t>
            </w:r>
          </w:p>
          <w:p w14:paraId="5F7300FF">
            <w:pPr>
              <w:widowControl/>
              <w:spacing w:after="0" w:line="279" w:lineRule="auto"/>
              <w:jc w:val="left"/>
              <w:textAlignment w:val="center"/>
              <w:rPr>
                <w:rFonts w:ascii="宋体" w:hAnsi="宋体" w:cs="宋体"/>
                <w:color w:val="auto"/>
                <w:sz w:val="22"/>
                <w:szCs w:val="22"/>
                <w:highlight w:val="none"/>
              </w:rPr>
            </w:pPr>
            <w:r>
              <w:rPr>
                <w:rFonts w:hint="eastAsia"/>
                <w:color w:val="auto"/>
                <w:sz w:val="22"/>
                <w:szCs w:val="22"/>
                <w:highlight w:val="none"/>
              </w:rPr>
              <w:t>入出口同款机箱，带四行显示屏，可显示剩余车位、收费金额等信息。</w:t>
            </w:r>
          </w:p>
        </w:tc>
        <w:tc>
          <w:tcPr>
            <w:tcW w:w="780" w:type="dxa"/>
            <w:tcBorders>
              <w:top w:val="single" w:color="000000" w:sz="4" w:space="0"/>
              <w:left w:val="single" w:color="000000" w:sz="4" w:space="0"/>
              <w:bottom w:val="single" w:color="000000" w:sz="4" w:space="0"/>
              <w:right w:val="single" w:color="000000" w:sz="4" w:space="0"/>
            </w:tcBorders>
            <w:vAlign w:val="center"/>
          </w:tcPr>
          <w:p w14:paraId="4FE102F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615" w:type="dxa"/>
            <w:tcBorders>
              <w:top w:val="single" w:color="000000" w:sz="4" w:space="0"/>
              <w:left w:val="single" w:color="000000" w:sz="4" w:space="0"/>
              <w:bottom w:val="single" w:color="000000" w:sz="4" w:space="0"/>
              <w:right w:val="single" w:color="000000" w:sz="4" w:space="0"/>
            </w:tcBorders>
            <w:vAlign w:val="center"/>
          </w:tcPr>
          <w:p w14:paraId="0594324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67BD3A5B">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7578F6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3.4.2</w:t>
            </w:r>
          </w:p>
        </w:tc>
        <w:tc>
          <w:tcPr>
            <w:tcW w:w="1110" w:type="dxa"/>
            <w:tcBorders>
              <w:top w:val="single" w:color="000000" w:sz="4" w:space="0"/>
              <w:left w:val="single" w:color="000000" w:sz="4" w:space="0"/>
              <w:bottom w:val="single" w:color="000000" w:sz="4" w:space="0"/>
              <w:right w:val="single" w:color="000000" w:sz="4" w:space="0"/>
            </w:tcBorders>
            <w:vAlign w:val="center"/>
          </w:tcPr>
          <w:p w14:paraId="3D1D5D5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道闸</w:t>
            </w:r>
          </w:p>
        </w:tc>
        <w:tc>
          <w:tcPr>
            <w:tcW w:w="6120" w:type="dxa"/>
            <w:tcBorders>
              <w:top w:val="single" w:color="000000" w:sz="4" w:space="0"/>
              <w:left w:val="single" w:color="000000" w:sz="4" w:space="0"/>
              <w:bottom w:val="single" w:color="000000" w:sz="4" w:space="0"/>
              <w:right w:val="single" w:color="000000" w:sz="4" w:space="0"/>
            </w:tcBorders>
            <w:vAlign w:val="center"/>
          </w:tcPr>
          <w:p w14:paraId="17A02E2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1.道闸采用24V直流变频电机，免除传统道闸限位板，产品全程数字化控制，避免机械限位调节的繁琐流程;起落杆速度1-6秒可调节；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2.独特的防砸功能(遇阻反弹)，完全通过数字化监测，砸杆力度\和反应时间可自由调节，整个过程无需增加任何辅助设备（压力电波，红外感应等）；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3.杆长选择：最大直杆长度6米，栅栏杆4.5米。折杆5米；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4.方向选择:右向/左向。</w:t>
            </w:r>
          </w:p>
        </w:tc>
        <w:tc>
          <w:tcPr>
            <w:tcW w:w="780" w:type="dxa"/>
            <w:tcBorders>
              <w:top w:val="single" w:color="000000" w:sz="4" w:space="0"/>
              <w:left w:val="single" w:color="000000" w:sz="4" w:space="0"/>
              <w:bottom w:val="single" w:color="000000" w:sz="4" w:space="0"/>
              <w:right w:val="single" w:color="000000" w:sz="4" w:space="0"/>
            </w:tcBorders>
            <w:vAlign w:val="center"/>
          </w:tcPr>
          <w:p w14:paraId="78476C0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615" w:type="dxa"/>
            <w:tcBorders>
              <w:top w:val="single" w:color="000000" w:sz="4" w:space="0"/>
              <w:left w:val="single" w:color="000000" w:sz="4" w:space="0"/>
              <w:bottom w:val="single" w:color="000000" w:sz="4" w:space="0"/>
              <w:right w:val="single" w:color="000000" w:sz="4" w:space="0"/>
            </w:tcBorders>
            <w:vAlign w:val="center"/>
          </w:tcPr>
          <w:p w14:paraId="5B37EC8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618987CB">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07709B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3.4.3</w:t>
            </w:r>
          </w:p>
        </w:tc>
        <w:tc>
          <w:tcPr>
            <w:tcW w:w="1110" w:type="dxa"/>
            <w:tcBorders>
              <w:top w:val="single" w:color="000000" w:sz="4" w:space="0"/>
              <w:left w:val="single" w:color="000000" w:sz="4" w:space="0"/>
              <w:bottom w:val="single" w:color="000000" w:sz="4" w:space="0"/>
              <w:right w:val="single" w:color="000000" w:sz="4" w:space="0"/>
            </w:tcBorders>
            <w:vAlign w:val="center"/>
          </w:tcPr>
          <w:p w14:paraId="28C8898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出入口控制终端</w:t>
            </w:r>
          </w:p>
        </w:tc>
        <w:tc>
          <w:tcPr>
            <w:tcW w:w="6120" w:type="dxa"/>
            <w:tcBorders>
              <w:top w:val="single" w:color="000000" w:sz="4" w:space="0"/>
              <w:left w:val="single" w:color="000000" w:sz="4" w:space="0"/>
              <w:bottom w:val="single" w:color="000000" w:sz="4" w:space="0"/>
              <w:right w:val="single" w:color="000000" w:sz="4" w:space="0"/>
            </w:tcBorders>
            <w:vAlign w:val="center"/>
          </w:tcPr>
          <w:p w14:paraId="1D7066FA">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双千兆网卡，支持网络容错以及双网络IP设定、双网隔离等应用；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多个千兆自适应RJ45网口具备交换机功能，可接入多路网络设备；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标准全功能RS232接口，可直接接入标准RS232接口设备；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标配128G SSD，支持大容量图片存储，可选配一块3.5寸机械硬盘；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3.5mm标准音频孔设计，便于接入标准接口音频设备；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HDMI/VGA显示器输出支持，较好的兼容外部显示设备接入；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工作温度 -10℃~+50℃；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存储功能：128G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音频输入：3.5MM标准输入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音频输出：3.5MM标准输出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报警输入：2路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报警输出：2路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RS232接口：2路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RS485接口：1路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USB接口：4个USB接口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VGA接口：1路VGA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网络接口：1个千兆外网网口+8个百兆内网网口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HDMI：1路</w:t>
            </w:r>
          </w:p>
        </w:tc>
        <w:tc>
          <w:tcPr>
            <w:tcW w:w="780" w:type="dxa"/>
            <w:tcBorders>
              <w:top w:val="single" w:color="000000" w:sz="4" w:space="0"/>
              <w:left w:val="single" w:color="000000" w:sz="4" w:space="0"/>
              <w:bottom w:val="single" w:color="000000" w:sz="4" w:space="0"/>
              <w:right w:val="single" w:color="000000" w:sz="4" w:space="0"/>
            </w:tcBorders>
            <w:vAlign w:val="center"/>
          </w:tcPr>
          <w:p w14:paraId="0D36246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15" w:type="dxa"/>
            <w:tcBorders>
              <w:top w:val="single" w:color="000000" w:sz="4" w:space="0"/>
              <w:left w:val="single" w:color="000000" w:sz="4" w:space="0"/>
              <w:bottom w:val="single" w:color="000000" w:sz="4" w:space="0"/>
              <w:right w:val="single" w:color="000000" w:sz="4" w:space="0"/>
            </w:tcBorders>
            <w:vAlign w:val="center"/>
          </w:tcPr>
          <w:p w14:paraId="0976E5A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4CBC912E">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192A28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3.4.4</w:t>
            </w:r>
          </w:p>
        </w:tc>
        <w:tc>
          <w:tcPr>
            <w:tcW w:w="1110" w:type="dxa"/>
            <w:tcBorders>
              <w:top w:val="single" w:color="000000" w:sz="4" w:space="0"/>
              <w:left w:val="single" w:color="000000" w:sz="4" w:space="0"/>
              <w:bottom w:val="single" w:color="000000" w:sz="4" w:space="0"/>
              <w:right w:val="single" w:color="000000" w:sz="4" w:space="0"/>
            </w:tcBorders>
            <w:vAlign w:val="center"/>
          </w:tcPr>
          <w:p w14:paraId="1500FED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辅助摄像机</w:t>
            </w:r>
          </w:p>
        </w:tc>
        <w:tc>
          <w:tcPr>
            <w:tcW w:w="6120" w:type="dxa"/>
            <w:tcBorders>
              <w:top w:val="single" w:color="000000" w:sz="4" w:space="0"/>
              <w:left w:val="single" w:color="000000" w:sz="4" w:space="0"/>
              <w:bottom w:val="single" w:color="000000" w:sz="4" w:space="0"/>
              <w:right w:val="single" w:color="000000" w:sz="4" w:space="0"/>
            </w:tcBorders>
            <w:vAlign w:val="center"/>
          </w:tcPr>
          <w:p w14:paraId="68FA053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1、典型车牌识别率99%：支持识别普通蓝牌、新能源车牌、单双层黄牌（含泥头车）、单双层军/营牌使领馆、港澳入出大陆车牌、应急车牌等多种车牌的牌号、颜色、类型等，典型场景中主流车牌识别率确达99%；</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2、无牌车非机动车免地感触发：可识别车头、车标（品牌）信息，实现无牌车\非机动车辆通过视频触发的效果，有效取代传统的地感线圈，简化施工难度，降低部署成本；</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3、高清像素：500万高清成像效果，提供最大2304*1296分辨率的视频和图片输出；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4、采用TCP/IP协议接入外部网络系统，MJPEG格式传输视频流，兼容90%主流浏览器。无需额外安装视频控件，就可以轻松管理相机。</w:t>
            </w:r>
          </w:p>
        </w:tc>
        <w:tc>
          <w:tcPr>
            <w:tcW w:w="780" w:type="dxa"/>
            <w:tcBorders>
              <w:top w:val="single" w:color="000000" w:sz="4" w:space="0"/>
              <w:left w:val="single" w:color="000000" w:sz="4" w:space="0"/>
              <w:bottom w:val="single" w:color="000000" w:sz="4" w:space="0"/>
              <w:right w:val="single" w:color="000000" w:sz="4" w:space="0"/>
            </w:tcBorders>
            <w:vAlign w:val="center"/>
          </w:tcPr>
          <w:p w14:paraId="5FE53B1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615" w:type="dxa"/>
            <w:tcBorders>
              <w:top w:val="single" w:color="000000" w:sz="4" w:space="0"/>
              <w:left w:val="single" w:color="000000" w:sz="4" w:space="0"/>
              <w:bottom w:val="single" w:color="000000" w:sz="4" w:space="0"/>
              <w:right w:val="single" w:color="000000" w:sz="4" w:space="0"/>
            </w:tcBorders>
            <w:vAlign w:val="center"/>
          </w:tcPr>
          <w:p w14:paraId="46E1534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7023774E">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EA351F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3.4.5</w:t>
            </w:r>
          </w:p>
        </w:tc>
        <w:tc>
          <w:tcPr>
            <w:tcW w:w="1110" w:type="dxa"/>
            <w:tcBorders>
              <w:top w:val="single" w:color="000000" w:sz="4" w:space="0"/>
              <w:left w:val="single" w:color="000000" w:sz="4" w:space="0"/>
              <w:bottom w:val="single" w:color="000000" w:sz="4" w:space="0"/>
              <w:right w:val="single" w:color="000000" w:sz="4" w:space="0"/>
            </w:tcBorders>
            <w:vAlign w:val="center"/>
          </w:tcPr>
          <w:p w14:paraId="581B790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减速带</w:t>
            </w:r>
          </w:p>
        </w:tc>
        <w:tc>
          <w:tcPr>
            <w:tcW w:w="6120" w:type="dxa"/>
            <w:tcBorders>
              <w:top w:val="single" w:color="000000" w:sz="4" w:space="0"/>
              <w:left w:val="single" w:color="000000" w:sz="4" w:space="0"/>
              <w:bottom w:val="single" w:color="000000" w:sz="4" w:space="0"/>
              <w:right w:val="single" w:color="000000" w:sz="4" w:space="0"/>
            </w:tcBorders>
            <w:vAlign w:val="center"/>
          </w:tcPr>
          <w:p w14:paraId="521B734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铸铁、高40mm*宽280mm。</w:t>
            </w:r>
          </w:p>
        </w:tc>
        <w:tc>
          <w:tcPr>
            <w:tcW w:w="780" w:type="dxa"/>
            <w:tcBorders>
              <w:top w:val="single" w:color="000000" w:sz="4" w:space="0"/>
              <w:left w:val="single" w:color="000000" w:sz="4" w:space="0"/>
              <w:bottom w:val="single" w:color="000000" w:sz="4" w:space="0"/>
              <w:right w:val="single" w:color="000000" w:sz="4" w:space="0"/>
            </w:tcBorders>
            <w:vAlign w:val="center"/>
          </w:tcPr>
          <w:p w14:paraId="26E1D50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209</w:t>
            </w:r>
          </w:p>
        </w:tc>
        <w:tc>
          <w:tcPr>
            <w:tcW w:w="615" w:type="dxa"/>
            <w:tcBorders>
              <w:top w:val="single" w:color="000000" w:sz="4" w:space="0"/>
              <w:left w:val="single" w:color="000000" w:sz="4" w:space="0"/>
              <w:bottom w:val="single" w:color="000000" w:sz="4" w:space="0"/>
              <w:right w:val="single" w:color="000000" w:sz="4" w:space="0"/>
            </w:tcBorders>
            <w:vAlign w:val="center"/>
          </w:tcPr>
          <w:p w14:paraId="7354F3E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583DED49">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212FAD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3.4.6</w:t>
            </w:r>
          </w:p>
        </w:tc>
        <w:tc>
          <w:tcPr>
            <w:tcW w:w="1110" w:type="dxa"/>
            <w:tcBorders>
              <w:top w:val="single" w:color="000000" w:sz="4" w:space="0"/>
              <w:left w:val="single" w:color="000000" w:sz="4" w:space="0"/>
              <w:bottom w:val="single" w:color="000000" w:sz="4" w:space="0"/>
              <w:right w:val="single" w:color="000000" w:sz="4" w:space="0"/>
            </w:tcBorders>
            <w:vAlign w:val="center"/>
          </w:tcPr>
          <w:p w14:paraId="42EDA58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防撞柱</w:t>
            </w:r>
          </w:p>
        </w:tc>
        <w:tc>
          <w:tcPr>
            <w:tcW w:w="6120" w:type="dxa"/>
            <w:tcBorders>
              <w:top w:val="single" w:color="000000" w:sz="4" w:space="0"/>
              <w:left w:val="single" w:color="000000" w:sz="4" w:space="0"/>
              <w:bottom w:val="single" w:color="000000" w:sz="4" w:space="0"/>
              <w:right w:val="single" w:color="000000" w:sz="4" w:space="0"/>
            </w:tcBorders>
            <w:vAlign w:val="center"/>
          </w:tcPr>
          <w:p w14:paraId="3B4B3E5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塑胶，国产优质。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14:paraId="53A8832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160</w:t>
            </w:r>
          </w:p>
        </w:tc>
        <w:tc>
          <w:tcPr>
            <w:tcW w:w="615" w:type="dxa"/>
            <w:tcBorders>
              <w:top w:val="single" w:color="000000" w:sz="4" w:space="0"/>
              <w:left w:val="single" w:color="000000" w:sz="4" w:space="0"/>
              <w:bottom w:val="single" w:color="000000" w:sz="4" w:space="0"/>
              <w:right w:val="single" w:color="000000" w:sz="4" w:space="0"/>
            </w:tcBorders>
            <w:vAlign w:val="center"/>
          </w:tcPr>
          <w:p w14:paraId="75B1F87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w:t>
            </w:r>
          </w:p>
        </w:tc>
      </w:tr>
      <w:tr w14:paraId="09F4C009">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53EBEC4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3.4.7</w:t>
            </w:r>
          </w:p>
        </w:tc>
        <w:tc>
          <w:tcPr>
            <w:tcW w:w="1110" w:type="dxa"/>
            <w:tcBorders>
              <w:top w:val="single" w:color="000000" w:sz="4" w:space="0"/>
              <w:left w:val="single" w:color="000000" w:sz="4" w:space="0"/>
              <w:bottom w:val="single" w:color="000000" w:sz="4" w:space="0"/>
              <w:right w:val="single" w:color="000000" w:sz="4" w:space="0"/>
            </w:tcBorders>
            <w:vAlign w:val="center"/>
          </w:tcPr>
          <w:p w14:paraId="3F40B41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单路车辆探测器</w:t>
            </w:r>
          </w:p>
        </w:tc>
        <w:tc>
          <w:tcPr>
            <w:tcW w:w="6120" w:type="dxa"/>
            <w:tcBorders>
              <w:top w:val="single" w:color="000000" w:sz="4" w:space="0"/>
              <w:left w:val="single" w:color="000000" w:sz="4" w:space="0"/>
              <w:bottom w:val="single" w:color="000000" w:sz="4" w:space="0"/>
              <w:right w:val="single" w:color="000000" w:sz="4" w:space="0"/>
            </w:tcBorders>
            <w:vAlign w:val="center"/>
          </w:tcPr>
          <w:p w14:paraId="7B14749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响应时间 100ms 环境补偿 自动漂移补偿；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线圈电感 200－400微亨（包含连接线） 存储条件 -40℃~85℃ 相对湿度&lt;90%；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工作条件 -20℃~65℃ 相对湿度&lt;90%；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使用电线 BVR2.0mm2导线，总电阻（含线圈与引线）〈9Ω。</w:t>
            </w:r>
          </w:p>
        </w:tc>
        <w:tc>
          <w:tcPr>
            <w:tcW w:w="780" w:type="dxa"/>
            <w:tcBorders>
              <w:top w:val="single" w:color="000000" w:sz="4" w:space="0"/>
              <w:left w:val="single" w:color="000000" w:sz="4" w:space="0"/>
              <w:bottom w:val="single" w:color="000000" w:sz="4" w:space="0"/>
              <w:right w:val="single" w:color="000000" w:sz="4" w:space="0"/>
            </w:tcBorders>
            <w:vAlign w:val="center"/>
          </w:tcPr>
          <w:p w14:paraId="1D282D9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615" w:type="dxa"/>
            <w:tcBorders>
              <w:top w:val="single" w:color="000000" w:sz="4" w:space="0"/>
              <w:left w:val="single" w:color="000000" w:sz="4" w:space="0"/>
              <w:bottom w:val="single" w:color="000000" w:sz="4" w:space="0"/>
              <w:right w:val="single" w:color="000000" w:sz="4" w:space="0"/>
            </w:tcBorders>
            <w:vAlign w:val="center"/>
          </w:tcPr>
          <w:p w14:paraId="7AF5478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1C5A823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B02BB4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3.4.8</w:t>
            </w:r>
          </w:p>
        </w:tc>
        <w:tc>
          <w:tcPr>
            <w:tcW w:w="1110" w:type="dxa"/>
            <w:tcBorders>
              <w:top w:val="single" w:color="000000" w:sz="4" w:space="0"/>
              <w:left w:val="single" w:color="000000" w:sz="4" w:space="0"/>
              <w:bottom w:val="single" w:color="000000" w:sz="4" w:space="0"/>
              <w:right w:val="single" w:color="000000" w:sz="4" w:space="0"/>
            </w:tcBorders>
            <w:vAlign w:val="center"/>
          </w:tcPr>
          <w:p w14:paraId="304ABCB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地感线圈</w:t>
            </w:r>
          </w:p>
        </w:tc>
        <w:tc>
          <w:tcPr>
            <w:tcW w:w="6120" w:type="dxa"/>
            <w:tcBorders>
              <w:top w:val="single" w:color="000000" w:sz="4" w:space="0"/>
              <w:left w:val="single" w:color="000000" w:sz="4" w:space="0"/>
              <w:bottom w:val="single" w:color="000000" w:sz="4" w:space="0"/>
              <w:right w:val="single" w:color="000000" w:sz="4" w:space="0"/>
            </w:tcBorders>
            <w:vAlign w:val="center"/>
          </w:tcPr>
          <w:p w14:paraId="6D80EA2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该产品通过感应车辆的金属物体，能够准确检测车辆的到达和离开，提供实时数据支持。其安装简便，适合各种地面类型，能够有效提升停车场的管理效率和安全性。此外，地感线圈与停车管理系统的无缝集成，使得车辆进出信息实时更新，为车主提供更便捷的停车体验。根据现场绕制，用水泥或者沥青封住RV-1*0.75mm2。</w:t>
            </w:r>
          </w:p>
        </w:tc>
        <w:tc>
          <w:tcPr>
            <w:tcW w:w="780" w:type="dxa"/>
            <w:tcBorders>
              <w:top w:val="single" w:color="000000" w:sz="4" w:space="0"/>
              <w:left w:val="single" w:color="000000" w:sz="4" w:space="0"/>
              <w:bottom w:val="single" w:color="000000" w:sz="4" w:space="0"/>
              <w:right w:val="single" w:color="000000" w:sz="4" w:space="0"/>
            </w:tcBorders>
            <w:vAlign w:val="center"/>
          </w:tcPr>
          <w:p w14:paraId="236EEE0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615" w:type="dxa"/>
            <w:tcBorders>
              <w:top w:val="single" w:color="000000" w:sz="4" w:space="0"/>
              <w:left w:val="single" w:color="000000" w:sz="4" w:space="0"/>
              <w:bottom w:val="single" w:color="000000" w:sz="4" w:space="0"/>
              <w:right w:val="single" w:color="000000" w:sz="4" w:space="0"/>
            </w:tcBorders>
            <w:vAlign w:val="center"/>
          </w:tcPr>
          <w:p w14:paraId="4AC2A37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41C2391D">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60E1D5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3.4.9</w:t>
            </w:r>
          </w:p>
        </w:tc>
        <w:tc>
          <w:tcPr>
            <w:tcW w:w="1110" w:type="dxa"/>
            <w:tcBorders>
              <w:top w:val="single" w:color="000000" w:sz="4" w:space="0"/>
              <w:left w:val="single" w:color="000000" w:sz="4" w:space="0"/>
              <w:bottom w:val="single" w:color="000000" w:sz="4" w:space="0"/>
              <w:right w:val="single" w:color="000000" w:sz="4" w:space="0"/>
            </w:tcBorders>
            <w:vAlign w:val="center"/>
          </w:tcPr>
          <w:p w14:paraId="66C29697">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防砸雷达</w:t>
            </w:r>
          </w:p>
        </w:tc>
        <w:tc>
          <w:tcPr>
            <w:tcW w:w="6120" w:type="dxa"/>
            <w:tcBorders>
              <w:top w:val="single" w:color="000000" w:sz="4" w:space="0"/>
              <w:left w:val="single" w:color="000000" w:sz="4" w:space="0"/>
              <w:bottom w:val="single" w:color="000000" w:sz="4" w:space="0"/>
              <w:right w:val="single" w:color="000000" w:sz="4" w:space="0"/>
            </w:tcBorders>
            <w:vAlign w:val="center"/>
          </w:tcPr>
          <w:p w14:paraId="3218662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工作电压：10-16V；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防水等级：IP66；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通讯：RS485/蓝牙；</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检测范围：纵向1-6m；横向±1.5m。</w:t>
            </w:r>
          </w:p>
        </w:tc>
        <w:tc>
          <w:tcPr>
            <w:tcW w:w="780" w:type="dxa"/>
            <w:tcBorders>
              <w:top w:val="single" w:color="000000" w:sz="4" w:space="0"/>
              <w:left w:val="single" w:color="000000" w:sz="4" w:space="0"/>
              <w:bottom w:val="single" w:color="000000" w:sz="4" w:space="0"/>
              <w:right w:val="single" w:color="000000" w:sz="4" w:space="0"/>
            </w:tcBorders>
            <w:vAlign w:val="center"/>
          </w:tcPr>
          <w:p w14:paraId="3E11CC4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615" w:type="dxa"/>
            <w:tcBorders>
              <w:top w:val="single" w:color="000000" w:sz="4" w:space="0"/>
              <w:left w:val="single" w:color="000000" w:sz="4" w:space="0"/>
              <w:bottom w:val="single" w:color="000000" w:sz="4" w:space="0"/>
              <w:right w:val="single" w:color="000000" w:sz="4" w:space="0"/>
            </w:tcBorders>
            <w:vAlign w:val="center"/>
          </w:tcPr>
          <w:p w14:paraId="570C018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个</w:t>
            </w:r>
          </w:p>
        </w:tc>
      </w:tr>
      <w:tr w14:paraId="2169B927">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FCB8BD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3.4.10</w:t>
            </w:r>
          </w:p>
        </w:tc>
        <w:tc>
          <w:tcPr>
            <w:tcW w:w="1110" w:type="dxa"/>
            <w:tcBorders>
              <w:top w:val="single" w:color="000000" w:sz="4" w:space="0"/>
              <w:left w:val="single" w:color="000000" w:sz="4" w:space="0"/>
              <w:bottom w:val="single" w:color="000000" w:sz="4" w:space="0"/>
              <w:right w:val="single" w:color="000000" w:sz="4" w:space="0"/>
            </w:tcBorders>
            <w:vAlign w:val="center"/>
          </w:tcPr>
          <w:p w14:paraId="4F3AEBC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机动车道闸安全岛</w:t>
            </w:r>
          </w:p>
        </w:tc>
        <w:tc>
          <w:tcPr>
            <w:tcW w:w="6120" w:type="dxa"/>
            <w:tcBorders>
              <w:top w:val="single" w:color="000000" w:sz="4" w:space="0"/>
              <w:left w:val="single" w:color="000000" w:sz="4" w:space="0"/>
              <w:bottom w:val="single" w:color="000000" w:sz="4" w:space="0"/>
              <w:right w:val="single" w:color="000000" w:sz="4" w:space="0"/>
            </w:tcBorders>
            <w:vAlign w:val="center"/>
          </w:tcPr>
          <w:p w14:paraId="44406047">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550*150*1200mm。</w:t>
            </w:r>
          </w:p>
        </w:tc>
        <w:tc>
          <w:tcPr>
            <w:tcW w:w="780" w:type="dxa"/>
            <w:tcBorders>
              <w:top w:val="single" w:color="000000" w:sz="4" w:space="0"/>
              <w:left w:val="single" w:color="000000" w:sz="4" w:space="0"/>
              <w:bottom w:val="single" w:color="000000" w:sz="4" w:space="0"/>
              <w:right w:val="single" w:color="000000" w:sz="4" w:space="0"/>
            </w:tcBorders>
            <w:vAlign w:val="center"/>
          </w:tcPr>
          <w:p w14:paraId="1E7FEAC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615" w:type="dxa"/>
            <w:tcBorders>
              <w:top w:val="single" w:color="000000" w:sz="4" w:space="0"/>
              <w:left w:val="single" w:color="000000" w:sz="4" w:space="0"/>
              <w:bottom w:val="single" w:color="000000" w:sz="4" w:space="0"/>
              <w:right w:val="single" w:color="000000" w:sz="4" w:space="0"/>
            </w:tcBorders>
            <w:vAlign w:val="center"/>
          </w:tcPr>
          <w:p w14:paraId="7C85794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座</w:t>
            </w:r>
          </w:p>
        </w:tc>
      </w:tr>
      <w:tr w14:paraId="3BC10561">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4581CD15">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3.5</w:t>
            </w:r>
          </w:p>
        </w:tc>
        <w:tc>
          <w:tcPr>
            <w:tcW w:w="1110" w:type="dxa"/>
            <w:tcBorders>
              <w:top w:val="single" w:color="000000" w:sz="4" w:space="0"/>
              <w:left w:val="single" w:color="000000" w:sz="4" w:space="0"/>
              <w:bottom w:val="single" w:color="000000" w:sz="4" w:space="0"/>
              <w:right w:val="single" w:color="000000" w:sz="4" w:space="0"/>
            </w:tcBorders>
            <w:vAlign w:val="center"/>
          </w:tcPr>
          <w:p w14:paraId="02715103">
            <w:pPr>
              <w:widowControl/>
              <w:spacing w:after="0" w:line="279"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出入口岗亭建设</w:t>
            </w:r>
          </w:p>
        </w:tc>
        <w:tc>
          <w:tcPr>
            <w:tcW w:w="6120" w:type="dxa"/>
            <w:tcBorders>
              <w:top w:val="single" w:color="000000" w:sz="4" w:space="0"/>
              <w:left w:val="single" w:color="000000" w:sz="4" w:space="0"/>
              <w:bottom w:val="single" w:color="000000" w:sz="4" w:space="0"/>
              <w:right w:val="single" w:color="000000" w:sz="4" w:space="0"/>
            </w:tcBorders>
            <w:vAlign w:val="center"/>
          </w:tcPr>
          <w:p w14:paraId="43DCF425">
            <w:pPr>
              <w:widowControl/>
              <w:spacing w:after="0" w:line="279" w:lineRule="auto"/>
              <w:jc w:val="left"/>
              <w:rPr>
                <w:rFonts w:ascii="宋体" w:hAnsi="宋体" w:cs="宋体"/>
                <w:color w:val="auto"/>
                <w:sz w:val="22"/>
                <w:szCs w:val="22"/>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5194C3ED">
            <w:pPr>
              <w:widowControl/>
              <w:spacing w:after="0" w:line="279" w:lineRule="auto"/>
              <w:jc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490B4B1">
            <w:pPr>
              <w:widowControl/>
              <w:spacing w:after="0" w:line="279" w:lineRule="auto"/>
              <w:jc w:val="center"/>
              <w:rPr>
                <w:rFonts w:ascii="宋体" w:hAnsi="宋体" w:cs="宋体"/>
                <w:color w:val="auto"/>
                <w:sz w:val="22"/>
                <w:szCs w:val="22"/>
                <w:highlight w:val="none"/>
              </w:rPr>
            </w:pPr>
          </w:p>
        </w:tc>
      </w:tr>
      <w:tr w14:paraId="56AB5278">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D04632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3.5.1</w:t>
            </w:r>
          </w:p>
        </w:tc>
        <w:tc>
          <w:tcPr>
            <w:tcW w:w="1110" w:type="dxa"/>
            <w:tcBorders>
              <w:top w:val="single" w:color="000000" w:sz="4" w:space="0"/>
              <w:left w:val="single" w:color="000000" w:sz="4" w:space="0"/>
              <w:bottom w:val="single" w:color="000000" w:sz="4" w:space="0"/>
              <w:right w:val="single" w:color="000000" w:sz="4" w:space="0"/>
            </w:tcBorders>
            <w:vAlign w:val="center"/>
          </w:tcPr>
          <w:p w14:paraId="1DCEB6E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岗亭</w:t>
            </w:r>
          </w:p>
        </w:tc>
        <w:tc>
          <w:tcPr>
            <w:tcW w:w="6120" w:type="dxa"/>
            <w:tcBorders>
              <w:top w:val="single" w:color="000000" w:sz="4" w:space="0"/>
              <w:left w:val="single" w:color="000000" w:sz="4" w:space="0"/>
              <w:bottom w:val="single" w:color="000000" w:sz="4" w:space="0"/>
              <w:right w:val="single" w:color="000000" w:sz="4" w:space="0"/>
            </w:tcBorders>
            <w:vAlign w:val="center"/>
          </w:tcPr>
          <w:p w14:paraId="5BB6E3E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1.岗亭骨架用1.5mm、2mm、3mmQ235钢板成形制作，蒙皮外壳为不锈钢钢板，其厚度不得小于1.2mm，耐盐雾时间大于1000h，钢板基材应采用镀锌量大于600g/m2(双面)的热浸镀锌基材，其颜色由业主确定；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岗亭窗户采用钢化中空玻璃，前视端(来车方向)除外；岗亭窗户采用推拉窗；岗亭密封性能应符合现行国家标准要求，采用保温节能材料。预留通风、冷暖空调电源等接口、预埋管道及留孔，并应考虑遮阳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3.岗亭内防静电地板。所有门窗五金件、锁等均应使用知名品牌。符合GB/T15102-2006质量标准，地板采用符合SJ/T 10796- 2001《防静电活动地板通用规范》的抗静电活动地板，铺装亭壁夹层采用保温、隔热、隔音、防火、防湖性能良好的材料，收费员操作台采用亚光深灰色防火板；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4.岗亭内均应配置收费操作台(台面外包不锈钢) 和收费员座椅、天棚信号灯、亭内照明灯(含应急灯)、插座及相应配电。</w:t>
            </w:r>
          </w:p>
        </w:tc>
        <w:tc>
          <w:tcPr>
            <w:tcW w:w="780" w:type="dxa"/>
            <w:tcBorders>
              <w:top w:val="single" w:color="000000" w:sz="4" w:space="0"/>
              <w:left w:val="single" w:color="000000" w:sz="4" w:space="0"/>
              <w:bottom w:val="single" w:color="000000" w:sz="4" w:space="0"/>
              <w:right w:val="single" w:color="000000" w:sz="4" w:space="0"/>
            </w:tcBorders>
            <w:vAlign w:val="center"/>
          </w:tcPr>
          <w:p w14:paraId="1FD3AA6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15F8A4A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4FF3188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504591D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3.5.2</w:t>
            </w:r>
          </w:p>
        </w:tc>
        <w:tc>
          <w:tcPr>
            <w:tcW w:w="1110" w:type="dxa"/>
            <w:tcBorders>
              <w:top w:val="single" w:color="000000" w:sz="4" w:space="0"/>
              <w:left w:val="single" w:color="000000" w:sz="4" w:space="0"/>
              <w:bottom w:val="single" w:color="000000" w:sz="4" w:space="0"/>
              <w:right w:val="single" w:color="000000" w:sz="4" w:space="0"/>
            </w:tcBorders>
            <w:vAlign w:val="center"/>
          </w:tcPr>
          <w:p w14:paraId="5567C4B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空调</w:t>
            </w:r>
          </w:p>
        </w:tc>
        <w:tc>
          <w:tcPr>
            <w:tcW w:w="6120" w:type="dxa"/>
            <w:tcBorders>
              <w:top w:val="single" w:color="000000" w:sz="4" w:space="0"/>
              <w:left w:val="single" w:color="000000" w:sz="4" w:space="0"/>
              <w:bottom w:val="single" w:color="000000" w:sz="4" w:space="0"/>
              <w:right w:val="single" w:color="000000" w:sz="4" w:space="0"/>
            </w:tcBorders>
            <w:vAlign w:val="center"/>
          </w:tcPr>
          <w:p w14:paraId="422F4C3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匹数：大1匹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能效等级：1级能效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冷暖方式：冷暖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空调技术：变频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制冷量额定制冷量（W）≥2600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制热量额定制热量（W）≥4000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循环风量（m³/h）≥600 </w:t>
            </w:r>
          </w:p>
        </w:tc>
        <w:tc>
          <w:tcPr>
            <w:tcW w:w="780" w:type="dxa"/>
            <w:tcBorders>
              <w:top w:val="single" w:color="000000" w:sz="4" w:space="0"/>
              <w:left w:val="single" w:color="000000" w:sz="4" w:space="0"/>
              <w:bottom w:val="single" w:color="000000" w:sz="4" w:space="0"/>
              <w:right w:val="single" w:color="000000" w:sz="4" w:space="0"/>
            </w:tcBorders>
            <w:vAlign w:val="center"/>
          </w:tcPr>
          <w:p w14:paraId="43B7031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6E17A2F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6D538AB7">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FF5159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3.5.3</w:t>
            </w:r>
          </w:p>
        </w:tc>
        <w:tc>
          <w:tcPr>
            <w:tcW w:w="1110" w:type="dxa"/>
            <w:tcBorders>
              <w:top w:val="single" w:color="000000" w:sz="4" w:space="0"/>
              <w:left w:val="single" w:color="000000" w:sz="4" w:space="0"/>
              <w:bottom w:val="single" w:color="000000" w:sz="4" w:space="0"/>
              <w:right w:val="single" w:color="000000" w:sz="4" w:space="0"/>
            </w:tcBorders>
            <w:vAlign w:val="center"/>
          </w:tcPr>
          <w:p w14:paraId="1A08409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岗亭电源线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0CED34F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YJV 3×6mm2。</w:t>
            </w:r>
          </w:p>
        </w:tc>
        <w:tc>
          <w:tcPr>
            <w:tcW w:w="780" w:type="dxa"/>
            <w:tcBorders>
              <w:top w:val="single" w:color="000000" w:sz="4" w:space="0"/>
              <w:left w:val="single" w:color="000000" w:sz="4" w:space="0"/>
              <w:bottom w:val="single" w:color="000000" w:sz="4" w:space="0"/>
              <w:right w:val="single" w:color="000000" w:sz="4" w:space="0"/>
            </w:tcBorders>
            <w:vAlign w:val="center"/>
          </w:tcPr>
          <w:p w14:paraId="0F4C783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615" w:type="dxa"/>
            <w:tcBorders>
              <w:top w:val="single" w:color="000000" w:sz="4" w:space="0"/>
              <w:left w:val="single" w:color="000000" w:sz="4" w:space="0"/>
              <w:bottom w:val="single" w:color="000000" w:sz="4" w:space="0"/>
              <w:right w:val="single" w:color="000000" w:sz="4" w:space="0"/>
            </w:tcBorders>
            <w:vAlign w:val="center"/>
          </w:tcPr>
          <w:p w14:paraId="1146861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53BEDFC9">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48E1446">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3.6</w:t>
            </w:r>
          </w:p>
        </w:tc>
        <w:tc>
          <w:tcPr>
            <w:tcW w:w="1110" w:type="dxa"/>
            <w:tcBorders>
              <w:top w:val="single" w:color="000000" w:sz="4" w:space="0"/>
              <w:left w:val="single" w:color="000000" w:sz="4" w:space="0"/>
              <w:bottom w:val="single" w:color="000000" w:sz="4" w:space="0"/>
              <w:right w:val="single" w:color="000000" w:sz="4" w:space="0"/>
            </w:tcBorders>
            <w:vAlign w:val="center"/>
          </w:tcPr>
          <w:p w14:paraId="05E7540F">
            <w:pPr>
              <w:widowControl/>
              <w:spacing w:after="0" w:line="279"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配套设备、线缆</w:t>
            </w:r>
          </w:p>
        </w:tc>
        <w:tc>
          <w:tcPr>
            <w:tcW w:w="6120" w:type="dxa"/>
            <w:tcBorders>
              <w:top w:val="single" w:color="000000" w:sz="4" w:space="0"/>
              <w:left w:val="single" w:color="000000" w:sz="4" w:space="0"/>
              <w:bottom w:val="single" w:color="000000" w:sz="4" w:space="0"/>
              <w:right w:val="single" w:color="000000" w:sz="4" w:space="0"/>
            </w:tcBorders>
            <w:vAlign w:val="center"/>
          </w:tcPr>
          <w:p w14:paraId="1870974C">
            <w:pPr>
              <w:widowControl/>
              <w:spacing w:after="0" w:line="279" w:lineRule="auto"/>
              <w:rPr>
                <w:rFonts w:ascii="宋体" w:hAnsi="宋体" w:cs="宋体"/>
                <w:b/>
                <w:bCs/>
                <w:color w:val="auto"/>
                <w:sz w:val="22"/>
                <w:szCs w:val="22"/>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F44F6A7">
            <w:pPr>
              <w:widowControl/>
              <w:spacing w:after="0" w:line="279" w:lineRule="auto"/>
              <w:jc w:val="center"/>
              <w:rPr>
                <w:rFonts w:ascii="宋体" w:hAnsi="宋体" w:cs="宋体"/>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7348D2F">
            <w:pPr>
              <w:widowControl/>
              <w:spacing w:after="0" w:line="279" w:lineRule="auto"/>
              <w:jc w:val="center"/>
              <w:rPr>
                <w:rFonts w:ascii="宋体" w:hAnsi="宋体" w:cs="宋体"/>
                <w:color w:val="auto"/>
                <w:sz w:val="22"/>
                <w:szCs w:val="22"/>
                <w:highlight w:val="none"/>
              </w:rPr>
            </w:pPr>
          </w:p>
        </w:tc>
      </w:tr>
      <w:tr w14:paraId="1240E3D7">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884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5917">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存储CVR</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41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1.约4U机架式网络存储设备， 1+1冗余电源、冗余风扇，支持7×24小时稳定运行；内置云存储软件。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2.控制器：1个；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3.处理器：≥1颗64位多核处理器；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4.系统内存：≥16GB；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5.系统盘：≥1×240GBSSD；</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6.存储接口：≥36个SATA接口，支持硬盘热插拔；</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7.网络接口：≥4个千兆数据网口，1个千兆管理口；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8.其他接口：≥1×COM，2×USB2.0，2×USB3.0，1×VGA，1×IPMI；</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9.整机电源：≥800W，1+1冗余电源；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10.视频性能：最大支持接入≥500路（最大接入带宽≥1000Mbps）；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11.图片性能：最大支持写250张/秒（单张图片500KB）；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12.设备内置视频云存储软件（含授权）；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13.支持视频流、图片流直存；支持ONVIF、GB/T28181、RTSP等标准协议；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●14.云存储系统支持与视频监控平台、虚拟化平台对接；一套云存储系统支持同时给多个视频监控平台系统提供服务，可提供视频监控业务，具备容错处理能力。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●15.云存储节点单设备支持采用N+M冗余方式进行数据校验存储，不采用传统的RAID磁盘级方式 （如Raid5， Raid6， Vraid，Sraid，SafeVideo等） 进行数据保护；云存储系统空间利用率可调，根据N+M容错配置，可使空间利用率到达95%以上。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16.可自动识别并显示接入的硬盘容量和状态,可显示硬盘组的容量。可在IE浏览器中查看硬盘的SMART信息,查看的硬盘指示灯应闪烁。对RAID阵列中S.M.A.R.T信息有异常的硬盘可自动进行数据拷贝及替换。支持在线获取磁盘日志,在线分析磁盘故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c>
          <w:tcPr>
            <w:tcW w:w="780" w:type="dxa"/>
            <w:tcBorders>
              <w:top w:val="single" w:color="000000" w:sz="4" w:space="0"/>
              <w:left w:val="single" w:color="000000" w:sz="4" w:space="0"/>
              <w:bottom w:val="single" w:color="000000" w:sz="4" w:space="0"/>
              <w:right w:val="single" w:color="000000" w:sz="4" w:space="0"/>
            </w:tcBorders>
            <w:vAlign w:val="center"/>
          </w:tcPr>
          <w:p w14:paraId="504B44C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7E05E7C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1041850A">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30D39F3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3.6.2</w:t>
            </w:r>
          </w:p>
        </w:tc>
        <w:tc>
          <w:tcPr>
            <w:tcW w:w="1110" w:type="dxa"/>
            <w:tcBorders>
              <w:top w:val="single" w:color="000000" w:sz="4" w:space="0"/>
              <w:left w:val="single" w:color="000000" w:sz="4" w:space="0"/>
              <w:bottom w:val="single" w:color="000000" w:sz="4" w:space="0"/>
              <w:right w:val="single" w:color="000000" w:sz="4" w:space="0"/>
            </w:tcBorders>
            <w:vAlign w:val="center"/>
          </w:tcPr>
          <w:p w14:paraId="566E629E">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6U壁挂机柜</w:t>
            </w:r>
          </w:p>
        </w:tc>
        <w:tc>
          <w:tcPr>
            <w:tcW w:w="6120" w:type="dxa"/>
            <w:tcBorders>
              <w:top w:val="single" w:color="000000" w:sz="4" w:space="0"/>
              <w:left w:val="single" w:color="000000" w:sz="4" w:space="0"/>
              <w:bottom w:val="single" w:color="000000" w:sz="4" w:space="0"/>
              <w:right w:val="single" w:color="000000" w:sz="4" w:space="0"/>
            </w:tcBorders>
            <w:vAlign w:val="center"/>
          </w:tcPr>
          <w:p w14:paraId="72B9CD5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生产标准符合ANSI/AIARS-310-D、DIN41491、PART1、IEC297-2、DIN41494、PART7、GB/T3047.2-92标准。兼容19”国际标准和ETSI标准；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基材：优质冷轧SPCC钢板；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厚度：方孔条1.5MM，侧门0.8MM，其余1.2MM,表面处理脱脂、陶化、静电喷塑涂层；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颜色：主体色标号RAL9004（国标色号）；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接地 机柜制有M6*12.7接地螺柱；</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机柜外观：折弯线条平直，门板平整，角弯处整洁，无落料毛刺、焊渣,尖角倒圆、门开启灵活，无擦碰，无异响；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机柜规格：6U  宽度：600MM，深度：450MM  高度370MM；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机柜进出线口 机柜上部靠后1个进线敲落孔，下部靠后1个进线敲落孔，背部2个进线敲落孔，每个敲落孔大小250*60。</w:t>
            </w:r>
          </w:p>
        </w:tc>
        <w:tc>
          <w:tcPr>
            <w:tcW w:w="780" w:type="dxa"/>
            <w:tcBorders>
              <w:top w:val="single" w:color="000000" w:sz="4" w:space="0"/>
              <w:left w:val="single" w:color="000000" w:sz="4" w:space="0"/>
              <w:bottom w:val="single" w:color="000000" w:sz="4" w:space="0"/>
              <w:right w:val="single" w:color="000000" w:sz="4" w:space="0"/>
            </w:tcBorders>
            <w:vAlign w:val="center"/>
          </w:tcPr>
          <w:p w14:paraId="3035615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615" w:type="dxa"/>
            <w:tcBorders>
              <w:top w:val="single" w:color="000000" w:sz="4" w:space="0"/>
              <w:left w:val="single" w:color="000000" w:sz="4" w:space="0"/>
              <w:bottom w:val="single" w:color="000000" w:sz="4" w:space="0"/>
              <w:right w:val="single" w:color="000000" w:sz="4" w:space="0"/>
            </w:tcBorders>
            <w:vAlign w:val="center"/>
          </w:tcPr>
          <w:p w14:paraId="5D49CDD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04F9AFBE">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198503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3.6.3</w:t>
            </w:r>
          </w:p>
        </w:tc>
        <w:tc>
          <w:tcPr>
            <w:tcW w:w="1110" w:type="dxa"/>
            <w:tcBorders>
              <w:top w:val="single" w:color="000000" w:sz="4" w:space="0"/>
              <w:left w:val="single" w:color="000000" w:sz="4" w:space="0"/>
              <w:bottom w:val="single" w:color="000000" w:sz="4" w:space="0"/>
              <w:right w:val="single" w:color="000000" w:sz="4" w:space="0"/>
            </w:tcBorders>
            <w:vAlign w:val="center"/>
          </w:tcPr>
          <w:p w14:paraId="49F97F8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室外防雨设备箱</w:t>
            </w:r>
          </w:p>
        </w:tc>
        <w:tc>
          <w:tcPr>
            <w:tcW w:w="6120" w:type="dxa"/>
            <w:tcBorders>
              <w:top w:val="single" w:color="000000" w:sz="4" w:space="0"/>
              <w:left w:val="single" w:color="000000" w:sz="4" w:space="0"/>
              <w:bottom w:val="single" w:color="000000" w:sz="4" w:space="0"/>
              <w:right w:val="single" w:color="000000" w:sz="4" w:space="0"/>
            </w:tcBorders>
            <w:vAlign w:val="center"/>
          </w:tcPr>
          <w:p w14:paraId="37198E1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监控设备箱（400*500*180），材质：不锈钢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备注：尺寸应能装下16口交换机，出入口安全岛上安装。</w:t>
            </w:r>
          </w:p>
        </w:tc>
        <w:tc>
          <w:tcPr>
            <w:tcW w:w="780" w:type="dxa"/>
            <w:tcBorders>
              <w:top w:val="single" w:color="000000" w:sz="4" w:space="0"/>
              <w:left w:val="single" w:color="000000" w:sz="4" w:space="0"/>
              <w:bottom w:val="single" w:color="000000" w:sz="4" w:space="0"/>
              <w:right w:val="single" w:color="000000" w:sz="4" w:space="0"/>
            </w:tcBorders>
            <w:vAlign w:val="center"/>
          </w:tcPr>
          <w:p w14:paraId="05D1A73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3C00D64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6993C6B1">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592F682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3.6.4</w:t>
            </w:r>
          </w:p>
        </w:tc>
        <w:tc>
          <w:tcPr>
            <w:tcW w:w="1110" w:type="dxa"/>
            <w:tcBorders>
              <w:top w:val="single" w:color="000000" w:sz="4" w:space="0"/>
              <w:left w:val="single" w:color="000000" w:sz="4" w:space="0"/>
              <w:bottom w:val="single" w:color="000000" w:sz="4" w:space="0"/>
              <w:right w:val="single" w:color="000000" w:sz="4" w:space="0"/>
            </w:tcBorders>
            <w:vAlign w:val="center"/>
          </w:tcPr>
          <w:p w14:paraId="67F91B2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接入交换机</w:t>
            </w:r>
          </w:p>
        </w:tc>
        <w:tc>
          <w:tcPr>
            <w:tcW w:w="6120" w:type="dxa"/>
            <w:tcBorders>
              <w:top w:val="single" w:color="000000" w:sz="4" w:space="0"/>
              <w:left w:val="single" w:color="000000" w:sz="4" w:space="0"/>
              <w:bottom w:val="single" w:color="000000" w:sz="4" w:space="0"/>
              <w:right w:val="single" w:color="000000" w:sz="4" w:space="0"/>
            </w:tcBorders>
            <w:vAlign w:val="center"/>
          </w:tcPr>
          <w:p w14:paraId="2A10D408">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二层非网管交换机，交换容量36Gbps，包转发率27Mpps，16口10/100/1000Mbps自适应电口交换机，固化2个SFP千兆光口。</w:t>
            </w:r>
          </w:p>
        </w:tc>
        <w:tc>
          <w:tcPr>
            <w:tcW w:w="780" w:type="dxa"/>
            <w:tcBorders>
              <w:top w:val="single" w:color="000000" w:sz="4" w:space="0"/>
              <w:left w:val="single" w:color="000000" w:sz="4" w:space="0"/>
              <w:bottom w:val="single" w:color="000000" w:sz="4" w:space="0"/>
              <w:right w:val="single" w:color="000000" w:sz="4" w:space="0"/>
            </w:tcBorders>
            <w:vAlign w:val="center"/>
          </w:tcPr>
          <w:p w14:paraId="0659C1A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615" w:type="dxa"/>
            <w:tcBorders>
              <w:top w:val="single" w:color="000000" w:sz="4" w:space="0"/>
              <w:left w:val="single" w:color="000000" w:sz="4" w:space="0"/>
              <w:bottom w:val="single" w:color="000000" w:sz="4" w:space="0"/>
              <w:right w:val="single" w:color="000000" w:sz="4" w:space="0"/>
            </w:tcBorders>
            <w:vAlign w:val="center"/>
          </w:tcPr>
          <w:p w14:paraId="74A7678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26B5D99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8AE288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3.6.5</w:t>
            </w:r>
          </w:p>
        </w:tc>
        <w:tc>
          <w:tcPr>
            <w:tcW w:w="1110" w:type="dxa"/>
            <w:tcBorders>
              <w:top w:val="single" w:color="000000" w:sz="4" w:space="0"/>
              <w:left w:val="single" w:color="000000" w:sz="4" w:space="0"/>
              <w:bottom w:val="single" w:color="000000" w:sz="4" w:space="0"/>
              <w:right w:val="single" w:color="000000" w:sz="4" w:space="0"/>
            </w:tcBorders>
            <w:vAlign w:val="center"/>
          </w:tcPr>
          <w:p w14:paraId="3C0C4B9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汇聚交换机</w:t>
            </w:r>
          </w:p>
        </w:tc>
        <w:tc>
          <w:tcPr>
            <w:tcW w:w="6120" w:type="dxa"/>
            <w:tcBorders>
              <w:top w:val="single" w:color="000000" w:sz="4" w:space="0"/>
              <w:left w:val="single" w:color="000000" w:sz="4" w:space="0"/>
              <w:bottom w:val="single" w:color="000000" w:sz="4" w:space="0"/>
              <w:right w:val="single" w:color="000000" w:sz="4" w:space="0"/>
            </w:tcBorders>
            <w:vAlign w:val="center"/>
          </w:tcPr>
          <w:p w14:paraId="13419D6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二层网管交换机，交换容量336Gbps，包转发率108Mpps，24个10/100/1000Mbps自适应电口交换机，4个SFP+万兆光口，支持VLAN、ACL、端口镜像、端口聚合等功能。</w:t>
            </w:r>
          </w:p>
        </w:tc>
        <w:tc>
          <w:tcPr>
            <w:tcW w:w="780" w:type="dxa"/>
            <w:tcBorders>
              <w:top w:val="single" w:color="000000" w:sz="4" w:space="0"/>
              <w:left w:val="single" w:color="000000" w:sz="4" w:space="0"/>
              <w:bottom w:val="single" w:color="000000" w:sz="4" w:space="0"/>
              <w:right w:val="single" w:color="000000" w:sz="4" w:space="0"/>
            </w:tcBorders>
            <w:vAlign w:val="center"/>
          </w:tcPr>
          <w:p w14:paraId="085D244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389D9B1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568B7093">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E5E6BD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3.6.6</w:t>
            </w:r>
          </w:p>
        </w:tc>
        <w:tc>
          <w:tcPr>
            <w:tcW w:w="1110" w:type="dxa"/>
            <w:tcBorders>
              <w:top w:val="single" w:color="000000" w:sz="4" w:space="0"/>
              <w:left w:val="single" w:color="000000" w:sz="4" w:space="0"/>
              <w:bottom w:val="single" w:color="000000" w:sz="4" w:space="0"/>
              <w:right w:val="single" w:color="000000" w:sz="4" w:space="0"/>
            </w:tcBorders>
            <w:vAlign w:val="center"/>
          </w:tcPr>
          <w:p w14:paraId="263BC24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超五类非屏蔽网线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0A21E5D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国标 超五类非屏蔽网线。</w:t>
            </w:r>
          </w:p>
        </w:tc>
        <w:tc>
          <w:tcPr>
            <w:tcW w:w="780" w:type="dxa"/>
            <w:tcBorders>
              <w:top w:val="single" w:color="000000" w:sz="4" w:space="0"/>
              <w:left w:val="single" w:color="000000" w:sz="4" w:space="0"/>
              <w:bottom w:val="single" w:color="000000" w:sz="4" w:space="0"/>
              <w:right w:val="single" w:color="000000" w:sz="4" w:space="0"/>
            </w:tcBorders>
            <w:vAlign w:val="center"/>
          </w:tcPr>
          <w:p w14:paraId="28E70A4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1500</w:t>
            </w:r>
          </w:p>
        </w:tc>
        <w:tc>
          <w:tcPr>
            <w:tcW w:w="615" w:type="dxa"/>
            <w:tcBorders>
              <w:top w:val="single" w:color="000000" w:sz="4" w:space="0"/>
              <w:left w:val="single" w:color="000000" w:sz="4" w:space="0"/>
              <w:bottom w:val="single" w:color="000000" w:sz="4" w:space="0"/>
              <w:right w:val="single" w:color="000000" w:sz="4" w:space="0"/>
            </w:tcBorders>
            <w:vAlign w:val="center"/>
          </w:tcPr>
          <w:p w14:paraId="5CF343D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1E9145B4">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9FAFF9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3.6.7</w:t>
            </w:r>
          </w:p>
        </w:tc>
        <w:tc>
          <w:tcPr>
            <w:tcW w:w="1110" w:type="dxa"/>
            <w:tcBorders>
              <w:top w:val="single" w:color="000000" w:sz="4" w:space="0"/>
              <w:left w:val="single" w:color="000000" w:sz="4" w:space="0"/>
              <w:bottom w:val="single" w:color="000000" w:sz="4" w:space="0"/>
              <w:right w:val="single" w:color="000000" w:sz="4" w:space="0"/>
            </w:tcBorders>
            <w:vAlign w:val="center"/>
          </w:tcPr>
          <w:p w14:paraId="2C33D27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电源线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4C193EA8">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RVV3×1.5mm2。</w:t>
            </w:r>
          </w:p>
        </w:tc>
        <w:tc>
          <w:tcPr>
            <w:tcW w:w="780" w:type="dxa"/>
            <w:tcBorders>
              <w:top w:val="single" w:color="000000" w:sz="4" w:space="0"/>
              <w:left w:val="single" w:color="000000" w:sz="4" w:space="0"/>
              <w:bottom w:val="single" w:color="000000" w:sz="4" w:space="0"/>
              <w:right w:val="single" w:color="000000" w:sz="4" w:space="0"/>
            </w:tcBorders>
            <w:vAlign w:val="center"/>
          </w:tcPr>
          <w:p w14:paraId="3A4BFBD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615" w:type="dxa"/>
            <w:tcBorders>
              <w:top w:val="single" w:color="000000" w:sz="4" w:space="0"/>
              <w:left w:val="single" w:color="000000" w:sz="4" w:space="0"/>
              <w:bottom w:val="single" w:color="000000" w:sz="4" w:space="0"/>
              <w:right w:val="single" w:color="000000" w:sz="4" w:space="0"/>
            </w:tcBorders>
            <w:vAlign w:val="center"/>
          </w:tcPr>
          <w:p w14:paraId="7B8983D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22B7D445">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5AFBF5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3.6.8</w:t>
            </w:r>
          </w:p>
        </w:tc>
        <w:tc>
          <w:tcPr>
            <w:tcW w:w="1110" w:type="dxa"/>
            <w:tcBorders>
              <w:top w:val="single" w:color="000000" w:sz="4" w:space="0"/>
              <w:left w:val="single" w:color="000000" w:sz="4" w:space="0"/>
              <w:bottom w:val="single" w:color="000000" w:sz="4" w:space="0"/>
              <w:right w:val="single" w:color="000000" w:sz="4" w:space="0"/>
            </w:tcBorders>
            <w:vAlign w:val="center"/>
          </w:tcPr>
          <w:p w14:paraId="0F59ABF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摆闸信号线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3DE95507">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RVV6×0.75mm2。</w:t>
            </w:r>
          </w:p>
        </w:tc>
        <w:tc>
          <w:tcPr>
            <w:tcW w:w="780" w:type="dxa"/>
            <w:tcBorders>
              <w:top w:val="single" w:color="000000" w:sz="4" w:space="0"/>
              <w:left w:val="single" w:color="000000" w:sz="4" w:space="0"/>
              <w:bottom w:val="single" w:color="000000" w:sz="4" w:space="0"/>
              <w:right w:val="single" w:color="000000" w:sz="4" w:space="0"/>
            </w:tcBorders>
            <w:vAlign w:val="center"/>
          </w:tcPr>
          <w:p w14:paraId="15F416A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615" w:type="dxa"/>
            <w:tcBorders>
              <w:top w:val="single" w:color="000000" w:sz="4" w:space="0"/>
              <w:left w:val="single" w:color="000000" w:sz="4" w:space="0"/>
              <w:bottom w:val="single" w:color="000000" w:sz="4" w:space="0"/>
              <w:right w:val="single" w:color="000000" w:sz="4" w:space="0"/>
            </w:tcBorders>
            <w:vAlign w:val="center"/>
          </w:tcPr>
          <w:p w14:paraId="5DC1F00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017C767A">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2BDF9D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3.6.9</w:t>
            </w:r>
          </w:p>
        </w:tc>
        <w:tc>
          <w:tcPr>
            <w:tcW w:w="1110" w:type="dxa"/>
            <w:tcBorders>
              <w:top w:val="single" w:color="000000" w:sz="4" w:space="0"/>
              <w:left w:val="single" w:color="000000" w:sz="4" w:space="0"/>
              <w:bottom w:val="single" w:color="000000" w:sz="4" w:space="0"/>
              <w:right w:val="single" w:color="000000" w:sz="4" w:space="0"/>
            </w:tcBorders>
            <w:vAlign w:val="center"/>
          </w:tcPr>
          <w:p w14:paraId="786BECC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线管</w:t>
            </w:r>
          </w:p>
        </w:tc>
        <w:tc>
          <w:tcPr>
            <w:tcW w:w="6120" w:type="dxa"/>
            <w:tcBorders>
              <w:top w:val="single" w:color="000000" w:sz="4" w:space="0"/>
              <w:left w:val="single" w:color="000000" w:sz="4" w:space="0"/>
              <w:bottom w:val="single" w:color="000000" w:sz="4" w:space="0"/>
              <w:right w:val="single" w:color="000000" w:sz="4" w:space="0"/>
            </w:tcBorders>
            <w:vAlign w:val="center"/>
          </w:tcPr>
          <w:p w14:paraId="5099DA9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PVC25</w:t>
            </w:r>
          </w:p>
        </w:tc>
        <w:tc>
          <w:tcPr>
            <w:tcW w:w="780" w:type="dxa"/>
            <w:tcBorders>
              <w:top w:val="single" w:color="000000" w:sz="4" w:space="0"/>
              <w:left w:val="single" w:color="000000" w:sz="4" w:space="0"/>
              <w:bottom w:val="single" w:color="000000" w:sz="4" w:space="0"/>
              <w:right w:val="single" w:color="000000" w:sz="4" w:space="0"/>
            </w:tcBorders>
            <w:vAlign w:val="center"/>
          </w:tcPr>
          <w:p w14:paraId="4FDF7A9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w:t>
            </w:r>
          </w:p>
        </w:tc>
        <w:tc>
          <w:tcPr>
            <w:tcW w:w="615" w:type="dxa"/>
            <w:tcBorders>
              <w:top w:val="single" w:color="000000" w:sz="4" w:space="0"/>
              <w:left w:val="single" w:color="000000" w:sz="4" w:space="0"/>
              <w:bottom w:val="single" w:color="000000" w:sz="4" w:space="0"/>
              <w:right w:val="single" w:color="000000" w:sz="4" w:space="0"/>
            </w:tcBorders>
            <w:vAlign w:val="center"/>
          </w:tcPr>
          <w:p w14:paraId="5F652FE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199656C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CBE0E7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3.6.10</w:t>
            </w:r>
          </w:p>
        </w:tc>
        <w:tc>
          <w:tcPr>
            <w:tcW w:w="1110" w:type="dxa"/>
            <w:tcBorders>
              <w:top w:val="single" w:color="000000" w:sz="4" w:space="0"/>
              <w:left w:val="single" w:color="000000" w:sz="4" w:space="0"/>
              <w:bottom w:val="single" w:color="000000" w:sz="4" w:space="0"/>
              <w:right w:val="single" w:color="000000" w:sz="4" w:space="0"/>
            </w:tcBorders>
            <w:vAlign w:val="center"/>
          </w:tcPr>
          <w:p w14:paraId="038ADF4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工作站电脑</w:t>
            </w:r>
          </w:p>
        </w:tc>
        <w:tc>
          <w:tcPr>
            <w:tcW w:w="6120" w:type="dxa"/>
            <w:tcBorders>
              <w:top w:val="single" w:color="000000" w:sz="4" w:space="0"/>
              <w:left w:val="single" w:color="000000" w:sz="4" w:space="0"/>
              <w:bottom w:val="single" w:color="000000" w:sz="4" w:space="0"/>
              <w:right w:val="single" w:color="000000" w:sz="4" w:space="0"/>
            </w:tcBorders>
            <w:vAlign w:val="center"/>
          </w:tcPr>
          <w:p w14:paraId="1962E1F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1、处理器：不低于（主频≥2.8GHz 、≥8核处理器16线程，三级缓存≥16MB）国产芯片；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2、内存：≥2*8GB DDR4 3200MHz或以上内存，内存插槽≥4个，最高支持128GB拓展；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3、硬盘：≥512G M.2固态硬盘＋1T机械硬盘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4、显卡： ≥2G显存国产独立显卡，支持HDMI + DP + VGA显示接口，支持3屏扩展显示器；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5、光驱: 支持DVDRW刻录光驱；</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6、声卡：集成高清声卡；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7、网卡：10/100/1000M千兆自适应有线网卡；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8、接口：USB接口≥5个，前置1个音频输入+1个音频输出，后置音频接口3个；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9、视频接口：≥2个数字视频输出端口；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10、其他接口：≥1个串口，≥4个SATA3.0接口；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11、键盘鼠标：标准抗菌鼠标+防泼溅抗菌商务键盘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12、电源：≥200W功率节能电源，产品整体通过GB28380-2012标准；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13、操作系统：支持国产麒麟/统信桌面操作系统，支持Windows专业版操作系统；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14、显示器：≥23.8英寸同一品牌商用液晶显示器，分辨率≥1920x1080、刷新率≥100Hz、亮度≥300nits、对比度≥4000:1，VGA + HDMI+ DP视频输入接口。</w:t>
            </w:r>
          </w:p>
        </w:tc>
        <w:tc>
          <w:tcPr>
            <w:tcW w:w="780" w:type="dxa"/>
            <w:tcBorders>
              <w:top w:val="single" w:color="000000" w:sz="4" w:space="0"/>
              <w:left w:val="single" w:color="000000" w:sz="4" w:space="0"/>
              <w:bottom w:val="single" w:color="000000" w:sz="4" w:space="0"/>
              <w:right w:val="single" w:color="000000" w:sz="4" w:space="0"/>
            </w:tcBorders>
            <w:vAlign w:val="center"/>
          </w:tcPr>
          <w:p w14:paraId="1926CA1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615" w:type="dxa"/>
            <w:tcBorders>
              <w:top w:val="single" w:color="000000" w:sz="4" w:space="0"/>
              <w:left w:val="single" w:color="000000" w:sz="4" w:space="0"/>
              <w:bottom w:val="single" w:color="000000" w:sz="4" w:space="0"/>
              <w:right w:val="single" w:color="000000" w:sz="4" w:space="0"/>
            </w:tcBorders>
            <w:vAlign w:val="center"/>
          </w:tcPr>
          <w:p w14:paraId="373FD53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r>
      <w:tr w14:paraId="240FCA61">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313021E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3.6.11</w:t>
            </w:r>
          </w:p>
        </w:tc>
        <w:tc>
          <w:tcPr>
            <w:tcW w:w="1110" w:type="dxa"/>
            <w:tcBorders>
              <w:top w:val="single" w:color="000000" w:sz="4" w:space="0"/>
              <w:left w:val="single" w:color="000000" w:sz="4" w:space="0"/>
              <w:bottom w:val="single" w:color="000000" w:sz="4" w:space="0"/>
              <w:right w:val="single" w:color="000000" w:sz="4" w:space="0"/>
            </w:tcBorders>
            <w:vAlign w:val="center"/>
          </w:tcPr>
          <w:p w14:paraId="65F30AD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围栏立柱</w:t>
            </w:r>
          </w:p>
        </w:tc>
        <w:tc>
          <w:tcPr>
            <w:tcW w:w="6120" w:type="dxa"/>
            <w:tcBorders>
              <w:top w:val="single" w:color="000000" w:sz="4" w:space="0"/>
              <w:left w:val="single" w:color="000000" w:sz="4" w:space="0"/>
              <w:bottom w:val="single" w:color="000000" w:sz="4" w:space="0"/>
              <w:right w:val="single" w:color="000000" w:sz="4" w:space="0"/>
            </w:tcBorders>
            <w:vAlign w:val="center"/>
          </w:tcPr>
          <w:p w14:paraId="3282905B">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砖混结构、外立面抹灰砌筑尺寸是400*400*2220mm，基础开挖900*900*900，平整场地，批灰</w:t>
            </w:r>
          </w:p>
        </w:tc>
        <w:tc>
          <w:tcPr>
            <w:tcW w:w="780" w:type="dxa"/>
            <w:tcBorders>
              <w:top w:val="single" w:color="000000" w:sz="4" w:space="0"/>
              <w:left w:val="single" w:color="000000" w:sz="4" w:space="0"/>
              <w:bottom w:val="single" w:color="000000" w:sz="4" w:space="0"/>
              <w:right w:val="single" w:color="000000" w:sz="4" w:space="0"/>
            </w:tcBorders>
            <w:vAlign w:val="center"/>
          </w:tcPr>
          <w:p w14:paraId="540D443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615" w:type="dxa"/>
            <w:tcBorders>
              <w:top w:val="single" w:color="000000" w:sz="4" w:space="0"/>
              <w:left w:val="single" w:color="000000" w:sz="4" w:space="0"/>
              <w:bottom w:val="single" w:color="000000" w:sz="4" w:space="0"/>
              <w:right w:val="single" w:color="000000" w:sz="4" w:space="0"/>
            </w:tcBorders>
            <w:vAlign w:val="center"/>
          </w:tcPr>
          <w:p w14:paraId="24BD02A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w:t>
            </w:r>
          </w:p>
        </w:tc>
      </w:tr>
      <w:tr w14:paraId="227553C6">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598742E">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3.6.12</w:t>
            </w:r>
          </w:p>
        </w:tc>
        <w:tc>
          <w:tcPr>
            <w:tcW w:w="1110" w:type="dxa"/>
            <w:tcBorders>
              <w:top w:val="single" w:color="000000" w:sz="4" w:space="0"/>
              <w:left w:val="single" w:color="000000" w:sz="4" w:space="0"/>
              <w:bottom w:val="single" w:color="000000" w:sz="4" w:space="0"/>
              <w:right w:val="single" w:color="000000" w:sz="4" w:space="0"/>
            </w:tcBorders>
            <w:vAlign w:val="center"/>
          </w:tcPr>
          <w:p w14:paraId="45BC83A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围栏安装</w:t>
            </w:r>
          </w:p>
        </w:tc>
        <w:tc>
          <w:tcPr>
            <w:tcW w:w="6120" w:type="dxa"/>
            <w:tcBorders>
              <w:top w:val="single" w:color="000000" w:sz="4" w:space="0"/>
              <w:left w:val="single" w:color="000000" w:sz="4" w:space="0"/>
              <w:bottom w:val="single" w:color="000000" w:sz="4" w:space="0"/>
              <w:right w:val="single" w:color="000000" w:sz="4" w:space="0"/>
            </w:tcBorders>
            <w:vAlign w:val="center"/>
          </w:tcPr>
          <w:p w14:paraId="100FE01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业主提供围栏</w:t>
            </w:r>
          </w:p>
        </w:tc>
        <w:tc>
          <w:tcPr>
            <w:tcW w:w="780" w:type="dxa"/>
            <w:tcBorders>
              <w:top w:val="single" w:color="000000" w:sz="4" w:space="0"/>
              <w:left w:val="single" w:color="000000" w:sz="4" w:space="0"/>
              <w:bottom w:val="single" w:color="000000" w:sz="4" w:space="0"/>
              <w:right w:val="single" w:color="000000" w:sz="4" w:space="0"/>
            </w:tcBorders>
            <w:vAlign w:val="center"/>
          </w:tcPr>
          <w:p w14:paraId="65803D2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615" w:type="dxa"/>
            <w:tcBorders>
              <w:top w:val="single" w:color="000000" w:sz="4" w:space="0"/>
              <w:left w:val="single" w:color="000000" w:sz="4" w:space="0"/>
              <w:bottom w:val="single" w:color="000000" w:sz="4" w:space="0"/>
              <w:right w:val="single" w:color="000000" w:sz="4" w:space="0"/>
            </w:tcBorders>
            <w:vAlign w:val="center"/>
          </w:tcPr>
          <w:p w14:paraId="2FB7C25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5DF9B9D1">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296F03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3.6.13</w:t>
            </w:r>
          </w:p>
        </w:tc>
        <w:tc>
          <w:tcPr>
            <w:tcW w:w="1110" w:type="dxa"/>
            <w:tcBorders>
              <w:top w:val="single" w:color="000000" w:sz="4" w:space="0"/>
              <w:left w:val="single" w:color="000000" w:sz="4" w:space="0"/>
              <w:bottom w:val="single" w:color="000000" w:sz="4" w:space="0"/>
              <w:right w:val="single" w:color="000000" w:sz="4" w:space="0"/>
            </w:tcBorders>
            <w:vAlign w:val="center"/>
          </w:tcPr>
          <w:p w14:paraId="0106D179">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辅材</w:t>
            </w:r>
          </w:p>
        </w:tc>
        <w:tc>
          <w:tcPr>
            <w:tcW w:w="6120" w:type="dxa"/>
            <w:tcBorders>
              <w:top w:val="single" w:color="000000" w:sz="4" w:space="0"/>
              <w:left w:val="single" w:color="000000" w:sz="4" w:space="0"/>
              <w:bottom w:val="single" w:color="000000" w:sz="4" w:space="0"/>
              <w:right w:val="single" w:color="000000" w:sz="4" w:space="0"/>
            </w:tcBorders>
            <w:vAlign w:val="center"/>
          </w:tcPr>
          <w:p w14:paraId="3790CF4D">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水晶头、电工胶布、排插等。</w:t>
            </w:r>
          </w:p>
        </w:tc>
        <w:tc>
          <w:tcPr>
            <w:tcW w:w="780" w:type="dxa"/>
            <w:tcBorders>
              <w:top w:val="single" w:color="000000" w:sz="4" w:space="0"/>
              <w:left w:val="single" w:color="000000" w:sz="4" w:space="0"/>
              <w:bottom w:val="single" w:color="000000" w:sz="4" w:space="0"/>
              <w:right w:val="single" w:color="000000" w:sz="4" w:space="0"/>
            </w:tcBorders>
            <w:vAlign w:val="center"/>
          </w:tcPr>
          <w:p w14:paraId="75C0A16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0F2350BC">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批</w:t>
            </w:r>
          </w:p>
        </w:tc>
      </w:tr>
      <w:tr w14:paraId="0F7089B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494B355">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3.6.14</w:t>
            </w:r>
          </w:p>
        </w:tc>
        <w:tc>
          <w:tcPr>
            <w:tcW w:w="1110" w:type="dxa"/>
            <w:tcBorders>
              <w:top w:val="single" w:color="000000" w:sz="4" w:space="0"/>
              <w:left w:val="single" w:color="000000" w:sz="4" w:space="0"/>
              <w:bottom w:val="single" w:color="000000" w:sz="4" w:space="0"/>
              <w:right w:val="single" w:color="000000" w:sz="4" w:space="0"/>
            </w:tcBorders>
            <w:vAlign w:val="center"/>
          </w:tcPr>
          <w:p w14:paraId="4DB9AC2A">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路面切割开槽</w:t>
            </w:r>
          </w:p>
        </w:tc>
        <w:tc>
          <w:tcPr>
            <w:tcW w:w="6120" w:type="dxa"/>
            <w:tcBorders>
              <w:top w:val="single" w:color="000000" w:sz="4" w:space="0"/>
              <w:left w:val="single" w:color="000000" w:sz="4" w:space="0"/>
              <w:bottom w:val="single" w:color="000000" w:sz="4" w:space="0"/>
              <w:right w:val="single" w:color="000000" w:sz="4" w:space="0"/>
            </w:tcBorders>
            <w:vAlign w:val="center"/>
          </w:tcPr>
          <w:p w14:paraId="27A50F5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路面切割开槽，切割宽度20cm。</w:t>
            </w:r>
          </w:p>
        </w:tc>
        <w:tc>
          <w:tcPr>
            <w:tcW w:w="780" w:type="dxa"/>
            <w:tcBorders>
              <w:top w:val="single" w:color="000000" w:sz="4" w:space="0"/>
              <w:left w:val="single" w:color="000000" w:sz="4" w:space="0"/>
              <w:bottom w:val="single" w:color="000000" w:sz="4" w:space="0"/>
              <w:right w:val="single" w:color="000000" w:sz="4" w:space="0"/>
            </w:tcBorders>
            <w:vAlign w:val="center"/>
          </w:tcPr>
          <w:p w14:paraId="773A821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t>
            </w:r>
          </w:p>
        </w:tc>
        <w:tc>
          <w:tcPr>
            <w:tcW w:w="615" w:type="dxa"/>
            <w:tcBorders>
              <w:top w:val="single" w:color="000000" w:sz="4" w:space="0"/>
              <w:left w:val="single" w:color="000000" w:sz="4" w:space="0"/>
              <w:bottom w:val="single" w:color="000000" w:sz="4" w:space="0"/>
              <w:right w:val="single" w:color="000000" w:sz="4" w:space="0"/>
            </w:tcBorders>
            <w:vAlign w:val="center"/>
          </w:tcPr>
          <w:p w14:paraId="759960D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51A1F4D2">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639D197">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3.6.15</w:t>
            </w:r>
          </w:p>
        </w:tc>
        <w:tc>
          <w:tcPr>
            <w:tcW w:w="1110" w:type="dxa"/>
            <w:tcBorders>
              <w:top w:val="single" w:color="000000" w:sz="4" w:space="0"/>
              <w:left w:val="single" w:color="000000" w:sz="4" w:space="0"/>
              <w:bottom w:val="single" w:color="000000" w:sz="4" w:space="0"/>
              <w:right w:val="single" w:color="000000" w:sz="4" w:space="0"/>
            </w:tcBorders>
            <w:vAlign w:val="center"/>
          </w:tcPr>
          <w:p w14:paraId="010B254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地感线切割路面</w:t>
            </w:r>
          </w:p>
        </w:tc>
        <w:tc>
          <w:tcPr>
            <w:tcW w:w="6120" w:type="dxa"/>
            <w:tcBorders>
              <w:top w:val="single" w:color="000000" w:sz="4" w:space="0"/>
              <w:left w:val="single" w:color="000000" w:sz="4" w:space="0"/>
              <w:bottom w:val="single" w:color="000000" w:sz="4" w:space="0"/>
              <w:right w:val="single" w:color="000000" w:sz="4" w:space="0"/>
            </w:tcBorders>
            <w:vAlign w:val="center"/>
          </w:tcPr>
          <w:p w14:paraId="00610B0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地感线切割路面，切割宽度1cm。</w:t>
            </w:r>
          </w:p>
        </w:tc>
        <w:tc>
          <w:tcPr>
            <w:tcW w:w="780" w:type="dxa"/>
            <w:tcBorders>
              <w:top w:val="single" w:color="000000" w:sz="4" w:space="0"/>
              <w:left w:val="single" w:color="000000" w:sz="4" w:space="0"/>
              <w:bottom w:val="single" w:color="000000" w:sz="4" w:space="0"/>
              <w:right w:val="single" w:color="000000" w:sz="4" w:space="0"/>
            </w:tcBorders>
            <w:vAlign w:val="center"/>
          </w:tcPr>
          <w:p w14:paraId="64C0EE0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615" w:type="dxa"/>
            <w:tcBorders>
              <w:top w:val="single" w:color="000000" w:sz="4" w:space="0"/>
              <w:left w:val="single" w:color="000000" w:sz="4" w:space="0"/>
              <w:bottom w:val="single" w:color="000000" w:sz="4" w:space="0"/>
              <w:right w:val="single" w:color="000000" w:sz="4" w:space="0"/>
            </w:tcBorders>
            <w:vAlign w:val="center"/>
          </w:tcPr>
          <w:p w14:paraId="1943AEB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r>
      <w:tr w14:paraId="729995A0">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13CE432">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3.7</w:t>
            </w:r>
          </w:p>
        </w:tc>
        <w:tc>
          <w:tcPr>
            <w:tcW w:w="1110" w:type="dxa"/>
            <w:tcBorders>
              <w:top w:val="single" w:color="000000" w:sz="4" w:space="0"/>
              <w:left w:val="single" w:color="000000" w:sz="4" w:space="0"/>
              <w:bottom w:val="single" w:color="000000" w:sz="4" w:space="0"/>
              <w:right w:val="single" w:color="000000" w:sz="4" w:space="0"/>
            </w:tcBorders>
            <w:vAlign w:val="center"/>
          </w:tcPr>
          <w:p w14:paraId="2885E37A">
            <w:pPr>
              <w:widowControl/>
              <w:spacing w:after="0" w:line="279"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热熔交通标志线</w:t>
            </w:r>
          </w:p>
        </w:tc>
        <w:tc>
          <w:tcPr>
            <w:tcW w:w="6120" w:type="dxa"/>
            <w:tcBorders>
              <w:top w:val="single" w:color="000000" w:sz="4" w:space="0"/>
              <w:left w:val="single" w:color="000000" w:sz="4" w:space="0"/>
              <w:bottom w:val="single" w:color="000000" w:sz="4" w:space="0"/>
              <w:right w:val="single" w:color="000000" w:sz="4" w:space="0"/>
            </w:tcBorders>
            <w:vAlign w:val="center"/>
          </w:tcPr>
          <w:p w14:paraId="474590AC">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据园区内危险化学品运输道路规划，进行道路标线、减速带等工程设计与施工。标线采用热熔反光型材料，颜色采用黄色实线），地面标识“危化品车道”文字，强化警示作用；弯道、交叉口等风险区域增设纵向减速标线及导向箭头。</w:t>
            </w:r>
          </w:p>
        </w:tc>
        <w:tc>
          <w:tcPr>
            <w:tcW w:w="780" w:type="dxa"/>
            <w:tcBorders>
              <w:top w:val="single" w:color="000000" w:sz="4" w:space="0"/>
              <w:left w:val="single" w:color="000000" w:sz="4" w:space="0"/>
              <w:bottom w:val="single" w:color="000000" w:sz="4" w:space="0"/>
              <w:right w:val="single" w:color="000000" w:sz="4" w:space="0"/>
            </w:tcBorders>
            <w:vAlign w:val="center"/>
          </w:tcPr>
          <w:p w14:paraId="708AABA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2600</w:t>
            </w:r>
          </w:p>
        </w:tc>
        <w:tc>
          <w:tcPr>
            <w:tcW w:w="615" w:type="dxa"/>
            <w:tcBorders>
              <w:top w:val="single" w:color="000000" w:sz="4" w:space="0"/>
              <w:left w:val="single" w:color="000000" w:sz="4" w:space="0"/>
              <w:bottom w:val="single" w:color="000000" w:sz="4" w:space="0"/>
              <w:right w:val="single" w:color="000000" w:sz="4" w:space="0"/>
            </w:tcBorders>
            <w:vAlign w:val="center"/>
          </w:tcPr>
          <w:p w14:paraId="38A68C1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m²</w:t>
            </w:r>
          </w:p>
        </w:tc>
      </w:tr>
      <w:tr w14:paraId="0690D721">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07CB6E8">
            <w:pPr>
              <w:widowControl/>
              <w:spacing w:after="0" w:line="279"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3.8</w:t>
            </w:r>
          </w:p>
        </w:tc>
        <w:tc>
          <w:tcPr>
            <w:tcW w:w="1110" w:type="dxa"/>
            <w:tcBorders>
              <w:top w:val="single" w:color="000000" w:sz="4" w:space="0"/>
              <w:left w:val="single" w:color="000000" w:sz="4" w:space="0"/>
              <w:bottom w:val="single" w:color="000000" w:sz="4" w:space="0"/>
              <w:right w:val="single" w:color="000000" w:sz="4" w:space="0"/>
            </w:tcBorders>
            <w:vAlign w:val="center"/>
          </w:tcPr>
          <w:p w14:paraId="6ED4F476">
            <w:pPr>
              <w:widowControl/>
              <w:spacing w:after="0" w:line="279"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区域安全风险隔离管控软件</w:t>
            </w:r>
          </w:p>
        </w:tc>
        <w:tc>
          <w:tcPr>
            <w:tcW w:w="6120" w:type="dxa"/>
            <w:tcBorders>
              <w:top w:val="single" w:color="000000" w:sz="4" w:space="0"/>
              <w:left w:val="single" w:color="000000" w:sz="4" w:space="0"/>
              <w:bottom w:val="single" w:color="000000" w:sz="4" w:space="0"/>
              <w:right w:val="single" w:color="000000" w:sz="4" w:space="0"/>
            </w:tcBorders>
            <w:vAlign w:val="center"/>
          </w:tcPr>
          <w:p w14:paraId="51B5DEE8">
            <w:pPr>
              <w:spacing w:after="0" w:line="279" w:lineRule="auto"/>
              <w:rPr>
                <w:rFonts w:ascii="宋体" w:hAnsi="宋体" w:cs="宋体"/>
                <w:b/>
                <w:bCs/>
                <w:color w:val="auto"/>
                <w:sz w:val="22"/>
                <w:szCs w:val="22"/>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64FC1D7F">
            <w:pPr>
              <w:spacing w:after="0" w:line="279" w:lineRule="auto"/>
              <w:rPr>
                <w:rFonts w:ascii="宋体" w:hAnsi="宋体" w:cs="宋体"/>
                <w:b/>
                <w:bCs/>
                <w:color w:val="auto"/>
                <w:sz w:val="22"/>
                <w:szCs w:val="22"/>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E31E0CC">
            <w:pPr>
              <w:spacing w:after="0" w:line="279" w:lineRule="auto"/>
              <w:jc w:val="center"/>
              <w:rPr>
                <w:rFonts w:ascii="宋体" w:hAnsi="宋体" w:cs="宋体"/>
                <w:b/>
                <w:bCs/>
                <w:color w:val="auto"/>
                <w:sz w:val="22"/>
                <w:szCs w:val="22"/>
                <w:highlight w:val="none"/>
              </w:rPr>
            </w:pPr>
          </w:p>
        </w:tc>
      </w:tr>
      <w:tr w14:paraId="3CAAA80B">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2A4D29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3.8.1</w:t>
            </w:r>
          </w:p>
        </w:tc>
        <w:tc>
          <w:tcPr>
            <w:tcW w:w="1110" w:type="dxa"/>
            <w:tcBorders>
              <w:top w:val="single" w:color="000000" w:sz="4" w:space="0"/>
              <w:left w:val="single" w:color="000000" w:sz="4" w:space="0"/>
              <w:bottom w:val="single" w:color="000000" w:sz="4" w:space="0"/>
              <w:right w:val="single" w:color="000000" w:sz="4" w:space="0"/>
            </w:tcBorders>
            <w:vAlign w:val="center"/>
          </w:tcPr>
          <w:p w14:paraId="3693F03F">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一卡通管理软件</w:t>
            </w:r>
          </w:p>
        </w:tc>
        <w:tc>
          <w:tcPr>
            <w:tcW w:w="6120" w:type="dxa"/>
            <w:tcBorders>
              <w:top w:val="single" w:color="000000" w:sz="4" w:space="0"/>
              <w:left w:val="single" w:color="000000" w:sz="4" w:space="0"/>
              <w:bottom w:val="single" w:color="000000" w:sz="4" w:space="0"/>
              <w:right w:val="single" w:color="000000" w:sz="4" w:space="0"/>
            </w:tcBorders>
            <w:vAlign w:val="center"/>
          </w:tcPr>
          <w:p w14:paraId="34234583">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1.多语言和多时区支持：支持中文简体、中文繁体，支持时区；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2.部署：支持本地部署、公有云部署、私有云部署。</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3.多种凭据类型：支持人脸、卡片、二维码、身份证、指纹等凭据，并支持数据分段以适应同公司的不同部署需求；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4.卡片： 最大发卡量一千万，支持M1卡、CPU卡、国密CPU卡（与PSAM卡国密设备配合）；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5.卡片管理：包括人员卡片管理、外部人员卡片管理、预制卡管理、设备子卡管理、设备安全卡和设备操作卡功能，支持卡片挂失、解挂、冻结、解冻、保存、回收、无卡回收等操作；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6.权限管理：支持按角色指定功能权限和数据权限；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7.企业数据管理：提供机构、部门、人员、人组、外部人员、岗位规划、企业日历、企业区域管理、宿舍房间居住管理功能；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8.简易审批流程：支持定义不同流程、 支持或签和抄送、支持流程强制结束及审批人强制转交、待办列表；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9.支持扩展短信：允许自定义短信模板和选择短信服务商。</w:t>
            </w:r>
          </w:p>
        </w:tc>
        <w:tc>
          <w:tcPr>
            <w:tcW w:w="780" w:type="dxa"/>
            <w:tcBorders>
              <w:top w:val="single" w:color="000000" w:sz="4" w:space="0"/>
              <w:left w:val="single" w:color="000000" w:sz="4" w:space="0"/>
              <w:bottom w:val="single" w:color="000000" w:sz="4" w:space="0"/>
              <w:right w:val="single" w:color="000000" w:sz="4" w:space="0"/>
            </w:tcBorders>
            <w:vAlign w:val="center"/>
          </w:tcPr>
          <w:p w14:paraId="598F5DA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11225F0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11813886">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62944636">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3.8.2</w:t>
            </w:r>
          </w:p>
        </w:tc>
        <w:tc>
          <w:tcPr>
            <w:tcW w:w="1110" w:type="dxa"/>
            <w:tcBorders>
              <w:top w:val="single" w:color="000000" w:sz="4" w:space="0"/>
              <w:left w:val="single" w:color="000000" w:sz="4" w:space="0"/>
              <w:bottom w:val="single" w:color="000000" w:sz="4" w:space="0"/>
              <w:right w:val="single" w:color="000000" w:sz="4" w:space="0"/>
            </w:tcBorders>
            <w:vAlign w:val="center"/>
          </w:tcPr>
          <w:p w14:paraId="136104D5">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人员通道管理软件 </w:t>
            </w:r>
          </w:p>
        </w:tc>
        <w:tc>
          <w:tcPr>
            <w:tcW w:w="6120" w:type="dxa"/>
            <w:tcBorders>
              <w:top w:val="single" w:color="000000" w:sz="4" w:space="0"/>
              <w:left w:val="single" w:color="000000" w:sz="4" w:space="0"/>
              <w:bottom w:val="single" w:color="000000" w:sz="4" w:space="0"/>
              <w:right w:val="single" w:color="000000" w:sz="4" w:space="0"/>
            </w:tcBorders>
            <w:vAlign w:val="center"/>
          </w:tcPr>
          <w:p w14:paraId="3CADBC68">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技术参数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1.多语言和多时区支持：支持中文简体、中文繁体，支持时区；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2.支持门禁日历、权限时段、设备时段、门点管理、开门黑名单、一键常开、远程开门等功能；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3.支持六种权限拥有者（人员、部门、人组、机构、外部人员、预制卡）和两种权限对象（门点、门组）进行关联授权，门禁权限管理、门禁权限下载查询功能；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4.门锁管理：支持门锁授权、权限下载、下载情况查询；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5.门禁监控：支持表格和地图两种监控界面布局，支持无极缩放；支持开门、消防、更改门模式命令；支持实时报警、报警处置记录填写。</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6.满足人脸照片导入进行用户身份绑定。</w:t>
            </w:r>
          </w:p>
        </w:tc>
        <w:tc>
          <w:tcPr>
            <w:tcW w:w="780" w:type="dxa"/>
            <w:tcBorders>
              <w:top w:val="single" w:color="000000" w:sz="4" w:space="0"/>
              <w:left w:val="single" w:color="000000" w:sz="4" w:space="0"/>
              <w:bottom w:val="single" w:color="000000" w:sz="4" w:space="0"/>
              <w:right w:val="single" w:color="000000" w:sz="4" w:space="0"/>
            </w:tcBorders>
            <w:vAlign w:val="center"/>
          </w:tcPr>
          <w:p w14:paraId="6C2BAC84">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4EC34673">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245E465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B56813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3.8.3</w:t>
            </w:r>
          </w:p>
        </w:tc>
        <w:tc>
          <w:tcPr>
            <w:tcW w:w="1110" w:type="dxa"/>
            <w:tcBorders>
              <w:top w:val="single" w:color="000000" w:sz="4" w:space="0"/>
              <w:left w:val="single" w:color="000000" w:sz="4" w:space="0"/>
              <w:bottom w:val="single" w:color="000000" w:sz="4" w:space="0"/>
              <w:right w:val="single" w:color="000000" w:sz="4" w:space="0"/>
            </w:tcBorders>
            <w:vAlign w:val="center"/>
          </w:tcPr>
          <w:p w14:paraId="6407D6D6">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访客管理软件</w:t>
            </w:r>
          </w:p>
        </w:tc>
        <w:tc>
          <w:tcPr>
            <w:tcW w:w="6120" w:type="dxa"/>
            <w:tcBorders>
              <w:top w:val="single" w:color="000000" w:sz="4" w:space="0"/>
              <w:left w:val="single" w:color="000000" w:sz="4" w:space="0"/>
              <w:bottom w:val="single" w:color="000000" w:sz="4" w:space="0"/>
              <w:right w:val="single" w:color="000000" w:sz="4" w:space="0"/>
            </w:tcBorders>
            <w:vAlign w:val="center"/>
          </w:tcPr>
          <w:p w14:paraId="52214FAF">
            <w:pPr>
              <w:widowControl/>
              <w:numPr>
                <w:ilvl w:val="0"/>
                <w:numId w:val="7"/>
              </w:numPr>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信息登记：登记访客的姓名、身份证号码、电话、事由、被访人等。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2、访客审批：访客访客预约的审批，包括部门审批（指定专人审批）、被访人审批与第三方审批系统对接（提供接口）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3、功能访客权限管理：根据访客需要到达的区域自动进行授权，包括门禁权限、电梯楼层权限等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凭证发放：向访客人员发凭证包括卡片、二维码、人脸认证等。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 登记数据检索：对以往的登记数据进行快速检索；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 登记数据统计：对以往登记数据进行快速统计；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7、签离：手工、系统自动签离登记。</w:t>
            </w:r>
          </w:p>
          <w:p w14:paraId="4E4D1B62">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8.对接流程服务处理审批；</w:t>
            </w:r>
          </w:p>
          <w:p w14:paraId="3B51855F">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9.对接移动后台处理审批。</w:t>
            </w:r>
          </w:p>
        </w:tc>
        <w:tc>
          <w:tcPr>
            <w:tcW w:w="780" w:type="dxa"/>
            <w:tcBorders>
              <w:top w:val="single" w:color="000000" w:sz="4" w:space="0"/>
              <w:left w:val="single" w:color="000000" w:sz="4" w:space="0"/>
              <w:bottom w:val="single" w:color="000000" w:sz="4" w:space="0"/>
              <w:right w:val="single" w:color="000000" w:sz="4" w:space="0"/>
            </w:tcBorders>
            <w:vAlign w:val="center"/>
          </w:tcPr>
          <w:p w14:paraId="424B64B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3CC44D9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02185E2A">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488B8B9">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3.8.4</w:t>
            </w:r>
          </w:p>
        </w:tc>
        <w:tc>
          <w:tcPr>
            <w:tcW w:w="1110" w:type="dxa"/>
            <w:tcBorders>
              <w:top w:val="single" w:color="000000" w:sz="4" w:space="0"/>
              <w:left w:val="single" w:color="000000" w:sz="4" w:space="0"/>
              <w:bottom w:val="single" w:color="000000" w:sz="4" w:space="0"/>
              <w:right w:val="single" w:color="000000" w:sz="4" w:space="0"/>
            </w:tcBorders>
            <w:vAlign w:val="center"/>
          </w:tcPr>
          <w:p w14:paraId="750CD71A">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出入口车辆管理软件</w:t>
            </w:r>
          </w:p>
        </w:tc>
        <w:tc>
          <w:tcPr>
            <w:tcW w:w="6120" w:type="dxa"/>
            <w:tcBorders>
              <w:top w:val="single" w:color="000000" w:sz="4" w:space="0"/>
              <w:left w:val="single" w:color="000000" w:sz="4" w:space="0"/>
              <w:bottom w:val="single" w:color="000000" w:sz="4" w:space="0"/>
              <w:right w:val="single" w:color="000000" w:sz="4" w:space="0"/>
            </w:tcBorders>
            <w:vAlign w:val="center"/>
          </w:tcPr>
          <w:p w14:paraId="5DE1164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主要功能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1.车辆管理：预约车、月卡车、免费车、vip车辆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2.支持一位多车，多位多车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3.快进快出：预约车、VIP管理、特种车管理，免费车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4.支持潮汐通道设置，可在监控电脑上实时监视进出口的车辆及一切事物的活动情况。</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5.支持月卡缴费、临停缴费、自助缴费、无感支付（微信、支付宝、银联等）、商家代付等。</w:t>
            </w:r>
          </w:p>
        </w:tc>
        <w:tc>
          <w:tcPr>
            <w:tcW w:w="780" w:type="dxa"/>
            <w:tcBorders>
              <w:top w:val="single" w:color="000000" w:sz="4" w:space="0"/>
              <w:left w:val="single" w:color="000000" w:sz="4" w:space="0"/>
              <w:bottom w:val="single" w:color="000000" w:sz="4" w:space="0"/>
              <w:right w:val="single" w:color="000000" w:sz="4" w:space="0"/>
            </w:tcBorders>
            <w:vAlign w:val="center"/>
          </w:tcPr>
          <w:p w14:paraId="1933133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214043AD">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5D90C33C">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7A2DA6DA">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3.8.5</w:t>
            </w:r>
          </w:p>
        </w:tc>
        <w:tc>
          <w:tcPr>
            <w:tcW w:w="1110" w:type="dxa"/>
            <w:tcBorders>
              <w:top w:val="single" w:color="000000" w:sz="4" w:space="0"/>
              <w:left w:val="single" w:color="000000" w:sz="4" w:space="0"/>
              <w:bottom w:val="single" w:color="000000" w:sz="4" w:space="0"/>
              <w:right w:val="single" w:color="000000" w:sz="4" w:space="0"/>
            </w:tcBorders>
            <w:vAlign w:val="center"/>
          </w:tcPr>
          <w:p w14:paraId="7A09AF7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人员通道（人行及非机动车）接口服务</w:t>
            </w:r>
          </w:p>
        </w:tc>
        <w:tc>
          <w:tcPr>
            <w:tcW w:w="6120" w:type="dxa"/>
            <w:tcBorders>
              <w:top w:val="single" w:color="000000" w:sz="4" w:space="0"/>
              <w:left w:val="single" w:color="000000" w:sz="4" w:space="0"/>
              <w:bottom w:val="single" w:color="000000" w:sz="4" w:space="0"/>
              <w:right w:val="single" w:color="000000" w:sz="4" w:space="0"/>
            </w:tcBorders>
            <w:vAlign w:val="center"/>
          </w:tcPr>
          <w:p w14:paraId="40694851">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开放子系统标准接口，为北向平台上传设类备数据，如门点查询、门禁设备查询、门禁事件查询，门实时状态查询、设备实时状态查询，门实时状态推送、设备实时状态推送、门禁事件推送、设备事件推送。</w:t>
            </w:r>
          </w:p>
          <w:p w14:paraId="41207BF6">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为平台园区端推送信息，包括且不限于以下：</w:t>
            </w:r>
          </w:p>
          <w:p w14:paraId="16C178C6">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1.推送访客人员预约记录（参数包含：预约记录 ID，申请编号，申请人姓名，申请人性别， 申请人身份证， 申请人照片 URL，来访单位，来访事由，来访时</w:t>
            </w:r>
          </w:p>
          <w:p w14:paraId="4BBBD15F">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间，被访单位企业 ID，被访单位企业，被访人，被访人电话等）；</w:t>
            </w:r>
          </w:p>
          <w:p w14:paraId="56D148FE">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2.推送人员审批记录（参数包含：申请编号，申请人姓名，申请人性别， 申请人身份证， 申请人照片 URL，来访单位，来访事由，来访时间，被访单位企</w:t>
            </w:r>
          </w:p>
          <w:p w14:paraId="2507E20F">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业 ID，被访单位企业，被访人，被访人电话等）；</w:t>
            </w:r>
          </w:p>
          <w:p w14:paraId="22B073AF">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3.推送人员通行记录（参数包含：设备编码，人员编码，人员类型 ，通行时间 ，通行抓拍 附件 url 等)。</w:t>
            </w:r>
          </w:p>
        </w:tc>
        <w:tc>
          <w:tcPr>
            <w:tcW w:w="780" w:type="dxa"/>
            <w:tcBorders>
              <w:top w:val="single" w:color="000000" w:sz="4" w:space="0"/>
              <w:left w:val="single" w:color="000000" w:sz="4" w:space="0"/>
              <w:bottom w:val="single" w:color="000000" w:sz="4" w:space="0"/>
              <w:right w:val="single" w:color="000000" w:sz="4" w:space="0"/>
            </w:tcBorders>
            <w:vAlign w:val="center"/>
          </w:tcPr>
          <w:p w14:paraId="6BB0AD7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4AD8E46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r>
      <w:tr w14:paraId="60D101FF">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12E0F68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3.8.6</w:t>
            </w:r>
          </w:p>
        </w:tc>
        <w:tc>
          <w:tcPr>
            <w:tcW w:w="1110" w:type="dxa"/>
            <w:tcBorders>
              <w:top w:val="single" w:color="000000" w:sz="4" w:space="0"/>
              <w:left w:val="single" w:color="000000" w:sz="4" w:space="0"/>
              <w:bottom w:val="single" w:color="000000" w:sz="4" w:space="0"/>
              <w:right w:val="single" w:color="000000" w:sz="4" w:space="0"/>
            </w:tcBorders>
            <w:vAlign w:val="center"/>
          </w:tcPr>
          <w:p w14:paraId="1E55E004">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出入口车辆管理接口服务</w:t>
            </w:r>
          </w:p>
        </w:tc>
        <w:tc>
          <w:tcPr>
            <w:tcW w:w="6120" w:type="dxa"/>
            <w:tcBorders>
              <w:top w:val="single" w:color="000000" w:sz="4" w:space="0"/>
              <w:left w:val="single" w:color="000000" w:sz="4" w:space="0"/>
              <w:bottom w:val="single" w:color="000000" w:sz="4" w:space="0"/>
              <w:right w:val="single" w:color="000000" w:sz="4" w:space="0"/>
            </w:tcBorders>
            <w:vAlign w:val="center"/>
          </w:tcPr>
          <w:p w14:paraId="534B4BDB">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开放子系统标准接口，为北向平台上传设类备数据，如停车外部开闸状态、车位余量、车辆进出数据、统计数据。</w:t>
            </w:r>
          </w:p>
          <w:p w14:paraId="3D86E959">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为平台园区端推送信息，包括且不限于以下：</w:t>
            </w:r>
          </w:p>
          <w:p w14:paraId="6B881C1D">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1.推送车辆预约记录（参数包含：申请编号，申请人姓名，申请人性别， 申请人身份证，车牌号，来访单位，来访事由，来访时间）；</w:t>
            </w:r>
          </w:p>
          <w:p w14:paraId="04D2E049">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2.推送车辆授权记录（参数包含：预约记录 ID，申请编号，授权期限，授权人，申请姓名， 申请身份证，车牌号，来访单位，来访事由，来访时间）；</w:t>
            </w:r>
          </w:p>
          <w:p w14:paraId="50DE31F4">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3.推送车辆通行记录（参数包含：车辆类型，设备编码，通行时间，通行类型， 通行抓拍)。</w:t>
            </w:r>
          </w:p>
        </w:tc>
        <w:tc>
          <w:tcPr>
            <w:tcW w:w="780" w:type="dxa"/>
            <w:tcBorders>
              <w:top w:val="single" w:color="000000" w:sz="4" w:space="0"/>
              <w:left w:val="single" w:color="000000" w:sz="4" w:space="0"/>
              <w:bottom w:val="single" w:color="000000" w:sz="4" w:space="0"/>
              <w:right w:val="single" w:color="000000" w:sz="4" w:space="0"/>
            </w:tcBorders>
            <w:vAlign w:val="center"/>
          </w:tcPr>
          <w:p w14:paraId="1D293908">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14EF8C6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r>
      <w:tr w14:paraId="47F7EBFC">
        <w:tblPrEx>
          <w:tblCellMar>
            <w:top w:w="0" w:type="dxa"/>
            <w:left w:w="108" w:type="dxa"/>
            <w:bottom w:w="0" w:type="dxa"/>
            <w:right w:w="108" w:type="dxa"/>
          </w:tblCellMar>
        </w:tblPrEx>
        <w:trPr>
          <w:trHeight w:val="112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0B071AB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3.8.7</w:t>
            </w:r>
          </w:p>
        </w:tc>
        <w:tc>
          <w:tcPr>
            <w:tcW w:w="1110" w:type="dxa"/>
            <w:tcBorders>
              <w:top w:val="single" w:color="000000" w:sz="4" w:space="0"/>
              <w:left w:val="single" w:color="000000" w:sz="4" w:space="0"/>
              <w:bottom w:val="single" w:color="000000" w:sz="4" w:space="0"/>
              <w:right w:val="single" w:color="000000" w:sz="4" w:space="0"/>
            </w:tcBorders>
            <w:vAlign w:val="center"/>
          </w:tcPr>
          <w:p w14:paraId="0290E5B2">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访客系统接口服务</w:t>
            </w:r>
          </w:p>
        </w:tc>
        <w:tc>
          <w:tcPr>
            <w:tcW w:w="6120" w:type="dxa"/>
            <w:tcBorders>
              <w:top w:val="single" w:color="000000" w:sz="4" w:space="0"/>
              <w:left w:val="single" w:color="000000" w:sz="4" w:space="0"/>
              <w:bottom w:val="single" w:color="000000" w:sz="4" w:space="0"/>
              <w:right w:val="single" w:color="000000" w:sz="4" w:space="0"/>
            </w:tcBorders>
            <w:vAlign w:val="center"/>
          </w:tcPr>
          <w:p w14:paraId="7EC24A97">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开放子系统标准接口，为北向平台上传设类备数据，访客照片同步、访客事件查询、访客二维码推送。</w:t>
            </w:r>
          </w:p>
          <w:p w14:paraId="255AAD95">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同步平台园区端中的内部人员信息，人员黑名单及内部车辆（包含普通车辆，危化品车辆），黑名单车辆。</w:t>
            </w:r>
          </w:p>
          <w:p w14:paraId="51650F7B">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(一)同步人员信息,包括且不限于以下：</w:t>
            </w:r>
          </w:p>
          <w:p w14:paraId="5DB0169D">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1.人员信息，包含公司名称，人员姓名，人员编号，人员类型，性别，人脸相片。</w:t>
            </w:r>
          </w:p>
          <w:p w14:paraId="203B9DC5">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2.人员黑名单，包含公司名称，人员姓名，人员编号，人员类型，</w:t>
            </w:r>
          </w:p>
          <w:p w14:paraId="00629169">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性别，人脸相片，黑名单原因（可查询）。</w:t>
            </w:r>
          </w:p>
          <w:p w14:paraId="7CA549F4">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（二）同步车辆信息,包括且不限于以下：</w:t>
            </w:r>
          </w:p>
          <w:p w14:paraId="326019E3">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1.普通车辆信息，包含车牌，车辆类型，公司名称，司机姓名，司机电话，车辆有效期限（可查询）。</w:t>
            </w:r>
          </w:p>
          <w:p w14:paraId="317BA136">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2.危化品车辆信息，包含车牌，车辆类型，公司名称，司机姓名，押运员姓名，车辆有效期限（可查询）。</w:t>
            </w:r>
          </w:p>
          <w:p w14:paraId="2616C3FE">
            <w:pPr>
              <w:widowControl/>
              <w:spacing w:after="0" w:line="279" w:lineRule="auto"/>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3.黑名单车辆信息，包含车牌，车辆类型，公司名称，司机姓名，司机电话，黑名单原因（可查询）</w:t>
            </w:r>
          </w:p>
        </w:tc>
        <w:tc>
          <w:tcPr>
            <w:tcW w:w="780" w:type="dxa"/>
            <w:tcBorders>
              <w:top w:val="single" w:color="000000" w:sz="4" w:space="0"/>
              <w:left w:val="single" w:color="000000" w:sz="4" w:space="0"/>
              <w:bottom w:val="single" w:color="000000" w:sz="4" w:space="0"/>
              <w:right w:val="single" w:color="000000" w:sz="4" w:space="0"/>
            </w:tcBorders>
            <w:vAlign w:val="center"/>
          </w:tcPr>
          <w:p w14:paraId="7D42CD4F">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3ABF1151">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r>
      <w:tr w14:paraId="718DF4C5">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vAlign w:val="center"/>
          </w:tcPr>
          <w:p w14:paraId="218E870B">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3.8.8</w:t>
            </w:r>
          </w:p>
        </w:tc>
        <w:tc>
          <w:tcPr>
            <w:tcW w:w="1110" w:type="dxa"/>
            <w:tcBorders>
              <w:top w:val="single" w:color="000000" w:sz="4" w:space="0"/>
              <w:left w:val="single" w:color="000000" w:sz="4" w:space="0"/>
              <w:bottom w:val="single" w:color="000000" w:sz="4" w:space="0"/>
              <w:right w:val="single" w:color="000000" w:sz="4" w:space="0"/>
            </w:tcBorders>
            <w:vAlign w:val="center"/>
          </w:tcPr>
          <w:p w14:paraId="5DDD5CF1">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区域安全风险隔离管控软件开发</w:t>
            </w:r>
          </w:p>
        </w:tc>
        <w:tc>
          <w:tcPr>
            <w:tcW w:w="6120" w:type="dxa"/>
            <w:tcBorders>
              <w:top w:val="single" w:color="000000" w:sz="4" w:space="0"/>
              <w:left w:val="single" w:color="000000" w:sz="4" w:space="0"/>
              <w:bottom w:val="single" w:color="000000" w:sz="4" w:space="0"/>
              <w:right w:val="single" w:color="000000" w:sz="4" w:space="0"/>
            </w:tcBorders>
            <w:vAlign w:val="center"/>
          </w:tcPr>
          <w:p w14:paraId="381F0250">
            <w:pPr>
              <w:widowControl/>
              <w:spacing w:after="0" w:line="279" w:lineRule="auto"/>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一、基础系统管理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基础能力：提供统一的认证、鉴权管理、应用管理、菜单管理、用户管理、角色管理、组织管理、资源管理等能力。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权限管理：提供用户权限管理能力，包括菜单权限、组织权限、区域权限、资源权限、功能控制权限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资源管理：提供组织、区域、设备、人员、卡片、车辆等资源统一管理。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安全管理：提供用户安全管理，支持账户绑定用户mac地址及IP地址能力，提供账户安全设置，支持账户密码有效期设置，支持登录类型（Web端、PC客户端、移动端）和认证方式（密码、PKI）的配置。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 校时服务：提供NTP校时服务能力，支持对设备和服务器统一校时。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 开放能力：提供数据、服务等统一开放能力。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 状态监测：提供系统运行状态监测能力，包括运行服务监控、运行服务统计、运行数据报告和运行服务解析概览。</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二、危化品车辆定位设备管理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设备管理：支持基于定位设备类型，对定位设备进行增删改、展示设备状态。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实时定位数据管理：结合定位算法，计算出信号标签位置进行车辆定位。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三、园区人流量监管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人流量统计设备接入：支持人流量统计摄像机接入，针对进出园区大门的人员数量情况进行实时记录。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园区人流量历史数据管理：支持园区人流量历史数据管理，实现对区域内人员进出数量情况进行统计。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区域安全风险隔离管控数据对接：基于园区公共区域物联探测数据进行汇聚，进行区域安全风险隔离管控数据对接整合。</w:t>
            </w:r>
          </w:p>
        </w:tc>
        <w:tc>
          <w:tcPr>
            <w:tcW w:w="780" w:type="dxa"/>
            <w:tcBorders>
              <w:top w:val="single" w:color="000000" w:sz="4" w:space="0"/>
              <w:left w:val="single" w:color="000000" w:sz="4" w:space="0"/>
              <w:bottom w:val="single" w:color="000000" w:sz="4" w:space="0"/>
              <w:right w:val="single" w:color="000000" w:sz="4" w:space="0"/>
            </w:tcBorders>
            <w:vAlign w:val="center"/>
          </w:tcPr>
          <w:p w14:paraId="3BD0E740">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15" w:type="dxa"/>
            <w:tcBorders>
              <w:top w:val="single" w:color="000000" w:sz="4" w:space="0"/>
              <w:left w:val="single" w:color="000000" w:sz="4" w:space="0"/>
              <w:bottom w:val="single" w:color="000000" w:sz="4" w:space="0"/>
              <w:right w:val="single" w:color="000000" w:sz="4" w:space="0"/>
            </w:tcBorders>
            <w:vAlign w:val="center"/>
          </w:tcPr>
          <w:p w14:paraId="4B6D3722">
            <w:pPr>
              <w:widowControl/>
              <w:spacing w:after="0" w:line="279"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14:paraId="75AD037A">
        <w:tblPrEx>
          <w:tblCellMar>
            <w:top w:w="0" w:type="dxa"/>
            <w:left w:w="108" w:type="dxa"/>
            <w:bottom w:w="0" w:type="dxa"/>
            <w:right w:w="108" w:type="dxa"/>
          </w:tblCellMar>
        </w:tblPrEx>
        <w:trPr>
          <w:trHeight w:val="806" w:hRule="atLeast"/>
        </w:trPr>
        <w:tc>
          <w:tcPr>
            <w:tcW w:w="9285" w:type="dxa"/>
            <w:gridSpan w:val="5"/>
            <w:tcBorders>
              <w:top w:val="single" w:color="000000" w:sz="4" w:space="0"/>
              <w:left w:val="single" w:color="000000" w:sz="4" w:space="0"/>
              <w:bottom w:val="single" w:color="000000" w:sz="4" w:space="0"/>
              <w:right w:val="single" w:color="000000" w:sz="4" w:space="0"/>
            </w:tcBorders>
            <w:vAlign w:val="center"/>
          </w:tcPr>
          <w:p w14:paraId="57B2A035">
            <w:pPr>
              <w:widowControl/>
              <w:spacing w:after="0" w:line="279" w:lineRule="auto"/>
              <w:jc w:val="center"/>
              <w:textAlignment w:val="center"/>
              <w:rPr>
                <w:rFonts w:ascii="宋体" w:hAnsi="宋体" w:cs="宋体"/>
                <w:color w:val="auto"/>
                <w:kern w:val="0"/>
                <w:sz w:val="22"/>
                <w:szCs w:val="22"/>
                <w:highlight w:val="none"/>
                <w:lang w:bidi="ar"/>
              </w:rPr>
            </w:pPr>
            <w:r>
              <w:rPr>
                <w:rFonts w:hint="eastAsia" w:ascii="宋体" w:hAnsi="宋体" w:cs="宋体"/>
                <w:b/>
                <w:bCs/>
                <w:color w:val="auto"/>
                <w:kern w:val="0"/>
                <w:sz w:val="24"/>
                <w:highlight w:val="none"/>
              </w:rPr>
              <w:t>采购预算金额</w:t>
            </w:r>
            <w:r>
              <w:rPr>
                <w:rFonts w:hint="eastAsia" w:ascii="宋体" w:hAnsi="宋体" w:cs="宋体"/>
                <w:color w:val="auto"/>
                <w:kern w:val="0"/>
                <w:sz w:val="24"/>
                <w:highlight w:val="none"/>
              </w:rPr>
              <w:t>：（人民币）肆佰贰拾万玖仟玖佰伍拾贰元整（¥4209952.00）</w:t>
            </w:r>
          </w:p>
        </w:tc>
      </w:tr>
      <w:tr w14:paraId="37B2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85" w:type="dxa"/>
            <w:gridSpan w:val="5"/>
            <w:vAlign w:val="center"/>
          </w:tcPr>
          <w:p w14:paraId="5F033A28">
            <w:pPr>
              <w:widowControl/>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商 务 条 款</w:t>
            </w:r>
          </w:p>
        </w:tc>
      </w:tr>
      <w:tr w14:paraId="6ABA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12691A1F">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技术要求</w:t>
            </w:r>
          </w:p>
        </w:tc>
        <w:tc>
          <w:tcPr>
            <w:tcW w:w="7515" w:type="dxa"/>
            <w:gridSpan w:val="3"/>
            <w:vAlign w:val="center"/>
          </w:tcPr>
          <w:p w14:paraId="18DA0B64">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对硬件设备选型，本着必要、节约、实用的原则。按照机房的发展需要、机房设备的前后兼容性进行选型。务必做到在照顾性能够用、设备实用的原则下，应选择国产化产品，并从信创核心产品目录中选择。在功能和性能需求上，要求达到所需求的设计目的，本项目所选设备均为最低配置参数，实际选型不得低于次参数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2、对软件的选型，以实用为原则，主要以性能需求和功能需求为第一诉求，在满足性能和功能的前提下，在保证系统软件前后兼容性和业务连续的原则下，应选择国产化产品，并从信创核心产品目录中选择。</w:t>
            </w:r>
          </w:p>
        </w:tc>
      </w:tr>
      <w:tr w14:paraId="45D0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0C27C7A2">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质保期</w:t>
            </w:r>
          </w:p>
        </w:tc>
        <w:tc>
          <w:tcPr>
            <w:tcW w:w="7515" w:type="dxa"/>
            <w:gridSpan w:val="3"/>
            <w:vAlign w:val="center"/>
          </w:tcPr>
          <w:p w14:paraId="1EE5F1DA">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质保期三年：硬件类货物质保期从初验合格之日起计算；软件类货物质保期从最终验收合格之日起计算。</w:t>
            </w:r>
          </w:p>
        </w:tc>
      </w:tr>
      <w:tr w14:paraId="07F7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0018738D">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交付时间及地点</w:t>
            </w:r>
          </w:p>
        </w:tc>
        <w:tc>
          <w:tcPr>
            <w:tcW w:w="7515" w:type="dxa"/>
            <w:gridSpan w:val="3"/>
            <w:vAlign w:val="center"/>
          </w:tcPr>
          <w:p w14:paraId="3694BCA7">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1、交付使用时间：</w:t>
            </w:r>
            <w:r>
              <w:rPr>
                <w:rFonts w:hint="eastAsia" w:ascii="宋体" w:hAnsi="宋体" w:cs="宋体"/>
                <w:color w:val="auto"/>
                <w:sz w:val="22"/>
                <w:szCs w:val="22"/>
                <w:highlight w:val="none"/>
              </w:rPr>
              <w:t>项目建设期：2025年8月21日前达到试运行条件，试运行不低于1个月，2025年9月30日前项目须通过覃塘区工业园区组织相关部门、专家开展的自验收，形成自验收报告报贵港市应急管理局；2025年10月31日前，项目须通过贵港市应急管理局组织有关部门、专家，按照建设任务验收评分表验收。贵港市应急管理局形成初步验收报告后，再向广西壮族自治区应急管理厅申请验收，2025年11月30日前完成项目验收，直至通过国家应急部组织验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2、交付地点：采购单位指定地点。</w:t>
            </w:r>
          </w:p>
        </w:tc>
      </w:tr>
      <w:tr w14:paraId="631B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6111FC52">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合同签订时间</w:t>
            </w:r>
          </w:p>
        </w:tc>
        <w:tc>
          <w:tcPr>
            <w:tcW w:w="7515" w:type="dxa"/>
            <w:gridSpan w:val="3"/>
            <w:vAlign w:val="center"/>
          </w:tcPr>
          <w:p w14:paraId="4E003119">
            <w:pPr>
              <w:widowControl/>
              <w:spacing w:after="0" w:line="360" w:lineRule="auto"/>
              <w:textAlignment w:val="center"/>
              <w:rPr>
                <w:rFonts w:ascii="宋体" w:hAnsi="宋体" w:cs="宋体"/>
                <w:color w:val="auto"/>
                <w:sz w:val="22"/>
                <w:szCs w:val="22"/>
                <w:highlight w:val="none"/>
              </w:rPr>
            </w:pPr>
            <w:bookmarkStart w:id="46" w:name="OLE_LINK18"/>
            <w:r>
              <w:rPr>
                <w:rFonts w:hint="eastAsia" w:ascii="宋体" w:hAnsi="宋体" w:cs="宋体"/>
                <w:color w:val="auto"/>
                <w:kern w:val="0"/>
                <w:sz w:val="22"/>
                <w:szCs w:val="22"/>
                <w:highlight w:val="none"/>
                <w:lang w:bidi="ar"/>
              </w:rPr>
              <w:t>自中标通知书发出之日起</w:t>
            </w:r>
            <w:bookmarkEnd w:id="46"/>
            <w:r>
              <w:rPr>
                <w:rFonts w:hint="eastAsia" w:ascii="宋体" w:hAnsi="宋体" w:cs="宋体"/>
                <w:color w:val="auto"/>
                <w:kern w:val="0"/>
                <w:sz w:val="22"/>
                <w:szCs w:val="22"/>
                <w:highlight w:val="none"/>
                <w:lang w:bidi="ar"/>
              </w:rPr>
              <w:t xml:space="preserve"> 25日内。</w:t>
            </w:r>
          </w:p>
        </w:tc>
      </w:tr>
      <w:tr w14:paraId="6DED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0EBCD2FF">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报价要求</w:t>
            </w:r>
          </w:p>
        </w:tc>
        <w:tc>
          <w:tcPr>
            <w:tcW w:w="7515" w:type="dxa"/>
            <w:gridSpan w:val="3"/>
            <w:vAlign w:val="center"/>
          </w:tcPr>
          <w:p w14:paraId="3CCE3829">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本次报价须为人民币报价，为采购人指定地点的现场交货价，包括投标货物（包括备品备件、专用工具等）的价格，投标货物运输（含保险）、装卸、安装（如有）、调试、检验、修补（如有）、换货及售后服务（如有）、技术服务、培训和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14:paraId="055A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2E1FF682">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付款条件</w:t>
            </w:r>
          </w:p>
        </w:tc>
        <w:tc>
          <w:tcPr>
            <w:tcW w:w="7515" w:type="dxa"/>
            <w:gridSpan w:val="3"/>
            <w:vAlign w:val="center"/>
          </w:tcPr>
          <w:p w14:paraId="0C6AA9C7">
            <w:pPr>
              <w:widowControl/>
              <w:spacing w:after="0" w:line="360" w:lineRule="auto"/>
              <w:textAlignment w:val="auto"/>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eastAsia="zh-CN" w:bidi="ar"/>
              </w:rPr>
              <w:t>合同签订生效后，中标方提交预付合同金额30%的申请，审批通过后支付，主要硬件设备到货后，经甲方确认并验收合格后支付至合同总额的60%，自平台开发完成、前端设备安装验收合格正常使用后，采购人按流程支付至合同价款的97%，验收合格三年后采购人按流程支付合同价款的3%。注：付款前提是，中标方需在结款日之前开具等额的增值税发票。</w:t>
            </w:r>
          </w:p>
        </w:tc>
      </w:tr>
      <w:tr w14:paraId="0CAF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06ED5C1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包装和运输要求</w:t>
            </w:r>
          </w:p>
        </w:tc>
        <w:tc>
          <w:tcPr>
            <w:tcW w:w="7515" w:type="dxa"/>
            <w:gridSpan w:val="3"/>
            <w:vAlign w:val="center"/>
          </w:tcPr>
          <w:p w14:paraId="3544FF53">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产品包装和运输均由中标人负责。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包装：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货物的运输方式：不限。</w:t>
            </w:r>
          </w:p>
        </w:tc>
      </w:tr>
      <w:tr w14:paraId="323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44EA668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售后服务及培训要求</w:t>
            </w:r>
          </w:p>
        </w:tc>
        <w:tc>
          <w:tcPr>
            <w:tcW w:w="7515" w:type="dxa"/>
            <w:gridSpan w:val="3"/>
            <w:vAlign w:val="center"/>
          </w:tcPr>
          <w:p w14:paraId="0EE04E26">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中标人应按照国家有关法律法规和“三包”规定以及招标文件、投标文件、合同及附件的规定，为采购人提供售后服务。中标人承诺质量保证期优于国家“三包”规定的，或优于招标文件规定的，按中标人实际承诺执行。</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2.提供</w:t>
            </w: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年期平台免费运行维护，在运维期间，发生故障时接到通知后立即响应，优先以远程支持的方式处理解决，远程无法修复的</w:t>
            </w: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小时内到达现场维修，一般故障</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小时内恢复，重大故障</w:t>
            </w:r>
            <w:r>
              <w:rPr>
                <w:rFonts w:ascii="宋体" w:hAnsi="宋体" w:cs="宋体"/>
                <w:color w:val="auto"/>
                <w:kern w:val="0"/>
                <w:sz w:val="22"/>
                <w:szCs w:val="22"/>
                <w:highlight w:val="none"/>
              </w:rPr>
              <w:t>24</w:t>
            </w:r>
            <w:r>
              <w:rPr>
                <w:rFonts w:hint="eastAsia" w:ascii="宋体" w:hAnsi="宋体" w:cs="宋体"/>
                <w:color w:val="auto"/>
                <w:kern w:val="0"/>
                <w:sz w:val="22"/>
                <w:szCs w:val="22"/>
                <w:highlight w:val="none"/>
              </w:rPr>
              <w:t>小时内恢复，若无法修复必须提供同等型号或性能更优设备替换。</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3.中标人售后服务中，维修使用的备品备件及易损件应为原厂配件，未经采购人同意不得使用非原厂配件，质保期内维修使用的备品备件及易损件的费用，由中标人承担。</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4.质量保证期内中标人为采购人所提供的所有技术支持和服务费用以及上门维修、更换零部件费用均包含在投标报价中，采购人不再另行支付。</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5.中标人必须提供完善的系统软硬件使用手册、操作培训手册、维护手册。</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6.中标人须对园区平台及企业平台使用人员进行系统培训，培训人员达到熟练掌握平台使用方法及信息应用维护要求；培训课时不少于24个课时，培训方式可采用线上或线下的方式，具体培训时间由中标人跟采购人另行约定。</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7.中标人须对使用人员定期开展信息应用考核，并形成考核记录。</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8.中标人质保期内日常运维须形成运维日志记录，建立安全风险智能化管控平台运行维护档案，定期对运维工作进行评价总结和优化，定期考核运维人员，并形成考核记录。</w:t>
            </w:r>
          </w:p>
        </w:tc>
      </w:tr>
      <w:tr w14:paraId="00CE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0374825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验收标准及要求</w:t>
            </w:r>
          </w:p>
        </w:tc>
        <w:tc>
          <w:tcPr>
            <w:tcW w:w="7515" w:type="dxa"/>
            <w:gridSpan w:val="3"/>
            <w:vAlign w:val="center"/>
          </w:tcPr>
          <w:p w14:paraId="45B27009">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2025年8月21日前达到试运行条件，试运行不低于1个月，2025年9月30日前项目须通过覃塘区工业园区组织相关部门、专家开展的自验收，形成自验收报告报贵港市应急管理局；2025年10月31日前，项目须通过贵港市应急管理局组织有关部门、专家，按照建设任务验收评分表验收。贵港市应急管理局形成初步验收报告后，再向广西壮族自治区应急管理厅申请验收，2025年11月30日前完成项目验收，直至通过国家应急部组织验收。验收不通过，中标人须按要求完成整改，整改产生的费用由中标人自行承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项目验收按照应急管理部下发的《重点化工产业聚集区重大安全风险防控项目技术验收评分表》、《化工园区安全风险智能化管控平台数据交换规范（试行）》标准要求执行，项目验收前中标人需按要求向采购人提交相应的数据、文档资料。</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项目必须通过具备国家认定的相应评测资质的公司进行第三方软件测试、网络安全等级保护三级2.0以及密码应用安全评估的评测。在测评过程中，若发现与本项目相关的问题，中标人需负责进行整改。整改过程中产生的相关费用也由中标人承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根据覃塘区工业园区大任产业园化工园区安全风险D级认定标准，项目建设内容涉及的采购服务按《化工园区安全风险排查治理导则》评分表中的相关评分对应项，须完成对应分值，如需整改，须完成相应整改内容通过化工园区安全风险D级认定，整改产生的相关费用由中标人负责。</w:t>
            </w:r>
          </w:p>
        </w:tc>
      </w:tr>
      <w:tr w14:paraId="44B0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21D84078">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其他要求</w:t>
            </w:r>
          </w:p>
        </w:tc>
        <w:tc>
          <w:tcPr>
            <w:tcW w:w="7515" w:type="dxa"/>
            <w:gridSpan w:val="3"/>
            <w:vAlign w:val="center"/>
          </w:tcPr>
          <w:p w14:paraId="38970C60">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1、投标人为项目的实施和售后服务组建技术团队，至少包含一名项目经理、一名项目实施负责人、一名项目售后负责人。项目经理、实施负责人、售后负责人不能为同一人。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2、投标人投标产品应是原装全新正品产品，不允许是OEM贴牌产品。</w:t>
            </w:r>
          </w:p>
        </w:tc>
      </w:tr>
      <w:tr w14:paraId="29F4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0" w:type="dxa"/>
            <w:gridSpan w:val="2"/>
            <w:vAlign w:val="center"/>
          </w:tcPr>
          <w:p w14:paraId="6E34F3BD">
            <w:pPr>
              <w:widowControl/>
              <w:spacing w:after="0" w:line="360"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其他说明</w:t>
            </w:r>
          </w:p>
        </w:tc>
        <w:tc>
          <w:tcPr>
            <w:tcW w:w="7515" w:type="dxa"/>
            <w:gridSpan w:val="3"/>
            <w:vAlign w:val="center"/>
          </w:tcPr>
          <w:p w14:paraId="357B5652">
            <w:pPr>
              <w:widowControl/>
              <w:spacing w:after="0" w:line="360" w:lineRule="auto"/>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本标项的货物不接受进口产品（即通过中国海关报关验放进入中国境内且产自关境外的产品）参与投标，如有进口产品参与投标的作无效标处理。</w:t>
            </w:r>
          </w:p>
        </w:tc>
      </w:tr>
    </w:tbl>
    <w:p w14:paraId="0AEFC74D">
      <w:pPr>
        <w:rPr>
          <w:rFonts w:ascii="仿宋" w:hAnsi="仿宋" w:eastAsia="仿宋" w:cs="仿宋"/>
          <w:color w:val="auto"/>
          <w:highlight w:val="none"/>
        </w:rPr>
      </w:pPr>
      <w:r>
        <w:rPr>
          <w:rFonts w:hint="eastAsia" w:ascii="仿宋" w:hAnsi="仿宋" w:eastAsia="仿宋" w:cs="仿宋"/>
          <w:color w:val="auto"/>
          <w:highlight w:val="none"/>
        </w:rPr>
        <w:br w:type="page"/>
      </w:r>
    </w:p>
    <w:p w14:paraId="6C2FA244">
      <w:pPr>
        <w:pStyle w:val="4"/>
        <w:spacing w:line="460" w:lineRule="exact"/>
        <w:rPr>
          <w:rFonts w:ascii="宋体" w:hAnsi="宋体" w:eastAsia="宋体" w:cs="宋体"/>
          <w:color w:val="auto"/>
          <w:sz w:val="28"/>
          <w:szCs w:val="28"/>
          <w:highlight w:val="none"/>
          <w:lang w:val="zh-CN" w:bidi="zh-CN"/>
        </w:rPr>
      </w:pPr>
      <w:bookmarkStart w:id="47" w:name="_Toc63"/>
      <w:bookmarkStart w:id="48" w:name="OLE_LINK44"/>
      <w:r>
        <w:rPr>
          <w:rFonts w:hint="eastAsia" w:ascii="宋体" w:hAnsi="宋体" w:eastAsia="宋体" w:cs="宋体"/>
          <w:color w:val="auto"/>
          <w:sz w:val="28"/>
          <w:szCs w:val="28"/>
          <w:highlight w:val="none"/>
          <w:lang w:bidi="zh-CN"/>
        </w:rPr>
        <w:t>标项三：</w:t>
      </w:r>
      <w:r>
        <w:rPr>
          <w:rFonts w:hint="eastAsia" w:ascii="宋体" w:hAnsi="宋体" w:eastAsia="宋体" w:cs="宋体"/>
          <w:color w:val="auto"/>
          <w:sz w:val="28"/>
          <w:szCs w:val="28"/>
          <w:highlight w:val="none"/>
          <w:lang w:val="zh-CN" w:bidi="zh-CN"/>
        </w:rPr>
        <w:t>贵港覃塘产业园区新材料科技园重大安全风险防控项目(危险化学品安全预防控制体系服务)-</w:t>
      </w:r>
      <w:r>
        <w:rPr>
          <w:rFonts w:hint="eastAsia" w:ascii="宋体" w:hAnsi="宋体" w:eastAsia="宋体" w:cs="宋体"/>
          <w:color w:val="auto"/>
          <w:sz w:val="28"/>
          <w:szCs w:val="28"/>
          <w:highlight w:val="none"/>
          <w:lang w:bidi="zh-CN"/>
        </w:rPr>
        <w:t>分标3</w:t>
      </w:r>
      <w:bookmarkEnd w:id="47"/>
    </w:p>
    <w:bookmarkEnd w:id="48"/>
    <w:p w14:paraId="3FBCD228">
      <w:pPr>
        <w:spacing w:line="360" w:lineRule="auto"/>
        <w:jc w:val="left"/>
        <w:rPr>
          <w:rFonts w:ascii="宋体" w:hAnsi="宋体" w:cs="宋体"/>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color w:val="auto"/>
          <w:sz w:val="22"/>
          <w:szCs w:val="22"/>
          <w:highlight w:val="none"/>
        </w:rPr>
        <w:t>1、本标项中小企业划分标准所属行业名称（行业名称及划分见本章附件1）：</w:t>
      </w:r>
      <w:r>
        <w:rPr>
          <w:rFonts w:hint="eastAsia" w:ascii="宋体" w:hAnsi="宋体" w:cs="宋体"/>
          <w:color w:val="auto"/>
          <w:sz w:val="22"/>
          <w:szCs w:val="22"/>
          <w:highlight w:val="none"/>
          <w:u w:val="single"/>
        </w:rPr>
        <w:t xml:space="preserve"> </w:t>
      </w:r>
      <w:bookmarkStart w:id="49" w:name="OLE_LINK22"/>
      <w:r>
        <w:rPr>
          <w:rFonts w:hint="eastAsia" w:ascii="宋体" w:hAnsi="宋体" w:cs="宋体"/>
          <w:color w:val="auto"/>
          <w:sz w:val="22"/>
          <w:szCs w:val="22"/>
          <w:highlight w:val="none"/>
          <w:u w:val="single"/>
        </w:rPr>
        <w:t>其他未列明行业</w:t>
      </w:r>
      <w:bookmarkEnd w:id="49"/>
      <w:r>
        <w:rPr>
          <w:rFonts w:hint="eastAsia" w:ascii="宋体" w:hAnsi="宋体" w:cs="宋体"/>
          <w:color w:val="auto"/>
          <w:sz w:val="22"/>
          <w:szCs w:val="22"/>
          <w:highlight w:val="none"/>
          <w:u w:val="single"/>
        </w:rPr>
        <w:t xml:space="preserve"> 。</w:t>
      </w:r>
    </w:p>
    <w:p w14:paraId="3BBEDAD8">
      <w:pPr>
        <w:pStyle w:val="30"/>
        <w:rPr>
          <w:rFonts w:ascii="宋体" w:hAnsi="宋体" w:cs="宋体"/>
          <w:color w:val="auto"/>
          <w:sz w:val="22"/>
          <w:szCs w:val="22"/>
          <w:highlight w:val="none"/>
          <w:lang w:bidi="ar"/>
        </w:rPr>
      </w:pPr>
      <w:bookmarkStart w:id="50" w:name="OLE_LINK54"/>
      <w:r>
        <w:rPr>
          <w:rFonts w:hint="eastAsia" w:ascii="宋体" w:hAnsi="宋体" w:cs="宋体"/>
          <w:color w:val="auto"/>
          <w:sz w:val="22"/>
          <w:szCs w:val="22"/>
          <w:highlight w:val="none"/>
          <w:lang w:bidi="ar"/>
        </w:rPr>
        <w:t>危险化学品安全预防控制体系服务需求</w:t>
      </w:r>
      <w:bookmarkEnd w:id="50"/>
      <w:r>
        <w:rPr>
          <w:rFonts w:hint="eastAsia" w:ascii="宋体" w:hAnsi="宋体" w:cs="宋体"/>
          <w:color w:val="auto"/>
          <w:sz w:val="22"/>
          <w:szCs w:val="22"/>
          <w:highlight w:val="none"/>
          <w:lang w:bidi="ar"/>
        </w:rPr>
        <w:t>。为贵港覃塘产业园区新材料科技园区内相关企业提供安全检查技术服务、园区安全管家服务、园区总体应急预案修编等服务，通过核查园区安全生产规范执行情况，识别园区整体风险情况，提升园区安全生产与风险防控水平，为园区规划布局提供科学决策支撑。</w:t>
      </w:r>
    </w:p>
    <w:p w14:paraId="5298A95A">
      <w:pPr>
        <w:pStyle w:val="30"/>
        <w:jc w:val="center"/>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危险化学品安全预防控制体系服务需求一览表</w:t>
      </w:r>
    </w:p>
    <w:tbl>
      <w:tblPr>
        <w:tblStyle w:val="5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20"/>
        <w:gridCol w:w="5615"/>
        <w:gridCol w:w="790"/>
        <w:gridCol w:w="675"/>
      </w:tblGrid>
      <w:tr w14:paraId="3DC6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5" w:type="dxa"/>
            <w:vAlign w:val="center"/>
          </w:tcPr>
          <w:p w14:paraId="2A0F6ADE">
            <w:pPr>
              <w:widowControl/>
              <w:spacing w:after="0" w:line="360"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序号</w:t>
            </w:r>
          </w:p>
        </w:tc>
        <w:tc>
          <w:tcPr>
            <w:tcW w:w="1320" w:type="dxa"/>
            <w:vAlign w:val="center"/>
          </w:tcPr>
          <w:p w14:paraId="5FDF52A6">
            <w:pPr>
              <w:widowControl/>
              <w:spacing w:after="0" w:line="360"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服务名称 </w:t>
            </w:r>
          </w:p>
        </w:tc>
        <w:tc>
          <w:tcPr>
            <w:tcW w:w="5615" w:type="dxa"/>
            <w:vAlign w:val="center"/>
          </w:tcPr>
          <w:p w14:paraId="7AED3029">
            <w:pPr>
              <w:widowControl/>
              <w:spacing w:after="0" w:line="360"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服务内容及技术要求</w:t>
            </w:r>
          </w:p>
        </w:tc>
        <w:tc>
          <w:tcPr>
            <w:tcW w:w="790" w:type="dxa"/>
            <w:vAlign w:val="center"/>
          </w:tcPr>
          <w:p w14:paraId="06013EFA">
            <w:pPr>
              <w:widowControl/>
              <w:spacing w:after="0" w:line="360"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数量 </w:t>
            </w:r>
          </w:p>
        </w:tc>
        <w:tc>
          <w:tcPr>
            <w:tcW w:w="675" w:type="dxa"/>
            <w:vAlign w:val="center"/>
          </w:tcPr>
          <w:p w14:paraId="1EDC2BFD">
            <w:pPr>
              <w:widowControl/>
              <w:spacing w:after="0" w:line="360"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r>
      <w:tr w14:paraId="6081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vAlign w:val="center"/>
          </w:tcPr>
          <w:p w14:paraId="41014F50">
            <w:pPr>
              <w:widowControl/>
              <w:spacing w:after="0" w:line="360" w:lineRule="auto"/>
              <w:jc w:val="center"/>
              <w:textAlignment w:val="center"/>
              <w:rPr>
                <w:rFonts w:ascii="宋体" w:hAnsi="宋体" w:cs="宋体"/>
                <w:b/>
                <w:bCs/>
                <w:color w:val="auto"/>
                <w:sz w:val="22"/>
                <w:szCs w:val="22"/>
                <w:highlight w:val="none"/>
              </w:rPr>
            </w:pPr>
          </w:p>
        </w:tc>
        <w:tc>
          <w:tcPr>
            <w:tcW w:w="6935" w:type="dxa"/>
            <w:gridSpan w:val="2"/>
            <w:vAlign w:val="center"/>
          </w:tcPr>
          <w:p w14:paraId="1EB441E1">
            <w:pPr>
              <w:widowControl/>
              <w:spacing w:after="0" w:line="360" w:lineRule="auto"/>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危险化学品安全预防控制体系服务</w:t>
            </w:r>
          </w:p>
        </w:tc>
        <w:tc>
          <w:tcPr>
            <w:tcW w:w="790" w:type="dxa"/>
            <w:vAlign w:val="center"/>
          </w:tcPr>
          <w:p w14:paraId="6E815E54">
            <w:pPr>
              <w:widowControl/>
              <w:spacing w:after="0" w:line="360" w:lineRule="auto"/>
              <w:jc w:val="center"/>
              <w:rPr>
                <w:rFonts w:ascii="宋体" w:hAnsi="宋体" w:cs="宋体"/>
                <w:b/>
                <w:bCs/>
                <w:color w:val="auto"/>
                <w:sz w:val="22"/>
                <w:szCs w:val="22"/>
                <w:highlight w:val="none"/>
              </w:rPr>
            </w:pPr>
          </w:p>
        </w:tc>
        <w:tc>
          <w:tcPr>
            <w:tcW w:w="675" w:type="dxa"/>
            <w:vAlign w:val="center"/>
          </w:tcPr>
          <w:p w14:paraId="7AFEFAF3">
            <w:pPr>
              <w:widowControl/>
              <w:spacing w:after="0" w:line="360" w:lineRule="auto"/>
              <w:jc w:val="center"/>
              <w:rPr>
                <w:rFonts w:ascii="宋体" w:hAnsi="宋体" w:cs="宋体"/>
                <w:b/>
                <w:bCs/>
                <w:color w:val="auto"/>
                <w:sz w:val="22"/>
                <w:szCs w:val="22"/>
                <w:highlight w:val="none"/>
              </w:rPr>
            </w:pPr>
          </w:p>
        </w:tc>
      </w:tr>
      <w:tr w14:paraId="63FE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15" w:type="dxa"/>
            <w:vAlign w:val="center"/>
          </w:tcPr>
          <w:p w14:paraId="6AF0EC9A">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20" w:type="dxa"/>
            <w:vAlign w:val="center"/>
          </w:tcPr>
          <w:p w14:paraId="182BB1D9">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安全检查技术服务</w:t>
            </w:r>
          </w:p>
        </w:tc>
        <w:tc>
          <w:tcPr>
            <w:tcW w:w="5615" w:type="dxa"/>
            <w:vAlign w:val="center"/>
          </w:tcPr>
          <w:p w14:paraId="46EF0F5E">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园区52家企业提供2年安全检查技术服务（每年检查不少于4次）。通过成立专家检查小组，根据园区要求整理检查需要的资料，采用查阅资料、现场检查和询问及座谈等方式开展现场检查工作，形成安全检查技术报告（安全检查技术报告需一一列出52家企业存在的安全隐患，并给出科学的整改建议）。服务内容包括安全手续合规性检查、安全管理检查、设备设施检查、危险化学品管理检查、重大危险源检查、双重预防机制检查、特殊作业管理检查、事故应急救援预案检查、生产现场情况检查、培训教育检查。四次安全生产检查中，其中一次邀请中国安科院专家参与，其余三次，每次均邀请广西壮族自治区应急管理专家参与。</w:t>
            </w:r>
          </w:p>
        </w:tc>
        <w:tc>
          <w:tcPr>
            <w:tcW w:w="790" w:type="dxa"/>
            <w:vAlign w:val="center"/>
          </w:tcPr>
          <w:p w14:paraId="44CC9135">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75" w:type="dxa"/>
            <w:vAlign w:val="center"/>
          </w:tcPr>
          <w:p w14:paraId="4362EB94">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r>
      <w:tr w14:paraId="722C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15" w:type="dxa"/>
            <w:vAlign w:val="center"/>
          </w:tcPr>
          <w:p w14:paraId="0FA18742">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20" w:type="dxa"/>
            <w:vAlign w:val="center"/>
          </w:tcPr>
          <w:p w14:paraId="480B8B6F">
            <w:pPr>
              <w:widowControl/>
              <w:spacing w:after="0" w:line="360" w:lineRule="auto"/>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指挥中心安全评估服务</w:t>
            </w:r>
          </w:p>
        </w:tc>
        <w:tc>
          <w:tcPr>
            <w:tcW w:w="5615" w:type="dxa"/>
            <w:vAlign w:val="center"/>
          </w:tcPr>
          <w:p w14:paraId="51F09384">
            <w:pPr>
              <w:widowControl/>
              <w:spacing w:after="0" w:line="360" w:lineRule="auto"/>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为园区的指挥中心提供安全评估服务，重要设施的布置应满足国家标准规范要求。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由于化工园区行政办公生活服务区等人员集中场所应与生产功能区相互分离布置在化工园区边缘或化工园区外；消防站、应急响应中心、医疗救护站等重要设施的布置应满足应急救援的快速响应需要，并考虑涉及爆炸物、毒性气体、液态易燃气体的装置或设施的影响满足国家标准规范要求。</w:t>
            </w:r>
          </w:p>
        </w:tc>
        <w:tc>
          <w:tcPr>
            <w:tcW w:w="790" w:type="dxa"/>
            <w:vAlign w:val="center"/>
          </w:tcPr>
          <w:p w14:paraId="1A46EB46">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75" w:type="dxa"/>
            <w:vAlign w:val="center"/>
          </w:tcPr>
          <w:p w14:paraId="1BDD2DB9">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r>
      <w:tr w14:paraId="0B9C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15" w:type="dxa"/>
            <w:vAlign w:val="center"/>
          </w:tcPr>
          <w:p w14:paraId="1970CE89">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320" w:type="dxa"/>
            <w:vAlign w:val="center"/>
          </w:tcPr>
          <w:p w14:paraId="21FF7420">
            <w:pPr>
              <w:widowControl/>
              <w:spacing w:after="0" w:line="360" w:lineRule="auto"/>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园区安全管家服务</w:t>
            </w:r>
          </w:p>
        </w:tc>
        <w:tc>
          <w:tcPr>
            <w:tcW w:w="5615" w:type="dxa"/>
            <w:vAlign w:val="center"/>
          </w:tcPr>
          <w:p w14:paraId="7ADBBCAA">
            <w:pPr>
              <w:widowControl/>
              <w:spacing w:after="0" w:line="360" w:lineRule="auto"/>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贵港覃塘产业园区新材料科技园区提供2年园区安全管家服务，在园区内设置安全服务项目部，配备至少3名专业安全监管人员，要求应具有化工等相关专业本科及以上学历，或相关行业领域中级及以上专业技术职称、二级（技师）及以上职业资格，或注册安全工程师、安全评价师等资格，或在化工企业一线从事生产或安全管理10年及以上。</w:t>
            </w:r>
          </w:p>
        </w:tc>
        <w:tc>
          <w:tcPr>
            <w:tcW w:w="790" w:type="dxa"/>
            <w:vAlign w:val="center"/>
          </w:tcPr>
          <w:p w14:paraId="61720926">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75" w:type="dxa"/>
            <w:vAlign w:val="center"/>
          </w:tcPr>
          <w:p w14:paraId="2B5F07A1">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r>
      <w:tr w14:paraId="1870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15" w:type="dxa"/>
            <w:vAlign w:val="center"/>
          </w:tcPr>
          <w:p w14:paraId="1DD11C0A">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320" w:type="dxa"/>
            <w:vAlign w:val="center"/>
          </w:tcPr>
          <w:p w14:paraId="565D4D7F">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园区总体应急预案</w:t>
            </w:r>
          </w:p>
        </w:tc>
        <w:tc>
          <w:tcPr>
            <w:tcW w:w="5615" w:type="dxa"/>
            <w:vAlign w:val="center"/>
          </w:tcPr>
          <w:p w14:paraId="3C837557">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为贵港覃塘产业园新材料科技园提供修编总体应急预案服务。通过成立应急预案编制工作组，明确工作职责和任务分工，制订工作计划，组织开展应急预案编制工作。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收集资料：收集适用的法律法规、部门规章、地方性法规和政府规章、技术标准及规范性文件、52家企业的资料、园区应急救援队伍情况、园区附近医疗资源情况、园区的其他专项应急预案、属地政府应急预案等资料。</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编制预案：根据收集的资料对52家企业进行风险辨识，根据辨识内容及园区应急资源等资料编制园区总体应急预案。应急预案需清晰界定本园区的响应分级标准；科学设定本园区应急组织机构及职责分工；合理确立本园区应急预案体系；按照有关规定和要求，确定事故信息报告、响应分级与启动、指挥权移交、警戒疏散方面的内容，落实与相关部门应急预案的衔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3.应急预案出版：应急预案经多次内部专家审核，并和园区管委会多次沟通，确保符合园区现状并具有可操作性、实用性、科学性、针对性，对下能与企业衔接，对上能与上位预案衔接后，打印出版。</w:t>
            </w:r>
          </w:p>
        </w:tc>
        <w:tc>
          <w:tcPr>
            <w:tcW w:w="790" w:type="dxa"/>
            <w:vAlign w:val="center"/>
          </w:tcPr>
          <w:p w14:paraId="20891086">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675" w:type="dxa"/>
            <w:vAlign w:val="center"/>
          </w:tcPr>
          <w:p w14:paraId="76808F93">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r>
      <w:tr w14:paraId="2504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5" w:type="dxa"/>
            <w:gridSpan w:val="5"/>
            <w:vAlign w:val="center"/>
          </w:tcPr>
          <w:p w14:paraId="45CCAF00">
            <w:pPr>
              <w:widowControl/>
              <w:spacing w:after="0" w:line="360" w:lineRule="auto"/>
              <w:jc w:val="center"/>
              <w:textAlignment w:val="center"/>
              <w:rPr>
                <w:rFonts w:ascii="宋体" w:hAnsi="宋体" w:cs="宋体"/>
                <w:color w:val="auto"/>
                <w:kern w:val="0"/>
                <w:sz w:val="22"/>
                <w:szCs w:val="22"/>
                <w:highlight w:val="none"/>
                <w:lang w:bidi="ar"/>
              </w:rPr>
            </w:pPr>
            <w:r>
              <w:rPr>
                <w:rFonts w:hint="eastAsia" w:ascii="宋体" w:hAnsi="宋体" w:cs="宋体"/>
                <w:b/>
                <w:bCs/>
                <w:color w:val="auto"/>
                <w:kern w:val="0"/>
                <w:sz w:val="22"/>
                <w:szCs w:val="22"/>
                <w:highlight w:val="none"/>
              </w:rPr>
              <w:t>采购预算金额</w:t>
            </w:r>
            <w:r>
              <w:rPr>
                <w:rFonts w:hint="eastAsia" w:ascii="宋体" w:hAnsi="宋体" w:cs="宋体"/>
                <w:color w:val="auto"/>
                <w:kern w:val="0"/>
                <w:sz w:val="22"/>
                <w:szCs w:val="22"/>
                <w:highlight w:val="none"/>
              </w:rPr>
              <w:t>：（人民币）壹佰</w:t>
            </w:r>
            <w:r>
              <w:rPr>
                <w:rFonts w:hint="eastAsia" w:ascii="宋体" w:hAnsi="宋体" w:cs="宋体"/>
                <w:color w:val="auto"/>
                <w:kern w:val="0"/>
                <w:sz w:val="22"/>
                <w:szCs w:val="22"/>
                <w:highlight w:val="none"/>
                <w:lang w:eastAsia="zh-CN"/>
              </w:rPr>
              <w:t>肆</w:t>
            </w:r>
            <w:r>
              <w:rPr>
                <w:rFonts w:hint="eastAsia" w:ascii="宋体" w:hAnsi="宋体" w:cs="宋体"/>
                <w:color w:val="auto"/>
                <w:kern w:val="0"/>
                <w:sz w:val="22"/>
                <w:szCs w:val="22"/>
                <w:highlight w:val="none"/>
              </w:rPr>
              <w:t>拾</w:t>
            </w:r>
            <w:r>
              <w:rPr>
                <w:rFonts w:hint="eastAsia" w:ascii="宋体" w:hAnsi="宋体" w:cs="宋体"/>
                <w:color w:val="auto"/>
                <w:kern w:val="0"/>
                <w:sz w:val="22"/>
                <w:szCs w:val="22"/>
                <w:highlight w:val="none"/>
                <w:lang w:eastAsia="zh-CN"/>
              </w:rPr>
              <w:t>肆</w:t>
            </w:r>
            <w:r>
              <w:rPr>
                <w:rFonts w:hint="eastAsia" w:ascii="宋体" w:hAnsi="宋体" w:cs="宋体"/>
                <w:color w:val="auto"/>
                <w:kern w:val="0"/>
                <w:sz w:val="22"/>
                <w:szCs w:val="22"/>
                <w:highlight w:val="none"/>
              </w:rPr>
              <w:t>万捌仟元整（¥</w:t>
            </w:r>
            <w:r>
              <w:rPr>
                <w:rFonts w:hint="eastAsia" w:ascii="宋体" w:hAnsi="宋体" w:cs="宋体"/>
                <w:color w:val="auto"/>
                <w:kern w:val="0"/>
                <w:sz w:val="22"/>
                <w:szCs w:val="22"/>
                <w:highlight w:val="none"/>
                <w:lang w:eastAsia="zh-CN"/>
              </w:rPr>
              <w:t>1448000</w:t>
            </w:r>
            <w:r>
              <w:rPr>
                <w:rFonts w:hint="eastAsia" w:ascii="宋体" w:hAnsi="宋体" w:cs="宋体"/>
                <w:color w:val="auto"/>
                <w:kern w:val="0"/>
                <w:sz w:val="22"/>
                <w:szCs w:val="22"/>
                <w:highlight w:val="none"/>
              </w:rPr>
              <w:t>.00）</w:t>
            </w:r>
          </w:p>
        </w:tc>
      </w:tr>
      <w:tr w14:paraId="3471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015" w:type="dxa"/>
            <w:gridSpan w:val="5"/>
            <w:vAlign w:val="center"/>
          </w:tcPr>
          <w:p w14:paraId="4623E03B">
            <w:pPr>
              <w:widowControl/>
              <w:spacing w:after="0" w:line="360" w:lineRule="auto"/>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商 务 条 款</w:t>
            </w:r>
          </w:p>
        </w:tc>
      </w:tr>
      <w:tr w14:paraId="0B98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35" w:type="dxa"/>
            <w:gridSpan w:val="2"/>
            <w:vAlign w:val="center"/>
          </w:tcPr>
          <w:p w14:paraId="7002F81A">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服务时间及地点</w:t>
            </w:r>
          </w:p>
        </w:tc>
        <w:tc>
          <w:tcPr>
            <w:tcW w:w="7080" w:type="dxa"/>
            <w:gridSpan w:val="3"/>
            <w:vAlign w:val="center"/>
          </w:tcPr>
          <w:p w14:paraId="15C4FE2B">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1.服务时间：于2025年12月20日前提交服务成果，后续服务自合同签订之日起至项目验收之日止。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2.服务地点：采购人指定地点。</w:t>
            </w:r>
          </w:p>
        </w:tc>
      </w:tr>
      <w:tr w14:paraId="3D7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35" w:type="dxa"/>
            <w:gridSpan w:val="2"/>
            <w:vAlign w:val="center"/>
          </w:tcPr>
          <w:p w14:paraId="07D237B6">
            <w:pPr>
              <w:widowControl/>
              <w:spacing w:after="0"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合同签订时间</w:t>
            </w:r>
          </w:p>
        </w:tc>
        <w:tc>
          <w:tcPr>
            <w:tcW w:w="7080" w:type="dxa"/>
            <w:gridSpan w:val="3"/>
            <w:vAlign w:val="center"/>
          </w:tcPr>
          <w:p w14:paraId="4FAFC4D9">
            <w:pPr>
              <w:widowControl/>
              <w:spacing w:after="0" w:line="360" w:lineRule="auto"/>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自中标通知书发出之日起 25日内。</w:t>
            </w:r>
          </w:p>
        </w:tc>
      </w:tr>
      <w:tr w14:paraId="33EF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35" w:type="dxa"/>
            <w:gridSpan w:val="2"/>
            <w:vAlign w:val="center"/>
          </w:tcPr>
          <w:p w14:paraId="51BB528B">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人员要求</w:t>
            </w:r>
          </w:p>
        </w:tc>
        <w:tc>
          <w:tcPr>
            <w:tcW w:w="7080" w:type="dxa"/>
            <w:gridSpan w:val="3"/>
            <w:vAlign w:val="center"/>
          </w:tcPr>
          <w:p w14:paraId="15C12424">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1.拟投入服务团队的项目经理、技术负责人应具有丰富的危险化学品安全预防控制工作经验，具备对应的专业技能。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为保证本服务各项工作任务的顺利完成，投标人必须成立以项目经理为首的项目团队，团队至少由1名项目经理、1名项目技术负责人和2名项目组人员组成。所投入的项目团队人员均须为投标人正式员工，投标文件中须提供劳动合同复印件、人员相关证书复印件（如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投标人应对投标文件中提供的人员相关证书（如有）真实性负责，中标后签订合同之前，采购人有权要求中标人提供投标文件中拟投入人员证书原件查验，若无法提供或无法查验证书的真实性，属虚假应标行为，采购人视情况上报政府采购监督管理部门。</w:t>
            </w:r>
          </w:p>
        </w:tc>
      </w:tr>
      <w:tr w14:paraId="2818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35" w:type="dxa"/>
            <w:gridSpan w:val="2"/>
            <w:vAlign w:val="center"/>
          </w:tcPr>
          <w:p w14:paraId="2E74849C">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▲报价要求</w:t>
            </w:r>
          </w:p>
        </w:tc>
        <w:tc>
          <w:tcPr>
            <w:tcW w:w="7080" w:type="dxa"/>
            <w:gridSpan w:val="3"/>
            <w:vAlign w:val="center"/>
          </w:tcPr>
          <w:p w14:paraId="204D009B">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1.投标人应就《采购需求》中的服务内容作完整唯一报价。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本次报价须为人民币报价，报价应被视为已经包含但不限于本项目运输、装卸、管保、调试、培训、技术支持、专家咨询等各项服务的一切费用和所需缴纳的所有价格、税、费，招标人不再追加任何费用。对于本文件中明确列明必须报价的服务，投标人应分别报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3.投标人总价超出采购预算竞标无效。</w:t>
            </w:r>
          </w:p>
        </w:tc>
      </w:tr>
      <w:tr w14:paraId="1269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35" w:type="dxa"/>
            <w:gridSpan w:val="2"/>
            <w:vAlign w:val="center"/>
          </w:tcPr>
          <w:p w14:paraId="18E4DE61">
            <w:pPr>
              <w:widowControl/>
              <w:spacing w:after="0" w:line="360" w:lineRule="auto"/>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付款方式</w:t>
            </w:r>
          </w:p>
        </w:tc>
        <w:tc>
          <w:tcPr>
            <w:tcW w:w="7080" w:type="dxa"/>
            <w:gridSpan w:val="3"/>
            <w:vAlign w:val="center"/>
          </w:tcPr>
          <w:p w14:paraId="559645DF">
            <w:pPr>
              <w:widowControl/>
              <w:spacing w:after="0" w:line="360" w:lineRule="auto"/>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eastAsia="zh-CN" w:bidi="ar"/>
              </w:rPr>
              <w:t>合同签订生效后，中标方提交预付合同金额95%的申请，审批通过后支付。服务期满后，采购人支付合同款的5%给中标人。注：付款前提是，中标方需在结款日之前开具等额的增值税发票。</w:t>
            </w:r>
          </w:p>
        </w:tc>
      </w:tr>
      <w:tr w14:paraId="2D0C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35" w:type="dxa"/>
            <w:gridSpan w:val="2"/>
            <w:vAlign w:val="center"/>
          </w:tcPr>
          <w:p w14:paraId="609D6136">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其他要求</w:t>
            </w:r>
          </w:p>
        </w:tc>
        <w:tc>
          <w:tcPr>
            <w:tcW w:w="7080" w:type="dxa"/>
            <w:gridSpan w:val="3"/>
            <w:vAlign w:val="center"/>
          </w:tcPr>
          <w:p w14:paraId="7134A83E">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本项目如有国家相关标准、行业标准、地方标准或者其他标准、规范的，应执行相应的标准、规范。如具体采购需求与标准、规范不一致的，高于标准、规范的按具体采购需求执行，低于标准、规范的按标准、规范执行。</w:t>
            </w:r>
          </w:p>
        </w:tc>
      </w:tr>
    </w:tbl>
    <w:p w14:paraId="5DDB2FF7">
      <w:pPr>
        <w:rPr>
          <w:rFonts w:ascii="仿宋" w:hAnsi="仿宋" w:eastAsia="仿宋" w:cs="仿宋"/>
          <w:color w:val="auto"/>
          <w:highlight w:val="none"/>
        </w:rPr>
      </w:pPr>
    </w:p>
    <w:p w14:paraId="3DEB47F3">
      <w:pPr>
        <w:spacing w:line="428" w:lineRule="exact"/>
        <w:ind w:left="119"/>
        <w:rPr>
          <w:rFonts w:ascii="宋体" w:hAnsi="宋体" w:cs="宋体"/>
          <w:color w:val="auto"/>
          <w:sz w:val="32"/>
          <w:szCs w:val="32"/>
          <w:highlight w:val="none"/>
        </w:rPr>
      </w:pPr>
      <w:bookmarkStart w:id="51" w:name="_Toc254970667"/>
      <w:bookmarkStart w:id="52" w:name="_Toc254970526"/>
      <w:r>
        <w:rPr>
          <w:rFonts w:hint="eastAsia" w:ascii="宋体" w:hAnsi="宋体" w:cs="宋体"/>
          <w:color w:val="auto"/>
          <w:sz w:val="32"/>
          <w:szCs w:val="32"/>
          <w:highlight w:val="none"/>
        </w:rPr>
        <w:br w:type="page"/>
      </w:r>
    </w:p>
    <w:p w14:paraId="48451B84">
      <w:pPr>
        <w:spacing w:line="428" w:lineRule="exact"/>
        <w:ind w:left="119"/>
        <w:rPr>
          <w:rFonts w:ascii="宋体" w:hAnsi="宋体" w:cs="宋体"/>
          <w:color w:val="auto"/>
          <w:sz w:val="17"/>
          <w:szCs w:val="17"/>
          <w:highlight w:val="none"/>
        </w:rPr>
      </w:pPr>
      <w:r>
        <w:rPr>
          <w:rFonts w:hint="eastAsia" w:ascii="宋体" w:hAnsi="宋体" w:cs="宋体"/>
          <w:color w:val="auto"/>
          <w:sz w:val="32"/>
          <w:szCs w:val="32"/>
          <w:highlight w:val="none"/>
        </w:rPr>
        <w:t>附件1：</w:t>
      </w:r>
    </w:p>
    <w:p w14:paraId="296F00EF">
      <w:pPr>
        <w:widowControl/>
        <w:spacing w:before="120" w:beforeLines="50" w:after="120" w:afterLines="50" w:line="280" w:lineRule="exact"/>
        <w:jc w:val="center"/>
        <w:rPr>
          <w:rFonts w:ascii="宋体" w:hAnsi="宋体" w:cs="宋体"/>
          <w:b/>
          <w:bCs/>
          <w:color w:val="auto"/>
          <w:kern w:val="0"/>
          <w:sz w:val="30"/>
          <w:szCs w:val="30"/>
          <w:highlight w:val="none"/>
        </w:rPr>
      </w:pPr>
      <w:bookmarkStart w:id="53" w:name="_Toc28361_WPSOffice_Level2"/>
      <w:r>
        <w:rPr>
          <w:rFonts w:hint="eastAsia" w:ascii="宋体" w:hAnsi="宋体" w:cs="宋体"/>
          <w:b/>
          <w:bCs/>
          <w:color w:val="auto"/>
          <w:kern w:val="0"/>
          <w:sz w:val="30"/>
          <w:szCs w:val="30"/>
          <w:highlight w:val="none"/>
        </w:rPr>
        <w:t>统计上大中小微型企业划分标准</w:t>
      </w:r>
      <w:bookmarkEnd w:id="53"/>
    </w:p>
    <w:tbl>
      <w:tblPr>
        <w:tblStyle w:val="5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4E3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shd w:val="clear" w:color="auto" w:fill="8DB3E2"/>
            <w:vAlign w:val="center"/>
          </w:tcPr>
          <w:p w14:paraId="0C0659F1">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369" w:type="dxa"/>
            <w:shd w:val="clear" w:color="auto" w:fill="8DB3E2"/>
            <w:vAlign w:val="center"/>
          </w:tcPr>
          <w:p w14:paraId="1060FFEC">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7BE8B6E2">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EA55348">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4EB439C9">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2B75B755">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46863D74">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4517AEB0">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6A1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Align w:val="center"/>
          </w:tcPr>
          <w:p w14:paraId="766FE05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2D9DF7C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DDC11E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489ECF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0B3976B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111E3E8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28DF497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422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shd w:val="clear" w:color="auto" w:fill="FDEADA"/>
            <w:vAlign w:val="center"/>
          </w:tcPr>
          <w:p w14:paraId="437DF2B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shd w:val="clear" w:color="auto" w:fill="FDEADA"/>
            <w:vAlign w:val="center"/>
          </w:tcPr>
          <w:p w14:paraId="30CFE15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FDEADA"/>
            <w:vAlign w:val="center"/>
          </w:tcPr>
          <w:p w14:paraId="5771C32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FDEADA"/>
            <w:vAlign w:val="center"/>
          </w:tcPr>
          <w:p w14:paraId="7D230C9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FDEADA"/>
            <w:vAlign w:val="center"/>
          </w:tcPr>
          <w:p w14:paraId="2B315AB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FDEADA"/>
            <w:vAlign w:val="center"/>
          </w:tcPr>
          <w:p w14:paraId="41635AAC">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shd w:val="clear" w:color="auto" w:fill="FDEADA"/>
            <w:vAlign w:val="center"/>
          </w:tcPr>
          <w:p w14:paraId="6E3FA81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B84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shd w:val="clear" w:color="auto" w:fill="FDEADA"/>
            <w:vAlign w:val="center"/>
          </w:tcPr>
          <w:p w14:paraId="641EADA0">
            <w:pPr>
              <w:widowControl/>
              <w:spacing w:line="300" w:lineRule="exact"/>
              <w:jc w:val="left"/>
              <w:rPr>
                <w:rFonts w:ascii="宋体" w:hAnsi="宋体" w:cs="宋体"/>
                <w:color w:val="auto"/>
                <w:kern w:val="0"/>
                <w:sz w:val="18"/>
                <w:szCs w:val="18"/>
                <w:highlight w:val="none"/>
              </w:rPr>
            </w:pPr>
          </w:p>
        </w:tc>
        <w:tc>
          <w:tcPr>
            <w:tcW w:w="1369" w:type="dxa"/>
            <w:shd w:val="clear" w:color="auto" w:fill="FDEADA"/>
            <w:vAlign w:val="center"/>
          </w:tcPr>
          <w:p w14:paraId="09F094B6">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FDEADA"/>
            <w:vAlign w:val="center"/>
          </w:tcPr>
          <w:p w14:paraId="38B7A54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FDEADA"/>
            <w:vAlign w:val="center"/>
          </w:tcPr>
          <w:p w14:paraId="561EF0E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shd w:val="clear" w:color="auto" w:fill="FDEADA"/>
            <w:vAlign w:val="center"/>
          </w:tcPr>
          <w:p w14:paraId="6247108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shd w:val="clear" w:color="auto" w:fill="FDEADA"/>
            <w:vAlign w:val="center"/>
          </w:tcPr>
          <w:p w14:paraId="07C057B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shd w:val="clear" w:color="auto" w:fill="FDEADA"/>
            <w:vAlign w:val="center"/>
          </w:tcPr>
          <w:p w14:paraId="26CB357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012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6643FBD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5BCCDC9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DA277D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F574F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2E682C6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47540E9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5225263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4E6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13" w:type="dxa"/>
            <w:vMerge w:val="continue"/>
            <w:vAlign w:val="center"/>
          </w:tcPr>
          <w:p w14:paraId="19DD1C8E">
            <w:pPr>
              <w:widowControl/>
              <w:spacing w:line="300" w:lineRule="exact"/>
              <w:jc w:val="left"/>
              <w:rPr>
                <w:rFonts w:ascii="宋体" w:hAnsi="宋体" w:cs="宋体"/>
                <w:color w:val="auto"/>
                <w:kern w:val="0"/>
                <w:sz w:val="18"/>
                <w:szCs w:val="18"/>
                <w:highlight w:val="none"/>
              </w:rPr>
            </w:pPr>
          </w:p>
        </w:tc>
        <w:tc>
          <w:tcPr>
            <w:tcW w:w="1369" w:type="dxa"/>
            <w:vAlign w:val="center"/>
          </w:tcPr>
          <w:p w14:paraId="10BC9FE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3A4CDEA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257254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243BE74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21AD333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4013B20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CA3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2B13304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25F8523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A8C498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00D4C1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2A57432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5A906AC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3FE4F0C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EAD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343692CB">
            <w:pPr>
              <w:widowControl/>
              <w:spacing w:line="300" w:lineRule="exact"/>
              <w:jc w:val="left"/>
              <w:rPr>
                <w:rFonts w:ascii="宋体" w:hAnsi="宋体" w:cs="宋体"/>
                <w:color w:val="auto"/>
                <w:kern w:val="0"/>
                <w:sz w:val="18"/>
                <w:szCs w:val="18"/>
                <w:highlight w:val="none"/>
              </w:rPr>
            </w:pPr>
          </w:p>
        </w:tc>
        <w:tc>
          <w:tcPr>
            <w:tcW w:w="1369" w:type="dxa"/>
            <w:vAlign w:val="center"/>
          </w:tcPr>
          <w:p w14:paraId="7105B1B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2F5F03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20A544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610C5346">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5C7D57C2">
            <w:pPr>
              <w:widowControl/>
              <w:spacing w:line="300" w:lineRule="exact"/>
              <w:ind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5AA4370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442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7DA1D65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321E7D6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D46A81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AF9F6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6557B5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3E09403E">
            <w:pPr>
              <w:widowControl/>
              <w:spacing w:line="300" w:lineRule="exact"/>
              <w:ind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2E4E1B2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FC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5F1F36C6">
            <w:pPr>
              <w:widowControl/>
              <w:spacing w:line="300" w:lineRule="exact"/>
              <w:jc w:val="left"/>
              <w:rPr>
                <w:rFonts w:ascii="宋体" w:hAnsi="宋体" w:cs="宋体"/>
                <w:color w:val="auto"/>
                <w:kern w:val="0"/>
                <w:sz w:val="18"/>
                <w:szCs w:val="18"/>
                <w:highlight w:val="none"/>
              </w:rPr>
            </w:pPr>
          </w:p>
        </w:tc>
        <w:tc>
          <w:tcPr>
            <w:tcW w:w="1369" w:type="dxa"/>
            <w:vAlign w:val="center"/>
          </w:tcPr>
          <w:p w14:paraId="6B0ABF1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56D8F9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4074A1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7320694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71A084C7">
            <w:pPr>
              <w:widowControl/>
              <w:spacing w:line="300" w:lineRule="exact"/>
              <w:ind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1B954B4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70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749EFE0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3B893DD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C77638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78F81B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E83CBF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8C79AE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3D1F26C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BB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110BB030">
            <w:pPr>
              <w:widowControl/>
              <w:spacing w:line="300" w:lineRule="exact"/>
              <w:jc w:val="left"/>
              <w:rPr>
                <w:rFonts w:ascii="宋体" w:hAnsi="宋体" w:cs="宋体"/>
                <w:color w:val="auto"/>
                <w:kern w:val="0"/>
                <w:sz w:val="18"/>
                <w:szCs w:val="18"/>
                <w:highlight w:val="none"/>
              </w:rPr>
            </w:pPr>
          </w:p>
        </w:tc>
        <w:tc>
          <w:tcPr>
            <w:tcW w:w="1369" w:type="dxa"/>
            <w:vAlign w:val="center"/>
          </w:tcPr>
          <w:p w14:paraId="54C7FB9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94003F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938EE0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C3D56B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00FD29C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3D7CC2F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659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2FD343A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4C6A708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ECF6A4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45971D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3CBBC9E4">
            <w:pPr>
              <w:widowControl/>
              <w:spacing w:line="300" w:lineRule="exact"/>
              <w:ind w:left="108"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75C9455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6F163DA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FAD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75225956">
            <w:pPr>
              <w:widowControl/>
              <w:spacing w:line="300" w:lineRule="exact"/>
              <w:jc w:val="left"/>
              <w:rPr>
                <w:rFonts w:ascii="宋体" w:hAnsi="宋体" w:cs="宋体"/>
                <w:color w:val="auto"/>
                <w:kern w:val="0"/>
                <w:sz w:val="18"/>
                <w:szCs w:val="18"/>
                <w:highlight w:val="none"/>
              </w:rPr>
            </w:pPr>
          </w:p>
        </w:tc>
        <w:tc>
          <w:tcPr>
            <w:tcW w:w="1369" w:type="dxa"/>
            <w:vAlign w:val="center"/>
          </w:tcPr>
          <w:p w14:paraId="0A3537F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A81CB7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404DAE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0C63FCE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4836AD6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7823FC1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9C1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0AEC456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781F5A0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12557B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F6A288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04D0A2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3BD05EA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26DE8DC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54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7833E00B">
            <w:pPr>
              <w:widowControl/>
              <w:spacing w:line="300" w:lineRule="exact"/>
              <w:jc w:val="left"/>
              <w:rPr>
                <w:rFonts w:ascii="宋体" w:hAnsi="宋体" w:cs="宋体"/>
                <w:color w:val="auto"/>
                <w:kern w:val="0"/>
                <w:sz w:val="18"/>
                <w:szCs w:val="18"/>
                <w:highlight w:val="none"/>
              </w:rPr>
            </w:pPr>
          </w:p>
        </w:tc>
        <w:tc>
          <w:tcPr>
            <w:tcW w:w="1369" w:type="dxa"/>
            <w:vAlign w:val="center"/>
          </w:tcPr>
          <w:p w14:paraId="1FDAC23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908C36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2404B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3BBA8F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06EAC8F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0ADE324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AA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016A6B2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4C82D0D6">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8F50D4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3710BF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6055C86">
            <w:pPr>
              <w:widowControl/>
              <w:spacing w:line="300" w:lineRule="exact"/>
              <w:ind w:left="108"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6BF6A88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3E09C6F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EF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4B9257E3">
            <w:pPr>
              <w:widowControl/>
              <w:spacing w:line="300" w:lineRule="exact"/>
              <w:jc w:val="left"/>
              <w:rPr>
                <w:rFonts w:ascii="宋体" w:hAnsi="宋体" w:cs="宋体"/>
                <w:color w:val="auto"/>
                <w:kern w:val="0"/>
                <w:sz w:val="18"/>
                <w:szCs w:val="18"/>
                <w:highlight w:val="none"/>
              </w:rPr>
            </w:pPr>
          </w:p>
        </w:tc>
        <w:tc>
          <w:tcPr>
            <w:tcW w:w="1369" w:type="dxa"/>
            <w:vAlign w:val="center"/>
          </w:tcPr>
          <w:p w14:paraId="51B492A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8D7431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F0FCF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04494D1C">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348CFFC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40B4F5B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10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715F7C3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775BBF5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B0A282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253332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37E1A69">
            <w:pPr>
              <w:widowControl/>
              <w:spacing w:line="300" w:lineRule="exact"/>
              <w:ind w:left="108"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FAA61C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3376A1D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8C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648FC843">
            <w:pPr>
              <w:widowControl/>
              <w:spacing w:line="300" w:lineRule="exact"/>
              <w:jc w:val="left"/>
              <w:rPr>
                <w:rFonts w:ascii="宋体" w:hAnsi="宋体" w:cs="宋体"/>
                <w:color w:val="auto"/>
                <w:kern w:val="0"/>
                <w:sz w:val="18"/>
                <w:szCs w:val="18"/>
                <w:highlight w:val="none"/>
              </w:rPr>
            </w:pPr>
          </w:p>
        </w:tc>
        <w:tc>
          <w:tcPr>
            <w:tcW w:w="1369" w:type="dxa"/>
            <w:vAlign w:val="center"/>
          </w:tcPr>
          <w:p w14:paraId="6DAF49DC">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F11019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A3F2D6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30ADDC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FC7901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4D8CF2A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DC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0FBC0A1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504BA93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F52627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35C4B8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3608486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127EACB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611CB3FC">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E46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50853244">
            <w:pPr>
              <w:widowControl/>
              <w:spacing w:line="300" w:lineRule="exact"/>
              <w:jc w:val="left"/>
              <w:rPr>
                <w:rFonts w:ascii="宋体" w:hAnsi="宋体" w:cs="宋体"/>
                <w:color w:val="auto"/>
                <w:kern w:val="0"/>
                <w:sz w:val="18"/>
                <w:szCs w:val="18"/>
                <w:highlight w:val="none"/>
              </w:rPr>
            </w:pPr>
          </w:p>
        </w:tc>
        <w:tc>
          <w:tcPr>
            <w:tcW w:w="1369" w:type="dxa"/>
            <w:vAlign w:val="center"/>
          </w:tcPr>
          <w:p w14:paraId="736D230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43A226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9FEB42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2CA8F28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19C26CE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538CEA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9B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5F8F8345">
            <w:pPr>
              <w:widowControl/>
              <w:spacing w:line="30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505FB69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0FD50F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5B36E9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238645B">
            <w:pPr>
              <w:widowControl/>
              <w:spacing w:line="300" w:lineRule="exact"/>
              <w:ind w:left="108"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758275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30B7E85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8B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3B36155C">
            <w:pPr>
              <w:widowControl/>
              <w:spacing w:line="300" w:lineRule="exact"/>
              <w:jc w:val="left"/>
              <w:rPr>
                <w:rFonts w:ascii="宋体" w:hAnsi="宋体" w:cs="宋体"/>
                <w:color w:val="auto"/>
                <w:spacing w:val="-12"/>
                <w:kern w:val="0"/>
                <w:sz w:val="18"/>
                <w:szCs w:val="18"/>
                <w:highlight w:val="none"/>
              </w:rPr>
            </w:pPr>
          </w:p>
        </w:tc>
        <w:tc>
          <w:tcPr>
            <w:tcW w:w="1369" w:type="dxa"/>
            <w:vAlign w:val="center"/>
          </w:tcPr>
          <w:p w14:paraId="2310A9D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FC058D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225021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960461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7670CEB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4BA50A8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561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45988CF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1B534CB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46AD94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A50E66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282D91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68C471E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46ADAF5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C0C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2F2A6D76">
            <w:pPr>
              <w:widowControl/>
              <w:spacing w:line="300" w:lineRule="exact"/>
              <w:jc w:val="left"/>
              <w:rPr>
                <w:rFonts w:ascii="宋体" w:hAnsi="宋体" w:cs="宋体"/>
                <w:color w:val="auto"/>
                <w:kern w:val="0"/>
                <w:sz w:val="18"/>
                <w:szCs w:val="18"/>
                <w:highlight w:val="none"/>
              </w:rPr>
            </w:pPr>
          </w:p>
        </w:tc>
        <w:tc>
          <w:tcPr>
            <w:tcW w:w="1369" w:type="dxa"/>
            <w:vAlign w:val="center"/>
          </w:tcPr>
          <w:p w14:paraId="1B33CB6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250289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2447D3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3A84A2B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65A0D531">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657156A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E8D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0A8B718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59AB2F3">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CA4C64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C21D69C">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809A21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074DD6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462B781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4B1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0D832858">
            <w:pPr>
              <w:widowControl/>
              <w:spacing w:line="300" w:lineRule="exact"/>
              <w:jc w:val="left"/>
              <w:rPr>
                <w:rFonts w:ascii="宋体" w:hAnsi="宋体" w:cs="宋体"/>
                <w:color w:val="auto"/>
                <w:kern w:val="0"/>
                <w:sz w:val="18"/>
                <w:szCs w:val="18"/>
                <w:highlight w:val="none"/>
              </w:rPr>
            </w:pPr>
          </w:p>
        </w:tc>
        <w:tc>
          <w:tcPr>
            <w:tcW w:w="1369" w:type="dxa"/>
            <w:vAlign w:val="center"/>
          </w:tcPr>
          <w:p w14:paraId="5509459A">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6DF66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D3C72D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7A75B711">
            <w:pPr>
              <w:widowControl/>
              <w:spacing w:line="300" w:lineRule="exact"/>
              <w:ind w:left="108"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2AF66E1E">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3BA91AA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6A1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vAlign w:val="center"/>
          </w:tcPr>
          <w:p w14:paraId="254DBE3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7F603E88">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28F705">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36ED872">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0F730F7">
            <w:pPr>
              <w:widowControl/>
              <w:spacing w:line="300" w:lineRule="exact"/>
              <w:ind w:left="108"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6DDBB25C">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438C57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57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vAlign w:val="center"/>
          </w:tcPr>
          <w:p w14:paraId="124AFA6B">
            <w:pPr>
              <w:widowControl/>
              <w:spacing w:line="300" w:lineRule="exact"/>
              <w:jc w:val="left"/>
              <w:rPr>
                <w:rFonts w:ascii="宋体" w:hAnsi="宋体" w:cs="宋体"/>
                <w:color w:val="auto"/>
                <w:kern w:val="0"/>
                <w:sz w:val="18"/>
                <w:szCs w:val="18"/>
                <w:highlight w:val="none"/>
              </w:rPr>
            </w:pPr>
          </w:p>
        </w:tc>
        <w:tc>
          <w:tcPr>
            <w:tcW w:w="1369" w:type="dxa"/>
            <w:vAlign w:val="center"/>
          </w:tcPr>
          <w:p w14:paraId="1587C54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51300B0C">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64067DF">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7BE71E20">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338EFA86">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103E0676">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E61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Align w:val="center"/>
          </w:tcPr>
          <w:p w14:paraId="5708952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2A3EAFEB">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F4FBFFD">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FA0AA79">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452A76">
            <w:pPr>
              <w:widowControl/>
              <w:spacing w:line="300" w:lineRule="exact"/>
              <w:ind w:left="108"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73B9FE77">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0166034">
            <w:pPr>
              <w:widowControl/>
              <w:spacing w:line="3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396DA22">
      <w:pPr>
        <w:widowControl/>
        <w:spacing w:line="360" w:lineRule="exact"/>
        <w:jc w:val="left"/>
        <w:rPr>
          <w:rFonts w:ascii="宋体" w:hAnsi="宋体" w:cs="宋体"/>
          <w:color w:val="auto"/>
          <w:spacing w:val="8"/>
          <w:kern w:val="0"/>
          <w:sz w:val="18"/>
          <w:szCs w:val="18"/>
          <w:highlight w:val="none"/>
        </w:rPr>
      </w:pPr>
      <w:r>
        <w:rPr>
          <w:rFonts w:hint="eastAsia" w:ascii="宋体" w:hAnsi="宋体" w:cs="宋体"/>
          <w:color w:val="auto"/>
          <w:spacing w:val="8"/>
          <w:kern w:val="0"/>
          <w:sz w:val="18"/>
          <w:szCs w:val="18"/>
          <w:highlight w:val="none"/>
        </w:rPr>
        <w:t>说明：</w:t>
      </w:r>
    </w:p>
    <w:p w14:paraId="42F0F7A6">
      <w:pPr>
        <w:pStyle w:val="2"/>
        <w:spacing w:line="360" w:lineRule="exact"/>
        <w:ind w:firstLine="392" w:firstLineChars="200"/>
        <w:contextualSpacing/>
        <w:jc w:val="left"/>
        <w:rPr>
          <w:rFonts w:hAnsi="宋体" w:cs="宋体"/>
          <w:color w:val="auto"/>
          <w:spacing w:val="8"/>
          <w:sz w:val="18"/>
          <w:szCs w:val="18"/>
          <w:highlight w:val="none"/>
        </w:rPr>
      </w:pPr>
      <w:r>
        <w:rPr>
          <w:rFonts w:hint="eastAsia" w:hAnsi="宋体" w:cs="宋体"/>
          <w:color w:val="auto"/>
          <w:spacing w:val="8"/>
          <w:sz w:val="18"/>
          <w:szCs w:val="18"/>
          <w:highlight w:val="none"/>
        </w:rPr>
        <w:t>1.大型、中型和小型企业须同时满足所列指标的下限，否则下划一档；微型企业只须满足所列指标中的一项即可。</w:t>
      </w:r>
    </w:p>
    <w:p w14:paraId="0532D121">
      <w:pPr>
        <w:pStyle w:val="2"/>
        <w:spacing w:line="360" w:lineRule="exact"/>
        <w:ind w:firstLine="392" w:firstLineChars="200"/>
        <w:contextualSpacing/>
        <w:jc w:val="left"/>
        <w:rPr>
          <w:rFonts w:hAnsi="宋体" w:cs="宋体"/>
          <w:color w:val="auto"/>
          <w:spacing w:val="8"/>
          <w:sz w:val="18"/>
          <w:szCs w:val="18"/>
          <w:highlight w:val="none"/>
        </w:rPr>
      </w:pPr>
      <w:r>
        <w:rPr>
          <w:rFonts w:hint="eastAsia" w:hAnsi="宋体" w:cs="宋体"/>
          <w:color w:val="auto"/>
          <w:spacing w:val="8"/>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CDD7C1B">
      <w:pPr>
        <w:rPr>
          <w:rFonts w:ascii="宋体" w:hAnsi="宋体" w:cs="宋体"/>
          <w:color w:val="auto"/>
          <w:spacing w:val="8"/>
          <w:kern w:val="0"/>
          <w:sz w:val="18"/>
          <w:szCs w:val="18"/>
          <w:highlight w:val="none"/>
        </w:rPr>
      </w:pPr>
      <w:r>
        <w:rPr>
          <w:rFonts w:hint="eastAsia" w:ascii="宋体" w:hAnsi="宋体" w:cs="宋体"/>
          <w:color w:val="auto"/>
          <w:spacing w:val="8"/>
          <w:kern w:val="0"/>
          <w:sz w:val="18"/>
          <w:szCs w:val="1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F444DC9">
      <w:pPr>
        <w:rPr>
          <w:rFonts w:ascii="宋体" w:hAnsi="宋体" w:cs="宋体"/>
          <w:color w:val="auto"/>
          <w:spacing w:val="8"/>
          <w:kern w:val="0"/>
          <w:sz w:val="18"/>
          <w:szCs w:val="18"/>
          <w:highlight w:val="none"/>
        </w:rPr>
      </w:pPr>
      <w:r>
        <w:rPr>
          <w:rFonts w:hint="eastAsia" w:ascii="宋体" w:hAnsi="宋体" w:cs="宋体"/>
          <w:color w:val="auto"/>
          <w:spacing w:val="8"/>
          <w:kern w:val="0"/>
          <w:sz w:val="18"/>
          <w:szCs w:val="18"/>
          <w:highlight w:val="none"/>
        </w:rPr>
        <w:br w:type="page"/>
      </w:r>
    </w:p>
    <w:p w14:paraId="6AEEB2E8">
      <w:pPr>
        <w:pStyle w:val="30"/>
        <w:ind w:firstLine="0"/>
        <w:rPr>
          <w:color w:val="auto"/>
          <w:highlight w:val="none"/>
        </w:rPr>
      </w:pPr>
      <w:r>
        <w:rPr>
          <w:rFonts w:hint="eastAsia"/>
          <w:color w:val="auto"/>
          <w:highlight w:val="none"/>
        </w:rPr>
        <w:t>附件2</w:t>
      </w:r>
    </w:p>
    <w:p w14:paraId="49AF1D1F">
      <w:pPr>
        <w:pStyle w:val="30"/>
        <w:ind w:firstLine="0"/>
        <w:jc w:val="center"/>
        <w:rPr>
          <w:color w:val="auto"/>
          <w:highlight w:val="none"/>
        </w:rPr>
      </w:pPr>
      <w:r>
        <w:rPr>
          <w:rFonts w:hint="eastAsia"/>
          <w:color w:val="auto"/>
          <w:highlight w:val="none"/>
        </w:rPr>
        <w:t>节能产品政府采购品目清单</w:t>
      </w:r>
    </w:p>
    <w:tbl>
      <w:tblPr>
        <w:tblStyle w:val="50"/>
        <w:tblW w:w="88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630"/>
        <w:gridCol w:w="3690"/>
      </w:tblGrid>
      <w:tr w14:paraId="560F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74" w:type="dxa"/>
            <w:vAlign w:val="center"/>
          </w:tcPr>
          <w:p w14:paraId="4537E50B">
            <w:pPr>
              <w:pStyle w:val="108"/>
              <w:spacing w:before="94" w:after="0" w:line="24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品目序号</w:t>
            </w:r>
          </w:p>
        </w:tc>
        <w:tc>
          <w:tcPr>
            <w:tcW w:w="4598" w:type="dxa"/>
            <w:gridSpan w:val="3"/>
            <w:vAlign w:val="center"/>
          </w:tcPr>
          <w:p w14:paraId="4E1757FD">
            <w:pPr>
              <w:pStyle w:val="108"/>
              <w:spacing w:before="6" w:after="0" w:line="240" w:lineRule="auto"/>
              <w:jc w:val="center"/>
              <w:rPr>
                <w:rFonts w:asciiTheme="majorEastAsia" w:hAnsiTheme="majorEastAsia" w:eastAsiaTheme="majorEastAsia" w:cstheme="majorEastAsia"/>
                <w:color w:val="auto"/>
                <w:sz w:val="21"/>
                <w:szCs w:val="21"/>
                <w:highlight w:val="none"/>
              </w:rPr>
            </w:pPr>
          </w:p>
          <w:p w14:paraId="3745B3F4">
            <w:pPr>
              <w:pStyle w:val="108"/>
              <w:spacing w:before="1" w:after="0" w:line="24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名称</w:t>
            </w:r>
          </w:p>
        </w:tc>
        <w:tc>
          <w:tcPr>
            <w:tcW w:w="3690" w:type="dxa"/>
            <w:vAlign w:val="center"/>
          </w:tcPr>
          <w:p w14:paraId="495F5F04">
            <w:pPr>
              <w:pStyle w:val="108"/>
              <w:spacing w:before="6" w:after="0" w:line="240" w:lineRule="auto"/>
              <w:jc w:val="center"/>
              <w:rPr>
                <w:rFonts w:asciiTheme="majorEastAsia" w:hAnsiTheme="majorEastAsia" w:eastAsiaTheme="majorEastAsia" w:cstheme="majorEastAsia"/>
                <w:color w:val="auto"/>
                <w:sz w:val="21"/>
                <w:szCs w:val="21"/>
                <w:highlight w:val="none"/>
              </w:rPr>
            </w:pPr>
          </w:p>
          <w:p w14:paraId="5328E682">
            <w:pPr>
              <w:pStyle w:val="108"/>
              <w:spacing w:before="1" w:after="0" w:line="24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依据的标准</w:t>
            </w:r>
          </w:p>
        </w:tc>
      </w:tr>
      <w:tr w14:paraId="764E1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74" w:type="dxa"/>
            <w:vMerge w:val="restart"/>
            <w:vAlign w:val="center"/>
          </w:tcPr>
          <w:p w14:paraId="777631B2">
            <w:pPr>
              <w:pStyle w:val="108"/>
              <w:spacing w:after="0" w:line="240" w:lineRule="auto"/>
              <w:jc w:val="center"/>
              <w:rPr>
                <w:rFonts w:asciiTheme="majorEastAsia" w:hAnsiTheme="majorEastAsia" w:eastAsiaTheme="majorEastAsia" w:cstheme="majorEastAsia"/>
                <w:color w:val="auto"/>
                <w:sz w:val="21"/>
                <w:szCs w:val="21"/>
                <w:highlight w:val="none"/>
              </w:rPr>
            </w:pPr>
          </w:p>
          <w:p w14:paraId="795326FA">
            <w:pPr>
              <w:pStyle w:val="108"/>
              <w:spacing w:after="0" w:line="240" w:lineRule="auto"/>
              <w:jc w:val="center"/>
              <w:rPr>
                <w:rFonts w:asciiTheme="majorEastAsia" w:hAnsiTheme="majorEastAsia" w:eastAsiaTheme="majorEastAsia" w:cstheme="majorEastAsia"/>
                <w:color w:val="auto"/>
                <w:sz w:val="21"/>
                <w:szCs w:val="21"/>
                <w:highlight w:val="none"/>
              </w:rPr>
            </w:pPr>
          </w:p>
          <w:p w14:paraId="3C42CE1D">
            <w:pPr>
              <w:pStyle w:val="108"/>
              <w:spacing w:after="0" w:line="240" w:lineRule="auto"/>
              <w:jc w:val="center"/>
              <w:rPr>
                <w:rFonts w:asciiTheme="majorEastAsia" w:hAnsiTheme="majorEastAsia" w:eastAsiaTheme="majorEastAsia" w:cstheme="majorEastAsia"/>
                <w:color w:val="auto"/>
                <w:sz w:val="21"/>
                <w:szCs w:val="21"/>
                <w:highlight w:val="none"/>
              </w:rPr>
            </w:pPr>
          </w:p>
          <w:p w14:paraId="5D2947F2">
            <w:pPr>
              <w:pStyle w:val="108"/>
              <w:spacing w:before="1" w:after="0" w:line="240" w:lineRule="auto"/>
              <w:jc w:val="center"/>
              <w:rPr>
                <w:rFonts w:asciiTheme="majorEastAsia" w:hAnsiTheme="majorEastAsia" w:eastAsiaTheme="majorEastAsia" w:cstheme="majorEastAsia"/>
                <w:color w:val="auto"/>
                <w:sz w:val="21"/>
                <w:szCs w:val="21"/>
                <w:highlight w:val="none"/>
              </w:rPr>
            </w:pPr>
          </w:p>
          <w:p w14:paraId="370B82A3">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1</w:t>
            </w:r>
          </w:p>
        </w:tc>
        <w:tc>
          <w:tcPr>
            <w:tcW w:w="1167" w:type="dxa"/>
            <w:vMerge w:val="restart"/>
            <w:vAlign w:val="center"/>
          </w:tcPr>
          <w:p w14:paraId="2E48315F">
            <w:pPr>
              <w:pStyle w:val="108"/>
              <w:spacing w:after="0" w:line="240" w:lineRule="auto"/>
              <w:jc w:val="center"/>
              <w:rPr>
                <w:rFonts w:asciiTheme="majorEastAsia" w:hAnsiTheme="majorEastAsia" w:eastAsiaTheme="majorEastAsia" w:cstheme="majorEastAsia"/>
                <w:color w:val="auto"/>
                <w:sz w:val="21"/>
                <w:szCs w:val="21"/>
                <w:highlight w:val="none"/>
              </w:rPr>
            </w:pPr>
          </w:p>
          <w:p w14:paraId="6E777328">
            <w:pPr>
              <w:pStyle w:val="108"/>
              <w:spacing w:after="0" w:line="240" w:lineRule="auto"/>
              <w:jc w:val="center"/>
              <w:rPr>
                <w:rFonts w:asciiTheme="majorEastAsia" w:hAnsiTheme="majorEastAsia" w:eastAsiaTheme="majorEastAsia" w:cstheme="majorEastAsia"/>
                <w:color w:val="auto"/>
                <w:sz w:val="21"/>
                <w:szCs w:val="21"/>
                <w:highlight w:val="none"/>
              </w:rPr>
            </w:pPr>
          </w:p>
          <w:p w14:paraId="45805A91">
            <w:pPr>
              <w:pStyle w:val="108"/>
              <w:spacing w:before="11" w:after="0" w:line="240" w:lineRule="auto"/>
              <w:jc w:val="center"/>
              <w:rPr>
                <w:rFonts w:asciiTheme="majorEastAsia" w:hAnsiTheme="majorEastAsia" w:eastAsiaTheme="majorEastAsia" w:cstheme="majorEastAsia"/>
                <w:color w:val="auto"/>
                <w:sz w:val="21"/>
                <w:szCs w:val="21"/>
                <w:highlight w:val="none"/>
              </w:rPr>
            </w:pPr>
          </w:p>
          <w:p w14:paraId="3999F3DD">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A020101</w:t>
            </w:r>
            <w:r>
              <w:rPr>
                <w:rFonts w:hint="eastAsia" w:asciiTheme="majorEastAsia" w:hAnsiTheme="majorEastAsia" w:eastAsiaTheme="majorEastAsia" w:cstheme="majorEastAsia"/>
                <w:color w:val="auto"/>
                <w:spacing w:val="-25"/>
                <w:sz w:val="21"/>
                <w:szCs w:val="21"/>
                <w:highlight w:val="none"/>
              </w:rPr>
              <w:t xml:space="preserve"> 计算</w:t>
            </w:r>
          </w:p>
          <w:p w14:paraId="2F1EFB1D">
            <w:pPr>
              <w:pStyle w:val="108"/>
              <w:spacing w:before="5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机设备</w:t>
            </w:r>
          </w:p>
        </w:tc>
        <w:tc>
          <w:tcPr>
            <w:tcW w:w="1801" w:type="dxa"/>
            <w:vAlign w:val="center"/>
          </w:tcPr>
          <w:p w14:paraId="32886B55">
            <w:pPr>
              <w:pStyle w:val="108"/>
              <w:spacing w:before="12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★A02010104</w:t>
            </w:r>
            <w:r>
              <w:rPr>
                <w:rFonts w:hint="eastAsia" w:asciiTheme="majorEastAsia" w:hAnsiTheme="majorEastAsia" w:eastAsiaTheme="majorEastAsia" w:cstheme="majorEastAsia"/>
                <w:color w:val="auto"/>
                <w:spacing w:val="-11"/>
                <w:sz w:val="21"/>
                <w:szCs w:val="21"/>
                <w:highlight w:val="none"/>
              </w:rPr>
              <w:t xml:space="preserve"> 台式计</w:t>
            </w:r>
            <w:r>
              <w:rPr>
                <w:rFonts w:hint="eastAsia" w:asciiTheme="majorEastAsia" w:hAnsiTheme="majorEastAsia" w:eastAsiaTheme="majorEastAsia" w:cstheme="majorEastAsia"/>
                <w:color w:val="auto"/>
                <w:sz w:val="21"/>
                <w:szCs w:val="21"/>
                <w:highlight w:val="none"/>
              </w:rPr>
              <w:t>算机</w:t>
            </w:r>
          </w:p>
        </w:tc>
        <w:tc>
          <w:tcPr>
            <w:tcW w:w="1630" w:type="dxa"/>
            <w:vAlign w:val="center"/>
          </w:tcPr>
          <w:p w14:paraId="6F2ECE37">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3B27B866">
            <w:pPr>
              <w:pStyle w:val="108"/>
              <w:spacing w:before="126"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《微型计算机能效限定值及能效等级》（GB 28380）</w:t>
            </w:r>
          </w:p>
        </w:tc>
      </w:tr>
      <w:tr w14:paraId="4CA5A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74" w:type="dxa"/>
            <w:vMerge w:val="continue"/>
            <w:tcBorders>
              <w:top w:val="nil"/>
            </w:tcBorders>
            <w:vAlign w:val="center"/>
          </w:tcPr>
          <w:p w14:paraId="0DA21539">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21E80CD3">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15E909DC">
            <w:pPr>
              <w:pStyle w:val="108"/>
              <w:spacing w:before="2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★A02010105</w:t>
            </w:r>
            <w:r>
              <w:rPr>
                <w:rFonts w:hint="eastAsia" w:asciiTheme="majorEastAsia" w:hAnsiTheme="majorEastAsia" w:eastAsiaTheme="majorEastAsia" w:cstheme="majorEastAsia"/>
                <w:color w:val="auto"/>
                <w:spacing w:val="-11"/>
                <w:sz w:val="21"/>
                <w:szCs w:val="21"/>
                <w:highlight w:val="none"/>
              </w:rPr>
              <w:t xml:space="preserve"> 便携式</w:t>
            </w:r>
            <w:r>
              <w:rPr>
                <w:rFonts w:hint="eastAsia" w:asciiTheme="majorEastAsia" w:hAnsiTheme="majorEastAsia" w:eastAsiaTheme="majorEastAsia" w:cstheme="majorEastAsia"/>
                <w:color w:val="auto"/>
                <w:sz w:val="21"/>
                <w:szCs w:val="21"/>
                <w:highlight w:val="none"/>
              </w:rPr>
              <w:t>计算机</w:t>
            </w:r>
          </w:p>
        </w:tc>
        <w:tc>
          <w:tcPr>
            <w:tcW w:w="1630" w:type="dxa"/>
            <w:vAlign w:val="center"/>
          </w:tcPr>
          <w:p w14:paraId="6A467B89">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5599BA0E">
            <w:pPr>
              <w:pStyle w:val="108"/>
              <w:spacing w:before="24"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《微型计算机能效限定值及能效等级》（GB 28380）</w:t>
            </w:r>
          </w:p>
        </w:tc>
      </w:tr>
      <w:tr w14:paraId="3F752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4" w:type="dxa"/>
            <w:vMerge w:val="continue"/>
            <w:tcBorders>
              <w:top w:val="nil"/>
            </w:tcBorders>
            <w:vAlign w:val="center"/>
          </w:tcPr>
          <w:p w14:paraId="270FF799">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4A074F1E">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31F270EE">
            <w:pPr>
              <w:pStyle w:val="108"/>
              <w:spacing w:before="9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★A02010107</w:t>
            </w:r>
            <w:r>
              <w:rPr>
                <w:rFonts w:hint="eastAsia" w:asciiTheme="majorEastAsia" w:hAnsiTheme="majorEastAsia" w:eastAsiaTheme="majorEastAsia" w:cstheme="majorEastAsia"/>
                <w:color w:val="auto"/>
                <w:spacing w:val="-11"/>
                <w:sz w:val="21"/>
                <w:szCs w:val="21"/>
                <w:highlight w:val="none"/>
                <w:lang w:eastAsia="zh-CN"/>
              </w:rPr>
              <w:t xml:space="preserve"> 平板式</w:t>
            </w:r>
            <w:r>
              <w:rPr>
                <w:rFonts w:hint="eastAsia" w:asciiTheme="majorEastAsia" w:hAnsiTheme="majorEastAsia" w:eastAsiaTheme="majorEastAsia" w:cstheme="majorEastAsia"/>
                <w:color w:val="auto"/>
                <w:sz w:val="21"/>
                <w:szCs w:val="21"/>
                <w:highlight w:val="none"/>
                <w:lang w:eastAsia="zh-CN"/>
              </w:rPr>
              <w:t>微型计算机</w:t>
            </w:r>
          </w:p>
        </w:tc>
        <w:tc>
          <w:tcPr>
            <w:tcW w:w="1630" w:type="dxa"/>
            <w:vAlign w:val="center"/>
          </w:tcPr>
          <w:p w14:paraId="00D3B8B6">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tc>
        <w:tc>
          <w:tcPr>
            <w:tcW w:w="3690" w:type="dxa"/>
            <w:vAlign w:val="center"/>
          </w:tcPr>
          <w:p w14:paraId="1B3F6393">
            <w:pPr>
              <w:pStyle w:val="108"/>
              <w:spacing w:before="9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《微型计算机能效限定值及能效等级》（GB 28380）</w:t>
            </w:r>
          </w:p>
        </w:tc>
      </w:tr>
      <w:tr w14:paraId="4B39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restart"/>
            <w:vAlign w:val="center"/>
          </w:tcPr>
          <w:p w14:paraId="5C86CC89">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3EC8EACA">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502180AF">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0C551DB5">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5F650497">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77A4EA0F">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5A6FA7EA">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300C55CF">
            <w:pPr>
              <w:pStyle w:val="108"/>
              <w:spacing w:before="1" w:after="0" w:line="240" w:lineRule="auto"/>
              <w:jc w:val="center"/>
              <w:rPr>
                <w:rFonts w:asciiTheme="majorEastAsia" w:hAnsiTheme="majorEastAsia" w:eastAsiaTheme="majorEastAsia" w:cstheme="majorEastAsia"/>
                <w:color w:val="auto"/>
                <w:sz w:val="21"/>
                <w:szCs w:val="21"/>
                <w:highlight w:val="none"/>
                <w:lang w:eastAsia="zh-CN"/>
              </w:rPr>
            </w:pPr>
          </w:p>
          <w:p w14:paraId="0DBA87EF">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2</w:t>
            </w:r>
          </w:p>
        </w:tc>
        <w:tc>
          <w:tcPr>
            <w:tcW w:w="1167" w:type="dxa"/>
            <w:vMerge w:val="restart"/>
            <w:vAlign w:val="center"/>
          </w:tcPr>
          <w:p w14:paraId="1F787017">
            <w:pPr>
              <w:pStyle w:val="108"/>
              <w:spacing w:after="0" w:line="240" w:lineRule="auto"/>
              <w:jc w:val="center"/>
              <w:rPr>
                <w:rFonts w:asciiTheme="majorEastAsia" w:hAnsiTheme="majorEastAsia" w:eastAsiaTheme="majorEastAsia" w:cstheme="majorEastAsia"/>
                <w:color w:val="auto"/>
                <w:sz w:val="21"/>
                <w:szCs w:val="21"/>
                <w:highlight w:val="none"/>
              </w:rPr>
            </w:pPr>
          </w:p>
          <w:p w14:paraId="7D01140A">
            <w:pPr>
              <w:pStyle w:val="108"/>
              <w:spacing w:after="0" w:line="240" w:lineRule="auto"/>
              <w:jc w:val="center"/>
              <w:rPr>
                <w:rFonts w:asciiTheme="majorEastAsia" w:hAnsiTheme="majorEastAsia" w:eastAsiaTheme="majorEastAsia" w:cstheme="majorEastAsia"/>
                <w:color w:val="auto"/>
                <w:sz w:val="21"/>
                <w:szCs w:val="21"/>
                <w:highlight w:val="none"/>
              </w:rPr>
            </w:pPr>
          </w:p>
          <w:p w14:paraId="6D52315B">
            <w:pPr>
              <w:pStyle w:val="108"/>
              <w:spacing w:after="0" w:line="240" w:lineRule="auto"/>
              <w:jc w:val="center"/>
              <w:rPr>
                <w:rFonts w:asciiTheme="majorEastAsia" w:hAnsiTheme="majorEastAsia" w:eastAsiaTheme="majorEastAsia" w:cstheme="majorEastAsia"/>
                <w:color w:val="auto"/>
                <w:sz w:val="21"/>
                <w:szCs w:val="21"/>
                <w:highlight w:val="none"/>
              </w:rPr>
            </w:pPr>
          </w:p>
          <w:p w14:paraId="35318A18">
            <w:pPr>
              <w:pStyle w:val="108"/>
              <w:spacing w:after="0" w:line="240" w:lineRule="auto"/>
              <w:jc w:val="center"/>
              <w:rPr>
                <w:rFonts w:asciiTheme="majorEastAsia" w:hAnsiTheme="majorEastAsia" w:eastAsiaTheme="majorEastAsia" w:cstheme="majorEastAsia"/>
                <w:color w:val="auto"/>
                <w:sz w:val="21"/>
                <w:szCs w:val="21"/>
                <w:highlight w:val="none"/>
              </w:rPr>
            </w:pPr>
          </w:p>
          <w:p w14:paraId="75A114EB">
            <w:pPr>
              <w:pStyle w:val="108"/>
              <w:spacing w:after="0" w:line="240" w:lineRule="auto"/>
              <w:jc w:val="center"/>
              <w:rPr>
                <w:rFonts w:asciiTheme="majorEastAsia" w:hAnsiTheme="majorEastAsia" w:eastAsiaTheme="majorEastAsia" w:cstheme="majorEastAsia"/>
                <w:color w:val="auto"/>
                <w:sz w:val="21"/>
                <w:szCs w:val="21"/>
                <w:highlight w:val="none"/>
              </w:rPr>
            </w:pPr>
          </w:p>
          <w:p w14:paraId="4CDC8A30">
            <w:pPr>
              <w:pStyle w:val="108"/>
              <w:spacing w:after="0" w:line="240" w:lineRule="auto"/>
              <w:jc w:val="center"/>
              <w:rPr>
                <w:rFonts w:asciiTheme="majorEastAsia" w:hAnsiTheme="majorEastAsia" w:eastAsiaTheme="majorEastAsia" w:cstheme="majorEastAsia"/>
                <w:color w:val="auto"/>
                <w:sz w:val="21"/>
                <w:szCs w:val="21"/>
                <w:highlight w:val="none"/>
              </w:rPr>
            </w:pPr>
          </w:p>
          <w:p w14:paraId="12C372F1">
            <w:pPr>
              <w:pStyle w:val="108"/>
              <w:spacing w:before="11" w:after="0" w:line="240" w:lineRule="auto"/>
              <w:jc w:val="center"/>
              <w:rPr>
                <w:rFonts w:asciiTheme="majorEastAsia" w:hAnsiTheme="majorEastAsia" w:eastAsiaTheme="majorEastAsia" w:cstheme="majorEastAsia"/>
                <w:color w:val="auto"/>
                <w:sz w:val="21"/>
                <w:szCs w:val="21"/>
                <w:highlight w:val="none"/>
              </w:rPr>
            </w:pPr>
          </w:p>
          <w:p w14:paraId="26990A2E">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A020106</w:t>
            </w:r>
            <w:r>
              <w:rPr>
                <w:rFonts w:hint="eastAsia" w:asciiTheme="majorEastAsia" w:hAnsiTheme="majorEastAsia" w:eastAsiaTheme="majorEastAsia" w:cstheme="majorEastAsia"/>
                <w:color w:val="auto"/>
                <w:spacing w:val="-25"/>
                <w:sz w:val="21"/>
                <w:szCs w:val="21"/>
                <w:highlight w:val="none"/>
              </w:rPr>
              <w:t xml:space="preserve"> 输入</w:t>
            </w:r>
          </w:p>
          <w:p w14:paraId="081F5190">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输出设备</w:t>
            </w:r>
          </w:p>
        </w:tc>
        <w:tc>
          <w:tcPr>
            <w:tcW w:w="1801" w:type="dxa"/>
            <w:vMerge w:val="restart"/>
            <w:vAlign w:val="center"/>
          </w:tcPr>
          <w:p w14:paraId="6A2BF8C5">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A02010601</w:t>
            </w:r>
            <w:r>
              <w:rPr>
                <w:rFonts w:hint="eastAsia" w:asciiTheme="majorEastAsia" w:hAnsiTheme="majorEastAsia" w:eastAsiaTheme="majorEastAsia" w:cstheme="majorEastAsia"/>
                <w:color w:val="auto"/>
                <w:spacing w:val="-12"/>
                <w:sz w:val="21"/>
                <w:szCs w:val="21"/>
                <w:highlight w:val="none"/>
              </w:rPr>
              <w:t xml:space="preserve"> 打印设备</w:t>
            </w:r>
          </w:p>
        </w:tc>
        <w:tc>
          <w:tcPr>
            <w:tcW w:w="1630" w:type="dxa"/>
            <w:vAlign w:val="center"/>
          </w:tcPr>
          <w:p w14:paraId="4787C81E">
            <w:pPr>
              <w:pStyle w:val="108"/>
              <w:spacing w:before="8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A0201060101 喷墨打印机</w:t>
            </w:r>
          </w:p>
        </w:tc>
        <w:tc>
          <w:tcPr>
            <w:tcW w:w="3690" w:type="dxa"/>
            <w:vAlign w:val="center"/>
          </w:tcPr>
          <w:p w14:paraId="5EE6E72A">
            <w:pPr>
              <w:pStyle w:val="108"/>
              <w:spacing w:before="8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《复印机、打印机和传真机能效限</w:t>
            </w:r>
            <w:r>
              <w:rPr>
                <w:rFonts w:hint="eastAsia" w:asciiTheme="majorEastAsia" w:hAnsiTheme="majorEastAsia" w:eastAsiaTheme="majorEastAsia" w:cstheme="majorEastAsia"/>
                <w:color w:val="auto"/>
                <w:sz w:val="21"/>
                <w:szCs w:val="21"/>
                <w:highlight w:val="none"/>
                <w:lang w:eastAsia="zh-CN"/>
              </w:rPr>
              <w:t>定值及能效等级》（GB 21521）</w:t>
            </w:r>
          </w:p>
        </w:tc>
      </w:tr>
      <w:tr w14:paraId="14E29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tcBorders>
              <w:top w:val="nil"/>
            </w:tcBorders>
            <w:vAlign w:val="center"/>
          </w:tcPr>
          <w:p w14:paraId="4B4DFB4A">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26CA1A24">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continue"/>
            <w:tcBorders>
              <w:top w:val="nil"/>
            </w:tcBorders>
            <w:vAlign w:val="center"/>
          </w:tcPr>
          <w:p w14:paraId="33865009">
            <w:pPr>
              <w:spacing w:after="0" w:line="240" w:lineRule="auto"/>
              <w:jc w:val="center"/>
              <w:rPr>
                <w:rFonts w:asciiTheme="majorEastAsia" w:hAnsiTheme="majorEastAsia" w:eastAsiaTheme="majorEastAsia" w:cstheme="majorEastAsia"/>
                <w:color w:val="auto"/>
                <w:szCs w:val="21"/>
                <w:highlight w:val="none"/>
              </w:rPr>
            </w:pPr>
          </w:p>
        </w:tc>
        <w:tc>
          <w:tcPr>
            <w:tcW w:w="1630" w:type="dxa"/>
            <w:vAlign w:val="center"/>
          </w:tcPr>
          <w:p w14:paraId="1438EF60">
            <w:pPr>
              <w:pStyle w:val="108"/>
              <w:spacing w:before="8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5"/>
                <w:sz w:val="21"/>
                <w:szCs w:val="21"/>
                <w:highlight w:val="none"/>
              </w:rPr>
              <w:t xml:space="preserve">★ </w:t>
            </w:r>
            <w:r>
              <w:rPr>
                <w:rFonts w:hint="eastAsia" w:asciiTheme="majorEastAsia" w:hAnsiTheme="majorEastAsia" w:eastAsiaTheme="majorEastAsia" w:cstheme="majorEastAsia"/>
                <w:color w:val="auto"/>
                <w:sz w:val="21"/>
                <w:szCs w:val="21"/>
                <w:highlight w:val="none"/>
              </w:rPr>
              <w:t>A0201060102</w:t>
            </w:r>
            <w:r>
              <w:rPr>
                <w:rFonts w:hint="eastAsia" w:asciiTheme="majorEastAsia" w:hAnsiTheme="majorEastAsia" w:eastAsiaTheme="majorEastAsia" w:cstheme="majorEastAsia"/>
                <w:color w:val="auto"/>
                <w:spacing w:val="15"/>
                <w:sz w:val="21"/>
                <w:szCs w:val="21"/>
                <w:highlight w:val="none"/>
              </w:rPr>
              <w:t xml:space="preserve"> 激光</w:t>
            </w:r>
            <w:r>
              <w:rPr>
                <w:rFonts w:hint="eastAsia" w:asciiTheme="majorEastAsia" w:hAnsiTheme="majorEastAsia" w:eastAsiaTheme="majorEastAsia" w:cstheme="majorEastAsia"/>
                <w:color w:val="auto"/>
                <w:sz w:val="21"/>
                <w:szCs w:val="21"/>
                <w:highlight w:val="none"/>
              </w:rPr>
              <w:t>打印机</w:t>
            </w:r>
          </w:p>
        </w:tc>
        <w:tc>
          <w:tcPr>
            <w:tcW w:w="3690" w:type="dxa"/>
            <w:vAlign w:val="center"/>
          </w:tcPr>
          <w:p w14:paraId="2F71C0AF">
            <w:pPr>
              <w:pStyle w:val="108"/>
              <w:spacing w:before="8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《复印机、打印机和传真机能效限</w:t>
            </w:r>
            <w:r>
              <w:rPr>
                <w:rFonts w:hint="eastAsia" w:asciiTheme="majorEastAsia" w:hAnsiTheme="majorEastAsia" w:eastAsiaTheme="majorEastAsia" w:cstheme="majorEastAsia"/>
                <w:color w:val="auto"/>
                <w:sz w:val="21"/>
                <w:szCs w:val="21"/>
                <w:highlight w:val="none"/>
                <w:lang w:eastAsia="zh-CN"/>
              </w:rPr>
              <w:t>定值及能效等级》（GB 21521）</w:t>
            </w:r>
          </w:p>
        </w:tc>
      </w:tr>
      <w:tr w14:paraId="065A1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tcBorders>
              <w:top w:val="nil"/>
            </w:tcBorders>
            <w:vAlign w:val="center"/>
          </w:tcPr>
          <w:p w14:paraId="08E892F0">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69E908CC">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continue"/>
            <w:tcBorders>
              <w:top w:val="nil"/>
            </w:tcBorders>
            <w:vAlign w:val="center"/>
          </w:tcPr>
          <w:p w14:paraId="7AFD8DD0">
            <w:pPr>
              <w:spacing w:after="0" w:line="240" w:lineRule="auto"/>
              <w:jc w:val="center"/>
              <w:rPr>
                <w:rFonts w:asciiTheme="majorEastAsia" w:hAnsiTheme="majorEastAsia" w:eastAsiaTheme="majorEastAsia" w:cstheme="majorEastAsia"/>
                <w:color w:val="auto"/>
                <w:szCs w:val="21"/>
                <w:highlight w:val="none"/>
              </w:rPr>
            </w:pPr>
          </w:p>
        </w:tc>
        <w:tc>
          <w:tcPr>
            <w:tcW w:w="1630" w:type="dxa"/>
            <w:vAlign w:val="center"/>
          </w:tcPr>
          <w:p w14:paraId="1645C5D0">
            <w:pPr>
              <w:pStyle w:val="108"/>
              <w:spacing w:before="8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5"/>
                <w:sz w:val="21"/>
                <w:szCs w:val="21"/>
                <w:highlight w:val="none"/>
              </w:rPr>
              <w:t xml:space="preserve">★ </w:t>
            </w:r>
            <w:r>
              <w:rPr>
                <w:rFonts w:hint="eastAsia" w:asciiTheme="majorEastAsia" w:hAnsiTheme="majorEastAsia" w:eastAsiaTheme="majorEastAsia" w:cstheme="majorEastAsia"/>
                <w:color w:val="auto"/>
                <w:sz w:val="21"/>
                <w:szCs w:val="21"/>
                <w:highlight w:val="none"/>
              </w:rPr>
              <w:t>A0201060104</w:t>
            </w:r>
            <w:r>
              <w:rPr>
                <w:rFonts w:hint="eastAsia" w:asciiTheme="majorEastAsia" w:hAnsiTheme="majorEastAsia" w:eastAsiaTheme="majorEastAsia" w:cstheme="majorEastAsia"/>
                <w:color w:val="auto"/>
                <w:spacing w:val="15"/>
                <w:sz w:val="21"/>
                <w:szCs w:val="21"/>
                <w:highlight w:val="none"/>
              </w:rPr>
              <w:t xml:space="preserve"> 针式</w:t>
            </w:r>
            <w:r>
              <w:rPr>
                <w:rFonts w:hint="eastAsia" w:asciiTheme="majorEastAsia" w:hAnsiTheme="majorEastAsia" w:eastAsiaTheme="majorEastAsia" w:cstheme="majorEastAsia"/>
                <w:color w:val="auto"/>
                <w:sz w:val="21"/>
                <w:szCs w:val="21"/>
                <w:highlight w:val="none"/>
              </w:rPr>
              <w:t>打印机</w:t>
            </w:r>
          </w:p>
        </w:tc>
        <w:tc>
          <w:tcPr>
            <w:tcW w:w="3690" w:type="dxa"/>
            <w:vAlign w:val="center"/>
          </w:tcPr>
          <w:p w14:paraId="277A42EB">
            <w:pPr>
              <w:pStyle w:val="108"/>
              <w:spacing w:before="8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《复印机、打印机和传真机能效限</w:t>
            </w:r>
            <w:r>
              <w:rPr>
                <w:rFonts w:hint="eastAsia" w:asciiTheme="majorEastAsia" w:hAnsiTheme="majorEastAsia" w:eastAsiaTheme="majorEastAsia" w:cstheme="majorEastAsia"/>
                <w:color w:val="auto"/>
                <w:sz w:val="21"/>
                <w:szCs w:val="21"/>
                <w:highlight w:val="none"/>
                <w:lang w:eastAsia="zh-CN"/>
              </w:rPr>
              <w:t>定值及能效等级》（GB 21521）</w:t>
            </w:r>
          </w:p>
        </w:tc>
      </w:tr>
      <w:tr w14:paraId="1C60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74" w:type="dxa"/>
            <w:vMerge w:val="continue"/>
            <w:tcBorders>
              <w:top w:val="nil"/>
            </w:tcBorders>
            <w:vAlign w:val="center"/>
          </w:tcPr>
          <w:p w14:paraId="60B2D361">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47E9E36E">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762A8F38">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A02010604</w:t>
            </w:r>
            <w:r>
              <w:rPr>
                <w:rFonts w:hint="eastAsia" w:asciiTheme="majorEastAsia" w:hAnsiTheme="majorEastAsia" w:eastAsiaTheme="majorEastAsia" w:cstheme="majorEastAsia"/>
                <w:color w:val="auto"/>
                <w:spacing w:val="-12"/>
                <w:sz w:val="21"/>
                <w:szCs w:val="21"/>
                <w:highlight w:val="none"/>
              </w:rPr>
              <w:t xml:space="preserve"> 显示设备</w:t>
            </w:r>
          </w:p>
        </w:tc>
        <w:tc>
          <w:tcPr>
            <w:tcW w:w="1630" w:type="dxa"/>
            <w:vAlign w:val="center"/>
          </w:tcPr>
          <w:p w14:paraId="14574C41">
            <w:pPr>
              <w:pStyle w:val="108"/>
              <w:spacing w:before="102"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5"/>
                <w:sz w:val="21"/>
                <w:szCs w:val="21"/>
                <w:highlight w:val="none"/>
              </w:rPr>
              <w:t xml:space="preserve">★ </w:t>
            </w:r>
            <w:r>
              <w:rPr>
                <w:rFonts w:hint="eastAsia" w:asciiTheme="majorEastAsia" w:hAnsiTheme="majorEastAsia" w:eastAsiaTheme="majorEastAsia" w:cstheme="majorEastAsia"/>
                <w:color w:val="auto"/>
                <w:sz w:val="21"/>
                <w:szCs w:val="21"/>
                <w:highlight w:val="none"/>
              </w:rPr>
              <w:t>A0201060401</w:t>
            </w:r>
            <w:r>
              <w:rPr>
                <w:rFonts w:hint="eastAsia" w:asciiTheme="majorEastAsia" w:hAnsiTheme="majorEastAsia" w:eastAsiaTheme="majorEastAsia" w:cstheme="majorEastAsia"/>
                <w:color w:val="auto"/>
                <w:spacing w:val="15"/>
                <w:sz w:val="21"/>
                <w:szCs w:val="21"/>
                <w:highlight w:val="none"/>
              </w:rPr>
              <w:t xml:space="preserve"> 液晶</w:t>
            </w:r>
            <w:r>
              <w:rPr>
                <w:rFonts w:hint="eastAsia" w:asciiTheme="majorEastAsia" w:hAnsiTheme="majorEastAsia" w:eastAsiaTheme="majorEastAsia" w:cstheme="majorEastAsia"/>
                <w:color w:val="auto"/>
                <w:sz w:val="21"/>
                <w:szCs w:val="21"/>
                <w:highlight w:val="none"/>
              </w:rPr>
              <w:t>显示器</w:t>
            </w:r>
          </w:p>
        </w:tc>
        <w:tc>
          <w:tcPr>
            <w:tcW w:w="3690" w:type="dxa"/>
            <w:vAlign w:val="center"/>
          </w:tcPr>
          <w:p w14:paraId="1BE9FC7D">
            <w:pPr>
              <w:pStyle w:val="108"/>
              <w:spacing w:before="102"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《计算机显示器能效限定值及能效等级》（GB 21520）</w:t>
            </w:r>
          </w:p>
        </w:tc>
      </w:tr>
      <w:tr w14:paraId="4AAAA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574" w:type="dxa"/>
            <w:vMerge w:val="continue"/>
            <w:tcBorders>
              <w:top w:val="nil"/>
            </w:tcBorders>
            <w:vAlign w:val="center"/>
          </w:tcPr>
          <w:p w14:paraId="67588697">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0BB5CA89">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2849C9B0">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0A48A8DD">
            <w:pPr>
              <w:pStyle w:val="108"/>
              <w:spacing w:before="139"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A02010609</w:t>
            </w:r>
            <w:r>
              <w:rPr>
                <w:rFonts w:hint="eastAsia" w:asciiTheme="majorEastAsia" w:hAnsiTheme="majorEastAsia" w:eastAsiaTheme="majorEastAsia" w:cstheme="majorEastAsia"/>
                <w:color w:val="auto"/>
                <w:spacing w:val="-9"/>
                <w:sz w:val="21"/>
                <w:szCs w:val="21"/>
                <w:highlight w:val="none"/>
              </w:rPr>
              <w:t xml:space="preserve"> 图形图像</w:t>
            </w:r>
            <w:r>
              <w:rPr>
                <w:rFonts w:hint="eastAsia" w:asciiTheme="majorEastAsia" w:hAnsiTheme="majorEastAsia" w:eastAsiaTheme="majorEastAsia" w:cstheme="majorEastAsia"/>
                <w:color w:val="auto"/>
                <w:sz w:val="21"/>
                <w:szCs w:val="21"/>
                <w:highlight w:val="none"/>
              </w:rPr>
              <w:t>输入设备</w:t>
            </w:r>
          </w:p>
        </w:tc>
        <w:tc>
          <w:tcPr>
            <w:tcW w:w="1630" w:type="dxa"/>
            <w:vAlign w:val="center"/>
          </w:tcPr>
          <w:p w14:paraId="47FBC17A">
            <w:pPr>
              <w:pStyle w:val="108"/>
              <w:spacing w:after="0" w:line="240" w:lineRule="auto"/>
              <w:jc w:val="center"/>
              <w:rPr>
                <w:rFonts w:asciiTheme="majorEastAsia" w:hAnsiTheme="majorEastAsia" w:eastAsiaTheme="majorEastAsia" w:cstheme="majorEastAsia"/>
                <w:color w:val="auto"/>
                <w:sz w:val="21"/>
                <w:szCs w:val="21"/>
                <w:highlight w:val="none"/>
              </w:rPr>
            </w:pPr>
          </w:p>
          <w:p w14:paraId="5F4B97B5">
            <w:pPr>
              <w:pStyle w:val="108"/>
              <w:spacing w:after="0" w:line="240" w:lineRule="auto"/>
              <w:jc w:val="center"/>
              <w:rPr>
                <w:rFonts w:asciiTheme="majorEastAsia" w:hAnsiTheme="majorEastAsia" w:eastAsiaTheme="majorEastAsia" w:cstheme="majorEastAsia"/>
                <w:color w:val="auto"/>
                <w:sz w:val="21"/>
                <w:szCs w:val="21"/>
                <w:highlight w:val="none"/>
              </w:rPr>
            </w:pPr>
          </w:p>
          <w:p w14:paraId="35C8EB88">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A0201060901 扫描仪</w:t>
            </w:r>
          </w:p>
        </w:tc>
        <w:tc>
          <w:tcPr>
            <w:tcW w:w="3690" w:type="dxa"/>
            <w:vAlign w:val="center"/>
          </w:tcPr>
          <w:p w14:paraId="06958FA7">
            <w:pPr>
              <w:pStyle w:val="108"/>
              <w:spacing w:before="83"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参照《复印机、打印机和传真机能</w:t>
            </w:r>
            <w:r>
              <w:rPr>
                <w:rFonts w:hint="eastAsia" w:asciiTheme="majorEastAsia" w:hAnsiTheme="majorEastAsia" w:eastAsiaTheme="majorEastAsia" w:cstheme="majorEastAsia"/>
                <w:color w:val="auto"/>
                <w:spacing w:val="-11"/>
                <w:sz w:val="21"/>
                <w:szCs w:val="21"/>
                <w:highlight w:val="none"/>
                <w:lang w:eastAsia="zh-CN"/>
              </w:rPr>
              <w:t>效限定值及能效等级》</w:t>
            </w:r>
            <w:r>
              <w:rPr>
                <w:rFonts w:hint="eastAsia" w:asciiTheme="majorEastAsia" w:hAnsiTheme="majorEastAsia" w:eastAsiaTheme="majorEastAsia" w:cstheme="majorEastAsia"/>
                <w:color w:val="auto"/>
                <w:sz w:val="21"/>
                <w:szCs w:val="21"/>
                <w:highlight w:val="none"/>
                <w:lang w:eastAsia="zh-CN"/>
              </w:rPr>
              <w:t>（GB 21521</w:t>
            </w:r>
          </w:p>
          <w:p w14:paraId="6A8F6EC9">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中打印速度为 15 页/分的针式打</w:t>
            </w:r>
          </w:p>
          <w:p w14:paraId="6EF17CC7">
            <w:pPr>
              <w:pStyle w:val="108"/>
              <w:spacing w:before="5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印机相关要求</w:t>
            </w:r>
          </w:p>
        </w:tc>
      </w:tr>
      <w:tr w14:paraId="071C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574" w:type="dxa"/>
            <w:vAlign w:val="center"/>
          </w:tcPr>
          <w:p w14:paraId="227A0DD8">
            <w:pPr>
              <w:pStyle w:val="108"/>
              <w:spacing w:before="7" w:after="0" w:line="240" w:lineRule="auto"/>
              <w:jc w:val="center"/>
              <w:rPr>
                <w:rFonts w:asciiTheme="majorEastAsia" w:hAnsiTheme="majorEastAsia" w:eastAsiaTheme="majorEastAsia" w:cstheme="majorEastAsia"/>
                <w:color w:val="auto"/>
                <w:sz w:val="21"/>
                <w:szCs w:val="21"/>
                <w:highlight w:val="none"/>
              </w:rPr>
            </w:pPr>
          </w:p>
          <w:p w14:paraId="02018A1E">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3</w:t>
            </w:r>
          </w:p>
        </w:tc>
        <w:tc>
          <w:tcPr>
            <w:tcW w:w="1167" w:type="dxa"/>
            <w:vAlign w:val="center"/>
          </w:tcPr>
          <w:p w14:paraId="070F890C">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A020202</w:t>
            </w:r>
            <w:r>
              <w:rPr>
                <w:rFonts w:hint="eastAsia" w:asciiTheme="majorEastAsia" w:hAnsiTheme="majorEastAsia" w:eastAsiaTheme="majorEastAsia" w:cstheme="majorEastAsia"/>
                <w:color w:val="auto"/>
                <w:spacing w:val="-25"/>
                <w:sz w:val="21"/>
                <w:szCs w:val="21"/>
                <w:highlight w:val="none"/>
              </w:rPr>
              <w:t xml:space="preserve"> 投影</w:t>
            </w:r>
          </w:p>
          <w:p w14:paraId="3F4B169E">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仪</w:t>
            </w:r>
          </w:p>
        </w:tc>
        <w:tc>
          <w:tcPr>
            <w:tcW w:w="1801" w:type="dxa"/>
            <w:vAlign w:val="center"/>
          </w:tcPr>
          <w:p w14:paraId="7A4D40F7">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630" w:type="dxa"/>
            <w:vAlign w:val="center"/>
          </w:tcPr>
          <w:p w14:paraId="6F7E862D">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1F1C7ED0">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《投影机能效限定值及能效等级</w:t>
            </w:r>
          </w:p>
          <w:p w14:paraId="0BC6DD77">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（GB 32028）</w:t>
            </w:r>
          </w:p>
        </w:tc>
      </w:tr>
      <w:tr w14:paraId="605E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74" w:type="dxa"/>
            <w:vAlign w:val="center"/>
          </w:tcPr>
          <w:p w14:paraId="74EE5083">
            <w:pPr>
              <w:pStyle w:val="108"/>
              <w:spacing w:before="12" w:after="0" w:line="240" w:lineRule="auto"/>
              <w:jc w:val="center"/>
              <w:rPr>
                <w:rFonts w:asciiTheme="majorEastAsia" w:hAnsiTheme="majorEastAsia" w:eastAsiaTheme="majorEastAsia" w:cstheme="majorEastAsia"/>
                <w:color w:val="auto"/>
                <w:sz w:val="21"/>
                <w:szCs w:val="21"/>
                <w:highlight w:val="none"/>
              </w:rPr>
            </w:pPr>
          </w:p>
          <w:p w14:paraId="6175824A">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4</w:t>
            </w:r>
          </w:p>
        </w:tc>
        <w:tc>
          <w:tcPr>
            <w:tcW w:w="1167" w:type="dxa"/>
            <w:vAlign w:val="center"/>
          </w:tcPr>
          <w:p w14:paraId="5EE5CAAC">
            <w:pPr>
              <w:pStyle w:val="108"/>
              <w:spacing w:before="100"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A020204</w:t>
            </w:r>
            <w:r>
              <w:rPr>
                <w:rFonts w:hint="eastAsia" w:asciiTheme="majorEastAsia" w:hAnsiTheme="majorEastAsia" w:eastAsiaTheme="majorEastAsia" w:cstheme="majorEastAsia"/>
                <w:color w:val="auto"/>
                <w:spacing w:val="-25"/>
                <w:sz w:val="21"/>
                <w:szCs w:val="21"/>
                <w:highlight w:val="none"/>
              </w:rPr>
              <w:t xml:space="preserve"> 多功</w:t>
            </w:r>
          </w:p>
          <w:p w14:paraId="509C6027">
            <w:pPr>
              <w:pStyle w:val="108"/>
              <w:spacing w:before="5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能一体机</w:t>
            </w:r>
          </w:p>
        </w:tc>
        <w:tc>
          <w:tcPr>
            <w:tcW w:w="1801" w:type="dxa"/>
            <w:vAlign w:val="center"/>
          </w:tcPr>
          <w:p w14:paraId="0876C15A">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630" w:type="dxa"/>
            <w:vAlign w:val="center"/>
          </w:tcPr>
          <w:p w14:paraId="70B40AF5">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06CE9EAF">
            <w:pPr>
              <w:pStyle w:val="108"/>
              <w:spacing w:before="100"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《复印机、打印机和传真机能效限</w:t>
            </w:r>
            <w:r>
              <w:rPr>
                <w:rFonts w:hint="eastAsia" w:asciiTheme="majorEastAsia" w:hAnsiTheme="majorEastAsia" w:eastAsiaTheme="majorEastAsia" w:cstheme="majorEastAsia"/>
                <w:color w:val="auto"/>
                <w:sz w:val="21"/>
                <w:szCs w:val="21"/>
                <w:highlight w:val="none"/>
                <w:lang w:eastAsia="zh-CN"/>
              </w:rPr>
              <w:t>定值及能效等级》（GB 21521）</w:t>
            </w:r>
          </w:p>
        </w:tc>
      </w:tr>
      <w:tr w14:paraId="2A7C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74" w:type="dxa"/>
            <w:vAlign w:val="center"/>
          </w:tcPr>
          <w:p w14:paraId="7E406124">
            <w:pPr>
              <w:pStyle w:val="108"/>
              <w:spacing w:before="1" w:after="0" w:line="240" w:lineRule="auto"/>
              <w:jc w:val="center"/>
              <w:rPr>
                <w:rFonts w:asciiTheme="majorEastAsia" w:hAnsiTheme="majorEastAsia" w:eastAsiaTheme="majorEastAsia" w:cstheme="majorEastAsia"/>
                <w:color w:val="auto"/>
                <w:sz w:val="21"/>
                <w:szCs w:val="21"/>
                <w:highlight w:val="none"/>
                <w:lang w:eastAsia="zh-CN"/>
              </w:rPr>
            </w:pPr>
          </w:p>
          <w:p w14:paraId="682CE0D3">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5</w:t>
            </w:r>
          </w:p>
        </w:tc>
        <w:tc>
          <w:tcPr>
            <w:tcW w:w="1167" w:type="dxa"/>
            <w:vAlign w:val="center"/>
          </w:tcPr>
          <w:p w14:paraId="6AA9852E">
            <w:pPr>
              <w:pStyle w:val="108"/>
              <w:spacing w:before="1" w:after="0" w:line="240" w:lineRule="auto"/>
              <w:jc w:val="center"/>
              <w:rPr>
                <w:rFonts w:asciiTheme="majorEastAsia" w:hAnsiTheme="majorEastAsia" w:eastAsiaTheme="majorEastAsia" w:cstheme="majorEastAsia"/>
                <w:color w:val="auto"/>
                <w:sz w:val="21"/>
                <w:szCs w:val="21"/>
                <w:highlight w:val="none"/>
              </w:rPr>
            </w:pPr>
          </w:p>
          <w:p w14:paraId="6F13484D">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A020519 泵</w:t>
            </w:r>
          </w:p>
        </w:tc>
        <w:tc>
          <w:tcPr>
            <w:tcW w:w="1801" w:type="dxa"/>
            <w:vAlign w:val="center"/>
          </w:tcPr>
          <w:p w14:paraId="4EDD4D25">
            <w:pPr>
              <w:pStyle w:val="108"/>
              <w:spacing w:before="1" w:after="0" w:line="240" w:lineRule="auto"/>
              <w:jc w:val="center"/>
              <w:rPr>
                <w:rFonts w:asciiTheme="majorEastAsia" w:hAnsiTheme="majorEastAsia" w:eastAsiaTheme="majorEastAsia" w:cstheme="majorEastAsia"/>
                <w:color w:val="auto"/>
                <w:sz w:val="21"/>
                <w:szCs w:val="21"/>
                <w:highlight w:val="none"/>
              </w:rPr>
            </w:pPr>
          </w:p>
          <w:p w14:paraId="27378391">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A02051901 离心泵</w:t>
            </w:r>
          </w:p>
        </w:tc>
        <w:tc>
          <w:tcPr>
            <w:tcW w:w="1630" w:type="dxa"/>
            <w:vAlign w:val="center"/>
          </w:tcPr>
          <w:p w14:paraId="39DA12AD">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583DD6CF">
            <w:pPr>
              <w:pStyle w:val="108"/>
              <w:spacing w:before="3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《清水离心泵能效限定值及节能</w:t>
            </w:r>
          </w:p>
          <w:p w14:paraId="6AD40DE4">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评价值》（GB 19762）</w:t>
            </w:r>
          </w:p>
        </w:tc>
      </w:tr>
      <w:tr w14:paraId="4E29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574" w:type="dxa"/>
            <w:vMerge w:val="restart"/>
            <w:vAlign w:val="center"/>
          </w:tcPr>
          <w:p w14:paraId="1E585FB4">
            <w:pPr>
              <w:pStyle w:val="108"/>
              <w:spacing w:after="0" w:line="240" w:lineRule="auto"/>
              <w:jc w:val="center"/>
              <w:rPr>
                <w:rFonts w:asciiTheme="majorEastAsia" w:hAnsiTheme="majorEastAsia" w:eastAsiaTheme="majorEastAsia" w:cstheme="majorEastAsia"/>
                <w:color w:val="auto"/>
                <w:sz w:val="21"/>
                <w:szCs w:val="21"/>
                <w:highlight w:val="none"/>
              </w:rPr>
            </w:pPr>
          </w:p>
          <w:p w14:paraId="4DA79649">
            <w:pPr>
              <w:pStyle w:val="108"/>
              <w:spacing w:after="0" w:line="240" w:lineRule="auto"/>
              <w:jc w:val="center"/>
              <w:rPr>
                <w:rFonts w:asciiTheme="majorEastAsia" w:hAnsiTheme="majorEastAsia" w:eastAsiaTheme="majorEastAsia" w:cstheme="majorEastAsia"/>
                <w:color w:val="auto"/>
                <w:sz w:val="21"/>
                <w:szCs w:val="21"/>
                <w:highlight w:val="none"/>
              </w:rPr>
            </w:pPr>
          </w:p>
          <w:p w14:paraId="26C4E796">
            <w:pPr>
              <w:pStyle w:val="108"/>
              <w:spacing w:after="0" w:line="240" w:lineRule="auto"/>
              <w:jc w:val="center"/>
              <w:rPr>
                <w:rFonts w:asciiTheme="majorEastAsia" w:hAnsiTheme="majorEastAsia" w:eastAsiaTheme="majorEastAsia" w:cstheme="majorEastAsia"/>
                <w:color w:val="auto"/>
                <w:sz w:val="21"/>
                <w:szCs w:val="21"/>
                <w:highlight w:val="none"/>
              </w:rPr>
            </w:pPr>
          </w:p>
          <w:p w14:paraId="116CDF34">
            <w:pPr>
              <w:pStyle w:val="108"/>
              <w:spacing w:before="13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6</w:t>
            </w:r>
          </w:p>
        </w:tc>
        <w:tc>
          <w:tcPr>
            <w:tcW w:w="1167" w:type="dxa"/>
            <w:vMerge w:val="restart"/>
            <w:vAlign w:val="center"/>
          </w:tcPr>
          <w:p w14:paraId="5A34742A">
            <w:pPr>
              <w:pStyle w:val="108"/>
              <w:spacing w:after="0" w:line="240" w:lineRule="auto"/>
              <w:jc w:val="center"/>
              <w:rPr>
                <w:rFonts w:asciiTheme="majorEastAsia" w:hAnsiTheme="majorEastAsia" w:eastAsiaTheme="majorEastAsia" w:cstheme="majorEastAsia"/>
                <w:color w:val="auto"/>
                <w:sz w:val="21"/>
                <w:szCs w:val="21"/>
                <w:highlight w:val="none"/>
              </w:rPr>
            </w:pPr>
          </w:p>
          <w:p w14:paraId="30F38F08">
            <w:pPr>
              <w:pStyle w:val="108"/>
              <w:spacing w:after="0" w:line="240" w:lineRule="auto"/>
              <w:jc w:val="center"/>
              <w:rPr>
                <w:rFonts w:asciiTheme="majorEastAsia" w:hAnsiTheme="majorEastAsia" w:eastAsiaTheme="majorEastAsia" w:cstheme="majorEastAsia"/>
                <w:color w:val="auto"/>
                <w:sz w:val="21"/>
                <w:szCs w:val="21"/>
                <w:highlight w:val="none"/>
              </w:rPr>
            </w:pPr>
          </w:p>
          <w:p w14:paraId="61B354DC">
            <w:pPr>
              <w:pStyle w:val="108"/>
              <w:spacing w:before="4" w:after="0" w:line="240" w:lineRule="auto"/>
              <w:jc w:val="center"/>
              <w:rPr>
                <w:rFonts w:asciiTheme="majorEastAsia" w:hAnsiTheme="majorEastAsia" w:eastAsiaTheme="majorEastAsia" w:cstheme="majorEastAsia"/>
                <w:color w:val="auto"/>
                <w:sz w:val="21"/>
                <w:szCs w:val="21"/>
                <w:highlight w:val="none"/>
              </w:rPr>
            </w:pPr>
          </w:p>
          <w:p w14:paraId="358CEA17">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A020523</w:t>
            </w:r>
            <w:r>
              <w:rPr>
                <w:rFonts w:hint="eastAsia" w:asciiTheme="majorEastAsia" w:hAnsiTheme="majorEastAsia" w:eastAsiaTheme="majorEastAsia" w:cstheme="majorEastAsia"/>
                <w:color w:val="auto"/>
                <w:spacing w:val="-25"/>
                <w:sz w:val="21"/>
                <w:szCs w:val="21"/>
                <w:highlight w:val="none"/>
              </w:rPr>
              <w:t xml:space="preserve"> 制冷</w:t>
            </w:r>
          </w:p>
          <w:p w14:paraId="550107DE">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空调设备</w:t>
            </w:r>
          </w:p>
        </w:tc>
        <w:tc>
          <w:tcPr>
            <w:tcW w:w="1801" w:type="dxa"/>
            <w:vMerge w:val="restart"/>
            <w:vAlign w:val="center"/>
          </w:tcPr>
          <w:p w14:paraId="1058A7F4">
            <w:pPr>
              <w:pStyle w:val="108"/>
              <w:spacing w:after="0" w:line="240" w:lineRule="auto"/>
              <w:jc w:val="center"/>
              <w:rPr>
                <w:rFonts w:asciiTheme="majorEastAsia" w:hAnsiTheme="majorEastAsia" w:eastAsiaTheme="majorEastAsia" w:cstheme="majorEastAsia"/>
                <w:color w:val="auto"/>
                <w:sz w:val="21"/>
                <w:szCs w:val="21"/>
                <w:highlight w:val="none"/>
              </w:rPr>
            </w:pPr>
          </w:p>
          <w:p w14:paraId="0A83B3B2">
            <w:pPr>
              <w:pStyle w:val="108"/>
              <w:spacing w:after="0" w:line="240" w:lineRule="auto"/>
              <w:jc w:val="center"/>
              <w:rPr>
                <w:rFonts w:asciiTheme="majorEastAsia" w:hAnsiTheme="majorEastAsia" w:eastAsiaTheme="majorEastAsia" w:cstheme="majorEastAsia"/>
                <w:color w:val="auto"/>
                <w:sz w:val="21"/>
                <w:szCs w:val="21"/>
                <w:highlight w:val="none"/>
              </w:rPr>
            </w:pPr>
          </w:p>
          <w:p w14:paraId="5FA9B216">
            <w:pPr>
              <w:pStyle w:val="108"/>
              <w:spacing w:before="4" w:after="0" w:line="240" w:lineRule="auto"/>
              <w:jc w:val="center"/>
              <w:rPr>
                <w:rFonts w:asciiTheme="majorEastAsia" w:hAnsiTheme="majorEastAsia" w:eastAsiaTheme="majorEastAsia" w:cstheme="majorEastAsia"/>
                <w:color w:val="auto"/>
                <w:sz w:val="21"/>
                <w:szCs w:val="21"/>
                <w:highlight w:val="none"/>
              </w:rPr>
            </w:pPr>
          </w:p>
          <w:p w14:paraId="6549BF2A">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★A02052301</w:t>
            </w:r>
            <w:r>
              <w:rPr>
                <w:rFonts w:hint="eastAsia" w:asciiTheme="majorEastAsia" w:hAnsiTheme="majorEastAsia" w:eastAsiaTheme="majorEastAsia" w:cstheme="majorEastAsia"/>
                <w:color w:val="auto"/>
                <w:spacing w:val="-11"/>
                <w:sz w:val="21"/>
                <w:szCs w:val="21"/>
                <w:highlight w:val="none"/>
              </w:rPr>
              <w:t xml:space="preserve"> 制冷压</w:t>
            </w:r>
            <w:r>
              <w:rPr>
                <w:rFonts w:hint="eastAsia" w:asciiTheme="majorEastAsia" w:hAnsiTheme="majorEastAsia" w:eastAsiaTheme="majorEastAsia" w:cstheme="majorEastAsia"/>
                <w:color w:val="auto"/>
                <w:sz w:val="21"/>
                <w:szCs w:val="21"/>
                <w:highlight w:val="none"/>
              </w:rPr>
              <w:t>缩机</w:t>
            </w:r>
          </w:p>
        </w:tc>
        <w:tc>
          <w:tcPr>
            <w:tcW w:w="1630" w:type="dxa"/>
            <w:vAlign w:val="center"/>
          </w:tcPr>
          <w:p w14:paraId="364791A0">
            <w:pPr>
              <w:pStyle w:val="108"/>
              <w:spacing w:after="0" w:line="240" w:lineRule="auto"/>
              <w:jc w:val="center"/>
              <w:rPr>
                <w:rFonts w:asciiTheme="majorEastAsia" w:hAnsiTheme="majorEastAsia" w:eastAsiaTheme="majorEastAsia" w:cstheme="majorEastAsia"/>
                <w:color w:val="auto"/>
                <w:sz w:val="21"/>
                <w:szCs w:val="21"/>
                <w:highlight w:val="none"/>
              </w:rPr>
            </w:pPr>
          </w:p>
          <w:p w14:paraId="0F46F434">
            <w:pPr>
              <w:pStyle w:val="108"/>
              <w:spacing w:before="6" w:after="0" w:line="240" w:lineRule="auto"/>
              <w:jc w:val="center"/>
              <w:rPr>
                <w:rFonts w:asciiTheme="majorEastAsia" w:hAnsiTheme="majorEastAsia" w:eastAsiaTheme="majorEastAsia" w:cstheme="majorEastAsia"/>
                <w:color w:val="auto"/>
                <w:sz w:val="21"/>
                <w:szCs w:val="21"/>
                <w:highlight w:val="none"/>
              </w:rPr>
            </w:pPr>
          </w:p>
          <w:p w14:paraId="1BABE645">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冷水机组</w:t>
            </w:r>
          </w:p>
        </w:tc>
        <w:tc>
          <w:tcPr>
            <w:tcW w:w="3690" w:type="dxa"/>
            <w:vAlign w:val="center"/>
          </w:tcPr>
          <w:p w14:paraId="7504074C">
            <w:pPr>
              <w:pStyle w:val="108"/>
              <w:spacing w:before="10"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《冷水机组能效限定值及能效等</w:t>
            </w:r>
            <w:r>
              <w:rPr>
                <w:rFonts w:hint="eastAsia" w:asciiTheme="majorEastAsia" w:hAnsiTheme="majorEastAsia" w:eastAsiaTheme="majorEastAsia" w:cstheme="majorEastAsia"/>
                <w:color w:val="auto"/>
                <w:spacing w:val="-2"/>
                <w:sz w:val="21"/>
                <w:szCs w:val="21"/>
                <w:highlight w:val="none"/>
                <w:lang w:eastAsia="zh-CN"/>
              </w:rPr>
              <w:t>级》</w:t>
            </w:r>
            <w:r>
              <w:rPr>
                <w:rFonts w:hint="eastAsia" w:asciiTheme="majorEastAsia" w:hAnsiTheme="majorEastAsia" w:eastAsiaTheme="majorEastAsia" w:cstheme="majorEastAsia"/>
                <w:color w:val="auto"/>
                <w:sz w:val="21"/>
                <w:szCs w:val="21"/>
                <w:highlight w:val="none"/>
                <w:lang w:eastAsia="zh-CN"/>
              </w:rPr>
              <w:t>（GB</w:t>
            </w:r>
            <w:r>
              <w:rPr>
                <w:rFonts w:hint="eastAsia" w:asciiTheme="majorEastAsia" w:hAnsiTheme="majorEastAsia" w:eastAsiaTheme="majorEastAsia" w:cstheme="majorEastAsia"/>
                <w:color w:val="auto"/>
                <w:spacing w:val="-57"/>
                <w:sz w:val="21"/>
                <w:szCs w:val="21"/>
                <w:highlight w:val="none"/>
                <w:lang w:eastAsia="zh-CN"/>
              </w:rPr>
              <w:t xml:space="preserve"> </w:t>
            </w:r>
            <w:r>
              <w:rPr>
                <w:rFonts w:hint="eastAsia" w:asciiTheme="majorEastAsia" w:hAnsiTheme="majorEastAsia" w:eastAsiaTheme="majorEastAsia" w:cstheme="majorEastAsia"/>
                <w:color w:val="auto"/>
                <w:sz w:val="21"/>
                <w:szCs w:val="21"/>
                <w:highlight w:val="none"/>
                <w:lang w:eastAsia="zh-CN"/>
              </w:rPr>
              <w:t>19577），</w:t>
            </w:r>
            <w:r>
              <w:rPr>
                <w:rFonts w:hint="eastAsia" w:asciiTheme="majorEastAsia" w:hAnsiTheme="majorEastAsia" w:eastAsiaTheme="majorEastAsia" w:cstheme="majorEastAsia"/>
                <w:color w:val="auto"/>
                <w:spacing w:val="-2"/>
                <w:sz w:val="21"/>
                <w:szCs w:val="21"/>
                <w:highlight w:val="none"/>
                <w:lang w:eastAsia="zh-CN"/>
              </w:rPr>
              <w:t>《低环境温度</w:t>
            </w:r>
            <w:r>
              <w:rPr>
                <w:rFonts w:hint="eastAsia" w:asciiTheme="majorEastAsia" w:hAnsiTheme="majorEastAsia" w:eastAsiaTheme="majorEastAsia" w:cstheme="majorEastAsia"/>
                <w:color w:val="auto"/>
                <w:spacing w:val="-6"/>
                <w:sz w:val="21"/>
                <w:szCs w:val="21"/>
                <w:highlight w:val="none"/>
                <w:lang w:eastAsia="zh-CN"/>
              </w:rPr>
              <w:t>空气源热泵</w:t>
            </w:r>
            <w:r>
              <w:rPr>
                <w:rFonts w:hint="eastAsia" w:asciiTheme="majorEastAsia" w:hAnsiTheme="majorEastAsia" w:eastAsiaTheme="majorEastAsia" w:cstheme="majorEastAsia"/>
                <w:color w:val="auto"/>
                <w:sz w:val="21"/>
                <w:szCs w:val="21"/>
                <w:highlight w:val="none"/>
                <w:lang w:eastAsia="zh-CN"/>
              </w:rPr>
              <w:t>（冷水</w:t>
            </w:r>
            <w:r>
              <w:rPr>
                <w:rFonts w:hint="eastAsia" w:asciiTheme="majorEastAsia" w:hAnsiTheme="majorEastAsia" w:eastAsiaTheme="majorEastAsia" w:cstheme="majorEastAsia"/>
                <w:color w:val="auto"/>
                <w:spacing w:val="-27"/>
                <w:sz w:val="21"/>
                <w:szCs w:val="21"/>
                <w:highlight w:val="none"/>
                <w:lang w:eastAsia="zh-CN"/>
              </w:rPr>
              <w:t>）</w:t>
            </w:r>
            <w:r>
              <w:rPr>
                <w:rFonts w:hint="eastAsia" w:asciiTheme="majorEastAsia" w:hAnsiTheme="majorEastAsia" w:eastAsiaTheme="majorEastAsia" w:cstheme="majorEastAsia"/>
                <w:color w:val="auto"/>
                <w:spacing w:val="-3"/>
                <w:sz w:val="21"/>
                <w:szCs w:val="21"/>
                <w:highlight w:val="none"/>
                <w:lang w:eastAsia="zh-CN"/>
              </w:rPr>
              <w:t>机组能效限定</w:t>
            </w:r>
            <w:r>
              <w:rPr>
                <w:rFonts w:hint="eastAsia" w:asciiTheme="majorEastAsia" w:hAnsiTheme="majorEastAsia" w:eastAsiaTheme="majorEastAsia" w:cstheme="majorEastAsia"/>
                <w:color w:val="auto"/>
                <w:sz w:val="21"/>
                <w:szCs w:val="21"/>
                <w:highlight w:val="none"/>
                <w:lang w:eastAsia="zh-CN"/>
              </w:rPr>
              <w:t>值及能效等级》（GB 37480）</w:t>
            </w:r>
          </w:p>
        </w:tc>
      </w:tr>
      <w:tr w14:paraId="7FD8F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74" w:type="dxa"/>
            <w:vMerge w:val="continue"/>
            <w:vAlign w:val="center"/>
          </w:tcPr>
          <w:p w14:paraId="1B8633AE">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4E1F8AF5">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continue"/>
            <w:tcBorders>
              <w:top w:val="nil"/>
            </w:tcBorders>
            <w:vAlign w:val="center"/>
          </w:tcPr>
          <w:p w14:paraId="2328E44F">
            <w:pPr>
              <w:spacing w:after="0" w:line="240" w:lineRule="auto"/>
              <w:jc w:val="center"/>
              <w:rPr>
                <w:rFonts w:asciiTheme="majorEastAsia" w:hAnsiTheme="majorEastAsia" w:eastAsiaTheme="majorEastAsia" w:cstheme="majorEastAsia"/>
                <w:color w:val="auto"/>
                <w:szCs w:val="21"/>
                <w:highlight w:val="none"/>
              </w:rPr>
            </w:pPr>
          </w:p>
        </w:tc>
        <w:tc>
          <w:tcPr>
            <w:tcW w:w="1630" w:type="dxa"/>
            <w:vAlign w:val="center"/>
          </w:tcPr>
          <w:p w14:paraId="0C78F45C">
            <w:pPr>
              <w:pStyle w:val="108"/>
              <w:spacing w:before="10" w:after="0" w:line="240" w:lineRule="auto"/>
              <w:jc w:val="center"/>
              <w:rPr>
                <w:rFonts w:asciiTheme="majorEastAsia" w:hAnsiTheme="majorEastAsia" w:eastAsiaTheme="majorEastAsia" w:cstheme="majorEastAsia"/>
                <w:color w:val="auto"/>
                <w:sz w:val="21"/>
                <w:szCs w:val="21"/>
                <w:highlight w:val="none"/>
                <w:lang w:eastAsia="zh-CN"/>
              </w:rPr>
            </w:pPr>
          </w:p>
          <w:p w14:paraId="2218B377">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水源热泵机组</w:t>
            </w:r>
          </w:p>
        </w:tc>
        <w:tc>
          <w:tcPr>
            <w:tcW w:w="3690" w:type="dxa"/>
            <w:vAlign w:val="center"/>
          </w:tcPr>
          <w:p w14:paraId="24DE3DEE">
            <w:pPr>
              <w:pStyle w:val="108"/>
              <w:spacing w:before="8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15"/>
                <w:sz w:val="21"/>
                <w:szCs w:val="21"/>
                <w:highlight w:val="none"/>
                <w:lang w:eastAsia="zh-CN"/>
              </w:rPr>
              <w:t>《水</w:t>
            </w:r>
            <w:r>
              <w:rPr>
                <w:rFonts w:hint="eastAsia" w:asciiTheme="majorEastAsia" w:hAnsiTheme="majorEastAsia" w:eastAsiaTheme="majorEastAsia" w:cstheme="majorEastAsia"/>
                <w:color w:val="auto"/>
                <w:sz w:val="21"/>
                <w:szCs w:val="21"/>
                <w:highlight w:val="none"/>
                <w:lang w:eastAsia="zh-CN"/>
              </w:rPr>
              <w:t>（地</w:t>
            </w:r>
            <w:r>
              <w:rPr>
                <w:rFonts w:hint="eastAsia" w:asciiTheme="majorEastAsia" w:hAnsiTheme="majorEastAsia" w:eastAsiaTheme="majorEastAsia" w:cstheme="majorEastAsia"/>
                <w:color w:val="auto"/>
                <w:spacing w:val="-29"/>
                <w:sz w:val="21"/>
                <w:szCs w:val="21"/>
                <w:highlight w:val="none"/>
                <w:lang w:eastAsia="zh-CN"/>
              </w:rPr>
              <w:t>）</w:t>
            </w:r>
            <w:r>
              <w:rPr>
                <w:rFonts w:hint="eastAsia" w:asciiTheme="majorEastAsia" w:hAnsiTheme="majorEastAsia" w:eastAsiaTheme="majorEastAsia" w:cstheme="majorEastAsia"/>
                <w:color w:val="auto"/>
                <w:spacing w:val="-2"/>
                <w:sz w:val="21"/>
                <w:szCs w:val="21"/>
                <w:highlight w:val="none"/>
                <w:lang w:eastAsia="zh-CN"/>
              </w:rPr>
              <w:t>源热泵机组能效限定值</w:t>
            </w:r>
            <w:r>
              <w:rPr>
                <w:rFonts w:hint="eastAsia" w:asciiTheme="majorEastAsia" w:hAnsiTheme="majorEastAsia" w:eastAsiaTheme="majorEastAsia" w:cstheme="majorEastAsia"/>
                <w:color w:val="auto"/>
                <w:sz w:val="21"/>
                <w:szCs w:val="21"/>
                <w:highlight w:val="none"/>
                <w:lang w:eastAsia="zh-CN"/>
              </w:rPr>
              <w:t>及能效等级》（GB 30721）</w:t>
            </w:r>
          </w:p>
        </w:tc>
      </w:tr>
      <w:tr w14:paraId="4A92C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74" w:type="dxa"/>
            <w:vMerge w:val="continue"/>
            <w:vAlign w:val="center"/>
          </w:tcPr>
          <w:p w14:paraId="30EC8CB2">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tc>
        <w:tc>
          <w:tcPr>
            <w:tcW w:w="1167" w:type="dxa"/>
            <w:vMerge w:val="continue"/>
            <w:vAlign w:val="center"/>
          </w:tcPr>
          <w:p w14:paraId="4BE1A8E6">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tc>
        <w:tc>
          <w:tcPr>
            <w:tcW w:w="1801" w:type="dxa"/>
            <w:vAlign w:val="center"/>
          </w:tcPr>
          <w:p w14:paraId="210BF320">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tc>
        <w:tc>
          <w:tcPr>
            <w:tcW w:w="1630" w:type="dxa"/>
            <w:vAlign w:val="center"/>
          </w:tcPr>
          <w:p w14:paraId="7A1981B1">
            <w:pPr>
              <w:pStyle w:val="108"/>
              <w:spacing w:before="126"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溴化锂吸收式冷水机组</w:t>
            </w:r>
          </w:p>
        </w:tc>
        <w:tc>
          <w:tcPr>
            <w:tcW w:w="3690" w:type="dxa"/>
            <w:vAlign w:val="center"/>
          </w:tcPr>
          <w:p w14:paraId="45022210">
            <w:pPr>
              <w:pStyle w:val="108"/>
              <w:spacing w:before="126"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《溴化锂吸收式冷水机组能效限定值及能效等级》（GB 29540）</w:t>
            </w:r>
          </w:p>
        </w:tc>
      </w:tr>
      <w:tr w14:paraId="06D2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vAlign w:val="center"/>
          </w:tcPr>
          <w:p w14:paraId="7AAB3B96">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26C8790C">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restart"/>
            <w:vAlign w:val="center"/>
          </w:tcPr>
          <w:p w14:paraId="256CF668">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00B077D7">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6655DACA">
            <w:pPr>
              <w:pStyle w:val="108"/>
              <w:spacing w:before="1" w:after="0" w:line="240" w:lineRule="auto"/>
              <w:jc w:val="center"/>
              <w:rPr>
                <w:rFonts w:asciiTheme="majorEastAsia" w:hAnsiTheme="majorEastAsia" w:eastAsiaTheme="majorEastAsia" w:cstheme="majorEastAsia"/>
                <w:color w:val="auto"/>
                <w:sz w:val="21"/>
                <w:szCs w:val="21"/>
                <w:highlight w:val="none"/>
                <w:lang w:eastAsia="zh-CN"/>
              </w:rPr>
            </w:pPr>
          </w:p>
          <w:p w14:paraId="5CFACA1C">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★A02052305</w:t>
            </w:r>
            <w:r>
              <w:rPr>
                <w:rFonts w:hint="eastAsia" w:asciiTheme="majorEastAsia" w:hAnsiTheme="majorEastAsia" w:eastAsiaTheme="majorEastAsia" w:cstheme="majorEastAsia"/>
                <w:color w:val="auto"/>
                <w:spacing w:val="-11"/>
                <w:sz w:val="21"/>
                <w:szCs w:val="21"/>
                <w:highlight w:val="none"/>
              </w:rPr>
              <w:t xml:space="preserve"> 空调机</w:t>
            </w:r>
            <w:r>
              <w:rPr>
                <w:rFonts w:hint="eastAsia" w:asciiTheme="majorEastAsia" w:hAnsiTheme="majorEastAsia" w:eastAsiaTheme="majorEastAsia" w:cstheme="majorEastAsia"/>
                <w:color w:val="auto"/>
                <w:sz w:val="21"/>
                <w:szCs w:val="21"/>
                <w:highlight w:val="none"/>
              </w:rPr>
              <w:t>组</w:t>
            </w:r>
          </w:p>
        </w:tc>
        <w:tc>
          <w:tcPr>
            <w:tcW w:w="1630" w:type="dxa"/>
            <w:vAlign w:val="center"/>
          </w:tcPr>
          <w:p w14:paraId="391E16B8">
            <w:pPr>
              <w:pStyle w:val="108"/>
              <w:spacing w:before="3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w w:val="95"/>
                <w:sz w:val="21"/>
                <w:szCs w:val="21"/>
                <w:highlight w:val="none"/>
                <w:lang w:eastAsia="zh-CN"/>
              </w:rPr>
              <w:t>多联式空调（热泵）</w:t>
            </w:r>
          </w:p>
          <w:p w14:paraId="48A0E5E7">
            <w:pPr>
              <w:pStyle w:val="108"/>
              <w:tabs>
                <w:tab w:val="left" w:pos="456"/>
                <w:tab w:val="left" w:pos="902"/>
                <w:tab w:val="left" w:pos="1250"/>
                <w:tab w:val="left" w:pos="1699"/>
              </w:tabs>
              <w:spacing w:before="2"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机</w:t>
            </w:r>
            <w:r>
              <w:rPr>
                <w:rFonts w:hint="eastAsia" w:asciiTheme="majorEastAsia" w:hAnsiTheme="majorEastAsia" w:eastAsiaTheme="majorEastAsia" w:cstheme="majorEastAsia"/>
                <w:color w:val="auto"/>
                <w:sz w:val="21"/>
                <w:szCs w:val="21"/>
                <w:highlight w:val="none"/>
                <w:lang w:eastAsia="zh-CN"/>
              </w:rPr>
              <w:tab/>
            </w:r>
            <w:r>
              <w:rPr>
                <w:rFonts w:hint="eastAsia" w:asciiTheme="majorEastAsia" w:hAnsiTheme="majorEastAsia" w:eastAsiaTheme="majorEastAsia" w:cstheme="majorEastAsia"/>
                <w:color w:val="auto"/>
                <w:sz w:val="21"/>
                <w:szCs w:val="21"/>
                <w:highlight w:val="none"/>
                <w:lang w:eastAsia="zh-CN"/>
              </w:rPr>
              <w:t>组</w:t>
            </w:r>
            <w:r>
              <w:rPr>
                <w:rFonts w:hint="eastAsia" w:asciiTheme="majorEastAsia" w:hAnsiTheme="majorEastAsia" w:eastAsiaTheme="majorEastAsia" w:cstheme="majorEastAsia"/>
                <w:color w:val="auto"/>
                <w:sz w:val="21"/>
                <w:szCs w:val="21"/>
                <w:highlight w:val="none"/>
                <w:lang w:eastAsia="zh-CN"/>
              </w:rPr>
              <w:tab/>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eastAsia="zh-CN"/>
              </w:rPr>
              <w:tab/>
            </w:r>
            <w:r>
              <w:rPr>
                <w:rFonts w:hint="eastAsia" w:asciiTheme="majorEastAsia" w:hAnsiTheme="majorEastAsia" w:eastAsiaTheme="majorEastAsia" w:cstheme="majorEastAsia"/>
                <w:color w:val="auto"/>
                <w:sz w:val="21"/>
                <w:szCs w:val="21"/>
                <w:highlight w:val="none"/>
                <w:lang w:eastAsia="zh-CN"/>
              </w:rPr>
              <w:t>制</w:t>
            </w:r>
            <w:r>
              <w:rPr>
                <w:rFonts w:hint="eastAsia" w:asciiTheme="majorEastAsia" w:hAnsiTheme="majorEastAsia" w:eastAsiaTheme="majorEastAsia" w:cstheme="majorEastAsia"/>
                <w:color w:val="auto"/>
                <w:sz w:val="21"/>
                <w:szCs w:val="21"/>
                <w:highlight w:val="none"/>
                <w:lang w:eastAsia="zh-CN"/>
              </w:rPr>
              <w:tab/>
            </w:r>
            <w:r>
              <w:rPr>
                <w:rFonts w:hint="eastAsia" w:asciiTheme="majorEastAsia" w:hAnsiTheme="majorEastAsia" w:eastAsiaTheme="majorEastAsia" w:cstheme="majorEastAsia"/>
                <w:color w:val="auto"/>
                <w:spacing w:val="-18"/>
                <w:sz w:val="21"/>
                <w:szCs w:val="21"/>
                <w:highlight w:val="none"/>
                <w:lang w:eastAsia="zh-CN"/>
              </w:rPr>
              <w:t>冷</w:t>
            </w:r>
            <w:r>
              <w:rPr>
                <w:rFonts w:hint="eastAsia" w:asciiTheme="majorEastAsia" w:hAnsiTheme="majorEastAsia" w:eastAsiaTheme="majorEastAsia" w:cstheme="majorEastAsia"/>
                <w:color w:val="auto"/>
                <w:sz w:val="21"/>
                <w:szCs w:val="21"/>
                <w:highlight w:val="none"/>
                <w:lang w:eastAsia="zh-CN"/>
              </w:rPr>
              <w:t>量&gt;14000W)</w:t>
            </w:r>
          </w:p>
        </w:tc>
        <w:tc>
          <w:tcPr>
            <w:tcW w:w="3690" w:type="dxa"/>
            <w:vAlign w:val="center"/>
          </w:tcPr>
          <w:p w14:paraId="021C2448">
            <w:pPr>
              <w:pStyle w:val="108"/>
              <w:spacing w:before="1" w:after="0" w:line="240" w:lineRule="auto"/>
              <w:jc w:val="center"/>
              <w:rPr>
                <w:rFonts w:asciiTheme="majorEastAsia" w:hAnsiTheme="majorEastAsia" w:eastAsiaTheme="majorEastAsia" w:cstheme="majorEastAsia"/>
                <w:color w:val="auto"/>
                <w:sz w:val="21"/>
                <w:szCs w:val="21"/>
                <w:highlight w:val="none"/>
                <w:lang w:eastAsia="zh-CN"/>
              </w:rPr>
            </w:pPr>
          </w:p>
          <w:p w14:paraId="04A569DB">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5"/>
                <w:sz w:val="21"/>
                <w:szCs w:val="21"/>
                <w:highlight w:val="none"/>
                <w:lang w:eastAsia="zh-CN"/>
              </w:rPr>
              <w:t>《多联式空调</w:t>
            </w:r>
            <w:r>
              <w:rPr>
                <w:rFonts w:hint="eastAsia" w:asciiTheme="majorEastAsia" w:hAnsiTheme="majorEastAsia" w:eastAsiaTheme="majorEastAsia" w:cstheme="majorEastAsia"/>
                <w:color w:val="auto"/>
                <w:sz w:val="21"/>
                <w:szCs w:val="21"/>
                <w:highlight w:val="none"/>
                <w:lang w:eastAsia="zh-CN"/>
              </w:rPr>
              <w:t>（热泵</w:t>
            </w:r>
            <w:r>
              <w:rPr>
                <w:rFonts w:hint="eastAsia" w:asciiTheme="majorEastAsia" w:hAnsiTheme="majorEastAsia" w:eastAsiaTheme="majorEastAsia" w:cstheme="majorEastAsia"/>
                <w:color w:val="auto"/>
                <w:spacing w:val="-29"/>
                <w:sz w:val="21"/>
                <w:szCs w:val="21"/>
                <w:highlight w:val="none"/>
                <w:lang w:eastAsia="zh-CN"/>
              </w:rPr>
              <w:t>）</w:t>
            </w:r>
            <w:r>
              <w:rPr>
                <w:rFonts w:hint="eastAsia" w:asciiTheme="majorEastAsia" w:hAnsiTheme="majorEastAsia" w:eastAsiaTheme="majorEastAsia" w:cstheme="majorEastAsia"/>
                <w:color w:val="auto"/>
                <w:spacing w:val="-3"/>
                <w:sz w:val="21"/>
                <w:szCs w:val="21"/>
                <w:highlight w:val="none"/>
                <w:lang w:eastAsia="zh-CN"/>
              </w:rPr>
              <w:t>机组能效限</w:t>
            </w:r>
            <w:r>
              <w:rPr>
                <w:rFonts w:hint="eastAsia" w:asciiTheme="majorEastAsia" w:hAnsiTheme="majorEastAsia" w:eastAsiaTheme="majorEastAsia" w:cstheme="majorEastAsia"/>
                <w:color w:val="auto"/>
                <w:spacing w:val="-11"/>
                <w:sz w:val="21"/>
                <w:szCs w:val="21"/>
                <w:highlight w:val="none"/>
                <w:lang w:eastAsia="zh-CN"/>
              </w:rPr>
              <w:t>定值及能源效率等级》</w:t>
            </w:r>
            <w:r>
              <w:rPr>
                <w:rFonts w:hint="eastAsia" w:asciiTheme="majorEastAsia" w:hAnsiTheme="majorEastAsia" w:eastAsiaTheme="majorEastAsia" w:cstheme="majorEastAsia"/>
                <w:color w:val="auto"/>
                <w:sz w:val="21"/>
                <w:szCs w:val="21"/>
                <w:highlight w:val="none"/>
                <w:lang w:eastAsia="zh-CN"/>
              </w:rPr>
              <w:t>（GB 21454</w:t>
            </w:r>
          </w:p>
        </w:tc>
      </w:tr>
      <w:tr w14:paraId="46A37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574" w:type="dxa"/>
            <w:vMerge w:val="continue"/>
            <w:vAlign w:val="center"/>
          </w:tcPr>
          <w:p w14:paraId="08C1B852">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4ED94071">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continue"/>
            <w:tcBorders>
              <w:top w:val="nil"/>
            </w:tcBorders>
            <w:vAlign w:val="center"/>
          </w:tcPr>
          <w:p w14:paraId="6E9B3E6E">
            <w:pPr>
              <w:spacing w:after="0" w:line="240" w:lineRule="auto"/>
              <w:jc w:val="center"/>
              <w:rPr>
                <w:rFonts w:asciiTheme="majorEastAsia" w:hAnsiTheme="majorEastAsia" w:eastAsiaTheme="majorEastAsia" w:cstheme="majorEastAsia"/>
                <w:color w:val="auto"/>
                <w:szCs w:val="21"/>
                <w:highlight w:val="none"/>
              </w:rPr>
            </w:pPr>
          </w:p>
        </w:tc>
        <w:tc>
          <w:tcPr>
            <w:tcW w:w="1630" w:type="dxa"/>
            <w:vAlign w:val="center"/>
          </w:tcPr>
          <w:p w14:paraId="4A6ABC79">
            <w:pPr>
              <w:pStyle w:val="108"/>
              <w:spacing w:before="8" w:after="0" w:line="240" w:lineRule="auto"/>
              <w:jc w:val="center"/>
              <w:rPr>
                <w:rFonts w:asciiTheme="majorEastAsia" w:hAnsiTheme="majorEastAsia" w:eastAsiaTheme="majorEastAsia" w:cstheme="majorEastAsia"/>
                <w:color w:val="auto"/>
                <w:sz w:val="21"/>
                <w:szCs w:val="21"/>
                <w:highlight w:val="none"/>
                <w:lang w:eastAsia="zh-CN"/>
              </w:rPr>
            </w:pPr>
          </w:p>
          <w:p w14:paraId="1BC21FF7">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单元式空气调节机(制冷量&gt;14000W)</w:t>
            </w:r>
          </w:p>
        </w:tc>
        <w:tc>
          <w:tcPr>
            <w:tcW w:w="3690" w:type="dxa"/>
            <w:vAlign w:val="center"/>
          </w:tcPr>
          <w:p w14:paraId="1088C989">
            <w:pPr>
              <w:pStyle w:val="108"/>
              <w:spacing w:before="42"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《单元式空气调节机能效限定值</w:t>
            </w:r>
            <w:r>
              <w:rPr>
                <w:rFonts w:hint="eastAsia" w:asciiTheme="majorEastAsia" w:hAnsiTheme="majorEastAsia" w:eastAsiaTheme="majorEastAsia" w:cstheme="majorEastAsia"/>
                <w:color w:val="auto"/>
                <w:spacing w:val="-1"/>
                <w:sz w:val="21"/>
                <w:szCs w:val="21"/>
                <w:highlight w:val="none"/>
                <w:lang w:eastAsia="zh-CN"/>
              </w:rPr>
              <w:t>及能效等级》</w:t>
            </w:r>
            <w:r>
              <w:rPr>
                <w:rFonts w:hint="eastAsia" w:asciiTheme="majorEastAsia" w:hAnsiTheme="majorEastAsia" w:eastAsiaTheme="majorEastAsia" w:cstheme="majorEastAsia"/>
                <w:color w:val="auto"/>
                <w:sz w:val="21"/>
                <w:szCs w:val="21"/>
                <w:highlight w:val="none"/>
                <w:lang w:eastAsia="zh-CN"/>
              </w:rPr>
              <w:t>（GB</w:t>
            </w:r>
            <w:r>
              <w:rPr>
                <w:rFonts w:hint="eastAsia" w:asciiTheme="majorEastAsia" w:hAnsiTheme="majorEastAsia" w:eastAsiaTheme="majorEastAsia" w:cstheme="majorEastAsia"/>
                <w:color w:val="auto"/>
                <w:spacing w:val="-57"/>
                <w:sz w:val="21"/>
                <w:szCs w:val="21"/>
                <w:highlight w:val="none"/>
                <w:lang w:eastAsia="zh-CN"/>
              </w:rPr>
              <w:t xml:space="preserve"> </w:t>
            </w:r>
            <w:r>
              <w:rPr>
                <w:rFonts w:hint="eastAsia" w:asciiTheme="majorEastAsia" w:hAnsiTheme="majorEastAsia" w:eastAsiaTheme="majorEastAsia" w:cstheme="majorEastAsia"/>
                <w:color w:val="auto"/>
                <w:sz w:val="21"/>
                <w:szCs w:val="21"/>
                <w:highlight w:val="none"/>
                <w:lang w:eastAsia="zh-CN"/>
              </w:rPr>
              <w:t>19576）</w:t>
            </w:r>
            <w:r>
              <w:rPr>
                <w:rFonts w:hint="eastAsia" w:asciiTheme="majorEastAsia" w:hAnsiTheme="majorEastAsia" w:eastAsiaTheme="majorEastAsia" w:cstheme="majorEastAsia"/>
                <w:color w:val="auto"/>
                <w:spacing w:val="-4"/>
                <w:sz w:val="21"/>
                <w:szCs w:val="21"/>
                <w:highlight w:val="none"/>
                <w:lang w:eastAsia="zh-CN"/>
              </w:rPr>
              <w:t>《风管</w:t>
            </w:r>
            <w:r>
              <w:rPr>
                <w:rFonts w:hint="eastAsia" w:asciiTheme="majorEastAsia" w:hAnsiTheme="majorEastAsia" w:eastAsiaTheme="majorEastAsia" w:cstheme="majorEastAsia"/>
                <w:color w:val="auto"/>
                <w:spacing w:val="9"/>
                <w:sz w:val="21"/>
                <w:szCs w:val="21"/>
                <w:highlight w:val="none"/>
                <w:lang w:eastAsia="zh-CN"/>
              </w:rPr>
              <w:t>送风式空调机组能效限定值及能</w:t>
            </w:r>
          </w:p>
          <w:p w14:paraId="4A7E0034">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效等级》（GB 37479）</w:t>
            </w:r>
          </w:p>
        </w:tc>
      </w:tr>
      <w:tr w14:paraId="5C43E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74" w:type="dxa"/>
            <w:vMerge w:val="continue"/>
            <w:vAlign w:val="center"/>
          </w:tcPr>
          <w:p w14:paraId="5A552E6A">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0A9AB710">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6E0B8F4D">
            <w:pPr>
              <w:pStyle w:val="108"/>
              <w:spacing w:before="116"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★A02052309</w:t>
            </w:r>
            <w:r>
              <w:rPr>
                <w:rFonts w:hint="eastAsia" w:asciiTheme="majorEastAsia" w:hAnsiTheme="majorEastAsia" w:eastAsiaTheme="majorEastAsia" w:cstheme="majorEastAsia"/>
                <w:color w:val="auto"/>
                <w:spacing w:val="-11"/>
                <w:sz w:val="21"/>
                <w:szCs w:val="21"/>
                <w:highlight w:val="none"/>
                <w:lang w:eastAsia="zh-CN"/>
              </w:rPr>
              <w:t xml:space="preserve"> 专用制</w:t>
            </w:r>
            <w:r>
              <w:rPr>
                <w:rFonts w:hint="eastAsia" w:asciiTheme="majorEastAsia" w:hAnsiTheme="majorEastAsia" w:eastAsiaTheme="majorEastAsia" w:cstheme="majorEastAsia"/>
                <w:color w:val="auto"/>
                <w:sz w:val="21"/>
                <w:szCs w:val="21"/>
                <w:highlight w:val="none"/>
                <w:lang w:eastAsia="zh-CN"/>
              </w:rPr>
              <w:t>冷、空调设备</w:t>
            </w:r>
          </w:p>
        </w:tc>
        <w:tc>
          <w:tcPr>
            <w:tcW w:w="1630" w:type="dxa"/>
            <w:vAlign w:val="center"/>
          </w:tcPr>
          <w:p w14:paraId="4E89EFF0">
            <w:pPr>
              <w:pStyle w:val="108"/>
              <w:spacing w:before="1" w:after="0" w:line="240" w:lineRule="auto"/>
              <w:jc w:val="center"/>
              <w:rPr>
                <w:rFonts w:asciiTheme="majorEastAsia" w:hAnsiTheme="majorEastAsia" w:eastAsiaTheme="majorEastAsia" w:cstheme="majorEastAsia"/>
                <w:color w:val="auto"/>
                <w:sz w:val="21"/>
                <w:szCs w:val="21"/>
                <w:highlight w:val="none"/>
                <w:lang w:eastAsia="zh-CN"/>
              </w:rPr>
            </w:pPr>
          </w:p>
          <w:p w14:paraId="659EC72D">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机房空调</w:t>
            </w:r>
          </w:p>
        </w:tc>
        <w:tc>
          <w:tcPr>
            <w:tcW w:w="3690" w:type="dxa"/>
            <w:vAlign w:val="center"/>
          </w:tcPr>
          <w:p w14:paraId="6E324B0C">
            <w:pPr>
              <w:pStyle w:val="108"/>
              <w:spacing w:before="116"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《单元式空气调节机能效限定值及能效等级》（GB 19576）</w:t>
            </w:r>
          </w:p>
        </w:tc>
      </w:tr>
      <w:tr w14:paraId="1FADD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574" w:type="dxa"/>
            <w:vMerge w:val="continue"/>
            <w:vAlign w:val="center"/>
          </w:tcPr>
          <w:p w14:paraId="45A79629">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4448471E">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7E4020A7">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A02052399</w:t>
            </w:r>
            <w:r>
              <w:rPr>
                <w:rFonts w:hint="eastAsia" w:asciiTheme="majorEastAsia" w:hAnsiTheme="majorEastAsia" w:eastAsiaTheme="majorEastAsia" w:cstheme="majorEastAsia"/>
                <w:color w:val="auto"/>
                <w:spacing w:val="-9"/>
                <w:sz w:val="21"/>
                <w:szCs w:val="21"/>
                <w:highlight w:val="none"/>
              </w:rPr>
              <w:t xml:space="preserve"> 其他制冷</w:t>
            </w:r>
            <w:r>
              <w:rPr>
                <w:rFonts w:hint="eastAsia" w:asciiTheme="majorEastAsia" w:hAnsiTheme="majorEastAsia" w:eastAsiaTheme="majorEastAsia" w:cstheme="majorEastAsia"/>
                <w:color w:val="auto"/>
                <w:sz w:val="21"/>
                <w:szCs w:val="21"/>
                <w:highlight w:val="none"/>
              </w:rPr>
              <w:t>空调设备</w:t>
            </w:r>
          </w:p>
        </w:tc>
        <w:tc>
          <w:tcPr>
            <w:tcW w:w="1630" w:type="dxa"/>
            <w:vAlign w:val="center"/>
          </w:tcPr>
          <w:p w14:paraId="76E5A072">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冷却塔</w:t>
            </w:r>
          </w:p>
        </w:tc>
        <w:tc>
          <w:tcPr>
            <w:tcW w:w="3690" w:type="dxa"/>
            <w:vAlign w:val="center"/>
          </w:tcPr>
          <w:p w14:paraId="26D1CC23">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4"/>
                <w:sz w:val="21"/>
                <w:szCs w:val="21"/>
                <w:highlight w:val="none"/>
                <w:lang w:eastAsia="zh-CN"/>
              </w:rPr>
              <w:t xml:space="preserve">《机械通风冷却塔 第 </w:t>
            </w:r>
            <w:r>
              <w:rPr>
                <w:rFonts w:hint="eastAsia" w:asciiTheme="majorEastAsia" w:hAnsiTheme="majorEastAsia" w:eastAsiaTheme="majorEastAsia" w:cstheme="majorEastAsia"/>
                <w:color w:val="auto"/>
                <w:sz w:val="21"/>
                <w:szCs w:val="21"/>
                <w:highlight w:val="none"/>
                <w:lang w:eastAsia="zh-CN"/>
              </w:rPr>
              <w:t>1</w:t>
            </w:r>
            <w:r>
              <w:rPr>
                <w:rFonts w:hint="eastAsia" w:asciiTheme="majorEastAsia" w:hAnsiTheme="majorEastAsia" w:eastAsiaTheme="majorEastAsia" w:cstheme="majorEastAsia"/>
                <w:color w:val="auto"/>
                <w:spacing w:val="-10"/>
                <w:sz w:val="21"/>
                <w:szCs w:val="21"/>
                <w:highlight w:val="none"/>
                <w:lang w:eastAsia="zh-CN"/>
              </w:rPr>
              <w:t xml:space="preserve"> 部分：中</w:t>
            </w:r>
            <w:r>
              <w:rPr>
                <w:rFonts w:hint="eastAsia" w:asciiTheme="majorEastAsia" w:hAnsiTheme="majorEastAsia" w:eastAsiaTheme="majorEastAsia" w:cstheme="majorEastAsia"/>
                <w:color w:val="auto"/>
                <w:w w:val="99"/>
                <w:sz w:val="21"/>
                <w:szCs w:val="21"/>
                <w:highlight w:val="none"/>
                <w:lang w:eastAsia="zh-CN"/>
              </w:rPr>
              <w:t>小型开式冷却塔</w:t>
            </w:r>
            <w:r>
              <w:rPr>
                <w:rFonts w:hint="eastAsia" w:asciiTheme="majorEastAsia" w:hAnsiTheme="majorEastAsia" w:eastAsiaTheme="majorEastAsia" w:cstheme="majorEastAsia"/>
                <w:color w:val="auto"/>
                <w:spacing w:val="-171"/>
                <w:w w:val="99"/>
                <w:sz w:val="21"/>
                <w:szCs w:val="21"/>
                <w:highlight w:val="none"/>
                <w:lang w:eastAsia="zh-CN"/>
              </w:rPr>
              <w:t>》</w:t>
            </w:r>
            <w:r>
              <w:rPr>
                <w:rFonts w:hint="eastAsia" w:asciiTheme="majorEastAsia" w:hAnsiTheme="majorEastAsia" w:eastAsiaTheme="majorEastAsia" w:cstheme="majorEastAsia"/>
                <w:color w:val="auto"/>
                <w:spacing w:val="-1"/>
                <w:w w:val="99"/>
                <w:sz w:val="21"/>
                <w:szCs w:val="21"/>
                <w:highlight w:val="none"/>
                <w:lang w:eastAsia="zh-CN"/>
              </w:rPr>
              <w:t>（</w:t>
            </w:r>
            <w:r>
              <w:rPr>
                <w:rFonts w:hint="eastAsia" w:asciiTheme="majorEastAsia" w:hAnsiTheme="majorEastAsia" w:eastAsiaTheme="majorEastAsia" w:cstheme="majorEastAsia"/>
                <w:color w:val="auto"/>
                <w:spacing w:val="1"/>
                <w:w w:val="99"/>
                <w:sz w:val="21"/>
                <w:szCs w:val="21"/>
                <w:highlight w:val="none"/>
                <w:lang w:eastAsia="zh-CN"/>
              </w:rPr>
              <w:t>G</w:t>
            </w:r>
            <w:r>
              <w:rPr>
                <w:rFonts w:hint="eastAsia" w:asciiTheme="majorEastAsia" w:hAnsiTheme="majorEastAsia" w:eastAsiaTheme="majorEastAsia" w:cstheme="majorEastAsia"/>
                <w:color w:val="auto"/>
                <w:w w:val="99"/>
                <w:sz w:val="21"/>
                <w:szCs w:val="21"/>
                <w:highlight w:val="none"/>
                <w:lang w:eastAsia="zh-CN"/>
              </w:rPr>
              <w:t>B</w:t>
            </w:r>
            <w:r>
              <w:rPr>
                <w:rFonts w:hint="eastAsia" w:asciiTheme="majorEastAsia" w:hAnsiTheme="majorEastAsia" w:eastAsiaTheme="majorEastAsia" w:cstheme="majorEastAsia"/>
                <w:color w:val="auto"/>
                <w:sz w:val="21"/>
                <w:szCs w:val="21"/>
                <w:highlight w:val="none"/>
                <w:lang w:eastAsia="zh-CN"/>
              </w:rPr>
              <w:t xml:space="preserve"> </w:t>
            </w:r>
            <w:r>
              <w:rPr>
                <w:rFonts w:hint="eastAsia" w:asciiTheme="majorEastAsia" w:hAnsiTheme="majorEastAsia" w:eastAsiaTheme="majorEastAsia" w:cstheme="majorEastAsia"/>
                <w:color w:val="auto"/>
                <w:spacing w:val="1"/>
                <w:w w:val="99"/>
                <w:sz w:val="21"/>
                <w:szCs w:val="21"/>
                <w:highlight w:val="none"/>
                <w:lang w:eastAsia="zh-CN"/>
              </w:rPr>
              <w:t>/</w:t>
            </w:r>
            <w:r>
              <w:rPr>
                <w:rFonts w:hint="eastAsia" w:asciiTheme="majorEastAsia" w:hAnsiTheme="majorEastAsia" w:eastAsiaTheme="majorEastAsia" w:cstheme="majorEastAsia"/>
                <w:color w:val="auto"/>
                <w:w w:val="99"/>
                <w:sz w:val="21"/>
                <w:szCs w:val="21"/>
                <w:highlight w:val="none"/>
                <w:lang w:eastAsia="zh-CN"/>
              </w:rPr>
              <w:t>T</w:t>
            </w:r>
            <w:r>
              <w:rPr>
                <w:rFonts w:hint="eastAsia" w:asciiTheme="majorEastAsia" w:hAnsiTheme="majorEastAsia" w:eastAsiaTheme="majorEastAsia" w:cstheme="majorEastAsia"/>
                <w:color w:val="auto"/>
                <w:sz w:val="21"/>
                <w:szCs w:val="21"/>
                <w:highlight w:val="none"/>
                <w:lang w:eastAsia="zh-CN"/>
              </w:rPr>
              <w:t xml:space="preserve"> </w:t>
            </w:r>
            <w:r>
              <w:rPr>
                <w:rFonts w:hint="eastAsia" w:asciiTheme="majorEastAsia" w:hAnsiTheme="majorEastAsia" w:eastAsiaTheme="majorEastAsia" w:cstheme="majorEastAsia"/>
                <w:color w:val="auto"/>
                <w:w w:val="99"/>
                <w:sz w:val="21"/>
                <w:szCs w:val="21"/>
                <w:highlight w:val="none"/>
                <w:lang w:eastAsia="zh-CN"/>
              </w:rPr>
              <w:t>7190</w:t>
            </w:r>
            <w:r>
              <w:rPr>
                <w:rFonts w:hint="eastAsia" w:asciiTheme="majorEastAsia" w:hAnsiTheme="majorEastAsia" w:eastAsiaTheme="majorEastAsia" w:cstheme="majorEastAsia"/>
                <w:color w:val="auto"/>
                <w:spacing w:val="1"/>
                <w:w w:val="99"/>
                <w:sz w:val="21"/>
                <w:szCs w:val="21"/>
                <w:highlight w:val="none"/>
                <w:lang w:eastAsia="zh-CN"/>
              </w:rPr>
              <w:t>.1</w:t>
            </w:r>
            <w:r>
              <w:rPr>
                <w:rFonts w:hint="eastAsia" w:asciiTheme="majorEastAsia" w:hAnsiTheme="majorEastAsia" w:eastAsiaTheme="majorEastAsia" w:cstheme="majorEastAsia"/>
                <w:color w:val="auto"/>
                <w:spacing w:val="-87"/>
                <w:w w:val="99"/>
                <w:sz w:val="21"/>
                <w:szCs w:val="21"/>
                <w:highlight w:val="none"/>
                <w:lang w:eastAsia="zh-CN"/>
              </w:rPr>
              <w:t>）</w:t>
            </w:r>
          </w:p>
          <w:p w14:paraId="5EB4EBF7">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4"/>
                <w:sz w:val="21"/>
                <w:szCs w:val="21"/>
                <w:highlight w:val="none"/>
                <w:lang w:eastAsia="zh-CN"/>
              </w:rPr>
              <w:t xml:space="preserve">《机械通风冷却塔 第 </w:t>
            </w:r>
            <w:r>
              <w:rPr>
                <w:rFonts w:hint="eastAsia" w:asciiTheme="majorEastAsia" w:hAnsiTheme="majorEastAsia" w:eastAsiaTheme="majorEastAsia" w:cstheme="majorEastAsia"/>
                <w:color w:val="auto"/>
                <w:sz w:val="21"/>
                <w:szCs w:val="21"/>
                <w:highlight w:val="none"/>
                <w:lang w:eastAsia="zh-CN"/>
              </w:rPr>
              <w:t>2</w:t>
            </w:r>
            <w:r>
              <w:rPr>
                <w:rFonts w:hint="eastAsia" w:asciiTheme="majorEastAsia" w:hAnsiTheme="majorEastAsia" w:eastAsiaTheme="majorEastAsia" w:cstheme="majorEastAsia"/>
                <w:color w:val="auto"/>
                <w:spacing w:val="-10"/>
                <w:sz w:val="21"/>
                <w:szCs w:val="21"/>
                <w:highlight w:val="none"/>
                <w:lang w:eastAsia="zh-CN"/>
              </w:rPr>
              <w:t xml:space="preserve"> 部分：大</w:t>
            </w:r>
            <w:r>
              <w:rPr>
                <w:rFonts w:hint="eastAsia" w:asciiTheme="majorEastAsia" w:hAnsiTheme="majorEastAsia" w:eastAsiaTheme="majorEastAsia" w:cstheme="majorEastAsia"/>
                <w:color w:val="auto"/>
                <w:sz w:val="21"/>
                <w:szCs w:val="21"/>
                <w:highlight w:val="none"/>
                <w:lang w:eastAsia="zh-CN"/>
              </w:rPr>
              <w:t>型开式冷却塔》（GB /T 7190.2</w:t>
            </w:r>
          </w:p>
        </w:tc>
      </w:tr>
      <w:tr w14:paraId="6044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Align w:val="center"/>
          </w:tcPr>
          <w:p w14:paraId="69797A01">
            <w:pPr>
              <w:pStyle w:val="108"/>
              <w:spacing w:before="10" w:after="0" w:line="240" w:lineRule="auto"/>
              <w:jc w:val="center"/>
              <w:rPr>
                <w:rFonts w:asciiTheme="majorEastAsia" w:hAnsiTheme="majorEastAsia" w:eastAsiaTheme="majorEastAsia" w:cstheme="majorEastAsia"/>
                <w:color w:val="auto"/>
                <w:sz w:val="21"/>
                <w:szCs w:val="21"/>
                <w:highlight w:val="none"/>
                <w:lang w:eastAsia="zh-CN"/>
              </w:rPr>
            </w:pPr>
          </w:p>
          <w:p w14:paraId="76BB75FA">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7</w:t>
            </w:r>
          </w:p>
        </w:tc>
        <w:tc>
          <w:tcPr>
            <w:tcW w:w="1167" w:type="dxa"/>
            <w:vAlign w:val="center"/>
          </w:tcPr>
          <w:p w14:paraId="4CF72161">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A020601 电机</w:t>
            </w:r>
          </w:p>
        </w:tc>
        <w:tc>
          <w:tcPr>
            <w:tcW w:w="1801" w:type="dxa"/>
            <w:vAlign w:val="center"/>
          </w:tcPr>
          <w:p w14:paraId="10DE94FC">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630" w:type="dxa"/>
            <w:vAlign w:val="center"/>
          </w:tcPr>
          <w:p w14:paraId="7FCFC1E7">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08EEA3A6">
            <w:pPr>
              <w:pStyle w:val="108"/>
              <w:spacing w:before="8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《中小型三相异步电动机能效限定值及能效等级》（GB 18613）</w:t>
            </w:r>
          </w:p>
        </w:tc>
      </w:tr>
      <w:tr w14:paraId="73CE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574" w:type="dxa"/>
            <w:vAlign w:val="center"/>
          </w:tcPr>
          <w:p w14:paraId="6EE03F23">
            <w:pPr>
              <w:pStyle w:val="108"/>
              <w:spacing w:before="1" w:after="0" w:line="240" w:lineRule="auto"/>
              <w:jc w:val="center"/>
              <w:rPr>
                <w:rFonts w:asciiTheme="majorEastAsia" w:hAnsiTheme="majorEastAsia" w:eastAsiaTheme="majorEastAsia" w:cstheme="majorEastAsia"/>
                <w:color w:val="auto"/>
                <w:sz w:val="21"/>
                <w:szCs w:val="21"/>
                <w:highlight w:val="none"/>
                <w:lang w:eastAsia="zh-CN"/>
              </w:rPr>
            </w:pPr>
          </w:p>
          <w:p w14:paraId="7393969B">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8</w:t>
            </w:r>
          </w:p>
        </w:tc>
        <w:tc>
          <w:tcPr>
            <w:tcW w:w="1167" w:type="dxa"/>
            <w:vAlign w:val="center"/>
          </w:tcPr>
          <w:p w14:paraId="3B00DF19">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A020602 变压器</w:t>
            </w:r>
          </w:p>
        </w:tc>
        <w:tc>
          <w:tcPr>
            <w:tcW w:w="1801" w:type="dxa"/>
            <w:vAlign w:val="center"/>
          </w:tcPr>
          <w:p w14:paraId="4CEAD93A">
            <w:pPr>
              <w:pStyle w:val="108"/>
              <w:spacing w:before="1" w:after="0" w:line="240" w:lineRule="auto"/>
              <w:jc w:val="center"/>
              <w:rPr>
                <w:rFonts w:asciiTheme="majorEastAsia" w:hAnsiTheme="majorEastAsia" w:eastAsiaTheme="majorEastAsia" w:cstheme="majorEastAsia"/>
                <w:color w:val="auto"/>
                <w:sz w:val="21"/>
                <w:szCs w:val="21"/>
                <w:highlight w:val="none"/>
              </w:rPr>
            </w:pPr>
          </w:p>
          <w:p w14:paraId="720B863B">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配电变压器</w:t>
            </w:r>
          </w:p>
        </w:tc>
        <w:tc>
          <w:tcPr>
            <w:tcW w:w="1630" w:type="dxa"/>
            <w:vAlign w:val="center"/>
          </w:tcPr>
          <w:p w14:paraId="4EBD1F94">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3D819E4C">
            <w:pPr>
              <w:pStyle w:val="108"/>
              <w:spacing w:before="10"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《三相配电变压器能效限定值及能效等级》（GB 20052）</w:t>
            </w:r>
          </w:p>
        </w:tc>
      </w:tr>
      <w:tr w14:paraId="41016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74" w:type="dxa"/>
            <w:vAlign w:val="center"/>
          </w:tcPr>
          <w:p w14:paraId="31ED08C3">
            <w:pPr>
              <w:pStyle w:val="108"/>
              <w:spacing w:before="8" w:after="0" w:line="240" w:lineRule="auto"/>
              <w:jc w:val="center"/>
              <w:rPr>
                <w:rFonts w:asciiTheme="majorEastAsia" w:hAnsiTheme="majorEastAsia" w:eastAsiaTheme="majorEastAsia" w:cstheme="majorEastAsia"/>
                <w:color w:val="auto"/>
                <w:sz w:val="21"/>
                <w:szCs w:val="21"/>
                <w:highlight w:val="none"/>
                <w:lang w:eastAsia="zh-CN"/>
              </w:rPr>
            </w:pPr>
          </w:p>
          <w:p w14:paraId="5469B239">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w w:val="99"/>
                <w:sz w:val="21"/>
                <w:szCs w:val="21"/>
                <w:highlight w:val="none"/>
              </w:rPr>
              <w:t>9</w:t>
            </w:r>
          </w:p>
        </w:tc>
        <w:tc>
          <w:tcPr>
            <w:tcW w:w="1167" w:type="dxa"/>
            <w:vAlign w:val="center"/>
          </w:tcPr>
          <w:p w14:paraId="245358FB">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★A020609 镇流器</w:t>
            </w:r>
          </w:p>
        </w:tc>
        <w:tc>
          <w:tcPr>
            <w:tcW w:w="1801" w:type="dxa"/>
            <w:vAlign w:val="center"/>
          </w:tcPr>
          <w:p w14:paraId="302875DA">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管型荧光灯镇流器</w:t>
            </w:r>
          </w:p>
        </w:tc>
        <w:tc>
          <w:tcPr>
            <w:tcW w:w="1630" w:type="dxa"/>
            <w:vAlign w:val="center"/>
          </w:tcPr>
          <w:p w14:paraId="0C93CF93">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4626659C">
            <w:pPr>
              <w:pStyle w:val="108"/>
              <w:spacing w:before="160"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《管形荧光灯镇流器能效限定值及能效等级》（GB 17896）</w:t>
            </w:r>
          </w:p>
        </w:tc>
      </w:tr>
      <w:tr w14:paraId="3AC0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74" w:type="dxa"/>
            <w:vMerge w:val="restart"/>
            <w:vAlign w:val="center"/>
          </w:tcPr>
          <w:p w14:paraId="56195EE7">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29EDFD84">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69B57C5C">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2C59D6C1">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66B6C1B7">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769D6EBC">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4484C746">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1330E556">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7C99BA94">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36849F83">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46C23EF1">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r>
              <w:rPr>
                <w:rFonts w:hint="eastAsia" w:asciiTheme="majorEastAsia" w:hAnsiTheme="majorEastAsia" w:eastAsiaTheme="majorEastAsia" w:cstheme="majorEastAsia"/>
                <w:color w:val="auto"/>
                <w:spacing w:val="-10"/>
                <w:sz w:val="21"/>
                <w:szCs w:val="21"/>
                <w:highlight w:val="none"/>
              </w:rPr>
              <w:t>10</w:t>
            </w:r>
          </w:p>
        </w:tc>
        <w:tc>
          <w:tcPr>
            <w:tcW w:w="1167" w:type="dxa"/>
            <w:vMerge w:val="restart"/>
            <w:vAlign w:val="center"/>
          </w:tcPr>
          <w:p w14:paraId="120D3E01">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1489998E">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6B8F9109">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43019715">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4B0461A7">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2C0E55FF">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415D90BD">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2ABEB2A0">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5D6562B7">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p w14:paraId="2C757054">
            <w:pPr>
              <w:pStyle w:val="108"/>
              <w:spacing w:before="56" w:after="0" w:line="240" w:lineRule="auto"/>
              <w:jc w:val="center"/>
              <w:rPr>
                <w:rFonts w:asciiTheme="majorEastAsia" w:hAnsiTheme="majorEastAsia" w:eastAsiaTheme="majorEastAsia" w:cstheme="majorEastAsia"/>
                <w:color w:val="auto"/>
                <w:spacing w:val="-10"/>
                <w:sz w:val="21"/>
                <w:szCs w:val="21"/>
                <w:highlight w:val="none"/>
              </w:rPr>
            </w:pPr>
            <w:r>
              <w:rPr>
                <w:rFonts w:hint="eastAsia" w:asciiTheme="majorEastAsia" w:hAnsiTheme="majorEastAsia" w:eastAsiaTheme="majorEastAsia" w:cstheme="majorEastAsia"/>
                <w:color w:val="auto"/>
                <w:sz w:val="21"/>
                <w:szCs w:val="21"/>
                <w:highlight w:val="none"/>
              </w:rPr>
              <w:t>A020618 生活用电器</w:t>
            </w:r>
          </w:p>
        </w:tc>
        <w:tc>
          <w:tcPr>
            <w:tcW w:w="1801" w:type="dxa"/>
            <w:vAlign w:val="center"/>
          </w:tcPr>
          <w:p w14:paraId="25A6E0A6">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A0206180101 电冰箱</w:t>
            </w:r>
          </w:p>
        </w:tc>
        <w:tc>
          <w:tcPr>
            <w:tcW w:w="1630" w:type="dxa"/>
            <w:vAlign w:val="center"/>
          </w:tcPr>
          <w:p w14:paraId="65841632">
            <w:pPr>
              <w:pStyle w:val="108"/>
              <w:spacing w:before="37" w:after="0" w:line="240" w:lineRule="auto"/>
              <w:jc w:val="center"/>
              <w:rPr>
                <w:rFonts w:asciiTheme="majorEastAsia" w:hAnsiTheme="majorEastAsia" w:eastAsiaTheme="majorEastAsia" w:cstheme="majorEastAsia"/>
                <w:color w:val="auto"/>
                <w:spacing w:val="-10"/>
                <w:sz w:val="21"/>
                <w:szCs w:val="21"/>
                <w:highlight w:val="none"/>
              </w:rPr>
            </w:pPr>
          </w:p>
        </w:tc>
        <w:tc>
          <w:tcPr>
            <w:tcW w:w="3690" w:type="dxa"/>
            <w:vAlign w:val="center"/>
          </w:tcPr>
          <w:p w14:paraId="34ADCBFB">
            <w:pPr>
              <w:pStyle w:val="108"/>
              <w:tabs>
                <w:tab w:val="left" w:pos="1410"/>
              </w:tabs>
              <w:spacing w:before="8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12"/>
                <w:sz w:val="21"/>
                <w:szCs w:val="21"/>
                <w:highlight w:val="none"/>
                <w:lang w:eastAsia="zh-CN"/>
              </w:rPr>
              <w:t>《家用电冰箱耗电量限</w:t>
            </w:r>
            <w:r>
              <w:rPr>
                <w:rFonts w:hint="eastAsia" w:asciiTheme="majorEastAsia" w:hAnsiTheme="majorEastAsia" w:eastAsiaTheme="majorEastAsia" w:cstheme="majorEastAsia"/>
                <w:color w:val="auto"/>
                <w:spacing w:val="9"/>
                <w:sz w:val="21"/>
                <w:szCs w:val="21"/>
                <w:highlight w:val="none"/>
                <w:lang w:eastAsia="zh-CN"/>
              </w:rPr>
              <w:t>定</w:t>
            </w:r>
            <w:r>
              <w:rPr>
                <w:rFonts w:hint="eastAsia" w:asciiTheme="majorEastAsia" w:hAnsiTheme="majorEastAsia" w:eastAsiaTheme="majorEastAsia" w:cstheme="majorEastAsia"/>
                <w:color w:val="auto"/>
                <w:spacing w:val="12"/>
                <w:sz w:val="21"/>
                <w:szCs w:val="21"/>
                <w:highlight w:val="none"/>
                <w:lang w:eastAsia="zh-CN"/>
              </w:rPr>
              <w:t>值及</w:t>
            </w:r>
            <w:r>
              <w:rPr>
                <w:rFonts w:hint="eastAsia" w:asciiTheme="majorEastAsia" w:hAnsiTheme="majorEastAsia" w:eastAsiaTheme="majorEastAsia" w:cstheme="majorEastAsia"/>
                <w:color w:val="auto"/>
                <w:spacing w:val="-17"/>
                <w:sz w:val="21"/>
                <w:szCs w:val="21"/>
                <w:highlight w:val="none"/>
                <w:lang w:eastAsia="zh-CN"/>
              </w:rPr>
              <w:t>能</w:t>
            </w:r>
            <w:r>
              <w:rPr>
                <w:rFonts w:hint="eastAsia" w:asciiTheme="majorEastAsia" w:hAnsiTheme="majorEastAsia" w:eastAsiaTheme="majorEastAsia" w:cstheme="majorEastAsia"/>
                <w:color w:val="auto"/>
                <w:sz w:val="21"/>
                <w:szCs w:val="21"/>
                <w:highlight w:val="none"/>
                <w:lang w:eastAsia="zh-CN"/>
              </w:rPr>
              <w:t>效等级》（GB</w:t>
            </w:r>
            <w:r>
              <w:rPr>
                <w:rFonts w:hint="eastAsia" w:asciiTheme="majorEastAsia" w:hAnsiTheme="majorEastAsia" w:eastAsiaTheme="majorEastAsia" w:cstheme="majorEastAsia"/>
                <w:color w:val="auto"/>
                <w:sz w:val="21"/>
                <w:szCs w:val="21"/>
                <w:highlight w:val="none"/>
                <w:lang w:eastAsia="zh-CN"/>
              </w:rPr>
              <w:tab/>
            </w:r>
            <w:r>
              <w:rPr>
                <w:rFonts w:hint="eastAsia" w:asciiTheme="majorEastAsia" w:hAnsiTheme="majorEastAsia" w:eastAsiaTheme="majorEastAsia" w:cstheme="majorEastAsia"/>
                <w:color w:val="auto"/>
                <w:sz w:val="21"/>
                <w:szCs w:val="21"/>
                <w:highlight w:val="none"/>
                <w:lang w:eastAsia="zh-CN"/>
              </w:rPr>
              <w:t>12021.2）</w:t>
            </w:r>
          </w:p>
        </w:tc>
      </w:tr>
      <w:tr w14:paraId="14FE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574" w:type="dxa"/>
            <w:vMerge w:val="continue"/>
            <w:vAlign w:val="center"/>
          </w:tcPr>
          <w:p w14:paraId="240F41EE">
            <w:pPr>
              <w:spacing w:after="0" w:line="240" w:lineRule="auto"/>
              <w:jc w:val="center"/>
              <w:rPr>
                <w:rFonts w:asciiTheme="majorEastAsia" w:hAnsiTheme="majorEastAsia" w:eastAsiaTheme="majorEastAsia" w:cstheme="majorEastAsia"/>
                <w:color w:val="auto"/>
                <w:spacing w:val="-10"/>
                <w:kern w:val="0"/>
                <w:szCs w:val="21"/>
                <w:highlight w:val="none"/>
              </w:rPr>
            </w:pPr>
          </w:p>
        </w:tc>
        <w:tc>
          <w:tcPr>
            <w:tcW w:w="1167" w:type="dxa"/>
            <w:vMerge w:val="continue"/>
            <w:vAlign w:val="center"/>
          </w:tcPr>
          <w:p w14:paraId="2186F3E2">
            <w:pPr>
              <w:spacing w:after="0" w:line="240" w:lineRule="auto"/>
              <w:jc w:val="center"/>
              <w:rPr>
                <w:rFonts w:asciiTheme="majorEastAsia" w:hAnsiTheme="majorEastAsia" w:eastAsiaTheme="majorEastAsia" w:cstheme="majorEastAsia"/>
                <w:color w:val="auto"/>
                <w:spacing w:val="-10"/>
                <w:kern w:val="0"/>
                <w:szCs w:val="21"/>
                <w:highlight w:val="none"/>
              </w:rPr>
            </w:pPr>
          </w:p>
        </w:tc>
        <w:tc>
          <w:tcPr>
            <w:tcW w:w="1801" w:type="dxa"/>
            <w:vMerge w:val="restart"/>
            <w:vAlign w:val="center"/>
          </w:tcPr>
          <w:p w14:paraId="48BD61DE">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p>
          <w:p w14:paraId="5942FEAA">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p>
          <w:p w14:paraId="79639871">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p>
          <w:p w14:paraId="471FEE3B">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p>
          <w:p w14:paraId="0F67470F">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p>
          <w:p w14:paraId="46C63959">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p>
          <w:p w14:paraId="12289C48">
            <w:pPr>
              <w:pStyle w:val="108"/>
              <w:spacing w:before="56" w:after="0" w:line="240" w:lineRule="auto"/>
              <w:jc w:val="center"/>
              <w:rPr>
                <w:rFonts w:asciiTheme="majorEastAsia" w:hAnsiTheme="majorEastAsia" w:eastAsiaTheme="majorEastAsia" w:cstheme="majorEastAsia"/>
                <w:color w:val="auto"/>
                <w:sz w:val="21"/>
                <w:szCs w:val="21"/>
                <w:highlight w:val="none"/>
                <w:lang w:eastAsia="zh-CN"/>
              </w:rPr>
            </w:pPr>
          </w:p>
          <w:p w14:paraId="2BCA640D">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★A0206180203 空调机</w:t>
            </w:r>
          </w:p>
        </w:tc>
        <w:tc>
          <w:tcPr>
            <w:tcW w:w="1630" w:type="dxa"/>
            <w:vAlign w:val="center"/>
          </w:tcPr>
          <w:p w14:paraId="0FE1DC8B">
            <w:pPr>
              <w:pStyle w:val="108"/>
              <w:spacing w:after="0" w:line="240" w:lineRule="auto"/>
              <w:jc w:val="center"/>
              <w:rPr>
                <w:rFonts w:asciiTheme="majorEastAsia" w:hAnsiTheme="majorEastAsia" w:eastAsiaTheme="majorEastAsia" w:cstheme="majorEastAsia"/>
                <w:color w:val="auto"/>
                <w:spacing w:val="-10"/>
                <w:sz w:val="21"/>
                <w:szCs w:val="21"/>
                <w:highlight w:val="none"/>
              </w:rPr>
            </w:pPr>
            <w:r>
              <w:rPr>
                <w:rFonts w:hint="eastAsia" w:asciiTheme="majorEastAsia" w:hAnsiTheme="majorEastAsia" w:eastAsiaTheme="majorEastAsia" w:cstheme="majorEastAsia"/>
                <w:color w:val="auto"/>
                <w:spacing w:val="-10"/>
                <w:sz w:val="21"/>
                <w:szCs w:val="21"/>
                <w:highlight w:val="none"/>
              </w:rPr>
              <w:t>房间空气调节器</w:t>
            </w:r>
          </w:p>
        </w:tc>
        <w:tc>
          <w:tcPr>
            <w:tcW w:w="3690" w:type="dxa"/>
            <w:vAlign w:val="center"/>
          </w:tcPr>
          <w:p w14:paraId="68B6329A">
            <w:pPr>
              <w:pStyle w:val="108"/>
              <w:spacing w:before="3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《转速可控型房间空气调节器能</w:t>
            </w:r>
            <w:r>
              <w:rPr>
                <w:rFonts w:hint="eastAsia" w:asciiTheme="majorEastAsia" w:hAnsiTheme="majorEastAsia" w:eastAsiaTheme="majorEastAsia" w:cstheme="majorEastAsia"/>
                <w:color w:val="auto"/>
                <w:spacing w:val="-27"/>
                <w:sz w:val="21"/>
                <w:szCs w:val="21"/>
                <w:highlight w:val="none"/>
                <w:lang w:eastAsia="zh-CN"/>
              </w:rPr>
              <w:t xml:space="preserve">效 限 定 值 及 能 效 等 级》 </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pacing w:val="-51"/>
                <w:sz w:val="21"/>
                <w:szCs w:val="21"/>
                <w:highlight w:val="none"/>
                <w:lang w:eastAsia="zh-CN"/>
              </w:rPr>
              <w:t xml:space="preserve"> </w:t>
            </w:r>
            <w:r>
              <w:rPr>
                <w:rFonts w:hint="eastAsia" w:asciiTheme="majorEastAsia" w:hAnsiTheme="majorEastAsia" w:eastAsiaTheme="majorEastAsia" w:cstheme="majorEastAsia"/>
                <w:color w:val="auto"/>
                <w:spacing w:val="-7"/>
                <w:sz w:val="21"/>
                <w:szCs w:val="21"/>
                <w:highlight w:val="none"/>
                <w:lang w:eastAsia="zh-CN"/>
              </w:rPr>
              <w:t xml:space="preserve">GB </w:t>
            </w:r>
            <w:r>
              <w:rPr>
                <w:rFonts w:hint="eastAsia" w:asciiTheme="majorEastAsia" w:hAnsiTheme="majorEastAsia" w:eastAsiaTheme="majorEastAsia" w:cstheme="majorEastAsia"/>
                <w:color w:val="auto"/>
                <w:sz w:val="21"/>
                <w:szCs w:val="21"/>
                <w:highlight w:val="none"/>
                <w:lang w:eastAsia="zh-CN"/>
              </w:rPr>
              <w:t>21455-2013），</w:t>
            </w:r>
            <w:r>
              <w:rPr>
                <w:rFonts w:hint="eastAsia" w:asciiTheme="majorEastAsia" w:hAnsiTheme="majorEastAsia" w:eastAsiaTheme="majorEastAsia" w:cstheme="majorEastAsia"/>
                <w:color w:val="auto"/>
                <w:spacing w:val="-16"/>
                <w:sz w:val="21"/>
                <w:szCs w:val="21"/>
                <w:highlight w:val="none"/>
                <w:lang w:eastAsia="zh-CN"/>
              </w:rPr>
              <w:t xml:space="preserve">待 </w:t>
            </w:r>
            <w:r>
              <w:rPr>
                <w:rFonts w:hint="eastAsia" w:asciiTheme="majorEastAsia" w:hAnsiTheme="majorEastAsia" w:eastAsiaTheme="majorEastAsia" w:cstheme="majorEastAsia"/>
                <w:color w:val="auto"/>
                <w:sz w:val="21"/>
                <w:szCs w:val="21"/>
                <w:highlight w:val="none"/>
                <w:lang w:eastAsia="zh-CN"/>
              </w:rPr>
              <w:t>2019</w:t>
            </w:r>
            <w:r>
              <w:rPr>
                <w:rFonts w:hint="eastAsia" w:asciiTheme="majorEastAsia" w:hAnsiTheme="majorEastAsia" w:eastAsiaTheme="majorEastAsia" w:cstheme="majorEastAsia"/>
                <w:color w:val="auto"/>
                <w:spacing w:val="-10"/>
                <w:sz w:val="21"/>
                <w:szCs w:val="21"/>
                <w:highlight w:val="none"/>
                <w:lang w:eastAsia="zh-CN"/>
              </w:rPr>
              <w:t xml:space="preserve"> 年修订发</w:t>
            </w:r>
            <w:r>
              <w:rPr>
                <w:rFonts w:hint="eastAsia" w:asciiTheme="majorEastAsia" w:hAnsiTheme="majorEastAsia" w:eastAsiaTheme="majorEastAsia" w:cstheme="majorEastAsia"/>
                <w:color w:val="auto"/>
                <w:spacing w:val="-9"/>
                <w:sz w:val="21"/>
                <w:szCs w:val="21"/>
                <w:highlight w:val="none"/>
                <w:lang w:eastAsia="zh-CN"/>
              </w:rPr>
              <w:t>布后，按《房间空气调节器能效限</w:t>
            </w:r>
            <w:r>
              <w:rPr>
                <w:rFonts w:hint="eastAsia" w:asciiTheme="majorEastAsia" w:hAnsiTheme="majorEastAsia" w:eastAsiaTheme="majorEastAsia" w:cstheme="majorEastAsia"/>
                <w:color w:val="auto"/>
                <w:sz w:val="21"/>
                <w:szCs w:val="21"/>
                <w:highlight w:val="none"/>
                <w:lang w:eastAsia="zh-CN"/>
              </w:rPr>
              <w:t>定值及能效等级</w:t>
            </w:r>
            <w:r>
              <w:rPr>
                <w:rFonts w:hint="eastAsia" w:asciiTheme="majorEastAsia" w:hAnsiTheme="majorEastAsia" w:eastAsiaTheme="majorEastAsia" w:cstheme="majorEastAsia"/>
                <w:color w:val="auto"/>
                <w:spacing w:val="-156"/>
                <w:sz w:val="21"/>
                <w:szCs w:val="21"/>
                <w:highlight w:val="none"/>
                <w:lang w:eastAsia="zh-CN"/>
              </w:rPr>
              <w:t>》</w:t>
            </w:r>
            <w:r>
              <w:rPr>
                <w:rFonts w:hint="eastAsia" w:asciiTheme="majorEastAsia" w:hAnsiTheme="majorEastAsia" w:eastAsiaTheme="majorEastAsia" w:cstheme="majorEastAsia"/>
                <w:color w:val="auto"/>
                <w:sz w:val="21"/>
                <w:szCs w:val="21"/>
                <w:highlight w:val="none"/>
                <w:lang w:eastAsia="zh-CN"/>
              </w:rPr>
              <w:t>（GB21455-2019</w:t>
            </w:r>
          </w:p>
          <w:p w14:paraId="5285FBBC">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实施。</w:t>
            </w:r>
          </w:p>
        </w:tc>
      </w:tr>
      <w:tr w14:paraId="362F2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vAlign w:val="center"/>
          </w:tcPr>
          <w:p w14:paraId="0C60878C">
            <w:pPr>
              <w:spacing w:after="0" w:line="240" w:lineRule="auto"/>
              <w:jc w:val="center"/>
              <w:rPr>
                <w:rFonts w:asciiTheme="majorEastAsia" w:hAnsiTheme="majorEastAsia" w:eastAsiaTheme="majorEastAsia" w:cstheme="majorEastAsia"/>
                <w:color w:val="auto"/>
                <w:spacing w:val="-10"/>
                <w:kern w:val="0"/>
                <w:szCs w:val="21"/>
                <w:highlight w:val="none"/>
                <w:lang w:eastAsia="en-US"/>
              </w:rPr>
            </w:pPr>
          </w:p>
        </w:tc>
        <w:tc>
          <w:tcPr>
            <w:tcW w:w="1167" w:type="dxa"/>
            <w:vMerge w:val="continue"/>
            <w:vAlign w:val="center"/>
          </w:tcPr>
          <w:p w14:paraId="11698943">
            <w:pPr>
              <w:spacing w:after="0" w:line="240" w:lineRule="auto"/>
              <w:jc w:val="center"/>
              <w:rPr>
                <w:rFonts w:asciiTheme="majorEastAsia" w:hAnsiTheme="majorEastAsia" w:eastAsiaTheme="majorEastAsia" w:cstheme="majorEastAsia"/>
                <w:color w:val="auto"/>
                <w:spacing w:val="-10"/>
                <w:kern w:val="0"/>
                <w:szCs w:val="21"/>
                <w:highlight w:val="none"/>
                <w:lang w:eastAsia="en-US"/>
              </w:rPr>
            </w:pPr>
          </w:p>
        </w:tc>
        <w:tc>
          <w:tcPr>
            <w:tcW w:w="1801" w:type="dxa"/>
            <w:vMerge w:val="continue"/>
            <w:tcBorders>
              <w:top w:val="nil"/>
            </w:tcBorders>
            <w:vAlign w:val="center"/>
          </w:tcPr>
          <w:p w14:paraId="3036D9B4">
            <w:pPr>
              <w:spacing w:after="0" w:line="240" w:lineRule="auto"/>
              <w:jc w:val="center"/>
              <w:rPr>
                <w:rFonts w:asciiTheme="majorEastAsia" w:hAnsiTheme="majorEastAsia" w:eastAsiaTheme="majorEastAsia" w:cstheme="majorEastAsia"/>
                <w:color w:val="auto"/>
                <w:spacing w:val="-10"/>
                <w:kern w:val="0"/>
                <w:szCs w:val="21"/>
                <w:highlight w:val="none"/>
                <w:lang w:eastAsia="en-US"/>
              </w:rPr>
            </w:pPr>
          </w:p>
        </w:tc>
        <w:tc>
          <w:tcPr>
            <w:tcW w:w="1630" w:type="dxa"/>
            <w:vAlign w:val="center"/>
          </w:tcPr>
          <w:p w14:paraId="626F986A">
            <w:pPr>
              <w:pStyle w:val="108"/>
              <w:spacing w:before="37" w:after="0" w:line="240" w:lineRule="auto"/>
              <w:jc w:val="center"/>
              <w:rPr>
                <w:rFonts w:asciiTheme="majorEastAsia" w:hAnsiTheme="majorEastAsia" w:eastAsiaTheme="majorEastAsia" w:cstheme="majorEastAsia"/>
                <w:color w:val="auto"/>
                <w:spacing w:val="-10"/>
                <w:sz w:val="21"/>
                <w:szCs w:val="21"/>
                <w:highlight w:val="none"/>
                <w:lang w:eastAsia="zh-CN"/>
              </w:rPr>
            </w:pPr>
            <w:r>
              <w:rPr>
                <w:rFonts w:hint="eastAsia" w:asciiTheme="majorEastAsia" w:hAnsiTheme="majorEastAsia" w:eastAsiaTheme="majorEastAsia" w:cstheme="majorEastAsia"/>
                <w:color w:val="auto"/>
                <w:spacing w:val="-10"/>
                <w:sz w:val="21"/>
                <w:szCs w:val="21"/>
                <w:highlight w:val="none"/>
                <w:lang w:eastAsia="zh-CN"/>
              </w:rPr>
              <w:t>多联式空调（热泵）</w:t>
            </w:r>
          </w:p>
          <w:p w14:paraId="1317FAEF">
            <w:pPr>
              <w:pStyle w:val="108"/>
              <w:spacing w:before="2" w:after="0" w:line="240" w:lineRule="auto"/>
              <w:jc w:val="center"/>
              <w:rPr>
                <w:rFonts w:asciiTheme="majorEastAsia" w:hAnsiTheme="majorEastAsia" w:eastAsiaTheme="majorEastAsia" w:cstheme="majorEastAsia"/>
                <w:color w:val="auto"/>
                <w:spacing w:val="-10"/>
                <w:sz w:val="21"/>
                <w:szCs w:val="21"/>
                <w:highlight w:val="none"/>
                <w:lang w:eastAsia="zh-CN"/>
              </w:rPr>
            </w:pPr>
            <w:r>
              <w:rPr>
                <w:rFonts w:hint="eastAsia" w:asciiTheme="majorEastAsia" w:hAnsiTheme="majorEastAsia" w:eastAsiaTheme="majorEastAsia" w:cstheme="majorEastAsia"/>
                <w:color w:val="auto"/>
                <w:spacing w:val="-10"/>
                <w:sz w:val="21"/>
                <w:szCs w:val="21"/>
                <w:highlight w:val="none"/>
                <w:lang w:eastAsia="zh-CN"/>
              </w:rPr>
              <w:t>机 组 （ 制 冷 量 ≤ 14000W）</w:t>
            </w:r>
          </w:p>
        </w:tc>
        <w:tc>
          <w:tcPr>
            <w:tcW w:w="3690" w:type="dxa"/>
            <w:vAlign w:val="center"/>
          </w:tcPr>
          <w:p w14:paraId="382A99B7">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5"/>
                <w:sz w:val="21"/>
                <w:szCs w:val="21"/>
                <w:highlight w:val="none"/>
                <w:lang w:eastAsia="zh-CN"/>
              </w:rPr>
              <w:t>《多联式空调</w:t>
            </w:r>
            <w:r>
              <w:rPr>
                <w:rFonts w:hint="eastAsia" w:asciiTheme="majorEastAsia" w:hAnsiTheme="majorEastAsia" w:eastAsiaTheme="majorEastAsia" w:cstheme="majorEastAsia"/>
                <w:color w:val="auto"/>
                <w:sz w:val="21"/>
                <w:szCs w:val="21"/>
                <w:highlight w:val="none"/>
                <w:lang w:eastAsia="zh-CN"/>
              </w:rPr>
              <w:t>（热泵</w:t>
            </w:r>
            <w:r>
              <w:rPr>
                <w:rFonts w:hint="eastAsia" w:asciiTheme="majorEastAsia" w:hAnsiTheme="majorEastAsia" w:eastAsiaTheme="majorEastAsia" w:cstheme="majorEastAsia"/>
                <w:color w:val="auto"/>
                <w:spacing w:val="-29"/>
                <w:sz w:val="21"/>
                <w:szCs w:val="21"/>
                <w:highlight w:val="none"/>
                <w:lang w:eastAsia="zh-CN"/>
              </w:rPr>
              <w:t>）</w:t>
            </w:r>
            <w:r>
              <w:rPr>
                <w:rFonts w:hint="eastAsia" w:asciiTheme="majorEastAsia" w:hAnsiTheme="majorEastAsia" w:eastAsiaTheme="majorEastAsia" w:cstheme="majorEastAsia"/>
                <w:color w:val="auto"/>
                <w:spacing w:val="-3"/>
                <w:sz w:val="21"/>
                <w:szCs w:val="21"/>
                <w:highlight w:val="none"/>
                <w:lang w:eastAsia="zh-CN"/>
              </w:rPr>
              <w:t>机组能效限</w:t>
            </w:r>
            <w:r>
              <w:rPr>
                <w:rFonts w:hint="eastAsia" w:asciiTheme="majorEastAsia" w:hAnsiTheme="majorEastAsia" w:eastAsiaTheme="majorEastAsia" w:cstheme="majorEastAsia"/>
                <w:color w:val="auto"/>
                <w:spacing w:val="-11"/>
                <w:sz w:val="21"/>
                <w:szCs w:val="21"/>
                <w:highlight w:val="none"/>
                <w:lang w:eastAsia="zh-CN"/>
              </w:rPr>
              <w:t>定值及能源效率等级》</w:t>
            </w:r>
            <w:r>
              <w:rPr>
                <w:rFonts w:hint="eastAsia" w:asciiTheme="majorEastAsia" w:hAnsiTheme="majorEastAsia" w:eastAsiaTheme="majorEastAsia" w:cstheme="majorEastAsia"/>
                <w:color w:val="auto"/>
                <w:sz w:val="21"/>
                <w:szCs w:val="21"/>
                <w:highlight w:val="none"/>
                <w:lang w:eastAsia="zh-CN"/>
              </w:rPr>
              <w:t>（GB 21454</w:t>
            </w:r>
          </w:p>
        </w:tc>
      </w:tr>
      <w:tr w14:paraId="705B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574" w:type="dxa"/>
            <w:vMerge w:val="continue"/>
            <w:vAlign w:val="center"/>
          </w:tcPr>
          <w:p w14:paraId="09CF0913">
            <w:pPr>
              <w:spacing w:after="0" w:line="240" w:lineRule="auto"/>
              <w:jc w:val="center"/>
              <w:rPr>
                <w:rFonts w:asciiTheme="majorEastAsia" w:hAnsiTheme="majorEastAsia" w:eastAsiaTheme="majorEastAsia" w:cstheme="majorEastAsia"/>
                <w:color w:val="auto"/>
                <w:spacing w:val="-10"/>
                <w:kern w:val="0"/>
                <w:szCs w:val="21"/>
                <w:highlight w:val="none"/>
              </w:rPr>
            </w:pPr>
          </w:p>
        </w:tc>
        <w:tc>
          <w:tcPr>
            <w:tcW w:w="1167" w:type="dxa"/>
            <w:vMerge w:val="continue"/>
            <w:vAlign w:val="center"/>
          </w:tcPr>
          <w:p w14:paraId="3B46E1F0">
            <w:pPr>
              <w:spacing w:after="0" w:line="240" w:lineRule="auto"/>
              <w:jc w:val="center"/>
              <w:rPr>
                <w:rFonts w:asciiTheme="majorEastAsia" w:hAnsiTheme="majorEastAsia" w:eastAsiaTheme="majorEastAsia" w:cstheme="majorEastAsia"/>
                <w:color w:val="auto"/>
                <w:spacing w:val="-10"/>
                <w:kern w:val="0"/>
                <w:szCs w:val="21"/>
                <w:highlight w:val="none"/>
              </w:rPr>
            </w:pPr>
          </w:p>
        </w:tc>
        <w:tc>
          <w:tcPr>
            <w:tcW w:w="1801" w:type="dxa"/>
            <w:vMerge w:val="continue"/>
            <w:tcBorders>
              <w:top w:val="nil"/>
            </w:tcBorders>
            <w:vAlign w:val="center"/>
          </w:tcPr>
          <w:p w14:paraId="7FD558EF">
            <w:pPr>
              <w:spacing w:after="0" w:line="240" w:lineRule="auto"/>
              <w:jc w:val="center"/>
              <w:rPr>
                <w:rFonts w:asciiTheme="majorEastAsia" w:hAnsiTheme="majorEastAsia" w:eastAsiaTheme="majorEastAsia" w:cstheme="majorEastAsia"/>
                <w:color w:val="auto"/>
                <w:spacing w:val="-10"/>
                <w:kern w:val="0"/>
                <w:szCs w:val="21"/>
                <w:highlight w:val="none"/>
              </w:rPr>
            </w:pPr>
          </w:p>
        </w:tc>
        <w:tc>
          <w:tcPr>
            <w:tcW w:w="1630" w:type="dxa"/>
            <w:vAlign w:val="center"/>
          </w:tcPr>
          <w:p w14:paraId="42DD93BE">
            <w:pPr>
              <w:pStyle w:val="108"/>
              <w:spacing w:before="3" w:after="0" w:line="240" w:lineRule="auto"/>
              <w:jc w:val="center"/>
              <w:rPr>
                <w:rFonts w:asciiTheme="majorEastAsia" w:hAnsiTheme="majorEastAsia" w:eastAsiaTheme="majorEastAsia" w:cstheme="majorEastAsia"/>
                <w:color w:val="auto"/>
                <w:spacing w:val="-10"/>
                <w:sz w:val="21"/>
                <w:szCs w:val="21"/>
                <w:highlight w:val="none"/>
                <w:lang w:eastAsia="zh-CN"/>
              </w:rPr>
            </w:pPr>
          </w:p>
          <w:p w14:paraId="3AEA97E9">
            <w:pPr>
              <w:pStyle w:val="108"/>
              <w:spacing w:after="0" w:line="240" w:lineRule="auto"/>
              <w:jc w:val="center"/>
              <w:rPr>
                <w:rFonts w:asciiTheme="majorEastAsia" w:hAnsiTheme="majorEastAsia" w:eastAsiaTheme="majorEastAsia" w:cstheme="majorEastAsia"/>
                <w:color w:val="auto"/>
                <w:spacing w:val="-10"/>
                <w:sz w:val="21"/>
                <w:szCs w:val="21"/>
                <w:highlight w:val="none"/>
                <w:lang w:eastAsia="zh-CN"/>
              </w:rPr>
            </w:pPr>
            <w:r>
              <w:rPr>
                <w:rFonts w:hint="eastAsia" w:asciiTheme="majorEastAsia" w:hAnsiTheme="majorEastAsia" w:eastAsiaTheme="majorEastAsia" w:cstheme="majorEastAsia"/>
                <w:color w:val="auto"/>
                <w:spacing w:val="-10"/>
                <w:sz w:val="21"/>
                <w:szCs w:val="21"/>
                <w:highlight w:val="none"/>
                <w:lang w:eastAsia="zh-CN"/>
              </w:rPr>
              <w:t>单元式空气调节机(制冷量≤14000W)</w:t>
            </w:r>
          </w:p>
        </w:tc>
        <w:tc>
          <w:tcPr>
            <w:tcW w:w="3690" w:type="dxa"/>
            <w:vAlign w:val="center"/>
          </w:tcPr>
          <w:p w14:paraId="5FFA298B">
            <w:pPr>
              <w:pStyle w:val="108"/>
              <w:spacing w:before="3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《单元式空气调节机能效限定值</w:t>
            </w:r>
            <w:r>
              <w:rPr>
                <w:rFonts w:hint="eastAsia" w:asciiTheme="majorEastAsia" w:hAnsiTheme="majorEastAsia" w:eastAsiaTheme="majorEastAsia" w:cstheme="majorEastAsia"/>
                <w:color w:val="auto"/>
                <w:spacing w:val="-13"/>
                <w:w w:val="99"/>
                <w:sz w:val="21"/>
                <w:szCs w:val="21"/>
                <w:highlight w:val="none"/>
                <w:lang w:eastAsia="zh-CN"/>
              </w:rPr>
              <w:t>及能源效率等级》</w:t>
            </w:r>
            <w:r>
              <w:rPr>
                <w:rFonts w:hint="eastAsia" w:asciiTheme="majorEastAsia" w:hAnsiTheme="majorEastAsia" w:eastAsiaTheme="majorEastAsia" w:cstheme="majorEastAsia"/>
                <w:color w:val="auto"/>
                <w:w w:val="99"/>
                <w:sz w:val="21"/>
                <w:szCs w:val="21"/>
                <w:highlight w:val="none"/>
                <w:lang w:eastAsia="zh-CN"/>
              </w:rPr>
              <w:t>（</w:t>
            </w:r>
            <w:r>
              <w:rPr>
                <w:rFonts w:hint="eastAsia" w:asciiTheme="majorEastAsia" w:hAnsiTheme="majorEastAsia" w:eastAsiaTheme="majorEastAsia" w:cstheme="majorEastAsia"/>
                <w:color w:val="auto"/>
                <w:spacing w:val="1"/>
                <w:w w:val="99"/>
                <w:sz w:val="21"/>
                <w:szCs w:val="21"/>
                <w:highlight w:val="none"/>
                <w:lang w:eastAsia="zh-CN"/>
              </w:rPr>
              <w:t>G</w:t>
            </w:r>
            <w:r>
              <w:rPr>
                <w:rFonts w:hint="eastAsia" w:asciiTheme="majorEastAsia" w:hAnsiTheme="majorEastAsia" w:eastAsiaTheme="majorEastAsia" w:cstheme="majorEastAsia"/>
                <w:color w:val="auto"/>
                <w:w w:val="99"/>
                <w:sz w:val="21"/>
                <w:szCs w:val="21"/>
                <w:highlight w:val="none"/>
                <w:lang w:eastAsia="zh-CN"/>
              </w:rPr>
              <w:t>B</w:t>
            </w:r>
            <w:r>
              <w:rPr>
                <w:rFonts w:hint="eastAsia" w:asciiTheme="majorEastAsia" w:hAnsiTheme="majorEastAsia" w:eastAsiaTheme="majorEastAsia" w:cstheme="majorEastAsia"/>
                <w:color w:val="auto"/>
                <w:spacing w:val="-49"/>
                <w:sz w:val="21"/>
                <w:szCs w:val="21"/>
                <w:highlight w:val="none"/>
                <w:lang w:eastAsia="zh-CN"/>
              </w:rPr>
              <w:t xml:space="preserve"> </w:t>
            </w:r>
            <w:r>
              <w:rPr>
                <w:rFonts w:hint="eastAsia" w:asciiTheme="majorEastAsia" w:hAnsiTheme="majorEastAsia" w:eastAsiaTheme="majorEastAsia" w:cstheme="majorEastAsia"/>
                <w:color w:val="auto"/>
                <w:spacing w:val="1"/>
                <w:w w:val="99"/>
                <w:sz w:val="21"/>
                <w:szCs w:val="21"/>
                <w:highlight w:val="none"/>
                <w:lang w:eastAsia="zh-CN"/>
              </w:rPr>
              <w:t>195</w:t>
            </w:r>
            <w:r>
              <w:rPr>
                <w:rFonts w:hint="eastAsia" w:asciiTheme="majorEastAsia" w:hAnsiTheme="majorEastAsia" w:eastAsiaTheme="majorEastAsia" w:cstheme="majorEastAsia"/>
                <w:color w:val="auto"/>
                <w:w w:val="99"/>
                <w:sz w:val="21"/>
                <w:szCs w:val="21"/>
                <w:highlight w:val="none"/>
                <w:lang w:eastAsia="zh-CN"/>
              </w:rPr>
              <w:t>7</w:t>
            </w:r>
            <w:r>
              <w:rPr>
                <w:rFonts w:hint="eastAsia" w:asciiTheme="majorEastAsia" w:hAnsiTheme="majorEastAsia" w:eastAsiaTheme="majorEastAsia" w:cstheme="majorEastAsia"/>
                <w:color w:val="auto"/>
                <w:spacing w:val="-3"/>
                <w:w w:val="99"/>
                <w:sz w:val="21"/>
                <w:szCs w:val="21"/>
                <w:highlight w:val="none"/>
                <w:lang w:eastAsia="zh-CN"/>
              </w:rPr>
              <w:t>6</w:t>
            </w:r>
            <w:r>
              <w:rPr>
                <w:rFonts w:hint="eastAsia" w:asciiTheme="majorEastAsia" w:hAnsiTheme="majorEastAsia" w:eastAsiaTheme="majorEastAsia" w:cstheme="majorEastAsia"/>
                <w:color w:val="auto"/>
                <w:spacing w:val="-104"/>
                <w:w w:val="99"/>
                <w:sz w:val="21"/>
                <w:szCs w:val="21"/>
                <w:highlight w:val="none"/>
                <w:lang w:eastAsia="zh-CN"/>
              </w:rPr>
              <w:t>）</w:t>
            </w:r>
            <w:r>
              <w:rPr>
                <w:rFonts w:hint="eastAsia" w:asciiTheme="majorEastAsia" w:hAnsiTheme="majorEastAsia" w:eastAsiaTheme="majorEastAsia" w:cstheme="majorEastAsia"/>
                <w:color w:val="auto"/>
                <w:spacing w:val="-6"/>
                <w:w w:val="99"/>
                <w:sz w:val="21"/>
                <w:szCs w:val="21"/>
                <w:highlight w:val="none"/>
                <w:lang w:eastAsia="zh-CN"/>
              </w:rPr>
              <w:t>《风</w:t>
            </w:r>
            <w:r>
              <w:rPr>
                <w:rFonts w:hint="eastAsia" w:asciiTheme="majorEastAsia" w:hAnsiTheme="majorEastAsia" w:eastAsiaTheme="majorEastAsia" w:cstheme="majorEastAsia"/>
                <w:color w:val="auto"/>
                <w:spacing w:val="9"/>
                <w:sz w:val="21"/>
                <w:szCs w:val="21"/>
                <w:highlight w:val="none"/>
                <w:lang w:eastAsia="zh-CN"/>
              </w:rPr>
              <w:t>管送风式空调机组能效限定值及</w:t>
            </w:r>
          </w:p>
          <w:p w14:paraId="74DBCFF3">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能效等级》（GB 37479）</w:t>
            </w:r>
          </w:p>
        </w:tc>
      </w:tr>
      <w:tr w14:paraId="10E3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4" w:type="dxa"/>
            <w:vMerge w:val="continue"/>
            <w:vAlign w:val="center"/>
          </w:tcPr>
          <w:p w14:paraId="33D21D4D">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40AF75C8">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17F37EC2">
            <w:pPr>
              <w:pStyle w:val="108"/>
              <w:spacing w:before="3" w:after="0" w:line="240" w:lineRule="auto"/>
              <w:jc w:val="center"/>
              <w:rPr>
                <w:rFonts w:asciiTheme="majorEastAsia" w:hAnsiTheme="majorEastAsia" w:eastAsiaTheme="majorEastAsia" w:cstheme="majorEastAsia"/>
                <w:color w:val="auto"/>
                <w:sz w:val="21"/>
                <w:szCs w:val="21"/>
                <w:highlight w:val="none"/>
              </w:rPr>
            </w:pPr>
          </w:p>
          <w:p w14:paraId="7533AB7E">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A0206180301</w:t>
            </w:r>
            <w:r>
              <w:rPr>
                <w:rFonts w:hint="eastAsia" w:asciiTheme="majorEastAsia" w:hAnsiTheme="majorEastAsia" w:eastAsiaTheme="majorEastAsia" w:cstheme="majorEastAsia"/>
                <w:color w:val="auto"/>
                <w:spacing w:val="-14"/>
                <w:sz w:val="21"/>
                <w:szCs w:val="21"/>
                <w:highlight w:val="none"/>
              </w:rPr>
              <w:t xml:space="preserve"> 洗衣机</w:t>
            </w:r>
          </w:p>
        </w:tc>
        <w:tc>
          <w:tcPr>
            <w:tcW w:w="1630" w:type="dxa"/>
            <w:vAlign w:val="center"/>
          </w:tcPr>
          <w:p w14:paraId="6463F352">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2E3053E1">
            <w:pPr>
              <w:pStyle w:val="108"/>
              <w:spacing w:before="39"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《电动洗衣机能效水效限定值及</w:t>
            </w:r>
          </w:p>
          <w:p w14:paraId="64020CFD">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等级》（GB 12021.4）</w:t>
            </w:r>
          </w:p>
        </w:tc>
      </w:tr>
      <w:tr w14:paraId="4B026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vAlign w:val="center"/>
          </w:tcPr>
          <w:p w14:paraId="1B51E57A">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167" w:type="dxa"/>
            <w:vMerge w:val="continue"/>
            <w:vAlign w:val="center"/>
          </w:tcPr>
          <w:p w14:paraId="55A318FC">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801" w:type="dxa"/>
            <w:vMerge w:val="restart"/>
            <w:vAlign w:val="center"/>
          </w:tcPr>
          <w:p w14:paraId="2B80B5DB">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A02061808 热水器</w:t>
            </w:r>
          </w:p>
        </w:tc>
        <w:tc>
          <w:tcPr>
            <w:tcW w:w="1630" w:type="dxa"/>
            <w:vAlign w:val="center"/>
          </w:tcPr>
          <w:p w14:paraId="61C619D9">
            <w:pPr>
              <w:pStyle w:val="108"/>
              <w:spacing w:before="10" w:after="0" w:line="240" w:lineRule="auto"/>
              <w:jc w:val="center"/>
              <w:rPr>
                <w:rFonts w:asciiTheme="majorEastAsia" w:hAnsiTheme="majorEastAsia" w:eastAsiaTheme="majorEastAsia" w:cstheme="majorEastAsia"/>
                <w:color w:val="auto"/>
                <w:sz w:val="21"/>
                <w:szCs w:val="21"/>
                <w:highlight w:val="none"/>
              </w:rPr>
            </w:pPr>
          </w:p>
          <w:p w14:paraId="7AD4A4F2">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★电热水器</w:t>
            </w:r>
          </w:p>
        </w:tc>
        <w:tc>
          <w:tcPr>
            <w:tcW w:w="3690" w:type="dxa"/>
            <w:vAlign w:val="center"/>
          </w:tcPr>
          <w:p w14:paraId="3D6C1798">
            <w:pPr>
              <w:pStyle w:val="108"/>
              <w:tabs>
                <w:tab w:val="left" w:pos="1609"/>
              </w:tabs>
              <w:spacing w:before="8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12"/>
                <w:sz w:val="21"/>
                <w:szCs w:val="21"/>
                <w:highlight w:val="none"/>
                <w:lang w:eastAsia="zh-CN"/>
              </w:rPr>
              <w:t>《储水式电热水器能效</w:t>
            </w:r>
            <w:r>
              <w:rPr>
                <w:rFonts w:hint="eastAsia" w:asciiTheme="majorEastAsia" w:hAnsiTheme="majorEastAsia" w:eastAsiaTheme="majorEastAsia" w:cstheme="majorEastAsia"/>
                <w:color w:val="auto"/>
                <w:spacing w:val="9"/>
                <w:sz w:val="21"/>
                <w:szCs w:val="21"/>
                <w:highlight w:val="none"/>
                <w:lang w:eastAsia="zh-CN"/>
              </w:rPr>
              <w:t>限</w:t>
            </w:r>
            <w:r>
              <w:rPr>
                <w:rFonts w:hint="eastAsia" w:asciiTheme="majorEastAsia" w:hAnsiTheme="majorEastAsia" w:eastAsiaTheme="majorEastAsia" w:cstheme="majorEastAsia"/>
                <w:color w:val="auto"/>
                <w:spacing w:val="12"/>
                <w:sz w:val="21"/>
                <w:szCs w:val="21"/>
                <w:highlight w:val="none"/>
                <w:lang w:eastAsia="zh-CN"/>
              </w:rPr>
              <w:t>定值</w:t>
            </w:r>
            <w:r>
              <w:rPr>
                <w:rFonts w:hint="eastAsia" w:asciiTheme="majorEastAsia" w:hAnsiTheme="majorEastAsia" w:eastAsiaTheme="majorEastAsia" w:cstheme="majorEastAsia"/>
                <w:color w:val="auto"/>
                <w:spacing w:val="-17"/>
                <w:sz w:val="21"/>
                <w:szCs w:val="21"/>
                <w:highlight w:val="none"/>
                <w:lang w:eastAsia="zh-CN"/>
              </w:rPr>
              <w:t>及</w:t>
            </w:r>
            <w:r>
              <w:rPr>
                <w:rFonts w:hint="eastAsia" w:asciiTheme="majorEastAsia" w:hAnsiTheme="majorEastAsia" w:eastAsiaTheme="majorEastAsia" w:cstheme="majorEastAsia"/>
                <w:color w:val="auto"/>
                <w:sz w:val="21"/>
                <w:szCs w:val="21"/>
                <w:highlight w:val="none"/>
                <w:lang w:eastAsia="zh-CN"/>
              </w:rPr>
              <w:t>能效等级》（GB</w:t>
            </w:r>
            <w:r>
              <w:rPr>
                <w:rFonts w:hint="eastAsia" w:asciiTheme="majorEastAsia" w:hAnsiTheme="majorEastAsia" w:eastAsiaTheme="majorEastAsia" w:cstheme="majorEastAsia"/>
                <w:color w:val="auto"/>
                <w:sz w:val="21"/>
                <w:szCs w:val="21"/>
                <w:highlight w:val="none"/>
                <w:lang w:eastAsia="zh-CN"/>
              </w:rPr>
              <w:tab/>
            </w:r>
            <w:r>
              <w:rPr>
                <w:rFonts w:hint="eastAsia" w:asciiTheme="majorEastAsia" w:hAnsiTheme="majorEastAsia" w:eastAsiaTheme="majorEastAsia" w:cstheme="majorEastAsia"/>
                <w:color w:val="auto"/>
                <w:sz w:val="21"/>
                <w:szCs w:val="21"/>
                <w:highlight w:val="none"/>
                <w:lang w:eastAsia="zh-CN"/>
              </w:rPr>
              <w:t>21519）</w:t>
            </w:r>
          </w:p>
        </w:tc>
      </w:tr>
      <w:tr w14:paraId="795B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vAlign w:val="center"/>
          </w:tcPr>
          <w:p w14:paraId="08E8E25D">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7446B1F6">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continue"/>
            <w:tcBorders>
              <w:top w:val="nil"/>
            </w:tcBorders>
            <w:vAlign w:val="center"/>
          </w:tcPr>
          <w:p w14:paraId="5CCEEB4E">
            <w:pPr>
              <w:spacing w:after="0" w:line="240" w:lineRule="auto"/>
              <w:jc w:val="center"/>
              <w:rPr>
                <w:rFonts w:asciiTheme="majorEastAsia" w:hAnsiTheme="majorEastAsia" w:eastAsiaTheme="majorEastAsia" w:cstheme="majorEastAsia"/>
                <w:color w:val="auto"/>
                <w:szCs w:val="21"/>
                <w:highlight w:val="none"/>
              </w:rPr>
            </w:pPr>
          </w:p>
        </w:tc>
        <w:tc>
          <w:tcPr>
            <w:tcW w:w="1630" w:type="dxa"/>
            <w:vAlign w:val="center"/>
          </w:tcPr>
          <w:p w14:paraId="6567ACC3">
            <w:pPr>
              <w:pStyle w:val="108"/>
              <w:spacing w:before="3" w:after="0" w:line="240" w:lineRule="auto"/>
              <w:jc w:val="center"/>
              <w:rPr>
                <w:rFonts w:asciiTheme="majorEastAsia" w:hAnsiTheme="majorEastAsia" w:eastAsiaTheme="majorEastAsia" w:cstheme="majorEastAsia"/>
                <w:color w:val="auto"/>
                <w:sz w:val="21"/>
                <w:szCs w:val="21"/>
                <w:highlight w:val="none"/>
                <w:lang w:eastAsia="zh-CN"/>
              </w:rPr>
            </w:pPr>
          </w:p>
          <w:p w14:paraId="29D49568">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燃气热水器</w:t>
            </w:r>
          </w:p>
        </w:tc>
        <w:tc>
          <w:tcPr>
            <w:tcW w:w="3690" w:type="dxa"/>
            <w:vAlign w:val="center"/>
          </w:tcPr>
          <w:p w14:paraId="7F6B7F4C">
            <w:pPr>
              <w:pStyle w:val="108"/>
              <w:spacing w:before="3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《家用燃气快速热水器和燃气采暖热水炉能效限定值及能效等级</w:t>
            </w:r>
          </w:p>
          <w:p w14:paraId="31B6A834">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（GB 20665）</w:t>
            </w:r>
          </w:p>
        </w:tc>
      </w:tr>
      <w:tr w14:paraId="5301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74" w:type="dxa"/>
            <w:vMerge w:val="continue"/>
            <w:vAlign w:val="center"/>
          </w:tcPr>
          <w:p w14:paraId="0A515F65">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38F7339D">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continue"/>
            <w:tcBorders>
              <w:top w:val="nil"/>
            </w:tcBorders>
            <w:vAlign w:val="center"/>
          </w:tcPr>
          <w:p w14:paraId="47A4AB68">
            <w:pPr>
              <w:spacing w:after="0" w:line="240" w:lineRule="auto"/>
              <w:jc w:val="center"/>
              <w:rPr>
                <w:rFonts w:asciiTheme="majorEastAsia" w:hAnsiTheme="majorEastAsia" w:eastAsiaTheme="majorEastAsia" w:cstheme="majorEastAsia"/>
                <w:color w:val="auto"/>
                <w:szCs w:val="21"/>
                <w:highlight w:val="none"/>
              </w:rPr>
            </w:pPr>
          </w:p>
        </w:tc>
        <w:tc>
          <w:tcPr>
            <w:tcW w:w="1630" w:type="dxa"/>
            <w:vAlign w:val="center"/>
          </w:tcPr>
          <w:p w14:paraId="0F9A1C25">
            <w:pPr>
              <w:pStyle w:val="108"/>
              <w:spacing w:after="0" w:line="240" w:lineRule="auto"/>
              <w:jc w:val="center"/>
              <w:rPr>
                <w:rFonts w:asciiTheme="majorEastAsia" w:hAnsiTheme="majorEastAsia" w:eastAsiaTheme="majorEastAsia" w:cstheme="majorEastAsia"/>
                <w:color w:val="auto"/>
                <w:sz w:val="21"/>
                <w:szCs w:val="21"/>
                <w:highlight w:val="none"/>
              </w:rPr>
            </w:pPr>
          </w:p>
          <w:p w14:paraId="2EC0897F">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热泵热水器</w:t>
            </w:r>
          </w:p>
        </w:tc>
        <w:tc>
          <w:tcPr>
            <w:tcW w:w="3690" w:type="dxa"/>
            <w:vAlign w:val="center"/>
          </w:tcPr>
          <w:p w14:paraId="27139A5E">
            <w:pPr>
              <w:pStyle w:val="108"/>
              <w:spacing w:before="126"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5"/>
                <w:sz w:val="21"/>
                <w:szCs w:val="21"/>
                <w:highlight w:val="none"/>
                <w:lang w:eastAsia="zh-CN"/>
              </w:rPr>
              <w:t>《热泵热水机</w:t>
            </w:r>
            <w:r>
              <w:rPr>
                <w:rFonts w:hint="eastAsia" w:asciiTheme="majorEastAsia" w:hAnsiTheme="majorEastAsia" w:eastAsiaTheme="majorEastAsia" w:cstheme="majorEastAsia"/>
                <w:color w:val="auto"/>
                <w:sz w:val="21"/>
                <w:szCs w:val="21"/>
                <w:highlight w:val="none"/>
                <w:lang w:eastAsia="zh-CN"/>
              </w:rPr>
              <w:t>（器</w:t>
            </w:r>
            <w:r>
              <w:rPr>
                <w:rFonts w:hint="eastAsia" w:asciiTheme="majorEastAsia" w:hAnsiTheme="majorEastAsia" w:eastAsiaTheme="majorEastAsia" w:cstheme="majorEastAsia"/>
                <w:color w:val="auto"/>
                <w:spacing w:val="-27"/>
                <w:sz w:val="21"/>
                <w:szCs w:val="21"/>
                <w:highlight w:val="none"/>
                <w:lang w:eastAsia="zh-CN"/>
              </w:rPr>
              <w:t>）</w:t>
            </w:r>
            <w:r>
              <w:rPr>
                <w:rFonts w:hint="eastAsia" w:asciiTheme="majorEastAsia" w:hAnsiTheme="majorEastAsia" w:eastAsiaTheme="majorEastAsia" w:cstheme="majorEastAsia"/>
                <w:color w:val="auto"/>
                <w:spacing w:val="-3"/>
                <w:sz w:val="21"/>
                <w:szCs w:val="21"/>
                <w:highlight w:val="none"/>
                <w:lang w:eastAsia="zh-CN"/>
              </w:rPr>
              <w:t>能效限定值及</w:t>
            </w:r>
            <w:r>
              <w:rPr>
                <w:rFonts w:hint="eastAsia" w:asciiTheme="majorEastAsia" w:hAnsiTheme="majorEastAsia" w:eastAsiaTheme="majorEastAsia" w:cstheme="majorEastAsia"/>
                <w:color w:val="auto"/>
                <w:sz w:val="21"/>
                <w:szCs w:val="21"/>
                <w:highlight w:val="none"/>
                <w:lang w:eastAsia="zh-CN"/>
              </w:rPr>
              <w:t>能效等级》（GB 29541）</w:t>
            </w:r>
          </w:p>
        </w:tc>
      </w:tr>
      <w:tr w14:paraId="49EF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vAlign w:val="center"/>
          </w:tcPr>
          <w:p w14:paraId="06C043DD">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vAlign w:val="center"/>
          </w:tcPr>
          <w:p w14:paraId="0473BEB6">
            <w:pPr>
              <w:spacing w:after="0" w:line="240" w:lineRule="auto"/>
              <w:jc w:val="center"/>
              <w:rPr>
                <w:rFonts w:asciiTheme="majorEastAsia" w:hAnsiTheme="majorEastAsia" w:eastAsiaTheme="majorEastAsia" w:cstheme="majorEastAsia"/>
                <w:color w:val="auto"/>
                <w:szCs w:val="21"/>
                <w:highlight w:val="none"/>
              </w:rPr>
            </w:pPr>
          </w:p>
        </w:tc>
        <w:tc>
          <w:tcPr>
            <w:tcW w:w="1801" w:type="dxa"/>
            <w:vMerge w:val="continue"/>
            <w:tcBorders>
              <w:top w:val="nil"/>
            </w:tcBorders>
            <w:vAlign w:val="center"/>
          </w:tcPr>
          <w:p w14:paraId="66238E0E">
            <w:pPr>
              <w:spacing w:after="0" w:line="240" w:lineRule="auto"/>
              <w:jc w:val="center"/>
              <w:rPr>
                <w:rFonts w:asciiTheme="majorEastAsia" w:hAnsiTheme="majorEastAsia" w:eastAsiaTheme="majorEastAsia" w:cstheme="majorEastAsia"/>
                <w:color w:val="auto"/>
                <w:szCs w:val="21"/>
                <w:highlight w:val="none"/>
              </w:rPr>
            </w:pPr>
          </w:p>
        </w:tc>
        <w:tc>
          <w:tcPr>
            <w:tcW w:w="1630" w:type="dxa"/>
            <w:vAlign w:val="center"/>
          </w:tcPr>
          <w:p w14:paraId="7AECCAC0">
            <w:pPr>
              <w:pStyle w:val="108"/>
              <w:spacing w:before="10" w:after="0" w:line="240" w:lineRule="auto"/>
              <w:jc w:val="center"/>
              <w:rPr>
                <w:rFonts w:asciiTheme="majorEastAsia" w:hAnsiTheme="majorEastAsia" w:eastAsiaTheme="majorEastAsia" w:cstheme="majorEastAsia"/>
                <w:color w:val="auto"/>
                <w:sz w:val="21"/>
                <w:szCs w:val="21"/>
                <w:highlight w:val="none"/>
                <w:lang w:eastAsia="zh-CN"/>
              </w:rPr>
            </w:pPr>
          </w:p>
          <w:p w14:paraId="341E47D1">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太阳能热水系统</w:t>
            </w:r>
          </w:p>
        </w:tc>
        <w:tc>
          <w:tcPr>
            <w:tcW w:w="3690" w:type="dxa"/>
            <w:vAlign w:val="center"/>
          </w:tcPr>
          <w:p w14:paraId="6A9D5185">
            <w:pPr>
              <w:pStyle w:val="108"/>
              <w:spacing w:before="8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《家用太阳能热水系统能效限定值及能效等级》（GB 26969）</w:t>
            </w:r>
          </w:p>
        </w:tc>
      </w:tr>
      <w:tr w14:paraId="1C7EB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74" w:type="dxa"/>
            <w:vMerge w:val="restart"/>
            <w:vAlign w:val="center"/>
          </w:tcPr>
          <w:p w14:paraId="28975FF8">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6C46C796">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4B5145A8">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0837DAE3">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7A2C2475">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12D7994B">
            <w:pPr>
              <w:pStyle w:val="108"/>
              <w:spacing w:before="2" w:after="0" w:line="240" w:lineRule="auto"/>
              <w:jc w:val="center"/>
              <w:rPr>
                <w:rFonts w:asciiTheme="majorEastAsia" w:hAnsiTheme="majorEastAsia" w:eastAsiaTheme="majorEastAsia" w:cstheme="majorEastAsia"/>
                <w:color w:val="auto"/>
                <w:sz w:val="21"/>
                <w:szCs w:val="21"/>
                <w:highlight w:val="none"/>
                <w:lang w:eastAsia="zh-CN"/>
              </w:rPr>
            </w:pPr>
          </w:p>
          <w:p w14:paraId="0CEF4DD3">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w:t>
            </w:r>
          </w:p>
        </w:tc>
        <w:tc>
          <w:tcPr>
            <w:tcW w:w="1167" w:type="dxa"/>
            <w:vMerge w:val="restart"/>
            <w:vAlign w:val="center"/>
          </w:tcPr>
          <w:p w14:paraId="72CA2B96">
            <w:pPr>
              <w:pStyle w:val="108"/>
              <w:spacing w:after="0" w:line="240" w:lineRule="auto"/>
              <w:jc w:val="center"/>
              <w:rPr>
                <w:rFonts w:asciiTheme="majorEastAsia" w:hAnsiTheme="majorEastAsia" w:eastAsiaTheme="majorEastAsia" w:cstheme="majorEastAsia"/>
                <w:color w:val="auto"/>
                <w:sz w:val="21"/>
                <w:szCs w:val="21"/>
                <w:highlight w:val="none"/>
              </w:rPr>
            </w:pPr>
          </w:p>
          <w:p w14:paraId="0E1D7D0B">
            <w:pPr>
              <w:pStyle w:val="108"/>
              <w:spacing w:after="0" w:line="240" w:lineRule="auto"/>
              <w:jc w:val="center"/>
              <w:rPr>
                <w:rFonts w:asciiTheme="majorEastAsia" w:hAnsiTheme="majorEastAsia" w:eastAsiaTheme="majorEastAsia" w:cstheme="majorEastAsia"/>
                <w:color w:val="auto"/>
                <w:sz w:val="21"/>
                <w:szCs w:val="21"/>
                <w:highlight w:val="none"/>
              </w:rPr>
            </w:pPr>
          </w:p>
          <w:p w14:paraId="14445A8A">
            <w:pPr>
              <w:pStyle w:val="108"/>
              <w:spacing w:after="0" w:line="240" w:lineRule="auto"/>
              <w:jc w:val="center"/>
              <w:rPr>
                <w:rFonts w:asciiTheme="majorEastAsia" w:hAnsiTheme="majorEastAsia" w:eastAsiaTheme="majorEastAsia" w:cstheme="majorEastAsia"/>
                <w:color w:val="auto"/>
                <w:sz w:val="21"/>
                <w:szCs w:val="21"/>
                <w:highlight w:val="none"/>
              </w:rPr>
            </w:pPr>
          </w:p>
          <w:p w14:paraId="28120FC8">
            <w:pPr>
              <w:pStyle w:val="108"/>
              <w:spacing w:after="0" w:line="240" w:lineRule="auto"/>
              <w:jc w:val="center"/>
              <w:rPr>
                <w:rFonts w:asciiTheme="majorEastAsia" w:hAnsiTheme="majorEastAsia" w:eastAsiaTheme="majorEastAsia" w:cstheme="majorEastAsia"/>
                <w:color w:val="auto"/>
                <w:sz w:val="21"/>
                <w:szCs w:val="21"/>
                <w:highlight w:val="none"/>
              </w:rPr>
            </w:pPr>
          </w:p>
          <w:p w14:paraId="54A4CB85">
            <w:pPr>
              <w:pStyle w:val="108"/>
              <w:spacing w:after="0" w:line="240" w:lineRule="auto"/>
              <w:jc w:val="center"/>
              <w:rPr>
                <w:rFonts w:asciiTheme="majorEastAsia" w:hAnsiTheme="majorEastAsia" w:eastAsiaTheme="majorEastAsia" w:cstheme="majorEastAsia"/>
                <w:color w:val="auto"/>
                <w:sz w:val="21"/>
                <w:szCs w:val="21"/>
                <w:highlight w:val="none"/>
              </w:rPr>
            </w:pPr>
          </w:p>
          <w:p w14:paraId="215AE9CF">
            <w:pPr>
              <w:pStyle w:val="108"/>
              <w:spacing w:after="0" w:line="240" w:lineRule="auto"/>
              <w:jc w:val="center"/>
              <w:rPr>
                <w:rFonts w:asciiTheme="majorEastAsia" w:hAnsiTheme="majorEastAsia" w:eastAsiaTheme="majorEastAsia" w:cstheme="majorEastAsia"/>
                <w:color w:val="auto"/>
                <w:sz w:val="21"/>
                <w:szCs w:val="21"/>
                <w:highlight w:val="none"/>
              </w:rPr>
            </w:pPr>
          </w:p>
          <w:p w14:paraId="20229F83">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A020619</w:t>
            </w:r>
            <w:r>
              <w:rPr>
                <w:rFonts w:hint="eastAsia" w:asciiTheme="majorEastAsia" w:hAnsiTheme="majorEastAsia" w:eastAsiaTheme="majorEastAsia" w:cstheme="majorEastAsia"/>
                <w:color w:val="auto"/>
                <w:spacing w:val="-25"/>
                <w:sz w:val="21"/>
                <w:szCs w:val="21"/>
                <w:highlight w:val="none"/>
              </w:rPr>
              <w:t xml:space="preserve"> 照明</w:t>
            </w:r>
          </w:p>
          <w:p w14:paraId="0B69140C">
            <w:pPr>
              <w:pStyle w:val="108"/>
              <w:spacing w:before="5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设备</w:t>
            </w:r>
          </w:p>
        </w:tc>
        <w:tc>
          <w:tcPr>
            <w:tcW w:w="1801" w:type="dxa"/>
            <w:vAlign w:val="center"/>
          </w:tcPr>
          <w:p w14:paraId="05EDC5A0">
            <w:pPr>
              <w:pStyle w:val="108"/>
              <w:spacing w:before="16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 普通照明用双端荧光灯</w:t>
            </w:r>
          </w:p>
        </w:tc>
        <w:tc>
          <w:tcPr>
            <w:tcW w:w="1630" w:type="dxa"/>
            <w:vAlign w:val="center"/>
          </w:tcPr>
          <w:p w14:paraId="0DD6B302">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tc>
        <w:tc>
          <w:tcPr>
            <w:tcW w:w="3690" w:type="dxa"/>
            <w:vAlign w:val="center"/>
          </w:tcPr>
          <w:p w14:paraId="41353DAC">
            <w:pPr>
              <w:pStyle w:val="108"/>
              <w:spacing w:before="16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《普通照明用双端荧光灯能效限定值及能效等级》（GB 19043）</w:t>
            </w:r>
          </w:p>
        </w:tc>
      </w:tr>
      <w:tr w14:paraId="5D86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74" w:type="dxa"/>
            <w:vMerge w:val="continue"/>
            <w:tcBorders>
              <w:top w:val="nil"/>
            </w:tcBorders>
            <w:vAlign w:val="center"/>
          </w:tcPr>
          <w:p w14:paraId="3617AC21">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5D6B2C89">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49CDF5EC">
            <w:pPr>
              <w:pStyle w:val="108"/>
              <w:spacing w:before="12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LED 道路/隧道照明产品</w:t>
            </w:r>
          </w:p>
        </w:tc>
        <w:tc>
          <w:tcPr>
            <w:tcW w:w="1630" w:type="dxa"/>
            <w:vAlign w:val="center"/>
          </w:tcPr>
          <w:p w14:paraId="77B21F07">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03C53381">
            <w:pPr>
              <w:pStyle w:val="108"/>
              <w:spacing w:before="12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《道路和隧道照明用 LED</w:t>
            </w:r>
            <w:r>
              <w:rPr>
                <w:rFonts w:hint="eastAsia" w:asciiTheme="majorEastAsia" w:hAnsiTheme="majorEastAsia" w:eastAsiaTheme="majorEastAsia" w:cstheme="majorEastAsia"/>
                <w:color w:val="auto"/>
                <w:spacing w:val="1"/>
                <w:sz w:val="21"/>
                <w:szCs w:val="21"/>
                <w:highlight w:val="none"/>
              </w:rPr>
              <w:t xml:space="preserve"> 灯具能</w:t>
            </w:r>
            <w:r>
              <w:rPr>
                <w:rFonts w:hint="eastAsia" w:asciiTheme="majorEastAsia" w:hAnsiTheme="majorEastAsia" w:eastAsiaTheme="majorEastAsia" w:cstheme="majorEastAsia"/>
                <w:color w:val="auto"/>
                <w:spacing w:val="-10"/>
                <w:sz w:val="21"/>
                <w:szCs w:val="21"/>
                <w:highlight w:val="none"/>
              </w:rPr>
              <w:t>效限定值及能效等级》</w:t>
            </w:r>
            <w:r>
              <w:rPr>
                <w:rFonts w:hint="eastAsia" w:asciiTheme="majorEastAsia" w:hAnsiTheme="majorEastAsia" w:eastAsiaTheme="majorEastAsia" w:cstheme="majorEastAsia"/>
                <w:color w:val="auto"/>
                <w:sz w:val="21"/>
                <w:szCs w:val="21"/>
                <w:highlight w:val="none"/>
              </w:rPr>
              <w:t>（GB 37478</w:t>
            </w:r>
          </w:p>
        </w:tc>
      </w:tr>
      <w:tr w14:paraId="000B4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74" w:type="dxa"/>
            <w:vMerge w:val="continue"/>
            <w:tcBorders>
              <w:top w:val="nil"/>
            </w:tcBorders>
            <w:vAlign w:val="center"/>
          </w:tcPr>
          <w:p w14:paraId="6EC75043">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15B6126B">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02EFDFF8">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LED 筒灯</w:t>
            </w:r>
          </w:p>
        </w:tc>
        <w:tc>
          <w:tcPr>
            <w:tcW w:w="1630" w:type="dxa"/>
            <w:vAlign w:val="center"/>
          </w:tcPr>
          <w:p w14:paraId="31009DDD">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1E5C18BF">
            <w:pPr>
              <w:pStyle w:val="108"/>
              <w:spacing w:before="11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《室内照明用 LED 产品能效限定值及能效等级》（GB 30255）</w:t>
            </w:r>
          </w:p>
        </w:tc>
      </w:tr>
      <w:tr w14:paraId="5A10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574" w:type="dxa"/>
            <w:vMerge w:val="continue"/>
            <w:tcBorders>
              <w:top w:val="nil"/>
            </w:tcBorders>
            <w:vAlign w:val="center"/>
          </w:tcPr>
          <w:p w14:paraId="1EAFC463">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44FAD20F">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4C5F1632">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普通照明用非定向自镇流 LED 灯</w:t>
            </w:r>
          </w:p>
        </w:tc>
        <w:tc>
          <w:tcPr>
            <w:tcW w:w="1630" w:type="dxa"/>
            <w:vAlign w:val="center"/>
          </w:tcPr>
          <w:p w14:paraId="73D1F5A1">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5EFC101A">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《室内照明用 LED 产品能效限定值及能效等级》（GB 30255）</w:t>
            </w:r>
          </w:p>
        </w:tc>
      </w:tr>
      <w:tr w14:paraId="4780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74" w:type="dxa"/>
            <w:vAlign w:val="center"/>
          </w:tcPr>
          <w:p w14:paraId="27981C12">
            <w:pPr>
              <w:pStyle w:val="108"/>
              <w:spacing w:before="1" w:after="0" w:line="240" w:lineRule="auto"/>
              <w:jc w:val="center"/>
              <w:rPr>
                <w:rFonts w:asciiTheme="majorEastAsia" w:hAnsiTheme="majorEastAsia" w:eastAsiaTheme="majorEastAsia" w:cstheme="majorEastAsia"/>
                <w:color w:val="auto"/>
                <w:sz w:val="21"/>
                <w:szCs w:val="21"/>
                <w:highlight w:val="none"/>
              </w:rPr>
            </w:pPr>
          </w:p>
          <w:p w14:paraId="4DEB321E">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w:t>
            </w:r>
          </w:p>
        </w:tc>
        <w:tc>
          <w:tcPr>
            <w:tcW w:w="1167" w:type="dxa"/>
            <w:vAlign w:val="center"/>
          </w:tcPr>
          <w:p w14:paraId="02A6262D">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★A020910</w:t>
            </w:r>
            <w:r>
              <w:rPr>
                <w:rFonts w:hint="eastAsia" w:asciiTheme="majorEastAsia" w:hAnsiTheme="majorEastAsia" w:eastAsiaTheme="majorEastAsia" w:cstheme="majorEastAsia"/>
                <w:color w:val="auto"/>
                <w:spacing w:val="-37"/>
                <w:sz w:val="21"/>
                <w:szCs w:val="21"/>
                <w:highlight w:val="none"/>
              </w:rPr>
              <w:t xml:space="preserve"> 电</w:t>
            </w:r>
          </w:p>
          <w:p w14:paraId="7F50FA82">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视设备</w:t>
            </w:r>
          </w:p>
        </w:tc>
        <w:tc>
          <w:tcPr>
            <w:tcW w:w="1801" w:type="dxa"/>
            <w:vAlign w:val="center"/>
          </w:tcPr>
          <w:p w14:paraId="7A26383A">
            <w:pPr>
              <w:pStyle w:val="108"/>
              <w:spacing w:before="114"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A02091001</w:t>
            </w:r>
            <w:r>
              <w:rPr>
                <w:rFonts w:hint="eastAsia" w:asciiTheme="majorEastAsia" w:hAnsiTheme="majorEastAsia" w:eastAsiaTheme="majorEastAsia" w:cstheme="majorEastAsia"/>
                <w:color w:val="auto"/>
                <w:spacing w:val="-9"/>
                <w:sz w:val="21"/>
                <w:szCs w:val="21"/>
                <w:highlight w:val="none"/>
                <w:lang w:eastAsia="zh-CN"/>
              </w:rPr>
              <w:t xml:space="preserve"> 普通电视</w:t>
            </w:r>
            <w:r>
              <w:rPr>
                <w:rFonts w:hint="eastAsia" w:asciiTheme="majorEastAsia" w:hAnsiTheme="majorEastAsia" w:eastAsiaTheme="majorEastAsia" w:cstheme="majorEastAsia"/>
                <w:color w:val="auto"/>
                <w:sz w:val="21"/>
                <w:szCs w:val="21"/>
                <w:highlight w:val="none"/>
                <w:lang w:eastAsia="zh-CN"/>
              </w:rPr>
              <w:t>设备（电视机）</w:t>
            </w:r>
          </w:p>
        </w:tc>
        <w:tc>
          <w:tcPr>
            <w:tcW w:w="1630" w:type="dxa"/>
            <w:vAlign w:val="center"/>
          </w:tcPr>
          <w:p w14:paraId="0B8C86F9">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tc>
        <w:tc>
          <w:tcPr>
            <w:tcW w:w="3690" w:type="dxa"/>
            <w:vAlign w:val="center"/>
          </w:tcPr>
          <w:p w14:paraId="48E5F366">
            <w:pPr>
              <w:pStyle w:val="108"/>
              <w:spacing w:before="114"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《平板电视能效限定值及能效等级》（GB 24850）</w:t>
            </w:r>
          </w:p>
        </w:tc>
      </w:tr>
      <w:tr w14:paraId="3B62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4" w:type="dxa"/>
            <w:vAlign w:val="center"/>
          </w:tcPr>
          <w:p w14:paraId="09585EDB">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w:t>
            </w:r>
          </w:p>
        </w:tc>
        <w:tc>
          <w:tcPr>
            <w:tcW w:w="1167" w:type="dxa"/>
            <w:vAlign w:val="center"/>
          </w:tcPr>
          <w:p w14:paraId="66D320B5">
            <w:pPr>
              <w:pStyle w:val="108"/>
              <w:spacing w:before="173"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★A020911</w:t>
            </w:r>
            <w:r>
              <w:rPr>
                <w:rFonts w:hint="eastAsia" w:asciiTheme="majorEastAsia" w:hAnsiTheme="majorEastAsia" w:eastAsiaTheme="majorEastAsia" w:cstheme="majorEastAsia"/>
                <w:color w:val="auto"/>
                <w:spacing w:val="-37"/>
                <w:sz w:val="21"/>
                <w:szCs w:val="21"/>
                <w:highlight w:val="none"/>
              </w:rPr>
              <w:t xml:space="preserve"> 视</w:t>
            </w:r>
          </w:p>
          <w:p w14:paraId="5D01445C">
            <w:pPr>
              <w:pStyle w:val="108"/>
              <w:spacing w:before="55"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频设备</w:t>
            </w:r>
          </w:p>
        </w:tc>
        <w:tc>
          <w:tcPr>
            <w:tcW w:w="1801" w:type="dxa"/>
            <w:vAlign w:val="center"/>
          </w:tcPr>
          <w:p w14:paraId="00194E5C">
            <w:pPr>
              <w:pStyle w:val="108"/>
              <w:spacing w:before="173"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A02091107</w:t>
            </w:r>
            <w:r>
              <w:rPr>
                <w:rFonts w:hint="eastAsia" w:asciiTheme="majorEastAsia" w:hAnsiTheme="majorEastAsia" w:eastAsiaTheme="majorEastAsia" w:cstheme="majorEastAsia"/>
                <w:color w:val="auto"/>
                <w:spacing w:val="-9"/>
                <w:sz w:val="21"/>
                <w:szCs w:val="21"/>
                <w:highlight w:val="none"/>
              </w:rPr>
              <w:t xml:space="preserve"> 视频监控</w:t>
            </w:r>
            <w:r>
              <w:rPr>
                <w:rFonts w:hint="eastAsia" w:asciiTheme="majorEastAsia" w:hAnsiTheme="majorEastAsia" w:eastAsiaTheme="majorEastAsia" w:cstheme="majorEastAsia"/>
                <w:color w:val="auto"/>
                <w:sz w:val="21"/>
                <w:szCs w:val="21"/>
                <w:highlight w:val="none"/>
              </w:rPr>
              <w:t>设备</w:t>
            </w:r>
          </w:p>
        </w:tc>
        <w:tc>
          <w:tcPr>
            <w:tcW w:w="1630" w:type="dxa"/>
            <w:vAlign w:val="center"/>
          </w:tcPr>
          <w:p w14:paraId="3271A6B4">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监视器</w:t>
            </w:r>
          </w:p>
        </w:tc>
        <w:tc>
          <w:tcPr>
            <w:tcW w:w="3690" w:type="dxa"/>
            <w:vAlign w:val="center"/>
          </w:tcPr>
          <w:p w14:paraId="23F94672">
            <w:pPr>
              <w:pStyle w:val="108"/>
              <w:spacing w:before="61"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以射频信号为主要信号输入的监</w:t>
            </w:r>
            <w:r>
              <w:rPr>
                <w:rFonts w:hint="eastAsia" w:asciiTheme="majorEastAsia" w:hAnsiTheme="majorEastAsia" w:eastAsiaTheme="majorEastAsia" w:cstheme="majorEastAsia"/>
                <w:color w:val="auto"/>
                <w:spacing w:val="-9"/>
                <w:sz w:val="21"/>
                <w:szCs w:val="21"/>
                <w:highlight w:val="none"/>
                <w:lang w:eastAsia="zh-CN"/>
              </w:rPr>
              <w:t>视器应符合《平板电视能效限定值</w:t>
            </w:r>
            <w:r>
              <w:rPr>
                <w:rFonts w:hint="eastAsia" w:asciiTheme="majorEastAsia" w:hAnsiTheme="majorEastAsia" w:eastAsiaTheme="majorEastAsia" w:cstheme="majorEastAsia"/>
                <w:color w:val="auto"/>
                <w:sz w:val="21"/>
                <w:szCs w:val="21"/>
                <w:highlight w:val="none"/>
                <w:lang w:eastAsia="zh-CN"/>
              </w:rPr>
              <w:t>及能效等级》（GB 24850），</w:t>
            </w:r>
          </w:p>
          <w:p w14:paraId="59A17B59">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以数字信号为主要信号输入的监</w:t>
            </w:r>
          </w:p>
          <w:p w14:paraId="24D1E7F2">
            <w:pPr>
              <w:pStyle w:val="108"/>
              <w:spacing w:before="2"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视器应符合《计算机显示器能效限</w:t>
            </w:r>
            <w:r>
              <w:rPr>
                <w:rFonts w:hint="eastAsia" w:asciiTheme="majorEastAsia" w:hAnsiTheme="majorEastAsia" w:eastAsiaTheme="majorEastAsia" w:cstheme="majorEastAsia"/>
                <w:color w:val="auto"/>
                <w:sz w:val="21"/>
                <w:szCs w:val="21"/>
                <w:highlight w:val="none"/>
                <w:lang w:eastAsia="zh-CN"/>
              </w:rPr>
              <w:t>定值及能效等级》（GB 21520）</w:t>
            </w:r>
          </w:p>
        </w:tc>
      </w:tr>
      <w:tr w14:paraId="13213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74" w:type="dxa"/>
            <w:vAlign w:val="center"/>
          </w:tcPr>
          <w:p w14:paraId="737B7AAF">
            <w:pPr>
              <w:pStyle w:val="108"/>
              <w:spacing w:before="9" w:after="0" w:line="240" w:lineRule="auto"/>
              <w:jc w:val="center"/>
              <w:rPr>
                <w:rFonts w:asciiTheme="majorEastAsia" w:hAnsiTheme="majorEastAsia" w:eastAsiaTheme="majorEastAsia" w:cstheme="majorEastAsia"/>
                <w:color w:val="auto"/>
                <w:sz w:val="21"/>
                <w:szCs w:val="21"/>
                <w:highlight w:val="none"/>
                <w:lang w:eastAsia="zh-CN"/>
              </w:rPr>
            </w:pPr>
          </w:p>
          <w:p w14:paraId="5F9234BB">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w:t>
            </w:r>
          </w:p>
        </w:tc>
        <w:tc>
          <w:tcPr>
            <w:tcW w:w="1167" w:type="dxa"/>
            <w:vAlign w:val="center"/>
          </w:tcPr>
          <w:p w14:paraId="78984D31">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A031210 饮食炊事机械</w:t>
            </w:r>
          </w:p>
        </w:tc>
        <w:tc>
          <w:tcPr>
            <w:tcW w:w="1801" w:type="dxa"/>
            <w:vAlign w:val="center"/>
          </w:tcPr>
          <w:p w14:paraId="16064CDD">
            <w:pPr>
              <w:pStyle w:val="108"/>
              <w:spacing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商用燃气灶具</w:t>
            </w:r>
          </w:p>
        </w:tc>
        <w:tc>
          <w:tcPr>
            <w:tcW w:w="1630" w:type="dxa"/>
            <w:vAlign w:val="center"/>
          </w:tcPr>
          <w:p w14:paraId="0572C921">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113B32FA">
            <w:pPr>
              <w:pStyle w:val="108"/>
              <w:spacing w:before="109"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《商用燃气灶具能效限定值及能效等级》（GB 30531）</w:t>
            </w:r>
          </w:p>
        </w:tc>
      </w:tr>
      <w:tr w14:paraId="55058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74" w:type="dxa"/>
            <w:vMerge w:val="restart"/>
            <w:vAlign w:val="center"/>
          </w:tcPr>
          <w:p w14:paraId="18EC61C2">
            <w:pPr>
              <w:pStyle w:val="108"/>
              <w:spacing w:after="0" w:line="240" w:lineRule="auto"/>
              <w:jc w:val="center"/>
              <w:rPr>
                <w:rFonts w:asciiTheme="majorEastAsia" w:hAnsiTheme="majorEastAsia" w:eastAsiaTheme="majorEastAsia" w:cstheme="majorEastAsia"/>
                <w:color w:val="auto"/>
                <w:sz w:val="21"/>
                <w:szCs w:val="21"/>
                <w:highlight w:val="none"/>
                <w:lang w:eastAsia="zh-CN"/>
              </w:rPr>
            </w:pPr>
          </w:p>
          <w:p w14:paraId="68D2EFC2">
            <w:pPr>
              <w:pStyle w:val="108"/>
              <w:spacing w:before="17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w:t>
            </w:r>
          </w:p>
        </w:tc>
        <w:tc>
          <w:tcPr>
            <w:tcW w:w="1167" w:type="dxa"/>
            <w:vMerge w:val="restart"/>
            <w:vAlign w:val="center"/>
          </w:tcPr>
          <w:p w14:paraId="39DCB7F2">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★A060805 便器</w:t>
            </w:r>
          </w:p>
        </w:tc>
        <w:tc>
          <w:tcPr>
            <w:tcW w:w="1801" w:type="dxa"/>
            <w:vAlign w:val="center"/>
          </w:tcPr>
          <w:p w14:paraId="004EDF77">
            <w:pPr>
              <w:pStyle w:val="108"/>
              <w:spacing w:before="5" w:after="0" w:line="240" w:lineRule="auto"/>
              <w:jc w:val="center"/>
              <w:rPr>
                <w:rFonts w:asciiTheme="majorEastAsia" w:hAnsiTheme="majorEastAsia" w:eastAsiaTheme="majorEastAsia" w:cstheme="majorEastAsia"/>
                <w:color w:val="auto"/>
                <w:sz w:val="21"/>
                <w:szCs w:val="21"/>
                <w:highlight w:val="none"/>
              </w:rPr>
            </w:pPr>
          </w:p>
          <w:p w14:paraId="0B09793F">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坐便器</w:t>
            </w:r>
          </w:p>
        </w:tc>
        <w:tc>
          <w:tcPr>
            <w:tcW w:w="1630" w:type="dxa"/>
            <w:vAlign w:val="center"/>
          </w:tcPr>
          <w:p w14:paraId="385C2FE3">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06130007">
            <w:pPr>
              <w:pStyle w:val="108"/>
              <w:spacing w:before="15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《坐便器水效限定值及水效等级</w:t>
            </w:r>
          </w:p>
          <w:p w14:paraId="7A6E7E87">
            <w:pPr>
              <w:pStyle w:val="108"/>
              <w:spacing w:before="56"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（GB 25502）</w:t>
            </w:r>
          </w:p>
        </w:tc>
      </w:tr>
      <w:tr w14:paraId="6E7B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74" w:type="dxa"/>
            <w:vMerge w:val="continue"/>
            <w:tcBorders>
              <w:top w:val="nil"/>
            </w:tcBorders>
            <w:vAlign w:val="center"/>
          </w:tcPr>
          <w:p w14:paraId="72884918">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58BE5385">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46C292E7">
            <w:pPr>
              <w:pStyle w:val="108"/>
              <w:spacing w:before="5" w:after="0" w:line="240" w:lineRule="auto"/>
              <w:jc w:val="center"/>
              <w:rPr>
                <w:rFonts w:asciiTheme="majorEastAsia" w:hAnsiTheme="majorEastAsia" w:eastAsiaTheme="majorEastAsia" w:cstheme="majorEastAsia"/>
                <w:color w:val="auto"/>
                <w:sz w:val="21"/>
                <w:szCs w:val="21"/>
                <w:highlight w:val="none"/>
              </w:rPr>
            </w:pPr>
          </w:p>
          <w:p w14:paraId="2F856ABB">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蹲便器</w:t>
            </w:r>
          </w:p>
        </w:tc>
        <w:tc>
          <w:tcPr>
            <w:tcW w:w="1630" w:type="dxa"/>
            <w:vAlign w:val="center"/>
          </w:tcPr>
          <w:p w14:paraId="3F953A49">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1A4683E0">
            <w:pPr>
              <w:pStyle w:val="108"/>
              <w:spacing w:before="15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《蹲便器用水效率限定值及用水效率等级》（GB 30717）</w:t>
            </w:r>
          </w:p>
        </w:tc>
      </w:tr>
      <w:tr w14:paraId="0582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74" w:type="dxa"/>
            <w:vMerge w:val="continue"/>
            <w:tcBorders>
              <w:top w:val="nil"/>
            </w:tcBorders>
            <w:vAlign w:val="center"/>
          </w:tcPr>
          <w:p w14:paraId="25967719">
            <w:pPr>
              <w:spacing w:after="0" w:line="240" w:lineRule="auto"/>
              <w:jc w:val="center"/>
              <w:rPr>
                <w:rFonts w:asciiTheme="majorEastAsia" w:hAnsiTheme="majorEastAsia" w:eastAsiaTheme="majorEastAsia" w:cstheme="majorEastAsia"/>
                <w:color w:val="auto"/>
                <w:szCs w:val="21"/>
                <w:highlight w:val="none"/>
              </w:rPr>
            </w:pPr>
          </w:p>
        </w:tc>
        <w:tc>
          <w:tcPr>
            <w:tcW w:w="1167" w:type="dxa"/>
            <w:vMerge w:val="continue"/>
            <w:tcBorders>
              <w:top w:val="nil"/>
            </w:tcBorders>
            <w:vAlign w:val="center"/>
          </w:tcPr>
          <w:p w14:paraId="105A5BFD">
            <w:pPr>
              <w:spacing w:after="0" w:line="240" w:lineRule="auto"/>
              <w:jc w:val="center"/>
              <w:rPr>
                <w:rFonts w:asciiTheme="majorEastAsia" w:hAnsiTheme="majorEastAsia" w:eastAsiaTheme="majorEastAsia" w:cstheme="majorEastAsia"/>
                <w:color w:val="auto"/>
                <w:szCs w:val="21"/>
                <w:highlight w:val="none"/>
              </w:rPr>
            </w:pPr>
          </w:p>
        </w:tc>
        <w:tc>
          <w:tcPr>
            <w:tcW w:w="1801" w:type="dxa"/>
            <w:vAlign w:val="center"/>
          </w:tcPr>
          <w:p w14:paraId="3C646F61">
            <w:pPr>
              <w:pStyle w:val="108"/>
              <w:spacing w:before="5" w:after="0" w:line="240" w:lineRule="auto"/>
              <w:jc w:val="center"/>
              <w:rPr>
                <w:rFonts w:asciiTheme="majorEastAsia" w:hAnsiTheme="majorEastAsia" w:eastAsiaTheme="majorEastAsia" w:cstheme="majorEastAsia"/>
                <w:color w:val="auto"/>
                <w:sz w:val="21"/>
                <w:szCs w:val="21"/>
                <w:highlight w:val="none"/>
                <w:lang w:eastAsia="zh-CN"/>
              </w:rPr>
            </w:pPr>
          </w:p>
          <w:p w14:paraId="61C6DD8B">
            <w:pPr>
              <w:pStyle w:val="108"/>
              <w:spacing w:before="1"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小便器</w:t>
            </w:r>
          </w:p>
        </w:tc>
        <w:tc>
          <w:tcPr>
            <w:tcW w:w="1630" w:type="dxa"/>
            <w:vAlign w:val="center"/>
          </w:tcPr>
          <w:p w14:paraId="1EAE18CB">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5E61C45A">
            <w:pPr>
              <w:pStyle w:val="108"/>
              <w:spacing w:before="157"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《小便器用水效率限定值及用水效率等级》（GB 28377）</w:t>
            </w:r>
          </w:p>
        </w:tc>
      </w:tr>
      <w:tr w14:paraId="09FD0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4" w:type="dxa"/>
            <w:vAlign w:val="center"/>
          </w:tcPr>
          <w:p w14:paraId="32C5377F">
            <w:pPr>
              <w:pStyle w:val="108"/>
              <w:spacing w:before="114" w:after="0" w:line="240" w:lineRule="auto"/>
              <w:jc w:val="center"/>
              <w:rPr>
                <w:rFonts w:asciiTheme="majorEastAsia" w:hAnsiTheme="majorEastAsia" w:eastAsiaTheme="majorEastAsia" w:cstheme="majorEastAsia"/>
                <w:color w:val="auto"/>
                <w:sz w:val="21"/>
                <w:szCs w:val="21"/>
                <w:highlight w:val="none"/>
                <w:lang w:eastAsia="zh-CN"/>
              </w:rPr>
            </w:pPr>
          </w:p>
          <w:p w14:paraId="6B5B5B7C">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w:t>
            </w:r>
          </w:p>
        </w:tc>
        <w:tc>
          <w:tcPr>
            <w:tcW w:w="1167" w:type="dxa"/>
            <w:vAlign w:val="center"/>
          </w:tcPr>
          <w:p w14:paraId="47A09189">
            <w:pPr>
              <w:pStyle w:val="108"/>
              <w:spacing w:before="114" w:after="0" w:line="240" w:lineRule="auto"/>
              <w:jc w:val="center"/>
              <w:rPr>
                <w:rFonts w:asciiTheme="majorEastAsia" w:hAnsiTheme="majorEastAsia" w:eastAsiaTheme="majorEastAsia" w:cstheme="majorEastAsia"/>
                <w:color w:val="auto"/>
                <w:sz w:val="21"/>
                <w:szCs w:val="21"/>
                <w:highlight w:val="none"/>
              </w:rPr>
            </w:pPr>
          </w:p>
          <w:p w14:paraId="6D2C8E6A">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★A060806 水嘴</w:t>
            </w:r>
          </w:p>
        </w:tc>
        <w:tc>
          <w:tcPr>
            <w:tcW w:w="1801" w:type="dxa"/>
            <w:vAlign w:val="center"/>
          </w:tcPr>
          <w:p w14:paraId="16CED0C1">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630" w:type="dxa"/>
            <w:vAlign w:val="center"/>
          </w:tcPr>
          <w:p w14:paraId="565A660B">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252E24C1">
            <w:pPr>
              <w:pStyle w:val="108"/>
              <w:spacing w:before="1"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《水嘴用水效率限定值及用水效率等级》（GB 25501）</w:t>
            </w:r>
          </w:p>
        </w:tc>
      </w:tr>
      <w:tr w14:paraId="021C5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74" w:type="dxa"/>
            <w:vAlign w:val="center"/>
          </w:tcPr>
          <w:p w14:paraId="40C0DA50">
            <w:pPr>
              <w:pStyle w:val="108"/>
              <w:spacing w:before="114" w:after="0" w:line="240" w:lineRule="auto"/>
              <w:jc w:val="center"/>
              <w:rPr>
                <w:rFonts w:asciiTheme="majorEastAsia" w:hAnsiTheme="majorEastAsia" w:eastAsiaTheme="majorEastAsia" w:cstheme="majorEastAsia"/>
                <w:color w:val="auto"/>
                <w:sz w:val="21"/>
                <w:szCs w:val="21"/>
                <w:highlight w:val="none"/>
                <w:lang w:eastAsia="zh-CN"/>
              </w:rPr>
            </w:pPr>
          </w:p>
          <w:p w14:paraId="172A95F0">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17</w:t>
            </w:r>
          </w:p>
        </w:tc>
        <w:tc>
          <w:tcPr>
            <w:tcW w:w="1167" w:type="dxa"/>
            <w:vAlign w:val="center"/>
          </w:tcPr>
          <w:p w14:paraId="1A8E3951">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A060807 便器冲洗阀</w:t>
            </w:r>
          </w:p>
        </w:tc>
        <w:tc>
          <w:tcPr>
            <w:tcW w:w="1801" w:type="dxa"/>
            <w:vAlign w:val="center"/>
          </w:tcPr>
          <w:p w14:paraId="582D3390">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630" w:type="dxa"/>
            <w:vAlign w:val="center"/>
          </w:tcPr>
          <w:p w14:paraId="01C48982">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3CEDA63E">
            <w:pPr>
              <w:pStyle w:val="108"/>
              <w:spacing w:before="145"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《便器冲洗阀用水效率限定值及用水效率等级》（GB 28379）</w:t>
            </w:r>
          </w:p>
        </w:tc>
      </w:tr>
      <w:tr w14:paraId="01EF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74" w:type="dxa"/>
            <w:vAlign w:val="center"/>
          </w:tcPr>
          <w:p w14:paraId="6ECCF391">
            <w:pPr>
              <w:pStyle w:val="108"/>
              <w:spacing w:before="114" w:after="0" w:line="240" w:lineRule="auto"/>
              <w:jc w:val="center"/>
              <w:rPr>
                <w:rFonts w:asciiTheme="majorEastAsia" w:hAnsiTheme="majorEastAsia" w:eastAsiaTheme="majorEastAsia" w:cstheme="majorEastAsia"/>
                <w:color w:val="auto"/>
                <w:sz w:val="21"/>
                <w:szCs w:val="21"/>
                <w:highlight w:val="none"/>
                <w:lang w:eastAsia="zh-CN"/>
              </w:rPr>
            </w:pPr>
          </w:p>
          <w:p w14:paraId="17BD47CB">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18</w:t>
            </w:r>
          </w:p>
        </w:tc>
        <w:tc>
          <w:tcPr>
            <w:tcW w:w="1167" w:type="dxa"/>
            <w:vAlign w:val="center"/>
          </w:tcPr>
          <w:p w14:paraId="7FD4DC45">
            <w:pPr>
              <w:pStyle w:val="108"/>
              <w:spacing w:before="114" w:after="0" w:line="24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A060810 淋浴器</w:t>
            </w:r>
          </w:p>
        </w:tc>
        <w:tc>
          <w:tcPr>
            <w:tcW w:w="1801" w:type="dxa"/>
            <w:vAlign w:val="center"/>
          </w:tcPr>
          <w:p w14:paraId="6FDE10AA">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1630" w:type="dxa"/>
            <w:vAlign w:val="center"/>
          </w:tcPr>
          <w:p w14:paraId="3835B521">
            <w:pPr>
              <w:pStyle w:val="108"/>
              <w:spacing w:after="0" w:line="240" w:lineRule="auto"/>
              <w:jc w:val="center"/>
              <w:rPr>
                <w:rFonts w:asciiTheme="majorEastAsia" w:hAnsiTheme="majorEastAsia" w:eastAsiaTheme="majorEastAsia" w:cstheme="majorEastAsia"/>
                <w:color w:val="auto"/>
                <w:sz w:val="21"/>
                <w:szCs w:val="21"/>
                <w:highlight w:val="none"/>
              </w:rPr>
            </w:pPr>
          </w:p>
        </w:tc>
        <w:tc>
          <w:tcPr>
            <w:tcW w:w="3690" w:type="dxa"/>
            <w:vAlign w:val="center"/>
          </w:tcPr>
          <w:p w14:paraId="71B69D30">
            <w:pPr>
              <w:pStyle w:val="108"/>
              <w:spacing w:before="164" w:after="0" w:line="24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《淋浴器用水效率限定值及用水效率等级》（GB 28378）</w:t>
            </w:r>
          </w:p>
        </w:tc>
      </w:tr>
    </w:tbl>
    <w:p w14:paraId="1FA73A27">
      <w:pPr>
        <w:pStyle w:val="2"/>
        <w:spacing w:after="0" w:line="240" w:lineRule="auto"/>
        <w:ind w:left="119" w:right="51"/>
        <w:rPr>
          <w:color w:val="auto"/>
          <w:highlight w:val="none"/>
        </w:rPr>
      </w:pPr>
      <w:r>
        <w:rPr>
          <w:color w:val="auto"/>
          <w:highlight w:val="none"/>
        </w:rPr>
        <w:t>注：</w:t>
      </w:r>
      <w:r>
        <w:rPr>
          <w:rFonts w:hint="eastAsia"/>
          <w:color w:val="auto"/>
          <w:highlight w:val="none"/>
        </w:rPr>
        <w:t>1.</w:t>
      </w:r>
      <w:r>
        <w:rPr>
          <w:color w:val="auto"/>
          <w:highlight w:val="none"/>
        </w:rPr>
        <w:t>节能产品认证应依据相关国家标准的最新版本，依据国家标准中二级能效（水效） 指标。</w:t>
      </w:r>
    </w:p>
    <w:p w14:paraId="2D4A1757">
      <w:pPr>
        <w:pStyle w:val="103"/>
        <w:tabs>
          <w:tab w:val="left" w:pos="784"/>
        </w:tabs>
        <w:spacing w:after="0" w:line="360" w:lineRule="auto"/>
        <w:ind w:left="420" w:leftChars="200" w:right="228" w:firstLine="0" w:firstLineChars="0"/>
        <w:jc w:val="left"/>
        <w:rPr>
          <w:color w:val="auto"/>
          <w:sz w:val="22"/>
          <w:highlight w:val="none"/>
        </w:rPr>
      </w:pPr>
      <w:r>
        <w:rPr>
          <w:rFonts w:hint="eastAsia"/>
          <w:color w:val="auto"/>
          <w:spacing w:val="-1"/>
          <w:sz w:val="22"/>
          <w:highlight w:val="none"/>
        </w:rPr>
        <w:t>2.</w:t>
      </w:r>
      <w:r>
        <w:rPr>
          <w:color w:val="auto"/>
          <w:spacing w:val="-1"/>
          <w:sz w:val="22"/>
          <w:highlight w:val="none"/>
        </w:rPr>
        <w:t>上述产品中认证标准发生变更的，依据原认证标准获得的、仍在有效期内的认证</w:t>
      </w:r>
      <w:r>
        <w:rPr>
          <w:color w:val="auto"/>
          <w:spacing w:val="-9"/>
          <w:sz w:val="22"/>
          <w:highlight w:val="none"/>
        </w:rPr>
        <w:t>证书</w:t>
      </w:r>
    </w:p>
    <w:p w14:paraId="1E2A4E91">
      <w:pPr>
        <w:pStyle w:val="103"/>
        <w:tabs>
          <w:tab w:val="left" w:pos="784"/>
        </w:tabs>
        <w:spacing w:after="0" w:line="360" w:lineRule="auto"/>
        <w:ind w:left="420" w:leftChars="200" w:right="228" w:firstLine="0" w:firstLineChars="0"/>
        <w:jc w:val="left"/>
        <w:rPr>
          <w:color w:val="auto"/>
          <w:sz w:val="22"/>
          <w:highlight w:val="none"/>
        </w:rPr>
      </w:pPr>
      <w:r>
        <w:rPr>
          <w:color w:val="auto"/>
          <w:spacing w:val="-9"/>
          <w:sz w:val="22"/>
          <w:highlight w:val="none"/>
        </w:rPr>
        <w:t xml:space="preserve">可使用至 </w:t>
      </w:r>
      <w:r>
        <w:rPr>
          <w:color w:val="auto"/>
          <w:sz w:val="22"/>
          <w:highlight w:val="none"/>
        </w:rPr>
        <w:t>2019</w:t>
      </w:r>
      <w:r>
        <w:rPr>
          <w:color w:val="auto"/>
          <w:spacing w:val="-37"/>
          <w:sz w:val="22"/>
          <w:highlight w:val="none"/>
        </w:rPr>
        <w:t xml:space="preserve"> 年 </w:t>
      </w:r>
      <w:r>
        <w:rPr>
          <w:rFonts w:hint="eastAsia"/>
          <w:color w:val="auto"/>
          <w:spacing w:val="-37"/>
          <w:sz w:val="22"/>
          <w:highlight w:val="none"/>
        </w:rPr>
        <w:t>6</w:t>
      </w:r>
      <w:r>
        <w:rPr>
          <w:color w:val="auto"/>
          <w:spacing w:val="-38"/>
          <w:sz w:val="22"/>
          <w:highlight w:val="none"/>
        </w:rPr>
        <w:t xml:space="preserve">月 </w:t>
      </w:r>
      <w:r>
        <w:rPr>
          <w:rFonts w:hint="eastAsia"/>
          <w:color w:val="auto"/>
          <w:spacing w:val="-38"/>
          <w:sz w:val="22"/>
          <w:highlight w:val="none"/>
        </w:rPr>
        <w:t>1</w:t>
      </w:r>
      <w:r>
        <w:rPr>
          <w:color w:val="auto"/>
          <w:spacing w:val="-19"/>
          <w:sz w:val="22"/>
          <w:highlight w:val="none"/>
        </w:rPr>
        <w:t xml:space="preserve"> 日。</w:t>
      </w:r>
    </w:p>
    <w:p w14:paraId="62CF9CA4">
      <w:pPr>
        <w:pStyle w:val="103"/>
        <w:tabs>
          <w:tab w:val="left" w:pos="784"/>
        </w:tabs>
        <w:spacing w:after="0" w:line="360" w:lineRule="auto"/>
        <w:ind w:firstLine="428"/>
        <w:jc w:val="left"/>
        <w:rPr>
          <w:color w:val="auto"/>
          <w:spacing w:val="-3"/>
          <w:sz w:val="22"/>
          <w:highlight w:val="none"/>
        </w:rPr>
      </w:pPr>
      <w:r>
        <w:rPr>
          <w:rFonts w:hint="eastAsia"/>
          <w:color w:val="auto"/>
          <w:spacing w:val="-3"/>
          <w:sz w:val="22"/>
          <w:highlight w:val="none"/>
        </w:rPr>
        <w:t>3.</w:t>
      </w:r>
      <w:r>
        <w:rPr>
          <w:color w:val="auto"/>
          <w:spacing w:val="-3"/>
          <w:sz w:val="22"/>
          <w:highlight w:val="none"/>
        </w:rPr>
        <w:t>以“★”标注的为政府强制采购产品。</w:t>
      </w:r>
    </w:p>
    <w:p w14:paraId="11AF315D">
      <w:pPr>
        <w:pStyle w:val="103"/>
        <w:tabs>
          <w:tab w:val="left" w:pos="784"/>
        </w:tabs>
        <w:spacing w:after="0" w:line="360" w:lineRule="auto"/>
        <w:ind w:firstLine="428"/>
        <w:jc w:val="left"/>
        <w:rPr>
          <w:color w:val="auto"/>
          <w:spacing w:val="-3"/>
          <w:sz w:val="22"/>
          <w:highlight w:val="none"/>
        </w:rPr>
      </w:pPr>
      <w:r>
        <w:rPr>
          <w:color w:val="auto"/>
          <w:spacing w:val="-3"/>
          <w:sz w:val="22"/>
          <w:highlight w:val="none"/>
        </w:rPr>
        <w:br w:type="page"/>
      </w:r>
    </w:p>
    <w:p w14:paraId="572C98BD">
      <w:pPr>
        <w:pStyle w:val="3"/>
        <w:numPr>
          <w:ilvl w:val="0"/>
          <w:numId w:val="8"/>
        </w:numPr>
        <w:spacing w:line="800" w:lineRule="exact"/>
        <w:jc w:val="center"/>
        <w:rPr>
          <w:rFonts w:asciiTheme="majorEastAsia" w:hAnsiTheme="majorEastAsia" w:eastAsiaTheme="majorEastAsia" w:cstheme="majorEastAsia"/>
          <w:color w:val="auto"/>
          <w:highlight w:val="none"/>
        </w:rPr>
      </w:pPr>
      <w:bookmarkStart w:id="54" w:name="_Toc16411"/>
      <w:r>
        <w:rPr>
          <w:rFonts w:hint="eastAsia" w:asciiTheme="majorEastAsia" w:hAnsiTheme="majorEastAsia" w:eastAsiaTheme="majorEastAsia" w:cstheme="majorEastAsia"/>
          <w:color w:val="auto"/>
          <w:highlight w:val="none"/>
        </w:rPr>
        <w:t>投标人须知</w:t>
      </w:r>
      <w:bookmarkEnd w:id="54"/>
    </w:p>
    <w:p w14:paraId="5FDC104F">
      <w:pPr>
        <w:pStyle w:val="3"/>
        <w:spacing w:line="600" w:lineRule="exact"/>
        <w:jc w:val="center"/>
        <w:rPr>
          <w:rFonts w:asciiTheme="majorEastAsia" w:hAnsiTheme="majorEastAsia" w:eastAsiaTheme="majorEastAsia" w:cstheme="majorEastAsia"/>
          <w:color w:val="auto"/>
          <w:sz w:val="36"/>
          <w:szCs w:val="36"/>
          <w:highlight w:val="none"/>
        </w:rPr>
      </w:pPr>
      <w:bookmarkStart w:id="55" w:name="_Toc4916"/>
      <w:r>
        <w:rPr>
          <w:rFonts w:hint="eastAsia" w:asciiTheme="majorEastAsia" w:hAnsiTheme="majorEastAsia" w:eastAsiaTheme="majorEastAsia" w:cstheme="majorEastAsia"/>
          <w:color w:val="auto"/>
          <w:sz w:val="36"/>
          <w:szCs w:val="36"/>
          <w:highlight w:val="none"/>
        </w:rPr>
        <w:t>投标人须知前附表</w:t>
      </w:r>
      <w:bookmarkEnd w:id="51"/>
      <w:bookmarkEnd w:id="52"/>
      <w:bookmarkEnd w:id="55"/>
    </w:p>
    <w:tbl>
      <w:tblPr>
        <w:tblStyle w:val="50"/>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76865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4E6F9A7">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38B9E1AF">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编列内容</w:t>
            </w:r>
          </w:p>
        </w:tc>
      </w:tr>
      <w:tr w14:paraId="342EC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E997A6B">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028C35B8">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投标人的资格要求：详见招标公告。</w:t>
            </w:r>
          </w:p>
        </w:tc>
      </w:tr>
      <w:tr w14:paraId="08CF9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05E1791">
            <w:pPr>
              <w:spacing w:line="400" w:lineRule="exact"/>
              <w:jc w:val="center"/>
              <w:rPr>
                <w:rFonts w:asciiTheme="majorEastAsia" w:hAnsiTheme="majorEastAsia" w:eastAsiaTheme="majorEastAsia" w:cstheme="majorEastAsia"/>
                <w:color w:val="auto"/>
                <w:szCs w:val="21"/>
                <w:highlight w:val="none"/>
              </w:rPr>
            </w:pPr>
            <w:bookmarkStart w:id="56" w:name="_9.2"/>
            <w:bookmarkEnd w:id="56"/>
            <w:bookmarkStart w:id="57" w:name="_8.1"/>
            <w:bookmarkEnd w:id="57"/>
            <w:bookmarkStart w:id="58" w:name="_5"/>
            <w:bookmarkEnd w:id="58"/>
            <w:r>
              <w:rPr>
                <w:rFonts w:hint="eastAsia" w:asciiTheme="majorEastAsia" w:hAnsiTheme="majorEastAsia" w:eastAsiaTheme="majorEastAsia" w:cstheme="majorEastAsia"/>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208FF9C">
            <w:pPr>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本项目是否接受联合体投标：详见招标公告。</w:t>
            </w:r>
          </w:p>
        </w:tc>
      </w:tr>
      <w:tr w14:paraId="59AFA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65D241B">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6E659B4">
            <w:pPr>
              <w:spacing w:line="340" w:lineRule="exact"/>
              <w:jc w:val="left"/>
              <w:rPr>
                <w:b/>
                <w:bCs/>
                <w:color w:val="auto"/>
                <w:highlight w:val="none"/>
              </w:rPr>
            </w:pPr>
            <w:r>
              <w:rPr>
                <w:rFonts w:hint="eastAsia"/>
                <w:b/>
                <w:bCs/>
                <w:color w:val="auto"/>
                <w:highlight w:val="none"/>
              </w:rPr>
              <w:t>分包：</w:t>
            </w:r>
          </w:p>
          <w:p w14:paraId="32ED271E">
            <w:pPr>
              <w:spacing w:line="340" w:lineRule="exact"/>
              <w:jc w:val="left"/>
              <w:rPr>
                <w:color w:val="auto"/>
                <w:highlight w:val="none"/>
              </w:rPr>
            </w:pPr>
            <w:r>
              <w:rPr>
                <w:rFonts w:hint="eastAsia"/>
                <w:color w:val="auto"/>
                <w:highlight w:val="none"/>
              </w:rPr>
              <w:t>本项目不允许分包。</w:t>
            </w:r>
          </w:p>
        </w:tc>
      </w:tr>
      <w:tr w14:paraId="553BD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881705C">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7D91BA6C">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本项目采用综合评分法。</w:t>
            </w:r>
          </w:p>
          <w:p w14:paraId="4FD1FE52">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14:paraId="5D21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791CE45E">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3425075A">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本项目不组织现场考察</w:t>
            </w:r>
          </w:p>
        </w:tc>
      </w:tr>
      <w:tr w14:paraId="2F3D0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3F5AFBBA">
            <w:pPr>
              <w:spacing w:line="400" w:lineRule="exact"/>
              <w:jc w:val="center"/>
              <w:rPr>
                <w:rFonts w:asciiTheme="majorEastAsia" w:hAnsiTheme="majorEastAsia" w:eastAsiaTheme="majorEastAsia" w:cstheme="majorEastAsia"/>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788B7EE1">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本项目不组织召开开标前答疑会/组织召开开标前答疑会</w:t>
            </w:r>
          </w:p>
        </w:tc>
      </w:tr>
      <w:tr w14:paraId="29433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EFECB95">
            <w:pPr>
              <w:spacing w:line="400" w:lineRule="exact"/>
              <w:jc w:val="center"/>
              <w:rPr>
                <w:rFonts w:asciiTheme="majorEastAsia" w:hAnsiTheme="majorEastAsia" w:eastAsiaTheme="majorEastAsia" w:cstheme="majorEastAsia"/>
                <w:color w:val="auto"/>
                <w:szCs w:val="21"/>
                <w:highlight w:val="none"/>
              </w:rPr>
            </w:pPr>
            <w:bookmarkStart w:id="59" w:name="_13.1"/>
            <w:bookmarkEnd w:id="59"/>
            <w:r>
              <w:rPr>
                <w:rFonts w:hint="eastAsia" w:asciiTheme="majorEastAsia" w:hAnsiTheme="majorEastAsia" w:eastAsiaTheme="majorEastAsia" w:cstheme="majorEastAsia"/>
                <w:color w:val="auto"/>
                <w:szCs w:val="21"/>
                <w:highlight w:val="none"/>
              </w:rPr>
              <w:t>13.</w:t>
            </w:r>
            <w:bookmarkStart w:id="60" w:name="_Hlt19632543"/>
            <w:r>
              <w:rPr>
                <w:rFonts w:hint="eastAsia" w:asciiTheme="majorEastAsia" w:hAnsiTheme="majorEastAsia" w:eastAsiaTheme="majorEastAsia" w:cstheme="majorEastAsia"/>
                <w:color w:val="auto"/>
                <w:szCs w:val="21"/>
                <w:highlight w:val="none"/>
              </w:rPr>
              <w:t>1</w:t>
            </w:r>
            <w:bookmarkEnd w:id="60"/>
          </w:p>
        </w:tc>
        <w:tc>
          <w:tcPr>
            <w:tcW w:w="8708" w:type="dxa"/>
            <w:tcBorders>
              <w:top w:val="single" w:color="auto" w:sz="4" w:space="0"/>
              <w:left w:val="single" w:color="auto" w:sz="4" w:space="0"/>
              <w:bottom w:val="single" w:color="auto" w:sz="4" w:space="0"/>
              <w:right w:val="single" w:color="auto" w:sz="4" w:space="0"/>
            </w:tcBorders>
            <w:vAlign w:val="center"/>
          </w:tcPr>
          <w:p w14:paraId="60863170">
            <w:pPr>
              <w:snapToGrid w:val="0"/>
              <w:spacing w:line="400" w:lineRule="exact"/>
              <w:jc w:val="lef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 xml:space="preserve">报价文件: </w:t>
            </w:r>
          </w:p>
          <w:p w14:paraId="2C594E4F">
            <w:pPr>
              <w:tabs>
                <w:tab w:val="left" w:pos="459"/>
              </w:tabs>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1、投标函（格式后附）；</w:t>
            </w:r>
            <w:r>
              <w:rPr>
                <w:rFonts w:hint="eastAsia" w:asciiTheme="majorEastAsia" w:hAnsiTheme="majorEastAsia" w:eastAsiaTheme="majorEastAsia" w:cstheme="majorEastAsia"/>
                <w:b/>
                <w:color w:val="auto"/>
                <w:szCs w:val="21"/>
                <w:highlight w:val="none"/>
              </w:rPr>
              <w:t>（必须提供，否则按无效投标处理）</w:t>
            </w:r>
          </w:p>
          <w:p w14:paraId="573A3012">
            <w:pPr>
              <w:tabs>
                <w:tab w:val="left" w:pos="459"/>
              </w:tabs>
              <w:snapToGrid w:val="0"/>
              <w:spacing w:line="400" w:lineRule="exact"/>
              <w:jc w:val="left"/>
              <w:rPr>
                <w:rFonts w:asciiTheme="majorEastAsia" w:hAnsiTheme="majorEastAsia" w:eastAsiaTheme="majorEastAsia" w:cstheme="majorEastAsia"/>
                <w:color w:val="auto"/>
                <w:szCs w:val="21"/>
                <w:highlight w:val="none"/>
              </w:rPr>
            </w:pPr>
            <w:bookmarkStart w:id="61" w:name="_Hlk71299233"/>
            <w:r>
              <w:rPr>
                <w:rFonts w:hint="eastAsia" w:asciiTheme="majorEastAsia" w:hAnsiTheme="majorEastAsia" w:eastAsiaTheme="majorEastAsia" w:cstheme="majorEastAsia"/>
                <w:color w:val="auto"/>
                <w:szCs w:val="21"/>
                <w:highlight w:val="none"/>
              </w:rPr>
              <w:t>2、开标一览表</w:t>
            </w:r>
            <w:bookmarkEnd w:id="61"/>
            <w:r>
              <w:rPr>
                <w:rFonts w:hint="eastAsia" w:asciiTheme="majorEastAsia" w:hAnsiTheme="majorEastAsia" w:eastAsiaTheme="majorEastAsia" w:cstheme="majorEastAsia"/>
                <w:color w:val="auto"/>
                <w:szCs w:val="21"/>
                <w:highlight w:val="none"/>
              </w:rPr>
              <w:t>（格式后附）； （</w:t>
            </w:r>
            <w:r>
              <w:rPr>
                <w:rFonts w:hint="eastAsia" w:asciiTheme="majorEastAsia" w:hAnsiTheme="majorEastAsia" w:eastAsiaTheme="majorEastAsia" w:cstheme="majorEastAsia"/>
                <w:b/>
                <w:color w:val="auto"/>
                <w:szCs w:val="21"/>
                <w:highlight w:val="none"/>
              </w:rPr>
              <w:t>必须提供，否则按无效投标处理</w:t>
            </w:r>
            <w:r>
              <w:rPr>
                <w:rFonts w:hint="eastAsia" w:asciiTheme="majorEastAsia" w:hAnsiTheme="majorEastAsia" w:eastAsiaTheme="majorEastAsia" w:cstheme="majorEastAsia"/>
                <w:color w:val="auto"/>
                <w:szCs w:val="21"/>
                <w:highlight w:val="none"/>
              </w:rPr>
              <w:t>）</w:t>
            </w:r>
          </w:p>
          <w:p w14:paraId="12542719">
            <w:pPr>
              <w:tabs>
                <w:tab w:val="left" w:pos="459"/>
              </w:tabs>
              <w:snapToGrid w:val="0"/>
              <w:spacing w:line="400" w:lineRule="exact"/>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3、投标报价明细表；（</w:t>
            </w:r>
            <w:r>
              <w:rPr>
                <w:rFonts w:hint="eastAsia" w:asciiTheme="majorEastAsia" w:hAnsiTheme="majorEastAsia" w:eastAsiaTheme="majorEastAsia" w:cstheme="majorEastAsia"/>
                <w:b/>
                <w:color w:val="auto"/>
                <w:szCs w:val="21"/>
                <w:highlight w:val="none"/>
              </w:rPr>
              <w:t>必须提供，否则作无效投标处理</w:t>
            </w:r>
            <w:r>
              <w:rPr>
                <w:rFonts w:hint="eastAsia" w:asciiTheme="majorEastAsia" w:hAnsiTheme="majorEastAsia" w:eastAsiaTheme="majorEastAsia" w:cstheme="majorEastAsia"/>
                <w:color w:val="auto"/>
                <w:szCs w:val="21"/>
                <w:highlight w:val="none"/>
              </w:rPr>
              <w:t>）</w:t>
            </w:r>
          </w:p>
          <w:p w14:paraId="4E1C7DF2">
            <w:pPr>
              <w:tabs>
                <w:tab w:val="left" w:pos="459"/>
              </w:tabs>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4、中小企业、残疾企业、监狱企业申明函；</w:t>
            </w:r>
            <w:r>
              <w:rPr>
                <w:rFonts w:hint="eastAsia" w:asciiTheme="majorEastAsia" w:hAnsiTheme="majorEastAsia" w:eastAsiaTheme="majorEastAsia" w:cstheme="majorEastAsia"/>
                <w:b/>
                <w:color w:val="auto"/>
                <w:szCs w:val="21"/>
                <w:highlight w:val="none"/>
              </w:rPr>
              <w:t>(如有，请真实提供)</w:t>
            </w:r>
          </w:p>
          <w:p w14:paraId="54E46D79">
            <w:pPr>
              <w:tabs>
                <w:tab w:val="left" w:pos="459"/>
              </w:tabs>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5、投标人针对报价需要说明的其他文件和说明（格式自拟）。</w:t>
            </w:r>
          </w:p>
          <w:p w14:paraId="08292DA0">
            <w:pPr>
              <w:snapToGrid w:val="0"/>
              <w:spacing w:line="40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注：投标函、开标一览表必须由法定代表人或者委托代理人在规定签章处逐一签字并加盖投标人公章，否则按无效投标</w:t>
            </w:r>
            <w:r>
              <w:rPr>
                <w:rFonts w:hint="eastAsia" w:asciiTheme="majorEastAsia" w:hAnsiTheme="majorEastAsia" w:eastAsiaTheme="majorEastAsia" w:cstheme="majorEastAsia"/>
                <w:b/>
                <w:color w:val="auto"/>
                <w:szCs w:val="21"/>
                <w:highlight w:val="none"/>
              </w:rPr>
              <w:t>处理</w:t>
            </w:r>
            <w:r>
              <w:rPr>
                <w:rFonts w:hint="eastAsia" w:asciiTheme="majorEastAsia" w:hAnsiTheme="majorEastAsia" w:eastAsiaTheme="majorEastAsia" w:cstheme="majorEastAsia"/>
                <w:b/>
                <w:bCs/>
                <w:color w:val="auto"/>
                <w:szCs w:val="21"/>
                <w:highlight w:val="none"/>
              </w:rPr>
              <w:t>。</w:t>
            </w:r>
          </w:p>
        </w:tc>
      </w:tr>
      <w:tr w14:paraId="01FF3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5CCA959F">
            <w:pPr>
              <w:spacing w:line="400" w:lineRule="exact"/>
              <w:rPr>
                <w:rFonts w:asciiTheme="majorEastAsia" w:hAnsiTheme="majorEastAsia" w:eastAsiaTheme="majorEastAsia" w:cstheme="majorEastAsia"/>
                <w:color w:val="auto"/>
                <w:szCs w:val="21"/>
                <w:highlight w:val="none"/>
              </w:rPr>
            </w:pPr>
            <w:bookmarkStart w:id="62" w:name="_13.2"/>
            <w:bookmarkEnd w:id="62"/>
          </w:p>
        </w:tc>
        <w:tc>
          <w:tcPr>
            <w:tcW w:w="8708" w:type="dxa"/>
            <w:tcBorders>
              <w:top w:val="single" w:color="auto" w:sz="4" w:space="0"/>
              <w:left w:val="single" w:color="auto" w:sz="4" w:space="0"/>
              <w:bottom w:val="single" w:color="auto" w:sz="4" w:space="0"/>
              <w:right w:val="single" w:color="auto" w:sz="4" w:space="0"/>
            </w:tcBorders>
            <w:vAlign w:val="center"/>
          </w:tcPr>
          <w:p w14:paraId="570E739C">
            <w:pPr>
              <w:snapToGrid w:val="0"/>
              <w:spacing w:line="400" w:lineRule="exact"/>
              <w:jc w:val="lef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 xml:space="preserve">资格证明文件: </w:t>
            </w:r>
          </w:p>
          <w:p w14:paraId="747FBA8D">
            <w:pPr>
              <w:autoSpaceDE w:val="0"/>
              <w:autoSpaceDN w:val="0"/>
              <w:snapToGrid w:val="0"/>
              <w:spacing w:line="400" w:lineRule="exact"/>
              <w:textAlignment w:val="bottom"/>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Theme="majorEastAsia" w:hAnsiTheme="majorEastAsia" w:eastAsiaTheme="majorEastAsia" w:cstheme="majorEastAsia"/>
                <w:b/>
                <w:color w:val="auto"/>
                <w:szCs w:val="21"/>
                <w:highlight w:val="none"/>
              </w:rPr>
              <w:t>（必须提供，否则投标文件按无效响应处理）</w:t>
            </w:r>
          </w:p>
          <w:p w14:paraId="5DCE1C90">
            <w:pPr>
              <w:autoSpaceDE w:val="0"/>
              <w:autoSpaceDN w:val="0"/>
              <w:snapToGrid w:val="0"/>
              <w:spacing w:line="400" w:lineRule="exact"/>
              <w:textAlignment w:val="bottom"/>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宋体" w:hAnsi="宋体" w:cs="宋体"/>
                <w:color w:val="auto"/>
                <w:szCs w:val="21"/>
                <w:highlight w:val="none"/>
              </w:rPr>
              <w:t>贵港市采购项目投标资格承诺函</w:t>
            </w:r>
            <w:r>
              <w:rPr>
                <w:rFonts w:hint="eastAsia" w:asciiTheme="majorEastAsia" w:hAnsiTheme="majorEastAsia" w:eastAsiaTheme="majorEastAsia" w:cstheme="majorEastAsia"/>
                <w:color w:val="auto"/>
                <w:szCs w:val="21"/>
                <w:highlight w:val="none"/>
              </w:rPr>
              <w:t>（格式后附）；</w:t>
            </w:r>
            <w:r>
              <w:rPr>
                <w:rFonts w:hint="eastAsia" w:asciiTheme="majorEastAsia" w:hAnsiTheme="majorEastAsia" w:eastAsiaTheme="majorEastAsia" w:cstheme="majorEastAsia"/>
                <w:b/>
                <w:color w:val="auto"/>
                <w:szCs w:val="21"/>
                <w:highlight w:val="none"/>
              </w:rPr>
              <w:t>（必须提供，否则按无效投标处理）</w:t>
            </w:r>
          </w:p>
          <w:p w14:paraId="187806C8">
            <w:pPr>
              <w:autoSpaceDE w:val="0"/>
              <w:autoSpaceDN w:val="0"/>
              <w:snapToGrid w:val="0"/>
              <w:spacing w:line="400" w:lineRule="exact"/>
              <w:textAlignment w:val="bottom"/>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3、投标人直接控股、管理关系信息表（格式后附）；</w:t>
            </w:r>
            <w:r>
              <w:rPr>
                <w:rFonts w:hint="eastAsia" w:asciiTheme="majorEastAsia" w:hAnsiTheme="majorEastAsia" w:eastAsiaTheme="majorEastAsia" w:cstheme="majorEastAsia"/>
                <w:b/>
                <w:color w:val="auto"/>
                <w:szCs w:val="21"/>
                <w:highlight w:val="none"/>
              </w:rPr>
              <w:t>（必须提供，否则按无效投标处理）</w:t>
            </w:r>
          </w:p>
          <w:p w14:paraId="615DB62F">
            <w:pPr>
              <w:autoSpaceDE w:val="0"/>
              <w:autoSpaceDN w:val="0"/>
              <w:snapToGrid w:val="0"/>
              <w:spacing w:line="400" w:lineRule="exact"/>
              <w:textAlignment w:val="bottom"/>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4、投标声明（格式后附）；</w:t>
            </w:r>
            <w:r>
              <w:rPr>
                <w:rFonts w:hint="eastAsia" w:asciiTheme="majorEastAsia" w:hAnsiTheme="majorEastAsia" w:eastAsiaTheme="majorEastAsia" w:cstheme="majorEastAsia"/>
                <w:b/>
                <w:color w:val="auto"/>
                <w:szCs w:val="21"/>
                <w:highlight w:val="none"/>
              </w:rPr>
              <w:t>（必须提供，否则按无效投标处理）</w:t>
            </w:r>
          </w:p>
          <w:p w14:paraId="31E71299">
            <w:pPr>
              <w:pStyle w:val="30"/>
              <w:ind w:firstLine="0"/>
              <w:rPr>
                <w:color w:val="auto"/>
                <w:highlight w:val="none"/>
              </w:rPr>
            </w:pPr>
            <w:r>
              <w:rPr>
                <w:rFonts w:hint="eastAsia" w:asciiTheme="majorEastAsia" w:hAnsiTheme="majorEastAsia" w:eastAsiaTheme="majorEastAsia" w:cstheme="majorEastAsia"/>
                <w:color w:val="auto"/>
                <w:kern w:val="2"/>
                <w:sz w:val="21"/>
                <w:szCs w:val="21"/>
                <w:highlight w:val="none"/>
              </w:rPr>
              <w:t>5、</w:t>
            </w:r>
            <w:r>
              <w:rPr>
                <w:rFonts w:hint="eastAsia" w:ascii="宋体" w:hAnsi="宋体" w:cs="宋体"/>
                <w:color w:val="auto"/>
                <w:kern w:val="2"/>
                <w:sz w:val="21"/>
                <w:szCs w:val="21"/>
                <w:highlight w:val="none"/>
              </w:rPr>
              <w:t>信用承诺书（格式后附）</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b/>
                <w:color w:val="auto"/>
                <w:kern w:val="2"/>
                <w:sz w:val="21"/>
                <w:szCs w:val="21"/>
                <w:highlight w:val="none"/>
              </w:rPr>
              <w:t>（必须提供，否则按无效投标处理）</w:t>
            </w:r>
          </w:p>
          <w:p w14:paraId="118330E0">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6、除招标文件规定必须提供以外，投标人认为需要提供的其他证明材料。</w:t>
            </w:r>
          </w:p>
          <w:p w14:paraId="1BB8047F">
            <w:pPr>
              <w:snapToGrid w:val="0"/>
              <w:spacing w:line="400" w:lineRule="exact"/>
              <w:ind w:firstLine="422" w:firstLineChars="200"/>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注：</w:t>
            </w:r>
          </w:p>
          <w:p w14:paraId="0620EC10">
            <w:pPr>
              <w:snapToGrid w:val="0"/>
              <w:spacing w:line="400" w:lineRule="exact"/>
              <w:ind w:firstLine="422" w:firstLineChars="200"/>
              <w:jc w:val="lef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bCs/>
                <w:color w:val="auto"/>
                <w:szCs w:val="21"/>
                <w:highlight w:val="none"/>
              </w:rPr>
              <w:t>1、以上标明“必须提供”的材料属于复印件的，必须加盖投标人公章，否则按无效投标</w:t>
            </w:r>
            <w:r>
              <w:rPr>
                <w:rFonts w:hint="eastAsia" w:asciiTheme="majorEastAsia" w:hAnsiTheme="majorEastAsia" w:eastAsiaTheme="majorEastAsia" w:cstheme="majorEastAsia"/>
                <w:b/>
                <w:color w:val="auto"/>
                <w:szCs w:val="21"/>
                <w:highlight w:val="none"/>
              </w:rPr>
              <w:t>处理。</w:t>
            </w:r>
          </w:p>
          <w:p w14:paraId="503B3231">
            <w:pPr>
              <w:snapToGrid w:val="0"/>
              <w:spacing w:line="400" w:lineRule="exact"/>
              <w:ind w:firstLine="422" w:firstLineChars="200"/>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color w:val="auto"/>
                <w:szCs w:val="21"/>
                <w:highlight w:val="none"/>
              </w:rPr>
              <w:t>2、</w:t>
            </w:r>
            <w:r>
              <w:rPr>
                <w:rFonts w:hint="eastAsia" w:asciiTheme="majorEastAsia" w:hAnsiTheme="majorEastAsia" w:eastAsiaTheme="majorEastAsia" w:cstheme="majorEastAsia"/>
                <w:b/>
                <w:bCs/>
                <w:color w:val="auto"/>
                <w:szCs w:val="21"/>
                <w:highlight w:val="none"/>
              </w:rPr>
              <w:t>投标声明必须由法定代表人在规定签章处签章并加盖投标人公章，否则按无效投标处理。</w:t>
            </w:r>
          </w:p>
          <w:p w14:paraId="24FECAE4">
            <w:pPr>
              <w:snapToGrid w:val="0"/>
              <w:spacing w:line="400" w:lineRule="exact"/>
              <w:ind w:firstLine="422" w:firstLineChars="200"/>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3、投标人直接控股、管理关系信息表必须由法定代表人或者委托代理人在规定签章处签字并加盖投标人公章，否则按无效投标</w:t>
            </w:r>
            <w:r>
              <w:rPr>
                <w:rFonts w:hint="eastAsia" w:asciiTheme="majorEastAsia" w:hAnsiTheme="majorEastAsia" w:eastAsiaTheme="majorEastAsia" w:cstheme="majorEastAsia"/>
                <w:b/>
                <w:color w:val="auto"/>
                <w:szCs w:val="21"/>
                <w:highlight w:val="none"/>
              </w:rPr>
              <w:t>处理</w:t>
            </w:r>
            <w:r>
              <w:rPr>
                <w:rFonts w:hint="eastAsia" w:asciiTheme="majorEastAsia" w:hAnsiTheme="majorEastAsia" w:eastAsiaTheme="majorEastAsia" w:cstheme="majorEastAsia"/>
                <w:b/>
                <w:bCs/>
                <w:color w:val="auto"/>
                <w:szCs w:val="21"/>
                <w:highlight w:val="none"/>
              </w:rPr>
              <w:t>。</w:t>
            </w:r>
          </w:p>
        </w:tc>
      </w:tr>
      <w:tr w14:paraId="22749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11201EC">
            <w:pPr>
              <w:spacing w:line="400" w:lineRule="exact"/>
              <w:rPr>
                <w:rFonts w:asciiTheme="majorEastAsia" w:hAnsiTheme="majorEastAsia" w:eastAsiaTheme="majorEastAsia" w:cstheme="majorEastAsia"/>
                <w:color w:val="auto"/>
                <w:szCs w:val="21"/>
                <w:highlight w:val="none"/>
              </w:rPr>
            </w:pPr>
            <w:bookmarkStart w:id="63" w:name="_13.3"/>
            <w:bookmarkEnd w:id="63"/>
          </w:p>
        </w:tc>
        <w:tc>
          <w:tcPr>
            <w:tcW w:w="8708" w:type="dxa"/>
            <w:tcBorders>
              <w:top w:val="single" w:color="auto" w:sz="4" w:space="0"/>
              <w:left w:val="single" w:color="auto" w:sz="4" w:space="0"/>
              <w:bottom w:val="single" w:color="auto" w:sz="4" w:space="0"/>
              <w:right w:val="single" w:color="auto" w:sz="4" w:space="0"/>
            </w:tcBorders>
            <w:vAlign w:val="center"/>
          </w:tcPr>
          <w:p w14:paraId="762F1AC1">
            <w:pPr>
              <w:snapToGrid w:val="0"/>
              <w:spacing w:line="400" w:lineRule="exact"/>
              <w:jc w:val="lef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商务文件：</w:t>
            </w:r>
          </w:p>
          <w:p w14:paraId="1CDE2CC4">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1、无串通投标行为的承诺函（格式后附）；（</w:t>
            </w:r>
            <w:r>
              <w:rPr>
                <w:rFonts w:hint="eastAsia" w:asciiTheme="majorEastAsia" w:hAnsiTheme="majorEastAsia" w:eastAsiaTheme="majorEastAsia" w:cstheme="majorEastAsia"/>
                <w:b/>
                <w:color w:val="auto"/>
                <w:szCs w:val="21"/>
                <w:highlight w:val="none"/>
              </w:rPr>
              <w:t>必须提供，否则按无效投标处理</w:t>
            </w:r>
            <w:r>
              <w:rPr>
                <w:rFonts w:hint="eastAsia" w:asciiTheme="majorEastAsia" w:hAnsiTheme="majorEastAsia" w:eastAsiaTheme="majorEastAsia" w:cstheme="majorEastAsia"/>
                <w:color w:val="auto"/>
                <w:szCs w:val="21"/>
                <w:highlight w:val="none"/>
              </w:rPr>
              <w:t>）</w:t>
            </w:r>
          </w:p>
          <w:p w14:paraId="287CA577">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2、法定代表人身份证明及法定代表人有效身份证正反面复印件（格式后附）；（</w:t>
            </w:r>
            <w:r>
              <w:rPr>
                <w:rFonts w:hint="eastAsia" w:asciiTheme="majorEastAsia" w:hAnsiTheme="majorEastAsia" w:eastAsiaTheme="majorEastAsia" w:cstheme="majorEastAsia"/>
                <w:b/>
                <w:bCs/>
                <w:color w:val="auto"/>
                <w:szCs w:val="21"/>
                <w:highlight w:val="none"/>
              </w:rPr>
              <w:t>除自然人投标外</w:t>
            </w:r>
            <w:r>
              <w:rPr>
                <w:rFonts w:hint="eastAsia" w:asciiTheme="majorEastAsia" w:hAnsiTheme="majorEastAsia" w:eastAsiaTheme="majorEastAsia" w:cstheme="majorEastAsia"/>
                <w:b/>
                <w:color w:val="auto"/>
                <w:szCs w:val="21"/>
                <w:highlight w:val="none"/>
              </w:rPr>
              <w:t>必须提供，否则按无效投标处理</w:t>
            </w:r>
            <w:r>
              <w:rPr>
                <w:rFonts w:hint="eastAsia" w:asciiTheme="majorEastAsia" w:hAnsiTheme="majorEastAsia" w:eastAsiaTheme="majorEastAsia" w:cstheme="majorEastAsia"/>
                <w:color w:val="auto"/>
                <w:szCs w:val="21"/>
                <w:highlight w:val="none"/>
              </w:rPr>
              <w:t>）</w:t>
            </w:r>
          </w:p>
          <w:p w14:paraId="354691C5">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3、授权委托书及委托代理人有效身份证正反面复印件（格式后附）；（</w:t>
            </w:r>
            <w:r>
              <w:rPr>
                <w:rFonts w:hint="eastAsia" w:asciiTheme="majorEastAsia" w:hAnsiTheme="majorEastAsia" w:eastAsiaTheme="majorEastAsia" w:cstheme="majorEastAsia"/>
                <w:b/>
                <w:color w:val="auto"/>
                <w:szCs w:val="21"/>
                <w:highlight w:val="none"/>
              </w:rPr>
              <w:t>委托时必须提供，否则按无效投标处理</w:t>
            </w:r>
            <w:r>
              <w:rPr>
                <w:rFonts w:hint="eastAsia" w:asciiTheme="majorEastAsia" w:hAnsiTheme="majorEastAsia" w:eastAsiaTheme="majorEastAsia" w:cstheme="majorEastAsia"/>
                <w:color w:val="auto"/>
                <w:szCs w:val="21"/>
                <w:highlight w:val="none"/>
              </w:rPr>
              <w:t>）</w:t>
            </w:r>
          </w:p>
          <w:p w14:paraId="6F117C9F">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4、商务要求偏离表（格式后附）；（</w:t>
            </w:r>
            <w:r>
              <w:rPr>
                <w:rFonts w:hint="eastAsia" w:asciiTheme="majorEastAsia" w:hAnsiTheme="majorEastAsia" w:eastAsiaTheme="majorEastAsia" w:cstheme="majorEastAsia"/>
                <w:b/>
                <w:color w:val="auto"/>
                <w:szCs w:val="21"/>
                <w:highlight w:val="none"/>
              </w:rPr>
              <w:t>必须提供，否则按无效投标处理</w:t>
            </w:r>
            <w:r>
              <w:rPr>
                <w:rFonts w:hint="eastAsia" w:asciiTheme="majorEastAsia" w:hAnsiTheme="majorEastAsia" w:eastAsiaTheme="majorEastAsia" w:cstheme="majorEastAsia"/>
                <w:color w:val="auto"/>
                <w:szCs w:val="21"/>
                <w:highlight w:val="none"/>
              </w:rPr>
              <w:t>）</w:t>
            </w:r>
          </w:p>
          <w:p w14:paraId="0FCF9DF7">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5、投标人情况介绍（格式自拟）；</w:t>
            </w:r>
          </w:p>
          <w:p w14:paraId="29FA9A69">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6、除招标文件规定必须提供以外，投标人认为需要提供的其他证明材料（格式自拟）。（投标人根据“第二章 采购需求”及“第四章 评标方法及评标标准”提供有关证明材料）。</w:t>
            </w:r>
          </w:p>
          <w:p w14:paraId="284B365D">
            <w:pPr>
              <w:snapToGrid w:val="0"/>
              <w:spacing w:line="400" w:lineRule="exact"/>
              <w:ind w:firstLine="211" w:firstLineChars="1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注：以上标明“必须提供”的材料属于复印件的，必须加盖投标人公章，否则按无效投标</w:t>
            </w:r>
            <w:r>
              <w:rPr>
                <w:rFonts w:hint="eastAsia" w:asciiTheme="majorEastAsia" w:hAnsiTheme="majorEastAsia" w:eastAsiaTheme="majorEastAsia" w:cstheme="majorEastAsia"/>
                <w:b/>
                <w:color w:val="auto"/>
                <w:szCs w:val="21"/>
                <w:highlight w:val="none"/>
              </w:rPr>
              <w:t>处理</w:t>
            </w:r>
            <w:r>
              <w:rPr>
                <w:rFonts w:hint="eastAsia" w:asciiTheme="majorEastAsia" w:hAnsiTheme="majorEastAsia" w:eastAsiaTheme="majorEastAsia" w:cstheme="majorEastAsia"/>
                <w:b/>
                <w:bCs/>
                <w:color w:val="auto"/>
                <w:szCs w:val="21"/>
                <w:highlight w:val="none"/>
              </w:rPr>
              <w:t>。</w:t>
            </w:r>
          </w:p>
        </w:tc>
      </w:tr>
      <w:tr w14:paraId="5B016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51F52B8B">
            <w:pPr>
              <w:spacing w:line="400" w:lineRule="exact"/>
              <w:rPr>
                <w:rFonts w:asciiTheme="majorEastAsia" w:hAnsiTheme="majorEastAsia" w:eastAsiaTheme="majorEastAsia" w:cstheme="majorEastAsia"/>
                <w:color w:val="auto"/>
                <w:szCs w:val="21"/>
                <w:highlight w:val="none"/>
              </w:rPr>
            </w:pPr>
            <w:bookmarkStart w:id="64" w:name="_13.4"/>
            <w:bookmarkEnd w:id="64"/>
          </w:p>
        </w:tc>
        <w:tc>
          <w:tcPr>
            <w:tcW w:w="8708" w:type="dxa"/>
            <w:tcBorders>
              <w:top w:val="single" w:color="auto" w:sz="4" w:space="0"/>
              <w:left w:val="single" w:color="auto" w:sz="4" w:space="0"/>
              <w:bottom w:val="single" w:color="auto" w:sz="4" w:space="0"/>
              <w:right w:val="single" w:color="auto" w:sz="4" w:space="0"/>
            </w:tcBorders>
            <w:vAlign w:val="center"/>
          </w:tcPr>
          <w:p w14:paraId="77B58140">
            <w:pPr>
              <w:snapToGrid w:val="0"/>
              <w:spacing w:line="400" w:lineRule="exact"/>
              <w:jc w:val="lef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 xml:space="preserve">技术文件： </w:t>
            </w:r>
          </w:p>
          <w:p w14:paraId="57C031BD">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1、设备性能配置清单（格式后附）；（分标1和分标2</w:t>
            </w:r>
            <w:r>
              <w:rPr>
                <w:rFonts w:hint="eastAsia" w:asciiTheme="majorEastAsia" w:hAnsiTheme="majorEastAsia" w:eastAsiaTheme="majorEastAsia" w:cstheme="majorEastAsia"/>
                <w:b/>
                <w:color w:val="auto"/>
                <w:szCs w:val="21"/>
                <w:highlight w:val="none"/>
              </w:rPr>
              <w:t>必须提供，否则按无效投标处理</w:t>
            </w:r>
            <w:r>
              <w:rPr>
                <w:rFonts w:hint="eastAsia" w:asciiTheme="majorEastAsia" w:hAnsiTheme="majorEastAsia" w:eastAsiaTheme="majorEastAsia" w:cstheme="majorEastAsia"/>
                <w:color w:val="auto"/>
                <w:szCs w:val="21"/>
                <w:highlight w:val="none"/>
              </w:rPr>
              <w:t>）</w:t>
            </w:r>
          </w:p>
          <w:p w14:paraId="03E18240">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2、技术要求偏离表（格式后附）；（</w:t>
            </w:r>
            <w:r>
              <w:rPr>
                <w:rFonts w:hint="eastAsia" w:asciiTheme="majorEastAsia" w:hAnsiTheme="majorEastAsia" w:eastAsiaTheme="majorEastAsia" w:cstheme="majorEastAsia"/>
                <w:b/>
                <w:color w:val="auto"/>
                <w:szCs w:val="21"/>
                <w:highlight w:val="none"/>
              </w:rPr>
              <w:t>必须提供，否则按无效投标处理</w:t>
            </w:r>
            <w:r>
              <w:rPr>
                <w:rFonts w:hint="eastAsia" w:asciiTheme="majorEastAsia" w:hAnsiTheme="majorEastAsia" w:eastAsiaTheme="majorEastAsia" w:cstheme="majorEastAsia"/>
                <w:color w:val="auto"/>
                <w:szCs w:val="21"/>
                <w:highlight w:val="none"/>
              </w:rPr>
              <w:t>）</w:t>
            </w:r>
          </w:p>
          <w:p w14:paraId="6B83841D">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3、项目实施方案[格式自拟，投标人根据“第二章采购需求”、“第四章评审办法及评审标准”要求自行编写]；</w:t>
            </w:r>
          </w:p>
          <w:p w14:paraId="4732BD05">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4、售后服务方案（格式自拟）；</w:t>
            </w:r>
          </w:p>
          <w:p w14:paraId="49E967FF">
            <w:pPr>
              <w:snapToGrid w:val="0"/>
              <w:spacing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5、项目实施人员一览表； </w:t>
            </w:r>
          </w:p>
          <w:p w14:paraId="76AF0C2B">
            <w:pPr>
              <w:snapToGrid w:val="0"/>
              <w:spacing w:line="34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6、服务承诺（格式自拟）；</w:t>
            </w:r>
            <w:r>
              <w:rPr>
                <w:rFonts w:hint="eastAsia" w:asciiTheme="majorEastAsia" w:hAnsiTheme="majorEastAsia" w:eastAsiaTheme="majorEastAsia" w:cstheme="majorEastAsia"/>
                <w:b/>
                <w:color w:val="auto"/>
                <w:szCs w:val="21"/>
                <w:highlight w:val="none"/>
              </w:rPr>
              <w:t>（必须提供，否则按无效投标处理）</w:t>
            </w:r>
          </w:p>
          <w:p w14:paraId="0053EFEC">
            <w:pPr>
              <w:snapToGrid w:val="0"/>
              <w:spacing w:line="400" w:lineRule="exact"/>
              <w:jc w:val="left"/>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color w:val="auto"/>
                <w:szCs w:val="21"/>
                <w:highlight w:val="none"/>
              </w:rPr>
              <w:t>7、除招标文件规定必须提供以外，投标人需要说明的其他文件和说明（格式自拟）。</w:t>
            </w:r>
          </w:p>
          <w:p w14:paraId="6ED4C94F">
            <w:pPr>
              <w:snapToGrid w:val="0"/>
              <w:spacing w:line="400" w:lineRule="exact"/>
              <w:ind w:firstLine="422" w:firstLineChars="200"/>
              <w:jc w:val="left"/>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注：以上标明“必须提供”的材料属于复印件的，必须加盖投标人公章，否则按无效投标</w:t>
            </w:r>
            <w:r>
              <w:rPr>
                <w:rFonts w:hint="eastAsia" w:asciiTheme="majorEastAsia" w:hAnsiTheme="majorEastAsia" w:eastAsiaTheme="majorEastAsia" w:cstheme="majorEastAsia"/>
                <w:b/>
                <w:color w:val="auto"/>
                <w:szCs w:val="21"/>
                <w:highlight w:val="none"/>
              </w:rPr>
              <w:t>处理</w:t>
            </w:r>
            <w:r>
              <w:rPr>
                <w:rFonts w:hint="eastAsia" w:asciiTheme="majorEastAsia" w:hAnsiTheme="majorEastAsia" w:eastAsiaTheme="majorEastAsia" w:cstheme="majorEastAsia"/>
                <w:b/>
                <w:bCs/>
                <w:color w:val="auto"/>
                <w:szCs w:val="21"/>
                <w:highlight w:val="none"/>
              </w:rPr>
              <w:t>。</w:t>
            </w:r>
          </w:p>
        </w:tc>
      </w:tr>
      <w:tr w14:paraId="5DA65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1AAA72">
            <w:pPr>
              <w:spacing w:line="400" w:lineRule="exact"/>
              <w:jc w:val="center"/>
              <w:rPr>
                <w:rFonts w:asciiTheme="majorEastAsia" w:hAnsiTheme="majorEastAsia" w:eastAsiaTheme="majorEastAsia" w:cstheme="majorEastAsia"/>
                <w:color w:val="auto"/>
                <w:szCs w:val="21"/>
                <w:highlight w:val="none"/>
              </w:rPr>
            </w:pPr>
            <w:bookmarkStart w:id="65" w:name="_13.5"/>
            <w:bookmarkEnd w:id="65"/>
            <w:bookmarkStart w:id="66" w:name="_16.2"/>
            <w:bookmarkEnd w:id="66"/>
            <w:r>
              <w:rPr>
                <w:rFonts w:hint="eastAsia" w:asciiTheme="majorEastAsia" w:hAnsiTheme="majorEastAsia" w:eastAsiaTheme="majorEastAsia" w:cstheme="majorEastAsia"/>
                <w:color w:val="auto"/>
                <w:szCs w:val="21"/>
                <w:highlight w:val="none"/>
              </w:rPr>
              <w:t>16</w:t>
            </w:r>
            <w:bookmarkStart w:id="67" w:name="_Hlt19693759"/>
            <w:bookmarkStart w:id="68" w:name="_Hlt19693758"/>
            <w:bookmarkStart w:id="69" w:name="_Hlt19194066"/>
            <w:bookmarkStart w:id="70" w:name="_Hlt19194067"/>
            <w:r>
              <w:rPr>
                <w:rFonts w:hint="eastAsia" w:asciiTheme="majorEastAsia" w:hAnsiTheme="majorEastAsia" w:eastAsiaTheme="majorEastAsia" w:cstheme="majorEastAsia"/>
                <w:color w:val="auto"/>
                <w:szCs w:val="21"/>
                <w:highlight w:val="none"/>
              </w:rPr>
              <w:t>.</w:t>
            </w:r>
            <w:bookmarkEnd w:id="67"/>
            <w:bookmarkEnd w:id="68"/>
            <w:bookmarkEnd w:id="69"/>
            <w:bookmarkEnd w:id="70"/>
            <w:r>
              <w:rPr>
                <w:rFonts w:hint="eastAsia" w:asciiTheme="majorEastAsia" w:hAnsiTheme="majorEastAsia" w:eastAsiaTheme="majorEastAsia" w:cstheme="majorEastAsia"/>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2883675E">
            <w:pPr>
              <w:snapToGrid w:val="0"/>
              <w:spacing w:line="400" w:lineRule="exac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Theme="majorEastAsia" w:hAnsiTheme="majorEastAsia" w:eastAsiaTheme="majorEastAsia" w:cstheme="majorEastAsia"/>
                <w:b/>
                <w:color w:val="auto"/>
                <w:szCs w:val="21"/>
                <w:highlight w:val="none"/>
              </w:rPr>
              <w:t>（采购需求另有约定的，从其约定）</w:t>
            </w:r>
          </w:p>
        </w:tc>
      </w:tr>
      <w:tr w14:paraId="78619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D67437E">
            <w:pPr>
              <w:spacing w:line="400" w:lineRule="exact"/>
              <w:jc w:val="center"/>
              <w:rPr>
                <w:rFonts w:asciiTheme="majorEastAsia" w:hAnsiTheme="majorEastAsia" w:eastAsiaTheme="majorEastAsia" w:cstheme="majorEastAsia"/>
                <w:color w:val="auto"/>
                <w:szCs w:val="21"/>
                <w:highlight w:val="none"/>
              </w:rPr>
            </w:pPr>
            <w:bookmarkStart w:id="71" w:name="_17.1"/>
            <w:bookmarkEnd w:id="71"/>
            <w:r>
              <w:rPr>
                <w:rFonts w:hint="eastAsia" w:asciiTheme="majorEastAsia" w:hAnsiTheme="majorEastAsia" w:eastAsiaTheme="majorEastAsia" w:cstheme="majorEastAsia"/>
                <w:color w:val="auto"/>
                <w:szCs w:val="21"/>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0958D591">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投标有效期：投标截止之日起60天内。</w:t>
            </w:r>
          </w:p>
        </w:tc>
      </w:tr>
      <w:tr w14:paraId="5D04B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7EFD50C">
            <w:pPr>
              <w:spacing w:line="400" w:lineRule="exact"/>
              <w:jc w:val="center"/>
              <w:rPr>
                <w:rFonts w:asciiTheme="majorEastAsia" w:hAnsiTheme="majorEastAsia" w:eastAsiaTheme="majorEastAsia" w:cstheme="majorEastAsia"/>
                <w:color w:val="auto"/>
                <w:szCs w:val="21"/>
                <w:highlight w:val="none"/>
              </w:rPr>
            </w:pPr>
            <w:bookmarkStart w:id="72" w:name="_18"/>
            <w:bookmarkEnd w:id="72"/>
            <w:r>
              <w:rPr>
                <w:rFonts w:hint="eastAsia" w:asciiTheme="majorEastAsia" w:hAnsiTheme="majorEastAsia" w:eastAsiaTheme="majorEastAsia" w:cstheme="majorEastAsia"/>
                <w:color w:val="auto"/>
                <w:szCs w:val="21"/>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1BEF3EE6">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本项目不收取投标保证金。</w:t>
            </w:r>
          </w:p>
        </w:tc>
      </w:tr>
      <w:tr w14:paraId="68C76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D13AEBE">
            <w:pPr>
              <w:spacing w:line="400" w:lineRule="exact"/>
              <w:jc w:val="center"/>
              <w:rPr>
                <w:rFonts w:asciiTheme="majorEastAsia" w:hAnsiTheme="majorEastAsia" w:eastAsiaTheme="majorEastAsia" w:cstheme="majorEastAsia"/>
                <w:color w:val="auto"/>
                <w:szCs w:val="21"/>
                <w:highlight w:val="none"/>
              </w:rPr>
            </w:pPr>
            <w:bookmarkStart w:id="73" w:name="_19.2"/>
            <w:bookmarkEnd w:id="73"/>
            <w:r>
              <w:rPr>
                <w:rFonts w:hint="eastAsia" w:asciiTheme="majorEastAsia" w:hAnsiTheme="majorEastAsia" w:eastAsiaTheme="majorEastAsia" w:cstheme="majorEastAsia"/>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5F12FE73">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投标文件应按报价文件、资格证明文件、商务文件、技术文件分别编制，并按广西政府采购云平台的要求编制、加密、上传。</w:t>
            </w:r>
          </w:p>
        </w:tc>
      </w:tr>
      <w:tr w14:paraId="7D491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9A46E5">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ED8C731">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电子投标文件应在制作完成后，投标人应按广西政府采购云平台的要求进行加密，并在规定时间内解密，否则，由此产生的后果由投标人自行负责。</w:t>
            </w:r>
          </w:p>
        </w:tc>
      </w:tr>
      <w:tr w14:paraId="6A4E3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1805EB0">
            <w:pPr>
              <w:spacing w:line="400" w:lineRule="exact"/>
              <w:jc w:val="center"/>
              <w:rPr>
                <w:rFonts w:asciiTheme="majorEastAsia" w:hAnsiTheme="majorEastAsia" w:eastAsiaTheme="majorEastAsia" w:cstheme="majorEastAsia"/>
                <w:color w:val="auto"/>
                <w:szCs w:val="21"/>
                <w:highlight w:val="none"/>
              </w:rPr>
            </w:pPr>
            <w:bookmarkStart w:id="74" w:name="_21.1"/>
            <w:bookmarkEnd w:id="74"/>
            <w:r>
              <w:rPr>
                <w:rFonts w:hint="eastAsia" w:asciiTheme="majorEastAsia" w:hAnsiTheme="majorEastAsia" w:eastAsiaTheme="majorEastAsia" w:cstheme="majorEastAsia"/>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0E91B851">
            <w:pPr>
              <w:snapToGrid w:val="0"/>
              <w:spacing w:line="40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1、投标截止时间：详见招标公告</w:t>
            </w:r>
          </w:p>
          <w:p w14:paraId="3F663777">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2、投标地点：详见招标公告</w:t>
            </w:r>
          </w:p>
        </w:tc>
      </w:tr>
      <w:tr w14:paraId="310E7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DAFC29F">
            <w:pPr>
              <w:spacing w:line="400" w:lineRule="exact"/>
              <w:jc w:val="center"/>
              <w:rPr>
                <w:rFonts w:asciiTheme="majorEastAsia" w:hAnsiTheme="majorEastAsia" w:eastAsiaTheme="majorEastAsia" w:cstheme="majorEastAsia"/>
                <w:color w:val="auto"/>
                <w:szCs w:val="21"/>
                <w:highlight w:val="none"/>
              </w:rPr>
            </w:pPr>
            <w:bookmarkStart w:id="75" w:name="_23"/>
            <w:bookmarkEnd w:id="75"/>
            <w:r>
              <w:rPr>
                <w:rFonts w:hint="eastAsia" w:asciiTheme="majorEastAsia" w:hAnsiTheme="majorEastAsia" w:eastAsiaTheme="majorEastAsia" w:cstheme="majorEastAsia"/>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FF0F920">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1、开标时间：详见招标公告</w:t>
            </w:r>
          </w:p>
          <w:p w14:paraId="3DCAF30D">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2、开标地点：详见招标公告</w:t>
            </w:r>
          </w:p>
        </w:tc>
      </w:tr>
      <w:tr w14:paraId="53FBA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EEA63DC">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F7DD186">
            <w:pPr>
              <w:autoSpaceDE w:val="0"/>
              <w:autoSpaceDN w:val="0"/>
              <w:adjustRightInd w:val="0"/>
              <w:spacing w:line="4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Theme="majorEastAsia" w:hAnsiTheme="majorEastAsia" w:eastAsiaTheme="majorEastAsia" w:cstheme="majorEastAsia"/>
                <w:b/>
                <w:bCs/>
                <w:color w:val="auto"/>
                <w:szCs w:val="21"/>
                <w:highlight w:val="none"/>
              </w:rPr>
              <w:t>投标人的法定代表人或其委托代理人须携带加密时所用的CA锁准时登录到广西政府采购云平台电子开标大厅签到</w:t>
            </w:r>
            <w:r>
              <w:rPr>
                <w:rFonts w:hint="eastAsia" w:asciiTheme="majorEastAsia" w:hAnsiTheme="majorEastAsia" w:eastAsiaTheme="majorEastAsia" w:cstheme="majorEastAsia"/>
                <w:b/>
                <w:color w:val="auto"/>
                <w:szCs w:val="21"/>
                <w:highlight w:val="none"/>
              </w:rPr>
              <w:t>并在发起解密</w:t>
            </w:r>
            <w:r>
              <w:rPr>
                <w:rFonts w:hint="eastAsia" w:asciiTheme="majorEastAsia" w:hAnsiTheme="majorEastAsia" w:eastAsiaTheme="majorEastAsia" w:cstheme="majorEastAsia"/>
                <w:b/>
                <w:bCs/>
                <w:color w:val="auto"/>
                <w:szCs w:val="21"/>
                <w:highlight w:val="none"/>
              </w:rPr>
              <w:t>通知</w:t>
            </w:r>
            <w:r>
              <w:rPr>
                <w:rFonts w:hint="eastAsia" w:asciiTheme="majorEastAsia" w:hAnsiTheme="majorEastAsia" w:eastAsiaTheme="majorEastAsia" w:cstheme="majorEastAsia"/>
                <w:b/>
                <w:color w:val="auto"/>
                <w:szCs w:val="21"/>
                <w:highlight w:val="none"/>
              </w:rPr>
              <w:t>之时起30分钟内完成</w:t>
            </w:r>
            <w:r>
              <w:rPr>
                <w:rFonts w:hint="eastAsia" w:asciiTheme="majorEastAsia" w:hAnsiTheme="majorEastAsia" w:eastAsiaTheme="majorEastAsia" w:cstheme="majorEastAsia"/>
                <w:b/>
                <w:bCs/>
                <w:color w:val="auto"/>
                <w:szCs w:val="21"/>
                <w:highlight w:val="none"/>
              </w:rPr>
              <w:t>对电子投标文件解密。投标文件未按时解密的，视为无效投标。</w:t>
            </w:r>
          </w:p>
        </w:tc>
      </w:tr>
      <w:tr w14:paraId="3DDF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989918">
            <w:pPr>
              <w:spacing w:line="400" w:lineRule="exact"/>
              <w:jc w:val="center"/>
              <w:rPr>
                <w:rFonts w:asciiTheme="majorEastAsia" w:hAnsiTheme="majorEastAsia" w:eastAsiaTheme="majorEastAsia" w:cstheme="majorEastAsia"/>
                <w:color w:val="auto"/>
                <w:szCs w:val="21"/>
                <w:highlight w:val="none"/>
              </w:rPr>
            </w:pPr>
            <w:bookmarkStart w:id="76" w:name="_25.3"/>
            <w:bookmarkEnd w:id="76"/>
            <w:r>
              <w:rPr>
                <w:rFonts w:hint="eastAsia" w:asciiTheme="majorEastAsia" w:hAnsiTheme="majorEastAsia" w:eastAsiaTheme="majorEastAsia" w:cstheme="majorEastAsia"/>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0022650F">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采购人或者采购代理机构在资格审查结束前，对投标人进行信用查询。</w:t>
            </w:r>
          </w:p>
          <w:p w14:paraId="28EDF25A">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8"/>
                <w:rFonts w:hint="eastAsia" w:asciiTheme="majorEastAsia" w:hAnsiTheme="majorEastAsia" w:eastAsiaTheme="majorEastAsia" w:cstheme="majorEastAsia"/>
                <w:color w:val="auto"/>
                <w:szCs w:val="21"/>
                <w:highlight w:val="none"/>
              </w:rPr>
              <w:t>www.ccgp.gov.cn</w:t>
            </w:r>
            <w:r>
              <w:rPr>
                <w:rStyle w:val="78"/>
                <w:rFonts w:hint="eastAsia" w:asciiTheme="majorEastAsia" w:hAnsiTheme="majorEastAsia" w:eastAsiaTheme="majorEastAsia" w:cstheme="majorEastAsia"/>
                <w:color w:val="auto"/>
                <w:szCs w:val="21"/>
                <w:highlight w:val="none"/>
              </w:rPr>
              <w:fldChar w:fldCharType="end"/>
            </w:r>
            <w:r>
              <w:rPr>
                <w:rFonts w:hint="eastAsia" w:asciiTheme="majorEastAsia" w:hAnsiTheme="majorEastAsia" w:eastAsiaTheme="majorEastAsia" w:cstheme="majorEastAsia"/>
                <w:color w:val="auto"/>
                <w:szCs w:val="21"/>
                <w:highlight w:val="none"/>
              </w:rPr>
              <w:t>）。</w:t>
            </w:r>
          </w:p>
          <w:p w14:paraId="6AF78B7D">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信用查询截止时点：资格审查结束前。</w:t>
            </w:r>
          </w:p>
          <w:p w14:paraId="6C526158">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查询记录和证据留存方式：将查询网站中的查询记录截图并作为评审资料保存。</w:t>
            </w:r>
          </w:p>
          <w:p w14:paraId="4E79AEF8">
            <w:pPr>
              <w:snapToGrid w:val="0"/>
              <w:spacing w:line="400" w:lineRule="exact"/>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CA38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15F3C78">
            <w:pPr>
              <w:spacing w:line="400" w:lineRule="exact"/>
              <w:jc w:val="center"/>
              <w:rPr>
                <w:rFonts w:asciiTheme="majorEastAsia" w:hAnsiTheme="majorEastAsia" w:eastAsiaTheme="majorEastAsia" w:cstheme="majorEastAsia"/>
                <w:color w:val="auto"/>
                <w:szCs w:val="21"/>
                <w:highlight w:val="none"/>
              </w:rPr>
            </w:pPr>
            <w:bookmarkStart w:id="77" w:name="_26"/>
            <w:bookmarkEnd w:id="77"/>
            <w:r>
              <w:rPr>
                <w:rFonts w:hint="eastAsia" w:asciiTheme="majorEastAsia" w:hAnsiTheme="majorEastAsia" w:eastAsiaTheme="majorEastAsia" w:cstheme="majorEastAsia"/>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70791B02">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评标委员会的人数：7人</w:t>
            </w:r>
            <w:r>
              <w:rPr>
                <w:rFonts w:hint="eastAsia" w:asciiTheme="majorEastAsia" w:hAnsiTheme="majorEastAsia" w:eastAsiaTheme="majorEastAsia" w:cstheme="majorEastAsia"/>
                <w:color w:val="auto"/>
                <w:highlight w:val="none"/>
              </w:rPr>
              <w:t>。（采购项目符合下列情形之一的，评标委员会成员人数应当为7人以上单数：1.采购预算金额在1000万元以上；2.技术复杂；3.社会影响较大。）</w:t>
            </w:r>
          </w:p>
        </w:tc>
      </w:tr>
      <w:tr w14:paraId="6856A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7BB3E55">
            <w:pPr>
              <w:spacing w:line="400" w:lineRule="exact"/>
              <w:jc w:val="center"/>
              <w:rPr>
                <w:rFonts w:asciiTheme="majorEastAsia" w:hAnsiTheme="majorEastAsia" w:eastAsiaTheme="majorEastAsia" w:cstheme="majorEastAsia"/>
                <w:color w:val="auto"/>
                <w:szCs w:val="21"/>
                <w:highlight w:val="none"/>
              </w:rPr>
            </w:pPr>
            <w:bookmarkStart w:id="78" w:name="_28.3"/>
            <w:bookmarkEnd w:id="78"/>
            <w:r>
              <w:rPr>
                <w:rFonts w:hint="eastAsia" w:asciiTheme="majorEastAsia" w:hAnsiTheme="majorEastAsia" w:eastAsiaTheme="majorEastAsia" w:cstheme="majorEastAsia"/>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4F405D3C">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评标方法：综合评分法</w:t>
            </w:r>
          </w:p>
        </w:tc>
      </w:tr>
      <w:tr w14:paraId="45A25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895" w:type="dxa"/>
            <w:vMerge w:val="restart"/>
            <w:tcBorders>
              <w:top w:val="single" w:color="auto" w:sz="4" w:space="0"/>
              <w:left w:val="single" w:color="auto" w:sz="4" w:space="0"/>
              <w:right w:val="single" w:color="auto" w:sz="4" w:space="0"/>
            </w:tcBorders>
            <w:vAlign w:val="center"/>
          </w:tcPr>
          <w:p w14:paraId="56CEB868">
            <w:pPr>
              <w:spacing w:line="400" w:lineRule="exact"/>
              <w:jc w:val="center"/>
              <w:rPr>
                <w:rFonts w:asciiTheme="majorEastAsia" w:hAnsiTheme="majorEastAsia" w:eastAsiaTheme="majorEastAsia" w:cstheme="majorEastAsia"/>
                <w:color w:val="auto"/>
                <w:szCs w:val="21"/>
                <w:highlight w:val="none"/>
              </w:rPr>
            </w:pPr>
            <w:bookmarkStart w:id="79" w:name="_29.2.2（2）"/>
            <w:bookmarkEnd w:id="79"/>
            <w:r>
              <w:rPr>
                <w:rFonts w:hint="eastAsia" w:asciiTheme="majorEastAsia" w:hAnsiTheme="majorEastAsia" w:eastAsiaTheme="majorEastAsia" w:cstheme="majorEastAsia"/>
                <w:color w:val="auto"/>
                <w:szCs w:val="21"/>
                <w:highlight w:val="none"/>
              </w:rPr>
              <w:t>29.2</w:t>
            </w:r>
          </w:p>
        </w:tc>
        <w:tc>
          <w:tcPr>
            <w:tcW w:w="8708" w:type="dxa"/>
            <w:tcBorders>
              <w:top w:val="single" w:color="auto" w:sz="4" w:space="0"/>
              <w:left w:val="single" w:color="auto" w:sz="4" w:space="0"/>
              <w:right w:val="single" w:color="auto" w:sz="4" w:space="0"/>
            </w:tcBorders>
            <w:vAlign w:val="center"/>
          </w:tcPr>
          <w:p w14:paraId="2DBB783B">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商务要求评审中允许负偏离的条款数为</w:t>
            </w:r>
            <w:r>
              <w:rPr>
                <w:rFonts w:hint="eastAsia" w:asciiTheme="majorEastAsia" w:hAnsiTheme="majorEastAsia" w:eastAsiaTheme="majorEastAsia" w:cstheme="majorEastAsia"/>
                <w:color w:val="auto"/>
                <w:szCs w:val="21"/>
                <w:highlight w:val="none"/>
                <w:u w:val="single"/>
              </w:rPr>
              <w:t>0</w:t>
            </w:r>
            <w:r>
              <w:rPr>
                <w:rFonts w:hint="eastAsia" w:asciiTheme="majorEastAsia" w:hAnsiTheme="majorEastAsia" w:eastAsiaTheme="majorEastAsia" w:cstheme="majorEastAsia"/>
                <w:color w:val="auto"/>
                <w:szCs w:val="21"/>
                <w:highlight w:val="none"/>
              </w:rPr>
              <w:t>项。</w:t>
            </w:r>
          </w:p>
          <w:p w14:paraId="3C00A76B">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技术参数要求评审中允许</w:t>
            </w:r>
            <w:bookmarkStart w:id="80" w:name="OLE_LINK29"/>
            <w:r>
              <w:rPr>
                <w:rFonts w:hint="eastAsia" w:asciiTheme="majorEastAsia" w:hAnsiTheme="majorEastAsia" w:eastAsiaTheme="majorEastAsia" w:cstheme="majorEastAsia"/>
                <w:color w:val="auto"/>
                <w:szCs w:val="21"/>
                <w:highlight w:val="none"/>
              </w:rPr>
              <w:t>负偏离</w:t>
            </w:r>
            <w:bookmarkEnd w:id="80"/>
            <w:r>
              <w:rPr>
                <w:rFonts w:hint="eastAsia" w:asciiTheme="majorEastAsia" w:hAnsiTheme="majorEastAsia" w:eastAsiaTheme="majorEastAsia" w:cstheme="majorEastAsia"/>
                <w:color w:val="auto"/>
                <w:szCs w:val="21"/>
                <w:highlight w:val="none"/>
              </w:rPr>
              <w:t>的条款数为</w:t>
            </w:r>
            <w:r>
              <w:rPr>
                <w:rFonts w:hint="eastAsia" w:asciiTheme="majorEastAsia" w:hAnsiTheme="majorEastAsia" w:eastAsiaTheme="majorEastAsia" w:cstheme="majorEastAsia"/>
                <w:color w:val="auto"/>
                <w:szCs w:val="21"/>
                <w:highlight w:val="none"/>
                <w:u w:val="single"/>
              </w:rPr>
              <w:t>6</w:t>
            </w:r>
            <w:r>
              <w:rPr>
                <w:rFonts w:hint="eastAsia" w:asciiTheme="majorEastAsia" w:hAnsiTheme="majorEastAsia" w:eastAsiaTheme="majorEastAsia" w:cstheme="majorEastAsia"/>
                <w:color w:val="auto"/>
                <w:szCs w:val="21"/>
                <w:highlight w:val="none"/>
              </w:rPr>
              <w:t>项。</w:t>
            </w:r>
          </w:p>
        </w:tc>
      </w:tr>
      <w:tr w14:paraId="1B195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7E2439A4">
            <w:pPr>
              <w:spacing w:line="400" w:lineRule="exact"/>
              <w:jc w:val="center"/>
              <w:rPr>
                <w:rFonts w:asciiTheme="majorEastAsia" w:hAnsiTheme="majorEastAsia" w:eastAsiaTheme="majorEastAsia" w:cstheme="majorEastAsia"/>
                <w:color w:val="auto"/>
                <w:szCs w:val="21"/>
                <w:highlight w:val="none"/>
              </w:rPr>
            </w:pPr>
          </w:p>
        </w:tc>
        <w:tc>
          <w:tcPr>
            <w:tcW w:w="8708" w:type="dxa"/>
            <w:tcBorders>
              <w:top w:val="single" w:color="auto" w:sz="4" w:space="0"/>
              <w:left w:val="single" w:color="auto" w:sz="4" w:space="0"/>
              <w:right w:val="single" w:color="auto" w:sz="4" w:space="0"/>
            </w:tcBorders>
            <w:vAlign w:val="center"/>
          </w:tcPr>
          <w:p w14:paraId="1CDBFE00">
            <w:pPr>
              <w:snapToGrid w:val="0"/>
              <w:spacing w:line="40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highlight w:val="none"/>
              </w:rPr>
              <w:t>中标候选人推荐数量：3家</w:t>
            </w:r>
          </w:p>
        </w:tc>
      </w:tr>
      <w:tr w14:paraId="63F87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0F4E06">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659D3557">
            <w:pPr>
              <w:autoSpaceDE w:val="0"/>
              <w:autoSpaceDN w:val="0"/>
              <w:snapToGrid w:val="0"/>
              <w:spacing w:line="400" w:lineRule="exact"/>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采用综合评分法的采购项目，采购人确定中标人时，出现中标候选人并列的情形，采购人按以下的方式确定中标人：按综合评分中技术水平、售后服务、履约能力、政策功能得分高低依次确定。</w:t>
            </w:r>
          </w:p>
        </w:tc>
      </w:tr>
      <w:tr w14:paraId="7BFDF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CA6FE95">
            <w:pPr>
              <w:spacing w:line="400" w:lineRule="exact"/>
              <w:jc w:val="center"/>
              <w:rPr>
                <w:rFonts w:asciiTheme="majorEastAsia" w:hAnsiTheme="majorEastAsia" w:eastAsiaTheme="majorEastAsia" w:cstheme="majorEastAsia"/>
                <w:color w:val="auto"/>
                <w:szCs w:val="21"/>
                <w:highlight w:val="none"/>
              </w:rPr>
            </w:pPr>
            <w:bookmarkStart w:id="81" w:name="_39.1"/>
            <w:bookmarkEnd w:id="81"/>
            <w:r>
              <w:rPr>
                <w:rFonts w:hint="eastAsia" w:asciiTheme="majorEastAsia" w:hAnsiTheme="majorEastAsia" w:eastAsiaTheme="majorEastAsia" w:cstheme="majorEastAsia"/>
                <w:color w:val="auto"/>
                <w:szCs w:val="21"/>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183616EE">
            <w:pPr>
              <w:autoSpaceDE w:val="0"/>
              <w:autoSpaceDN w:val="0"/>
              <w:snapToGrid w:val="0"/>
              <w:spacing w:line="340" w:lineRule="exact"/>
              <w:textAlignment w:val="bottom"/>
              <w:rPr>
                <w:rFonts w:asciiTheme="majorEastAsia" w:hAnsiTheme="majorEastAsia" w:eastAsiaTheme="majorEastAsia" w:cstheme="majorEastAsia"/>
                <w:color w:val="auto"/>
                <w:szCs w:val="21"/>
                <w:highlight w:val="none"/>
              </w:rPr>
            </w:pPr>
            <w:bookmarkStart w:id="82" w:name="OLE_LINK30"/>
            <w:r>
              <w:rPr>
                <w:rFonts w:hint="eastAsia" w:asciiTheme="majorEastAsia" w:hAnsiTheme="majorEastAsia" w:eastAsiaTheme="majorEastAsia" w:cstheme="majorEastAsia"/>
                <w:color w:val="auto"/>
                <w:szCs w:val="21"/>
                <w:highlight w:val="none"/>
              </w:rPr>
              <w:t>履约保证金</w:t>
            </w:r>
            <w:bookmarkEnd w:id="82"/>
            <w:r>
              <w:rPr>
                <w:rFonts w:hint="eastAsia" w:asciiTheme="majorEastAsia" w:hAnsiTheme="majorEastAsia" w:eastAsiaTheme="majorEastAsia" w:cstheme="majorEastAsia"/>
                <w:color w:val="auto"/>
                <w:szCs w:val="21"/>
                <w:highlight w:val="none"/>
              </w:rPr>
              <w:t>：无</w:t>
            </w:r>
            <w:r>
              <w:rPr>
                <w:rFonts w:hint="eastAsia" w:asciiTheme="majorEastAsia" w:hAnsiTheme="majorEastAsia" w:eastAsiaTheme="majorEastAsia" w:cstheme="majorEastAsia"/>
                <w:b/>
                <w:color w:val="auto"/>
                <w:szCs w:val="21"/>
                <w:highlight w:val="none"/>
              </w:rPr>
              <w:t xml:space="preserve">  </w:t>
            </w:r>
          </w:p>
        </w:tc>
      </w:tr>
      <w:tr w14:paraId="129DB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D5D90B0">
            <w:pPr>
              <w:spacing w:line="400" w:lineRule="exact"/>
              <w:jc w:val="center"/>
              <w:rPr>
                <w:rFonts w:asciiTheme="majorEastAsia" w:hAnsiTheme="majorEastAsia" w:eastAsiaTheme="majorEastAsia" w:cstheme="majorEastAsia"/>
                <w:color w:val="auto"/>
                <w:szCs w:val="21"/>
                <w:highlight w:val="none"/>
              </w:rPr>
            </w:pPr>
            <w:bookmarkStart w:id="83" w:name="_40.1"/>
            <w:bookmarkEnd w:id="83"/>
            <w:r>
              <w:rPr>
                <w:rFonts w:hint="eastAsia" w:asciiTheme="majorEastAsia" w:hAnsiTheme="majorEastAsia" w:eastAsiaTheme="majorEastAsia" w:cstheme="majorEastAsia"/>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6215DF77">
            <w:pPr>
              <w:autoSpaceDE w:val="0"/>
              <w:autoSpaceDN w:val="0"/>
              <w:snapToGrid w:val="0"/>
              <w:spacing w:line="240" w:lineRule="auto"/>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签订合同携带的证明材料： </w:t>
            </w:r>
          </w:p>
          <w:p w14:paraId="789BC7BC">
            <w:pPr>
              <w:autoSpaceDE w:val="0"/>
              <w:autoSpaceDN w:val="0"/>
              <w:snapToGrid w:val="0"/>
              <w:spacing w:line="240" w:lineRule="auto"/>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1、委托代理人负责签订合同的，须携带授权委托书及委托代理人身份证原件等其他资格证件。</w:t>
            </w:r>
          </w:p>
          <w:p w14:paraId="317B5571">
            <w:pPr>
              <w:autoSpaceDE w:val="0"/>
              <w:autoSpaceDN w:val="0"/>
              <w:snapToGrid w:val="0"/>
              <w:spacing w:line="240" w:lineRule="auto"/>
              <w:textAlignment w:val="bottom"/>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2、法定代表人负责签订合同的，须携带法定代表人身份证明原件及身份证原件等其他证明材料。</w:t>
            </w:r>
          </w:p>
        </w:tc>
      </w:tr>
      <w:tr w14:paraId="2FEE1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A15429">
            <w:pPr>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40D529D2">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接收质疑函方式：以纸质书面形式</w:t>
            </w:r>
          </w:p>
          <w:p w14:paraId="02CAB7EA">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质疑联系部门及联系方式：</w:t>
            </w:r>
            <w:r>
              <w:rPr>
                <w:rFonts w:hint="eastAsia" w:asciiTheme="majorEastAsia" w:hAnsiTheme="majorEastAsia" w:eastAsiaTheme="majorEastAsia" w:cstheme="majorEastAsia"/>
                <w:color w:val="auto"/>
                <w:szCs w:val="21"/>
                <w:highlight w:val="none"/>
                <w:lang w:eastAsia="zh-CN"/>
              </w:rPr>
              <w:t>广西众鼎建设工程咨询有限公司</w:t>
            </w:r>
            <w:r>
              <w:rPr>
                <w:rFonts w:hint="eastAsia" w:asciiTheme="majorEastAsia" w:hAnsiTheme="majorEastAsia" w:eastAsiaTheme="majorEastAsia" w:cstheme="majorEastAsia"/>
                <w:color w:val="auto"/>
                <w:szCs w:val="21"/>
                <w:highlight w:val="none"/>
              </w:rPr>
              <w:t>，质疑联系人：</w:t>
            </w:r>
            <w:r>
              <w:rPr>
                <w:rFonts w:hint="eastAsia" w:asciiTheme="majorEastAsia" w:hAnsiTheme="majorEastAsia" w:eastAsiaTheme="majorEastAsia" w:cstheme="majorEastAsia"/>
                <w:color w:val="auto"/>
                <w:szCs w:val="21"/>
                <w:highlight w:val="none"/>
                <w:lang w:eastAsia="zh-CN"/>
              </w:rPr>
              <w:t>陈柳华</w:t>
            </w:r>
            <w:r>
              <w:rPr>
                <w:rFonts w:hint="eastAsia" w:asciiTheme="majorEastAsia" w:hAnsiTheme="majorEastAsia" w:eastAsiaTheme="majorEastAsia" w:cstheme="majorEastAsia"/>
                <w:color w:val="auto"/>
                <w:szCs w:val="21"/>
                <w:highlight w:val="none"/>
              </w:rPr>
              <w:t>；联系电话：0775-</w:t>
            </w:r>
            <w:r>
              <w:rPr>
                <w:rFonts w:hint="eastAsia" w:asciiTheme="majorEastAsia" w:hAnsiTheme="majorEastAsia" w:eastAsiaTheme="majorEastAsia" w:cstheme="majorEastAsia"/>
                <w:color w:val="auto"/>
                <w:szCs w:val="21"/>
                <w:highlight w:val="none"/>
                <w:lang w:eastAsia="zh-CN"/>
              </w:rPr>
              <w:t>4364841</w:t>
            </w:r>
            <w:r>
              <w:rPr>
                <w:rFonts w:hint="eastAsia" w:asciiTheme="majorEastAsia" w:hAnsiTheme="majorEastAsia" w:eastAsiaTheme="majorEastAsia" w:cstheme="majorEastAsia"/>
                <w:color w:val="auto"/>
                <w:szCs w:val="21"/>
                <w:highlight w:val="none"/>
              </w:rPr>
              <w:t>，通讯地址：</w:t>
            </w:r>
            <w:r>
              <w:rPr>
                <w:rFonts w:hint="eastAsia" w:asciiTheme="majorEastAsia" w:hAnsiTheme="majorEastAsia" w:eastAsiaTheme="majorEastAsia" w:cstheme="majorEastAsia"/>
                <w:color w:val="auto"/>
                <w:szCs w:val="21"/>
                <w:highlight w:val="none"/>
                <w:lang w:eastAsia="zh-CN"/>
              </w:rPr>
              <w:t>贵港市港北区民生路555号（华泰荣御一期）15幢108号</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highlight w:val="none"/>
              </w:rPr>
              <w:t>现场提交质疑办理业务时间：工作日，</w:t>
            </w:r>
            <w:r>
              <w:rPr>
                <w:rFonts w:hint="eastAsia" w:asciiTheme="majorEastAsia" w:hAnsiTheme="majorEastAsia" w:eastAsiaTheme="majorEastAsia" w:cstheme="majorEastAsia"/>
                <w:color w:val="auto"/>
                <w:szCs w:val="21"/>
                <w:highlight w:val="none"/>
              </w:rPr>
              <w:t>上午8:00-12:00；下午1</w:t>
            </w:r>
            <w:r>
              <w:rPr>
                <w:rFonts w:hint="eastAsia" w:asciiTheme="majorEastAsia" w:hAnsiTheme="majorEastAsia" w:eastAsiaTheme="majorEastAsia" w:cstheme="majorEastAsia"/>
                <w:color w:val="auto"/>
                <w:highlight w:val="none"/>
              </w:rPr>
              <w:t>5</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highlight w:val="none"/>
              </w:rPr>
              <w:t>00</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highlight w:val="none"/>
              </w:rPr>
              <w:t>8</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highlight w:val="none"/>
              </w:rPr>
              <w:t>0</w:t>
            </w:r>
            <w:r>
              <w:rPr>
                <w:rFonts w:hint="eastAsia" w:asciiTheme="majorEastAsia" w:hAnsiTheme="majorEastAsia" w:eastAsiaTheme="majorEastAsia" w:cstheme="majorEastAsia"/>
                <w:color w:val="auto"/>
                <w:szCs w:val="21"/>
                <w:highlight w:val="none"/>
              </w:rPr>
              <w:t>0（北京时间）</w:t>
            </w:r>
          </w:p>
        </w:tc>
      </w:tr>
      <w:tr w14:paraId="78E6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042D99">
            <w:pPr>
              <w:spacing w:line="400" w:lineRule="exact"/>
              <w:jc w:val="center"/>
              <w:rPr>
                <w:rFonts w:asciiTheme="majorEastAsia" w:hAnsiTheme="majorEastAsia" w:eastAsiaTheme="majorEastAsia" w:cstheme="majorEastAsia"/>
                <w:color w:val="auto"/>
                <w:szCs w:val="21"/>
                <w:highlight w:val="none"/>
              </w:rPr>
            </w:pPr>
            <w:bookmarkStart w:id="84" w:name="_41"/>
            <w:bookmarkEnd w:id="84"/>
            <w:bookmarkStart w:id="85" w:name="_42"/>
            <w:bookmarkEnd w:id="85"/>
            <w:bookmarkStart w:id="86" w:name="_Hlt17709148"/>
            <w:r>
              <w:rPr>
                <w:rFonts w:hint="eastAsia" w:asciiTheme="majorEastAsia" w:hAnsiTheme="majorEastAsia" w:eastAsiaTheme="majorEastAsia" w:cstheme="majorEastAsia"/>
                <w:color w:val="auto"/>
                <w:szCs w:val="21"/>
                <w:highlight w:val="none"/>
              </w:rPr>
              <w:t>3</w:t>
            </w:r>
            <w:bookmarkEnd w:id="86"/>
            <w:r>
              <w:rPr>
                <w:rFonts w:hint="eastAsia" w:asciiTheme="majorEastAsia" w:hAnsiTheme="majorEastAsia" w:eastAsiaTheme="majorEastAsia" w:cstheme="majorEastAsia"/>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51DD6039">
            <w:pPr>
              <w:pStyle w:val="2"/>
              <w:snapToGrid w:val="0"/>
              <w:spacing w:after="0" w:line="400" w:lineRule="exact"/>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1、采购代理服务费支付方式：本项目的招标代理服务费按以下收费标准向中标人收取，领取中标通知书前，中标人应向采购代理机构一次付清招标代理服务费，否则采购代理机构有权不予以办理。</w:t>
            </w:r>
          </w:p>
          <w:p w14:paraId="7D97B13F">
            <w:pPr>
              <w:pStyle w:val="2"/>
              <w:snapToGrid w:val="0"/>
              <w:spacing w:after="0" w:line="400" w:lineRule="exact"/>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2、采购代理服务费收取标准：</w:t>
            </w:r>
          </w:p>
          <w:p w14:paraId="26CACE6C">
            <w:pPr>
              <w:pStyle w:val="2"/>
              <w:snapToGrid w:val="0"/>
              <w:spacing w:line="400" w:lineRule="exact"/>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以分标（中标金额）为计费金额，按本须知正文第39.2条规定的收费计算标准采用差额定率累进法计算出收费基准价格，采购代理服务费以收费基准价格收取。</w:t>
            </w:r>
          </w:p>
          <w:p w14:paraId="646D61FB">
            <w:pPr>
              <w:pStyle w:val="2"/>
              <w:snapToGrid w:val="0"/>
              <w:spacing w:after="120" w:line="240" w:lineRule="auto"/>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3、采购代理费收取银行账户：</w:t>
            </w:r>
          </w:p>
          <w:p w14:paraId="67C7FB0A">
            <w:pPr>
              <w:spacing w:after="120" w:line="240" w:lineRule="auto"/>
              <w:rPr>
                <w:rFonts w:ascii="宋体" w:hAnsi="宋体" w:cs="宋体"/>
                <w:color w:val="auto"/>
                <w:highlight w:val="none"/>
              </w:rPr>
            </w:pPr>
            <w:r>
              <w:rPr>
                <w:rFonts w:hint="eastAsia" w:ascii="宋体" w:hAnsi="宋体" w:cs="宋体"/>
                <w:color w:val="auto"/>
                <w:highlight w:val="none"/>
              </w:rPr>
              <w:t>开户名称：</w:t>
            </w:r>
            <w:r>
              <w:rPr>
                <w:rFonts w:hint="eastAsia" w:ascii="宋体" w:hAnsi="宋体" w:cs="宋体"/>
                <w:color w:val="auto"/>
                <w:highlight w:val="none"/>
                <w:lang w:val="zh-CN" w:bidi="zh-CN"/>
              </w:rPr>
              <w:t>广西众鼎建设工程咨询有限公司</w:t>
            </w:r>
          </w:p>
          <w:p w14:paraId="32E8A8CB">
            <w:pPr>
              <w:spacing w:after="120" w:line="24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lang w:val="zh-CN" w:bidi="zh-CN"/>
              </w:rPr>
              <w:t>广西贵港农村商业银行股份有限公司港北支行</w:t>
            </w:r>
          </w:p>
          <w:p w14:paraId="3F054846">
            <w:pPr>
              <w:spacing w:after="120" w:line="240" w:lineRule="auto"/>
              <w:rPr>
                <w:rFonts w:ascii="宋体" w:hAnsi="宋体" w:cs="宋体"/>
                <w:color w:val="auto"/>
                <w:highlight w:val="none"/>
                <w:lang w:val="zh-CN" w:bidi="zh-CN"/>
              </w:rPr>
            </w:pPr>
            <w:r>
              <w:rPr>
                <w:rFonts w:hint="eastAsia" w:ascii="宋体" w:hAnsi="宋体" w:cs="宋体"/>
                <w:color w:val="auto"/>
                <w:highlight w:val="none"/>
                <w:lang w:val="zh-CN" w:bidi="zh-CN"/>
              </w:rPr>
              <w:t>帐号：900912010105362567</w:t>
            </w:r>
          </w:p>
          <w:p w14:paraId="40E8557F">
            <w:pPr>
              <w:pStyle w:val="2"/>
              <w:snapToGrid w:val="0"/>
              <w:spacing w:after="120" w:line="240" w:lineRule="auto"/>
              <w:rPr>
                <w:rFonts w:asciiTheme="majorEastAsia" w:hAnsiTheme="majorEastAsia" w:eastAsiaTheme="majorEastAsia" w:cstheme="majorEastAsia"/>
                <w:color w:val="auto"/>
                <w:sz w:val="21"/>
                <w:highlight w:val="none"/>
              </w:rPr>
            </w:pPr>
            <w:r>
              <w:rPr>
                <w:rFonts w:hint="eastAsia" w:hAnsi="宋体" w:cs="宋体"/>
                <w:color w:val="auto"/>
                <w:highlight w:val="none"/>
                <w:lang w:val="zh-CN" w:bidi="zh-CN"/>
              </w:rPr>
              <w:t>联行号</w:t>
            </w:r>
            <w:r>
              <w:rPr>
                <w:rFonts w:hint="eastAsia" w:ascii="宋体" w:hAnsi="宋体" w:cs="宋体"/>
                <w:color w:val="auto"/>
                <w:kern w:val="2"/>
                <w:sz w:val="21"/>
                <w:highlight w:val="none"/>
                <w:lang w:val="zh-CN" w:bidi="zh-CN"/>
              </w:rPr>
              <w:t>：402624200012</w:t>
            </w:r>
          </w:p>
        </w:tc>
      </w:tr>
      <w:tr w14:paraId="4523F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72D492B">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68D70343">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2F75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9F274A">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0DE2802B">
            <w:pPr>
              <w:pStyle w:val="2"/>
              <w:snapToGrid w:val="0"/>
              <w:spacing w:after="0" w:line="400" w:lineRule="exact"/>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1、本招标文件中描述投标人的“公章”是指根据我国对公章的管理规定，用投标人法定主体行为名称制作的印章</w:t>
            </w:r>
            <w:r>
              <w:rPr>
                <w:rFonts w:hint="eastAsia" w:asciiTheme="majorEastAsia" w:hAnsiTheme="majorEastAsia" w:eastAsiaTheme="majorEastAsia" w:cstheme="majorEastAsia"/>
                <w:color w:val="auto"/>
                <w:sz w:val="21"/>
                <w:highlight w:val="none"/>
              </w:rPr>
              <w:t>（含电子印章）</w:t>
            </w:r>
            <w:r>
              <w:rPr>
                <w:rFonts w:hint="eastAsia" w:asciiTheme="majorEastAsia" w:hAnsiTheme="majorEastAsia" w:eastAsiaTheme="majorEastAsia" w:cstheme="majorEastAsia"/>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p>
          <w:p w14:paraId="66DF705C">
            <w:pPr>
              <w:pStyle w:val="2"/>
              <w:snapToGrid w:val="0"/>
              <w:spacing w:after="0" w:line="400" w:lineRule="exact"/>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E381366">
            <w:pPr>
              <w:pStyle w:val="2"/>
              <w:snapToGrid w:val="0"/>
              <w:spacing w:after="0" w:line="400" w:lineRule="exact"/>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3、本招标文件中描述投标人的“签字”是指投标人的法定代表人或者委托代理人</w:t>
            </w:r>
            <w:r>
              <w:rPr>
                <w:rFonts w:hint="eastAsia" w:asciiTheme="majorEastAsia" w:hAnsiTheme="majorEastAsia" w:eastAsiaTheme="majorEastAsia" w:cstheme="majorEastAsia"/>
                <w:color w:val="auto"/>
                <w:sz w:val="21"/>
                <w:highlight w:val="none"/>
              </w:rPr>
              <w:t>在文件规定签署处签名（含电子签名）的行为，私章、印鉴等其他形式均不能代替签字</w:t>
            </w:r>
            <w:r>
              <w:rPr>
                <w:rFonts w:hint="eastAsia" w:asciiTheme="majorEastAsia" w:hAnsiTheme="majorEastAsia" w:eastAsiaTheme="majorEastAsia" w:cstheme="majorEastAsia"/>
                <w:bCs/>
                <w:color w:val="auto"/>
                <w:sz w:val="21"/>
                <w:highlight w:val="none"/>
              </w:rPr>
              <w:t>。</w:t>
            </w:r>
          </w:p>
          <w:p w14:paraId="46A7DE29">
            <w:pPr>
              <w:pStyle w:val="2"/>
              <w:snapToGrid w:val="0"/>
              <w:spacing w:after="0" w:line="400" w:lineRule="exact"/>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4、自然人投标的，招标文件规定盖公章处由自然人摁手指指印。</w:t>
            </w:r>
          </w:p>
          <w:p w14:paraId="51444877">
            <w:pPr>
              <w:spacing w:after="0" w:line="40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szCs w:val="21"/>
                <w:highlight w:val="none"/>
              </w:rPr>
              <w:t>5、本招标文件所称的“以上”“以下”“以内”“届满”，包括本数；所称的“不满”“超过”“以外”，不包括本数。</w:t>
            </w:r>
          </w:p>
        </w:tc>
      </w:tr>
    </w:tbl>
    <w:p w14:paraId="11366939">
      <w:pPr>
        <w:snapToGrid w:val="0"/>
        <w:rPr>
          <w:rFonts w:ascii="仿宋" w:hAnsi="仿宋" w:eastAsia="仿宋"/>
          <w:color w:val="auto"/>
          <w:sz w:val="24"/>
          <w:szCs w:val="20"/>
          <w:highlight w:val="none"/>
        </w:rPr>
      </w:pPr>
    </w:p>
    <w:p w14:paraId="52C39B79">
      <w:pPr>
        <w:pStyle w:val="5"/>
        <w:keepNext w:val="0"/>
        <w:keepLines w:val="0"/>
        <w:spacing w:line="360" w:lineRule="exact"/>
        <w:jc w:val="center"/>
        <w:rPr>
          <w:rFonts w:asciiTheme="majorEastAsia" w:hAnsiTheme="majorEastAsia" w:eastAsiaTheme="majorEastAsia" w:cstheme="majorEastAsia"/>
          <w:color w:val="auto"/>
          <w:highlight w:val="none"/>
        </w:rPr>
      </w:pPr>
      <w:r>
        <w:rPr>
          <w:rFonts w:ascii="仿宋" w:hAnsi="仿宋" w:eastAsia="仿宋"/>
          <w:color w:val="auto"/>
          <w:highlight w:val="none"/>
        </w:rPr>
        <w:br w:type="page"/>
      </w:r>
      <w:r>
        <w:rPr>
          <w:rFonts w:hint="eastAsia" w:asciiTheme="majorEastAsia" w:hAnsiTheme="majorEastAsia" w:eastAsiaTheme="majorEastAsia" w:cstheme="majorEastAsia"/>
          <w:color w:val="auto"/>
          <w:highlight w:val="none"/>
        </w:rPr>
        <w:t>投标人须知正文</w:t>
      </w:r>
    </w:p>
    <w:p w14:paraId="4312AC83">
      <w:pPr>
        <w:pStyle w:val="4"/>
        <w:jc w:val="center"/>
        <w:rPr>
          <w:color w:val="auto"/>
          <w:highlight w:val="none"/>
        </w:rPr>
      </w:pPr>
      <w:bookmarkStart w:id="87" w:name="_Toc28688"/>
      <w:r>
        <w:rPr>
          <w:rFonts w:hint="eastAsia"/>
          <w:color w:val="auto"/>
          <w:highlight w:val="none"/>
        </w:rPr>
        <w:t>一、总  则</w:t>
      </w:r>
      <w:bookmarkEnd w:id="87"/>
    </w:p>
    <w:p w14:paraId="74D8DA75">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88" w:name="_Toc254970668"/>
      <w:bookmarkStart w:id="89" w:name="_Toc254970527"/>
      <w:r>
        <w:rPr>
          <w:rFonts w:hint="eastAsia" w:asciiTheme="majorEastAsia" w:hAnsiTheme="majorEastAsia" w:eastAsiaTheme="majorEastAsia" w:cstheme="majorEastAsia"/>
          <w:color w:val="auto"/>
          <w:sz w:val="24"/>
          <w:highlight w:val="none"/>
        </w:rPr>
        <w:t>1.适用范围</w:t>
      </w:r>
      <w:bookmarkEnd w:id="88"/>
      <w:bookmarkEnd w:id="89"/>
    </w:p>
    <w:p w14:paraId="51EB40C7">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CB5ADB3">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1.2本招标文件</w:t>
      </w:r>
      <w:r>
        <w:rPr>
          <w:rFonts w:hint="eastAsia" w:asciiTheme="majorEastAsia" w:hAnsiTheme="majorEastAsia" w:eastAsiaTheme="majorEastAsia" w:cstheme="majorEastAsia"/>
          <w:color w:val="auto"/>
          <w:spacing w:val="-6"/>
          <w:szCs w:val="21"/>
          <w:highlight w:val="none"/>
        </w:rPr>
        <w:t>适用于本项目的所有采购程序和环节（法律、法规另有规定的，从其规定）。</w:t>
      </w:r>
    </w:p>
    <w:p w14:paraId="5B2C3172">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90" w:name="_Toc254970669"/>
      <w:bookmarkStart w:id="91" w:name="_Toc254970528"/>
      <w:r>
        <w:rPr>
          <w:rFonts w:hint="eastAsia" w:asciiTheme="majorEastAsia" w:hAnsiTheme="majorEastAsia" w:eastAsiaTheme="majorEastAsia" w:cstheme="majorEastAsia"/>
          <w:color w:val="auto"/>
          <w:sz w:val="24"/>
          <w:highlight w:val="none"/>
        </w:rPr>
        <w:t>2.定义</w:t>
      </w:r>
      <w:bookmarkEnd w:id="90"/>
      <w:bookmarkEnd w:id="91"/>
    </w:p>
    <w:p w14:paraId="0889CD4F">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2.1“采购人”是指依法进行政府采购的国家机关、事业单位、团体组织。</w:t>
      </w:r>
    </w:p>
    <w:p w14:paraId="6D8D91CE">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2.2“采购代理机构”是指政府采购集中采购机构和集中采购机构以外的采购代理机构。</w:t>
      </w:r>
    </w:p>
    <w:p w14:paraId="25C590A1">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2.3“供应商”是指向采购人提供货物、工程或者服务的法人、其他组织或者自然人。</w:t>
      </w:r>
    </w:p>
    <w:p w14:paraId="63A4C932">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2.4“投标人”是指响应招标、参加投标竞争的法人、其他组织或者自然人。</w:t>
      </w:r>
    </w:p>
    <w:p w14:paraId="2D610820">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2.5“货物”是指各种形态和种类的物品，包括原材料、燃料、设备、产品等。</w:t>
      </w:r>
    </w:p>
    <w:p w14:paraId="7E4E955F">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17507344">
      <w:pPr>
        <w:pStyle w:val="7"/>
        <w:keepNext w:val="0"/>
        <w:keepLines w:val="0"/>
        <w:spacing w:before="0" w:after="0" w:line="360" w:lineRule="exact"/>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2.7“书面形式”是指合同书、信件和数据电文（包括电报、电传、传真、电子数据交换和电子邮件）等可以有形地表现所载内容的形式。</w:t>
      </w:r>
    </w:p>
    <w:p w14:paraId="405D7C0F">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2.8“实质性要求”是指招标文件中已经指明不满足则投标无效的条款，或者不能负偏离的条款，或者采购需求中带“</w:t>
      </w:r>
      <w:bookmarkStart w:id="92" w:name="OLE_LINK31"/>
      <w:r>
        <w:rPr>
          <w:rFonts w:hint="eastAsia" w:asciiTheme="majorEastAsia" w:hAnsiTheme="majorEastAsia" w:eastAsiaTheme="majorEastAsia" w:cstheme="majorEastAsia"/>
          <w:b w:val="0"/>
          <w:color w:val="auto"/>
          <w:sz w:val="21"/>
          <w:szCs w:val="21"/>
          <w:highlight w:val="none"/>
        </w:rPr>
        <w:t>▲</w:t>
      </w:r>
      <w:bookmarkEnd w:id="92"/>
      <w:r>
        <w:rPr>
          <w:rFonts w:hint="eastAsia" w:asciiTheme="majorEastAsia" w:hAnsiTheme="majorEastAsia" w:eastAsiaTheme="majorEastAsia" w:cstheme="majorEastAsia"/>
          <w:b w:val="0"/>
          <w:color w:val="auto"/>
          <w:sz w:val="21"/>
          <w:szCs w:val="21"/>
          <w:highlight w:val="none"/>
        </w:rPr>
        <w:t>”的条款。</w:t>
      </w:r>
    </w:p>
    <w:p w14:paraId="3E9D4B2E">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2.9 “正偏离”，是指投标文件对招标文件“采购需求”中有关条款作出的响应优于条款要求并有利于采购人的情形。</w:t>
      </w:r>
    </w:p>
    <w:p w14:paraId="3D1B5463">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2.10“负偏离”，是指投标文件对招标文件“采购需求”中有关条款作出的响应不满足条款要求，导致采购人要求不能得到满足的情形。</w:t>
      </w:r>
    </w:p>
    <w:p w14:paraId="30678DB8">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2.11“允许负偏离的条款”是指采购需求中的不属于“实质性要求”的条款。</w:t>
      </w:r>
      <w:bookmarkStart w:id="93" w:name="_Toc254970670"/>
      <w:bookmarkStart w:id="94" w:name="_Toc254970529"/>
    </w:p>
    <w:p w14:paraId="7F3923CF">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bookmarkEnd w:id="93"/>
      <w:bookmarkEnd w:id="94"/>
      <w:r>
        <w:rPr>
          <w:rFonts w:hint="eastAsia" w:asciiTheme="majorEastAsia" w:hAnsiTheme="majorEastAsia" w:eastAsiaTheme="majorEastAsia" w:cstheme="majorEastAsia"/>
          <w:color w:val="auto"/>
          <w:sz w:val="24"/>
          <w:highlight w:val="none"/>
        </w:rPr>
        <w:t>投标人的资格要求</w:t>
      </w:r>
    </w:p>
    <w:p w14:paraId="168664E7">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投标人的资格要求详见“投标人须知前附表”。</w:t>
      </w:r>
    </w:p>
    <w:p w14:paraId="3BB562AC">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95" w:name="_Toc254970530"/>
      <w:bookmarkStart w:id="96" w:name="_Toc254970671"/>
      <w:r>
        <w:rPr>
          <w:rFonts w:hint="eastAsia" w:asciiTheme="majorEastAsia" w:hAnsiTheme="majorEastAsia" w:eastAsiaTheme="majorEastAsia" w:cstheme="majorEastAsia"/>
          <w:color w:val="auto"/>
          <w:sz w:val="24"/>
          <w:highlight w:val="none"/>
        </w:rPr>
        <w:t>4.投标委托</w:t>
      </w:r>
      <w:bookmarkEnd w:id="95"/>
      <w:bookmarkEnd w:id="96"/>
    </w:p>
    <w:p w14:paraId="0F001760">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投标人代表参加投标活动过程中必须携带个人有效身份证件。如投标人代表不是法定代表人，须持有授权委托书（按第六章要求格式填写）。</w:t>
      </w:r>
    </w:p>
    <w:p w14:paraId="157CB33F">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97" w:name="_5.投标费用"/>
      <w:bookmarkEnd w:id="97"/>
      <w:bookmarkStart w:id="98" w:name="_Toc254970672"/>
      <w:bookmarkStart w:id="99" w:name="_Toc254970531"/>
      <w:r>
        <w:rPr>
          <w:rFonts w:hint="eastAsia" w:asciiTheme="majorEastAsia" w:hAnsiTheme="majorEastAsia" w:eastAsiaTheme="majorEastAsia" w:cstheme="majorEastAsia"/>
          <w:color w:val="auto"/>
          <w:sz w:val="24"/>
          <w:highlight w:val="none"/>
        </w:rPr>
        <w:t>5.投标费用</w:t>
      </w:r>
      <w:bookmarkEnd w:id="98"/>
      <w:bookmarkEnd w:id="99"/>
    </w:p>
    <w:p w14:paraId="79313571">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58C14BD">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6.联合体投标</w:t>
      </w:r>
    </w:p>
    <w:p w14:paraId="40AD67A4">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6.1本项目是否接受联合体投标，详见“投标人须知前附表”。</w:t>
      </w:r>
    </w:p>
    <w:p w14:paraId="62014A88">
      <w:pPr>
        <w:snapToGrid w:val="0"/>
        <w:spacing w:line="360" w:lineRule="exact"/>
        <w:ind w:firstLine="420" w:firstLineChars="200"/>
        <w:jc w:val="left"/>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6.2如接受联合体投标，联合体投标要求详见“投标人须知前附表”。</w:t>
      </w:r>
    </w:p>
    <w:p w14:paraId="7F53A2AF">
      <w:pPr>
        <w:pStyle w:val="7"/>
        <w:keepNext w:val="0"/>
        <w:keepLines w:val="0"/>
        <w:spacing w:before="0" w:after="0" w:line="360" w:lineRule="exact"/>
        <w:ind w:firstLine="424" w:firstLineChars="202"/>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val="0"/>
          <w:bCs/>
          <w:color w:val="auto"/>
          <w:sz w:val="21"/>
          <w:szCs w:val="21"/>
          <w:highlight w:val="none"/>
        </w:rPr>
        <w:t xml:space="preserve">6.3 </w:t>
      </w:r>
      <w:bookmarkStart w:id="100" w:name="_Hlk65857072"/>
      <w:r>
        <w:rPr>
          <w:rFonts w:hint="eastAsia" w:asciiTheme="majorEastAsia" w:hAnsiTheme="majorEastAsia" w:eastAsiaTheme="majorEastAsia" w:cstheme="majorEastAsia"/>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100"/>
    </w:p>
    <w:p w14:paraId="039CBE1B">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7.转包与分包             </w:t>
      </w:r>
    </w:p>
    <w:p w14:paraId="3FA08532">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7.1本项目不允许转包。</w:t>
      </w:r>
    </w:p>
    <w:p w14:paraId="1409A168">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7A5830F">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60B8BF9">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01" w:name="_Toc254970532"/>
      <w:bookmarkStart w:id="102" w:name="_Toc254970673"/>
      <w:r>
        <w:rPr>
          <w:rFonts w:hint="eastAsia" w:asciiTheme="majorEastAsia" w:hAnsiTheme="majorEastAsia" w:eastAsiaTheme="majorEastAsia" w:cstheme="majorEastAsia"/>
          <w:color w:val="auto"/>
          <w:sz w:val="24"/>
          <w:highlight w:val="none"/>
        </w:rPr>
        <w:t>8.特别说明</w:t>
      </w:r>
      <w:bookmarkEnd w:id="101"/>
      <w:bookmarkEnd w:id="102"/>
    </w:p>
    <w:p w14:paraId="0240170F">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bookmarkStart w:id="103" w:name="_8.1提供相同品牌产品且通过资格审查、符合性审查的不同投标人参加同一合"/>
      <w:bookmarkEnd w:id="103"/>
      <w:r>
        <w:rPr>
          <w:rFonts w:hint="eastAsia" w:asciiTheme="majorEastAsia" w:hAnsiTheme="majorEastAsia" w:eastAsiaTheme="majorEastAsia" w:cstheme="majorEastAsia"/>
          <w:b w:val="0"/>
          <w:color w:val="auto"/>
          <w:sz w:val="21"/>
          <w:szCs w:val="21"/>
          <w:highlight w:val="none"/>
        </w:rPr>
        <w:fldChar w:fldCharType="begin"/>
      </w:r>
      <w:r>
        <w:rPr>
          <w:rFonts w:hint="eastAsia" w:asciiTheme="majorEastAsia" w:hAnsiTheme="majorEastAsia" w:eastAsiaTheme="majorEastAsia" w:cstheme="majorEastAsia"/>
          <w:b w:val="0"/>
          <w:color w:val="auto"/>
          <w:sz w:val="21"/>
          <w:szCs w:val="21"/>
          <w:highlight w:val="none"/>
        </w:rPr>
        <w:instrText xml:space="preserve"> HYPERLINK  \l "_8.1" </w:instrText>
      </w:r>
      <w:r>
        <w:rPr>
          <w:rFonts w:hint="eastAsia" w:asciiTheme="majorEastAsia" w:hAnsiTheme="majorEastAsia" w:eastAsiaTheme="majorEastAsia" w:cstheme="majorEastAsia"/>
          <w:b w:val="0"/>
          <w:color w:val="auto"/>
          <w:sz w:val="21"/>
          <w:szCs w:val="21"/>
          <w:highlight w:val="none"/>
        </w:rPr>
        <w:fldChar w:fldCharType="separate"/>
      </w:r>
      <w:r>
        <w:rPr>
          <w:rFonts w:hint="eastAsia" w:asciiTheme="majorEastAsia" w:hAnsiTheme="majorEastAsia" w:eastAsiaTheme="majorEastAsia" w:cstheme="majorEastAsia"/>
          <w:b w:val="0"/>
          <w:color w:val="auto"/>
          <w:sz w:val="21"/>
          <w:szCs w:val="21"/>
          <w:highlight w:val="none"/>
        </w:rPr>
        <w:t>8.1</w:t>
      </w:r>
      <w:r>
        <w:rPr>
          <w:rFonts w:hint="eastAsia" w:asciiTheme="majorEastAsia" w:hAnsiTheme="majorEastAsia" w:eastAsiaTheme="majorEastAsia" w:cstheme="majorEastAsia"/>
          <w:b w:val="0"/>
          <w:color w:val="auto"/>
          <w:sz w:val="21"/>
          <w:szCs w:val="21"/>
          <w:highlight w:val="none"/>
        </w:rPr>
        <w:fldChar w:fldCharType="end"/>
      </w:r>
      <w:r>
        <w:rPr>
          <w:rFonts w:hint="eastAsia" w:asciiTheme="majorEastAsia" w:hAnsiTheme="majorEastAsia" w:eastAsiaTheme="majorEastAsia" w:cstheme="majorEastAsia"/>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Theme="majorEastAsia" w:hAnsiTheme="majorEastAsia" w:eastAsiaTheme="majorEastAsia" w:cstheme="majorEastAsia"/>
          <w:color w:val="auto"/>
          <w:sz w:val="22"/>
          <w:szCs w:val="22"/>
          <w:highlight w:val="none"/>
        </w:rPr>
        <w:t>其他投标无效。</w:t>
      </w:r>
    </w:p>
    <w:p w14:paraId="0D61B4D2">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1838380C">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非单一产品采购项目，多家投标人提供的核心产品品牌相同的，</w:t>
      </w:r>
      <w:r>
        <w:rPr>
          <w:rFonts w:hint="eastAsia" w:asciiTheme="majorEastAsia" w:hAnsiTheme="majorEastAsia" w:eastAsiaTheme="majorEastAsia" w:cstheme="majorEastAsia"/>
          <w:color w:val="auto"/>
          <w:sz w:val="22"/>
          <w:szCs w:val="22"/>
          <w:highlight w:val="none"/>
        </w:rPr>
        <w:t>按前两款规定处理</w:t>
      </w:r>
      <w:r>
        <w:rPr>
          <w:rFonts w:hint="eastAsia" w:asciiTheme="majorEastAsia" w:hAnsiTheme="majorEastAsia" w:eastAsiaTheme="majorEastAsia" w:cstheme="majorEastAsia"/>
          <w:color w:val="auto"/>
          <w:kern w:val="2"/>
          <w:sz w:val="21"/>
          <w:highlight w:val="none"/>
        </w:rPr>
        <w:t>。</w:t>
      </w:r>
    </w:p>
    <w:p w14:paraId="543E7CE1">
      <w:pPr>
        <w:pStyle w:val="7"/>
        <w:keepNext w:val="0"/>
        <w:keepLines w:val="0"/>
        <w:spacing w:before="0" w:after="0" w:line="360" w:lineRule="exact"/>
        <w:ind w:firstLine="367" w:firstLineChars="175"/>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5EEEC463">
      <w:pPr>
        <w:pStyle w:val="7"/>
        <w:keepNext w:val="0"/>
        <w:keepLines w:val="0"/>
        <w:spacing w:before="0" w:after="0" w:line="360" w:lineRule="exact"/>
        <w:ind w:firstLine="367" w:firstLineChars="175"/>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8.3投标人应仔细阅读招标文件的所有内容，按照招标文件的要求提交投标文件，并对所提供的全部资料的真实性承担法律责任。</w:t>
      </w:r>
    </w:p>
    <w:p w14:paraId="37BD5042">
      <w:pPr>
        <w:pStyle w:val="7"/>
        <w:keepNext w:val="0"/>
        <w:keepLines w:val="0"/>
        <w:spacing w:before="0" w:after="0" w:line="360" w:lineRule="exact"/>
        <w:ind w:firstLine="367" w:firstLineChars="175"/>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3CFCB80C">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9.回避与串通投标</w:t>
      </w:r>
    </w:p>
    <w:p w14:paraId="78E6DB2F">
      <w:pPr>
        <w:pStyle w:val="7"/>
        <w:keepNext w:val="0"/>
        <w:keepLines w:val="0"/>
        <w:spacing w:before="0" w:after="0" w:line="360" w:lineRule="exact"/>
        <w:ind w:firstLine="367" w:firstLineChars="175"/>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9.1在政府采购活动中，采购人员及相关人员与供应商有下列利害关系之一的，应当回避：</w:t>
      </w:r>
    </w:p>
    <w:p w14:paraId="218F140A">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（1）参加采购活动前3年内与供应商存在劳动关系；</w:t>
      </w:r>
    </w:p>
    <w:p w14:paraId="31BD3D53">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（2）参加采购活动前3年内担任供应商的董事、监事；</w:t>
      </w:r>
    </w:p>
    <w:p w14:paraId="170D606B">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（3）参加采购活动前3年内是供应商的控股股东或者实际控制人；</w:t>
      </w:r>
    </w:p>
    <w:p w14:paraId="069147E9">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（4）与供应商的法定代表人或者负责人有夫妻、直系血亲、三代以内旁系血亲或者近姻亲关系；</w:t>
      </w:r>
    </w:p>
    <w:p w14:paraId="0992DC64">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（5）与供应商有其他可能影响政府采购活动公平、公正进行的关系。</w:t>
      </w:r>
    </w:p>
    <w:p w14:paraId="17EE85FA">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3C8B6E">
      <w:pPr>
        <w:pStyle w:val="7"/>
        <w:keepNext w:val="0"/>
        <w:keepLines w:val="0"/>
        <w:spacing w:before="0" w:after="0" w:line="360" w:lineRule="exact"/>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9.2有下列情形之一的视为投标人相互串通投标，投标文件将被视为无效：</w:t>
      </w:r>
    </w:p>
    <w:p w14:paraId="5C6BB600">
      <w:pPr>
        <w:pStyle w:val="2"/>
        <w:snapToGrid w:val="0"/>
        <w:spacing w:line="360" w:lineRule="exact"/>
        <w:ind w:left="2" w:leftChars="1" w:firstLine="422" w:firstLineChars="200"/>
        <w:rPr>
          <w:rFonts w:asciiTheme="majorEastAsia" w:hAnsiTheme="majorEastAsia" w:eastAsiaTheme="majorEastAsia" w:cstheme="majorEastAsia"/>
          <w:b/>
          <w:color w:val="auto"/>
          <w:kern w:val="2"/>
          <w:sz w:val="21"/>
          <w:highlight w:val="none"/>
        </w:rPr>
      </w:pPr>
      <w:r>
        <w:rPr>
          <w:rFonts w:hint="eastAsia" w:asciiTheme="majorEastAsia" w:hAnsiTheme="majorEastAsia" w:eastAsiaTheme="majorEastAsia" w:cstheme="majorEastAsia"/>
          <w:b/>
          <w:color w:val="auto"/>
          <w:kern w:val="2"/>
          <w:sz w:val="21"/>
          <w:highlight w:val="none"/>
        </w:rPr>
        <w:t xml:space="preserve">（1）不同投标人的投标文件由同一单位或者个人编制； </w:t>
      </w:r>
    </w:p>
    <w:p w14:paraId="3D621143">
      <w:pPr>
        <w:pStyle w:val="2"/>
        <w:snapToGrid w:val="0"/>
        <w:spacing w:line="360" w:lineRule="exact"/>
        <w:ind w:left="2" w:leftChars="1" w:firstLine="422" w:firstLineChars="200"/>
        <w:rPr>
          <w:rFonts w:asciiTheme="majorEastAsia" w:hAnsiTheme="majorEastAsia" w:eastAsiaTheme="majorEastAsia" w:cstheme="majorEastAsia"/>
          <w:b/>
          <w:color w:val="auto"/>
          <w:kern w:val="2"/>
          <w:sz w:val="21"/>
          <w:highlight w:val="none"/>
        </w:rPr>
      </w:pPr>
      <w:r>
        <w:rPr>
          <w:rFonts w:hint="eastAsia" w:asciiTheme="majorEastAsia" w:hAnsiTheme="majorEastAsia" w:eastAsiaTheme="majorEastAsia" w:cstheme="majorEastAsia"/>
          <w:b/>
          <w:color w:val="auto"/>
          <w:kern w:val="2"/>
          <w:sz w:val="21"/>
          <w:highlight w:val="none"/>
        </w:rPr>
        <w:t>（2）不同投标人委托同一单位或者个人办理投标事宜；</w:t>
      </w:r>
    </w:p>
    <w:p w14:paraId="20857E92">
      <w:pPr>
        <w:pStyle w:val="2"/>
        <w:snapToGrid w:val="0"/>
        <w:spacing w:line="360" w:lineRule="exact"/>
        <w:ind w:left="2" w:leftChars="1" w:firstLine="422" w:firstLineChars="200"/>
        <w:rPr>
          <w:rFonts w:asciiTheme="majorEastAsia" w:hAnsiTheme="majorEastAsia" w:eastAsiaTheme="majorEastAsia" w:cstheme="majorEastAsia"/>
          <w:b/>
          <w:color w:val="auto"/>
          <w:kern w:val="2"/>
          <w:sz w:val="21"/>
          <w:highlight w:val="none"/>
        </w:rPr>
      </w:pPr>
      <w:r>
        <w:rPr>
          <w:rFonts w:hint="eastAsia" w:asciiTheme="majorEastAsia" w:hAnsiTheme="majorEastAsia" w:eastAsiaTheme="majorEastAsia" w:cstheme="majorEastAsia"/>
          <w:b/>
          <w:color w:val="auto"/>
          <w:kern w:val="2"/>
          <w:sz w:val="21"/>
          <w:highlight w:val="none"/>
        </w:rPr>
        <w:t>（3）不同的投标人的投标文件载明的项目管理员为同一个人；</w:t>
      </w:r>
    </w:p>
    <w:p w14:paraId="522AEFC7">
      <w:pPr>
        <w:pStyle w:val="2"/>
        <w:snapToGrid w:val="0"/>
        <w:spacing w:line="360" w:lineRule="exact"/>
        <w:ind w:left="2" w:leftChars="1" w:firstLine="422" w:firstLineChars="200"/>
        <w:rPr>
          <w:rFonts w:asciiTheme="majorEastAsia" w:hAnsiTheme="majorEastAsia" w:eastAsiaTheme="majorEastAsia" w:cstheme="majorEastAsia"/>
          <w:b/>
          <w:color w:val="auto"/>
          <w:kern w:val="2"/>
          <w:sz w:val="21"/>
          <w:highlight w:val="none"/>
        </w:rPr>
      </w:pPr>
      <w:r>
        <w:rPr>
          <w:rFonts w:hint="eastAsia" w:asciiTheme="majorEastAsia" w:hAnsiTheme="majorEastAsia" w:eastAsiaTheme="majorEastAsia" w:cstheme="majorEastAsia"/>
          <w:b/>
          <w:color w:val="auto"/>
          <w:kern w:val="2"/>
          <w:sz w:val="21"/>
          <w:highlight w:val="none"/>
        </w:rPr>
        <w:t>（4）不同投标人的投标文件异常一致或者投标报价呈规律性差异；</w:t>
      </w:r>
    </w:p>
    <w:p w14:paraId="69C78D88">
      <w:pPr>
        <w:pStyle w:val="2"/>
        <w:snapToGrid w:val="0"/>
        <w:spacing w:line="360" w:lineRule="exact"/>
        <w:ind w:left="2" w:leftChars="1" w:firstLine="422" w:firstLineChars="200"/>
        <w:rPr>
          <w:rFonts w:asciiTheme="majorEastAsia" w:hAnsiTheme="majorEastAsia" w:eastAsiaTheme="majorEastAsia" w:cstheme="majorEastAsia"/>
          <w:b/>
          <w:color w:val="auto"/>
          <w:kern w:val="2"/>
          <w:sz w:val="21"/>
          <w:highlight w:val="none"/>
        </w:rPr>
      </w:pPr>
      <w:r>
        <w:rPr>
          <w:rFonts w:hint="eastAsia" w:asciiTheme="majorEastAsia" w:hAnsiTheme="majorEastAsia" w:eastAsiaTheme="majorEastAsia" w:cstheme="majorEastAsia"/>
          <w:b/>
          <w:color w:val="auto"/>
          <w:kern w:val="2"/>
          <w:sz w:val="21"/>
          <w:highlight w:val="none"/>
        </w:rPr>
        <w:t>（5）不同投标人的投标文件相互混装；</w:t>
      </w:r>
    </w:p>
    <w:p w14:paraId="14784909">
      <w:pPr>
        <w:pStyle w:val="2"/>
        <w:snapToGrid w:val="0"/>
        <w:spacing w:line="360" w:lineRule="exact"/>
        <w:ind w:left="2" w:leftChars="1" w:firstLine="422" w:firstLineChars="200"/>
        <w:rPr>
          <w:rFonts w:asciiTheme="majorEastAsia" w:hAnsiTheme="majorEastAsia" w:eastAsiaTheme="majorEastAsia" w:cstheme="majorEastAsia"/>
          <w:b/>
          <w:color w:val="auto"/>
          <w:kern w:val="2"/>
          <w:sz w:val="21"/>
          <w:highlight w:val="none"/>
        </w:rPr>
      </w:pPr>
      <w:r>
        <w:rPr>
          <w:rFonts w:hint="eastAsia" w:asciiTheme="majorEastAsia" w:hAnsiTheme="majorEastAsia" w:eastAsiaTheme="majorEastAsia" w:cstheme="majorEastAsia"/>
          <w:b/>
          <w:color w:val="auto"/>
          <w:kern w:val="2"/>
          <w:sz w:val="21"/>
          <w:highlight w:val="none"/>
        </w:rPr>
        <w:t>（6）不同投标人的投标保证金从同一单位或者个人账户转出。</w:t>
      </w:r>
    </w:p>
    <w:p w14:paraId="20A52D1D">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9.3供应商有下列情形之一的，属于恶意串通行为，将报同级监督管理部门：</w:t>
      </w:r>
    </w:p>
    <w:p w14:paraId="268C8C2A">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（1）供应商直接或者间接从采购人或者采购代理机构处获得其他供应商的相关信息并修改其投标文件或者响应文件；</w:t>
      </w:r>
    </w:p>
    <w:p w14:paraId="26FAF4A6">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（2）供应商按照采购人或者采购代理机构的授意撤换、修改投标文件或者响应文件；</w:t>
      </w:r>
    </w:p>
    <w:p w14:paraId="4F7A5028">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（3）供应商之间协商报价、技术方案等投标文件或者响应文件的实质性内容；</w:t>
      </w:r>
    </w:p>
    <w:p w14:paraId="4EA994AB">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（4）属于同一集团、协会、商会等组织成员的供应商按照该组织要求协同参加政府采购活动；</w:t>
      </w:r>
    </w:p>
    <w:p w14:paraId="4831814F">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320BFC6">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（6）供应商之间商定部分供应商放弃参加政府采购活动或者放弃中标；</w:t>
      </w:r>
    </w:p>
    <w:p w14:paraId="319D846E">
      <w:pPr>
        <w:pStyle w:val="2"/>
        <w:snapToGrid w:val="0"/>
        <w:spacing w:line="360" w:lineRule="exact"/>
        <w:ind w:left="2" w:leftChars="1" w:firstLine="420" w:firstLineChars="200"/>
        <w:rPr>
          <w:rFonts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kern w:val="2"/>
          <w:sz w:val="21"/>
          <w:highlight w:val="none"/>
        </w:rPr>
        <w:t>（7）供应商与采购人或者采购代理机构之间、供应商相互之间，为谋求特定供应商中标或者排斥其他供应商的其他串通行为。</w:t>
      </w:r>
    </w:p>
    <w:p w14:paraId="6C2C908F">
      <w:pPr>
        <w:pStyle w:val="2"/>
        <w:snapToGrid w:val="0"/>
        <w:spacing w:line="360" w:lineRule="exact"/>
        <w:ind w:left="2" w:leftChars="1" w:firstLine="422" w:firstLineChars="200"/>
        <w:rPr>
          <w:rFonts w:asciiTheme="majorEastAsia" w:hAnsiTheme="majorEastAsia" w:eastAsiaTheme="majorEastAsia" w:cstheme="majorEastAsia"/>
          <w:b/>
          <w:color w:val="auto"/>
          <w:kern w:val="2"/>
          <w:sz w:val="21"/>
          <w:highlight w:val="none"/>
        </w:rPr>
      </w:pPr>
    </w:p>
    <w:p w14:paraId="064648B1">
      <w:pPr>
        <w:pStyle w:val="4"/>
        <w:jc w:val="center"/>
        <w:rPr>
          <w:color w:val="auto"/>
          <w:highlight w:val="none"/>
        </w:rPr>
      </w:pPr>
      <w:bookmarkStart w:id="104" w:name="_Toc254970675"/>
      <w:bookmarkStart w:id="105" w:name="_Toc27767"/>
      <w:bookmarkStart w:id="106" w:name="_Toc254970534"/>
      <w:r>
        <w:rPr>
          <w:rFonts w:hint="eastAsia"/>
          <w:color w:val="auto"/>
          <w:highlight w:val="none"/>
        </w:rPr>
        <w:t>二、招标文件</w:t>
      </w:r>
      <w:bookmarkEnd w:id="104"/>
      <w:bookmarkEnd w:id="105"/>
      <w:bookmarkEnd w:id="106"/>
    </w:p>
    <w:p w14:paraId="02695226">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10.招标文件的组成</w:t>
      </w:r>
    </w:p>
    <w:p w14:paraId="182C35CA">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（1）招标公告；</w:t>
      </w:r>
    </w:p>
    <w:p w14:paraId="043DD5EB">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（2）采购需求； </w:t>
      </w:r>
    </w:p>
    <w:p w14:paraId="7BF6DAA7">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（3）投标人须知；</w:t>
      </w:r>
    </w:p>
    <w:p w14:paraId="2096D200">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（4）评标方法及评标标准；</w:t>
      </w:r>
    </w:p>
    <w:p w14:paraId="541C6E3C">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（5）拟签订的合同文本；</w:t>
      </w:r>
    </w:p>
    <w:p w14:paraId="4E49CA37">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（6）投标文件格式。</w:t>
      </w:r>
    </w:p>
    <w:p w14:paraId="3D3933C9">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11.招标文件的澄清、修改 、现场考察和答疑会</w:t>
      </w:r>
    </w:p>
    <w:p w14:paraId="2E146F66">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061A234E">
      <w:pPr>
        <w:pStyle w:val="7"/>
        <w:keepNext w:val="0"/>
        <w:keepLines w:val="0"/>
        <w:spacing w:before="0" w:after="0"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25C4E46">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11.3采购人和采购代理机构可以视采购具体情况，变更投标截止时间和开标时间，并</w:t>
      </w:r>
      <w:r>
        <w:rPr>
          <w:rFonts w:hint="eastAsia" w:asciiTheme="majorEastAsia" w:hAnsiTheme="majorEastAsia" w:eastAsiaTheme="majorEastAsia" w:cstheme="majorEastAsia"/>
          <w:color w:val="auto"/>
          <w:szCs w:val="21"/>
          <w:highlight w:val="none"/>
        </w:rPr>
        <w:t>在原公告发布媒体上发布更正公告。</w:t>
      </w:r>
    </w:p>
    <w:p w14:paraId="6346D414">
      <w:pPr>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11.4招标文件澄清、答复、修改、补充的内容为招标文件的组成部分。</w:t>
      </w:r>
      <w:r>
        <w:rPr>
          <w:rFonts w:hint="eastAsia" w:asciiTheme="majorEastAsia" w:hAnsiTheme="majorEastAsia" w:eastAsiaTheme="majorEastAsia" w:cstheme="majorEastAsia"/>
          <w:b/>
          <w:color w:val="auto"/>
          <w:szCs w:val="21"/>
          <w:highlight w:val="none"/>
        </w:rPr>
        <w:t>当招标文件与招标文件的澄清、答复、修改、补充通知就同一内容的表述不一致时，以最后发出的文件为准。</w:t>
      </w:r>
    </w:p>
    <w:p w14:paraId="2CA3DED1">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11.</w:t>
      </w:r>
      <w:bookmarkStart w:id="107" w:name="_Hlk53134511"/>
      <w:r>
        <w:rPr>
          <w:rFonts w:hint="eastAsia" w:asciiTheme="majorEastAsia" w:hAnsiTheme="majorEastAsia" w:eastAsiaTheme="majorEastAsia" w:cstheme="majorEastAsia"/>
          <w:color w:val="auto"/>
          <w:sz w:val="21"/>
          <w:highlight w:val="none"/>
        </w:rPr>
        <w:t>5采购人或者采购代理机构可以在招标文件提供期限截止后，组织已获取招标文件的潜在投标人现场考察或者召开开标前答疑会，具体详见“投标人须知前附表”。</w:t>
      </w:r>
    </w:p>
    <w:p w14:paraId="3DAE6CBF">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p>
    <w:bookmarkEnd w:id="107"/>
    <w:p w14:paraId="2B7273FD">
      <w:pPr>
        <w:pStyle w:val="4"/>
        <w:jc w:val="center"/>
        <w:rPr>
          <w:color w:val="auto"/>
          <w:highlight w:val="none"/>
        </w:rPr>
      </w:pPr>
      <w:bookmarkStart w:id="108" w:name="_Toc254970535"/>
      <w:bookmarkStart w:id="109" w:name="_Toc15869"/>
      <w:bookmarkStart w:id="110" w:name="_Toc254970676"/>
      <w:r>
        <w:rPr>
          <w:rFonts w:hint="eastAsia"/>
          <w:color w:val="auto"/>
          <w:highlight w:val="none"/>
        </w:rPr>
        <w:t>三、投标文件的编制</w:t>
      </w:r>
      <w:bookmarkEnd w:id="108"/>
      <w:bookmarkEnd w:id="109"/>
      <w:bookmarkEnd w:id="110"/>
    </w:p>
    <w:p w14:paraId="13FF5757">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11" w:name="_Toc254970677"/>
      <w:bookmarkStart w:id="112" w:name="_Toc254970536"/>
      <w:r>
        <w:rPr>
          <w:rFonts w:hint="eastAsia" w:asciiTheme="majorEastAsia" w:hAnsiTheme="majorEastAsia" w:eastAsiaTheme="majorEastAsia" w:cstheme="majorEastAsia"/>
          <w:color w:val="auto"/>
          <w:sz w:val="24"/>
          <w:highlight w:val="none"/>
        </w:rPr>
        <w:t>12.投标文件的编制原则</w:t>
      </w:r>
    </w:p>
    <w:p w14:paraId="21AD9E15">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投标人必须按照招标文件的要求编制投标文件。投标文件必须对招标文件提出的要求和条件作出明确响应。</w:t>
      </w:r>
    </w:p>
    <w:p w14:paraId="4A1288D8">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13.投标文件的组成</w:t>
      </w:r>
      <w:bookmarkEnd w:id="111"/>
      <w:bookmarkEnd w:id="112"/>
    </w:p>
    <w:p w14:paraId="6AFBFB98">
      <w:pPr>
        <w:snapToGrid w:val="0"/>
        <w:spacing w:line="36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13.1投标文件由报价文件、资格证明文件、商务文件、技术文件四部分组成。</w:t>
      </w:r>
    </w:p>
    <w:p w14:paraId="53AF19C3">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bookmarkStart w:id="113" w:name="_13.1报价文件:_具体材料见“投标人须知前附表”。"/>
      <w:bookmarkEnd w:id="113"/>
      <w:r>
        <w:rPr>
          <w:rFonts w:hint="eastAsia" w:asciiTheme="majorEastAsia" w:hAnsiTheme="majorEastAsia" w:eastAsiaTheme="majorEastAsia" w:cstheme="majorEastAsia"/>
          <w:b w:val="0"/>
          <w:color w:val="auto"/>
          <w:sz w:val="21"/>
          <w:szCs w:val="21"/>
          <w:highlight w:val="none"/>
        </w:rPr>
        <w:t>（1）报价文件： 具体材料见“投标人须知前附表”。</w:t>
      </w:r>
    </w:p>
    <w:p w14:paraId="242D6652">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bookmarkStart w:id="114" w:name="_13.2资格证明文件：具体材料见“投标人须知前附表”。"/>
      <w:bookmarkEnd w:id="114"/>
      <w:r>
        <w:rPr>
          <w:rFonts w:hint="eastAsia" w:asciiTheme="majorEastAsia" w:hAnsiTheme="majorEastAsia" w:eastAsiaTheme="majorEastAsia" w:cstheme="majorEastAsia"/>
          <w:b w:val="0"/>
          <w:color w:val="auto"/>
          <w:sz w:val="21"/>
          <w:szCs w:val="21"/>
          <w:highlight w:val="none"/>
        </w:rPr>
        <w:t>（2）资格证明文件：具体材料见“投标人须知前附表”。</w:t>
      </w:r>
    </w:p>
    <w:p w14:paraId="1E556A29">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bookmarkStart w:id="115" w:name="_13.3商务文件:_具体材料见“投标人须知前附表”。"/>
      <w:bookmarkEnd w:id="115"/>
      <w:r>
        <w:rPr>
          <w:rFonts w:hint="eastAsia" w:asciiTheme="majorEastAsia" w:hAnsiTheme="majorEastAsia" w:eastAsiaTheme="majorEastAsia" w:cstheme="majorEastAsia"/>
          <w:b w:val="0"/>
          <w:color w:val="auto"/>
          <w:sz w:val="21"/>
          <w:szCs w:val="21"/>
          <w:highlight w:val="none"/>
        </w:rPr>
        <w:t>（3）商务文件：具体材料见“投标人须知前附表”。</w:t>
      </w:r>
    </w:p>
    <w:p w14:paraId="58644379">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bookmarkStart w:id="116" w:name="_13.4技术文件：具体材料见“投标人须知前附表”。"/>
      <w:bookmarkEnd w:id="116"/>
      <w:r>
        <w:rPr>
          <w:rFonts w:hint="eastAsia" w:asciiTheme="majorEastAsia" w:hAnsiTheme="majorEastAsia" w:eastAsiaTheme="majorEastAsia" w:cstheme="majorEastAsia"/>
          <w:b w:val="0"/>
          <w:color w:val="auto"/>
          <w:sz w:val="21"/>
          <w:szCs w:val="21"/>
          <w:highlight w:val="none"/>
        </w:rPr>
        <w:t>（4）技术文件：具体材料见“投标人须知前附表”。</w:t>
      </w:r>
      <w:bookmarkStart w:id="117" w:name="_13.5投标文件电子版：具体材料见“投标人须知前附表”。"/>
      <w:bookmarkEnd w:id="117"/>
    </w:p>
    <w:p w14:paraId="2ABB2A00">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18" w:name="_Toc254970678"/>
      <w:bookmarkStart w:id="119" w:name="_Toc254970537"/>
      <w:r>
        <w:rPr>
          <w:rFonts w:hint="eastAsia" w:asciiTheme="majorEastAsia" w:hAnsiTheme="majorEastAsia" w:eastAsiaTheme="majorEastAsia" w:cstheme="majorEastAsia"/>
          <w:color w:val="auto"/>
          <w:sz w:val="24"/>
          <w:highlight w:val="none"/>
        </w:rPr>
        <w:t>14.投标文件的语言及计量</w:t>
      </w:r>
      <w:bookmarkEnd w:id="118"/>
      <w:bookmarkEnd w:id="119"/>
    </w:p>
    <w:p w14:paraId="52CD9D82">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14.1语言文字</w:t>
      </w:r>
    </w:p>
    <w:p w14:paraId="1A177510">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B673D19">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14.2投标计量单位</w:t>
      </w:r>
    </w:p>
    <w:p w14:paraId="35D645B5">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7DB25F6F">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15.投标的风险</w:t>
      </w:r>
    </w:p>
    <w:p w14:paraId="3C8B01F8">
      <w:pPr>
        <w:pStyle w:val="2"/>
        <w:snapToGrid w:val="0"/>
        <w:spacing w:line="360" w:lineRule="exact"/>
        <w:ind w:firstLine="420" w:firstLineChars="200"/>
        <w:jc w:val="left"/>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投标人没有按照招标文件要求提供全部资料，或者投标人没有对招标文件作出实质性响应是投标人的风险，并可能导致其投标被拒绝。</w:t>
      </w:r>
    </w:p>
    <w:p w14:paraId="7B57A3F9">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20" w:name="_Toc254970679"/>
      <w:bookmarkStart w:id="121" w:name="_Toc254970538"/>
      <w:r>
        <w:rPr>
          <w:rFonts w:hint="eastAsia" w:asciiTheme="majorEastAsia" w:hAnsiTheme="majorEastAsia" w:eastAsiaTheme="majorEastAsia" w:cstheme="majorEastAsia"/>
          <w:color w:val="auto"/>
          <w:sz w:val="24"/>
          <w:highlight w:val="none"/>
        </w:rPr>
        <w:t>16.投标报价</w:t>
      </w:r>
      <w:bookmarkEnd w:id="120"/>
      <w:bookmarkEnd w:id="121"/>
    </w:p>
    <w:p w14:paraId="2D071FA6">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16.1投标报价应按“第六章　投标文件格式”中“开标一览表”格式填写。</w:t>
      </w:r>
    </w:p>
    <w:p w14:paraId="1E578509">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bookmarkStart w:id="122" w:name="_16.2投标报价具体定义见投标人须知前附表。"/>
      <w:bookmarkEnd w:id="122"/>
      <w:r>
        <w:rPr>
          <w:rFonts w:hint="eastAsia" w:asciiTheme="majorEastAsia" w:hAnsiTheme="majorEastAsia" w:eastAsiaTheme="majorEastAsia" w:cstheme="majorEastAsia"/>
          <w:b w:val="0"/>
          <w:color w:val="auto"/>
          <w:sz w:val="21"/>
          <w:szCs w:val="21"/>
          <w:highlight w:val="none"/>
        </w:rPr>
        <w:t>16.2投标报价具体包括内容详见“投标人须知前附表”。</w:t>
      </w:r>
    </w:p>
    <w:p w14:paraId="24B239DA">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16.3投标人必须就所投每个分标的全部内容分别作完整唯一总价报价，不得存在漏项报价；投标人必须就所投分标的单项内容作唯一报价。</w:t>
      </w:r>
    </w:p>
    <w:p w14:paraId="1F316DD7">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17.投标有效期</w:t>
      </w:r>
    </w:p>
    <w:p w14:paraId="53D51B57">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bookmarkStart w:id="123" w:name="_17.1投标有效期应按“投标人须知中的前附表”规定的期限。"/>
      <w:bookmarkEnd w:id="123"/>
      <w:r>
        <w:rPr>
          <w:rFonts w:hint="eastAsia" w:asciiTheme="majorEastAsia" w:hAnsiTheme="majorEastAsia" w:eastAsiaTheme="majorEastAsia" w:cstheme="maj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1148FFE">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17.2</w:t>
      </w:r>
      <w:bookmarkStart w:id="124" w:name="_Toc254970540"/>
      <w:bookmarkStart w:id="125" w:name="_Toc254970681"/>
      <w:r>
        <w:rPr>
          <w:rFonts w:hint="eastAsia" w:asciiTheme="majorEastAsia" w:hAnsiTheme="majorEastAsia" w:eastAsiaTheme="majorEastAsia" w:cstheme="majorEastAsia"/>
          <w:b w:val="0"/>
          <w:color w:val="auto"/>
          <w:sz w:val="21"/>
          <w:szCs w:val="21"/>
          <w:highlight w:val="none"/>
        </w:rPr>
        <w:t xml:space="preserve"> 投标有效期应按规定的期限作出承诺，具体详见“投标人须知前附表”。</w:t>
      </w:r>
    </w:p>
    <w:p w14:paraId="03944D49">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17.3投标人的投标文件在投标有效期内均保持有效。</w:t>
      </w:r>
      <w:bookmarkEnd w:id="124"/>
      <w:bookmarkEnd w:id="125"/>
    </w:p>
    <w:p w14:paraId="0BBB96BA">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26" w:name="_18.投标保证金"/>
      <w:bookmarkEnd w:id="126"/>
      <w:bookmarkStart w:id="127" w:name="_Toc254970541"/>
      <w:bookmarkStart w:id="128" w:name="_Toc254970682"/>
      <w:r>
        <w:rPr>
          <w:rFonts w:hint="eastAsia" w:asciiTheme="majorEastAsia" w:hAnsiTheme="majorEastAsia" w:eastAsiaTheme="majorEastAsia" w:cstheme="majorEastAsia"/>
          <w:color w:val="auto"/>
          <w:sz w:val="24"/>
          <w:highlight w:val="none"/>
        </w:rPr>
        <w:t>18.投标保证金</w:t>
      </w:r>
      <w:bookmarkEnd w:id="127"/>
      <w:bookmarkEnd w:id="128"/>
    </w:p>
    <w:p w14:paraId="4754F4E4">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18.1投标人须按“投标人须知前附表” 的规定提交投标保证金。</w:t>
      </w:r>
    </w:p>
    <w:p w14:paraId="23C3B78E">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18.2投标保证金的退还</w:t>
      </w:r>
    </w:p>
    <w:p w14:paraId="304EE55C">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2F231389">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18.3除逾期退还投标保证金和终止招标的情形以外，投标保证金不计息。</w:t>
      </w:r>
    </w:p>
    <w:p w14:paraId="6F75F4F9">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18.4投标人有下列情形之一的，投标保证金将不予退还： </w:t>
      </w:r>
    </w:p>
    <w:p w14:paraId="3CDFF005">
      <w:pPr>
        <w:snapToGrid w:val="0"/>
        <w:spacing w:line="360" w:lineRule="exact"/>
        <w:ind w:firstLine="411" w:firstLineChars="196"/>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（1）投标人在投标有效期内撤销投标文件的；</w:t>
      </w:r>
    </w:p>
    <w:p w14:paraId="6338F19F">
      <w:pPr>
        <w:snapToGrid w:val="0"/>
        <w:spacing w:line="360" w:lineRule="exact"/>
        <w:ind w:firstLine="411" w:firstLineChars="196"/>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（2）未按规定提交履约保证金的；</w:t>
      </w:r>
    </w:p>
    <w:p w14:paraId="0F20C110">
      <w:pPr>
        <w:snapToGrid w:val="0"/>
        <w:spacing w:line="360" w:lineRule="exact"/>
        <w:ind w:firstLine="411" w:firstLineChars="196"/>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（3）投标人在投标过程中弄虚作假，提供虚假材料的；</w:t>
      </w:r>
    </w:p>
    <w:p w14:paraId="790E533E">
      <w:pPr>
        <w:snapToGrid w:val="0"/>
        <w:spacing w:line="360" w:lineRule="exact"/>
        <w:ind w:firstLine="411" w:firstLineChars="19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（4）中标人无正当理由不与采购人签订合同的；</w:t>
      </w:r>
    </w:p>
    <w:p w14:paraId="4ABBCB20">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（5）投标人出现本章第9.2、9.3情形的；</w:t>
      </w:r>
    </w:p>
    <w:p w14:paraId="3C749F27">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（6）法律法规规定的其他情形。</w:t>
      </w:r>
    </w:p>
    <w:p w14:paraId="7094C779">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29" w:name="_Toc254970542"/>
      <w:bookmarkStart w:id="130" w:name="_Toc254970683"/>
      <w:r>
        <w:rPr>
          <w:rFonts w:hint="eastAsia" w:asciiTheme="majorEastAsia" w:hAnsiTheme="majorEastAsia" w:eastAsiaTheme="majorEastAsia" w:cstheme="majorEastAsia"/>
          <w:color w:val="auto"/>
          <w:sz w:val="24"/>
          <w:highlight w:val="none"/>
        </w:rPr>
        <w:t>19.投标文件的</w:t>
      </w:r>
      <w:bookmarkEnd w:id="129"/>
      <w:bookmarkEnd w:id="130"/>
      <w:r>
        <w:rPr>
          <w:rFonts w:hint="eastAsia" w:asciiTheme="majorEastAsia" w:hAnsiTheme="majorEastAsia" w:eastAsiaTheme="majorEastAsia" w:cstheme="majorEastAsia"/>
          <w:color w:val="auto"/>
          <w:sz w:val="24"/>
          <w:highlight w:val="none"/>
        </w:rPr>
        <w:t>编制</w:t>
      </w:r>
    </w:p>
    <w:p w14:paraId="4D765A1F">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7558640">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bookmarkStart w:id="131" w:name="_19.2投标文件应按报价文件、资格证明文件、商务文件、技术文件分别编制"/>
      <w:bookmarkEnd w:id="131"/>
      <w:r>
        <w:rPr>
          <w:rFonts w:hint="eastAsia" w:asciiTheme="majorEastAsia" w:hAnsiTheme="majorEastAsia" w:eastAsiaTheme="majorEastAsia" w:cstheme="majorEastAsia"/>
          <w:b w:val="0"/>
          <w:color w:val="auto"/>
          <w:sz w:val="21"/>
          <w:szCs w:val="21"/>
          <w:highlight w:val="none"/>
        </w:rPr>
        <w:t>19.2投标文件应按报价文件、资格证明文件、商务文件、技术文件分别编制电子文件，并按广西政府采购云平台的要求编制、加密、上传。</w:t>
      </w:r>
    </w:p>
    <w:p w14:paraId="3F184ED6">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19.</w:t>
      </w:r>
      <w:bookmarkStart w:id="132" w:name="_Hlk65832616"/>
      <w:r>
        <w:rPr>
          <w:rFonts w:hint="eastAsia" w:asciiTheme="majorEastAsia" w:hAnsiTheme="majorEastAsia" w:eastAsiaTheme="majorEastAsia" w:cstheme="majorEastAsia"/>
          <w:b w:val="0"/>
          <w:color w:val="auto"/>
          <w:sz w:val="21"/>
          <w:szCs w:val="21"/>
          <w:highlight w:val="none"/>
        </w:rPr>
        <w:t>3投标文件须由投标人在规定位置盖公章并签字</w:t>
      </w:r>
      <w:bookmarkStart w:id="133" w:name="_Hlk65832569"/>
      <w:r>
        <w:rPr>
          <w:rFonts w:hint="eastAsia" w:asciiTheme="majorEastAsia" w:hAnsiTheme="majorEastAsia" w:eastAsiaTheme="majorEastAsia" w:cstheme="majorEastAsia"/>
          <w:b w:val="0"/>
          <w:color w:val="auto"/>
          <w:sz w:val="21"/>
          <w:szCs w:val="21"/>
          <w:highlight w:val="none"/>
        </w:rPr>
        <w:t>（具体以投标人须知前附表或投标文件格式规定为准）</w:t>
      </w:r>
      <w:bookmarkEnd w:id="132"/>
      <w:bookmarkEnd w:id="133"/>
      <w:r>
        <w:rPr>
          <w:rFonts w:hint="eastAsia" w:asciiTheme="majorEastAsia" w:hAnsiTheme="majorEastAsia" w:eastAsiaTheme="majorEastAsia" w:cstheme="majorEastAsia"/>
          <w:b w:val="0"/>
          <w:color w:val="auto"/>
          <w:sz w:val="21"/>
          <w:szCs w:val="21"/>
          <w:highlight w:val="none"/>
        </w:rPr>
        <w:t>，</w:t>
      </w:r>
      <w:r>
        <w:rPr>
          <w:rFonts w:hint="eastAsia" w:asciiTheme="majorEastAsia" w:hAnsiTheme="majorEastAsia" w:eastAsiaTheme="majorEastAsia" w:cstheme="majorEastAsia"/>
          <w:bCs/>
          <w:color w:val="auto"/>
          <w:sz w:val="21"/>
          <w:szCs w:val="21"/>
          <w:highlight w:val="none"/>
        </w:rPr>
        <w:t>否则按无效投标处理</w:t>
      </w:r>
      <w:r>
        <w:rPr>
          <w:rFonts w:hint="eastAsia" w:asciiTheme="majorEastAsia" w:hAnsiTheme="majorEastAsia" w:eastAsiaTheme="majorEastAsia" w:cstheme="majorEastAsia"/>
          <w:b w:val="0"/>
          <w:color w:val="auto"/>
          <w:sz w:val="21"/>
          <w:szCs w:val="21"/>
          <w:highlight w:val="none"/>
        </w:rPr>
        <w:t>。</w:t>
      </w:r>
    </w:p>
    <w:p w14:paraId="7AA99ED4">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Theme="majorEastAsia" w:hAnsiTheme="majorEastAsia" w:eastAsiaTheme="majorEastAsia" w:cstheme="majorEastAsia"/>
          <w:color w:val="auto"/>
          <w:sz w:val="21"/>
          <w:szCs w:val="21"/>
          <w:highlight w:val="none"/>
        </w:rPr>
        <w:t>否则按无效投标处理</w:t>
      </w:r>
      <w:r>
        <w:rPr>
          <w:rFonts w:hint="eastAsia" w:asciiTheme="majorEastAsia" w:hAnsiTheme="majorEastAsia" w:eastAsiaTheme="majorEastAsia" w:cstheme="majorEastAsia"/>
          <w:b w:val="0"/>
          <w:color w:val="auto"/>
          <w:sz w:val="21"/>
          <w:szCs w:val="21"/>
          <w:highlight w:val="none"/>
        </w:rPr>
        <w:t>。</w:t>
      </w:r>
    </w:p>
    <w:p w14:paraId="3FC56822">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D09D759">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20.投标文件的加密、解密</w:t>
      </w:r>
    </w:p>
    <w:p w14:paraId="3DA4B57D">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02AC32DF">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21.投标文件的提交</w:t>
      </w:r>
    </w:p>
    <w:p w14:paraId="5D9C204A">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bookmarkStart w:id="134" w:name="_21.1投标人必须在“投标人须知中的前附表”规定的投标文件接收时间和投"/>
      <w:bookmarkEnd w:id="134"/>
      <w:r>
        <w:rPr>
          <w:rFonts w:hint="eastAsia" w:asciiTheme="majorEastAsia" w:hAnsiTheme="majorEastAsia" w:eastAsiaTheme="majorEastAsia" w:cstheme="majorEastAsia"/>
          <w:b w:val="0"/>
          <w:color w:val="auto"/>
          <w:sz w:val="21"/>
          <w:szCs w:val="21"/>
          <w:highlight w:val="none"/>
        </w:rPr>
        <w:t>21.1投标人必须在“投标人须知前附表”规定的投标文件接收时间和投标地点提交投标文件。</w:t>
      </w:r>
    </w:p>
    <w:p w14:paraId="40F96349">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2AF24632">
      <w:pPr>
        <w:pStyle w:val="7"/>
        <w:keepNext w:val="0"/>
        <w:keepLines w:val="0"/>
        <w:spacing w:before="0" w:after="0" w:line="360" w:lineRule="exact"/>
        <w:ind w:firstLine="420" w:firstLineChars="200"/>
        <w:jc w:val="left"/>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21.3未在规定时间内上传或者未按广西政府采购云平台的要求编制、加密的电子投标文件，广西政府采购云平台将拒收。</w:t>
      </w:r>
    </w:p>
    <w:p w14:paraId="5DC70A0D">
      <w:pPr>
        <w:spacing w:line="360" w:lineRule="exac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21.4电子投标文件提交方式见“招标公告”中“四、提交投标文件截止时间、开标时间和地点”</w:t>
      </w:r>
    </w:p>
    <w:p w14:paraId="0FC36EDC">
      <w:pPr>
        <w:spacing w:line="360" w:lineRule="exact"/>
        <w:rPr>
          <w:rFonts w:asciiTheme="majorEastAsia" w:hAnsiTheme="majorEastAsia" w:eastAsiaTheme="majorEastAsia" w:cstheme="majorEastAsia"/>
          <w:color w:val="auto"/>
          <w:highlight w:val="none"/>
        </w:rPr>
      </w:pPr>
    </w:p>
    <w:p w14:paraId="4E41ED5B">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投标文件的补充、修改、撤回与退回</w:t>
      </w:r>
    </w:p>
    <w:p w14:paraId="616CF22D">
      <w:pPr>
        <w:snapToGrid w:val="0"/>
        <w:spacing w:line="360" w:lineRule="exact"/>
        <w:ind w:firstLine="420"/>
        <w:jc w:val="left"/>
        <w:rPr>
          <w:rFonts w:asciiTheme="majorEastAsia" w:hAnsiTheme="majorEastAsia" w:eastAsiaTheme="majorEastAsia" w:cstheme="majorEastAsia"/>
          <w:color w:val="auto"/>
          <w:szCs w:val="21"/>
          <w:highlight w:val="none"/>
        </w:rPr>
      </w:pPr>
      <w:bookmarkStart w:id="135" w:name="_Toc254970543"/>
      <w:bookmarkStart w:id="136" w:name="_Toc254970684"/>
      <w:r>
        <w:rPr>
          <w:rFonts w:hint="eastAsia" w:asciiTheme="majorEastAsia" w:hAnsiTheme="majorEastAsia" w:eastAsiaTheme="majorEastAsia" w:cstheme="majorEastAsia"/>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35"/>
    <w:bookmarkEnd w:id="136"/>
    <w:p w14:paraId="4503724B">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1567D023">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22.3 投标人在投标截止时间后书面通知采购人、采购代理机构撤销投标文件的，将根据本须知正文18.4的规定不予退还其投标保证金。</w:t>
      </w:r>
    </w:p>
    <w:p w14:paraId="5D7A0E87">
      <w:pPr>
        <w:pStyle w:val="18"/>
        <w:snapToGrid w:val="0"/>
        <w:spacing w:line="360" w:lineRule="exact"/>
        <w:ind w:firstLine="739"/>
        <w:rPr>
          <w:rFonts w:asciiTheme="majorEastAsia" w:hAnsiTheme="majorEastAsia" w:eastAsiaTheme="majorEastAsia" w:cstheme="majorEastAsia"/>
          <w:snapToGrid w:val="0"/>
          <w:color w:val="auto"/>
          <w:szCs w:val="21"/>
          <w:highlight w:val="none"/>
        </w:rPr>
      </w:pPr>
    </w:p>
    <w:p w14:paraId="29646B39">
      <w:pPr>
        <w:pStyle w:val="4"/>
        <w:jc w:val="center"/>
        <w:rPr>
          <w:color w:val="auto"/>
          <w:highlight w:val="none"/>
        </w:rPr>
      </w:pPr>
      <w:bookmarkStart w:id="137" w:name="_Toc13864"/>
      <w:bookmarkStart w:id="138" w:name="_Toc254970685"/>
      <w:bookmarkStart w:id="139" w:name="_Toc254970544"/>
      <w:r>
        <w:rPr>
          <w:rFonts w:hint="eastAsia"/>
          <w:color w:val="auto"/>
          <w:highlight w:val="none"/>
        </w:rPr>
        <w:t>四、开    标</w:t>
      </w:r>
      <w:bookmarkEnd w:id="137"/>
      <w:bookmarkEnd w:id="138"/>
      <w:bookmarkEnd w:id="139"/>
    </w:p>
    <w:p w14:paraId="6B912D7F">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40" w:name="_23.开标时间和地点"/>
      <w:bookmarkEnd w:id="140"/>
      <w:r>
        <w:rPr>
          <w:rFonts w:hint="eastAsia" w:asciiTheme="majorEastAsia" w:hAnsiTheme="majorEastAsia" w:eastAsiaTheme="majorEastAsia" w:cstheme="majorEastAsia"/>
          <w:color w:val="auto"/>
          <w:sz w:val="24"/>
          <w:highlight w:val="none"/>
        </w:rPr>
        <w:t>23.开标时间和地点</w:t>
      </w:r>
    </w:p>
    <w:p w14:paraId="49F81436">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23.1开标时间及地点详见“投标人须知前附表”</w:t>
      </w:r>
    </w:p>
    <w:p w14:paraId="53513CB0">
      <w:pPr>
        <w:snapToGrid w:val="0"/>
        <w:spacing w:line="360" w:lineRule="exact"/>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5E3711CF">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24.开标程序</w:t>
      </w:r>
    </w:p>
    <w:p w14:paraId="2F41C1A2">
      <w:pPr>
        <w:autoSpaceDE w:val="0"/>
        <w:autoSpaceDN w:val="0"/>
        <w:adjustRightIn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Cs/>
          <w:color w:val="auto"/>
          <w:szCs w:val="21"/>
          <w:highlight w:val="none"/>
        </w:rPr>
        <w:t>24.1</w:t>
      </w:r>
      <w:r>
        <w:rPr>
          <w:rFonts w:hint="eastAsia" w:asciiTheme="majorEastAsia" w:hAnsiTheme="majorEastAsia" w:eastAsiaTheme="majorEastAsia" w:cstheme="majorEastAsia"/>
          <w:color w:val="auto"/>
          <w:kern w:val="0"/>
          <w:szCs w:val="21"/>
          <w:highlight w:val="none"/>
        </w:rPr>
        <w:t>开标形式：</w:t>
      </w:r>
    </w:p>
    <w:p w14:paraId="53F98DFE">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3AB1A73">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24.2开标程序：</w:t>
      </w:r>
    </w:p>
    <w:p w14:paraId="1E3B6AE3">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（1）解密电子投标文件。</w:t>
      </w:r>
      <w:r>
        <w:rPr>
          <w:rFonts w:hint="eastAsia" w:asciiTheme="majorEastAsia" w:hAnsiTheme="majorEastAsia" w:eastAsiaTheme="majorEastAsia" w:cstheme="majorEastAsia"/>
          <w:color w:val="auto"/>
          <w:szCs w:val="21"/>
          <w:highlight w:val="none"/>
        </w:rPr>
        <w:t>广西政府采购云平台</w:t>
      </w:r>
      <w:r>
        <w:rPr>
          <w:rFonts w:hint="eastAsia" w:asciiTheme="majorEastAsia" w:hAnsiTheme="majorEastAsia" w:eastAsiaTheme="majorEastAsia" w:cstheme="majorEastAsia"/>
          <w:bCs/>
          <w:color w:val="auto"/>
          <w:szCs w:val="21"/>
          <w:highlight w:val="none"/>
        </w:rPr>
        <w:t>按开标时间自动提取所有投标文件。采购代理机构依托</w:t>
      </w:r>
      <w:r>
        <w:rPr>
          <w:rFonts w:hint="eastAsia" w:asciiTheme="majorEastAsia" w:hAnsiTheme="majorEastAsia" w:eastAsiaTheme="majorEastAsia" w:cstheme="majorEastAsia"/>
          <w:color w:val="auto"/>
          <w:szCs w:val="21"/>
          <w:highlight w:val="none"/>
        </w:rPr>
        <w:t>广西政府采购云平台</w:t>
      </w:r>
      <w:r>
        <w:rPr>
          <w:rFonts w:hint="eastAsia" w:asciiTheme="majorEastAsia" w:hAnsiTheme="majorEastAsia" w:eastAsiaTheme="majorEastAsia" w:cstheme="majorEastAsia"/>
          <w:bCs/>
          <w:color w:val="auto"/>
          <w:szCs w:val="21"/>
          <w:highlight w:val="none"/>
        </w:rPr>
        <w:t>向各投标人发出电子加密投标文件【开始解密】通知，由投标人进行投标文件解密。</w:t>
      </w:r>
      <w:r>
        <w:rPr>
          <w:rFonts w:hint="eastAsia" w:asciiTheme="majorEastAsia" w:hAnsiTheme="majorEastAsia" w:eastAsiaTheme="majorEastAsia" w:cstheme="majorEastAsia"/>
          <w:b/>
          <w:bCs/>
          <w:color w:val="auto"/>
          <w:szCs w:val="21"/>
          <w:highlight w:val="none"/>
        </w:rPr>
        <w:t>投标人的法定代表人或其委托代理人须携带加密时所用的CA锁准时登录到广西政府采购云平台平台电子开标大厅签到</w:t>
      </w:r>
      <w:r>
        <w:rPr>
          <w:rFonts w:hint="eastAsia" w:asciiTheme="majorEastAsia" w:hAnsiTheme="majorEastAsia" w:eastAsiaTheme="majorEastAsia" w:cstheme="majorEastAsia"/>
          <w:b/>
          <w:color w:val="auto"/>
          <w:szCs w:val="21"/>
          <w:highlight w:val="none"/>
        </w:rPr>
        <w:t>并在发起解密</w:t>
      </w:r>
      <w:r>
        <w:rPr>
          <w:rFonts w:hint="eastAsia" w:asciiTheme="majorEastAsia" w:hAnsiTheme="majorEastAsia" w:eastAsiaTheme="majorEastAsia" w:cstheme="majorEastAsia"/>
          <w:b/>
          <w:bCs/>
          <w:color w:val="auto"/>
          <w:szCs w:val="21"/>
          <w:highlight w:val="none"/>
        </w:rPr>
        <w:t>通知</w:t>
      </w:r>
      <w:r>
        <w:rPr>
          <w:rFonts w:hint="eastAsia" w:asciiTheme="majorEastAsia" w:hAnsiTheme="majorEastAsia" w:eastAsiaTheme="majorEastAsia" w:cstheme="majorEastAsia"/>
          <w:b/>
          <w:color w:val="auto"/>
          <w:szCs w:val="21"/>
          <w:highlight w:val="none"/>
        </w:rPr>
        <w:t>之时起30分钟内完成</w:t>
      </w:r>
      <w:r>
        <w:rPr>
          <w:rFonts w:hint="eastAsia" w:asciiTheme="majorEastAsia" w:hAnsiTheme="majorEastAsia" w:eastAsiaTheme="majorEastAsia" w:cstheme="majorEastAsia"/>
          <w:b/>
          <w:bCs/>
          <w:color w:val="auto"/>
          <w:szCs w:val="21"/>
          <w:highlight w:val="none"/>
        </w:rPr>
        <w:t>对电子投标文件解密。投标文件未按时解密的，视为无效投标。</w:t>
      </w:r>
      <w:r>
        <w:rPr>
          <w:rFonts w:hint="eastAsia" w:asciiTheme="majorEastAsia" w:hAnsiTheme="majorEastAsia" w:eastAsiaTheme="majorEastAsia" w:cstheme="majorEastAsia"/>
          <w:bCs/>
          <w:color w:val="auto"/>
          <w:szCs w:val="21"/>
          <w:highlight w:val="none"/>
        </w:rPr>
        <w:t>（解密异常情况处理：详见本章29.4 电子交易活动的中止）。</w:t>
      </w:r>
    </w:p>
    <w:p w14:paraId="22855CBC">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（2）电子唱标。投标文件解密结束，各投标供应商报价均在</w:t>
      </w:r>
      <w:r>
        <w:rPr>
          <w:rFonts w:hint="eastAsia" w:asciiTheme="majorEastAsia" w:hAnsiTheme="majorEastAsia" w:eastAsiaTheme="majorEastAsia" w:cstheme="majorEastAsia"/>
          <w:color w:val="auto"/>
          <w:szCs w:val="21"/>
          <w:highlight w:val="none"/>
        </w:rPr>
        <w:t>广西政府采购云平台</w:t>
      </w:r>
      <w:r>
        <w:rPr>
          <w:rFonts w:hint="eastAsia" w:asciiTheme="majorEastAsia" w:hAnsiTheme="majorEastAsia" w:eastAsiaTheme="majorEastAsia" w:cstheme="majorEastAsia"/>
          <w:bCs/>
          <w:color w:val="auto"/>
          <w:szCs w:val="21"/>
          <w:highlight w:val="none"/>
        </w:rPr>
        <w:t>远程不见面开标大厅展示；</w:t>
      </w:r>
    </w:p>
    <w:p w14:paraId="498E0404">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（3）签署电子《政府采购活动现场确认声明书》。通过邮件形式在远程不见面开标大厅发送各投标人签署电子《政府采购活动现场确认声明书》。</w:t>
      </w:r>
    </w:p>
    <w:p w14:paraId="5BEBC1A2">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B86D345">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E274E21">
      <w:pPr>
        <w:autoSpaceDE w:val="0"/>
        <w:autoSpaceDN w:val="0"/>
        <w:adjustRightInd w:val="0"/>
        <w:spacing w:line="360" w:lineRule="exact"/>
        <w:ind w:firstLine="420" w:firstLineChars="20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（6）开标结束。</w:t>
      </w:r>
    </w:p>
    <w:p w14:paraId="4A25D577">
      <w:pPr>
        <w:autoSpaceDE w:val="0"/>
        <w:autoSpaceDN w:val="0"/>
        <w:adjustRightIn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特别说明：如遇广西政府采购云平台电子化开标或评审程序调整的，按调整后执行。</w:t>
      </w:r>
    </w:p>
    <w:p w14:paraId="4365CBB3">
      <w:pPr>
        <w:pStyle w:val="2"/>
        <w:snapToGrid w:val="0"/>
        <w:spacing w:line="360" w:lineRule="exact"/>
        <w:ind w:left="689" w:leftChars="228" w:hanging="210" w:hangingChars="100"/>
        <w:rPr>
          <w:rFonts w:asciiTheme="majorEastAsia" w:hAnsiTheme="majorEastAsia" w:eastAsiaTheme="majorEastAsia" w:cstheme="majorEastAsia"/>
          <w:color w:val="auto"/>
          <w:sz w:val="21"/>
          <w:highlight w:val="none"/>
        </w:rPr>
      </w:pPr>
    </w:p>
    <w:p w14:paraId="0FAD1F09">
      <w:pPr>
        <w:pStyle w:val="4"/>
        <w:jc w:val="center"/>
        <w:rPr>
          <w:color w:val="auto"/>
          <w:highlight w:val="none"/>
        </w:rPr>
      </w:pPr>
      <w:bookmarkStart w:id="141" w:name="_Toc1182"/>
      <w:r>
        <w:rPr>
          <w:rFonts w:hint="eastAsia"/>
          <w:color w:val="auto"/>
          <w:highlight w:val="none"/>
        </w:rPr>
        <w:t>五、资格审查</w:t>
      </w:r>
      <w:bookmarkEnd w:id="141"/>
    </w:p>
    <w:p w14:paraId="3FFE7BA5">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25.资格审查</w:t>
      </w:r>
    </w:p>
    <w:p w14:paraId="659D4234">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25.1开标结束后，采购人或者采购代理机构依法对投标人的资格进行审查。</w:t>
      </w:r>
    </w:p>
    <w:p w14:paraId="71D7D5FF">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BBD28C7">
      <w:pPr>
        <w:pStyle w:val="7"/>
        <w:keepNext w:val="0"/>
        <w:keepLines w:val="0"/>
        <w:spacing w:before="0" w:after="0" w:line="360" w:lineRule="exact"/>
        <w:ind w:firstLine="422" w:firstLineChars="200"/>
        <w:rPr>
          <w:rFonts w:asciiTheme="majorEastAsia" w:hAnsiTheme="majorEastAsia" w:eastAsiaTheme="majorEastAsia" w:cstheme="majorEastAsia"/>
          <w:color w:val="auto"/>
          <w:sz w:val="21"/>
          <w:szCs w:val="21"/>
          <w:highlight w:val="none"/>
        </w:rPr>
      </w:pPr>
      <w:bookmarkStart w:id="142" w:name="_25.3_投标人有下列情形之一的，资格审查不通过而导致其投标无效："/>
      <w:bookmarkEnd w:id="142"/>
      <w:r>
        <w:rPr>
          <w:rFonts w:hint="eastAsia" w:asciiTheme="majorEastAsia" w:hAnsiTheme="majorEastAsia" w:eastAsiaTheme="majorEastAsia" w:cstheme="majorEastAsia"/>
          <w:color w:val="auto"/>
          <w:sz w:val="21"/>
          <w:szCs w:val="21"/>
          <w:highlight w:val="none"/>
        </w:rPr>
        <w:t>25.3 投标人有下列情形之一的，资格审查不通过，作无效投标处理：</w:t>
      </w:r>
    </w:p>
    <w:p w14:paraId="5E46AC4B">
      <w:pPr>
        <w:pStyle w:val="2"/>
        <w:snapToGrid w:val="0"/>
        <w:spacing w:line="360" w:lineRule="exact"/>
        <w:ind w:firstLine="422" w:firstLineChars="200"/>
        <w:rPr>
          <w:rFonts w:asciiTheme="majorEastAsia" w:hAnsiTheme="majorEastAsia" w:eastAsiaTheme="majorEastAsia" w:cstheme="majorEastAsia"/>
          <w:b/>
          <w:color w:val="auto"/>
          <w:sz w:val="21"/>
          <w:highlight w:val="none"/>
        </w:rPr>
      </w:pPr>
      <w:r>
        <w:rPr>
          <w:rFonts w:hint="eastAsia" w:asciiTheme="majorEastAsia" w:hAnsiTheme="majorEastAsia" w:eastAsiaTheme="majorEastAsia" w:cstheme="majorEastAsia"/>
          <w:b/>
          <w:color w:val="auto"/>
          <w:sz w:val="21"/>
          <w:highlight w:val="none"/>
        </w:rPr>
        <w:t>（1）未按招标文件规定的方式获取本招标文件的投标人；</w:t>
      </w:r>
    </w:p>
    <w:p w14:paraId="404DDE52">
      <w:pPr>
        <w:pStyle w:val="2"/>
        <w:snapToGrid w:val="0"/>
        <w:spacing w:line="360" w:lineRule="exact"/>
        <w:ind w:firstLine="422" w:firstLineChars="200"/>
        <w:rPr>
          <w:rFonts w:asciiTheme="majorEastAsia" w:hAnsiTheme="majorEastAsia" w:eastAsiaTheme="majorEastAsia" w:cstheme="majorEastAsia"/>
          <w:b/>
          <w:color w:val="auto"/>
          <w:sz w:val="21"/>
          <w:highlight w:val="none"/>
        </w:rPr>
      </w:pPr>
      <w:r>
        <w:rPr>
          <w:rFonts w:hint="eastAsia" w:asciiTheme="majorEastAsia" w:hAnsiTheme="majorEastAsia" w:eastAsiaTheme="majorEastAsia" w:cstheme="majorEastAsia"/>
          <w:b/>
          <w:color w:val="auto"/>
          <w:sz w:val="21"/>
          <w:highlight w:val="none"/>
        </w:rPr>
        <w:t>（2）不具备招标文件中规定的资格要求的；</w:t>
      </w:r>
    </w:p>
    <w:p w14:paraId="580DFC8D">
      <w:pPr>
        <w:pStyle w:val="2"/>
        <w:snapToGrid w:val="0"/>
        <w:spacing w:line="360" w:lineRule="exact"/>
        <w:ind w:firstLine="422" w:firstLineChars="200"/>
        <w:rPr>
          <w:rFonts w:asciiTheme="majorEastAsia" w:hAnsiTheme="majorEastAsia" w:eastAsiaTheme="majorEastAsia" w:cstheme="majorEastAsia"/>
          <w:b/>
          <w:color w:val="auto"/>
          <w:sz w:val="21"/>
          <w:highlight w:val="none"/>
        </w:rPr>
      </w:pPr>
      <w:r>
        <w:rPr>
          <w:rFonts w:hint="eastAsia" w:asciiTheme="majorEastAsia" w:hAnsiTheme="majorEastAsia" w:eastAsiaTheme="majorEastAsia" w:cstheme="majorEastAsia"/>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44B32E8D">
      <w:pPr>
        <w:pStyle w:val="2"/>
        <w:snapToGrid w:val="0"/>
        <w:spacing w:line="360" w:lineRule="exact"/>
        <w:ind w:firstLine="422" w:firstLineChars="200"/>
        <w:rPr>
          <w:rFonts w:asciiTheme="majorEastAsia" w:hAnsiTheme="majorEastAsia" w:eastAsiaTheme="majorEastAsia" w:cstheme="majorEastAsia"/>
          <w:b/>
          <w:color w:val="auto"/>
          <w:sz w:val="21"/>
          <w:highlight w:val="none"/>
        </w:rPr>
      </w:pPr>
      <w:r>
        <w:rPr>
          <w:rFonts w:hint="eastAsia" w:asciiTheme="majorEastAsia" w:hAnsiTheme="majorEastAsia" w:eastAsiaTheme="majorEastAsia" w:cstheme="majorEastAsia"/>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72AFA790">
      <w:pPr>
        <w:pStyle w:val="2"/>
        <w:snapToGrid w:val="0"/>
        <w:spacing w:line="360" w:lineRule="exact"/>
        <w:ind w:firstLine="422" w:firstLineChars="200"/>
        <w:rPr>
          <w:rFonts w:asciiTheme="majorEastAsia" w:hAnsiTheme="majorEastAsia" w:eastAsiaTheme="majorEastAsia" w:cstheme="majorEastAsia"/>
          <w:b/>
          <w:color w:val="auto"/>
          <w:sz w:val="21"/>
          <w:highlight w:val="none"/>
        </w:rPr>
      </w:pPr>
      <w:r>
        <w:rPr>
          <w:rFonts w:hint="eastAsia" w:asciiTheme="majorEastAsia" w:hAnsiTheme="majorEastAsia" w:eastAsiaTheme="majorEastAsia" w:cstheme="majorEastAsia"/>
          <w:b/>
          <w:color w:val="auto"/>
          <w:sz w:val="21"/>
          <w:highlight w:val="none"/>
        </w:rPr>
        <w:t>（5）投标文件中的资格证明文件缺少任一项“投标人须知前附表”资格证明文件规定“必须提供”的文件资料的；</w:t>
      </w:r>
    </w:p>
    <w:p w14:paraId="7EE4AC6A">
      <w:pPr>
        <w:pStyle w:val="2"/>
        <w:snapToGrid w:val="0"/>
        <w:spacing w:line="360" w:lineRule="exact"/>
        <w:ind w:firstLine="422" w:firstLineChars="200"/>
        <w:rPr>
          <w:rFonts w:asciiTheme="majorEastAsia" w:hAnsiTheme="majorEastAsia" w:eastAsiaTheme="majorEastAsia" w:cstheme="majorEastAsia"/>
          <w:b/>
          <w:color w:val="auto"/>
          <w:sz w:val="21"/>
          <w:highlight w:val="none"/>
        </w:rPr>
      </w:pPr>
      <w:r>
        <w:rPr>
          <w:rFonts w:hint="eastAsia" w:asciiTheme="majorEastAsia" w:hAnsiTheme="majorEastAsia" w:eastAsiaTheme="majorEastAsia" w:cstheme="majorEastAsia"/>
          <w:b/>
          <w:color w:val="auto"/>
          <w:sz w:val="21"/>
          <w:highlight w:val="none"/>
        </w:rPr>
        <w:t>（6）投标文件中的资格证明文件出现任一项不符合“投标人须知前附表”资格证明文件规定“必须提供”的文件资料要求或者无效的。</w:t>
      </w:r>
    </w:p>
    <w:p w14:paraId="49894487">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color w:val="auto"/>
          <w:sz w:val="21"/>
          <w:szCs w:val="21"/>
          <w:highlight w:val="none"/>
        </w:rPr>
        <w:t>25.4合格投标人不足3家的，不得评标。</w:t>
      </w:r>
    </w:p>
    <w:p w14:paraId="32E817B6">
      <w:pPr>
        <w:pStyle w:val="2"/>
        <w:snapToGrid w:val="0"/>
        <w:spacing w:line="360" w:lineRule="exact"/>
        <w:ind w:left="689" w:leftChars="228" w:hanging="210" w:hangingChars="100"/>
        <w:rPr>
          <w:rFonts w:asciiTheme="majorEastAsia" w:hAnsiTheme="majorEastAsia" w:eastAsiaTheme="majorEastAsia" w:cstheme="majorEastAsia"/>
          <w:color w:val="auto"/>
          <w:sz w:val="21"/>
          <w:highlight w:val="none"/>
        </w:rPr>
      </w:pPr>
    </w:p>
    <w:p w14:paraId="4891CFC3">
      <w:pPr>
        <w:pStyle w:val="4"/>
        <w:jc w:val="center"/>
        <w:rPr>
          <w:color w:val="auto"/>
          <w:highlight w:val="none"/>
        </w:rPr>
      </w:pPr>
      <w:bookmarkStart w:id="143" w:name="_Toc15559"/>
      <w:r>
        <w:rPr>
          <w:rFonts w:hint="eastAsia"/>
          <w:color w:val="auto"/>
          <w:highlight w:val="none"/>
        </w:rPr>
        <w:t>六、评   标</w:t>
      </w:r>
      <w:bookmarkEnd w:id="143"/>
    </w:p>
    <w:p w14:paraId="16BE2D3D">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44" w:name="_26.组建评标委员会"/>
      <w:bookmarkEnd w:id="144"/>
      <w:r>
        <w:rPr>
          <w:rFonts w:hint="eastAsia" w:asciiTheme="majorEastAsia" w:hAnsiTheme="majorEastAsia" w:eastAsiaTheme="majorEastAsia" w:cstheme="majorEastAsia"/>
          <w:color w:val="auto"/>
          <w:sz w:val="24"/>
          <w:highlight w:val="none"/>
        </w:rPr>
        <w:t>26.组建评标委员会</w:t>
      </w:r>
    </w:p>
    <w:p w14:paraId="7C0130A6">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评标委员会由采购人代表和评审专家组成，具体人数详见“投标人须知前附表”，其中评审专家不得少于成员总数的三分之二。</w:t>
      </w:r>
    </w:p>
    <w:p w14:paraId="353B1AC9">
      <w:pPr>
        <w:pStyle w:val="2"/>
        <w:snapToGrid w:val="0"/>
        <w:spacing w:line="360" w:lineRule="exact"/>
        <w:ind w:left="2" w:leftChars="1"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参加过采购项目前期咨询论证的专家，不得参加该采购项目的评审活动。</w:t>
      </w:r>
    </w:p>
    <w:p w14:paraId="0DD65D78">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27.评标的依据</w:t>
      </w:r>
    </w:p>
    <w:p w14:paraId="0F8CFE77">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评标委员会以“第四章 评标方法和评标标准”为依据对投标文件进行评审，没有规定的方法、评审因素和标准，不作为评标依据。</w:t>
      </w:r>
    </w:p>
    <w:p w14:paraId="11CAE784">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28.评标原则</w:t>
      </w:r>
    </w:p>
    <w:p w14:paraId="793AD32A">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7BEA552">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28.2</w:t>
      </w:r>
      <w:bookmarkStart w:id="145" w:name="_28.3评标方法。本项目将按须知前附表规定的评标办法进行评标，具体评标"/>
      <w:bookmarkEnd w:id="145"/>
      <w:r>
        <w:rPr>
          <w:rFonts w:hint="eastAsia" w:asciiTheme="majorEastAsia" w:hAnsiTheme="majorEastAsia" w:eastAsiaTheme="majorEastAsia" w:cstheme="majorEastAsia"/>
          <w:color w:val="auto"/>
          <w:sz w:val="21"/>
          <w:highlight w:val="none"/>
        </w:rPr>
        <w:t>评委表决。评标委员会成员对需要共同认定的事项存在争议的，应当按照少数服从多数的原则作出结论。</w:t>
      </w:r>
    </w:p>
    <w:p w14:paraId="25B43F5D">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D9390AF">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28.4评标过程的监控。本项目评标过程实行全程录音、录像监控，</w:t>
      </w:r>
      <w:r>
        <w:rPr>
          <w:rFonts w:hint="eastAsia" w:asciiTheme="majorEastAsia" w:hAnsiTheme="majorEastAsia" w:eastAsiaTheme="majorEastAsia" w:cstheme="majorEastAsia"/>
          <w:b/>
          <w:bCs/>
          <w:color w:val="auto"/>
          <w:sz w:val="21"/>
          <w:highlight w:val="none"/>
        </w:rPr>
        <w:t>投标人在评标过程中所进行的试图影响评标结果的不公正活动，可能导致其投标无效</w:t>
      </w:r>
      <w:r>
        <w:rPr>
          <w:rFonts w:hint="eastAsia" w:asciiTheme="majorEastAsia" w:hAnsiTheme="majorEastAsia" w:eastAsiaTheme="majorEastAsia" w:cstheme="majorEastAsia"/>
          <w:color w:val="auto"/>
          <w:sz w:val="21"/>
          <w:highlight w:val="none"/>
        </w:rPr>
        <w:t>。</w:t>
      </w:r>
    </w:p>
    <w:p w14:paraId="2D543298">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29.评标方法及中标候选人推荐</w:t>
      </w:r>
    </w:p>
    <w:p w14:paraId="731F3A82">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29.1本项目的评标方法详见“投标人须知前附表”。</w:t>
      </w:r>
    </w:p>
    <w:p w14:paraId="3951F5A7">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29.2 中标候选人推荐数量详见“投标人须知前附表”。</w:t>
      </w:r>
    </w:p>
    <w:p w14:paraId="0F00C863">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29.3评标委员会将按照“第四章 评标方法和评标标准”规定的方法、评审因素、标准和程序对投标文件进行评审。</w:t>
      </w:r>
    </w:p>
    <w:p w14:paraId="29BF1136">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29.4电子交易活动的中止。采购过程中出现以下情形，导致电子交易平台无法正常运行，或者无法保证电子交易的公平、公正和安全时，采购代理机构可中止电子交易活动：</w:t>
      </w:r>
    </w:p>
    <w:p w14:paraId="7C95E18D">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（1）电子交易平台发生故障而无法登录访问的； </w:t>
      </w:r>
    </w:p>
    <w:p w14:paraId="5371F8B9">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（2）电子交易平台应用或数据库出现错误，不能进行正常操作的；</w:t>
      </w:r>
    </w:p>
    <w:p w14:paraId="26AF143C">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（3）电子交易平台发现严重安全漏洞，有潜在泄密危险的；</w:t>
      </w:r>
    </w:p>
    <w:p w14:paraId="1DA3F172">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（4）病毒发作导致不能进行正常操作的； </w:t>
      </w:r>
    </w:p>
    <w:p w14:paraId="5C77E148">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（4）其他无法保证电子交易的公平、公正和安全的情况。</w:t>
      </w:r>
    </w:p>
    <w:p w14:paraId="6C293428">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00332FA8">
      <w:pPr>
        <w:pStyle w:val="2"/>
        <w:snapToGrid w:val="0"/>
        <w:spacing w:line="360" w:lineRule="exact"/>
        <w:rPr>
          <w:rFonts w:asciiTheme="majorEastAsia" w:hAnsiTheme="majorEastAsia" w:eastAsiaTheme="majorEastAsia" w:cstheme="majorEastAsia"/>
          <w:color w:val="auto"/>
          <w:sz w:val="21"/>
          <w:highlight w:val="none"/>
        </w:rPr>
      </w:pPr>
    </w:p>
    <w:p w14:paraId="5FD428EA">
      <w:pPr>
        <w:pStyle w:val="4"/>
        <w:jc w:val="center"/>
        <w:rPr>
          <w:color w:val="auto"/>
          <w:highlight w:val="none"/>
        </w:rPr>
      </w:pPr>
      <w:bookmarkStart w:id="146" w:name="_Toc254970687"/>
      <w:bookmarkStart w:id="147" w:name="_Toc254970546"/>
      <w:bookmarkStart w:id="148" w:name="_Toc4190"/>
      <w:r>
        <w:rPr>
          <w:rFonts w:hint="eastAsia"/>
          <w:color w:val="auto"/>
          <w:highlight w:val="none"/>
        </w:rPr>
        <w:t>七、</w:t>
      </w:r>
      <w:bookmarkEnd w:id="146"/>
      <w:bookmarkEnd w:id="147"/>
      <w:r>
        <w:rPr>
          <w:rFonts w:hint="eastAsia"/>
          <w:color w:val="auto"/>
          <w:highlight w:val="none"/>
        </w:rPr>
        <w:t>中标和合同</w:t>
      </w:r>
      <w:bookmarkEnd w:id="148"/>
    </w:p>
    <w:p w14:paraId="647E4314">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30 确定中标人</w:t>
      </w:r>
    </w:p>
    <w:p w14:paraId="7DC96DD0">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111A556">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54F1AE6">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30.3出现下列情形之一的，应予废标：</w:t>
      </w:r>
    </w:p>
    <w:p w14:paraId="2D57D253">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（1）符合专业条件的供应商或者对招标文件作实质响应的供应商不足三家的；</w:t>
      </w:r>
    </w:p>
    <w:p w14:paraId="24962CB5">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（2）出现影响采购公正的违法、违规行为的；</w:t>
      </w:r>
    </w:p>
    <w:p w14:paraId="1D603CA3">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（3）投标人的报价均超过了采购预算，采购人不能支付的；</w:t>
      </w:r>
    </w:p>
    <w:p w14:paraId="11AF4614">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（4）因重大变故，采购任务取消的。</w:t>
      </w:r>
    </w:p>
    <w:p w14:paraId="577A2188">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废标后，采购人应当将废标理由通知所有投标人。</w:t>
      </w:r>
    </w:p>
    <w:p w14:paraId="7B1FFB8F">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5E0E569E">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结果公告</w:t>
      </w:r>
    </w:p>
    <w:p w14:paraId="31D66216">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Theme="majorEastAsia" w:hAnsiTheme="majorEastAsia" w:eastAsiaTheme="majorEastAsia" w:cstheme="majorEastAsia"/>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Theme="majorEastAsia" w:hAnsiTheme="majorEastAsia" w:eastAsiaTheme="majorEastAsia" w:cstheme="majorEastAsia"/>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5AE7FFF0">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42978232">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32.发出中标通知书</w:t>
      </w:r>
    </w:p>
    <w:p w14:paraId="35FE4048">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73DA0C80">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 无义务解释未中标原因</w:t>
      </w:r>
    </w:p>
    <w:p w14:paraId="2B0C7CAF">
      <w:pPr>
        <w:pStyle w:val="7"/>
        <w:keepNext w:val="0"/>
        <w:keepLines w:val="0"/>
        <w:spacing w:before="0" w:after="0" w:line="360" w:lineRule="exact"/>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采购代理机构无义务向未中标的投标人解释未中标原因和退还投标文件。</w:t>
      </w:r>
    </w:p>
    <w:p w14:paraId="22CE3E06">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34.合同授予标准</w:t>
      </w:r>
    </w:p>
    <w:p w14:paraId="65BA8B18">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合同将授予被确定实质上响应招标文件要求，具备履行合同能力的中标人（招标文件另有约定多名中标人的除外）。</w:t>
      </w:r>
    </w:p>
    <w:p w14:paraId="30DD09C0">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35.履约保证金</w:t>
      </w:r>
    </w:p>
    <w:p w14:paraId="46E63885">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bookmarkStart w:id="149" w:name="_39.1中标人须于签订合同前按本须知前附表规定的金额转账或电汇到指定账"/>
      <w:bookmarkEnd w:id="149"/>
      <w:r>
        <w:rPr>
          <w:rFonts w:hint="eastAsia" w:asciiTheme="majorEastAsia" w:hAnsiTheme="majorEastAsia" w:eastAsiaTheme="majorEastAsia" w:cstheme="majorEastAsia"/>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241D5961">
      <w:pPr>
        <w:pStyle w:val="7"/>
        <w:keepNext w:val="0"/>
        <w:keepLines w:val="0"/>
        <w:spacing w:before="0" w:after="0" w:line="360" w:lineRule="exact"/>
        <w:ind w:firstLine="316" w:firstLineChars="15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5FF132F3">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36.签订合同</w:t>
      </w:r>
    </w:p>
    <w:p w14:paraId="6EB6895D">
      <w:pPr>
        <w:pStyle w:val="7"/>
        <w:keepNext w:val="0"/>
        <w:keepLines w:val="0"/>
        <w:spacing w:before="0" w:after="0" w:line="360" w:lineRule="exact"/>
        <w:ind w:firstLine="315" w:firstLineChars="150"/>
        <w:rPr>
          <w:rFonts w:asciiTheme="majorEastAsia" w:hAnsiTheme="majorEastAsia" w:eastAsiaTheme="majorEastAsia" w:cstheme="majorEastAsia"/>
          <w:b w:val="0"/>
          <w:bCs/>
          <w:color w:val="auto"/>
          <w:sz w:val="21"/>
          <w:szCs w:val="21"/>
          <w:highlight w:val="none"/>
        </w:rPr>
      </w:pPr>
      <w:bookmarkStart w:id="150" w:name="_40.1投标人接到中标通知书后，按须知前附表规定向采购人出示相关资格证"/>
      <w:bookmarkEnd w:id="150"/>
      <w:r>
        <w:rPr>
          <w:rFonts w:hint="eastAsia" w:asciiTheme="majorEastAsia" w:hAnsiTheme="majorEastAsia" w:eastAsiaTheme="majorEastAsia" w:cstheme="majorEastAsia"/>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Theme="majorEastAsia" w:hAnsiTheme="majorEastAsia" w:eastAsiaTheme="majorEastAsia" w:cstheme="majorEastAsia"/>
          <w:b w:val="0"/>
          <w:bCs/>
          <w:color w:val="auto"/>
          <w:sz w:val="21"/>
          <w:szCs w:val="21"/>
          <w:highlight w:val="none"/>
        </w:rPr>
        <w:t>如中标人为联合体的，联合体各方应当共同与采购人签订采购合同，就采购合同约定的事项对采购人承担连带责任。</w:t>
      </w:r>
    </w:p>
    <w:p w14:paraId="4B51BDF8">
      <w:pPr>
        <w:pStyle w:val="7"/>
        <w:keepNext w:val="0"/>
        <w:keepLines w:val="0"/>
        <w:spacing w:before="0" w:after="0" w:line="360" w:lineRule="exact"/>
        <w:ind w:firstLine="420" w:firstLine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36.2签订合同时间：按中标通知书规定的时间与采购人签订合同（最长不能超过15日）。</w:t>
      </w:r>
    </w:p>
    <w:p w14:paraId="5B678FD9">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36.3中标人拒绝与采购人签订合同的，按照本须知正文第30.4条的规定执行。</w:t>
      </w:r>
    </w:p>
    <w:p w14:paraId="4129A986">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51" w:name="_41.政府采购合同公告"/>
      <w:bookmarkEnd w:id="151"/>
      <w:r>
        <w:rPr>
          <w:rFonts w:hint="eastAsia" w:asciiTheme="majorEastAsia" w:hAnsiTheme="majorEastAsia" w:eastAsiaTheme="majorEastAsia" w:cstheme="majorEastAsia"/>
          <w:color w:val="auto"/>
          <w:sz w:val="24"/>
          <w:highlight w:val="none"/>
        </w:rPr>
        <w:t>37.政府采购合同公告</w:t>
      </w:r>
    </w:p>
    <w:p w14:paraId="2BA44113">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35E8EA28">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38. 询问、质疑和投诉</w:t>
      </w:r>
    </w:p>
    <w:p w14:paraId="32B20FEA">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889E2CD">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1983FF82">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（1）对可以质疑的招标文件提出质疑的，为收到招标文件之日或者招标文件公告期限届满之日；</w:t>
      </w:r>
    </w:p>
    <w:p w14:paraId="644BE549">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（2）对采购过程提出质疑的，为各采购程序环节结束之日；</w:t>
      </w:r>
    </w:p>
    <w:p w14:paraId="15F77E71">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color w:val="auto"/>
          <w:sz w:val="21"/>
          <w:highlight w:val="none"/>
        </w:rPr>
        <w:t>（3）对中标结果提出质疑的，为中标结果公告期限届满之日。</w:t>
      </w:r>
    </w:p>
    <w:p w14:paraId="3C9076A6">
      <w:pPr>
        <w:pStyle w:val="7"/>
        <w:keepNext w:val="0"/>
        <w:keepLines w:val="0"/>
        <w:spacing w:before="0" w:after="0" w:line="360" w:lineRule="exact"/>
        <w:ind w:firstLine="315" w:firstLineChars="15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38.3 </w:t>
      </w:r>
      <w:r>
        <w:rPr>
          <w:rFonts w:hint="eastAsia" w:asciiTheme="majorEastAsia" w:hAnsiTheme="majorEastAsia" w:eastAsiaTheme="majorEastAsia" w:cstheme="majorEastAsia"/>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56EBD8B6">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（1）供应商的姓名或者名称、地址、邮编、联系人及联系电话；</w:t>
      </w:r>
    </w:p>
    <w:p w14:paraId="5F72E8EC">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（2）质疑项目的名称、编号；</w:t>
      </w:r>
    </w:p>
    <w:p w14:paraId="6DBAF121">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（3）具体、明确的质疑事项和与质疑事项相关的请求；</w:t>
      </w:r>
    </w:p>
    <w:p w14:paraId="2C0F1036">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（4）事实依据；</w:t>
      </w:r>
    </w:p>
    <w:p w14:paraId="3EAD14AC">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（5）必要的法律依据；</w:t>
      </w:r>
    </w:p>
    <w:p w14:paraId="4F980A64">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（6）提出质疑的日期。</w:t>
      </w:r>
    </w:p>
    <w:p w14:paraId="06500F7C">
      <w:pPr>
        <w:pStyle w:val="2"/>
        <w:snapToGrid w:val="0"/>
        <w:spacing w:line="360" w:lineRule="exact"/>
        <w:ind w:firstLine="420" w:firstLineChars="20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供应商为自然人的，应当由本人签字；供应商为法人或者其他组织的，应当由法定代表人、主要负责人，或者其委托代理人签字或者盖章，并加盖公章。</w:t>
      </w:r>
    </w:p>
    <w:p w14:paraId="75CD42F1">
      <w:pPr>
        <w:pStyle w:val="7"/>
        <w:keepNext w:val="0"/>
        <w:keepLines w:val="0"/>
        <w:snapToGrid w:val="0"/>
        <w:spacing w:before="0" w:after="0" w:line="360" w:lineRule="exact"/>
        <w:ind w:firstLine="420" w:firstLineChars="200"/>
        <w:rPr>
          <w:rFonts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color w:val="auto"/>
          <w:sz w:val="21"/>
          <w:szCs w:val="21"/>
          <w:highlight w:val="none"/>
        </w:rPr>
        <w:t>3</w:t>
      </w:r>
      <w:r>
        <w:rPr>
          <w:rFonts w:hint="eastAsia" w:asciiTheme="majorEastAsia" w:hAnsiTheme="majorEastAsia" w:eastAsiaTheme="majorEastAsia" w:cstheme="maj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354BBC67">
      <w:pPr>
        <w:pStyle w:val="2"/>
        <w:snapToGrid w:val="0"/>
        <w:spacing w:line="360" w:lineRule="exact"/>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14:paraId="5A86E9FA">
      <w:pPr>
        <w:pStyle w:val="2"/>
        <w:snapToGrid w:val="0"/>
        <w:spacing w:line="360" w:lineRule="exact"/>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2C86B812">
      <w:pPr>
        <w:pStyle w:val="2"/>
        <w:snapToGrid w:val="0"/>
        <w:spacing w:line="360" w:lineRule="exact"/>
        <w:ind w:firstLine="420"/>
        <w:rPr>
          <w:rFonts w:asciiTheme="majorEastAsia" w:hAnsiTheme="majorEastAsia" w:eastAsiaTheme="majorEastAsia" w:cstheme="majorEastAsia"/>
          <w:bCs/>
          <w:color w:val="auto"/>
          <w:sz w:val="21"/>
          <w:highlight w:val="none"/>
        </w:rPr>
      </w:pPr>
      <w:r>
        <w:rPr>
          <w:rFonts w:hint="eastAsia" w:asciiTheme="majorEastAsia" w:hAnsiTheme="majorEastAsia" w:eastAsiaTheme="majorEastAsia" w:cstheme="majorEastAsia"/>
          <w:bCs/>
          <w:color w:val="auto"/>
          <w:sz w:val="21"/>
          <w:highlight w:val="none"/>
        </w:rPr>
        <w:t>质疑答复导致中标结果改变的，采购人或者采购代理机构应当将有关情况书面报告本级财政部门。</w:t>
      </w:r>
    </w:p>
    <w:p w14:paraId="192DDBD9">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52" w:name="_八、其他事项"/>
      <w:bookmarkEnd w:id="152"/>
    </w:p>
    <w:p w14:paraId="225B5FF2">
      <w:pPr>
        <w:pStyle w:val="2"/>
        <w:snapToGrid w:val="0"/>
        <w:spacing w:line="360" w:lineRule="exact"/>
        <w:ind w:firstLine="480" w:firstLineChars="200"/>
        <w:rPr>
          <w:rFonts w:asciiTheme="majorEastAsia" w:hAnsiTheme="majorEastAsia" w:eastAsiaTheme="majorEastAsia" w:cstheme="majorEastAsia"/>
          <w:color w:val="auto"/>
          <w:highlight w:val="none"/>
        </w:rPr>
      </w:pPr>
    </w:p>
    <w:p w14:paraId="7799DD07">
      <w:pPr>
        <w:pStyle w:val="4"/>
        <w:jc w:val="center"/>
        <w:rPr>
          <w:color w:val="auto"/>
          <w:highlight w:val="none"/>
        </w:rPr>
      </w:pPr>
      <w:bookmarkStart w:id="153" w:name="_Toc11602"/>
      <w:r>
        <w:rPr>
          <w:rFonts w:hint="eastAsia"/>
          <w:color w:val="auto"/>
          <w:highlight w:val="none"/>
        </w:rPr>
        <w:t>八、其他事项</w:t>
      </w:r>
      <w:bookmarkEnd w:id="153"/>
    </w:p>
    <w:p w14:paraId="592883A5">
      <w:pPr>
        <w:pStyle w:val="7"/>
        <w:keepNext w:val="0"/>
        <w:keepLines w:val="0"/>
        <w:spacing w:before="0" w:after="0" w:line="360" w:lineRule="exact"/>
        <w:ind w:left="420" w:leftChars="200"/>
        <w:rPr>
          <w:rFonts w:asciiTheme="majorEastAsia" w:hAnsiTheme="majorEastAsia" w:eastAsiaTheme="majorEastAsia" w:cstheme="majorEastAsia"/>
          <w:color w:val="auto"/>
          <w:sz w:val="24"/>
          <w:highlight w:val="none"/>
        </w:rPr>
      </w:pPr>
      <w:bookmarkStart w:id="154" w:name="_42.代理服务费"/>
      <w:bookmarkEnd w:id="154"/>
      <w:r>
        <w:rPr>
          <w:rFonts w:hint="eastAsia" w:asciiTheme="majorEastAsia" w:hAnsiTheme="majorEastAsia" w:eastAsiaTheme="majorEastAsia" w:cstheme="majorEastAsia"/>
          <w:color w:val="auto"/>
          <w:sz w:val="24"/>
          <w:highlight w:val="none"/>
        </w:rPr>
        <w:t>39.代理服务费</w:t>
      </w:r>
    </w:p>
    <w:p w14:paraId="14B8EF4E">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39.1代理服务收取标准及缴费账户详见“投标人须知前附表”，投标人为联合体的，可以由联合体中的一方或者多方共同交纳代理服务费。</w:t>
      </w:r>
    </w:p>
    <w:p w14:paraId="539BEC12">
      <w:pPr>
        <w:pStyle w:val="2"/>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39.2代理服务收费标准：</w:t>
      </w:r>
    </w:p>
    <w:tbl>
      <w:tblPr>
        <w:tblStyle w:val="50"/>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41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6E1FDAF">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费率</w:t>
            </w:r>
          </w:p>
          <w:p w14:paraId="51EF9B02">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中标金额</w:t>
            </w:r>
          </w:p>
        </w:tc>
        <w:tc>
          <w:tcPr>
            <w:tcW w:w="1659" w:type="dxa"/>
            <w:vAlign w:val="center"/>
          </w:tcPr>
          <w:p w14:paraId="58000BD7">
            <w:pPr>
              <w:spacing w:line="360" w:lineRule="exact"/>
              <w:ind w:firstLine="105" w:firstLineChars="50"/>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货物招标</w:t>
            </w:r>
          </w:p>
        </w:tc>
        <w:tc>
          <w:tcPr>
            <w:tcW w:w="1687" w:type="dxa"/>
            <w:vAlign w:val="center"/>
          </w:tcPr>
          <w:p w14:paraId="567FFE0F">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服务招标</w:t>
            </w:r>
          </w:p>
        </w:tc>
        <w:tc>
          <w:tcPr>
            <w:tcW w:w="1659" w:type="dxa"/>
            <w:vAlign w:val="center"/>
          </w:tcPr>
          <w:p w14:paraId="71628A80">
            <w:pPr>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工程招标</w:t>
            </w:r>
          </w:p>
        </w:tc>
      </w:tr>
      <w:tr w14:paraId="0895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6FCB5D">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100万元以下</w:t>
            </w:r>
          </w:p>
        </w:tc>
        <w:tc>
          <w:tcPr>
            <w:tcW w:w="1659" w:type="dxa"/>
          </w:tcPr>
          <w:p w14:paraId="4F9507F1">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  1.5%                </w:t>
            </w:r>
          </w:p>
        </w:tc>
        <w:tc>
          <w:tcPr>
            <w:tcW w:w="1687" w:type="dxa"/>
          </w:tcPr>
          <w:p w14:paraId="313CDE6A">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1.5%</w:t>
            </w:r>
          </w:p>
        </w:tc>
        <w:tc>
          <w:tcPr>
            <w:tcW w:w="1659" w:type="dxa"/>
          </w:tcPr>
          <w:p w14:paraId="5A9B608F">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1.0% </w:t>
            </w:r>
          </w:p>
        </w:tc>
      </w:tr>
      <w:tr w14:paraId="00AD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19B35A">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100～500万元</w:t>
            </w:r>
          </w:p>
        </w:tc>
        <w:tc>
          <w:tcPr>
            <w:tcW w:w="1659" w:type="dxa"/>
          </w:tcPr>
          <w:p w14:paraId="18540F00">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1.1%                 </w:t>
            </w:r>
          </w:p>
        </w:tc>
        <w:tc>
          <w:tcPr>
            <w:tcW w:w="1687" w:type="dxa"/>
          </w:tcPr>
          <w:p w14:paraId="212EC9BD">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0.8%</w:t>
            </w:r>
          </w:p>
        </w:tc>
        <w:tc>
          <w:tcPr>
            <w:tcW w:w="1659" w:type="dxa"/>
          </w:tcPr>
          <w:p w14:paraId="413371B1">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0.7% </w:t>
            </w:r>
          </w:p>
        </w:tc>
      </w:tr>
      <w:tr w14:paraId="786D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69CF864">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500～1000万元</w:t>
            </w:r>
          </w:p>
        </w:tc>
        <w:tc>
          <w:tcPr>
            <w:tcW w:w="1659" w:type="dxa"/>
          </w:tcPr>
          <w:p w14:paraId="141FA823">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  0.8%                </w:t>
            </w:r>
          </w:p>
        </w:tc>
        <w:tc>
          <w:tcPr>
            <w:tcW w:w="1687" w:type="dxa"/>
          </w:tcPr>
          <w:p w14:paraId="20A5BAE3">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0.45%</w:t>
            </w:r>
          </w:p>
        </w:tc>
        <w:tc>
          <w:tcPr>
            <w:tcW w:w="1659" w:type="dxa"/>
          </w:tcPr>
          <w:p w14:paraId="4BB41045">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0.55%</w:t>
            </w:r>
          </w:p>
        </w:tc>
      </w:tr>
      <w:tr w14:paraId="0D4B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BD14318">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1000～5000万元</w:t>
            </w:r>
          </w:p>
        </w:tc>
        <w:tc>
          <w:tcPr>
            <w:tcW w:w="1659" w:type="dxa"/>
          </w:tcPr>
          <w:p w14:paraId="79FB9A6D">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0.5%                </w:t>
            </w:r>
          </w:p>
        </w:tc>
        <w:tc>
          <w:tcPr>
            <w:tcW w:w="1687" w:type="dxa"/>
          </w:tcPr>
          <w:p w14:paraId="1230F2F7">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0.25%</w:t>
            </w:r>
          </w:p>
        </w:tc>
        <w:tc>
          <w:tcPr>
            <w:tcW w:w="1659" w:type="dxa"/>
          </w:tcPr>
          <w:p w14:paraId="68288D80">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0.35% </w:t>
            </w:r>
          </w:p>
        </w:tc>
      </w:tr>
      <w:tr w14:paraId="0C66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90FB9B6">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5000万元～1亿元</w:t>
            </w:r>
          </w:p>
        </w:tc>
        <w:tc>
          <w:tcPr>
            <w:tcW w:w="1659" w:type="dxa"/>
          </w:tcPr>
          <w:p w14:paraId="347E8D18">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 xml:space="preserve">0.25%                 </w:t>
            </w:r>
          </w:p>
        </w:tc>
        <w:tc>
          <w:tcPr>
            <w:tcW w:w="1687" w:type="dxa"/>
          </w:tcPr>
          <w:p w14:paraId="10DA0E0E">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0.1%</w:t>
            </w:r>
          </w:p>
        </w:tc>
        <w:tc>
          <w:tcPr>
            <w:tcW w:w="1659" w:type="dxa"/>
          </w:tcPr>
          <w:p w14:paraId="3274C42E">
            <w:pPr>
              <w:spacing w:line="36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0.2%</w:t>
            </w:r>
          </w:p>
        </w:tc>
      </w:tr>
    </w:tbl>
    <w:p w14:paraId="7E56A06F">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注: </w:t>
      </w:r>
    </w:p>
    <w:p w14:paraId="5E89B7B2">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（1）按本表费率计算的收费为采购代理的收费基准价格；</w:t>
      </w:r>
    </w:p>
    <w:p w14:paraId="687A403F">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（2）采购代理收费按差额定率累进法计算。</w:t>
      </w:r>
    </w:p>
    <w:p w14:paraId="63B3A63A">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例如：某货物采购代理业务中标金额或者暂定价为200万元，计算采购代理收费额如下：</w:t>
      </w:r>
    </w:p>
    <w:p w14:paraId="50046F27">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 万元×l.5 ％＝ 1.5 万元</w:t>
      </w:r>
    </w:p>
    <w:p w14:paraId="5A3E759D">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200 － 100 ）万元 ×1.1％＝1.1万元</w:t>
      </w:r>
    </w:p>
    <w:p w14:paraId="15BE67A2">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合计收费＝ 1.5+1.1＝ 2.6 （万元）</w:t>
      </w:r>
    </w:p>
    <w:p w14:paraId="4FB48F15">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32.9 代理服务费交纳银行帐号信息</w:t>
      </w:r>
    </w:p>
    <w:p w14:paraId="58F30C9C">
      <w:pPr>
        <w:spacing w:line="240" w:lineRule="auto"/>
        <w:ind w:firstLine="420" w:firstLineChars="200"/>
        <w:rPr>
          <w:rFonts w:ascii="宋体" w:hAnsi="宋体" w:cs="宋体"/>
          <w:color w:val="auto"/>
          <w:highlight w:val="none"/>
        </w:rPr>
      </w:pPr>
      <w:r>
        <w:rPr>
          <w:rFonts w:hint="eastAsia" w:ascii="宋体" w:hAnsi="宋体" w:cs="宋体"/>
          <w:color w:val="auto"/>
          <w:highlight w:val="none"/>
        </w:rPr>
        <w:t>开户名称：</w:t>
      </w:r>
      <w:r>
        <w:rPr>
          <w:rFonts w:hint="eastAsia" w:ascii="宋体" w:hAnsi="宋体" w:cs="宋体"/>
          <w:color w:val="auto"/>
          <w:highlight w:val="none"/>
          <w:lang w:val="zh-CN" w:bidi="zh-CN"/>
        </w:rPr>
        <w:t>广西众鼎建设工程咨询有限公司</w:t>
      </w:r>
    </w:p>
    <w:p w14:paraId="796148A8">
      <w:pPr>
        <w:spacing w:line="240" w:lineRule="auto"/>
        <w:ind w:firstLine="420" w:firstLineChars="200"/>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lang w:val="zh-CN" w:bidi="zh-CN"/>
        </w:rPr>
        <w:t>广西贵港农村商业银行股份有限公司港北支行</w:t>
      </w:r>
    </w:p>
    <w:p w14:paraId="45AEAD6C">
      <w:pPr>
        <w:spacing w:line="240" w:lineRule="auto"/>
        <w:ind w:firstLine="420" w:firstLineChars="200"/>
        <w:rPr>
          <w:rFonts w:ascii="宋体" w:hAnsi="宋体" w:cs="宋体"/>
          <w:color w:val="auto"/>
          <w:highlight w:val="none"/>
          <w:lang w:val="zh-CN" w:bidi="zh-CN"/>
        </w:rPr>
      </w:pPr>
      <w:r>
        <w:rPr>
          <w:rFonts w:hint="eastAsia" w:ascii="宋体" w:hAnsi="宋体" w:cs="宋体"/>
          <w:color w:val="auto"/>
          <w:highlight w:val="none"/>
          <w:lang w:val="zh-CN" w:bidi="zh-CN"/>
        </w:rPr>
        <w:t>帐号：900912010105362567</w:t>
      </w:r>
    </w:p>
    <w:p w14:paraId="29EA76D8">
      <w:pPr>
        <w:spacing w:line="360" w:lineRule="exact"/>
        <w:ind w:firstLine="482"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40. 需要补充的其他内容</w:t>
      </w:r>
    </w:p>
    <w:p w14:paraId="7ABA78B3">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40.1本招标文件解释规则详见“投标人须知前附表”。</w:t>
      </w:r>
    </w:p>
    <w:p w14:paraId="1FEED018">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40.2 其他事项详见“投标人须知前附表”。</w:t>
      </w:r>
    </w:p>
    <w:p w14:paraId="7A386203">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40.3</w:t>
      </w:r>
      <w:bookmarkStart w:id="155" w:name="_Hlk65857140"/>
      <w:r>
        <w:rPr>
          <w:rFonts w:hint="eastAsia" w:asciiTheme="majorEastAsia" w:hAnsiTheme="majorEastAsia" w:eastAsiaTheme="majorEastAsia" w:cstheme="majorEastAsia"/>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A2D0B1D">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（1）在货物采购项目中，货物由中小企业制造，即货物由中小企业生产且使用该中小企业商号或者注册商标，不对其中涉及的工程承建商和服务的承接商作出要求；</w:t>
      </w:r>
    </w:p>
    <w:p w14:paraId="7B117DF9">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（2）在工程采购项目中，工程由中小企业承建，即工程施工单位为中小企业，不对其中涉及的货物的制造商和服务的承接商作出要求；</w:t>
      </w:r>
    </w:p>
    <w:p w14:paraId="212A3F65">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2A2B517">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A84BD34">
      <w:pPr>
        <w:pStyle w:val="2"/>
        <w:spacing w:line="360" w:lineRule="exact"/>
        <w:ind w:firstLine="420" w:firstLineChars="200"/>
        <w:contextualSpacing/>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依据本招标文件规定享受扶持政策获得政府采购合同的，小微企业不得将合同分包给大中型企业，中型企业不得将合同分包给大型企业。</w:t>
      </w:r>
      <w:bookmarkEnd w:id="155"/>
    </w:p>
    <w:p w14:paraId="02EC6FF1">
      <w:pPr>
        <w:ind w:left="449" w:leftChars="114" w:hanging="210" w:hangingChars="100"/>
        <w:rPr>
          <w:rFonts w:ascii="仿宋" w:hAnsi="仿宋" w:eastAsia="仿宋"/>
          <w:color w:val="auto"/>
          <w:highlight w:val="none"/>
        </w:rPr>
      </w:pPr>
      <w:r>
        <w:rPr>
          <w:rFonts w:ascii="仿宋" w:hAnsi="仿宋" w:eastAsia="仿宋"/>
          <w:color w:val="auto"/>
          <w:highlight w:val="none"/>
        </w:rPr>
        <w:br w:type="page"/>
      </w:r>
    </w:p>
    <w:p w14:paraId="72D5365C">
      <w:pPr>
        <w:pStyle w:val="3"/>
        <w:numPr>
          <w:ilvl w:val="0"/>
          <w:numId w:val="8"/>
        </w:numPr>
        <w:jc w:val="center"/>
        <w:rPr>
          <w:rFonts w:asciiTheme="majorEastAsia" w:hAnsiTheme="majorEastAsia" w:eastAsiaTheme="majorEastAsia" w:cstheme="majorEastAsia"/>
          <w:color w:val="auto"/>
          <w:highlight w:val="none"/>
        </w:rPr>
      </w:pPr>
      <w:bookmarkStart w:id="156" w:name="_Toc254970689"/>
      <w:bookmarkStart w:id="157" w:name="_Toc254970548"/>
      <w:bookmarkStart w:id="158" w:name="_Toc330456896"/>
      <w:r>
        <w:rPr>
          <w:rFonts w:hint="eastAsia" w:asciiTheme="majorEastAsia" w:hAnsiTheme="majorEastAsia" w:eastAsiaTheme="majorEastAsia" w:cstheme="majorEastAsia"/>
          <w:color w:val="auto"/>
          <w:highlight w:val="none"/>
        </w:rPr>
        <w:t xml:space="preserve"> </w:t>
      </w:r>
      <w:bookmarkStart w:id="159" w:name="_Toc11131"/>
      <w:r>
        <w:rPr>
          <w:rFonts w:hint="eastAsia" w:asciiTheme="majorEastAsia" w:hAnsiTheme="majorEastAsia" w:eastAsiaTheme="majorEastAsia" w:cstheme="majorEastAsia"/>
          <w:color w:val="auto"/>
          <w:highlight w:val="none"/>
        </w:rPr>
        <w:t>评标方法及评标标准</w:t>
      </w:r>
      <w:bookmarkEnd w:id="156"/>
      <w:bookmarkEnd w:id="157"/>
      <w:bookmarkEnd w:id="158"/>
      <w:bookmarkEnd w:id="159"/>
    </w:p>
    <w:p w14:paraId="5AB1090B">
      <w:pPr>
        <w:pStyle w:val="3"/>
        <w:numPr>
          <w:ilvl w:val="0"/>
          <w:numId w:val="9"/>
        </w:numPr>
        <w:jc w:val="left"/>
        <w:rPr>
          <w:rFonts w:asciiTheme="majorEastAsia" w:hAnsiTheme="majorEastAsia" w:eastAsiaTheme="majorEastAsia" w:cstheme="majorEastAsia"/>
          <w:color w:val="auto"/>
          <w:sz w:val="30"/>
          <w:szCs w:val="30"/>
          <w:highlight w:val="none"/>
        </w:rPr>
      </w:pPr>
      <w:bookmarkStart w:id="160" w:name="_Toc7525"/>
      <w:r>
        <w:rPr>
          <w:rFonts w:hint="eastAsia" w:asciiTheme="majorEastAsia" w:hAnsiTheme="majorEastAsia" w:eastAsiaTheme="majorEastAsia" w:cstheme="majorEastAsia"/>
          <w:color w:val="auto"/>
          <w:sz w:val="30"/>
          <w:szCs w:val="30"/>
          <w:highlight w:val="none"/>
        </w:rPr>
        <w:t>评标方法</w:t>
      </w:r>
      <w:bookmarkEnd w:id="160"/>
    </w:p>
    <w:p w14:paraId="1F3345BE">
      <w:pPr>
        <w:spacing w:line="240" w:lineRule="auto"/>
        <w:ind w:firstLine="420" w:firstLineChars="200"/>
        <w:rPr>
          <w:color w:val="auto"/>
          <w:highlight w:val="none"/>
        </w:rPr>
      </w:pPr>
      <w:r>
        <w:rPr>
          <w:rFonts w:hint="eastAsia"/>
          <w:color w:val="auto"/>
          <w:highlight w:val="none"/>
        </w:rPr>
        <w:t>本项目采购综合评分法。</w:t>
      </w:r>
    </w:p>
    <w:p w14:paraId="66417DB4">
      <w:pPr>
        <w:pStyle w:val="2"/>
        <w:spacing w:line="240" w:lineRule="auto"/>
        <w:ind w:firstLine="42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综合评分法，是指投标文件满足招标文件全部实质性要求，且按照评审因素的量化指标评审得分最高的投标人为中标候选人的评标方法。</w:t>
      </w:r>
    </w:p>
    <w:p w14:paraId="3E94A504">
      <w:pPr>
        <w:pStyle w:val="2"/>
        <w:spacing w:line="240" w:lineRule="auto"/>
        <w:ind w:firstLine="42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最低评标价法，是指投标文件满足招标文件全部实质性要求，且投标报价最低的投标人为中标候选人的评标方法。</w:t>
      </w:r>
    </w:p>
    <w:p w14:paraId="6EF27EFC">
      <w:pPr>
        <w:pStyle w:val="5"/>
        <w:keepNext w:val="0"/>
        <w:keepLines w:val="0"/>
        <w:jc w:val="left"/>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二、评标程序</w:t>
      </w:r>
    </w:p>
    <w:p w14:paraId="5B9284DB">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1.符合性审查</w:t>
      </w:r>
    </w:p>
    <w:p w14:paraId="08E17197">
      <w:pPr>
        <w:pStyle w:val="2"/>
        <w:snapToGrid w:val="0"/>
        <w:spacing w:line="360" w:lineRule="auto"/>
        <w:ind w:left="1" w:firstLine="420"/>
        <w:rPr>
          <w:rFonts w:asciiTheme="majorEastAsia" w:hAnsiTheme="majorEastAsia" w:eastAsiaTheme="majorEastAsia" w:cstheme="majorEastAsia"/>
          <w:b/>
          <w:color w:val="auto"/>
          <w:kern w:val="2"/>
          <w:sz w:val="21"/>
          <w:highlight w:val="none"/>
        </w:rPr>
      </w:pPr>
      <w:r>
        <w:rPr>
          <w:rFonts w:hint="eastAsia" w:asciiTheme="majorEastAsia" w:hAnsiTheme="majorEastAsia" w:eastAsiaTheme="majorEastAsia" w:cstheme="maj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63D044E9">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2.符合性审查不通过而导致投标无效的情形</w:t>
      </w:r>
    </w:p>
    <w:p w14:paraId="0F629183">
      <w:p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投标人的投标文件中存在对招标文件的任何实质性要求和条件的负偏离，将被视为投标无效。</w:t>
      </w:r>
    </w:p>
    <w:p w14:paraId="27300B82">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2.1在报价评审时，如发现下列情形之一的，将被视为投标无效：</w:t>
      </w:r>
    </w:p>
    <w:p w14:paraId="1F927CC8">
      <w:pPr>
        <w:numPr>
          <w:ilvl w:val="0"/>
          <w:numId w:val="10"/>
        </w:numPr>
        <w:spacing w:line="360" w:lineRule="auto"/>
        <w:ind w:firstLine="422"/>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pacing w:val="-6"/>
          <w:szCs w:val="21"/>
          <w:highlight w:val="none"/>
        </w:rPr>
        <w:t>报价文件</w:t>
      </w:r>
      <w:r>
        <w:rPr>
          <w:rFonts w:hint="eastAsia" w:asciiTheme="majorEastAsia" w:hAnsiTheme="majorEastAsia" w:eastAsiaTheme="majorEastAsia" w:cstheme="majorEastAsia"/>
          <w:b/>
          <w:color w:val="auto"/>
          <w:szCs w:val="21"/>
          <w:highlight w:val="none"/>
        </w:rPr>
        <w:t>未提供“投标人须知前附表”第13.1条规定中“必须提供”的文件资料的；</w:t>
      </w:r>
    </w:p>
    <w:p w14:paraId="0A47407F">
      <w:pPr>
        <w:numPr>
          <w:ilvl w:val="0"/>
          <w:numId w:val="10"/>
        </w:numPr>
        <w:spacing w:line="360" w:lineRule="auto"/>
        <w:ind w:firstLine="422"/>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未采用人民币报价或者未按照招标文件标明的币种报价的；</w:t>
      </w:r>
    </w:p>
    <w:p w14:paraId="3DC8B628">
      <w:pPr>
        <w:numPr>
          <w:ilvl w:val="0"/>
          <w:numId w:val="10"/>
        </w:numPr>
        <w:spacing w:line="360" w:lineRule="auto"/>
        <w:ind w:firstLine="422"/>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各分标报价超出招标文件相应分标规定最高限价，或者超出相应分标采购预算金额的；</w:t>
      </w:r>
    </w:p>
    <w:p w14:paraId="041A2300">
      <w:pPr>
        <w:numPr>
          <w:ilvl w:val="0"/>
          <w:numId w:val="10"/>
        </w:numPr>
        <w:spacing w:line="360" w:lineRule="auto"/>
        <w:ind w:firstLine="422"/>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F82272B">
      <w:pPr>
        <w:numPr>
          <w:ilvl w:val="0"/>
          <w:numId w:val="10"/>
        </w:numPr>
        <w:spacing w:line="360" w:lineRule="auto"/>
        <w:ind w:firstLine="422"/>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修正后的报价，投标人不确认的；</w:t>
      </w:r>
    </w:p>
    <w:p w14:paraId="7F4BC73F">
      <w:pPr>
        <w:numPr>
          <w:ilvl w:val="0"/>
          <w:numId w:val="10"/>
        </w:numPr>
        <w:spacing w:line="360" w:lineRule="auto"/>
        <w:ind w:firstLine="422"/>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投标人属于本章第5.1条（2）或者第5.2条（2）项情形的；</w:t>
      </w:r>
    </w:p>
    <w:p w14:paraId="642106F8">
      <w:pPr>
        <w:numPr>
          <w:ilvl w:val="0"/>
          <w:numId w:val="10"/>
        </w:numPr>
        <w:spacing w:line="360" w:lineRule="auto"/>
        <w:ind w:firstLine="422"/>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pacing w:val="-6"/>
          <w:szCs w:val="21"/>
          <w:highlight w:val="none"/>
        </w:rPr>
        <w:t>报价文件</w:t>
      </w:r>
      <w:r>
        <w:rPr>
          <w:rFonts w:hint="eastAsia" w:asciiTheme="majorEastAsia" w:hAnsiTheme="majorEastAsia" w:eastAsiaTheme="majorEastAsia" w:cstheme="majorEastAsia"/>
          <w:b/>
          <w:color w:val="auto"/>
          <w:szCs w:val="21"/>
          <w:highlight w:val="none"/>
        </w:rPr>
        <w:t>响应的标的数量及单位与招标文件要求实质性不一致的。</w:t>
      </w:r>
    </w:p>
    <w:p w14:paraId="53DD1CF8">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2.2在商务评审时，如发现下列情形之一的，将被视为投标无效：</w:t>
      </w:r>
    </w:p>
    <w:p w14:paraId="3D758CCD">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投标文件未按招标文件要求签署、盖章的；</w:t>
      </w:r>
    </w:p>
    <w:p w14:paraId="4E5F48A6">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委托代理人未能出具有效身份证或者出具的身份证与授权委托书中的信息不符的；</w:t>
      </w:r>
    </w:p>
    <w:p w14:paraId="627B9681">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为无效投标保证金的或者未按照招标文件的规定提交投标保证金的；</w:t>
      </w:r>
    </w:p>
    <w:p w14:paraId="59205760">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投标文件未提供“投标人须知前附表”第13.1条规定中“必须提供”或者“委托时必须提供”的文件资料的；</w:t>
      </w:r>
    </w:p>
    <w:p w14:paraId="74A4F616">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商务要求评审允许负偏离的条款数超过“投标人须知前附表”规定项数的；</w:t>
      </w:r>
    </w:p>
    <w:p w14:paraId="71F9032D">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投标文件的实质性内容未使用中文表述、使用计量单位不符合招标文件要求的；</w:t>
      </w:r>
    </w:p>
    <w:p w14:paraId="64DF8FE9">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投标文件中的文件资料因填写不齐全或者内容虚假或者出现其他情形而导致被评标委员会认定无效的；</w:t>
      </w:r>
    </w:p>
    <w:p w14:paraId="60184D60">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投标文件含有采购人不能接受的附加条件的；</w:t>
      </w:r>
    </w:p>
    <w:p w14:paraId="3844B37F">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属于投标人须知正文第9.2条情形的；</w:t>
      </w:r>
    </w:p>
    <w:p w14:paraId="266ADD7D">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投标文件标注的项目名称或者项目编号与招标文件标注的项目名称或者项目编号不一致的；</w:t>
      </w:r>
    </w:p>
    <w:p w14:paraId="062C516B">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招标文件明确不允许分包，投标文件拟分包的；</w:t>
      </w:r>
    </w:p>
    <w:p w14:paraId="3FEC990A">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未响应招标文件实质性要求的；</w:t>
      </w:r>
    </w:p>
    <w:p w14:paraId="5E4A1F51">
      <w:pPr>
        <w:numPr>
          <w:ilvl w:val="0"/>
          <w:numId w:val="11"/>
        </w:numPr>
        <w:snapToGrid w:val="0"/>
        <w:spacing w:line="360" w:lineRule="auto"/>
        <w:ind w:firstLine="422"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法律、法规和招标文件规定的其他无效情形。</w:t>
      </w:r>
    </w:p>
    <w:p w14:paraId="6B7E177B">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2.3在技术评审时，如发现下列情形之一的，将被视为投标无效：</w:t>
      </w:r>
    </w:p>
    <w:p w14:paraId="358B13C5">
      <w:pPr>
        <w:pStyle w:val="18"/>
        <w:snapToGrid w:val="0"/>
        <w:spacing w:line="360" w:lineRule="auto"/>
        <w:ind w:firstLine="413" w:firstLineChars="196"/>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（1）技术要求评审允许负偏离的条款数超过“投标人须知前附表”规定项数的；</w:t>
      </w:r>
    </w:p>
    <w:p w14:paraId="6D214C69">
      <w:pPr>
        <w:pStyle w:val="18"/>
        <w:snapToGrid w:val="0"/>
        <w:spacing w:line="360" w:lineRule="auto"/>
        <w:ind w:firstLine="413" w:firstLineChars="196"/>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（2）投标文件未提供“投标人须知前附表”第13.1条规定中“必须提供”的文件资料的；</w:t>
      </w:r>
    </w:p>
    <w:p w14:paraId="17AC43E4">
      <w:pPr>
        <w:pStyle w:val="18"/>
        <w:snapToGrid w:val="0"/>
        <w:spacing w:line="360" w:lineRule="auto"/>
        <w:ind w:firstLine="413" w:firstLineChars="196"/>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（3）虚假投标，或者出现其他情形而导致被评标委员会认定无效的；</w:t>
      </w:r>
    </w:p>
    <w:p w14:paraId="4CE8E22C">
      <w:pPr>
        <w:pStyle w:val="18"/>
        <w:snapToGrid w:val="0"/>
        <w:spacing w:line="360" w:lineRule="auto"/>
        <w:ind w:firstLine="413" w:firstLineChars="196"/>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w:t>
      </w:r>
      <w:bookmarkStart w:id="161" w:name="_Hlk71706244"/>
      <w:r>
        <w:rPr>
          <w:rFonts w:hint="eastAsia" w:asciiTheme="majorEastAsia" w:hAnsiTheme="majorEastAsia" w:eastAsiaTheme="majorEastAsia" w:cstheme="majorEastAsia"/>
          <w:b/>
          <w:color w:val="auto"/>
          <w:szCs w:val="21"/>
          <w:highlight w:val="none"/>
        </w:rPr>
        <w:t>招标文件未载明允许提供备选（替代）投标方案或明确不允许提供备选（替代）投标方案时，投标人提供了备选（替代）投标方案的；</w:t>
      </w:r>
      <w:bookmarkEnd w:id="161"/>
    </w:p>
    <w:p w14:paraId="269D5003">
      <w:pPr>
        <w:pStyle w:val="18"/>
        <w:snapToGrid w:val="0"/>
        <w:spacing w:line="360" w:lineRule="auto"/>
        <w:ind w:firstLine="413" w:firstLineChars="196"/>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（5）未响应招标文件实质性要求的。</w:t>
      </w:r>
    </w:p>
    <w:p w14:paraId="4A24B4D2">
      <w:pPr>
        <w:pStyle w:val="18"/>
        <w:snapToGrid w:val="0"/>
        <w:spacing w:line="360" w:lineRule="auto"/>
        <w:ind w:firstLine="413" w:firstLineChars="196"/>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2.4通过符合性审查的投标人不足3家，评标委员会不得继续评标，并出具评标报告。</w:t>
      </w:r>
    </w:p>
    <w:p w14:paraId="7E404DD2">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3.澄清补正</w:t>
      </w:r>
    </w:p>
    <w:p w14:paraId="363B28C3">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391B900F">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4.投标文件修正</w:t>
      </w:r>
    </w:p>
    <w:p w14:paraId="618AEA44">
      <w:pPr>
        <w:pStyle w:val="7"/>
        <w:keepNext w:val="0"/>
        <w:keepLines w:val="0"/>
        <w:spacing w:before="0" w:after="0" w:line="360" w:lineRule="auto"/>
        <w:ind w:left="420" w:leftChars="200"/>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4.1投标文件报价出现前后不一致的，按照下列规定修正： </w:t>
      </w:r>
    </w:p>
    <w:p w14:paraId="2FD424E3">
      <w:pPr>
        <w:pStyle w:val="2"/>
        <w:snapToGrid w:val="0"/>
        <w:spacing w:line="360" w:lineRule="auto"/>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（1）投标文件中开标一览表（报价表）内容与投标文件中相应内容不一致的，以开标一览表（报价表）为准；</w:t>
      </w:r>
    </w:p>
    <w:p w14:paraId="380C0A01">
      <w:pPr>
        <w:pStyle w:val="2"/>
        <w:snapToGrid w:val="0"/>
        <w:spacing w:line="360" w:lineRule="auto"/>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（2）大写金额和小写金额不一致的，以大写金额为准；</w:t>
      </w:r>
    </w:p>
    <w:p w14:paraId="1545AE27">
      <w:pPr>
        <w:pStyle w:val="2"/>
        <w:snapToGrid w:val="0"/>
        <w:spacing w:line="360" w:lineRule="auto"/>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（3）单价金额小数点或者百分比有明显错位的，以开标一览表的总价为准，并修改单价；</w:t>
      </w:r>
    </w:p>
    <w:p w14:paraId="61C8E81A">
      <w:pPr>
        <w:pStyle w:val="2"/>
        <w:snapToGrid w:val="0"/>
        <w:spacing w:line="360" w:lineRule="auto"/>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（4）总价金额与按单价汇总金额不一致的，以单价金额计算结果为准。</w:t>
      </w:r>
    </w:p>
    <w:p w14:paraId="50774CDF">
      <w:pPr>
        <w:pStyle w:val="2"/>
        <w:snapToGrid w:val="0"/>
        <w:spacing w:line="360" w:lineRule="auto"/>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同时出现两种以上不一致的，按照以上（1）-（4）规定的顺序修正。修正后的报价经投标人确认后产生约束力，投标人不确认的，</w:t>
      </w:r>
      <w:r>
        <w:rPr>
          <w:rFonts w:hint="eastAsia" w:asciiTheme="majorEastAsia" w:hAnsiTheme="majorEastAsia" w:eastAsiaTheme="majorEastAsia" w:cstheme="majorEastAsia"/>
          <w:b/>
          <w:color w:val="auto"/>
          <w:kern w:val="2"/>
          <w:sz w:val="21"/>
          <w:highlight w:val="none"/>
        </w:rPr>
        <w:t>其投标无效</w:t>
      </w:r>
      <w:r>
        <w:rPr>
          <w:rFonts w:hint="eastAsia" w:asciiTheme="majorEastAsia" w:hAnsiTheme="majorEastAsia" w:eastAsiaTheme="majorEastAsia" w:cstheme="majorEastAsia"/>
          <w:color w:val="auto"/>
          <w:sz w:val="21"/>
          <w:highlight w:val="none"/>
        </w:rPr>
        <w:t>。</w:t>
      </w:r>
    </w:p>
    <w:p w14:paraId="0CFF6557">
      <w:pPr>
        <w:pStyle w:val="7"/>
        <w:keepNext w:val="0"/>
        <w:keepLines w:val="0"/>
        <w:spacing w:before="0" w:after="0" w:line="360" w:lineRule="auto"/>
        <w:rPr>
          <w:rFonts w:asciiTheme="majorEastAsia" w:hAnsiTheme="majorEastAsia" w:eastAsiaTheme="majorEastAsia" w:cstheme="majorEastAsia"/>
          <w:b w:val="0"/>
          <w:color w:val="auto"/>
          <w:sz w:val="21"/>
          <w:szCs w:val="21"/>
          <w:highlight w:val="none"/>
        </w:rPr>
      </w:pPr>
      <w:r>
        <w:rPr>
          <w:rFonts w:hint="eastAsia" w:asciiTheme="majorEastAsia" w:hAnsiTheme="majorEastAsia" w:eastAsiaTheme="majorEastAsia" w:cstheme="majorEastAsia"/>
          <w:b w:val="0"/>
          <w:color w:val="auto"/>
          <w:sz w:val="21"/>
          <w:szCs w:val="21"/>
          <w:highlight w:val="none"/>
        </w:rPr>
        <w:t xml:space="preserve">    4.2经投标人确认修正后的报价若超过采购预算金额或者最高限价，</w:t>
      </w:r>
      <w:r>
        <w:rPr>
          <w:rFonts w:hint="eastAsia" w:asciiTheme="majorEastAsia" w:hAnsiTheme="majorEastAsia" w:eastAsiaTheme="majorEastAsia" w:cstheme="majorEastAsia"/>
          <w:color w:val="auto"/>
          <w:sz w:val="21"/>
          <w:szCs w:val="21"/>
          <w:highlight w:val="none"/>
        </w:rPr>
        <w:t>投标人的投标文件作无效投标处理</w:t>
      </w:r>
      <w:r>
        <w:rPr>
          <w:rFonts w:hint="eastAsia" w:asciiTheme="majorEastAsia" w:hAnsiTheme="majorEastAsia" w:eastAsiaTheme="majorEastAsia" w:cstheme="majorEastAsia"/>
          <w:b w:val="0"/>
          <w:color w:val="auto"/>
          <w:sz w:val="21"/>
          <w:szCs w:val="21"/>
          <w:highlight w:val="none"/>
        </w:rPr>
        <w:t>。</w:t>
      </w:r>
    </w:p>
    <w:p w14:paraId="17E99E2D">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4.3经投标人确认修正后的报价作为签订合同的依据，并以此报价计算价格分。</w:t>
      </w:r>
    </w:p>
    <w:p w14:paraId="711CC4C0">
      <w:pPr>
        <w:pStyle w:val="7"/>
        <w:keepNext w:val="0"/>
        <w:keepLines w:val="0"/>
        <w:spacing w:before="0" w:after="0" w:line="360" w:lineRule="auto"/>
        <w:ind w:left="420" w:left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5.比较与评价</w:t>
      </w:r>
    </w:p>
    <w:p w14:paraId="61D86CBF">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5.1采用综合评分法的</w:t>
      </w:r>
    </w:p>
    <w:p w14:paraId="32867192">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（1）评标委员会按照招标文件中规定的评标方法及评标标准，对符合性审查合格的投标文件进行商务和技术评估，综合比较与评价。</w:t>
      </w:r>
    </w:p>
    <w:p w14:paraId="2686F032">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（2）评标委员会独立对每个投标人的投标文件进行评价，并汇总每个投标人的得分。</w:t>
      </w:r>
    </w:p>
    <w:p w14:paraId="7C6DADB8">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cstheme="majorEastAsia"/>
          <w:b/>
          <w:color w:val="auto"/>
          <w:szCs w:val="21"/>
          <w:highlight w:val="none"/>
        </w:rPr>
        <w:t>投标人不能证明其报价合理性的，评标委员会将其作为无效投标处理</w:t>
      </w:r>
      <w:r>
        <w:rPr>
          <w:rFonts w:hint="eastAsia" w:asciiTheme="majorEastAsia" w:hAnsiTheme="majorEastAsia" w:eastAsiaTheme="majorEastAsia" w:cstheme="majorEastAsia"/>
          <w:color w:val="auto"/>
          <w:szCs w:val="21"/>
          <w:highlight w:val="none"/>
        </w:rPr>
        <w:t>。</w:t>
      </w:r>
    </w:p>
    <w:p w14:paraId="6FBAC7F4">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（3）评标委员会按照招标文件中规定的评标方法和标准计算各投标人的报价得分。在计算过程中，不得去掉最高报价或者最低报价。</w:t>
      </w:r>
    </w:p>
    <w:p w14:paraId="6801D9D6">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（4）各投标人的得分为所有评委的有效评分的算术平均数。</w:t>
      </w:r>
    </w:p>
    <w:p w14:paraId="0911B6F4">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（5）评标委员会按照招标文件中的规定推荐中标候选人。</w:t>
      </w:r>
    </w:p>
    <w:p w14:paraId="24FF48CC">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9642F47">
      <w:pPr>
        <w:snapToGrid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5.2采用</w:t>
      </w:r>
      <w:r>
        <w:rPr>
          <w:rFonts w:hint="eastAsia" w:asciiTheme="majorEastAsia" w:hAnsiTheme="majorEastAsia" w:eastAsiaTheme="majorEastAsia" w:cstheme="majorEastAsia"/>
          <w:color w:val="auto"/>
          <w:highlight w:val="none"/>
        </w:rPr>
        <w:t>最低评标价法</w:t>
      </w:r>
      <w:r>
        <w:rPr>
          <w:rFonts w:hint="eastAsia" w:asciiTheme="majorEastAsia" w:hAnsiTheme="majorEastAsia" w:eastAsiaTheme="majorEastAsia" w:cstheme="majorEastAsia"/>
          <w:color w:val="auto"/>
          <w:szCs w:val="21"/>
          <w:highlight w:val="none"/>
        </w:rPr>
        <w:t>的</w:t>
      </w:r>
    </w:p>
    <w:p w14:paraId="00CBF2DF">
      <w:pPr>
        <w:snapToGrid w:val="0"/>
        <w:spacing w:line="360" w:lineRule="auto"/>
        <w:ind w:firstLine="424" w:firstLineChars="202"/>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（1）评标委员会按照招标文件中规定的评标方法及评标标准，对符合性审查合格的投标文件报价进行比较。</w:t>
      </w:r>
    </w:p>
    <w:p w14:paraId="63E3AC33">
      <w:pPr>
        <w:snapToGrid w:val="0"/>
        <w:spacing w:line="360" w:lineRule="auto"/>
        <w:ind w:firstLine="399" w:firstLineChars="202"/>
        <w:jc w:val="left"/>
        <w:rPr>
          <w:rFonts w:asciiTheme="majorEastAsia" w:hAnsiTheme="majorEastAsia" w:eastAsiaTheme="majorEastAsia" w:cstheme="majorEastAsia"/>
          <w:color w:val="auto"/>
          <w:spacing w:val="-6"/>
          <w:szCs w:val="21"/>
          <w:highlight w:val="none"/>
        </w:rPr>
      </w:pPr>
      <w:r>
        <w:rPr>
          <w:rFonts w:hint="eastAsia" w:asciiTheme="majorEastAsia" w:hAnsiTheme="majorEastAsia" w:eastAsiaTheme="majorEastAsia" w:cstheme="majorEastAsia"/>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cstheme="majorEastAsia"/>
          <w:b/>
          <w:color w:val="auto"/>
          <w:spacing w:val="-6"/>
          <w:szCs w:val="21"/>
          <w:highlight w:val="none"/>
        </w:rPr>
        <w:t>投标人不能证明其报价合理性的，评标委员会将其作为无效投标处理</w:t>
      </w:r>
      <w:r>
        <w:rPr>
          <w:rFonts w:hint="eastAsia" w:asciiTheme="majorEastAsia" w:hAnsiTheme="majorEastAsia" w:eastAsiaTheme="majorEastAsia" w:cstheme="majorEastAsia"/>
          <w:color w:val="auto"/>
          <w:spacing w:val="-6"/>
          <w:szCs w:val="21"/>
          <w:highlight w:val="none"/>
        </w:rPr>
        <w:t>。</w:t>
      </w:r>
    </w:p>
    <w:p w14:paraId="059F0B90">
      <w:pPr>
        <w:snapToGrid w:val="0"/>
        <w:spacing w:line="360" w:lineRule="auto"/>
        <w:ind w:firstLine="424" w:firstLineChars="202"/>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（3）评标委员会按照招标文件中的规定推荐中标候选人。</w:t>
      </w:r>
    </w:p>
    <w:p w14:paraId="6019C1B1">
      <w:pPr>
        <w:snapToGrid w:val="0"/>
        <w:spacing w:line="360" w:lineRule="auto"/>
        <w:ind w:firstLine="424" w:firstLineChars="202"/>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C71FE1A">
      <w:pPr>
        <w:snapToGrid w:val="0"/>
        <w:spacing w:line="360" w:lineRule="auto"/>
        <w:jc w:val="left"/>
        <w:rPr>
          <w:rFonts w:asciiTheme="majorEastAsia" w:hAnsiTheme="majorEastAsia" w:eastAsiaTheme="majorEastAsia" w:cstheme="majorEastAsia"/>
          <w:color w:val="auto"/>
          <w:highlight w:val="none"/>
        </w:rPr>
      </w:pPr>
      <w:r>
        <w:rPr>
          <w:rFonts w:ascii="仿宋" w:hAnsi="仿宋" w:eastAsia="仿宋"/>
          <w:color w:val="auto"/>
          <w:highlight w:val="none"/>
        </w:rPr>
        <w:br w:type="page"/>
      </w:r>
      <w:r>
        <w:rPr>
          <w:rFonts w:hint="eastAsia" w:asciiTheme="majorEastAsia" w:hAnsiTheme="majorEastAsia" w:eastAsiaTheme="majorEastAsia" w:cstheme="majorEastAsia"/>
          <w:b/>
          <w:bCs/>
          <w:color w:val="auto"/>
          <w:sz w:val="32"/>
          <w:szCs w:val="32"/>
          <w:highlight w:val="none"/>
        </w:rPr>
        <w:t>三、评标标准</w:t>
      </w:r>
    </w:p>
    <w:p w14:paraId="4767F76D">
      <w:pPr>
        <w:pStyle w:val="4"/>
        <w:spacing w:line="460" w:lineRule="exact"/>
        <w:rPr>
          <w:rFonts w:asciiTheme="majorEastAsia" w:hAnsiTheme="majorEastAsia" w:eastAsiaTheme="majorEastAsia" w:cstheme="majorEastAsia"/>
          <w:color w:val="auto"/>
          <w:highlight w:val="none"/>
        </w:rPr>
      </w:pPr>
      <w:bookmarkStart w:id="162" w:name="_Toc44"/>
      <w:r>
        <w:rPr>
          <w:rFonts w:hint="eastAsia" w:ascii="宋体" w:hAnsi="宋体" w:eastAsia="宋体" w:cs="宋体"/>
          <w:color w:val="auto"/>
          <w:sz w:val="28"/>
          <w:szCs w:val="28"/>
          <w:highlight w:val="none"/>
          <w:lang w:bidi="zh-CN"/>
        </w:rPr>
        <w:t>标项一：</w:t>
      </w:r>
      <w:r>
        <w:rPr>
          <w:rFonts w:hint="eastAsia" w:ascii="宋体" w:hAnsi="宋体" w:eastAsia="宋体" w:cs="宋体"/>
          <w:color w:val="auto"/>
          <w:sz w:val="28"/>
          <w:szCs w:val="28"/>
          <w:highlight w:val="none"/>
          <w:lang w:val="zh-CN" w:bidi="zh-CN"/>
        </w:rPr>
        <w:t>贵港覃塘产业园区新材料科技园重大安全风险防控项目(覃塘化工园区安全风险智能化管控平台)-</w:t>
      </w:r>
      <w:bookmarkStart w:id="163" w:name="OLE_LINK41"/>
      <w:r>
        <w:rPr>
          <w:rFonts w:hint="eastAsia" w:ascii="宋体" w:hAnsi="宋体" w:eastAsia="宋体" w:cs="宋体"/>
          <w:color w:val="auto"/>
          <w:sz w:val="28"/>
          <w:szCs w:val="28"/>
          <w:highlight w:val="none"/>
          <w:lang w:val="zh-CN" w:bidi="zh-CN"/>
        </w:rPr>
        <w:t>分标1</w:t>
      </w:r>
      <w:bookmarkEnd w:id="162"/>
      <w:bookmarkEnd w:id="163"/>
    </w:p>
    <w:p w14:paraId="3D62A624">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综合评分法</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46"/>
        <w:gridCol w:w="1050"/>
        <w:gridCol w:w="6121"/>
      </w:tblGrid>
      <w:tr w14:paraId="018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1" w:type="dxa"/>
            <w:gridSpan w:val="2"/>
            <w:vAlign w:val="center"/>
          </w:tcPr>
          <w:p w14:paraId="286E2212">
            <w:pPr>
              <w:adjustRightInd w:val="0"/>
              <w:spacing w:after="0"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050" w:type="dxa"/>
            <w:vAlign w:val="center"/>
          </w:tcPr>
          <w:p w14:paraId="611FC9CF">
            <w:pPr>
              <w:adjustRightInd w:val="0"/>
              <w:spacing w:after="0"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评审因素</w:t>
            </w:r>
          </w:p>
        </w:tc>
        <w:tc>
          <w:tcPr>
            <w:tcW w:w="6121" w:type="dxa"/>
            <w:vAlign w:val="center"/>
          </w:tcPr>
          <w:p w14:paraId="7AB0B524">
            <w:pPr>
              <w:adjustRightInd w:val="0"/>
              <w:spacing w:after="0"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0B4C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14:paraId="7B8AB4DF">
            <w:pPr>
              <w:adjustRightInd w:val="0"/>
              <w:spacing w:after="0" w:line="360" w:lineRule="exact"/>
              <w:jc w:val="center"/>
              <w:textAlignment w:val="baseline"/>
              <w:rPr>
                <w:rFonts w:ascii="宋体" w:hAnsi="宋体"/>
                <w:color w:val="auto"/>
                <w:szCs w:val="21"/>
                <w:highlight w:val="none"/>
              </w:rPr>
            </w:pPr>
            <w:r>
              <w:rPr>
                <w:rFonts w:hint="eastAsia" w:ascii="宋体" w:hAnsi="宋体"/>
                <w:color w:val="auto"/>
                <w:szCs w:val="21"/>
                <w:highlight w:val="none"/>
              </w:rPr>
              <w:t>1</w:t>
            </w:r>
          </w:p>
        </w:tc>
        <w:tc>
          <w:tcPr>
            <w:tcW w:w="846" w:type="dxa"/>
            <w:vAlign w:val="center"/>
          </w:tcPr>
          <w:p w14:paraId="16E991B3">
            <w:pPr>
              <w:adjustRightInd w:val="0"/>
              <w:spacing w:after="0"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价格分</w:t>
            </w:r>
          </w:p>
          <w:p w14:paraId="116562BA">
            <w:pPr>
              <w:adjustRightInd w:val="0"/>
              <w:spacing w:after="0"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（满分3</w:t>
            </w:r>
            <w:r>
              <w:rPr>
                <w:rFonts w:ascii="宋体" w:hAnsi="宋体"/>
                <w:b/>
                <w:bCs/>
                <w:color w:val="auto"/>
                <w:szCs w:val="21"/>
                <w:highlight w:val="none"/>
              </w:rPr>
              <w:t>0</w:t>
            </w:r>
            <w:r>
              <w:rPr>
                <w:rFonts w:hint="eastAsia" w:ascii="宋体" w:hAnsi="宋体"/>
                <w:b/>
                <w:bCs/>
                <w:color w:val="auto"/>
                <w:szCs w:val="21"/>
                <w:highlight w:val="none"/>
              </w:rPr>
              <w:t>分）</w:t>
            </w:r>
          </w:p>
        </w:tc>
        <w:tc>
          <w:tcPr>
            <w:tcW w:w="1050" w:type="dxa"/>
            <w:vAlign w:val="center"/>
          </w:tcPr>
          <w:p w14:paraId="4CE5BB4A">
            <w:pPr>
              <w:adjustRightInd w:val="0"/>
              <w:spacing w:after="0" w:line="36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投标报价（满分</w:t>
            </w:r>
            <w:r>
              <w:rPr>
                <w:rFonts w:ascii="宋体" w:hAnsi="宋体"/>
                <w:bCs/>
                <w:color w:val="auto"/>
                <w:szCs w:val="21"/>
                <w:highlight w:val="none"/>
              </w:rPr>
              <w:t>30</w:t>
            </w:r>
            <w:r>
              <w:rPr>
                <w:rFonts w:hint="eastAsia" w:ascii="宋体" w:hAnsi="宋体"/>
                <w:bCs/>
                <w:color w:val="auto"/>
                <w:szCs w:val="21"/>
                <w:highlight w:val="none"/>
              </w:rPr>
              <w:t>分）</w:t>
            </w:r>
          </w:p>
        </w:tc>
        <w:tc>
          <w:tcPr>
            <w:tcW w:w="6121" w:type="dxa"/>
            <w:vAlign w:val="center"/>
          </w:tcPr>
          <w:p w14:paraId="653F9AA5">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14:paraId="60FEE0FD">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（2）政策性扣除计算方法。</w:t>
            </w:r>
          </w:p>
          <w:p w14:paraId="70D855B1">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对其投标报价给予10%的扣除，扣除后的价格为评标报价，即评标报价=投标报价×（1-</w:t>
            </w:r>
            <w:r>
              <w:rPr>
                <w:rFonts w:ascii="宋体" w:hAnsi="宋体"/>
                <w:bCs/>
                <w:color w:val="auto"/>
                <w:szCs w:val="21"/>
                <w:highlight w:val="none"/>
              </w:rPr>
              <w:t>1</w:t>
            </w:r>
            <w:r>
              <w:rPr>
                <w:rFonts w:hint="eastAsia" w:ascii="宋体" w:hAnsi="宋体"/>
                <w:bCs/>
                <w:color w:val="auto"/>
                <w:szCs w:val="21"/>
                <w:highlight w:val="none"/>
              </w:rPr>
              <w:t>0%）。除上述情况外，评标报价=投标报价。</w:t>
            </w:r>
          </w:p>
          <w:p w14:paraId="134158D5">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1E9A1AD">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41EBD85">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（5）满足招标文件要求且评标报价最低的评标报价为评标基准价，其价格分为满分。</w:t>
            </w:r>
          </w:p>
          <w:p w14:paraId="5B7F3355">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 xml:space="preserve">（6）价格分计算公式：        </w:t>
            </w:r>
          </w:p>
          <w:p w14:paraId="2D660487">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价格分=（评标基准价/评标报价）×</w:t>
            </w:r>
            <w:r>
              <w:rPr>
                <w:rFonts w:ascii="宋体" w:hAnsi="宋体"/>
                <w:bCs/>
                <w:color w:val="auto"/>
                <w:szCs w:val="21"/>
                <w:highlight w:val="none"/>
              </w:rPr>
              <w:t>30</w:t>
            </w:r>
            <w:r>
              <w:rPr>
                <w:rFonts w:hint="eastAsia" w:ascii="宋体" w:hAnsi="宋体"/>
                <w:bCs/>
                <w:color w:val="auto"/>
                <w:szCs w:val="21"/>
                <w:highlight w:val="none"/>
              </w:rPr>
              <w:t>分</w:t>
            </w:r>
          </w:p>
          <w:p w14:paraId="01E774B0">
            <w:pPr>
              <w:snapToGrid w:val="0"/>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备注：参照中华人民共和国财政部令第87号《政府采购货物和服务招标投标管理办法》第六十条、《中华人民共和国政府采购法》第七十七条和《中华人民共和国反不正当竞争法》第十一条规定， 经营者不得以排挤对手为目的，以低于成本的价格销售货物。招标人不能接受投标人的恶意低价的竞争。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证明材料包括但不限于）：</w:t>
            </w:r>
          </w:p>
          <w:p w14:paraId="46825A10">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①提供项目成本组成明细（成本价中必须包括各类税收、人员成本等与该服务相关内容），项目成本组成明细需经第三方会计事务所或其它具备审计资质的机构出具的成本分析文件复印件并加盖单位公章（原件现场核查）；</w:t>
            </w:r>
          </w:p>
          <w:p w14:paraId="2AA84093">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②202</w:t>
            </w:r>
            <w:r>
              <w:rPr>
                <w:rFonts w:ascii="宋体" w:hAnsi="宋体"/>
                <w:bCs/>
                <w:color w:val="auto"/>
                <w:szCs w:val="21"/>
                <w:highlight w:val="none"/>
              </w:rPr>
              <w:t>2</w:t>
            </w:r>
            <w:r>
              <w:rPr>
                <w:rFonts w:hint="eastAsia" w:ascii="宋体" w:hAnsi="宋体"/>
                <w:bCs/>
                <w:color w:val="auto"/>
                <w:szCs w:val="21"/>
                <w:highlight w:val="none"/>
              </w:rPr>
              <w:t>年-202</w:t>
            </w:r>
            <w:r>
              <w:rPr>
                <w:rFonts w:ascii="宋体" w:hAnsi="宋体"/>
                <w:bCs/>
                <w:color w:val="auto"/>
                <w:szCs w:val="21"/>
                <w:highlight w:val="none"/>
              </w:rPr>
              <w:t>4</w:t>
            </w:r>
            <w:r>
              <w:rPr>
                <w:rFonts w:hint="eastAsia" w:ascii="宋体" w:hAnsi="宋体"/>
                <w:bCs/>
                <w:color w:val="auto"/>
                <w:szCs w:val="21"/>
                <w:highlight w:val="none"/>
              </w:rPr>
              <w:t>年度经第三方具备相关业务许可资质的审计机构出具的审计报告（包括其固定资产成本及折旧、管理成本、人工费成本（如人员工资、资金、福利及差旅等费用）、税收等所有成本及利润）复印件及202</w:t>
            </w:r>
            <w:r>
              <w:rPr>
                <w:rFonts w:ascii="宋体" w:hAnsi="宋体"/>
                <w:bCs/>
                <w:color w:val="auto"/>
                <w:szCs w:val="21"/>
                <w:highlight w:val="none"/>
              </w:rPr>
              <w:t>4</w:t>
            </w:r>
            <w:r>
              <w:rPr>
                <w:rFonts w:hint="eastAsia" w:ascii="宋体" w:hAnsi="宋体"/>
                <w:bCs/>
                <w:color w:val="auto"/>
                <w:szCs w:val="21"/>
                <w:highlight w:val="none"/>
              </w:rPr>
              <w:t>年企业所得税12月份申报表复印件并加盖单位公章（原件现场核查）。</w:t>
            </w:r>
          </w:p>
          <w:p w14:paraId="37EE39DF">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③如有请提供2022年1月1日以来类似业绩的费用成本组成明细（并提供该合同复印件，原件现场核查）。</w:t>
            </w:r>
          </w:p>
          <w:p w14:paraId="7EA80DDF">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如不提供或评委认定其以上资料不能详尽合理说明其成本的，则视为低于投标人成本价报价，投标无效。</w:t>
            </w:r>
          </w:p>
        </w:tc>
      </w:tr>
      <w:tr w14:paraId="12CE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restart"/>
            <w:vAlign w:val="center"/>
          </w:tcPr>
          <w:p w14:paraId="25A7D306">
            <w:pPr>
              <w:adjustRightInd w:val="0"/>
              <w:spacing w:after="0" w:line="360" w:lineRule="exac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846" w:type="dxa"/>
            <w:vMerge w:val="restart"/>
            <w:vAlign w:val="center"/>
          </w:tcPr>
          <w:p w14:paraId="1DDEC7DC">
            <w:pPr>
              <w:adjustRightInd w:val="0"/>
              <w:spacing w:after="0"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技术分（满分</w:t>
            </w:r>
            <w:r>
              <w:rPr>
                <w:rFonts w:ascii="宋体" w:hAnsi="宋体"/>
                <w:b/>
                <w:bCs/>
                <w:color w:val="auto"/>
                <w:szCs w:val="21"/>
                <w:highlight w:val="none"/>
              </w:rPr>
              <w:t>52</w:t>
            </w:r>
            <w:r>
              <w:rPr>
                <w:rFonts w:hint="eastAsia" w:ascii="宋体" w:hAnsi="宋体"/>
                <w:b/>
                <w:bCs/>
                <w:color w:val="auto"/>
                <w:szCs w:val="21"/>
                <w:highlight w:val="none"/>
              </w:rPr>
              <w:t>分）</w:t>
            </w:r>
          </w:p>
        </w:tc>
        <w:tc>
          <w:tcPr>
            <w:tcW w:w="1050" w:type="dxa"/>
            <w:vAlign w:val="center"/>
          </w:tcPr>
          <w:p w14:paraId="4D270BE2">
            <w:pPr>
              <w:adjustRightInd w:val="0"/>
              <w:spacing w:after="0" w:line="360" w:lineRule="exact"/>
              <w:jc w:val="center"/>
              <w:textAlignment w:val="baseline"/>
              <w:rPr>
                <w:rFonts w:ascii="宋体" w:hAnsi="宋体"/>
                <w:color w:val="auto"/>
                <w:szCs w:val="21"/>
                <w:highlight w:val="none"/>
              </w:rPr>
            </w:pPr>
            <w:r>
              <w:rPr>
                <w:rFonts w:hint="eastAsia" w:ascii="宋体" w:hAnsi="宋体"/>
                <w:color w:val="auto"/>
                <w:szCs w:val="21"/>
                <w:highlight w:val="none"/>
              </w:rPr>
              <w:t>技术性能（满分</w:t>
            </w:r>
            <w:r>
              <w:rPr>
                <w:rFonts w:ascii="宋体" w:hAnsi="宋体"/>
                <w:color w:val="auto"/>
                <w:szCs w:val="21"/>
                <w:highlight w:val="none"/>
              </w:rPr>
              <w:t>22</w:t>
            </w:r>
            <w:r>
              <w:rPr>
                <w:rFonts w:hint="eastAsia" w:ascii="宋体" w:hAnsi="宋体"/>
                <w:color w:val="auto"/>
                <w:szCs w:val="21"/>
                <w:highlight w:val="none"/>
              </w:rPr>
              <w:t>分）</w:t>
            </w:r>
          </w:p>
        </w:tc>
        <w:tc>
          <w:tcPr>
            <w:tcW w:w="6121" w:type="dxa"/>
            <w:vAlign w:val="center"/>
          </w:tcPr>
          <w:p w14:paraId="00AD1695">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（1）一般技术参数性能分（满分5分）</w:t>
            </w:r>
          </w:p>
          <w:p w14:paraId="38DC7F7F">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一般技术参数完全满足招标文件第二章采购需求技术要求的得基本分5分。未标注“●”、“▲”的参数及功能出现负偏离或漏项的，在一般技术参数性能分（5分）的基础上进行扣减，每一项扣1分，最多扣完本项分值5分。</w:t>
            </w:r>
          </w:p>
          <w:p w14:paraId="78942CE3">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（2）重要技术参数性能分（满分</w:t>
            </w:r>
            <w:r>
              <w:rPr>
                <w:rFonts w:ascii="宋体" w:hAnsi="宋体"/>
                <w:bCs/>
                <w:color w:val="auto"/>
                <w:szCs w:val="21"/>
                <w:highlight w:val="none"/>
              </w:rPr>
              <w:t>17</w:t>
            </w:r>
            <w:r>
              <w:rPr>
                <w:rFonts w:hint="eastAsia" w:ascii="宋体" w:hAnsi="宋体"/>
                <w:bCs/>
                <w:color w:val="auto"/>
                <w:szCs w:val="21"/>
                <w:highlight w:val="none"/>
              </w:rPr>
              <w:t>分）</w:t>
            </w:r>
          </w:p>
          <w:p w14:paraId="1F2E9994">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重要技术参数性能完全满足招标文件第二章采购需求技术要求的基础上，针对标注“●”的重要技术参数或要求，投标人在投标文件中提供相关证明材料，每有1项标注“●”证明材料的加</w:t>
            </w:r>
            <w:r>
              <w:rPr>
                <w:rFonts w:ascii="宋体" w:hAnsi="宋体"/>
                <w:bCs/>
                <w:color w:val="auto"/>
                <w:szCs w:val="21"/>
                <w:highlight w:val="none"/>
              </w:rPr>
              <w:t>1</w:t>
            </w:r>
            <w:r>
              <w:rPr>
                <w:rFonts w:hint="eastAsia" w:ascii="宋体" w:hAnsi="宋体"/>
                <w:bCs/>
                <w:color w:val="auto"/>
                <w:szCs w:val="21"/>
                <w:highlight w:val="none"/>
              </w:rPr>
              <w:t>分（同一技术参数，不重复计分），满分</w:t>
            </w:r>
            <w:r>
              <w:rPr>
                <w:rFonts w:ascii="宋体" w:hAnsi="宋体"/>
                <w:bCs/>
                <w:color w:val="auto"/>
                <w:szCs w:val="21"/>
                <w:highlight w:val="none"/>
              </w:rPr>
              <w:t>17</w:t>
            </w:r>
            <w:r>
              <w:rPr>
                <w:rFonts w:hint="eastAsia" w:ascii="宋体" w:hAnsi="宋体"/>
                <w:bCs/>
                <w:color w:val="auto"/>
                <w:szCs w:val="21"/>
                <w:highlight w:val="none"/>
              </w:rPr>
              <w:t>分。</w:t>
            </w:r>
          </w:p>
          <w:p w14:paraId="5F52C8FA">
            <w:pPr>
              <w:snapToGrid w:val="0"/>
              <w:spacing w:after="0" w:line="360" w:lineRule="exact"/>
              <w:ind w:firstLine="443" w:firstLineChars="211"/>
              <w:rPr>
                <w:rFonts w:hAnsi="宋体" w:cs="Courier New"/>
                <w:b/>
                <w:color w:val="auto"/>
                <w:highlight w:val="none"/>
              </w:rPr>
            </w:pPr>
            <w:r>
              <w:rPr>
                <w:rFonts w:hint="eastAsia" w:ascii="宋体" w:hAnsi="宋体"/>
                <w:bCs/>
                <w:color w:val="auto"/>
                <w:szCs w:val="21"/>
                <w:highlight w:val="none"/>
              </w:rPr>
              <w:t>说明：重要技术参数不能简单复制招标文件要求，须根据产品的性能要求作出具体响应的参数并至少提供以下一种证明材料（官网截图、功能界面截图或第三方权威检测机构的检测报告复印件），同时加盖投标单位电子公章。</w:t>
            </w:r>
          </w:p>
        </w:tc>
      </w:tr>
      <w:tr w14:paraId="3643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vAlign w:val="center"/>
          </w:tcPr>
          <w:p w14:paraId="3BD07DFB">
            <w:pPr>
              <w:adjustRightInd w:val="0"/>
              <w:spacing w:after="0" w:line="360" w:lineRule="exact"/>
              <w:jc w:val="center"/>
              <w:textAlignment w:val="baseline"/>
              <w:rPr>
                <w:rFonts w:ascii="宋体" w:hAnsi="宋体"/>
                <w:color w:val="auto"/>
                <w:szCs w:val="21"/>
                <w:highlight w:val="none"/>
              </w:rPr>
            </w:pPr>
          </w:p>
        </w:tc>
        <w:tc>
          <w:tcPr>
            <w:tcW w:w="846" w:type="dxa"/>
            <w:vMerge w:val="continue"/>
            <w:vAlign w:val="center"/>
          </w:tcPr>
          <w:p w14:paraId="520F5039">
            <w:pPr>
              <w:adjustRightInd w:val="0"/>
              <w:spacing w:after="0" w:line="360" w:lineRule="exact"/>
              <w:jc w:val="center"/>
              <w:textAlignment w:val="baseline"/>
              <w:rPr>
                <w:rFonts w:ascii="宋体" w:hAnsi="宋体"/>
                <w:b/>
                <w:bCs/>
                <w:color w:val="auto"/>
                <w:szCs w:val="21"/>
                <w:highlight w:val="none"/>
              </w:rPr>
            </w:pPr>
          </w:p>
        </w:tc>
        <w:tc>
          <w:tcPr>
            <w:tcW w:w="1050" w:type="dxa"/>
            <w:vAlign w:val="center"/>
          </w:tcPr>
          <w:p w14:paraId="06872E72">
            <w:pPr>
              <w:adjustRightInd w:val="0"/>
              <w:spacing w:after="0" w:line="36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技术方案（满分</w:t>
            </w:r>
            <w:r>
              <w:rPr>
                <w:rFonts w:ascii="宋体" w:hAnsi="宋体"/>
                <w:bCs/>
                <w:color w:val="auto"/>
                <w:szCs w:val="21"/>
                <w:highlight w:val="none"/>
              </w:rPr>
              <w:t>15</w:t>
            </w:r>
            <w:r>
              <w:rPr>
                <w:rFonts w:hint="eastAsia" w:ascii="宋体" w:hAnsi="宋体"/>
                <w:bCs/>
                <w:color w:val="auto"/>
                <w:szCs w:val="21"/>
                <w:highlight w:val="none"/>
              </w:rPr>
              <w:t>分）</w:t>
            </w:r>
            <w:r>
              <w:rPr>
                <w:rFonts w:hint="eastAsia" w:ascii="宋体" w:hAnsi="宋体"/>
                <w:color w:val="auto"/>
                <w:szCs w:val="21"/>
                <w:highlight w:val="none"/>
              </w:rPr>
              <w:t>（注：无技术方案的计0分）</w:t>
            </w:r>
          </w:p>
        </w:tc>
        <w:tc>
          <w:tcPr>
            <w:tcW w:w="6121" w:type="dxa"/>
            <w:vAlign w:val="center"/>
          </w:tcPr>
          <w:p w14:paraId="121A5163">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一档（</w:t>
            </w:r>
            <w:r>
              <w:rPr>
                <w:rFonts w:ascii="宋体" w:hAnsi="宋体"/>
                <w:bCs/>
                <w:color w:val="auto"/>
                <w:szCs w:val="21"/>
                <w:highlight w:val="none"/>
              </w:rPr>
              <w:t>5</w:t>
            </w:r>
            <w:r>
              <w:rPr>
                <w:rFonts w:hint="eastAsia" w:ascii="宋体" w:hAnsi="宋体"/>
                <w:bCs/>
                <w:color w:val="auto"/>
                <w:szCs w:val="21"/>
                <w:highlight w:val="none"/>
              </w:rPr>
              <w:t>分）：对项目的需求理解一般，技术方案大体描述了方案的基本框架，功能模块不完整、技术方案对本项目缺少针对性。</w:t>
            </w:r>
          </w:p>
          <w:p w14:paraId="685B83CC">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二档（</w:t>
            </w:r>
            <w:r>
              <w:rPr>
                <w:rFonts w:ascii="宋体" w:hAnsi="宋体"/>
                <w:bCs/>
                <w:color w:val="auto"/>
                <w:szCs w:val="21"/>
                <w:highlight w:val="none"/>
              </w:rPr>
              <w:t>10</w:t>
            </w:r>
            <w:r>
              <w:rPr>
                <w:rFonts w:hint="eastAsia" w:ascii="宋体" w:hAnsi="宋体"/>
                <w:bCs/>
                <w:color w:val="auto"/>
                <w:szCs w:val="21"/>
                <w:highlight w:val="none"/>
              </w:rPr>
              <w:t>分）：对项目的需求理解良好，技术方案较为详细，基本满足项目建设需求，对项目建设总体框架的设计和描述合理可行，能够较为详实描述各模块的功能及实现技术方案，方案满足项目切实要求。</w:t>
            </w:r>
          </w:p>
          <w:p w14:paraId="766125EA">
            <w:pPr>
              <w:snapToGrid w:val="0"/>
              <w:spacing w:after="0" w:line="360" w:lineRule="exact"/>
              <w:ind w:firstLine="443" w:firstLineChars="211"/>
              <w:rPr>
                <w:rFonts w:ascii="宋体" w:hAnsi="宋体"/>
                <w:bCs/>
                <w:color w:val="auto"/>
                <w:szCs w:val="21"/>
                <w:highlight w:val="none"/>
              </w:rPr>
            </w:pPr>
            <w:r>
              <w:rPr>
                <w:rFonts w:hint="eastAsia" w:ascii="宋体" w:hAnsi="宋体"/>
                <w:bCs/>
                <w:color w:val="auto"/>
                <w:szCs w:val="21"/>
                <w:highlight w:val="none"/>
              </w:rPr>
              <w:t>三档（</w:t>
            </w:r>
            <w:r>
              <w:rPr>
                <w:rFonts w:ascii="宋体" w:hAnsi="宋体"/>
                <w:bCs/>
                <w:color w:val="auto"/>
                <w:szCs w:val="21"/>
                <w:highlight w:val="none"/>
              </w:rPr>
              <w:t>15</w:t>
            </w:r>
            <w:r>
              <w:rPr>
                <w:rFonts w:hint="eastAsia" w:ascii="宋体" w:hAnsi="宋体"/>
                <w:bCs/>
                <w:color w:val="auto"/>
                <w:szCs w:val="21"/>
                <w:highlight w:val="none"/>
              </w:rPr>
              <w:t>分）：在满足二档的基础上，对项目的需求理解透彻，项目技术方案完善、详细且具有针对性，能够根据本次建设内容对每一个系统的系统架构、系统功能有全面详尽的描述及详细的设计介绍，并能够提供覃塘化工园区安全风险智能化管控平台（园区端）、覃塘化工园区企业安全风险智能化管控平台（企业端）的界面功能规划图。</w:t>
            </w:r>
          </w:p>
        </w:tc>
      </w:tr>
      <w:tr w14:paraId="42A0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vAlign w:val="center"/>
          </w:tcPr>
          <w:p w14:paraId="377820EB">
            <w:pPr>
              <w:adjustRightInd w:val="0"/>
              <w:spacing w:after="0" w:line="360" w:lineRule="exact"/>
              <w:jc w:val="center"/>
              <w:textAlignment w:val="baseline"/>
              <w:rPr>
                <w:rFonts w:ascii="宋体" w:hAnsi="宋体"/>
                <w:color w:val="auto"/>
                <w:szCs w:val="21"/>
                <w:highlight w:val="none"/>
              </w:rPr>
            </w:pPr>
          </w:p>
        </w:tc>
        <w:tc>
          <w:tcPr>
            <w:tcW w:w="846" w:type="dxa"/>
            <w:vMerge w:val="continue"/>
            <w:vAlign w:val="center"/>
          </w:tcPr>
          <w:p w14:paraId="0CE76C6A">
            <w:pPr>
              <w:adjustRightInd w:val="0"/>
              <w:spacing w:after="0" w:line="360" w:lineRule="exact"/>
              <w:jc w:val="center"/>
              <w:textAlignment w:val="baseline"/>
              <w:rPr>
                <w:rFonts w:ascii="宋体" w:hAnsi="宋体"/>
                <w:b/>
                <w:bCs/>
                <w:color w:val="auto"/>
                <w:szCs w:val="21"/>
                <w:highlight w:val="none"/>
              </w:rPr>
            </w:pPr>
          </w:p>
        </w:tc>
        <w:tc>
          <w:tcPr>
            <w:tcW w:w="1050" w:type="dxa"/>
            <w:vAlign w:val="center"/>
          </w:tcPr>
          <w:p w14:paraId="019CC621">
            <w:pPr>
              <w:adjustRightInd w:val="0"/>
              <w:spacing w:after="0" w:line="36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实施方案（满分1</w:t>
            </w:r>
            <w:r>
              <w:rPr>
                <w:rFonts w:ascii="宋体" w:hAnsi="宋体"/>
                <w:bCs/>
                <w:color w:val="auto"/>
                <w:szCs w:val="21"/>
                <w:highlight w:val="none"/>
              </w:rPr>
              <w:t>5</w:t>
            </w:r>
            <w:r>
              <w:rPr>
                <w:rFonts w:hint="eastAsia" w:ascii="宋体" w:hAnsi="宋体"/>
                <w:bCs/>
                <w:color w:val="auto"/>
                <w:szCs w:val="21"/>
                <w:highlight w:val="none"/>
              </w:rPr>
              <w:t>分）</w:t>
            </w:r>
            <w:r>
              <w:rPr>
                <w:rFonts w:hint="eastAsia" w:ascii="宋体" w:hAnsi="宋体"/>
                <w:color w:val="auto"/>
                <w:szCs w:val="21"/>
                <w:highlight w:val="none"/>
              </w:rPr>
              <w:t>（注：</w:t>
            </w:r>
            <w:r>
              <w:rPr>
                <w:rFonts w:hint="eastAsia" w:ascii="宋体" w:hAnsi="宋体" w:cs="宋体"/>
                <w:color w:val="auto"/>
                <w:highlight w:val="none"/>
              </w:rPr>
              <w:t>无实施方案的计0分</w:t>
            </w:r>
            <w:r>
              <w:rPr>
                <w:rFonts w:hint="eastAsia" w:ascii="宋体" w:hAnsi="宋体"/>
                <w:color w:val="auto"/>
                <w:szCs w:val="21"/>
                <w:highlight w:val="none"/>
              </w:rPr>
              <w:t>）</w:t>
            </w:r>
          </w:p>
        </w:tc>
        <w:tc>
          <w:tcPr>
            <w:tcW w:w="6121" w:type="dxa"/>
            <w:vAlign w:val="center"/>
          </w:tcPr>
          <w:p w14:paraId="3E8DDB6E">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一档（</w:t>
            </w:r>
            <w:r>
              <w:rPr>
                <w:rFonts w:ascii="宋体" w:hAnsi="宋体"/>
                <w:bCs/>
                <w:color w:val="auto"/>
                <w:szCs w:val="21"/>
                <w:highlight w:val="none"/>
              </w:rPr>
              <w:t>5</w:t>
            </w:r>
            <w:r>
              <w:rPr>
                <w:rFonts w:hint="eastAsia" w:ascii="宋体" w:hAnsi="宋体"/>
                <w:bCs/>
                <w:color w:val="auto"/>
                <w:szCs w:val="21"/>
                <w:highlight w:val="none"/>
              </w:rPr>
              <w:t>分）：实施方案基本阐述清楚实施方法及保障措施，有项目管理组织机构图、工作安排能说明人员安排及施工进度安排，形成项目管理文档计划。</w:t>
            </w:r>
          </w:p>
          <w:p w14:paraId="742ADDEC">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二档（</w:t>
            </w:r>
            <w:r>
              <w:rPr>
                <w:rFonts w:ascii="宋体" w:hAnsi="宋体"/>
                <w:bCs/>
                <w:color w:val="auto"/>
                <w:szCs w:val="21"/>
                <w:highlight w:val="none"/>
              </w:rPr>
              <w:t>10</w:t>
            </w:r>
            <w:r>
              <w:rPr>
                <w:rFonts w:hint="eastAsia" w:ascii="宋体" w:hAnsi="宋体"/>
                <w:bCs/>
                <w:color w:val="auto"/>
                <w:szCs w:val="21"/>
                <w:highlight w:val="none"/>
              </w:rPr>
              <w:t>分）：在满足一档基础上，有可行的组织保障计划、实施进度计划，实施服务保障措施、项目管理体系；提供详细阐述项目实施组织办法及保障体系、实施进度、项目管理制度，说明质量、进度、安全施工计划，具有较完备的管理组织、项目实施规范和管理制度，质量管理体系和安全保障措施。</w:t>
            </w:r>
          </w:p>
          <w:p w14:paraId="5B091053">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三档（</w:t>
            </w:r>
            <w:r>
              <w:rPr>
                <w:rFonts w:ascii="宋体" w:hAnsi="宋体"/>
                <w:bCs/>
                <w:color w:val="auto"/>
                <w:szCs w:val="21"/>
                <w:highlight w:val="none"/>
              </w:rPr>
              <w:t>15</w:t>
            </w:r>
            <w:r>
              <w:rPr>
                <w:rFonts w:hint="eastAsia" w:ascii="宋体" w:hAnsi="宋体"/>
                <w:bCs/>
                <w:color w:val="auto"/>
                <w:szCs w:val="21"/>
                <w:highlight w:val="none"/>
              </w:rPr>
              <w:t>分）：在满足二档基础上，有完善的组织保障计划、实施进度计划，实施服务保障措施、质量保障措施、项目管理体系，保障措施的方法和实现方式考虑周全完整，有明确的工程进度和管理措施，项目实施方案详实，具有详细而合理项目组织机构、人员分配安排表，指明重点难点及解决办法，确保工程在计划工期内完成。并能够提供</w:t>
            </w:r>
            <w:r>
              <w:rPr>
                <w:rFonts w:hint="eastAsia" w:ascii="宋体" w:hAnsi="宋体" w:cs="宋体"/>
                <w:color w:val="auto"/>
                <w:kern w:val="21"/>
                <w:szCs w:val="21"/>
                <w:highlight w:val="none"/>
                <w:shd w:val="clear" w:color="auto" w:fill="FFFFFF"/>
              </w:rPr>
              <w:t>满足项目实施需求的安防、线路、指挥中心等规划图纸。</w:t>
            </w:r>
          </w:p>
        </w:tc>
      </w:tr>
      <w:tr w14:paraId="4EBD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restart"/>
            <w:vAlign w:val="center"/>
          </w:tcPr>
          <w:p w14:paraId="30FD20C9">
            <w:pPr>
              <w:adjustRightInd w:val="0"/>
              <w:spacing w:after="0" w:line="360" w:lineRule="exact"/>
              <w:jc w:val="center"/>
              <w:textAlignment w:val="baseline"/>
              <w:rPr>
                <w:rFonts w:ascii="宋体" w:hAnsi="宋体"/>
                <w:color w:val="auto"/>
                <w:szCs w:val="21"/>
                <w:highlight w:val="none"/>
              </w:rPr>
            </w:pPr>
            <w:r>
              <w:rPr>
                <w:rFonts w:hint="eastAsia" w:ascii="宋体" w:hAnsi="宋体"/>
                <w:color w:val="auto"/>
                <w:szCs w:val="21"/>
                <w:highlight w:val="none"/>
              </w:rPr>
              <w:t>3</w:t>
            </w:r>
          </w:p>
        </w:tc>
        <w:tc>
          <w:tcPr>
            <w:tcW w:w="846" w:type="dxa"/>
            <w:vMerge w:val="restart"/>
            <w:vAlign w:val="center"/>
          </w:tcPr>
          <w:p w14:paraId="71D38532">
            <w:pPr>
              <w:adjustRightInd w:val="0"/>
              <w:spacing w:after="0"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商务分（满分</w:t>
            </w:r>
            <w:r>
              <w:rPr>
                <w:rFonts w:ascii="宋体" w:hAnsi="宋体"/>
                <w:b/>
                <w:bCs/>
                <w:color w:val="auto"/>
                <w:szCs w:val="21"/>
                <w:highlight w:val="none"/>
              </w:rPr>
              <w:t>16</w:t>
            </w:r>
            <w:r>
              <w:rPr>
                <w:rFonts w:hint="eastAsia" w:ascii="宋体" w:hAnsi="宋体"/>
                <w:b/>
                <w:bCs/>
                <w:color w:val="auto"/>
                <w:szCs w:val="21"/>
                <w:highlight w:val="none"/>
              </w:rPr>
              <w:t>分）</w:t>
            </w:r>
          </w:p>
        </w:tc>
        <w:tc>
          <w:tcPr>
            <w:tcW w:w="1050" w:type="dxa"/>
            <w:vAlign w:val="center"/>
          </w:tcPr>
          <w:p w14:paraId="02EB9082">
            <w:pPr>
              <w:spacing w:after="0" w:line="360" w:lineRule="exact"/>
              <w:jc w:val="center"/>
              <w:rPr>
                <w:rFonts w:ascii="宋体" w:hAnsi="宋体"/>
                <w:bCs/>
                <w:color w:val="auto"/>
                <w:szCs w:val="21"/>
                <w:highlight w:val="none"/>
              </w:rPr>
            </w:pPr>
            <w:r>
              <w:rPr>
                <w:rFonts w:hint="eastAsia" w:ascii="宋体" w:hAnsi="宋体"/>
                <w:bCs/>
                <w:color w:val="auto"/>
                <w:szCs w:val="21"/>
                <w:highlight w:val="none"/>
              </w:rPr>
              <w:t>售后方案（满分</w:t>
            </w:r>
            <w:r>
              <w:rPr>
                <w:rFonts w:ascii="宋体" w:hAnsi="宋体"/>
                <w:bCs/>
                <w:color w:val="auto"/>
                <w:szCs w:val="21"/>
                <w:highlight w:val="none"/>
              </w:rPr>
              <w:t>12</w:t>
            </w:r>
            <w:r>
              <w:rPr>
                <w:rFonts w:hint="eastAsia" w:ascii="宋体" w:hAnsi="宋体"/>
                <w:bCs/>
                <w:color w:val="auto"/>
                <w:szCs w:val="21"/>
                <w:highlight w:val="none"/>
              </w:rPr>
              <w:t>分）</w:t>
            </w:r>
          </w:p>
        </w:tc>
        <w:tc>
          <w:tcPr>
            <w:tcW w:w="6121" w:type="dxa"/>
          </w:tcPr>
          <w:p w14:paraId="6B756D17">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（1）售后服务方案（满分</w:t>
            </w:r>
            <w:r>
              <w:rPr>
                <w:rFonts w:ascii="宋体" w:hAnsi="宋体"/>
                <w:bCs/>
                <w:color w:val="auto"/>
                <w:szCs w:val="21"/>
                <w:highlight w:val="none"/>
              </w:rPr>
              <w:t>12</w:t>
            </w:r>
            <w:r>
              <w:rPr>
                <w:rFonts w:hint="eastAsia" w:ascii="宋体" w:hAnsi="宋体"/>
                <w:bCs/>
                <w:color w:val="auto"/>
                <w:szCs w:val="21"/>
                <w:highlight w:val="none"/>
              </w:rPr>
              <w:t>分）</w:t>
            </w:r>
          </w:p>
          <w:p w14:paraId="050AEBC3">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一档（4分）：投标人所提供的售后服务方案简单，方案缺乏售后维护和项目故障处理方案，方案可行性不高。</w:t>
            </w:r>
          </w:p>
          <w:p w14:paraId="23329A67">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二档（</w:t>
            </w:r>
            <w:r>
              <w:rPr>
                <w:rFonts w:ascii="宋体" w:hAnsi="宋体"/>
                <w:bCs/>
                <w:color w:val="auto"/>
                <w:szCs w:val="21"/>
                <w:highlight w:val="none"/>
              </w:rPr>
              <w:t>8</w:t>
            </w:r>
            <w:r>
              <w:rPr>
                <w:rFonts w:hint="eastAsia" w:ascii="宋体" w:hAnsi="宋体"/>
                <w:bCs/>
                <w:color w:val="auto"/>
                <w:szCs w:val="21"/>
                <w:highlight w:val="none"/>
              </w:rPr>
              <w:t>分）：投标人所提供的售后服务方案一般，方案包含有售后基础服务支持体系、售后服务体系及服务能力、项目故障处理方案等，整体售后方案有一定的可行性、完整性。</w:t>
            </w:r>
          </w:p>
          <w:p w14:paraId="1A83E5E5">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三档（</w:t>
            </w:r>
            <w:r>
              <w:rPr>
                <w:rFonts w:ascii="宋体" w:hAnsi="宋体"/>
                <w:bCs/>
                <w:color w:val="auto"/>
                <w:szCs w:val="21"/>
                <w:highlight w:val="none"/>
              </w:rPr>
              <w:t>12</w:t>
            </w:r>
            <w:r>
              <w:rPr>
                <w:rFonts w:hint="eastAsia" w:ascii="宋体" w:hAnsi="宋体"/>
                <w:bCs/>
                <w:color w:val="auto"/>
                <w:szCs w:val="21"/>
                <w:highlight w:val="none"/>
              </w:rPr>
              <w:t>分）：投标人所提供的售后服务方案详细可行，售后服务内容详细，方案针对性强，服务措施齐全，在满足二档基础上，方案包含有详细培训计划、售后服务沟通方案，整体售后方案周全完整详细。</w:t>
            </w:r>
          </w:p>
        </w:tc>
      </w:tr>
      <w:tr w14:paraId="2F47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vAlign w:val="center"/>
          </w:tcPr>
          <w:p w14:paraId="69EAA18E">
            <w:pPr>
              <w:adjustRightInd w:val="0"/>
              <w:spacing w:after="0" w:line="360" w:lineRule="exact"/>
              <w:jc w:val="center"/>
              <w:textAlignment w:val="baseline"/>
              <w:rPr>
                <w:rFonts w:ascii="宋体" w:hAnsi="宋体"/>
                <w:color w:val="auto"/>
                <w:szCs w:val="21"/>
                <w:highlight w:val="none"/>
              </w:rPr>
            </w:pPr>
          </w:p>
        </w:tc>
        <w:tc>
          <w:tcPr>
            <w:tcW w:w="846" w:type="dxa"/>
            <w:vMerge w:val="continue"/>
            <w:vAlign w:val="center"/>
          </w:tcPr>
          <w:p w14:paraId="2B3AE554">
            <w:pPr>
              <w:adjustRightInd w:val="0"/>
              <w:spacing w:after="0" w:line="360" w:lineRule="exact"/>
              <w:jc w:val="center"/>
              <w:textAlignment w:val="baseline"/>
              <w:rPr>
                <w:rFonts w:ascii="宋体" w:hAnsi="宋体"/>
                <w:b/>
                <w:bCs/>
                <w:color w:val="auto"/>
                <w:szCs w:val="21"/>
                <w:highlight w:val="none"/>
              </w:rPr>
            </w:pPr>
          </w:p>
        </w:tc>
        <w:tc>
          <w:tcPr>
            <w:tcW w:w="1050" w:type="dxa"/>
            <w:vAlign w:val="center"/>
          </w:tcPr>
          <w:p w14:paraId="7F620C4F">
            <w:pPr>
              <w:adjustRightInd w:val="0"/>
              <w:spacing w:after="0" w:line="360" w:lineRule="exact"/>
              <w:jc w:val="left"/>
              <w:textAlignment w:val="baseline"/>
              <w:rPr>
                <w:rFonts w:ascii="宋体" w:hAnsi="宋体"/>
                <w:bCs/>
                <w:color w:val="auto"/>
                <w:szCs w:val="21"/>
                <w:highlight w:val="none"/>
              </w:rPr>
            </w:pPr>
            <w:r>
              <w:rPr>
                <w:rFonts w:hint="eastAsia" w:ascii="宋体" w:hAnsi="宋体"/>
                <w:bCs/>
                <w:color w:val="auto"/>
                <w:szCs w:val="21"/>
                <w:highlight w:val="none"/>
              </w:rPr>
              <w:t>信誉业绩（满分</w:t>
            </w:r>
            <w:r>
              <w:rPr>
                <w:rFonts w:ascii="宋体" w:hAnsi="宋体"/>
                <w:bCs/>
                <w:color w:val="auto"/>
                <w:szCs w:val="21"/>
                <w:highlight w:val="none"/>
              </w:rPr>
              <w:t>4</w:t>
            </w:r>
            <w:r>
              <w:rPr>
                <w:rFonts w:hint="eastAsia" w:ascii="宋体" w:hAnsi="宋体"/>
                <w:bCs/>
                <w:color w:val="auto"/>
                <w:szCs w:val="21"/>
                <w:highlight w:val="none"/>
              </w:rPr>
              <w:t>分）</w:t>
            </w:r>
          </w:p>
        </w:tc>
        <w:tc>
          <w:tcPr>
            <w:tcW w:w="6121" w:type="dxa"/>
            <w:vAlign w:val="center"/>
          </w:tcPr>
          <w:p w14:paraId="1C221600">
            <w:pPr>
              <w:spacing w:after="0" w:line="360" w:lineRule="exact"/>
              <w:ind w:firstLine="420" w:firstLineChars="200"/>
              <w:rPr>
                <w:rFonts w:ascii="宋体" w:hAnsi="宋体"/>
                <w:bCs/>
                <w:color w:val="auto"/>
                <w:szCs w:val="21"/>
                <w:highlight w:val="none"/>
              </w:rPr>
            </w:pPr>
            <w:r>
              <w:rPr>
                <w:rFonts w:hint="eastAsia" w:ascii="宋体" w:hAnsi="宋体" w:cs="Courier New"/>
                <w:color w:val="auto"/>
                <w:szCs w:val="21"/>
                <w:highlight w:val="none"/>
              </w:rPr>
              <w:t>（1）为体现投标人的软件研发和管理实力，需获得CMMI（软件能力成熟度集成模型）认证，通过5级及以上得</w:t>
            </w:r>
            <w:r>
              <w:rPr>
                <w:rFonts w:ascii="宋体" w:hAnsi="宋体" w:cs="Courier New"/>
                <w:color w:val="auto"/>
                <w:szCs w:val="21"/>
                <w:highlight w:val="none"/>
              </w:rPr>
              <w:t>0.5</w:t>
            </w:r>
            <w:r>
              <w:rPr>
                <w:rFonts w:hint="eastAsia" w:ascii="宋体" w:hAnsi="宋体" w:cs="Courier New"/>
                <w:color w:val="auto"/>
                <w:szCs w:val="21"/>
                <w:highlight w:val="none"/>
              </w:rPr>
              <w:t>分，其余不得分。要求提供证书复印件，</w:t>
            </w:r>
            <w:r>
              <w:rPr>
                <w:rFonts w:hint="eastAsia" w:ascii="宋体" w:hAnsi="宋体"/>
                <w:bCs/>
                <w:color w:val="auto"/>
                <w:szCs w:val="21"/>
                <w:highlight w:val="none"/>
              </w:rPr>
              <w:t>同时加盖投标单位电子公章。</w:t>
            </w:r>
          </w:p>
          <w:p w14:paraId="3FCBF044">
            <w:pPr>
              <w:spacing w:after="0" w:line="360" w:lineRule="exact"/>
              <w:ind w:firstLine="420" w:firstLineChars="200"/>
              <w:rPr>
                <w:rFonts w:ascii="宋体" w:hAnsi="宋体"/>
                <w:bCs/>
                <w:color w:val="auto"/>
                <w:szCs w:val="21"/>
                <w:highlight w:val="none"/>
              </w:rPr>
            </w:pPr>
            <w:r>
              <w:rPr>
                <w:rFonts w:hint="eastAsia" w:ascii="宋体" w:hAnsi="宋体" w:cs="Courier New"/>
                <w:color w:val="auto"/>
                <w:szCs w:val="21"/>
                <w:highlight w:val="none"/>
              </w:rPr>
              <w:t>（</w:t>
            </w:r>
            <w:r>
              <w:rPr>
                <w:rFonts w:ascii="宋体" w:hAnsi="宋体" w:cs="Courier New"/>
                <w:color w:val="auto"/>
                <w:szCs w:val="21"/>
                <w:highlight w:val="none"/>
              </w:rPr>
              <w:t>2</w:t>
            </w:r>
            <w:r>
              <w:rPr>
                <w:rFonts w:hint="eastAsia" w:ascii="宋体" w:hAnsi="宋体" w:cs="Courier New"/>
                <w:color w:val="auto"/>
                <w:szCs w:val="21"/>
                <w:highlight w:val="none"/>
              </w:rPr>
              <w:t>）</w:t>
            </w:r>
            <w:r>
              <w:rPr>
                <w:rFonts w:hint="eastAsia" w:ascii="宋体" w:hAnsi="宋体"/>
                <w:bCs/>
                <w:color w:val="auto"/>
                <w:szCs w:val="21"/>
                <w:highlight w:val="none"/>
              </w:rPr>
              <w:t>为体现投标人的</w:t>
            </w:r>
            <w:r>
              <w:rPr>
                <w:rFonts w:ascii="Helvetica" w:hAnsi="Helvetica"/>
                <w:color w:val="auto"/>
                <w:szCs w:val="21"/>
                <w:highlight w:val="none"/>
                <w:shd w:val="clear" w:color="auto" w:fill="FFFFFF"/>
              </w:rPr>
              <w:t>信息系统建设和服务提供的综合能力</w:t>
            </w:r>
            <w:r>
              <w:rPr>
                <w:rFonts w:hint="eastAsia" w:ascii="Helvetica" w:hAnsi="Helvetica"/>
                <w:color w:val="auto"/>
                <w:szCs w:val="21"/>
                <w:highlight w:val="none"/>
                <w:shd w:val="clear" w:color="auto" w:fill="FFFFFF"/>
              </w:rPr>
              <w:t>，需</w:t>
            </w:r>
            <w:r>
              <w:rPr>
                <w:rFonts w:hint="eastAsia" w:ascii="宋体" w:hAnsi="宋体"/>
                <w:bCs/>
                <w:color w:val="auto"/>
                <w:szCs w:val="21"/>
                <w:highlight w:val="none"/>
              </w:rPr>
              <w:t>具有信息系统建设和服务能力评估体系</w:t>
            </w:r>
            <w:r>
              <w:rPr>
                <w:rFonts w:hint="eastAsia" w:ascii="宋体" w:hAnsi="宋体" w:cs="宋体"/>
                <w:color w:val="auto"/>
                <w:szCs w:val="21"/>
                <w:highlight w:val="none"/>
              </w:rPr>
              <w:t>认证证书，</w:t>
            </w:r>
            <w:r>
              <w:rPr>
                <w:rFonts w:hint="eastAsia" w:ascii="宋体" w:hAnsi="宋体" w:cs="Courier New"/>
                <w:color w:val="auto"/>
                <w:szCs w:val="21"/>
                <w:highlight w:val="none"/>
              </w:rPr>
              <w:t>通过</w:t>
            </w:r>
            <w:r>
              <w:rPr>
                <w:rFonts w:hint="eastAsia" w:ascii="宋体" w:hAnsi="宋体"/>
                <w:bCs/>
                <w:color w:val="auto"/>
                <w:szCs w:val="21"/>
                <w:highlight w:val="none"/>
              </w:rPr>
              <w:t>CS4级(优秀级) 及以上得</w:t>
            </w:r>
            <w:r>
              <w:rPr>
                <w:rFonts w:ascii="宋体" w:hAnsi="宋体"/>
                <w:bCs/>
                <w:color w:val="auto"/>
                <w:szCs w:val="21"/>
                <w:highlight w:val="none"/>
              </w:rPr>
              <w:t>0.5</w:t>
            </w:r>
            <w:r>
              <w:rPr>
                <w:rFonts w:hint="eastAsia" w:ascii="宋体" w:hAnsi="宋体"/>
                <w:bCs/>
                <w:color w:val="auto"/>
                <w:szCs w:val="21"/>
                <w:highlight w:val="none"/>
              </w:rPr>
              <w:t>分，其余不得分。要求提供证书复印件，同时加盖投标单位电子公章。</w:t>
            </w:r>
          </w:p>
          <w:p w14:paraId="0AF3683D">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）为体现投标人的信息系统安全运维和信息系统安全集成能力，</w:t>
            </w:r>
            <w:r>
              <w:rPr>
                <w:rFonts w:hint="eastAsia" w:ascii="Helvetica" w:hAnsi="Helvetica"/>
                <w:color w:val="auto"/>
                <w:szCs w:val="21"/>
                <w:highlight w:val="none"/>
                <w:shd w:val="clear" w:color="auto" w:fill="FFFFFF"/>
              </w:rPr>
              <w:t>需</w:t>
            </w:r>
            <w:r>
              <w:rPr>
                <w:rFonts w:hint="eastAsia" w:ascii="宋体" w:hAnsi="宋体"/>
                <w:bCs/>
                <w:color w:val="auto"/>
                <w:szCs w:val="21"/>
                <w:highlight w:val="none"/>
              </w:rPr>
              <w:t>具有信息系统安全运维和信息系统安全集成能力</w:t>
            </w:r>
            <w:r>
              <w:rPr>
                <w:rFonts w:hint="eastAsia" w:ascii="宋体" w:hAnsi="宋体" w:cs="宋体"/>
                <w:color w:val="auto"/>
                <w:szCs w:val="21"/>
                <w:highlight w:val="none"/>
              </w:rPr>
              <w:t>证书，两者同时</w:t>
            </w:r>
            <w:r>
              <w:rPr>
                <w:rFonts w:hint="eastAsia" w:ascii="宋体" w:hAnsi="宋体" w:cs="Courier New"/>
                <w:color w:val="auto"/>
                <w:szCs w:val="21"/>
                <w:highlight w:val="none"/>
              </w:rPr>
              <w:t>通过</w:t>
            </w:r>
            <w:r>
              <w:rPr>
                <w:rFonts w:hint="eastAsia" w:ascii="宋体" w:hAnsi="宋体"/>
                <w:bCs/>
                <w:color w:val="auto"/>
                <w:szCs w:val="21"/>
                <w:highlight w:val="none"/>
              </w:rPr>
              <w:t>二级（一级最高）及以上得</w:t>
            </w:r>
            <w:r>
              <w:rPr>
                <w:rFonts w:ascii="宋体" w:hAnsi="宋体"/>
                <w:bCs/>
                <w:color w:val="auto"/>
                <w:szCs w:val="21"/>
                <w:highlight w:val="none"/>
              </w:rPr>
              <w:t>0.5</w:t>
            </w:r>
            <w:r>
              <w:rPr>
                <w:rFonts w:hint="eastAsia" w:ascii="宋体" w:hAnsi="宋体"/>
                <w:bCs/>
                <w:color w:val="auto"/>
                <w:szCs w:val="21"/>
                <w:highlight w:val="none"/>
              </w:rPr>
              <w:t>分，其余不得分。要求提供证书复印件，同时加盖投标单位电子公章。</w:t>
            </w:r>
          </w:p>
          <w:p w14:paraId="4B944349">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）投标人具有有</w:t>
            </w:r>
            <w:r>
              <w:rPr>
                <w:rFonts w:hint="eastAsia" w:ascii="宋体" w:hAnsi="宋体" w:cs="Courier New"/>
                <w:color w:val="auto"/>
                <w:szCs w:val="21"/>
                <w:highlight w:val="none"/>
              </w:rPr>
              <w:t>效的</w:t>
            </w:r>
            <w:r>
              <w:rPr>
                <w:rFonts w:hint="eastAsia" w:ascii="宋体" w:hAnsi="宋体"/>
                <w:bCs/>
                <w:color w:val="auto"/>
                <w:szCs w:val="21"/>
                <w:highlight w:val="none"/>
              </w:rPr>
              <w:t>GB/T27922商品售后服务评价认证证书。投标文件中须提供有效认证证书复印件并加盖投标人电子公章，得</w:t>
            </w:r>
            <w:r>
              <w:rPr>
                <w:rFonts w:ascii="宋体" w:hAnsi="宋体"/>
                <w:bCs/>
                <w:color w:val="auto"/>
                <w:szCs w:val="21"/>
                <w:highlight w:val="none"/>
              </w:rPr>
              <w:t>0.5</w:t>
            </w:r>
            <w:r>
              <w:rPr>
                <w:rFonts w:hint="eastAsia" w:ascii="宋体" w:hAnsi="宋体"/>
                <w:bCs/>
                <w:color w:val="auto"/>
                <w:szCs w:val="21"/>
                <w:highlight w:val="none"/>
              </w:rPr>
              <w:t>分，其余不得分。</w:t>
            </w:r>
          </w:p>
          <w:p w14:paraId="0F489298">
            <w:pPr>
              <w:spacing w:after="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）202</w:t>
            </w:r>
            <w:r>
              <w:rPr>
                <w:rFonts w:ascii="宋体" w:hAnsi="宋体"/>
                <w:bCs/>
                <w:color w:val="auto"/>
                <w:szCs w:val="21"/>
                <w:highlight w:val="none"/>
              </w:rPr>
              <w:t>2</w:t>
            </w:r>
            <w:r>
              <w:rPr>
                <w:rFonts w:hint="eastAsia" w:ascii="宋体" w:hAnsi="宋体"/>
                <w:bCs/>
                <w:color w:val="auto"/>
                <w:szCs w:val="21"/>
                <w:highlight w:val="none"/>
              </w:rPr>
              <w:t>年1月1日至投标截止之日起，完成过类似信息化项目成功案例，提供合同的复印件并加盖投标单位电子公章（合同的复印件关键页面应包含甲乙方、标的货物名称、合同总金额、合同签署时间），每提供1个有效业绩得</w:t>
            </w:r>
            <w:r>
              <w:rPr>
                <w:rFonts w:ascii="宋体" w:hAnsi="宋体"/>
                <w:bCs/>
                <w:color w:val="auto"/>
                <w:szCs w:val="21"/>
                <w:highlight w:val="none"/>
              </w:rPr>
              <w:t>0.5</w:t>
            </w:r>
            <w:r>
              <w:rPr>
                <w:rFonts w:hint="eastAsia" w:ascii="宋体" w:hAnsi="宋体"/>
                <w:bCs/>
                <w:color w:val="auto"/>
                <w:szCs w:val="21"/>
                <w:highlight w:val="none"/>
              </w:rPr>
              <w:t>分，最高得</w:t>
            </w:r>
            <w:r>
              <w:rPr>
                <w:rFonts w:ascii="宋体" w:hAnsi="宋体"/>
                <w:bCs/>
                <w:color w:val="auto"/>
                <w:szCs w:val="21"/>
                <w:highlight w:val="none"/>
              </w:rPr>
              <w:t>2</w:t>
            </w:r>
            <w:r>
              <w:rPr>
                <w:rFonts w:hint="eastAsia" w:ascii="宋体" w:hAnsi="宋体"/>
                <w:bCs/>
                <w:color w:val="auto"/>
                <w:szCs w:val="21"/>
                <w:highlight w:val="none"/>
              </w:rPr>
              <w:t>分。</w:t>
            </w:r>
          </w:p>
        </w:tc>
      </w:tr>
      <w:tr w14:paraId="25FF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5" w:type="dxa"/>
            <w:vAlign w:val="center"/>
          </w:tcPr>
          <w:p w14:paraId="06721F7E">
            <w:pPr>
              <w:adjustRightInd w:val="0"/>
              <w:snapToGrid w:val="0"/>
              <w:spacing w:after="0" w:line="360" w:lineRule="exact"/>
              <w:jc w:val="center"/>
              <w:textAlignment w:val="baseline"/>
              <w:rPr>
                <w:rFonts w:ascii="宋体" w:hAnsi="宋体"/>
                <w:color w:val="auto"/>
                <w:szCs w:val="21"/>
                <w:highlight w:val="none"/>
              </w:rPr>
            </w:pPr>
            <w:r>
              <w:rPr>
                <w:rFonts w:hint="eastAsia" w:ascii="宋体" w:hAnsi="宋体"/>
                <w:color w:val="auto"/>
                <w:szCs w:val="21"/>
                <w:highlight w:val="none"/>
              </w:rPr>
              <w:t>4</w:t>
            </w:r>
          </w:p>
        </w:tc>
        <w:tc>
          <w:tcPr>
            <w:tcW w:w="846" w:type="dxa"/>
            <w:vAlign w:val="center"/>
          </w:tcPr>
          <w:p w14:paraId="00DE00D3">
            <w:pPr>
              <w:adjustRightInd w:val="0"/>
              <w:snapToGrid w:val="0"/>
              <w:spacing w:after="0" w:line="360" w:lineRule="exact"/>
              <w:jc w:val="center"/>
              <w:textAlignment w:val="baseline"/>
              <w:rPr>
                <w:rFonts w:ascii="宋体" w:hAnsi="宋体"/>
                <w:b/>
                <w:color w:val="auto"/>
                <w:szCs w:val="21"/>
                <w:highlight w:val="none"/>
              </w:rPr>
            </w:pPr>
            <w:r>
              <w:rPr>
                <w:rFonts w:hint="eastAsia" w:ascii="宋体" w:hAnsi="宋体"/>
                <w:b/>
                <w:bCs/>
                <w:color w:val="auto"/>
                <w:szCs w:val="21"/>
                <w:highlight w:val="none"/>
              </w:rPr>
              <w:t>政策分（</w:t>
            </w:r>
            <w:r>
              <w:rPr>
                <w:rFonts w:hint="eastAsia" w:ascii="宋体" w:hAnsi="宋体"/>
                <w:b/>
                <w:color w:val="auto"/>
                <w:szCs w:val="21"/>
                <w:highlight w:val="none"/>
              </w:rPr>
              <w:t>满分</w:t>
            </w:r>
            <w:r>
              <w:rPr>
                <w:rFonts w:ascii="宋体" w:hAnsi="宋体"/>
                <w:b/>
                <w:color w:val="auto"/>
                <w:szCs w:val="21"/>
                <w:highlight w:val="none"/>
                <w:u w:val="single"/>
              </w:rPr>
              <w:t>2</w:t>
            </w:r>
            <w:r>
              <w:rPr>
                <w:rFonts w:hint="eastAsia" w:ascii="宋体" w:hAnsi="宋体"/>
                <w:b/>
                <w:bCs/>
                <w:color w:val="auto"/>
                <w:szCs w:val="21"/>
                <w:highlight w:val="none"/>
              </w:rPr>
              <w:t>分）</w:t>
            </w:r>
          </w:p>
        </w:tc>
        <w:tc>
          <w:tcPr>
            <w:tcW w:w="1050" w:type="dxa"/>
            <w:vAlign w:val="center"/>
          </w:tcPr>
          <w:p w14:paraId="253D29F9">
            <w:pPr>
              <w:adjustRightInd w:val="0"/>
              <w:snapToGrid w:val="0"/>
              <w:spacing w:after="0" w:line="360" w:lineRule="exact"/>
              <w:jc w:val="left"/>
              <w:textAlignment w:val="baseline"/>
              <w:rPr>
                <w:rFonts w:ascii="宋体" w:hAnsi="宋体"/>
                <w:color w:val="auto"/>
                <w:szCs w:val="21"/>
                <w:highlight w:val="none"/>
              </w:rPr>
            </w:pPr>
            <w:r>
              <w:rPr>
                <w:rFonts w:hint="eastAsia" w:ascii="宋体" w:hAnsi="宋体"/>
                <w:color w:val="auto"/>
                <w:szCs w:val="21"/>
                <w:highlight w:val="none"/>
              </w:rPr>
              <w:t>节能、环保产品</w:t>
            </w:r>
            <w:r>
              <w:rPr>
                <w:rFonts w:hint="eastAsia" w:ascii="宋体" w:hAnsi="宋体"/>
                <w:bCs/>
                <w:color w:val="auto"/>
                <w:szCs w:val="21"/>
                <w:highlight w:val="none"/>
              </w:rPr>
              <w:t>（满分2分）</w:t>
            </w:r>
          </w:p>
        </w:tc>
        <w:tc>
          <w:tcPr>
            <w:tcW w:w="6121" w:type="dxa"/>
            <w:vAlign w:val="center"/>
          </w:tcPr>
          <w:p w14:paraId="25E0F488">
            <w:pPr>
              <w:spacing w:after="0" w:line="360" w:lineRule="exact"/>
              <w:ind w:firstLine="420"/>
              <w:rPr>
                <w:rFonts w:ascii="宋体" w:hAnsi="宋体" w:cs="Courier New"/>
                <w:bCs/>
                <w:color w:val="auto"/>
                <w:szCs w:val="21"/>
                <w:highlight w:val="none"/>
              </w:rPr>
            </w:pPr>
            <w:r>
              <w:rPr>
                <w:rFonts w:hint="eastAsia" w:ascii="宋体" w:hAnsi="宋体" w:cs="Courier New"/>
                <w:bCs/>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（1）属于财政部《节能产品政府采购品目清单》内优先采购（清单内未标注“★”的品目）的产品[投标文件中提供有效的认证证书复印件及品目清单（标注出投标产品在品目清单中所属的品目）]的得</w:t>
            </w:r>
            <w:r>
              <w:rPr>
                <w:rFonts w:ascii="宋体" w:hAnsi="宋体" w:cs="Courier New"/>
                <w:bCs/>
                <w:color w:val="auto"/>
                <w:szCs w:val="21"/>
                <w:highlight w:val="none"/>
              </w:rPr>
              <w:t>0.5</w:t>
            </w:r>
            <w:r>
              <w:rPr>
                <w:rFonts w:hint="eastAsia" w:ascii="宋体" w:hAnsi="宋体" w:cs="Courier New"/>
                <w:bCs/>
                <w:color w:val="auto"/>
                <w:szCs w:val="21"/>
                <w:highlight w:val="none"/>
              </w:rPr>
              <w:t>分，满分1分。</w:t>
            </w:r>
          </w:p>
          <w:p w14:paraId="7873FE7F">
            <w:pPr>
              <w:adjustRightInd w:val="0"/>
              <w:snapToGrid w:val="0"/>
              <w:spacing w:after="0" w:line="360" w:lineRule="exact"/>
              <w:ind w:firstLine="435"/>
              <w:textAlignment w:val="baseline"/>
              <w:rPr>
                <w:rFonts w:ascii="宋体" w:hAnsi="宋体"/>
                <w:b/>
                <w:color w:val="auto"/>
                <w:szCs w:val="21"/>
                <w:highlight w:val="none"/>
              </w:rPr>
            </w:pPr>
            <w:r>
              <w:rPr>
                <w:rFonts w:hint="eastAsia" w:ascii="宋体" w:hAnsi="宋体" w:cs="Courier New"/>
                <w:bCs/>
                <w:color w:val="auto"/>
                <w:szCs w:val="21"/>
                <w:highlight w:val="none"/>
              </w:rPr>
              <w:t>（2）属于财政部《环境标志产品政府采购品目清单》内的产品[投标文件中提供有效的认证证书复印件及品目清单（标注出投标产品在品目清单中所属的品目）]的得</w:t>
            </w:r>
            <w:r>
              <w:rPr>
                <w:rFonts w:ascii="宋体" w:hAnsi="宋体" w:cs="Courier New"/>
                <w:bCs/>
                <w:color w:val="auto"/>
                <w:szCs w:val="21"/>
                <w:highlight w:val="none"/>
              </w:rPr>
              <w:t>0.5</w:t>
            </w:r>
            <w:r>
              <w:rPr>
                <w:rFonts w:hint="eastAsia" w:ascii="宋体" w:hAnsi="宋体" w:cs="Courier New"/>
                <w:bCs/>
                <w:color w:val="auto"/>
                <w:szCs w:val="21"/>
                <w:highlight w:val="none"/>
              </w:rPr>
              <w:t>分，满分1分。</w:t>
            </w:r>
          </w:p>
        </w:tc>
      </w:tr>
      <w:tr w14:paraId="1B9E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22" w:type="dxa"/>
            <w:gridSpan w:val="4"/>
            <w:vAlign w:val="center"/>
          </w:tcPr>
          <w:p w14:paraId="09B1CD5B">
            <w:pPr>
              <w:pStyle w:val="2"/>
              <w:snapToGrid w:val="0"/>
              <w:spacing w:line="360" w:lineRule="exact"/>
              <w:rPr>
                <w:rFonts w:hAnsi="宋体"/>
                <w:b/>
                <w:bCs/>
                <w:color w:val="auto"/>
                <w:sz w:val="21"/>
                <w:highlight w:val="none"/>
              </w:rPr>
            </w:pPr>
            <w:r>
              <w:rPr>
                <w:rFonts w:hint="eastAsia" w:hAnsi="宋体"/>
                <w:b/>
                <w:bCs/>
                <w:color w:val="auto"/>
                <w:sz w:val="21"/>
                <w:highlight w:val="none"/>
              </w:rPr>
              <w:t>总得分=1+2+3+4</w:t>
            </w:r>
          </w:p>
        </w:tc>
      </w:tr>
    </w:tbl>
    <w:p w14:paraId="46CC5E0E">
      <w:pPr>
        <w:pStyle w:val="2"/>
        <w:spacing w:line="360" w:lineRule="exact"/>
        <w:ind w:firstLine="220" w:firstLineChars="100"/>
        <w:rPr>
          <w:rFonts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注：1.计分方法按四舍五入取至百分位；</w:t>
      </w:r>
    </w:p>
    <w:p w14:paraId="22910690">
      <w:pPr>
        <w:pStyle w:val="2"/>
        <w:spacing w:line="360" w:lineRule="exact"/>
        <w:ind w:firstLine="66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sz w:val="22"/>
          <w:highlight w:val="none"/>
        </w:rPr>
        <w:t xml:space="preserve"> 2.因落实政府采购政策进行价格调整的，以调整后的价格计算评标基准价和投标报价。</w:t>
      </w:r>
    </w:p>
    <w:p w14:paraId="5CE0F651">
      <w:pPr>
        <w:pStyle w:val="5"/>
        <w:keepNext w:val="0"/>
        <w:keepLines w:val="0"/>
        <w:spacing w:line="520" w:lineRule="exact"/>
        <w:jc w:val="center"/>
        <w:rPr>
          <w:rFonts w:ascii="仿宋" w:hAnsi="仿宋" w:eastAsia="仿宋" w:cs="仿宋"/>
          <w:color w:val="auto"/>
          <w:highlight w:val="none"/>
        </w:rPr>
      </w:pPr>
      <w:r>
        <w:rPr>
          <w:rFonts w:hint="eastAsia" w:ascii="仿宋" w:hAnsi="仿宋" w:eastAsia="仿宋" w:cs="仿宋"/>
          <w:color w:val="auto"/>
          <w:highlight w:val="none"/>
        </w:rPr>
        <w:br w:type="page"/>
      </w:r>
    </w:p>
    <w:p w14:paraId="4FB2AF77">
      <w:pPr>
        <w:pStyle w:val="4"/>
        <w:spacing w:line="460" w:lineRule="exact"/>
        <w:rPr>
          <w:rFonts w:ascii="宋体" w:hAnsi="宋体" w:eastAsia="宋体" w:cs="宋体"/>
          <w:color w:val="auto"/>
          <w:sz w:val="28"/>
          <w:szCs w:val="28"/>
          <w:highlight w:val="none"/>
          <w:lang w:val="zh-CN" w:bidi="zh-CN"/>
        </w:rPr>
      </w:pPr>
      <w:bookmarkStart w:id="164" w:name="_Toc30008"/>
      <w:r>
        <w:rPr>
          <w:rFonts w:hint="eastAsia" w:ascii="宋体" w:hAnsi="宋体" w:eastAsia="宋体" w:cs="宋体"/>
          <w:color w:val="auto"/>
          <w:sz w:val="28"/>
          <w:szCs w:val="28"/>
          <w:highlight w:val="none"/>
          <w:lang w:bidi="zh-CN"/>
        </w:rPr>
        <w:t>标项二：</w:t>
      </w:r>
      <w:r>
        <w:rPr>
          <w:rFonts w:hint="eastAsia" w:ascii="宋体" w:hAnsi="宋体" w:eastAsia="宋体" w:cs="宋体"/>
          <w:color w:val="auto"/>
          <w:sz w:val="28"/>
          <w:szCs w:val="28"/>
          <w:highlight w:val="none"/>
          <w:lang w:val="zh-CN" w:bidi="zh-CN"/>
        </w:rPr>
        <w:t>贵港覃塘产业园区新材料科技园重大安全风险防控项目(易燃易爆有毒有害气体泄漏探测设备)-</w:t>
      </w:r>
      <w:r>
        <w:rPr>
          <w:rFonts w:hint="eastAsia" w:ascii="宋体" w:hAnsi="宋体" w:eastAsia="宋体" w:cs="宋体"/>
          <w:color w:val="auto"/>
          <w:sz w:val="28"/>
          <w:szCs w:val="28"/>
          <w:highlight w:val="none"/>
          <w:lang w:bidi="zh-CN"/>
        </w:rPr>
        <w:t>分标2</w:t>
      </w:r>
      <w:bookmarkEnd w:id="164"/>
    </w:p>
    <w:p w14:paraId="30B201F8">
      <w:pPr>
        <w:pStyle w:val="2"/>
        <w:spacing w:line="360" w:lineRule="exact"/>
        <w:ind w:firstLine="301" w:firstLineChars="100"/>
        <w:jc w:val="center"/>
        <w:rPr>
          <w:rFonts w:asciiTheme="majorEastAsia" w:hAnsiTheme="majorEastAsia" w:eastAsiaTheme="majorEastAsia" w:cstheme="majorEastAsia"/>
          <w:bCs/>
          <w:color w:val="auto"/>
          <w:sz w:val="22"/>
          <w:highlight w:val="none"/>
        </w:rPr>
      </w:pPr>
      <w:r>
        <w:rPr>
          <w:rFonts w:hint="eastAsia" w:ascii="仿宋" w:hAnsi="仿宋" w:eastAsia="仿宋" w:cs="仿宋"/>
          <w:b/>
          <w:bCs/>
          <w:color w:val="auto"/>
          <w:sz w:val="30"/>
          <w:szCs w:val="30"/>
          <w:highlight w:val="none"/>
        </w:rPr>
        <w:t>综合评分法</w:t>
      </w:r>
    </w:p>
    <w:tbl>
      <w:tblPr>
        <w:tblStyle w:val="50"/>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46"/>
        <w:gridCol w:w="960"/>
        <w:gridCol w:w="6142"/>
      </w:tblGrid>
      <w:tr w14:paraId="29F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2" w:type="dxa"/>
            <w:gridSpan w:val="2"/>
            <w:vAlign w:val="center"/>
          </w:tcPr>
          <w:p w14:paraId="2D94C294">
            <w:pPr>
              <w:adjustRightInd w:val="0"/>
              <w:spacing w:after="0"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960" w:type="dxa"/>
            <w:vAlign w:val="center"/>
          </w:tcPr>
          <w:p w14:paraId="4A2A0791">
            <w:pPr>
              <w:adjustRightInd w:val="0"/>
              <w:spacing w:after="0" w:line="410" w:lineRule="exact"/>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6142" w:type="dxa"/>
            <w:vAlign w:val="center"/>
          </w:tcPr>
          <w:p w14:paraId="3FA70008">
            <w:pPr>
              <w:adjustRightInd w:val="0"/>
              <w:spacing w:after="0"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2B62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439E4DE">
            <w:pPr>
              <w:adjustRightInd w:val="0"/>
              <w:spacing w:line="360" w:lineRule="auto"/>
              <w:jc w:val="center"/>
              <w:textAlignment w:val="baseline"/>
              <w:rPr>
                <w:rFonts w:ascii="宋体" w:hAnsi="宋体"/>
                <w:b/>
                <w:color w:val="auto"/>
                <w:szCs w:val="21"/>
                <w:highlight w:val="none"/>
              </w:rPr>
            </w:pPr>
            <w:bookmarkStart w:id="165" w:name="OLE_LINK43" w:colFirst="3" w:colLast="3"/>
            <w:r>
              <w:rPr>
                <w:rFonts w:hint="eastAsia" w:ascii="宋体" w:hAnsi="宋体"/>
                <w:b/>
                <w:color w:val="auto"/>
                <w:szCs w:val="21"/>
                <w:highlight w:val="none"/>
              </w:rPr>
              <w:t>1</w:t>
            </w:r>
          </w:p>
        </w:tc>
        <w:tc>
          <w:tcPr>
            <w:tcW w:w="946" w:type="dxa"/>
            <w:vAlign w:val="center"/>
          </w:tcPr>
          <w:p w14:paraId="0B27D742">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价格分（满分30分）</w:t>
            </w:r>
          </w:p>
        </w:tc>
        <w:tc>
          <w:tcPr>
            <w:tcW w:w="960" w:type="dxa"/>
            <w:vAlign w:val="center"/>
          </w:tcPr>
          <w:p w14:paraId="3646782B">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6142" w:type="dxa"/>
            <w:vAlign w:val="center"/>
          </w:tcPr>
          <w:p w14:paraId="6832BF32">
            <w:pPr>
              <w:snapToGrid w:val="0"/>
              <w:spacing w:line="360" w:lineRule="auto"/>
              <w:ind w:firstLine="233" w:firstLineChars="111"/>
              <w:rPr>
                <w:rFonts w:ascii="宋体" w:hAnsi="宋体"/>
                <w:bCs/>
                <w:color w:val="auto"/>
                <w:szCs w:val="21"/>
                <w:highlight w:val="none"/>
              </w:rPr>
            </w:pPr>
            <w:bookmarkStart w:id="166" w:name="OLE_LINK45"/>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14:paraId="79BB71D3">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）政策性扣除计算方法。</w:t>
            </w:r>
          </w:p>
          <w:p w14:paraId="72A70F58">
            <w:pPr>
              <w:snapToGrid w:val="0"/>
              <w:spacing w:line="360" w:lineRule="auto"/>
              <w:ind w:firstLine="443" w:firstLineChars="211"/>
              <w:rPr>
                <w:rFonts w:ascii="宋体" w:hAnsi="宋体"/>
                <w:color w:val="auto"/>
                <w:szCs w:val="21"/>
                <w:highlight w:val="none"/>
              </w:rPr>
            </w:pPr>
            <w:r>
              <w:rPr>
                <w:rFonts w:hint="eastAsia" w:ascii="宋体" w:hAnsi="宋体"/>
                <w:bCs/>
                <w:color w:val="auto"/>
                <w:szCs w:val="21"/>
                <w:highlight w:val="none"/>
              </w:rPr>
              <w:t>根据《政府采购促进中小企业发展管理办法》（财库〔2020〕46号）、</w:t>
            </w:r>
            <w:r>
              <w:rPr>
                <w:rFonts w:hint="eastAsia" w:hAnsi="宋体"/>
                <w:color w:val="auto"/>
                <w:szCs w:val="21"/>
                <w:highlight w:val="none"/>
              </w:rPr>
              <w:t>《关于进一步加大政府采购支持中小企业力度的通知》（财库〔2022〕19号）</w:t>
            </w:r>
            <w:r>
              <w:rPr>
                <w:rFonts w:hint="eastAsia" w:ascii="宋体" w:hAnsi="宋体"/>
                <w:bCs/>
                <w:color w:val="auto"/>
                <w:szCs w:val="21"/>
                <w:highlight w:val="none"/>
              </w:rPr>
              <w:t>的规定，投标人在其投标文件中提供《中小企业声明函》，对其投标报价给予10%的扣除，扣除后的价格为评标报价，即评标报价=投标报价×（1-1</w:t>
            </w:r>
            <w:r>
              <w:rPr>
                <w:rFonts w:ascii="宋体" w:hAnsi="宋体"/>
                <w:bCs/>
                <w:color w:val="auto"/>
                <w:szCs w:val="21"/>
                <w:highlight w:val="none"/>
              </w:rPr>
              <w:t>0</w:t>
            </w:r>
            <w:r>
              <w:rPr>
                <w:rFonts w:hint="eastAsia" w:ascii="宋体" w:hAnsi="宋体"/>
                <w:bCs/>
                <w:color w:val="auto"/>
                <w:szCs w:val="21"/>
                <w:highlight w:val="none"/>
              </w:rPr>
              <w:t>%）。除上述情况外，评标报价=投标报价。</w:t>
            </w:r>
          </w:p>
          <w:p w14:paraId="71E2A5FE">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监狱企业属于小型、微型企业的，不重复享受政策。</w:t>
            </w:r>
          </w:p>
          <w:p w14:paraId="5470B835">
            <w:pPr>
              <w:snapToGrid w:val="0"/>
              <w:spacing w:line="360" w:lineRule="auto"/>
              <w:ind w:firstLine="233" w:firstLineChars="111"/>
              <w:rPr>
                <w:rFonts w:ascii="宋体" w:hAnsi="宋体"/>
                <w:color w:val="auto"/>
                <w:szCs w:val="21"/>
                <w:highlight w:val="none"/>
              </w:rPr>
            </w:pPr>
            <w:r>
              <w:rPr>
                <w:rFonts w:hint="eastAsia" w:ascii="宋体" w:hAnsi="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7B0B78F">
            <w:pPr>
              <w:snapToGrid w:val="0"/>
              <w:spacing w:after="0" w:line="360" w:lineRule="auto"/>
              <w:ind w:firstLine="233" w:firstLineChars="111"/>
              <w:rPr>
                <w:rFonts w:ascii="宋体" w:hAnsi="宋体"/>
                <w:bCs/>
                <w:color w:val="auto"/>
                <w:szCs w:val="21"/>
                <w:highlight w:val="none"/>
              </w:rPr>
            </w:pPr>
            <w:r>
              <w:rPr>
                <w:rFonts w:hint="eastAsia" w:ascii="宋体" w:hAnsi="宋体"/>
                <w:color w:val="auto"/>
                <w:szCs w:val="21"/>
                <w:highlight w:val="none"/>
              </w:rPr>
              <w:t>（5）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 6% 的扣除。</w:t>
            </w:r>
          </w:p>
          <w:p w14:paraId="08312901">
            <w:pPr>
              <w:snapToGrid w:val="0"/>
              <w:spacing w:after="0"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（6）满足招标文件要求且评标报价最低的评标报价为评标基准价，其价格分为满分。</w:t>
            </w:r>
          </w:p>
          <w:p w14:paraId="06D3873B">
            <w:pPr>
              <w:spacing w:after="0"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 xml:space="preserve">（7）价格分计算公式：        </w:t>
            </w:r>
          </w:p>
          <w:p w14:paraId="44687EFC">
            <w:pPr>
              <w:pStyle w:val="25"/>
              <w:spacing w:after="0" w:line="360" w:lineRule="auto"/>
              <w:ind w:firstLine="233" w:firstLineChars="111"/>
              <w:rPr>
                <w:rFonts w:hAnsi="宋体"/>
                <w:bCs/>
                <w:color w:val="auto"/>
                <w:sz w:val="21"/>
                <w:highlight w:val="none"/>
              </w:rPr>
            </w:pPr>
            <w:r>
              <w:rPr>
                <w:rFonts w:hint="eastAsia" w:hAnsi="宋体"/>
                <w:bCs/>
                <w:color w:val="auto"/>
                <w:sz w:val="21"/>
                <w:highlight w:val="none"/>
              </w:rPr>
              <w:t>价格分=（评标基准价／评标报价）×</w:t>
            </w:r>
            <w:r>
              <w:rPr>
                <w:rFonts w:hint="eastAsia" w:hAnsi="宋体"/>
                <w:bCs/>
                <w:color w:val="auto"/>
                <w:sz w:val="21"/>
                <w:highlight w:val="none"/>
                <w:u w:val="single"/>
              </w:rPr>
              <w:t>30</w:t>
            </w:r>
            <w:r>
              <w:rPr>
                <w:rFonts w:hint="eastAsia" w:hAnsi="宋体"/>
                <w:bCs/>
                <w:color w:val="auto"/>
                <w:sz w:val="21"/>
                <w:highlight w:val="none"/>
              </w:rPr>
              <w:t>分</w:t>
            </w:r>
          </w:p>
          <w:p w14:paraId="7ABF68E1">
            <w:pPr>
              <w:pStyle w:val="25"/>
              <w:spacing w:after="0" w:line="360" w:lineRule="auto"/>
              <w:ind w:firstLine="233" w:firstLineChars="111"/>
              <w:rPr>
                <w:rFonts w:hAnsi="宋体"/>
                <w:bCs/>
                <w:color w:val="auto"/>
                <w:sz w:val="21"/>
                <w:highlight w:val="none"/>
              </w:rPr>
            </w:pPr>
            <w:r>
              <w:rPr>
                <w:rFonts w:hint="eastAsia" w:hAnsi="宋体"/>
                <w:bCs/>
                <w:color w:val="auto"/>
                <w:sz w:val="21"/>
                <w:highlight w:val="none"/>
              </w:rPr>
              <w:t>（8）为了确保采购项目的完成质量和维护公平的竞争及合同的正常履行，根据《中华人民共和国财政部第87号令》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66"/>
          </w:p>
        </w:tc>
      </w:tr>
      <w:bookmarkEnd w:id="165"/>
      <w:tr w14:paraId="48C0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6" w:type="dxa"/>
            <w:vMerge w:val="restart"/>
            <w:vAlign w:val="center"/>
          </w:tcPr>
          <w:p w14:paraId="3EC165D6">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946" w:type="dxa"/>
            <w:vMerge w:val="restart"/>
            <w:vAlign w:val="center"/>
          </w:tcPr>
          <w:p w14:paraId="59FECD6E">
            <w:pPr>
              <w:adjustRightInd w:val="0"/>
              <w:spacing w:line="360" w:lineRule="auto"/>
              <w:ind w:left="-105" w:leftChars="-50" w:right="-105" w:rightChars="-50"/>
              <w:jc w:val="center"/>
              <w:textAlignment w:val="baseline"/>
              <w:rPr>
                <w:rFonts w:ascii="宋体" w:hAnsi="宋体"/>
                <w:b/>
                <w:bCs/>
                <w:color w:val="auto"/>
                <w:spacing w:val="-18"/>
                <w:szCs w:val="21"/>
                <w:highlight w:val="none"/>
              </w:rPr>
            </w:pPr>
            <w:r>
              <w:rPr>
                <w:rFonts w:hint="eastAsia" w:ascii="宋体" w:hAnsi="宋体"/>
                <w:b/>
                <w:bCs/>
                <w:color w:val="auto"/>
                <w:szCs w:val="21"/>
                <w:highlight w:val="none"/>
              </w:rPr>
              <w:t>技术分（满分51分）</w:t>
            </w:r>
          </w:p>
        </w:tc>
        <w:tc>
          <w:tcPr>
            <w:tcW w:w="960" w:type="dxa"/>
            <w:vAlign w:val="center"/>
          </w:tcPr>
          <w:p w14:paraId="5F374A6F">
            <w:pPr>
              <w:adjustRightInd w:val="0"/>
              <w:spacing w:line="360" w:lineRule="auto"/>
              <w:jc w:val="center"/>
              <w:textAlignment w:val="baseline"/>
              <w:rPr>
                <w:rFonts w:ascii="宋体" w:hAnsi="宋体"/>
                <w:b/>
                <w:bCs/>
                <w:color w:val="auto"/>
                <w:szCs w:val="21"/>
                <w:highlight w:val="none"/>
              </w:rPr>
            </w:pPr>
            <w:r>
              <w:rPr>
                <w:rFonts w:hint="eastAsia" w:ascii="宋体" w:hAnsi="宋体"/>
                <w:b/>
                <w:bCs/>
                <w:color w:val="auto"/>
                <w:szCs w:val="21"/>
                <w:highlight w:val="none"/>
              </w:rPr>
              <w:t>技术性能指标（满分13分）</w:t>
            </w:r>
          </w:p>
        </w:tc>
        <w:tc>
          <w:tcPr>
            <w:tcW w:w="6142" w:type="dxa"/>
            <w:vAlign w:val="center"/>
          </w:tcPr>
          <w:p w14:paraId="51A38C9B">
            <w:pPr>
              <w:pStyle w:val="25"/>
              <w:spacing w:line="360" w:lineRule="auto"/>
              <w:rPr>
                <w:rFonts w:hAnsi="宋体"/>
                <w:bCs/>
                <w:color w:val="auto"/>
                <w:sz w:val="21"/>
                <w:highlight w:val="none"/>
              </w:rPr>
            </w:pPr>
            <w:r>
              <w:rPr>
                <w:rFonts w:hint="eastAsia" w:hAnsi="宋体"/>
                <w:bCs/>
                <w:color w:val="auto"/>
                <w:sz w:val="21"/>
                <w:highlight w:val="none"/>
              </w:rPr>
              <w:t>投标人所提供的产品均能满足或优于招标文件中的技术参数要求，并按要求提供相关证明文件得13分，满分13分。</w:t>
            </w:r>
          </w:p>
          <w:p w14:paraId="54AD33AD">
            <w:pPr>
              <w:pStyle w:val="25"/>
              <w:spacing w:line="360" w:lineRule="auto"/>
              <w:rPr>
                <w:rFonts w:hAnsi="宋体"/>
                <w:b/>
                <w:color w:val="auto"/>
                <w:sz w:val="21"/>
                <w:highlight w:val="none"/>
              </w:rPr>
            </w:pPr>
            <w:r>
              <w:rPr>
                <w:rFonts w:hint="eastAsia" w:hAnsi="宋体"/>
                <w:bCs/>
                <w:color w:val="auto"/>
                <w:sz w:val="21"/>
                <w:highlight w:val="none"/>
              </w:rPr>
              <w:t>项目采购需求一览表中标注“</w:t>
            </w:r>
            <w:r>
              <w:rPr>
                <w:rFonts w:hint="eastAsia" w:hAnsi="宋体"/>
                <w:bCs/>
                <w:color w:val="auto"/>
                <w:highlight w:val="none"/>
              </w:rPr>
              <w:t>●</w:t>
            </w:r>
            <w:r>
              <w:rPr>
                <w:rFonts w:hint="eastAsia" w:hAnsi="宋体"/>
                <w:bCs/>
                <w:color w:val="auto"/>
                <w:sz w:val="21"/>
                <w:highlight w:val="none"/>
              </w:rPr>
              <w:t>”号的技术参数，为重要技术指标、功能条款，应提供由第三方检测机构出具的合格有效的检测（验）报告，否则每缺一项检测（验）报告或检测（验）报告中无体现或不完全体现的扣1分，扣完为止。</w:t>
            </w:r>
          </w:p>
        </w:tc>
      </w:tr>
      <w:tr w14:paraId="217C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56" w:type="dxa"/>
            <w:vMerge w:val="continue"/>
            <w:vAlign w:val="center"/>
          </w:tcPr>
          <w:p w14:paraId="441FE08A">
            <w:pPr>
              <w:adjustRightInd w:val="0"/>
              <w:spacing w:line="360" w:lineRule="auto"/>
              <w:jc w:val="center"/>
              <w:textAlignment w:val="baseline"/>
              <w:rPr>
                <w:rFonts w:ascii="宋体" w:hAnsi="宋体"/>
                <w:b/>
                <w:color w:val="auto"/>
                <w:szCs w:val="21"/>
                <w:highlight w:val="none"/>
              </w:rPr>
            </w:pPr>
          </w:p>
        </w:tc>
        <w:tc>
          <w:tcPr>
            <w:tcW w:w="946" w:type="dxa"/>
            <w:vMerge w:val="continue"/>
            <w:vAlign w:val="center"/>
          </w:tcPr>
          <w:p w14:paraId="2924AF73">
            <w:pPr>
              <w:adjustRightInd w:val="0"/>
              <w:spacing w:line="360" w:lineRule="auto"/>
              <w:ind w:left="-105" w:leftChars="-50" w:right="-105" w:rightChars="-50"/>
              <w:jc w:val="center"/>
              <w:textAlignment w:val="baseline"/>
              <w:rPr>
                <w:rFonts w:ascii="宋体" w:hAnsi="宋体"/>
                <w:b/>
                <w:bCs/>
                <w:color w:val="auto"/>
                <w:szCs w:val="21"/>
                <w:highlight w:val="none"/>
              </w:rPr>
            </w:pPr>
          </w:p>
        </w:tc>
        <w:tc>
          <w:tcPr>
            <w:tcW w:w="960" w:type="dxa"/>
            <w:vAlign w:val="center"/>
          </w:tcPr>
          <w:p w14:paraId="7854F839">
            <w:pPr>
              <w:adjustRightInd w:val="0"/>
              <w:spacing w:line="360" w:lineRule="auto"/>
              <w:jc w:val="center"/>
              <w:textAlignment w:val="baseline"/>
              <w:rPr>
                <w:rFonts w:ascii="宋体" w:hAnsi="宋体"/>
                <w:b/>
                <w:bCs/>
                <w:color w:val="auto"/>
                <w:szCs w:val="21"/>
                <w:highlight w:val="none"/>
              </w:rPr>
            </w:pPr>
            <w:r>
              <w:rPr>
                <w:rFonts w:hint="eastAsia" w:ascii="宋体" w:hAnsi="宋体"/>
                <w:b/>
                <w:bCs/>
                <w:color w:val="auto"/>
                <w:szCs w:val="21"/>
                <w:highlight w:val="none"/>
              </w:rPr>
              <w:t>技术方案（满分</w:t>
            </w:r>
            <w:r>
              <w:rPr>
                <w:rFonts w:ascii="宋体" w:hAnsi="宋体"/>
                <w:b/>
                <w:bCs/>
                <w:color w:val="auto"/>
                <w:szCs w:val="21"/>
                <w:highlight w:val="none"/>
              </w:rPr>
              <w:t>1</w:t>
            </w:r>
            <w:r>
              <w:rPr>
                <w:rFonts w:hint="eastAsia" w:ascii="宋体" w:hAnsi="宋体"/>
                <w:b/>
                <w:bCs/>
                <w:color w:val="auto"/>
                <w:szCs w:val="21"/>
                <w:highlight w:val="none"/>
              </w:rPr>
              <w:t>6分）</w:t>
            </w:r>
          </w:p>
        </w:tc>
        <w:tc>
          <w:tcPr>
            <w:tcW w:w="6142" w:type="dxa"/>
            <w:vAlign w:val="center"/>
          </w:tcPr>
          <w:p w14:paraId="2363E9EB">
            <w:pPr>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一档（4分）</w:t>
            </w:r>
            <w:r>
              <w:rPr>
                <w:rFonts w:hint="eastAsia" w:ascii="宋体" w:hAnsi="宋体"/>
                <w:color w:val="auto"/>
                <w:kern w:val="0"/>
                <w:szCs w:val="21"/>
                <w:highlight w:val="none"/>
              </w:rPr>
              <w:t>：对整个项目的建设背景、功能需求有初步的分析；对项目有一定的理解；技术方案内容简单，不完全符合项目需求。</w:t>
            </w:r>
          </w:p>
          <w:p w14:paraId="23598EA6">
            <w:pPr>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二档（8分）</w:t>
            </w:r>
            <w:r>
              <w:rPr>
                <w:rFonts w:hint="eastAsia" w:ascii="宋体" w:hAnsi="宋体"/>
                <w:color w:val="auto"/>
                <w:kern w:val="0"/>
                <w:szCs w:val="21"/>
                <w:highlight w:val="none"/>
              </w:rPr>
              <w:t>：对整个项目的建设背景、功能需求有较全面的分析；对项目理解较全面、准确；技术方案内容较全面、合理，基本符合项目需求。</w:t>
            </w:r>
          </w:p>
          <w:p w14:paraId="0C4FB361">
            <w:pPr>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三档（12分）</w:t>
            </w:r>
            <w:r>
              <w:rPr>
                <w:rFonts w:hint="eastAsia" w:ascii="宋体" w:hAnsi="宋体"/>
                <w:color w:val="auto"/>
                <w:kern w:val="0"/>
                <w:szCs w:val="21"/>
                <w:highlight w:val="none"/>
              </w:rPr>
              <w:t>：对整个项目的建设背景、功能需求有详细的分析；对项目理解全面、准确；技术方案内容较详细、有一定的针对性；技术方案设计较合理、总体框架结构较清晰，对关键技术点描述较全面。</w:t>
            </w:r>
          </w:p>
          <w:p w14:paraId="48DE554F">
            <w:pPr>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四档（16分）：</w:t>
            </w:r>
            <w:r>
              <w:rPr>
                <w:rFonts w:hint="eastAsia" w:ascii="宋体" w:hAnsi="宋体"/>
                <w:color w:val="auto"/>
                <w:kern w:val="0"/>
                <w:szCs w:val="21"/>
                <w:highlight w:val="none"/>
              </w:rPr>
              <w:t>对整个项目的建设背景、功能需求有深入的分析；对项目有深刻、全面的理解；技术方案内容翔实、可行、针对性强；技术方案设计合理、总体框架清晰，采用的技术路线成熟、有针对性，对功能设计和关键技术点描述全面。</w:t>
            </w:r>
          </w:p>
        </w:tc>
      </w:tr>
      <w:tr w14:paraId="520E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56" w:type="dxa"/>
            <w:vMerge w:val="continue"/>
            <w:vAlign w:val="center"/>
          </w:tcPr>
          <w:p w14:paraId="46B97FEE">
            <w:pPr>
              <w:spacing w:line="360" w:lineRule="auto"/>
              <w:jc w:val="center"/>
              <w:rPr>
                <w:rFonts w:ascii="宋体" w:hAnsi="宋体"/>
                <w:b/>
                <w:color w:val="auto"/>
                <w:szCs w:val="21"/>
                <w:highlight w:val="none"/>
              </w:rPr>
            </w:pPr>
          </w:p>
        </w:tc>
        <w:tc>
          <w:tcPr>
            <w:tcW w:w="946" w:type="dxa"/>
            <w:vMerge w:val="continue"/>
            <w:vAlign w:val="center"/>
          </w:tcPr>
          <w:p w14:paraId="538FC83D">
            <w:pPr>
              <w:spacing w:line="360" w:lineRule="auto"/>
              <w:jc w:val="center"/>
              <w:rPr>
                <w:rFonts w:ascii="宋体" w:hAnsi="宋体"/>
                <w:b/>
                <w:bCs/>
                <w:color w:val="auto"/>
                <w:szCs w:val="21"/>
                <w:highlight w:val="none"/>
              </w:rPr>
            </w:pPr>
          </w:p>
        </w:tc>
        <w:tc>
          <w:tcPr>
            <w:tcW w:w="960" w:type="dxa"/>
            <w:tcMar>
              <w:left w:w="57" w:type="dxa"/>
              <w:right w:w="57" w:type="dxa"/>
            </w:tcMar>
            <w:vAlign w:val="center"/>
          </w:tcPr>
          <w:p w14:paraId="36CF9050">
            <w:pPr>
              <w:adjustRightInd w:val="0"/>
              <w:spacing w:line="360" w:lineRule="auto"/>
              <w:jc w:val="center"/>
              <w:textAlignment w:val="baseline"/>
              <w:rPr>
                <w:rFonts w:ascii="宋体" w:hAnsi="宋体"/>
                <w:b/>
                <w:bCs/>
                <w:color w:val="auto"/>
                <w:szCs w:val="21"/>
                <w:highlight w:val="none"/>
              </w:rPr>
            </w:pPr>
            <w:r>
              <w:rPr>
                <w:rFonts w:hint="eastAsia" w:ascii="宋体" w:hAnsi="宋体"/>
                <w:b/>
                <w:bCs/>
                <w:color w:val="auto"/>
                <w:szCs w:val="21"/>
                <w:highlight w:val="none"/>
              </w:rPr>
              <w:t>项目实施组织方案（满分22分）</w:t>
            </w:r>
          </w:p>
          <w:p w14:paraId="03A2E990">
            <w:pPr>
              <w:adjustRightInd w:val="0"/>
              <w:spacing w:line="360" w:lineRule="auto"/>
              <w:jc w:val="center"/>
              <w:textAlignment w:val="baseline"/>
              <w:rPr>
                <w:rFonts w:ascii="宋体" w:hAnsi="宋体"/>
                <w:b/>
                <w:bCs/>
                <w:color w:val="auto"/>
                <w:szCs w:val="21"/>
                <w:highlight w:val="none"/>
              </w:rPr>
            </w:pPr>
          </w:p>
        </w:tc>
        <w:tc>
          <w:tcPr>
            <w:tcW w:w="6142" w:type="dxa"/>
            <w:vAlign w:val="center"/>
          </w:tcPr>
          <w:p w14:paraId="5140390A">
            <w:pPr>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一档（5分）：</w:t>
            </w:r>
            <w:r>
              <w:rPr>
                <w:rFonts w:hint="eastAsia" w:ascii="宋体" w:hAnsi="宋体"/>
                <w:color w:val="auto"/>
                <w:kern w:val="0"/>
                <w:szCs w:val="21"/>
                <w:highlight w:val="none"/>
              </w:rPr>
              <w:t>实施方案描述不全面，无法满足项目需求。</w:t>
            </w:r>
          </w:p>
          <w:p w14:paraId="23A02C0D">
            <w:pPr>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二档（10分）</w:t>
            </w:r>
            <w:r>
              <w:rPr>
                <w:rFonts w:hint="eastAsia" w:ascii="宋体" w:hAnsi="宋体"/>
                <w:color w:val="auto"/>
                <w:kern w:val="0"/>
                <w:szCs w:val="21"/>
                <w:highlight w:val="none"/>
              </w:rPr>
              <w:t>：实施方案简单，保证项目实施的技术力量安排基本满足要求；技术服务、技术培训的服务内容和措施较简单。</w:t>
            </w:r>
          </w:p>
          <w:p w14:paraId="0C68F3D0">
            <w:pPr>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三档（15分）：</w:t>
            </w:r>
            <w:r>
              <w:rPr>
                <w:rFonts w:hint="eastAsia" w:ascii="宋体" w:hAnsi="宋体"/>
                <w:color w:val="auto"/>
                <w:kern w:val="0"/>
                <w:szCs w:val="21"/>
                <w:highlight w:val="none"/>
              </w:rPr>
              <w:t>实施方案较详细</w:t>
            </w:r>
            <w:r>
              <w:rPr>
                <w:rFonts w:hint="eastAsia" w:ascii="宋体" w:hAnsi="宋体" w:cs="宋体"/>
                <w:color w:val="auto"/>
                <w:highlight w:val="none"/>
              </w:rPr>
              <w:t>，能基本符合本项目的建设内容、建设目标要求；有较详细的组织保障措施；有较详细的施工进度计划及设备的安装调试方法；整体实施管理计划较详细、可行性较高；进度管理措施和质量管控措施较详细。技术培训计划和培训内容较全面。</w:t>
            </w:r>
          </w:p>
          <w:p w14:paraId="0628FC37">
            <w:pPr>
              <w:spacing w:line="400" w:lineRule="exact"/>
              <w:ind w:firstLine="422" w:firstLineChars="200"/>
              <w:rPr>
                <w:rFonts w:ascii="宋体" w:hAnsi="宋体"/>
                <w:color w:val="auto"/>
                <w:highlight w:val="none"/>
              </w:rPr>
            </w:pPr>
            <w:r>
              <w:rPr>
                <w:rFonts w:hint="eastAsia" w:ascii="宋体" w:hAnsi="宋体"/>
                <w:b/>
                <w:bCs/>
                <w:color w:val="auto"/>
                <w:kern w:val="0"/>
                <w:szCs w:val="21"/>
                <w:highlight w:val="none"/>
              </w:rPr>
              <w:t>四档（22分）：</w:t>
            </w:r>
            <w:r>
              <w:rPr>
                <w:rFonts w:hint="eastAsia" w:ascii="宋体" w:hAnsi="宋体" w:cs="宋体"/>
                <w:color w:val="auto"/>
                <w:highlight w:val="none"/>
              </w:rPr>
              <w:t>实施方案具体详细、可行，完全符合本项目建设内容、建设目标要求；组织保障措施全面、详细；充分理解本项目的技术要求及技术难点、重点并提出应对措施。有详细、可行的施工进度计划及设备的安装调试方法；整体实施管理计划详细、可行性高；管理措施和质量管控措施全面、详细。能够提出详细的验收标准和验收方案。技术培训计划和培训内容全面、合理。</w:t>
            </w:r>
          </w:p>
        </w:tc>
      </w:tr>
      <w:tr w14:paraId="5327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56" w:type="dxa"/>
            <w:vMerge w:val="restart"/>
            <w:vAlign w:val="center"/>
          </w:tcPr>
          <w:p w14:paraId="3F55A2FA">
            <w:pPr>
              <w:spacing w:line="360" w:lineRule="auto"/>
              <w:jc w:val="center"/>
              <w:rPr>
                <w:rFonts w:ascii="宋体" w:hAnsi="宋体"/>
                <w:b/>
                <w:color w:val="auto"/>
                <w:szCs w:val="21"/>
                <w:highlight w:val="none"/>
              </w:rPr>
            </w:pPr>
            <w:r>
              <w:rPr>
                <w:rFonts w:hint="eastAsia" w:ascii="宋体" w:hAnsi="宋体"/>
                <w:b/>
                <w:color w:val="auto"/>
                <w:szCs w:val="21"/>
                <w:highlight w:val="none"/>
              </w:rPr>
              <w:t>3</w:t>
            </w:r>
          </w:p>
        </w:tc>
        <w:tc>
          <w:tcPr>
            <w:tcW w:w="946" w:type="dxa"/>
            <w:vMerge w:val="restart"/>
            <w:vAlign w:val="center"/>
          </w:tcPr>
          <w:p w14:paraId="281F32BD">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商务资信分（满分19分）</w:t>
            </w:r>
          </w:p>
        </w:tc>
        <w:tc>
          <w:tcPr>
            <w:tcW w:w="960" w:type="dxa"/>
            <w:tcMar>
              <w:left w:w="57" w:type="dxa"/>
              <w:right w:w="57" w:type="dxa"/>
            </w:tcMar>
            <w:vAlign w:val="center"/>
          </w:tcPr>
          <w:p w14:paraId="19103149">
            <w:pPr>
              <w:spacing w:line="300" w:lineRule="exact"/>
              <w:jc w:val="center"/>
              <w:rPr>
                <w:rFonts w:ascii="宋体" w:hAnsi="宋体"/>
                <w:b/>
                <w:bCs/>
                <w:color w:val="auto"/>
                <w:szCs w:val="21"/>
                <w:highlight w:val="none"/>
              </w:rPr>
            </w:pPr>
            <w:r>
              <w:rPr>
                <w:rFonts w:hint="eastAsia" w:ascii="宋体" w:hAnsi="宋体"/>
                <w:b/>
                <w:bCs/>
                <w:color w:val="auto"/>
                <w:szCs w:val="21"/>
                <w:highlight w:val="none"/>
              </w:rPr>
              <w:t>售后服务方案(满分16分)</w:t>
            </w:r>
          </w:p>
        </w:tc>
        <w:tc>
          <w:tcPr>
            <w:tcW w:w="6142" w:type="dxa"/>
            <w:vAlign w:val="center"/>
          </w:tcPr>
          <w:p w14:paraId="52171AE2">
            <w:pPr>
              <w:ind w:firstLine="422" w:firstLineChars="200"/>
              <w:rPr>
                <w:rFonts w:ascii="宋体" w:hAnsi="宋体"/>
                <w:color w:val="auto"/>
                <w:highlight w:val="none"/>
              </w:rPr>
            </w:pPr>
            <w:r>
              <w:rPr>
                <w:rFonts w:hint="eastAsia" w:ascii="宋体" w:hAnsi="宋体"/>
                <w:b/>
                <w:bCs/>
                <w:color w:val="auto"/>
                <w:highlight w:val="none"/>
              </w:rPr>
              <w:t>一档（4分）：</w:t>
            </w:r>
            <w:r>
              <w:rPr>
                <w:rFonts w:hint="eastAsia" w:ascii="宋体" w:hAnsi="宋体"/>
                <w:color w:val="auto"/>
                <w:highlight w:val="none"/>
              </w:rPr>
              <w:t>售后服务方案论述</w:t>
            </w:r>
            <w:r>
              <w:rPr>
                <w:rFonts w:hint="eastAsia" w:ascii="宋体" w:hAnsi="宋体"/>
                <w:color w:val="auto"/>
                <w:kern w:val="0"/>
                <w:szCs w:val="21"/>
                <w:highlight w:val="none"/>
              </w:rPr>
              <w:t>不全面，无法满足项目需求</w:t>
            </w:r>
            <w:r>
              <w:rPr>
                <w:rFonts w:hint="eastAsia" w:ascii="宋体" w:hAnsi="宋体"/>
                <w:color w:val="auto"/>
                <w:highlight w:val="none"/>
              </w:rPr>
              <w:t>。</w:t>
            </w:r>
          </w:p>
          <w:p w14:paraId="5D77F31C">
            <w:pPr>
              <w:ind w:firstLine="422" w:firstLineChars="200"/>
              <w:rPr>
                <w:rFonts w:ascii="宋体" w:hAnsi="宋体" w:cs="宋体"/>
                <w:color w:val="auto"/>
                <w:highlight w:val="none"/>
              </w:rPr>
            </w:pPr>
            <w:r>
              <w:rPr>
                <w:rFonts w:hint="eastAsia" w:ascii="宋体" w:hAnsi="宋体"/>
                <w:b/>
                <w:bCs/>
                <w:color w:val="auto"/>
                <w:highlight w:val="none"/>
              </w:rPr>
              <w:t>二档（8分）：</w:t>
            </w:r>
            <w:r>
              <w:rPr>
                <w:rFonts w:hint="eastAsia" w:ascii="宋体" w:hAnsi="宋体" w:cs="宋体"/>
                <w:color w:val="auto"/>
                <w:highlight w:val="none"/>
              </w:rPr>
              <w:t>售后服务方案较全面，售后保障措施表述较清晰。售后响应时间和质保期满足招标文件要求；故障解决方案不够全面，保修和维修方案较简单。运维方案较简单。</w:t>
            </w:r>
          </w:p>
          <w:p w14:paraId="13B452E0">
            <w:pPr>
              <w:ind w:firstLine="422" w:firstLineChars="200"/>
              <w:rPr>
                <w:rFonts w:ascii="宋体" w:hAnsi="宋体"/>
                <w:color w:val="auto"/>
                <w:highlight w:val="none"/>
              </w:rPr>
            </w:pPr>
            <w:r>
              <w:rPr>
                <w:rFonts w:hint="eastAsia" w:ascii="宋体" w:hAnsi="宋体"/>
                <w:b/>
                <w:bCs/>
                <w:color w:val="auto"/>
                <w:highlight w:val="none"/>
              </w:rPr>
              <w:t>三档（12分）</w:t>
            </w:r>
            <w:r>
              <w:rPr>
                <w:rFonts w:hint="eastAsia" w:ascii="宋体" w:hAnsi="宋体"/>
                <w:color w:val="auto"/>
                <w:highlight w:val="none"/>
              </w:rPr>
              <w:t>：售后服务方案比较细致、合理、可行；售后服务人员配置较好；保障响应措施较有力；售后保障措施较具体、全面；售后响应时间和质保期满足招标文件要求；故障解决方案可行、针对性较强；保修和维修方案较详细。运维方案具体、可行性高。</w:t>
            </w:r>
          </w:p>
          <w:p w14:paraId="341A7EC4">
            <w:pPr>
              <w:ind w:firstLine="422" w:firstLineChars="200"/>
              <w:rPr>
                <w:rFonts w:ascii="宋体" w:hAnsi="宋体"/>
                <w:color w:val="auto"/>
                <w:highlight w:val="none"/>
              </w:rPr>
            </w:pPr>
            <w:r>
              <w:rPr>
                <w:rFonts w:hint="eastAsia" w:ascii="宋体" w:hAnsi="宋体"/>
                <w:b/>
                <w:bCs/>
                <w:color w:val="auto"/>
                <w:highlight w:val="none"/>
              </w:rPr>
              <w:t>四档（</w:t>
            </w:r>
            <w:r>
              <w:rPr>
                <w:rFonts w:ascii="宋体" w:hAnsi="宋体"/>
                <w:b/>
                <w:bCs/>
                <w:color w:val="auto"/>
                <w:highlight w:val="none"/>
              </w:rPr>
              <w:t>1</w:t>
            </w:r>
            <w:r>
              <w:rPr>
                <w:rFonts w:hint="eastAsia" w:ascii="宋体" w:hAnsi="宋体"/>
                <w:b/>
                <w:bCs/>
                <w:color w:val="auto"/>
                <w:highlight w:val="none"/>
              </w:rPr>
              <w:t>6分）：</w:t>
            </w:r>
            <w:r>
              <w:rPr>
                <w:rFonts w:hint="eastAsia" w:ascii="宋体" w:hAnsi="宋体"/>
                <w:color w:val="auto"/>
                <w:highlight w:val="none"/>
              </w:rPr>
              <w:t>售后服务方案详细、合理、可行；售后服务人员配置高；售后保障措施完整、合理、先进；故障响应及达到故障现场时间优于采购要求；能够提供整体维护解决方案和运行维护应急预案；能够提供一站式、全面、专业的本地化维护服务方案；提供系统维护信息档案管；有良好的免费培训计划和定期回访计划，培训计划或方案能够满足对采购服务的维护，表述清晰详细，方案可操作性、先进性、完整性强，能够结合当前先进技术，培训内容详实。</w:t>
            </w:r>
          </w:p>
        </w:tc>
      </w:tr>
      <w:tr w14:paraId="6281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56" w:type="dxa"/>
            <w:vMerge w:val="continue"/>
            <w:vAlign w:val="center"/>
          </w:tcPr>
          <w:p w14:paraId="4DCE89B0">
            <w:pPr>
              <w:spacing w:line="360" w:lineRule="auto"/>
              <w:jc w:val="center"/>
              <w:rPr>
                <w:rFonts w:ascii="宋体" w:hAnsi="宋体"/>
                <w:b/>
                <w:color w:val="auto"/>
                <w:szCs w:val="21"/>
                <w:highlight w:val="none"/>
              </w:rPr>
            </w:pPr>
          </w:p>
        </w:tc>
        <w:tc>
          <w:tcPr>
            <w:tcW w:w="946" w:type="dxa"/>
            <w:vMerge w:val="continue"/>
            <w:vAlign w:val="center"/>
          </w:tcPr>
          <w:p w14:paraId="0B03459E">
            <w:pPr>
              <w:spacing w:line="360" w:lineRule="auto"/>
              <w:jc w:val="center"/>
              <w:rPr>
                <w:rFonts w:ascii="宋体" w:hAnsi="宋体"/>
                <w:b/>
                <w:bCs/>
                <w:color w:val="auto"/>
                <w:szCs w:val="21"/>
                <w:highlight w:val="none"/>
              </w:rPr>
            </w:pPr>
          </w:p>
        </w:tc>
        <w:tc>
          <w:tcPr>
            <w:tcW w:w="960" w:type="dxa"/>
            <w:tcMar>
              <w:left w:w="57" w:type="dxa"/>
              <w:right w:w="57" w:type="dxa"/>
            </w:tcMar>
            <w:vAlign w:val="center"/>
          </w:tcPr>
          <w:p w14:paraId="19D76C17">
            <w:pPr>
              <w:spacing w:line="300" w:lineRule="exact"/>
              <w:jc w:val="center"/>
              <w:rPr>
                <w:rFonts w:ascii="宋体" w:hAnsi="宋体"/>
                <w:b/>
                <w:bCs/>
                <w:color w:val="auto"/>
                <w:szCs w:val="21"/>
                <w:highlight w:val="none"/>
              </w:rPr>
            </w:pPr>
            <w:r>
              <w:rPr>
                <w:rFonts w:hint="eastAsia" w:ascii="宋体" w:hAnsi="宋体"/>
                <w:b/>
                <w:bCs/>
                <w:color w:val="auto"/>
                <w:szCs w:val="21"/>
                <w:highlight w:val="none"/>
              </w:rPr>
              <w:t>业绩分（满分3分）</w:t>
            </w:r>
          </w:p>
        </w:tc>
        <w:tc>
          <w:tcPr>
            <w:tcW w:w="6142" w:type="dxa"/>
            <w:vAlign w:val="center"/>
          </w:tcPr>
          <w:p w14:paraId="483831FF">
            <w:pPr>
              <w:spacing w:line="400" w:lineRule="exact"/>
              <w:ind w:firstLine="420" w:firstLineChars="200"/>
              <w:rPr>
                <w:rFonts w:ascii="宋体" w:hAnsi="宋体" w:cs="Courier New"/>
                <w:color w:val="auto"/>
                <w:szCs w:val="21"/>
                <w:highlight w:val="none"/>
              </w:rPr>
            </w:pPr>
            <w:r>
              <w:rPr>
                <w:rFonts w:hint="eastAsia" w:ascii="宋体" w:hAnsi="宋体"/>
                <w:color w:val="auto"/>
                <w:szCs w:val="21"/>
                <w:highlight w:val="none"/>
              </w:rPr>
              <w:t>2022年1月1日至投标截止时间，投标人具有类似项目业绩的得3分，满分3分。（提供中标（成交）通知书或合同内页复印件，并加盖投标人公章）</w:t>
            </w:r>
          </w:p>
        </w:tc>
      </w:tr>
      <w:tr w14:paraId="7EE5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gridSpan w:val="4"/>
            <w:vAlign w:val="center"/>
          </w:tcPr>
          <w:p w14:paraId="6240C3E7">
            <w:pPr>
              <w:pStyle w:val="25"/>
              <w:spacing w:line="360" w:lineRule="auto"/>
              <w:ind w:firstLine="420"/>
              <w:rPr>
                <w:rFonts w:hAnsi="宋体"/>
                <w:bCs/>
                <w:color w:val="auto"/>
                <w:sz w:val="21"/>
                <w:highlight w:val="none"/>
              </w:rPr>
            </w:pPr>
            <w:r>
              <w:rPr>
                <w:rFonts w:hint="eastAsia" w:hAnsi="宋体"/>
                <w:b/>
                <w:bCs/>
                <w:color w:val="auto"/>
                <w:sz w:val="21"/>
                <w:highlight w:val="none"/>
              </w:rPr>
              <w:t>总得分=1+2+3。</w:t>
            </w:r>
          </w:p>
        </w:tc>
      </w:tr>
    </w:tbl>
    <w:p w14:paraId="0D97EC70">
      <w:pPr>
        <w:pStyle w:val="2"/>
        <w:spacing w:line="360" w:lineRule="exact"/>
        <w:ind w:firstLine="220" w:firstLineChars="100"/>
        <w:rPr>
          <w:rFonts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注：1.计分方法按四舍五入取至百分位；</w:t>
      </w:r>
    </w:p>
    <w:p w14:paraId="7CFC4E69">
      <w:pPr>
        <w:pStyle w:val="2"/>
        <w:spacing w:line="360" w:lineRule="exact"/>
        <w:ind w:firstLine="660" w:firstLineChars="300"/>
        <w:rPr>
          <w:rFonts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 xml:space="preserve"> 2.因落实政府采购政策进行价格调整的，以调整后的价格计算评标基准价和投标报价。</w:t>
      </w:r>
    </w:p>
    <w:p w14:paraId="6A71E74A">
      <w:pPr>
        <w:pStyle w:val="2"/>
        <w:spacing w:line="360" w:lineRule="exact"/>
        <w:ind w:firstLine="660" w:firstLineChars="300"/>
        <w:rPr>
          <w:rFonts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br w:type="page"/>
      </w:r>
    </w:p>
    <w:p w14:paraId="77AAE58F">
      <w:pPr>
        <w:pStyle w:val="4"/>
        <w:spacing w:line="460" w:lineRule="exact"/>
        <w:rPr>
          <w:rFonts w:ascii="宋体" w:hAnsi="宋体" w:eastAsia="宋体" w:cs="宋体"/>
          <w:color w:val="auto"/>
          <w:sz w:val="28"/>
          <w:szCs w:val="28"/>
          <w:highlight w:val="none"/>
          <w:lang w:val="zh-CN" w:bidi="zh-CN"/>
        </w:rPr>
      </w:pPr>
      <w:bookmarkStart w:id="167" w:name="_Toc10528"/>
      <w:r>
        <w:rPr>
          <w:rFonts w:hint="eastAsia" w:ascii="宋体" w:hAnsi="宋体" w:eastAsia="宋体" w:cs="宋体"/>
          <w:color w:val="auto"/>
          <w:sz w:val="28"/>
          <w:szCs w:val="28"/>
          <w:highlight w:val="none"/>
          <w:lang w:bidi="zh-CN"/>
        </w:rPr>
        <w:t>标项三：</w:t>
      </w:r>
      <w:r>
        <w:rPr>
          <w:rFonts w:hint="eastAsia" w:ascii="宋体" w:hAnsi="宋体" w:eastAsia="宋体" w:cs="宋体"/>
          <w:color w:val="auto"/>
          <w:sz w:val="28"/>
          <w:szCs w:val="28"/>
          <w:highlight w:val="none"/>
          <w:lang w:val="zh-CN" w:bidi="zh-CN"/>
        </w:rPr>
        <w:t>贵港覃塘产业园区新材料科技园重大安全风险防控项目(危险化学品安全预防控制体系服务)-</w:t>
      </w:r>
      <w:r>
        <w:rPr>
          <w:rFonts w:hint="eastAsia" w:ascii="宋体" w:hAnsi="宋体" w:eastAsia="宋体" w:cs="宋体"/>
          <w:color w:val="auto"/>
          <w:sz w:val="28"/>
          <w:szCs w:val="28"/>
          <w:highlight w:val="none"/>
          <w:lang w:bidi="zh-CN"/>
        </w:rPr>
        <w:t>分标3</w:t>
      </w:r>
      <w:bookmarkEnd w:id="167"/>
    </w:p>
    <w:p w14:paraId="483D6645">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综合评分法</w:t>
      </w:r>
    </w:p>
    <w:tbl>
      <w:tblPr>
        <w:tblStyle w:val="5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30"/>
        <w:gridCol w:w="1050"/>
        <w:gridCol w:w="6164"/>
      </w:tblGrid>
      <w:tr w14:paraId="448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gridSpan w:val="2"/>
            <w:vAlign w:val="center"/>
          </w:tcPr>
          <w:p w14:paraId="3C0BC802">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050" w:type="dxa"/>
            <w:vAlign w:val="center"/>
          </w:tcPr>
          <w:p w14:paraId="4EDC74FE">
            <w:pPr>
              <w:adjustRightInd w:val="0"/>
              <w:spacing w:line="40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6164" w:type="dxa"/>
            <w:vAlign w:val="center"/>
          </w:tcPr>
          <w:p w14:paraId="1D5B00FE">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0D2A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14:paraId="38FC2F43">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830" w:type="dxa"/>
            <w:vAlign w:val="center"/>
          </w:tcPr>
          <w:p w14:paraId="73CA863A">
            <w:pPr>
              <w:adjustRightInd w:val="0"/>
              <w:spacing w:line="40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价格分（满分30分）</w:t>
            </w:r>
          </w:p>
        </w:tc>
        <w:tc>
          <w:tcPr>
            <w:tcW w:w="1050" w:type="dxa"/>
            <w:vAlign w:val="center"/>
          </w:tcPr>
          <w:p w14:paraId="6712E73F">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投标报价（30分）</w:t>
            </w:r>
          </w:p>
        </w:tc>
        <w:tc>
          <w:tcPr>
            <w:tcW w:w="6164" w:type="dxa"/>
            <w:vAlign w:val="center"/>
          </w:tcPr>
          <w:p w14:paraId="281C8C51">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14:paraId="0BC316BE">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）政策性扣除计算方法。</w:t>
            </w:r>
          </w:p>
          <w:p w14:paraId="05B17858">
            <w:pPr>
              <w:snapToGrid w:val="0"/>
              <w:spacing w:line="360" w:lineRule="auto"/>
              <w:ind w:firstLine="443" w:firstLineChars="211"/>
              <w:rPr>
                <w:rFonts w:ascii="宋体" w:hAnsi="宋体"/>
                <w:color w:val="auto"/>
                <w:szCs w:val="21"/>
                <w:highlight w:val="none"/>
              </w:rPr>
            </w:pPr>
            <w:r>
              <w:rPr>
                <w:rFonts w:hint="eastAsia" w:ascii="宋体" w:hAnsi="宋体"/>
                <w:bCs/>
                <w:color w:val="auto"/>
                <w:szCs w:val="21"/>
                <w:highlight w:val="none"/>
              </w:rPr>
              <w:t>根据《政府采购促进中小企业发展管理办法》（财库〔2020〕46号）、</w:t>
            </w:r>
            <w:r>
              <w:rPr>
                <w:rFonts w:hint="eastAsia" w:hAnsi="宋体"/>
                <w:color w:val="auto"/>
                <w:szCs w:val="21"/>
                <w:highlight w:val="none"/>
              </w:rPr>
              <w:t>《关于进一步加大政府采购支持中小企业力度的通知》（财库〔2022〕19号）</w:t>
            </w:r>
            <w:r>
              <w:rPr>
                <w:rFonts w:hint="eastAsia" w:ascii="宋体" w:hAnsi="宋体"/>
                <w:bCs/>
                <w:color w:val="auto"/>
                <w:szCs w:val="21"/>
                <w:highlight w:val="none"/>
              </w:rPr>
              <w:t>的规定，投标人在其投标文件中提供《中小企业声明函》，对其投标报价给予10%的扣除，扣除后的价格为评标报价，即评标报价=投标报价×（1-1</w:t>
            </w:r>
            <w:r>
              <w:rPr>
                <w:rFonts w:ascii="宋体" w:hAnsi="宋体"/>
                <w:bCs/>
                <w:color w:val="auto"/>
                <w:szCs w:val="21"/>
                <w:highlight w:val="none"/>
              </w:rPr>
              <w:t>0</w:t>
            </w:r>
            <w:r>
              <w:rPr>
                <w:rFonts w:hint="eastAsia" w:ascii="宋体" w:hAnsi="宋体"/>
                <w:bCs/>
                <w:color w:val="auto"/>
                <w:szCs w:val="21"/>
                <w:highlight w:val="none"/>
              </w:rPr>
              <w:t>%）。除上述情况外，评标报价=投标报价。</w:t>
            </w:r>
          </w:p>
          <w:p w14:paraId="25AF7C16">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监狱企业属于小型、微型企业的，不重复享受政策。</w:t>
            </w:r>
          </w:p>
          <w:p w14:paraId="56D47E29">
            <w:pPr>
              <w:snapToGrid w:val="0"/>
              <w:spacing w:line="360" w:lineRule="auto"/>
              <w:ind w:firstLine="233" w:firstLineChars="111"/>
              <w:rPr>
                <w:rFonts w:ascii="宋体" w:hAnsi="宋体"/>
                <w:color w:val="auto"/>
                <w:szCs w:val="21"/>
                <w:highlight w:val="none"/>
              </w:rPr>
            </w:pPr>
            <w:r>
              <w:rPr>
                <w:rFonts w:hint="eastAsia" w:ascii="宋体" w:hAnsi="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3960B71">
            <w:pPr>
              <w:snapToGrid w:val="0"/>
              <w:spacing w:after="0" w:line="360" w:lineRule="auto"/>
              <w:ind w:firstLine="233" w:firstLineChars="111"/>
              <w:rPr>
                <w:rFonts w:ascii="宋体" w:hAnsi="宋体"/>
                <w:bCs/>
                <w:color w:val="auto"/>
                <w:szCs w:val="21"/>
                <w:highlight w:val="none"/>
              </w:rPr>
            </w:pPr>
            <w:r>
              <w:rPr>
                <w:rFonts w:hint="eastAsia" w:ascii="宋体" w:hAnsi="宋体"/>
                <w:color w:val="auto"/>
                <w:szCs w:val="21"/>
                <w:highlight w:val="none"/>
              </w:rPr>
              <w:t>（5）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 6% 的扣除。</w:t>
            </w:r>
          </w:p>
          <w:p w14:paraId="42F8F732">
            <w:pPr>
              <w:snapToGrid w:val="0"/>
              <w:spacing w:after="0"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w:t>
            </w:r>
            <w:r>
              <w:rPr>
                <w:rFonts w:hint="eastAsia" w:ascii="宋体" w:hAnsi="宋体" w:cs="宋体"/>
                <w:color w:val="auto"/>
                <w:kern w:val="0"/>
                <w:szCs w:val="21"/>
                <w:highlight w:val="none"/>
              </w:rPr>
              <w:t>投标报价分采用低价优先法计算，</w:t>
            </w:r>
            <w:r>
              <w:rPr>
                <w:rFonts w:hint="eastAsia" w:ascii="宋体" w:hAnsi="宋体"/>
                <w:bCs/>
                <w:color w:val="auto"/>
                <w:szCs w:val="21"/>
                <w:highlight w:val="none"/>
              </w:rPr>
              <w:t>满足招标文件要求且评标报价最低的评标报价为评标基准价，其价格分为满分30分。</w:t>
            </w:r>
          </w:p>
          <w:p w14:paraId="4746AC43">
            <w:pPr>
              <w:spacing w:after="0"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 xml:space="preserve">（7）价格分计算公式：        </w:t>
            </w:r>
          </w:p>
          <w:p w14:paraId="62826A77">
            <w:pPr>
              <w:pStyle w:val="25"/>
              <w:spacing w:after="0" w:line="360" w:lineRule="auto"/>
              <w:ind w:firstLine="233" w:firstLineChars="111"/>
              <w:rPr>
                <w:rFonts w:hAnsi="宋体"/>
                <w:bCs/>
                <w:color w:val="auto"/>
                <w:sz w:val="21"/>
                <w:highlight w:val="none"/>
              </w:rPr>
            </w:pPr>
            <w:r>
              <w:rPr>
                <w:rFonts w:hint="eastAsia" w:hAnsi="宋体"/>
                <w:bCs/>
                <w:color w:val="auto"/>
                <w:sz w:val="21"/>
                <w:highlight w:val="none"/>
              </w:rPr>
              <w:t>价格分=（评标基准价／评标报价）×</w:t>
            </w:r>
            <w:r>
              <w:rPr>
                <w:rFonts w:hint="eastAsia" w:hAnsi="宋体"/>
                <w:bCs/>
                <w:color w:val="auto"/>
                <w:sz w:val="21"/>
                <w:highlight w:val="none"/>
                <w:u w:val="single"/>
              </w:rPr>
              <w:t>30</w:t>
            </w:r>
            <w:r>
              <w:rPr>
                <w:rFonts w:hint="eastAsia" w:hAnsi="宋体"/>
                <w:bCs/>
                <w:color w:val="auto"/>
                <w:sz w:val="21"/>
                <w:highlight w:val="none"/>
              </w:rPr>
              <w:t>分</w:t>
            </w:r>
          </w:p>
          <w:p w14:paraId="7FA511A5">
            <w:pPr>
              <w:spacing w:line="400" w:lineRule="exact"/>
              <w:ind w:firstLine="420" w:firstLineChars="200"/>
              <w:rPr>
                <w:rFonts w:ascii="宋体" w:hAnsi="宋体" w:cs="宋体"/>
                <w:bCs/>
                <w:color w:val="auto"/>
                <w:highlight w:val="none"/>
              </w:rPr>
            </w:pPr>
            <w:r>
              <w:rPr>
                <w:rFonts w:hint="eastAsia" w:hAnsi="宋体"/>
                <w:bCs/>
                <w:color w:val="auto"/>
                <w:highlight w:val="none"/>
              </w:rPr>
              <w:t>（8）为了确保采购项目的完成质量和维护公平的竞争及合同的正常履行，根据《中华人民共和国财政部第87号令》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66A8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Merge w:val="restart"/>
            <w:vAlign w:val="center"/>
          </w:tcPr>
          <w:p w14:paraId="4776D012">
            <w:pPr>
              <w:adjustRightInd w:val="0"/>
              <w:spacing w:line="400" w:lineRule="exact"/>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2</w:t>
            </w:r>
          </w:p>
        </w:tc>
        <w:tc>
          <w:tcPr>
            <w:tcW w:w="830" w:type="dxa"/>
            <w:vMerge w:val="restart"/>
            <w:vAlign w:val="center"/>
          </w:tcPr>
          <w:p w14:paraId="3BA40388">
            <w:pPr>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技术分（满分64分）</w:t>
            </w:r>
          </w:p>
        </w:tc>
        <w:tc>
          <w:tcPr>
            <w:tcW w:w="1050" w:type="dxa"/>
            <w:vAlign w:val="center"/>
          </w:tcPr>
          <w:p w14:paraId="0260CEF7">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项目理解程度（14分）</w:t>
            </w:r>
          </w:p>
        </w:tc>
        <w:tc>
          <w:tcPr>
            <w:tcW w:w="6164" w:type="dxa"/>
            <w:vAlign w:val="center"/>
          </w:tcPr>
          <w:p w14:paraId="57178D61">
            <w:pPr>
              <w:pStyle w:val="18"/>
              <w:spacing w:line="400" w:lineRule="exact"/>
              <w:rPr>
                <w:color w:val="auto"/>
                <w:highlight w:val="none"/>
              </w:rPr>
            </w:pPr>
            <w:r>
              <w:rPr>
                <w:rFonts w:hint="eastAsia"/>
                <w:b/>
                <w:bCs/>
                <w:color w:val="auto"/>
                <w:highlight w:val="none"/>
              </w:rPr>
              <w:t>一档（4分）</w:t>
            </w:r>
            <w:r>
              <w:rPr>
                <w:rFonts w:hint="eastAsia"/>
                <w:color w:val="auto"/>
                <w:highlight w:val="none"/>
              </w:rPr>
              <w:t>：对本项目需求有一定了解，理解认知度一般。</w:t>
            </w:r>
          </w:p>
          <w:p w14:paraId="7B5B3647">
            <w:pPr>
              <w:pStyle w:val="18"/>
              <w:spacing w:line="400" w:lineRule="exact"/>
              <w:rPr>
                <w:color w:val="auto"/>
                <w:highlight w:val="none"/>
              </w:rPr>
            </w:pPr>
            <w:r>
              <w:rPr>
                <w:rFonts w:hint="eastAsia"/>
                <w:b/>
                <w:bCs/>
                <w:color w:val="auto"/>
                <w:highlight w:val="none"/>
              </w:rPr>
              <w:t>二档（9分）</w:t>
            </w:r>
            <w:r>
              <w:rPr>
                <w:rFonts w:hint="eastAsia"/>
                <w:color w:val="auto"/>
                <w:highlight w:val="none"/>
              </w:rPr>
              <w:t>：对本项目需求有较全面的了解和掌握，分析内容较完整，理解认知度较高。</w:t>
            </w:r>
          </w:p>
          <w:p w14:paraId="658432AE">
            <w:pPr>
              <w:pStyle w:val="18"/>
              <w:spacing w:line="400" w:lineRule="exact"/>
              <w:rPr>
                <w:rFonts w:ascii="宋体" w:hAnsi="宋体" w:cs="宋体"/>
                <w:color w:val="auto"/>
                <w:kern w:val="0"/>
                <w:szCs w:val="21"/>
                <w:highlight w:val="none"/>
              </w:rPr>
            </w:pPr>
            <w:r>
              <w:rPr>
                <w:rFonts w:hint="eastAsia"/>
                <w:b/>
                <w:bCs/>
                <w:color w:val="auto"/>
                <w:highlight w:val="none"/>
              </w:rPr>
              <w:t>三档（14分）</w:t>
            </w:r>
            <w:r>
              <w:rPr>
                <w:rFonts w:hint="eastAsia"/>
                <w:color w:val="auto"/>
                <w:highlight w:val="none"/>
              </w:rPr>
              <w:t>：对本项目需求有非常全面的了解和掌握，分析内容非常完整，理解认知度高。</w:t>
            </w:r>
          </w:p>
        </w:tc>
      </w:tr>
      <w:tr w14:paraId="651F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5" w:type="dxa"/>
            <w:vMerge w:val="continue"/>
            <w:vAlign w:val="center"/>
          </w:tcPr>
          <w:p w14:paraId="54AA6282">
            <w:pPr>
              <w:spacing w:line="400" w:lineRule="exact"/>
              <w:ind w:firstLine="420" w:firstLineChars="200"/>
              <w:rPr>
                <w:rFonts w:ascii="宋体" w:hAnsi="宋体" w:cs="宋体"/>
                <w:color w:val="auto"/>
                <w:highlight w:val="none"/>
              </w:rPr>
            </w:pPr>
          </w:p>
        </w:tc>
        <w:tc>
          <w:tcPr>
            <w:tcW w:w="830" w:type="dxa"/>
            <w:vMerge w:val="continue"/>
            <w:vAlign w:val="center"/>
          </w:tcPr>
          <w:p w14:paraId="2C1F8810">
            <w:pPr>
              <w:spacing w:line="400" w:lineRule="exact"/>
              <w:ind w:firstLine="420" w:firstLineChars="200"/>
              <w:rPr>
                <w:rFonts w:ascii="宋体" w:hAnsi="宋体" w:cs="宋体"/>
                <w:color w:val="auto"/>
                <w:highlight w:val="none"/>
              </w:rPr>
            </w:pPr>
          </w:p>
        </w:tc>
        <w:tc>
          <w:tcPr>
            <w:tcW w:w="1050" w:type="dxa"/>
            <w:vAlign w:val="center"/>
          </w:tcPr>
          <w:p w14:paraId="6F2504EF">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技术服务方案(20分)</w:t>
            </w:r>
          </w:p>
        </w:tc>
        <w:tc>
          <w:tcPr>
            <w:tcW w:w="6164" w:type="dxa"/>
            <w:vAlign w:val="center"/>
          </w:tcPr>
          <w:p w14:paraId="406F7564">
            <w:pPr>
              <w:widowControl/>
              <w:spacing w:line="360" w:lineRule="exact"/>
              <w:rPr>
                <w:color w:val="auto"/>
                <w:kern w:val="0"/>
                <w:highlight w:val="none"/>
              </w:rPr>
            </w:pPr>
            <w:r>
              <w:rPr>
                <w:rFonts w:hint="eastAsia" w:ascii="宋体" w:hAnsi="宋体" w:cs="宋体"/>
                <w:b/>
                <w:bCs/>
                <w:color w:val="auto"/>
                <w:kern w:val="0"/>
                <w:szCs w:val="21"/>
                <w:highlight w:val="none"/>
              </w:rPr>
              <w:t>一档（5分）</w:t>
            </w:r>
            <w:r>
              <w:rPr>
                <w:rFonts w:hint="eastAsia"/>
                <w:color w:val="auto"/>
                <w:highlight w:val="none"/>
              </w:rPr>
              <w:t>：项目的服务目标、服务范围、技术服务方案</w:t>
            </w:r>
            <w:r>
              <w:rPr>
                <w:color w:val="auto"/>
                <w:kern w:val="0"/>
                <w:highlight w:val="none"/>
              </w:rPr>
              <w:t>内容不完整或缺项内容较多或阐述</w:t>
            </w:r>
            <w:r>
              <w:rPr>
                <w:rFonts w:hint="eastAsia"/>
                <w:color w:val="auto"/>
                <w:kern w:val="0"/>
                <w:highlight w:val="none"/>
              </w:rPr>
              <w:t>简单</w:t>
            </w:r>
            <w:r>
              <w:rPr>
                <w:color w:val="auto"/>
                <w:kern w:val="0"/>
                <w:highlight w:val="none"/>
              </w:rPr>
              <w:t>，可行性较差。</w:t>
            </w:r>
          </w:p>
          <w:p w14:paraId="701DEC4B">
            <w:pPr>
              <w:pStyle w:val="18"/>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二档（10分）：</w:t>
            </w:r>
            <w:r>
              <w:rPr>
                <w:rFonts w:hint="eastAsia"/>
                <w:color w:val="auto"/>
                <w:kern w:val="0"/>
                <w:highlight w:val="none"/>
              </w:rPr>
              <w:t>项目的服务目标、服务范围、技术服务方案</w:t>
            </w:r>
            <w:r>
              <w:rPr>
                <w:color w:val="auto"/>
                <w:kern w:val="0"/>
                <w:highlight w:val="none"/>
              </w:rPr>
              <w:t>内容基本完整、全面，但部分内容阐述较简单，或有部分内容缺项，可行性一般。</w:t>
            </w:r>
          </w:p>
          <w:p w14:paraId="577BB077">
            <w:pPr>
              <w:pStyle w:val="18"/>
              <w:spacing w:line="400" w:lineRule="exact"/>
              <w:rPr>
                <w:color w:val="auto"/>
                <w:highlight w:val="none"/>
              </w:rPr>
            </w:pPr>
            <w:r>
              <w:rPr>
                <w:rFonts w:hint="eastAsia" w:ascii="宋体" w:hAnsi="宋体" w:cs="宋体"/>
                <w:b/>
                <w:bCs/>
                <w:color w:val="auto"/>
                <w:kern w:val="0"/>
                <w:szCs w:val="21"/>
                <w:highlight w:val="none"/>
              </w:rPr>
              <w:t>三</w:t>
            </w:r>
            <w:r>
              <w:rPr>
                <w:rFonts w:hint="eastAsia"/>
                <w:b/>
                <w:bCs/>
                <w:color w:val="auto"/>
                <w:highlight w:val="none"/>
              </w:rPr>
              <w:t>档</w:t>
            </w:r>
            <w:r>
              <w:rPr>
                <w:rFonts w:hint="eastAsia" w:ascii="宋体" w:hAnsi="宋体" w:cs="宋体"/>
                <w:b/>
                <w:bCs/>
                <w:color w:val="auto"/>
                <w:kern w:val="0"/>
                <w:szCs w:val="21"/>
                <w:highlight w:val="none"/>
              </w:rPr>
              <w:t>（15分）</w:t>
            </w:r>
            <w:r>
              <w:rPr>
                <w:rFonts w:hint="eastAsia"/>
                <w:color w:val="auto"/>
                <w:highlight w:val="none"/>
              </w:rPr>
              <w:t>：</w:t>
            </w:r>
            <w:r>
              <w:rPr>
                <w:rFonts w:hint="eastAsia"/>
                <w:color w:val="auto"/>
                <w:kern w:val="0"/>
                <w:highlight w:val="none"/>
              </w:rPr>
              <w:t>项目的服务目标</w:t>
            </w:r>
            <w:r>
              <w:rPr>
                <w:rFonts w:hint="eastAsia"/>
                <w:color w:val="auto"/>
                <w:highlight w:val="none"/>
              </w:rPr>
              <w:t>较明确</w:t>
            </w:r>
            <w:r>
              <w:rPr>
                <w:rFonts w:hint="eastAsia"/>
                <w:color w:val="auto"/>
                <w:kern w:val="0"/>
                <w:highlight w:val="none"/>
              </w:rPr>
              <w:t>、服务范围</w:t>
            </w:r>
            <w:r>
              <w:rPr>
                <w:rFonts w:hint="eastAsia"/>
                <w:color w:val="auto"/>
                <w:highlight w:val="none"/>
              </w:rPr>
              <w:t>较清晰</w:t>
            </w:r>
            <w:r>
              <w:rPr>
                <w:rFonts w:hint="eastAsia"/>
                <w:color w:val="auto"/>
                <w:kern w:val="0"/>
                <w:highlight w:val="none"/>
              </w:rPr>
              <w:t>、技术服务方案内容较完整、全面、</w:t>
            </w:r>
            <w:r>
              <w:rPr>
                <w:rFonts w:hint="eastAsia"/>
                <w:color w:val="auto"/>
                <w:highlight w:val="none"/>
              </w:rPr>
              <w:t>详细，可行性良好；</w:t>
            </w:r>
          </w:p>
          <w:p w14:paraId="13683267">
            <w:pPr>
              <w:pStyle w:val="18"/>
              <w:spacing w:line="400" w:lineRule="exact"/>
              <w:rPr>
                <w:rFonts w:ascii="宋体" w:hAnsi="宋体" w:cs="宋体"/>
                <w:color w:val="auto"/>
                <w:kern w:val="0"/>
                <w:szCs w:val="21"/>
                <w:highlight w:val="none"/>
              </w:rPr>
            </w:pPr>
            <w:r>
              <w:rPr>
                <w:rFonts w:hint="eastAsia"/>
                <w:b/>
                <w:bCs/>
                <w:color w:val="auto"/>
                <w:highlight w:val="none"/>
              </w:rPr>
              <w:t>四档（20分）：</w:t>
            </w:r>
            <w:r>
              <w:rPr>
                <w:rFonts w:hint="eastAsia"/>
                <w:color w:val="auto"/>
                <w:kern w:val="0"/>
                <w:highlight w:val="none"/>
              </w:rPr>
              <w:t>项目的服务目标</w:t>
            </w:r>
            <w:r>
              <w:rPr>
                <w:rFonts w:hint="eastAsia"/>
                <w:color w:val="auto"/>
                <w:highlight w:val="none"/>
              </w:rPr>
              <w:t>明确</w:t>
            </w:r>
            <w:r>
              <w:rPr>
                <w:rFonts w:hint="eastAsia"/>
                <w:color w:val="auto"/>
                <w:kern w:val="0"/>
                <w:highlight w:val="none"/>
              </w:rPr>
              <w:t>、服务范围</w:t>
            </w:r>
            <w:r>
              <w:rPr>
                <w:rFonts w:hint="eastAsia"/>
                <w:color w:val="auto"/>
                <w:highlight w:val="none"/>
              </w:rPr>
              <w:t>清晰</w:t>
            </w:r>
            <w:r>
              <w:rPr>
                <w:rFonts w:hint="eastAsia"/>
                <w:color w:val="auto"/>
                <w:kern w:val="0"/>
                <w:highlight w:val="none"/>
              </w:rPr>
              <w:t>、技术服务方案内容完整、全面、详细，可行性强，</w:t>
            </w:r>
            <w:r>
              <w:rPr>
                <w:rFonts w:hint="eastAsia"/>
                <w:color w:val="auto"/>
                <w:highlight w:val="none"/>
              </w:rPr>
              <w:t>符合园区实际现状，针对性强。</w:t>
            </w:r>
          </w:p>
        </w:tc>
      </w:tr>
      <w:tr w14:paraId="3001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5" w:type="dxa"/>
            <w:vMerge w:val="continue"/>
            <w:vAlign w:val="center"/>
          </w:tcPr>
          <w:p w14:paraId="32EA291B">
            <w:pPr>
              <w:spacing w:line="400" w:lineRule="exact"/>
              <w:ind w:firstLine="420" w:firstLineChars="200"/>
              <w:rPr>
                <w:rFonts w:ascii="宋体" w:hAnsi="宋体" w:cs="宋体"/>
                <w:color w:val="auto"/>
                <w:kern w:val="0"/>
                <w:szCs w:val="21"/>
                <w:highlight w:val="none"/>
              </w:rPr>
            </w:pPr>
          </w:p>
        </w:tc>
        <w:tc>
          <w:tcPr>
            <w:tcW w:w="830" w:type="dxa"/>
            <w:vMerge w:val="continue"/>
            <w:vAlign w:val="center"/>
          </w:tcPr>
          <w:p w14:paraId="13AE5E94">
            <w:pPr>
              <w:spacing w:line="400" w:lineRule="exact"/>
              <w:ind w:firstLine="420" w:firstLineChars="200"/>
              <w:rPr>
                <w:rFonts w:ascii="宋体" w:hAnsi="宋体" w:cs="宋体"/>
                <w:color w:val="auto"/>
                <w:kern w:val="0"/>
                <w:szCs w:val="21"/>
                <w:highlight w:val="none"/>
              </w:rPr>
            </w:pPr>
          </w:p>
        </w:tc>
        <w:tc>
          <w:tcPr>
            <w:tcW w:w="1050" w:type="dxa"/>
            <w:vAlign w:val="center"/>
          </w:tcPr>
          <w:p w14:paraId="59449EF8">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项目实施组织方案(30分)</w:t>
            </w:r>
          </w:p>
        </w:tc>
        <w:tc>
          <w:tcPr>
            <w:tcW w:w="6164" w:type="dxa"/>
            <w:vAlign w:val="center"/>
          </w:tcPr>
          <w:p w14:paraId="37E73E23">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一档</w:t>
            </w:r>
            <w:r>
              <w:rPr>
                <w:rFonts w:hint="eastAsia"/>
                <w:b/>
                <w:bCs/>
                <w:color w:val="auto"/>
                <w:highlight w:val="none"/>
              </w:rPr>
              <w:t>（8分）</w:t>
            </w:r>
            <w:r>
              <w:rPr>
                <w:rFonts w:hint="eastAsia" w:ascii="宋体" w:hAnsi="宋体" w:cs="宋体"/>
                <w:color w:val="auto"/>
                <w:kern w:val="0"/>
                <w:szCs w:val="21"/>
                <w:highlight w:val="none"/>
              </w:rPr>
              <w:t>：项目组织架构混乱，职责分工不明确，无法满足项目需求；质量控制措施缺乏可操作性和针对性；资源配备严重不足，或未提供具体配置方案。</w:t>
            </w:r>
          </w:p>
          <w:p w14:paraId="42CA7AD5">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团队人员不少于4人，其中：</w:t>
            </w:r>
          </w:p>
          <w:p w14:paraId="11E3E7AE">
            <w:pPr>
              <w:numPr>
                <w:ilvl w:val="0"/>
                <w:numId w:val="12"/>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项目负责人需具有安全、化工机械、化工工艺任意一种专业的高级及以上专业技术职称，且有中级注册安全工程师（化工类）和一级安全评价师证书（人力资源和社会保障部门或中国安全生产协会发证均可）；</w:t>
            </w:r>
          </w:p>
          <w:p w14:paraId="3670569A">
            <w:pPr>
              <w:numPr>
                <w:ilvl w:val="0"/>
                <w:numId w:val="12"/>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除项目负责人外的其他技术人员需具有安全、机械（机电）、化工、电气类专业，获得高级及以上技术职称且具有安全评价师证的不少于1人。</w:t>
            </w:r>
          </w:p>
          <w:p w14:paraId="3E1A790D">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二档</w:t>
            </w:r>
            <w:r>
              <w:rPr>
                <w:rFonts w:hint="eastAsia"/>
                <w:b/>
                <w:bCs/>
                <w:color w:val="auto"/>
                <w:highlight w:val="none"/>
              </w:rPr>
              <w:t>（15分）</w:t>
            </w:r>
            <w:r>
              <w:rPr>
                <w:rFonts w:hint="eastAsia" w:ascii="宋体" w:hAnsi="宋体" w:cs="宋体"/>
                <w:color w:val="auto"/>
                <w:kern w:val="0"/>
                <w:szCs w:val="21"/>
                <w:highlight w:val="none"/>
              </w:rPr>
              <w:t>：项目组织架构基本合理，职责分工基本明确，基本符合项目规模与复杂程度要求；质量控制措施有一定的可操作性和针对性；资源配备基本满足需求。</w:t>
            </w:r>
          </w:p>
          <w:p w14:paraId="079FCB6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团队人员不少于6人，其中：</w:t>
            </w:r>
          </w:p>
          <w:p w14:paraId="361D3DA7">
            <w:pPr>
              <w:numPr>
                <w:ilvl w:val="0"/>
                <w:numId w:val="13"/>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项目负责人需具有安全、化工机械、化工工艺任意一种专业的高级及以上专业技术职称，且有中级注册安全工程师（化工类）和一级安全评价师证书（人力资源和社会保障部门或中国安全生产协会发证均可）；</w:t>
            </w:r>
          </w:p>
          <w:p w14:paraId="24C76520">
            <w:pPr>
              <w:numPr>
                <w:ilvl w:val="0"/>
                <w:numId w:val="13"/>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项目负责人需是《广西壮族自治区应急管理委员会办公室关于第一届应急管理专家库》化工组专家；</w:t>
            </w:r>
          </w:p>
          <w:p w14:paraId="79E3901D">
            <w:pPr>
              <w:numPr>
                <w:ilvl w:val="0"/>
                <w:numId w:val="13"/>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除项目负责人外的其他技术人员具有安全、机械（机电）、化工、电气类专业，获得高级及以上技术职称且具有安全评价师证的，每个专业1人，至少2人。</w:t>
            </w:r>
          </w:p>
          <w:p w14:paraId="5B1CA852">
            <w:pPr>
              <w:numPr>
                <w:ilvl w:val="0"/>
                <w:numId w:val="13"/>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除项目负责人外的团队技术人员，是中级注册安全工程师（化工类）的不少于1人（不能与第3条技术人员重复）。</w:t>
            </w:r>
          </w:p>
          <w:p w14:paraId="5B6BA670">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三档</w:t>
            </w:r>
            <w:r>
              <w:rPr>
                <w:rFonts w:hint="eastAsia"/>
                <w:b/>
                <w:bCs/>
                <w:color w:val="auto"/>
                <w:highlight w:val="none"/>
              </w:rPr>
              <w:t>（22分）</w:t>
            </w:r>
            <w:r>
              <w:rPr>
                <w:rFonts w:hint="eastAsia" w:ascii="宋体" w:hAnsi="宋体" w:cs="宋体"/>
                <w:color w:val="auto"/>
                <w:kern w:val="0"/>
                <w:szCs w:val="21"/>
                <w:highlight w:val="none"/>
              </w:rPr>
              <w:t>：项目组织架构较合理，职责分工较明确，基本符合项目规模与复杂程度要求；质量控制措施有一定的可操作性和针对性；资源配备基本满足需求。</w:t>
            </w:r>
          </w:p>
          <w:p w14:paraId="5675BF9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团队人员不少于8人，其中：</w:t>
            </w:r>
          </w:p>
          <w:p w14:paraId="07CCB852">
            <w:pPr>
              <w:numPr>
                <w:ilvl w:val="0"/>
                <w:numId w:val="14"/>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项目负责人需具有安全、化工机械、化工工艺任意一种专业的高级及以上专业技术职称，且有中级注册安全工程师（化工类）和一级安全评价师证书（人力资源和社会保障部门或中国安全生产协会发证均可）；</w:t>
            </w:r>
          </w:p>
          <w:p w14:paraId="782BC719">
            <w:pPr>
              <w:numPr>
                <w:ilvl w:val="0"/>
                <w:numId w:val="14"/>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项目负责人需是《广西壮族自治区应急管理委员会办公室关于第一届应急管理专家库》化工组专家；</w:t>
            </w:r>
          </w:p>
          <w:p w14:paraId="0C73FABE">
            <w:pPr>
              <w:numPr>
                <w:ilvl w:val="0"/>
                <w:numId w:val="14"/>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除项目负责人外的其他技术人员具有安全、机械（机电）、化工、电气类专业，获得高级及以上技术职称且具有安全评价师证的，每个专业1人，至少3人。</w:t>
            </w:r>
          </w:p>
          <w:p w14:paraId="00F3401E">
            <w:pPr>
              <w:numPr>
                <w:ilvl w:val="0"/>
                <w:numId w:val="14"/>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除项目负责人外的团队技术人员，是中级注册安全工程师（化工类）的不少于2人（不能与第3条技术人员重复）。</w:t>
            </w:r>
          </w:p>
          <w:p w14:paraId="04D0C559">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四档</w:t>
            </w:r>
            <w:r>
              <w:rPr>
                <w:rFonts w:hint="eastAsia"/>
                <w:b/>
                <w:bCs/>
                <w:color w:val="auto"/>
                <w:highlight w:val="none"/>
              </w:rPr>
              <w:t>（30分）</w:t>
            </w:r>
            <w:r>
              <w:rPr>
                <w:rFonts w:hint="eastAsia" w:ascii="宋体" w:hAnsi="宋体" w:cs="宋体"/>
                <w:color w:val="auto"/>
                <w:kern w:val="0"/>
                <w:szCs w:val="21"/>
                <w:highlight w:val="none"/>
              </w:rPr>
              <w:t>：项目组织架构清晰合理，职责分工明确，符合项目规模与复杂程度要求；质量控制措施的可操作性和针对性强；资源配备充足，人员等资源的投入与项目规模与复杂程度匹配。</w:t>
            </w:r>
          </w:p>
          <w:p w14:paraId="21EBEC3E">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团队人员不少于10人，其中：</w:t>
            </w:r>
          </w:p>
          <w:p w14:paraId="3E5B247E">
            <w:pPr>
              <w:numPr>
                <w:ilvl w:val="0"/>
                <w:numId w:val="15"/>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项目负责人需具有安全、化工机械、化工工艺任意一种专业的高级及以上专业技术职称，且有中级注册安全工程师（化工类）和一级安全评价师证书（人力资源和社会保障部门或中国安全生产协会发证均可）；</w:t>
            </w:r>
          </w:p>
          <w:p w14:paraId="2AB7FF78">
            <w:pPr>
              <w:numPr>
                <w:ilvl w:val="0"/>
                <w:numId w:val="15"/>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项目负责人需是《广西壮族自治区应急管理委员会办公室关于第一届应急管理专家库》化工组专家；</w:t>
            </w:r>
          </w:p>
          <w:p w14:paraId="277EFED0">
            <w:pPr>
              <w:numPr>
                <w:ilvl w:val="0"/>
                <w:numId w:val="15"/>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除项目负责人外的其他技术人员具有安全、机械（机电）、化工、电气类专业，获得高级及以上技术职称且具有安全评价师证的，每个专业不少于1人；</w:t>
            </w:r>
          </w:p>
          <w:p w14:paraId="7FCC67BF">
            <w:pPr>
              <w:numPr>
                <w:ilvl w:val="0"/>
                <w:numId w:val="15"/>
              </w:num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除项目负责人外的团队技术人员，是中级注册安全工程师（化工类）的不少于3人（不能与第3条技术人员重复）。</w:t>
            </w:r>
          </w:p>
          <w:p w14:paraId="2E94A03C">
            <w:pPr>
              <w:spacing w:line="400" w:lineRule="exact"/>
              <w:rPr>
                <w:rFonts w:ascii="宋体" w:hAnsi="宋体" w:cs="宋体"/>
                <w:color w:val="auto"/>
                <w:kern w:val="0"/>
                <w:szCs w:val="21"/>
                <w:highlight w:val="none"/>
              </w:rPr>
            </w:pPr>
            <w:r>
              <w:rPr>
                <w:rFonts w:hint="eastAsia" w:ascii="宋体" w:hAnsi="宋体" w:cs="宋体"/>
                <w:b/>
                <w:bCs/>
                <w:color w:val="auto"/>
                <w:kern w:val="0"/>
                <w:szCs w:val="21"/>
                <w:highlight w:val="none"/>
              </w:rPr>
              <w:t>注：【投标文件提供上述人员的职称证书、资质证书扫描件，投标人为其缴纳的投标截止时间前半年任意连续三个月的社保证明，</w:t>
            </w:r>
            <w:r>
              <w:rPr>
                <w:rFonts w:hint="eastAsia"/>
                <w:color w:val="auto"/>
                <w:highlight w:val="none"/>
              </w:rPr>
              <w:t>提供虚假证明文件的，需承担相应法律责任</w:t>
            </w:r>
            <w:r>
              <w:rPr>
                <w:rFonts w:hint="eastAsia" w:ascii="宋体" w:hAnsi="宋体" w:cs="宋体"/>
                <w:b/>
                <w:bCs/>
                <w:color w:val="auto"/>
                <w:kern w:val="0"/>
                <w:szCs w:val="21"/>
                <w:highlight w:val="none"/>
              </w:rPr>
              <w:t>】。</w:t>
            </w:r>
          </w:p>
        </w:tc>
      </w:tr>
      <w:tr w14:paraId="03B0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475" w:type="dxa"/>
            <w:vAlign w:val="center"/>
          </w:tcPr>
          <w:p w14:paraId="0AE2D44B">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830" w:type="dxa"/>
            <w:vAlign w:val="center"/>
          </w:tcPr>
          <w:p w14:paraId="4F022856">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商务资信（满分</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tc>
        <w:tc>
          <w:tcPr>
            <w:tcW w:w="1050" w:type="dxa"/>
            <w:tcMar>
              <w:left w:w="57" w:type="dxa"/>
              <w:right w:w="57" w:type="dxa"/>
            </w:tcMar>
            <w:vAlign w:val="center"/>
          </w:tcPr>
          <w:p w14:paraId="750A521F">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业绩分（满分6分）</w:t>
            </w:r>
          </w:p>
        </w:tc>
        <w:tc>
          <w:tcPr>
            <w:tcW w:w="6164" w:type="dxa"/>
            <w:vAlign w:val="center"/>
          </w:tcPr>
          <w:p w14:paraId="007194C7">
            <w:pPr>
              <w:pStyle w:val="18"/>
              <w:spacing w:line="400" w:lineRule="exact"/>
              <w:ind w:firstLine="420" w:firstLineChars="200"/>
              <w:rPr>
                <w:color w:val="auto"/>
                <w:highlight w:val="none"/>
              </w:rPr>
            </w:pPr>
            <w:r>
              <w:rPr>
                <w:rFonts w:hint="eastAsia"/>
                <w:color w:val="auto"/>
                <w:highlight w:val="none"/>
              </w:rPr>
              <w:t>投标人2022年1月1日以来，受应急管理部门委托，提供安全风险隐患排查技术服务业绩的，</w:t>
            </w:r>
            <w:r>
              <w:rPr>
                <w:rFonts w:hint="eastAsia" w:ascii="宋体" w:hAnsi="宋体" w:cs="宋体"/>
                <w:color w:val="auto"/>
                <w:highlight w:val="none"/>
              </w:rPr>
              <w:t>每项得3分，满分6分</w:t>
            </w:r>
            <w:r>
              <w:rPr>
                <w:rFonts w:hint="eastAsia"/>
                <w:color w:val="auto"/>
                <w:highlight w:val="none"/>
              </w:rPr>
              <w:t>。（提供中标通知书或服务合同扫描件，提供虚假证明文件的，需承担相应法律责任）</w:t>
            </w:r>
          </w:p>
        </w:tc>
      </w:tr>
      <w:tr w14:paraId="0A8A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4"/>
            <w:vAlign w:val="center"/>
          </w:tcPr>
          <w:p w14:paraId="5856A546">
            <w:pPr>
              <w:pStyle w:val="25"/>
              <w:spacing w:line="400" w:lineRule="exact"/>
              <w:ind w:firstLine="402" w:firstLineChars="200"/>
              <w:rPr>
                <w:rFonts w:cs="宋体"/>
                <w:bCs/>
                <w:color w:val="auto"/>
                <w:highlight w:val="none"/>
              </w:rPr>
            </w:pPr>
            <w:r>
              <w:rPr>
                <w:rFonts w:hint="eastAsia" w:cs="宋体"/>
                <w:b/>
                <w:bCs/>
                <w:color w:val="auto"/>
                <w:highlight w:val="none"/>
              </w:rPr>
              <w:t>总得分=1+2+3。</w:t>
            </w:r>
          </w:p>
        </w:tc>
      </w:tr>
    </w:tbl>
    <w:p w14:paraId="251EDB23">
      <w:pPr>
        <w:pStyle w:val="2"/>
        <w:spacing w:line="360" w:lineRule="exact"/>
        <w:ind w:firstLine="220" w:firstLineChars="100"/>
        <w:rPr>
          <w:rFonts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注：1.计分方法按四舍五入取至百分位；</w:t>
      </w:r>
    </w:p>
    <w:p w14:paraId="2C2BC77A">
      <w:pPr>
        <w:pStyle w:val="2"/>
        <w:spacing w:line="360" w:lineRule="exact"/>
        <w:ind w:firstLine="660" w:firstLineChars="300"/>
        <w:rPr>
          <w:rFonts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 xml:space="preserve"> 2.因落实政府采购政策进行价格调整的，以调整后的价格计算评标基准价和投标报价。</w:t>
      </w:r>
    </w:p>
    <w:p w14:paraId="55A950B4">
      <w:pPr>
        <w:rPr>
          <w:color w:val="auto"/>
          <w:highlight w:val="none"/>
        </w:rPr>
      </w:pPr>
    </w:p>
    <w:p w14:paraId="1689DB3C">
      <w:pPr>
        <w:rPr>
          <w:color w:val="auto"/>
          <w:highlight w:val="none"/>
        </w:rPr>
      </w:pPr>
    </w:p>
    <w:p w14:paraId="6F76B2B6">
      <w:pPr>
        <w:rPr>
          <w:color w:val="auto"/>
          <w:highlight w:val="none"/>
        </w:rPr>
      </w:pPr>
    </w:p>
    <w:p w14:paraId="637081DA">
      <w:pPr>
        <w:pStyle w:val="5"/>
        <w:keepNext w:val="0"/>
        <w:keepLines w:val="0"/>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四、中标候选人推荐原则</w:t>
      </w:r>
    </w:p>
    <w:p w14:paraId="2966C81F">
      <w:pPr>
        <w:pStyle w:val="2"/>
        <w:spacing w:line="360" w:lineRule="auto"/>
        <w:ind w:firstLine="482" w:firstLineChars="200"/>
        <w:contextualSpacing/>
        <w:rPr>
          <w:rFonts w:hAnsi="宋体"/>
          <w:b/>
          <w:bCs/>
          <w:color w:val="auto"/>
          <w:highlight w:val="none"/>
        </w:rPr>
      </w:pPr>
      <w:r>
        <w:rPr>
          <w:rFonts w:hint="eastAsia" w:hAnsi="宋体"/>
          <w:b/>
          <w:bCs/>
          <w:color w:val="auto"/>
          <w:highlight w:val="none"/>
        </w:rPr>
        <w:t>综合评分法</w:t>
      </w:r>
    </w:p>
    <w:p w14:paraId="5C6E93E5">
      <w:pPr>
        <w:pStyle w:val="2"/>
        <w:spacing w:line="360" w:lineRule="auto"/>
        <w:ind w:firstLine="480" w:firstLineChars="200"/>
        <w:contextualSpacing/>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评标委员会根据原始评标记录和评标结果编写评标报告，并通过电子交易平台向采购人、采购代理机构提交。</w:t>
      </w:r>
    </w:p>
    <w:p w14:paraId="2F92DBE9">
      <w:pPr>
        <w:pStyle w:val="2"/>
        <w:spacing w:line="360" w:lineRule="auto"/>
        <w:ind w:firstLine="480" w:firstLineChars="200"/>
        <w:contextualSpacing/>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208F3D66">
      <w:pPr>
        <w:rPr>
          <w:color w:val="auto"/>
          <w:highlight w:val="none"/>
        </w:rPr>
      </w:pPr>
    </w:p>
    <w:p w14:paraId="2E6586EE">
      <w:pPr>
        <w:spacing w:before="120" w:beforeLines="50" w:after="120" w:afterLines="50" w:line="400" w:lineRule="exact"/>
        <w:rPr>
          <w:rFonts w:ascii="仿宋" w:hAnsi="仿宋" w:eastAsia="仿宋"/>
          <w:b/>
          <w:color w:val="auto"/>
          <w:sz w:val="24"/>
          <w:highlight w:val="none"/>
        </w:rPr>
      </w:pPr>
    </w:p>
    <w:p w14:paraId="315E7360">
      <w:pPr>
        <w:spacing w:before="120" w:beforeLines="50" w:after="120" w:afterLines="50" w:line="400" w:lineRule="exact"/>
        <w:rPr>
          <w:rFonts w:ascii="仿宋" w:hAnsi="仿宋" w:eastAsia="仿宋"/>
          <w:b/>
          <w:color w:val="auto"/>
          <w:sz w:val="24"/>
          <w:highlight w:val="none"/>
        </w:rPr>
      </w:pPr>
    </w:p>
    <w:p w14:paraId="0DEF1B1E">
      <w:pPr>
        <w:spacing w:before="120" w:beforeLines="50" w:after="120" w:afterLines="50" w:line="400" w:lineRule="exact"/>
        <w:rPr>
          <w:rFonts w:ascii="仿宋" w:hAnsi="仿宋" w:eastAsia="仿宋"/>
          <w:b/>
          <w:color w:val="auto"/>
          <w:sz w:val="24"/>
          <w:highlight w:val="none"/>
        </w:rPr>
      </w:pPr>
    </w:p>
    <w:p w14:paraId="5275DB1E">
      <w:pPr>
        <w:spacing w:before="120" w:beforeLines="50" w:after="120" w:afterLines="50" w:line="400" w:lineRule="exact"/>
        <w:rPr>
          <w:rFonts w:ascii="仿宋" w:hAnsi="仿宋" w:eastAsia="仿宋"/>
          <w:b/>
          <w:color w:val="auto"/>
          <w:sz w:val="24"/>
          <w:highlight w:val="none"/>
        </w:rPr>
      </w:pPr>
    </w:p>
    <w:p w14:paraId="6ABBE5A7">
      <w:pPr>
        <w:pStyle w:val="4"/>
        <w:keepNext w:val="0"/>
        <w:keepLines w:val="0"/>
        <w:rPr>
          <w:rFonts w:ascii="仿宋" w:hAnsi="仿宋" w:eastAsia="仿宋"/>
          <w:color w:val="auto"/>
          <w:highlight w:val="none"/>
        </w:rPr>
      </w:pPr>
      <w:r>
        <w:rPr>
          <w:rFonts w:ascii="仿宋" w:hAnsi="仿宋" w:eastAsia="仿宋"/>
          <w:color w:val="auto"/>
          <w:highlight w:val="none"/>
        </w:rPr>
        <w:br w:type="page"/>
      </w:r>
    </w:p>
    <w:p w14:paraId="49370C19">
      <w:pPr>
        <w:pStyle w:val="3"/>
        <w:numPr>
          <w:ilvl w:val="0"/>
          <w:numId w:val="8"/>
        </w:num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bookmarkStart w:id="168" w:name="_Toc21169"/>
      <w:r>
        <w:rPr>
          <w:rFonts w:hint="eastAsia" w:asciiTheme="majorEastAsia" w:hAnsiTheme="majorEastAsia" w:eastAsiaTheme="majorEastAsia" w:cstheme="majorEastAsia"/>
          <w:color w:val="auto"/>
          <w:highlight w:val="none"/>
        </w:rPr>
        <w:t>拟签订的合同文本</w:t>
      </w:r>
      <w:bookmarkEnd w:id="168"/>
    </w:p>
    <w:p w14:paraId="53E31DC8">
      <w:pPr>
        <w:pStyle w:val="25"/>
        <w:spacing w:line="360" w:lineRule="auto"/>
        <w:contextualSpacing/>
        <w:jc w:val="left"/>
        <w:rPr>
          <w:rFonts w:hAnsi="宋体" w:cs="宋体"/>
          <w:color w:val="auto"/>
          <w:sz w:val="32"/>
          <w:szCs w:val="32"/>
          <w:highlight w:val="none"/>
        </w:rPr>
      </w:pPr>
      <w:bookmarkStart w:id="169" w:name="OLE_LINK52"/>
      <w:r>
        <w:rPr>
          <w:rFonts w:hint="eastAsia" w:hAnsi="宋体" w:cs="宋体"/>
          <w:color w:val="auto"/>
          <w:sz w:val="32"/>
          <w:szCs w:val="32"/>
          <w:highlight w:val="none"/>
        </w:rPr>
        <w:t>拟签订的合同文本1</w:t>
      </w:r>
    </w:p>
    <w:p w14:paraId="5069045C">
      <w:pPr>
        <w:pStyle w:val="26"/>
        <w:jc w:val="center"/>
        <w:rPr>
          <w:color w:val="auto"/>
          <w:highlight w:val="none"/>
        </w:rPr>
      </w:pPr>
      <w:r>
        <w:rPr>
          <w:rFonts w:hint="eastAsia" w:hAnsi="宋体"/>
          <w:b/>
          <w:bCs/>
          <w:color w:val="auto"/>
          <w:sz w:val="32"/>
          <w:szCs w:val="32"/>
          <w:highlight w:val="none"/>
        </w:rPr>
        <w:t>采购合同</w:t>
      </w:r>
    </w:p>
    <w:p w14:paraId="02D82C85">
      <w:pPr>
        <w:snapToGrid w:val="0"/>
        <w:spacing w:line="360" w:lineRule="exact"/>
        <w:rPr>
          <w:rFonts w:asciiTheme="majorEastAsia" w:hAnsiTheme="majorEastAsia" w:eastAsiaTheme="majorEastAsia" w:cstheme="majorEastAsia"/>
          <w:color w:val="auto"/>
          <w:szCs w:val="21"/>
          <w:highlight w:val="none"/>
        </w:rPr>
      </w:pPr>
      <w:bookmarkStart w:id="170" w:name="OLE_LINK50"/>
      <w:r>
        <w:rPr>
          <w:rFonts w:hint="eastAsia" w:asciiTheme="majorEastAsia" w:hAnsiTheme="majorEastAsia" w:eastAsiaTheme="majorEastAsia" w:cstheme="majorEastAsia"/>
          <w:color w:val="auto"/>
          <w:szCs w:val="21"/>
          <w:highlight w:val="none"/>
        </w:rPr>
        <w:t>合同编号：</w:t>
      </w:r>
    </w:p>
    <w:p w14:paraId="5A0AFEE0">
      <w:pPr>
        <w:snapToGrid w:val="0"/>
        <w:spacing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采购人（甲方）：</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 w:val="22"/>
          <w:szCs w:val="22"/>
          <w:highlight w:val="none"/>
          <w:u w:val="single"/>
        </w:rPr>
        <w:t>贵港覃塘工业园区管理委员会</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供应商（乙方）：</w:t>
      </w:r>
      <w:r>
        <w:rPr>
          <w:rFonts w:hint="eastAsia" w:asciiTheme="majorEastAsia" w:hAnsiTheme="majorEastAsia" w:eastAsiaTheme="majorEastAsia" w:cstheme="majorEastAsia"/>
          <w:color w:val="auto"/>
          <w:szCs w:val="21"/>
          <w:highlight w:val="none"/>
          <w:u w:val="single"/>
        </w:rPr>
        <w:t xml:space="preserve">                          </w:t>
      </w:r>
    </w:p>
    <w:p w14:paraId="19E708AB">
      <w:pPr>
        <w:snapToGrid w:val="0"/>
        <w:spacing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pacing w:val="-20"/>
          <w:szCs w:val="21"/>
          <w:highlight w:val="none"/>
        </w:rPr>
        <w:t>采 购 计 划 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项目名称：</w:t>
      </w:r>
      <w:r>
        <w:rPr>
          <w:rFonts w:hint="eastAsia" w:asciiTheme="majorEastAsia" w:hAnsiTheme="majorEastAsia" w:eastAsiaTheme="majorEastAsia" w:cstheme="majorEastAsia"/>
          <w:color w:val="auto"/>
          <w:szCs w:val="21"/>
          <w:highlight w:val="none"/>
          <w:u w:val="single"/>
        </w:rPr>
        <w:t xml:space="preserve">                           </w:t>
      </w:r>
    </w:p>
    <w:p w14:paraId="5FE552FA">
      <w:pPr>
        <w:snapToGrid w:val="0"/>
        <w:spacing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项目编号：</w:t>
      </w:r>
      <w:r>
        <w:rPr>
          <w:rFonts w:hint="eastAsia" w:asciiTheme="majorEastAsia" w:hAnsiTheme="majorEastAsia" w:eastAsiaTheme="majorEastAsia" w:cstheme="majorEastAsia"/>
          <w:color w:val="auto"/>
          <w:szCs w:val="21"/>
          <w:highlight w:val="none"/>
          <w:u w:val="single"/>
        </w:rPr>
        <w:t xml:space="preserve">                 </w:t>
      </w:r>
    </w:p>
    <w:p w14:paraId="69E10074">
      <w:pPr>
        <w:spacing w:line="4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标项名称：</w:t>
      </w:r>
      <w:r>
        <w:rPr>
          <w:rFonts w:hint="eastAsia" w:asciiTheme="majorEastAsia" w:hAnsiTheme="majorEastAsia" w:eastAsiaTheme="majorEastAsia" w:cstheme="majorEastAsia"/>
          <w:color w:val="auto"/>
          <w:sz w:val="22"/>
          <w:szCs w:val="22"/>
          <w:highlight w:val="none"/>
          <w:u w:val="single"/>
        </w:rPr>
        <w:t>贵港覃塘产业园区新材料科技园重大安全风险防控项目(覃塘化工园区安全风险智能化管控平台)</w:t>
      </w:r>
    </w:p>
    <w:p w14:paraId="10A7B16D">
      <w:pPr>
        <w:spacing w:line="4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分 标 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 w:val="22"/>
          <w:szCs w:val="22"/>
          <w:highlight w:val="none"/>
          <w:u w:val="single"/>
        </w:rPr>
        <w:t xml:space="preserve"> 分标1  </w:t>
      </w:r>
      <w:r>
        <w:rPr>
          <w:rFonts w:hint="eastAsia" w:asciiTheme="majorEastAsia" w:hAnsiTheme="majorEastAsia" w:eastAsiaTheme="majorEastAsia" w:cstheme="majorEastAsia"/>
          <w:color w:val="auto"/>
          <w:szCs w:val="21"/>
          <w:highlight w:val="none"/>
          <w:u w:val="single"/>
        </w:rPr>
        <w:t xml:space="preserve">  </w:t>
      </w:r>
    </w:p>
    <w:p w14:paraId="0BCC752F">
      <w:pPr>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本合同为中小企业预留合同：</w:t>
      </w:r>
      <w:r>
        <w:rPr>
          <w:rFonts w:hint="eastAsia" w:asciiTheme="majorEastAsia" w:hAnsiTheme="majorEastAsia" w:eastAsiaTheme="majorEastAsia" w:cstheme="majorEastAsia"/>
          <w:i/>
          <w:iCs/>
          <w:color w:val="auto"/>
          <w:szCs w:val="21"/>
          <w:highlight w:val="none"/>
          <w:u w:val="single"/>
        </w:rPr>
        <w:t>（是/否）</w:t>
      </w:r>
      <w:r>
        <w:rPr>
          <w:rFonts w:hint="eastAsia" w:asciiTheme="majorEastAsia" w:hAnsiTheme="majorEastAsia" w:eastAsiaTheme="majorEastAsia" w:cstheme="majorEastAsia"/>
          <w:color w:val="auto"/>
          <w:szCs w:val="21"/>
          <w:highlight w:val="none"/>
        </w:rPr>
        <w:t>。</w:t>
      </w:r>
    </w:p>
    <w:bookmarkEnd w:id="170"/>
    <w:p w14:paraId="202DD873">
      <w:pPr>
        <w:pStyle w:val="2"/>
        <w:spacing w:line="36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p>
    <w:p w14:paraId="58F007E0">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根据《中华人民共和国政府采购法》、《中华人民共和国民法典》等法律、法规规定，按照采购文件规定条款和乙方投标（竞标）承诺，甲乙双方签订本合同。</w:t>
      </w:r>
    </w:p>
    <w:p w14:paraId="07C7664C">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第一条 合同标的</w:t>
      </w:r>
    </w:p>
    <w:tbl>
      <w:tblPr>
        <w:tblStyle w:val="50"/>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090C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0" w:type="dxa"/>
            <w:tcBorders>
              <w:top w:val="single" w:color="auto" w:sz="4" w:space="0"/>
              <w:left w:val="single" w:color="auto" w:sz="4" w:space="0"/>
              <w:bottom w:val="single" w:color="auto" w:sz="4" w:space="0"/>
              <w:right w:val="single" w:color="auto" w:sz="4" w:space="0"/>
            </w:tcBorders>
            <w:vAlign w:val="center"/>
          </w:tcPr>
          <w:p w14:paraId="19EC7812">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1286" w:type="dxa"/>
            <w:tcBorders>
              <w:top w:val="single" w:color="auto" w:sz="4" w:space="0"/>
              <w:left w:val="nil"/>
              <w:bottom w:val="single" w:color="auto" w:sz="4" w:space="0"/>
              <w:right w:val="single" w:color="auto" w:sz="4" w:space="0"/>
            </w:tcBorders>
            <w:vAlign w:val="center"/>
          </w:tcPr>
          <w:p w14:paraId="3253510D">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标的的名称</w:t>
            </w:r>
          </w:p>
        </w:tc>
        <w:tc>
          <w:tcPr>
            <w:tcW w:w="1190" w:type="dxa"/>
            <w:tcBorders>
              <w:top w:val="single" w:color="auto" w:sz="4" w:space="0"/>
              <w:left w:val="nil"/>
              <w:bottom w:val="single" w:color="auto" w:sz="4" w:space="0"/>
              <w:right w:val="single" w:color="auto" w:sz="4" w:space="0"/>
            </w:tcBorders>
            <w:vAlign w:val="center"/>
          </w:tcPr>
          <w:p w14:paraId="0638088D">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商标品牌</w:t>
            </w:r>
          </w:p>
        </w:tc>
        <w:tc>
          <w:tcPr>
            <w:tcW w:w="1166" w:type="dxa"/>
            <w:tcBorders>
              <w:top w:val="single" w:color="auto" w:sz="4" w:space="0"/>
              <w:left w:val="nil"/>
              <w:bottom w:val="single" w:color="auto" w:sz="4" w:space="0"/>
              <w:right w:val="single" w:color="auto" w:sz="4" w:space="0"/>
            </w:tcBorders>
            <w:vAlign w:val="center"/>
          </w:tcPr>
          <w:p w14:paraId="5248B05B">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规格型号</w:t>
            </w:r>
          </w:p>
        </w:tc>
        <w:tc>
          <w:tcPr>
            <w:tcW w:w="1089" w:type="dxa"/>
            <w:tcBorders>
              <w:top w:val="single" w:color="auto" w:sz="4" w:space="0"/>
              <w:left w:val="nil"/>
              <w:bottom w:val="single" w:color="auto" w:sz="4" w:space="0"/>
              <w:right w:val="single" w:color="auto" w:sz="4" w:space="0"/>
            </w:tcBorders>
            <w:vAlign w:val="center"/>
          </w:tcPr>
          <w:p w14:paraId="5CD7F0D3">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生产厂家</w:t>
            </w:r>
          </w:p>
        </w:tc>
        <w:tc>
          <w:tcPr>
            <w:tcW w:w="907" w:type="dxa"/>
            <w:tcBorders>
              <w:top w:val="single" w:color="auto" w:sz="4" w:space="0"/>
              <w:left w:val="nil"/>
              <w:bottom w:val="single" w:color="auto" w:sz="4" w:space="0"/>
              <w:right w:val="single" w:color="auto" w:sz="4" w:space="0"/>
            </w:tcBorders>
            <w:vAlign w:val="center"/>
          </w:tcPr>
          <w:p w14:paraId="209AA35F">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  量</w:t>
            </w:r>
          </w:p>
        </w:tc>
        <w:tc>
          <w:tcPr>
            <w:tcW w:w="668" w:type="dxa"/>
            <w:tcBorders>
              <w:top w:val="single" w:color="auto" w:sz="4" w:space="0"/>
              <w:left w:val="nil"/>
              <w:bottom w:val="single" w:color="auto" w:sz="4" w:space="0"/>
              <w:right w:val="single" w:color="auto" w:sz="4" w:space="0"/>
            </w:tcBorders>
            <w:vAlign w:val="center"/>
          </w:tcPr>
          <w:p w14:paraId="6F8F7975">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单位</w:t>
            </w:r>
          </w:p>
        </w:tc>
        <w:tc>
          <w:tcPr>
            <w:tcW w:w="946" w:type="dxa"/>
            <w:tcBorders>
              <w:top w:val="single" w:color="auto" w:sz="4" w:space="0"/>
              <w:left w:val="nil"/>
              <w:bottom w:val="single" w:color="auto" w:sz="4" w:space="0"/>
              <w:right w:val="single" w:color="auto" w:sz="4" w:space="0"/>
            </w:tcBorders>
            <w:vAlign w:val="center"/>
          </w:tcPr>
          <w:p w14:paraId="1BDFEA36">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  价</w:t>
            </w:r>
          </w:p>
          <w:p w14:paraId="37F90CB5">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（元）</w:t>
            </w:r>
          </w:p>
        </w:tc>
        <w:tc>
          <w:tcPr>
            <w:tcW w:w="1188" w:type="dxa"/>
            <w:tcBorders>
              <w:top w:val="single" w:color="auto" w:sz="4" w:space="0"/>
              <w:left w:val="nil"/>
              <w:bottom w:val="single" w:color="auto" w:sz="4" w:space="0"/>
              <w:right w:val="single" w:color="auto" w:sz="4" w:space="0"/>
            </w:tcBorders>
            <w:vAlign w:val="center"/>
          </w:tcPr>
          <w:p w14:paraId="40DB3109">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金  额</w:t>
            </w:r>
          </w:p>
          <w:p w14:paraId="7A46EFA5">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（元）</w:t>
            </w:r>
          </w:p>
        </w:tc>
      </w:tr>
      <w:tr w14:paraId="3ABA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5B797FE5">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1286" w:type="dxa"/>
            <w:tcBorders>
              <w:top w:val="single" w:color="auto" w:sz="4" w:space="0"/>
              <w:left w:val="nil"/>
              <w:bottom w:val="single" w:color="auto" w:sz="4" w:space="0"/>
              <w:right w:val="single" w:color="auto" w:sz="4" w:space="0"/>
            </w:tcBorders>
            <w:vAlign w:val="center"/>
          </w:tcPr>
          <w:p w14:paraId="12D5EE83">
            <w:pPr>
              <w:snapToGrid w:val="0"/>
              <w:spacing w:line="360" w:lineRule="exact"/>
              <w:jc w:val="center"/>
              <w:rPr>
                <w:rFonts w:asciiTheme="majorEastAsia" w:hAnsiTheme="majorEastAsia" w:eastAsiaTheme="majorEastAsia" w:cstheme="majorEastAsia"/>
                <w:color w:val="auto"/>
                <w:szCs w:val="21"/>
                <w:highlight w:val="none"/>
              </w:rPr>
            </w:pPr>
          </w:p>
        </w:tc>
        <w:tc>
          <w:tcPr>
            <w:tcW w:w="1190" w:type="dxa"/>
            <w:tcBorders>
              <w:top w:val="single" w:color="auto" w:sz="4" w:space="0"/>
              <w:left w:val="nil"/>
              <w:bottom w:val="single" w:color="auto" w:sz="4" w:space="0"/>
              <w:right w:val="single" w:color="auto" w:sz="4" w:space="0"/>
            </w:tcBorders>
            <w:vAlign w:val="center"/>
          </w:tcPr>
          <w:p w14:paraId="356CD314">
            <w:pPr>
              <w:snapToGrid w:val="0"/>
              <w:spacing w:line="360" w:lineRule="exact"/>
              <w:jc w:val="center"/>
              <w:rPr>
                <w:rFonts w:asciiTheme="majorEastAsia" w:hAnsiTheme="majorEastAsia" w:eastAsiaTheme="majorEastAsia" w:cstheme="majorEastAsia"/>
                <w:color w:val="auto"/>
                <w:szCs w:val="21"/>
                <w:highlight w:val="none"/>
              </w:rPr>
            </w:pPr>
          </w:p>
        </w:tc>
        <w:tc>
          <w:tcPr>
            <w:tcW w:w="1166" w:type="dxa"/>
            <w:tcBorders>
              <w:top w:val="single" w:color="auto" w:sz="4" w:space="0"/>
              <w:left w:val="nil"/>
              <w:bottom w:val="single" w:color="auto" w:sz="4" w:space="0"/>
              <w:right w:val="single" w:color="auto" w:sz="4" w:space="0"/>
            </w:tcBorders>
            <w:vAlign w:val="center"/>
          </w:tcPr>
          <w:p w14:paraId="355E9A65">
            <w:pPr>
              <w:snapToGrid w:val="0"/>
              <w:spacing w:line="360" w:lineRule="exact"/>
              <w:jc w:val="center"/>
              <w:rPr>
                <w:rFonts w:asciiTheme="majorEastAsia" w:hAnsiTheme="majorEastAsia" w:eastAsiaTheme="majorEastAsia" w:cstheme="majorEastAsia"/>
                <w:color w:val="auto"/>
                <w:szCs w:val="21"/>
                <w:highlight w:val="none"/>
              </w:rPr>
            </w:pPr>
          </w:p>
        </w:tc>
        <w:tc>
          <w:tcPr>
            <w:tcW w:w="1089" w:type="dxa"/>
            <w:tcBorders>
              <w:top w:val="single" w:color="auto" w:sz="4" w:space="0"/>
              <w:left w:val="nil"/>
              <w:bottom w:val="single" w:color="auto" w:sz="4" w:space="0"/>
              <w:right w:val="single" w:color="auto" w:sz="4" w:space="0"/>
            </w:tcBorders>
            <w:vAlign w:val="center"/>
          </w:tcPr>
          <w:p w14:paraId="7DFF6AAD">
            <w:pPr>
              <w:snapToGrid w:val="0"/>
              <w:spacing w:line="360" w:lineRule="exact"/>
              <w:jc w:val="center"/>
              <w:rPr>
                <w:rFonts w:asciiTheme="majorEastAsia" w:hAnsiTheme="majorEastAsia" w:eastAsiaTheme="majorEastAsia" w:cstheme="majorEastAsia"/>
                <w:color w:val="auto"/>
                <w:szCs w:val="21"/>
                <w:highlight w:val="none"/>
              </w:rPr>
            </w:pPr>
          </w:p>
        </w:tc>
        <w:tc>
          <w:tcPr>
            <w:tcW w:w="907" w:type="dxa"/>
            <w:tcBorders>
              <w:top w:val="single" w:color="auto" w:sz="4" w:space="0"/>
              <w:left w:val="nil"/>
              <w:bottom w:val="single" w:color="auto" w:sz="4" w:space="0"/>
              <w:right w:val="single" w:color="auto" w:sz="4" w:space="0"/>
            </w:tcBorders>
            <w:vAlign w:val="center"/>
          </w:tcPr>
          <w:p w14:paraId="5E664AC8">
            <w:pPr>
              <w:snapToGrid w:val="0"/>
              <w:spacing w:line="360" w:lineRule="exact"/>
              <w:jc w:val="center"/>
              <w:rPr>
                <w:rFonts w:asciiTheme="majorEastAsia" w:hAnsiTheme="majorEastAsia" w:eastAsiaTheme="majorEastAsia" w:cstheme="majorEastAsia"/>
                <w:color w:val="auto"/>
                <w:szCs w:val="21"/>
                <w:highlight w:val="none"/>
              </w:rPr>
            </w:pPr>
          </w:p>
        </w:tc>
        <w:tc>
          <w:tcPr>
            <w:tcW w:w="668" w:type="dxa"/>
            <w:tcBorders>
              <w:top w:val="single" w:color="auto" w:sz="4" w:space="0"/>
              <w:left w:val="nil"/>
              <w:bottom w:val="single" w:color="auto" w:sz="4" w:space="0"/>
              <w:right w:val="single" w:color="auto" w:sz="4" w:space="0"/>
            </w:tcBorders>
            <w:vAlign w:val="center"/>
          </w:tcPr>
          <w:p w14:paraId="695E3990">
            <w:pPr>
              <w:snapToGrid w:val="0"/>
              <w:spacing w:line="360" w:lineRule="exact"/>
              <w:jc w:val="center"/>
              <w:rPr>
                <w:rFonts w:asciiTheme="majorEastAsia" w:hAnsiTheme="majorEastAsia" w:eastAsiaTheme="majorEastAsia" w:cstheme="majorEastAsia"/>
                <w:color w:val="auto"/>
                <w:szCs w:val="21"/>
                <w:highlight w:val="none"/>
              </w:rPr>
            </w:pPr>
          </w:p>
        </w:tc>
        <w:tc>
          <w:tcPr>
            <w:tcW w:w="946" w:type="dxa"/>
            <w:tcBorders>
              <w:top w:val="single" w:color="auto" w:sz="4" w:space="0"/>
              <w:left w:val="nil"/>
              <w:bottom w:val="single" w:color="auto" w:sz="4" w:space="0"/>
              <w:right w:val="single" w:color="auto" w:sz="4" w:space="0"/>
            </w:tcBorders>
            <w:vAlign w:val="center"/>
          </w:tcPr>
          <w:p w14:paraId="58C002A2">
            <w:pPr>
              <w:snapToGrid w:val="0"/>
              <w:spacing w:line="360" w:lineRule="exact"/>
              <w:jc w:val="center"/>
              <w:rPr>
                <w:rFonts w:asciiTheme="majorEastAsia" w:hAnsiTheme="majorEastAsia" w:eastAsiaTheme="majorEastAsia" w:cstheme="majorEastAsia"/>
                <w:color w:val="auto"/>
                <w:szCs w:val="21"/>
                <w:highlight w:val="none"/>
              </w:rPr>
            </w:pPr>
          </w:p>
        </w:tc>
        <w:tc>
          <w:tcPr>
            <w:tcW w:w="1188" w:type="dxa"/>
            <w:tcBorders>
              <w:top w:val="single" w:color="auto" w:sz="4" w:space="0"/>
              <w:left w:val="nil"/>
              <w:bottom w:val="single" w:color="auto" w:sz="4" w:space="0"/>
              <w:right w:val="single" w:color="auto" w:sz="4" w:space="0"/>
            </w:tcBorders>
            <w:vAlign w:val="center"/>
          </w:tcPr>
          <w:p w14:paraId="58B898EC">
            <w:pPr>
              <w:snapToGrid w:val="0"/>
              <w:spacing w:line="360" w:lineRule="exact"/>
              <w:jc w:val="center"/>
              <w:rPr>
                <w:rFonts w:asciiTheme="majorEastAsia" w:hAnsiTheme="majorEastAsia" w:eastAsiaTheme="majorEastAsia" w:cstheme="majorEastAsia"/>
                <w:color w:val="auto"/>
                <w:szCs w:val="21"/>
                <w:highlight w:val="none"/>
              </w:rPr>
            </w:pPr>
          </w:p>
        </w:tc>
      </w:tr>
      <w:tr w14:paraId="2FDC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7084D6DB">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1286" w:type="dxa"/>
            <w:tcBorders>
              <w:top w:val="single" w:color="auto" w:sz="4" w:space="0"/>
              <w:left w:val="nil"/>
              <w:bottom w:val="single" w:color="auto" w:sz="4" w:space="0"/>
              <w:right w:val="single" w:color="auto" w:sz="4" w:space="0"/>
            </w:tcBorders>
            <w:vAlign w:val="center"/>
          </w:tcPr>
          <w:p w14:paraId="52B9511B">
            <w:pPr>
              <w:snapToGrid w:val="0"/>
              <w:spacing w:line="360" w:lineRule="exact"/>
              <w:jc w:val="center"/>
              <w:rPr>
                <w:rFonts w:asciiTheme="majorEastAsia" w:hAnsiTheme="majorEastAsia" w:eastAsiaTheme="majorEastAsia" w:cstheme="majorEastAsia"/>
                <w:color w:val="auto"/>
                <w:szCs w:val="21"/>
                <w:highlight w:val="none"/>
              </w:rPr>
            </w:pPr>
          </w:p>
        </w:tc>
        <w:tc>
          <w:tcPr>
            <w:tcW w:w="1190" w:type="dxa"/>
            <w:tcBorders>
              <w:top w:val="single" w:color="auto" w:sz="4" w:space="0"/>
              <w:left w:val="nil"/>
              <w:bottom w:val="single" w:color="auto" w:sz="4" w:space="0"/>
              <w:right w:val="single" w:color="auto" w:sz="4" w:space="0"/>
            </w:tcBorders>
            <w:vAlign w:val="center"/>
          </w:tcPr>
          <w:p w14:paraId="4F179A2D">
            <w:pPr>
              <w:snapToGrid w:val="0"/>
              <w:spacing w:line="360" w:lineRule="exact"/>
              <w:jc w:val="center"/>
              <w:rPr>
                <w:rFonts w:asciiTheme="majorEastAsia" w:hAnsiTheme="majorEastAsia" w:eastAsiaTheme="majorEastAsia" w:cstheme="majorEastAsia"/>
                <w:color w:val="auto"/>
                <w:szCs w:val="21"/>
                <w:highlight w:val="none"/>
              </w:rPr>
            </w:pPr>
          </w:p>
        </w:tc>
        <w:tc>
          <w:tcPr>
            <w:tcW w:w="1166" w:type="dxa"/>
            <w:tcBorders>
              <w:top w:val="single" w:color="auto" w:sz="4" w:space="0"/>
              <w:left w:val="nil"/>
              <w:bottom w:val="single" w:color="auto" w:sz="4" w:space="0"/>
              <w:right w:val="single" w:color="auto" w:sz="4" w:space="0"/>
            </w:tcBorders>
            <w:vAlign w:val="center"/>
          </w:tcPr>
          <w:p w14:paraId="6CD8FC15">
            <w:pPr>
              <w:snapToGrid w:val="0"/>
              <w:spacing w:line="360" w:lineRule="exact"/>
              <w:jc w:val="center"/>
              <w:rPr>
                <w:rFonts w:asciiTheme="majorEastAsia" w:hAnsiTheme="majorEastAsia" w:eastAsiaTheme="majorEastAsia" w:cstheme="majorEastAsia"/>
                <w:color w:val="auto"/>
                <w:szCs w:val="21"/>
                <w:highlight w:val="none"/>
              </w:rPr>
            </w:pPr>
          </w:p>
        </w:tc>
        <w:tc>
          <w:tcPr>
            <w:tcW w:w="1089" w:type="dxa"/>
            <w:tcBorders>
              <w:top w:val="single" w:color="auto" w:sz="4" w:space="0"/>
              <w:left w:val="nil"/>
              <w:bottom w:val="single" w:color="auto" w:sz="4" w:space="0"/>
              <w:right w:val="single" w:color="auto" w:sz="4" w:space="0"/>
            </w:tcBorders>
            <w:vAlign w:val="center"/>
          </w:tcPr>
          <w:p w14:paraId="09C35E08">
            <w:pPr>
              <w:snapToGrid w:val="0"/>
              <w:spacing w:line="360" w:lineRule="exact"/>
              <w:jc w:val="center"/>
              <w:rPr>
                <w:rFonts w:asciiTheme="majorEastAsia" w:hAnsiTheme="majorEastAsia" w:eastAsiaTheme="majorEastAsia" w:cstheme="majorEastAsia"/>
                <w:color w:val="auto"/>
                <w:szCs w:val="21"/>
                <w:highlight w:val="none"/>
              </w:rPr>
            </w:pPr>
          </w:p>
        </w:tc>
        <w:tc>
          <w:tcPr>
            <w:tcW w:w="907" w:type="dxa"/>
            <w:tcBorders>
              <w:top w:val="single" w:color="auto" w:sz="4" w:space="0"/>
              <w:left w:val="nil"/>
              <w:bottom w:val="single" w:color="auto" w:sz="4" w:space="0"/>
              <w:right w:val="single" w:color="auto" w:sz="4" w:space="0"/>
            </w:tcBorders>
            <w:vAlign w:val="center"/>
          </w:tcPr>
          <w:p w14:paraId="7DAFA33B">
            <w:pPr>
              <w:snapToGrid w:val="0"/>
              <w:spacing w:line="360" w:lineRule="exact"/>
              <w:jc w:val="center"/>
              <w:rPr>
                <w:rFonts w:asciiTheme="majorEastAsia" w:hAnsiTheme="majorEastAsia" w:eastAsiaTheme="majorEastAsia" w:cstheme="majorEastAsia"/>
                <w:color w:val="auto"/>
                <w:szCs w:val="21"/>
                <w:highlight w:val="none"/>
              </w:rPr>
            </w:pPr>
          </w:p>
        </w:tc>
        <w:tc>
          <w:tcPr>
            <w:tcW w:w="668" w:type="dxa"/>
            <w:tcBorders>
              <w:top w:val="single" w:color="auto" w:sz="4" w:space="0"/>
              <w:left w:val="nil"/>
              <w:bottom w:val="single" w:color="auto" w:sz="4" w:space="0"/>
              <w:right w:val="single" w:color="auto" w:sz="4" w:space="0"/>
            </w:tcBorders>
            <w:vAlign w:val="center"/>
          </w:tcPr>
          <w:p w14:paraId="72234F2C">
            <w:pPr>
              <w:snapToGrid w:val="0"/>
              <w:spacing w:line="360" w:lineRule="exact"/>
              <w:jc w:val="center"/>
              <w:rPr>
                <w:rFonts w:asciiTheme="majorEastAsia" w:hAnsiTheme="majorEastAsia" w:eastAsiaTheme="majorEastAsia" w:cstheme="majorEastAsia"/>
                <w:color w:val="auto"/>
                <w:szCs w:val="21"/>
                <w:highlight w:val="none"/>
              </w:rPr>
            </w:pPr>
          </w:p>
        </w:tc>
        <w:tc>
          <w:tcPr>
            <w:tcW w:w="946" w:type="dxa"/>
            <w:tcBorders>
              <w:top w:val="single" w:color="auto" w:sz="4" w:space="0"/>
              <w:left w:val="nil"/>
              <w:bottom w:val="single" w:color="auto" w:sz="4" w:space="0"/>
              <w:right w:val="single" w:color="auto" w:sz="4" w:space="0"/>
            </w:tcBorders>
            <w:vAlign w:val="center"/>
          </w:tcPr>
          <w:p w14:paraId="28BBE4A8">
            <w:pPr>
              <w:snapToGrid w:val="0"/>
              <w:spacing w:line="360" w:lineRule="exact"/>
              <w:jc w:val="center"/>
              <w:rPr>
                <w:rFonts w:asciiTheme="majorEastAsia" w:hAnsiTheme="majorEastAsia" w:eastAsiaTheme="majorEastAsia" w:cstheme="majorEastAsia"/>
                <w:color w:val="auto"/>
                <w:szCs w:val="21"/>
                <w:highlight w:val="none"/>
              </w:rPr>
            </w:pPr>
          </w:p>
        </w:tc>
        <w:tc>
          <w:tcPr>
            <w:tcW w:w="1188" w:type="dxa"/>
            <w:tcBorders>
              <w:top w:val="single" w:color="auto" w:sz="4" w:space="0"/>
              <w:left w:val="nil"/>
              <w:bottom w:val="single" w:color="auto" w:sz="4" w:space="0"/>
              <w:right w:val="single" w:color="auto" w:sz="4" w:space="0"/>
            </w:tcBorders>
            <w:vAlign w:val="center"/>
          </w:tcPr>
          <w:p w14:paraId="36F78C8A">
            <w:pPr>
              <w:snapToGrid w:val="0"/>
              <w:spacing w:line="360" w:lineRule="exact"/>
              <w:jc w:val="center"/>
              <w:rPr>
                <w:rFonts w:asciiTheme="majorEastAsia" w:hAnsiTheme="majorEastAsia" w:eastAsiaTheme="majorEastAsia" w:cstheme="majorEastAsia"/>
                <w:color w:val="auto"/>
                <w:szCs w:val="21"/>
                <w:highlight w:val="none"/>
              </w:rPr>
            </w:pPr>
          </w:p>
        </w:tc>
      </w:tr>
      <w:tr w14:paraId="6E79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51DCBFD6">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1286" w:type="dxa"/>
            <w:tcBorders>
              <w:top w:val="single" w:color="auto" w:sz="4" w:space="0"/>
              <w:left w:val="nil"/>
              <w:bottom w:val="single" w:color="auto" w:sz="4" w:space="0"/>
              <w:right w:val="single" w:color="auto" w:sz="4" w:space="0"/>
            </w:tcBorders>
            <w:vAlign w:val="center"/>
          </w:tcPr>
          <w:p w14:paraId="658BF7A0">
            <w:pPr>
              <w:snapToGrid w:val="0"/>
              <w:spacing w:line="360" w:lineRule="exact"/>
              <w:jc w:val="center"/>
              <w:rPr>
                <w:rFonts w:asciiTheme="majorEastAsia" w:hAnsiTheme="majorEastAsia" w:eastAsiaTheme="majorEastAsia" w:cstheme="majorEastAsia"/>
                <w:color w:val="auto"/>
                <w:szCs w:val="21"/>
                <w:highlight w:val="none"/>
              </w:rPr>
            </w:pPr>
          </w:p>
        </w:tc>
        <w:tc>
          <w:tcPr>
            <w:tcW w:w="1190" w:type="dxa"/>
            <w:tcBorders>
              <w:top w:val="single" w:color="auto" w:sz="4" w:space="0"/>
              <w:left w:val="nil"/>
              <w:bottom w:val="single" w:color="auto" w:sz="4" w:space="0"/>
              <w:right w:val="single" w:color="auto" w:sz="4" w:space="0"/>
            </w:tcBorders>
            <w:vAlign w:val="center"/>
          </w:tcPr>
          <w:p w14:paraId="3260BB64">
            <w:pPr>
              <w:snapToGrid w:val="0"/>
              <w:spacing w:line="360" w:lineRule="exact"/>
              <w:jc w:val="center"/>
              <w:rPr>
                <w:rFonts w:asciiTheme="majorEastAsia" w:hAnsiTheme="majorEastAsia" w:eastAsiaTheme="majorEastAsia" w:cstheme="majorEastAsia"/>
                <w:color w:val="auto"/>
                <w:szCs w:val="21"/>
                <w:highlight w:val="none"/>
              </w:rPr>
            </w:pPr>
          </w:p>
        </w:tc>
        <w:tc>
          <w:tcPr>
            <w:tcW w:w="1166" w:type="dxa"/>
            <w:tcBorders>
              <w:top w:val="single" w:color="auto" w:sz="4" w:space="0"/>
              <w:left w:val="nil"/>
              <w:bottom w:val="single" w:color="auto" w:sz="4" w:space="0"/>
              <w:right w:val="single" w:color="auto" w:sz="4" w:space="0"/>
            </w:tcBorders>
            <w:vAlign w:val="center"/>
          </w:tcPr>
          <w:p w14:paraId="5A82A257">
            <w:pPr>
              <w:snapToGrid w:val="0"/>
              <w:spacing w:line="360" w:lineRule="exact"/>
              <w:jc w:val="center"/>
              <w:rPr>
                <w:rFonts w:asciiTheme="majorEastAsia" w:hAnsiTheme="majorEastAsia" w:eastAsiaTheme="majorEastAsia" w:cstheme="majorEastAsia"/>
                <w:color w:val="auto"/>
                <w:szCs w:val="21"/>
                <w:highlight w:val="none"/>
              </w:rPr>
            </w:pPr>
          </w:p>
        </w:tc>
        <w:tc>
          <w:tcPr>
            <w:tcW w:w="1089" w:type="dxa"/>
            <w:tcBorders>
              <w:top w:val="single" w:color="auto" w:sz="4" w:space="0"/>
              <w:left w:val="nil"/>
              <w:bottom w:val="single" w:color="auto" w:sz="4" w:space="0"/>
              <w:right w:val="single" w:color="auto" w:sz="4" w:space="0"/>
            </w:tcBorders>
            <w:vAlign w:val="center"/>
          </w:tcPr>
          <w:p w14:paraId="4C102367">
            <w:pPr>
              <w:snapToGrid w:val="0"/>
              <w:spacing w:line="360" w:lineRule="exact"/>
              <w:jc w:val="center"/>
              <w:rPr>
                <w:rFonts w:asciiTheme="majorEastAsia" w:hAnsiTheme="majorEastAsia" w:eastAsiaTheme="majorEastAsia" w:cstheme="majorEastAsia"/>
                <w:color w:val="auto"/>
                <w:szCs w:val="21"/>
                <w:highlight w:val="none"/>
              </w:rPr>
            </w:pPr>
          </w:p>
        </w:tc>
        <w:tc>
          <w:tcPr>
            <w:tcW w:w="907" w:type="dxa"/>
            <w:tcBorders>
              <w:top w:val="single" w:color="auto" w:sz="4" w:space="0"/>
              <w:left w:val="nil"/>
              <w:bottom w:val="single" w:color="auto" w:sz="4" w:space="0"/>
              <w:right w:val="single" w:color="auto" w:sz="4" w:space="0"/>
            </w:tcBorders>
            <w:vAlign w:val="center"/>
          </w:tcPr>
          <w:p w14:paraId="569F0954">
            <w:pPr>
              <w:snapToGrid w:val="0"/>
              <w:spacing w:line="360" w:lineRule="exact"/>
              <w:jc w:val="center"/>
              <w:rPr>
                <w:rFonts w:asciiTheme="majorEastAsia" w:hAnsiTheme="majorEastAsia" w:eastAsiaTheme="majorEastAsia" w:cstheme="majorEastAsia"/>
                <w:color w:val="auto"/>
                <w:szCs w:val="21"/>
                <w:highlight w:val="none"/>
              </w:rPr>
            </w:pPr>
          </w:p>
        </w:tc>
        <w:tc>
          <w:tcPr>
            <w:tcW w:w="668" w:type="dxa"/>
            <w:tcBorders>
              <w:top w:val="single" w:color="auto" w:sz="4" w:space="0"/>
              <w:left w:val="nil"/>
              <w:bottom w:val="single" w:color="auto" w:sz="4" w:space="0"/>
              <w:right w:val="single" w:color="auto" w:sz="4" w:space="0"/>
            </w:tcBorders>
            <w:vAlign w:val="center"/>
          </w:tcPr>
          <w:p w14:paraId="605BD203">
            <w:pPr>
              <w:snapToGrid w:val="0"/>
              <w:spacing w:line="360" w:lineRule="exact"/>
              <w:jc w:val="center"/>
              <w:rPr>
                <w:rFonts w:asciiTheme="majorEastAsia" w:hAnsiTheme="majorEastAsia" w:eastAsiaTheme="majorEastAsia" w:cstheme="majorEastAsia"/>
                <w:color w:val="auto"/>
                <w:szCs w:val="21"/>
                <w:highlight w:val="none"/>
              </w:rPr>
            </w:pPr>
          </w:p>
        </w:tc>
        <w:tc>
          <w:tcPr>
            <w:tcW w:w="946" w:type="dxa"/>
            <w:tcBorders>
              <w:top w:val="single" w:color="auto" w:sz="4" w:space="0"/>
              <w:left w:val="nil"/>
              <w:bottom w:val="single" w:color="auto" w:sz="4" w:space="0"/>
              <w:right w:val="single" w:color="auto" w:sz="4" w:space="0"/>
            </w:tcBorders>
            <w:vAlign w:val="center"/>
          </w:tcPr>
          <w:p w14:paraId="72DA548C">
            <w:pPr>
              <w:snapToGrid w:val="0"/>
              <w:spacing w:line="360" w:lineRule="exact"/>
              <w:jc w:val="center"/>
              <w:rPr>
                <w:rFonts w:asciiTheme="majorEastAsia" w:hAnsiTheme="majorEastAsia" w:eastAsiaTheme="majorEastAsia" w:cstheme="majorEastAsia"/>
                <w:color w:val="auto"/>
                <w:szCs w:val="21"/>
                <w:highlight w:val="none"/>
              </w:rPr>
            </w:pPr>
          </w:p>
        </w:tc>
        <w:tc>
          <w:tcPr>
            <w:tcW w:w="1188" w:type="dxa"/>
            <w:tcBorders>
              <w:top w:val="single" w:color="auto" w:sz="4" w:space="0"/>
              <w:left w:val="nil"/>
              <w:bottom w:val="single" w:color="auto" w:sz="4" w:space="0"/>
              <w:right w:val="single" w:color="auto" w:sz="4" w:space="0"/>
            </w:tcBorders>
            <w:vAlign w:val="center"/>
          </w:tcPr>
          <w:p w14:paraId="51C8CBB2">
            <w:pPr>
              <w:snapToGrid w:val="0"/>
              <w:spacing w:line="360" w:lineRule="exact"/>
              <w:jc w:val="center"/>
              <w:rPr>
                <w:rFonts w:asciiTheme="majorEastAsia" w:hAnsiTheme="majorEastAsia" w:eastAsiaTheme="majorEastAsia" w:cstheme="majorEastAsia"/>
                <w:color w:val="auto"/>
                <w:szCs w:val="21"/>
                <w:highlight w:val="none"/>
              </w:rPr>
            </w:pPr>
          </w:p>
        </w:tc>
      </w:tr>
      <w:tr w14:paraId="3E71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4501F87C">
            <w:pPr>
              <w:snapToGrid w:val="0"/>
              <w:spacing w:line="36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286" w:type="dxa"/>
            <w:tcBorders>
              <w:top w:val="single" w:color="auto" w:sz="4" w:space="0"/>
              <w:left w:val="nil"/>
              <w:bottom w:val="single" w:color="auto" w:sz="4" w:space="0"/>
              <w:right w:val="single" w:color="auto" w:sz="4" w:space="0"/>
            </w:tcBorders>
            <w:vAlign w:val="center"/>
          </w:tcPr>
          <w:p w14:paraId="4A6BEEF0">
            <w:pPr>
              <w:snapToGrid w:val="0"/>
              <w:spacing w:line="360" w:lineRule="exact"/>
              <w:jc w:val="center"/>
              <w:rPr>
                <w:rFonts w:asciiTheme="majorEastAsia" w:hAnsiTheme="majorEastAsia" w:eastAsiaTheme="majorEastAsia" w:cstheme="majorEastAsia"/>
                <w:color w:val="auto"/>
                <w:szCs w:val="21"/>
                <w:highlight w:val="none"/>
              </w:rPr>
            </w:pPr>
          </w:p>
        </w:tc>
        <w:tc>
          <w:tcPr>
            <w:tcW w:w="1190" w:type="dxa"/>
            <w:tcBorders>
              <w:top w:val="single" w:color="auto" w:sz="4" w:space="0"/>
              <w:left w:val="nil"/>
              <w:bottom w:val="single" w:color="auto" w:sz="4" w:space="0"/>
              <w:right w:val="single" w:color="auto" w:sz="4" w:space="0"/>
            </w:tcBorders>
            <w:vAlign w:val="center"/>
          </w:tcPr>
          <w:p w14:paraId="04985D9C">
            <w:pPr>
              <w:snapToGrid w:val="0"/>
              <w:spacing w:line="360" w:lineRule="exact"/>
              <w:jc w:val="center"/>
              <w:rPr>
                <w:rFonts w:asciiTheme="majorEastAsia" w:hAnsiTheme="majorEastAsia" w:eastAsiaTheme="majorEastAsia" w:cstheme="majorEastAsia"/>
                <w:color w:val="auto"/>
                <w:szCs w:val="21"/>
                <w:highlight w:val="none"/>
              </w:rPr>
            </w:pPr>
          </w:p>
        </w:tc>
        <w:tc>
          <w:tcPr>
            <w:tcW w:w="1166" w:type="dxa"/>
            <w:tcBorders>
              <w:top w:val="single" w:color="auto" w:sz="4" w:space="0"/>
              <w:left w:val="nil"/>
              <w:bottom w:val="single" w:color="auto" w:sz="4" w:space="0"/>
              <w:right w:val="single" w:color="auto" w:sz="4" w:space="0"/>
            </w:tcBorders>
            <w:vAlign w:val="center"/>
          </w:tcPr>
          <w:p w14:paraId="231DEB58">
            <w:pPr>
              <w:snapToGrid w:val="0"/>
              <w:spacing w:line="360" w:lineRule="exact"/>
              <w:jc w:val="center"/>
              <w:rPr>
                <w:rFonts w:asciiTheme="majorEastAsia" w:hAnsiTheme="majorEastAsia" w:eastAsiaTheme="majorEastAsia" w:cstheme="majorEastAsia"/>
                <w:color w:val="auto"/>
                <w:szCs w:val="21"/>
                <w:highlight w:val="none"/>
              </w:rPr>
            </w:pPr>
          </w:p>
        </w:tc>
        <w:tc>
          <w:tcPr>
            <w:tcW w:w="1089" w:type="dxa"/>
            <w:tcBorders>
              <w:top w:val="single" w:color="auto" w:sz="4" w:space="0"/>
              <w:left w:val="nil"/>
              <w:bottom w:val="single" w:color="auto" w:sz="4" w:space="0"/>
              <w:right w:val="single" w:color="auto" w:sz="4" w:space="0"/>
            </w:tcBorders>
            <w:vAlign w:val="center"/>
          </w:tcPr>
          <w:p w14:paraId="37B69C9A">
            <w:pPr>
              <w:snapToGrid w:val="0"/>
              <w:spacing w:line="360" w:lineRule="exact"/>
              <w:jc w:val="center"/>
              <w:rPr>
                <w:rFonts w:asciiTheme="majorEastAsia" w:hAnsiTheme="majorEastAsia" w:eastAsiaTheme="majorEastAsia" w:cstheme="majorEastAsia"/>
                <w:color w:val="auto"/>
                <w:szCs w:val="21"/>
                <w:highlight w:val="none"/>
              </w:rPr>
            </w:pPr>
          </w:p>
        </w:tc>
        <w:tc>
          <w:tcPr>
            <w:tcW w:w="907" w:type="dxa"/>
            <w:tcBorders>
              <w:top w:val="single" w:color="auto" w:sz="4" w:space="0"/>
              <w:left w:val="nil"/>
              <w:bottom w:val="single" w:color="auto" w:sz="4" w:space="0"/>
              <w:right w:val="single" w:color="auto" w:sz="4" w:space="0"/>
            </w:tcBorders>
            <w:vAlign w:val="center"/>
          </w:tcPr>
          <w:p w14:paraId="244E3085">
            <w:pPr>
              <w:snapToGrid w:val="0"/>
              <w:spacing w:line="360" w:lineRule="exact"/>
              <w:jc w:val="center"/>
              <w:rPr>
                <w:rFonts w:asciiTheme="majorEastAsia" w:hAnsiTheme="majorEastAsia" w:eastAsiaTheme="majorEastAsia" w:cstheme="majorEastAsia"/>
                <w:color w:val="auto"/>
                <w:szCs w:val="21"/>
                <w:highlight w:val="none"/>
              </w:rPr>
            </w:pPr>
          </w:p>
        </w:tc>
        <w:tc>
          <w:tcPr>
            <w:tcW w:w="668" w:type="dxa"/>
            <w:tcBorders>
              <w:top w:val="single" w:color="auto" w:sz="4" w:space="0"/>
              <w:left w:val="nil"/>
              <w:bottom w:val="single" w:color="auto" w:sz="4" w:space="0"/>
              <w:right w:val="single" w:color="auto" w:sz="4" w:space="0"/>
            </w:tcBorders>
            <w:vAlign w:val="center"/>
          </w:tcPr>
          <w:p w14:paraId="6253B894">
            <w:pPr>
              <w:snapToGrid w:val="0"/>
              <w:spacing w:line="360" w:lineRule="exact"/>
              <w:jc w:val="center"/>
              <w:rPr>
                <w:rFonts w:asciiTheme="majorEastAsia" w:hAnsiTheme="majorEastAsia" w:eastAsiaTheme="majorEastAsia" w:cstheme="majorEastAsia"/>
                <w:color w:val="auto"/>
                <w:szCs w:val="21"/>
                <w:highlight w:val="none"/>
              </w:rPr>
            </w:pPr>
          </w:p>
        </w:tc>
        <w:tc>
          <w:tcPr>
            <w:tcW w:w="946" w:type="dxa"/>
            <w:tcBorders>
              <w:top w:val="single" w:color="auto" w:sz="4" w:space="0"/>
              <w:left w:val="nil"/>
              <w:bottom w:val="single" w:color="auto" w:sz="4" w:space="0"/>
              <w:right w:val="single" w:color="auto" w:sz="4" w:space="0"/>
            </w:tcBorders>
            <w:vAlign w:val="center"/>
          </w:tcPr>
          <w:p w14:paraId="652381A5">
            <w:pPr>
              <w:snapToGrid w:val="0"/>
              <w:spacing w:line="360" w:lineRule="exact"/>
              <w:jc w:val="center"/>
              <w:rPr>
                <w:rFonts w:asciiTheme="majorEastAsia" w:hAnsiTheme="majorEastAsia" w:eastAsiaTheme="majorEastAsia" w:cstheme="majorEastAsia"/>
                <w:color w:val="auto"/>
                <w:szCs w:val="21"/>
                <w:highlight w:val="none"/>
              </w:rPr>
            </w:pPr>
          </w:p>
        </w:tc>
        <w:tc>
          <w:tcPr>
            <w:tcW w:w="1188" w:type="dxa"/>
            <w:tcBorders>
              <w:top w:val="single" w:color="auto" w:sz="4" w:space="0"/>
              <w:left w:val="nil"/>
              <w:bottom w:val="single" w:color="auto" w:sz="4" w:space="0"/>
              <w:right w:val="single" w:color="auto" w:sz="4" w:space="0"/>
            </w:tcBorders>
            <w:vAlign w:val="center"/>
          </w:tcPr>
          <w:p w14:paraId="75A3F4ED">
            <w:pPr>
              <w:snapToGrid w:val="0"/>
              <w:spacing w:line="360" w:lineRule="exact"/>
              <w:jc w:val="center"/>
              <w:rPr>
                <w:rFonts w:asciiTheme="majorEastAsia" w:hAnsiTheme="majorEastAsia" w:eastAsiaTheme="majorEastAsia" w:cstheme="majorEastAsia"/>
                <w:color w:val="auto"/>
                <w:szCs w:val="21"/>
                <w:highlight w:val="none"/>
              </w:rPr>
            </w:pPr>
          </w:p>
        </w:tc>
      </w:tr>
      <w:tr w14:paraId="0B1C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0" w:type="dxa"/>
            <w:gridSpan w:val="9"/>
            <w:tcBorders>
              <w:top w:val="single" w:color="auto" w:sz="4" w:space="0"/>
              <w:left w:val="single" w:color="auto" w:sz="4" w:space="0"/>
              <w:bottom w:val="single" w:color="auto" w:sz="4" w:space="0"/>
              <w:right w:val="single" w:color="auto" w:sz="4" w:space="0"/>
            </w:tcBorders>
            <w:vAlign w:val="center"/>
          </w:tcPr>
          <w:p w14:paraId="121E8B54">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合计金额（人民币）：</w:t>
            </w:r>
            <w:r>
              <w:rPr>
                <w:rFonts w:hint="eastAsia" w:asciiTheme="majorEastAsia" w:hAnsiTheme="majorEastAsia" w:eastAsiaTheme="majorEastAsia" w:cstheme="majorEastAsia"/>
                <w:color w:val="auto"/>
                <w:szCs w:val="21"/>
                <w:highlight w:val="none"/>
                <w:u w:val="single"/>
              </w:rPr>
              <w:t xml:space="preserve">（大写）                          （小写）                 </w:t>
            </w:r>
          </w:p>
        </w:tc>
      </w:tr>
    </w:tbl>
    <w:p w14:paraId="01F1B68A">
      <w:pPr>
        <w:snapToGrid w:val="0"/>
        <w:spacing w:line="360" w:lineRule="exact"/>
        <w:ind w:firstLine="422"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第二条 标的质量</w:t>
      </w:r>
    </w:p>
    <w:p w14:paraId="0F4E681B">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1.乙方所提供标的的名称、商标品牌、生产厂家、规格型号、技术参数等内容必须与乙方投标（响应）文件及有关承诺相一致，且满足项目实施要求。</w:t>
      </w:r>
    </w:p>
    <w:p w14:paraId="09BC088F">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2.乙方所提供的货物必须是全新、未使用的原装产品，且在正常安装、使用和保养条件下，其使用寿命期内各项指标均达到投标（响应）文件的承诺。</w:t>
      </w:r>
    </w:p>
    <w:p w14:paraId="3CBFCB3C">
      <w:pPr>
        <w:snapToGrid w:val="0"/>
        <w:spacing w:line="360" w:lineRule="exact"/>
        <w:ind w:firstLine="422"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 xml:space="preserve">第三条 </w:t>
      </w:r>
      <w:r>
        <w:rPr>
          <w:rFonts w:hint="eastAsia" w:asciiTheme="majorEastAsia" w:hAnsiTheme="majorEastAsia" w:eastAsiaTheme="majorEastAsia" w:cstheme="majorEastAsia"/>
          <w:color w:val="auto"/>
          <w:szCs w:val="21"/>
          <w:highlight w:val="none"/>
        </w:rPr>
        <w:t>履行时间（期限）、地点和方式</w:t>
      </w:r>
    </w:p>
    <w:p w14:paraId="10DFA66E">
      <w:pPr>
        <w:snapToGrid w:val="0"/>
        <w:spacing w:line="360" w:lineRule="exact"/>
        <w:ind w:firstLine="420" w:firstLineChars="200"/>
        <w:rPr>
          <w:rFonts w:asciiTheme="majorEastAsia" w:hAnsiTheme="majorEastAsia" w:eastAsiaTheme="majorEastAsia" w:cstheme="majorEastAsia"/>
          <w:i/>
          <w:iCs/>
          <w:color w:val="auto"/>
          <w:szCs w:val="21"/>
          <w:highlight w:val="none"/>
        </w:rPr>
      </w:pPr>
      <w:r>
        <w:rPr>
          <w:rFonts w:hint="eastAsia" w:asciiTheme="majorEastAsia" w:hAnsiTheme="majorEastAsia" w:eastAsiaTheme="majorEastAsia" w:cstheme="majorEastAsia"/>
          <w:color w:val="auto"/>
          <w:szCs w:val="21"/>
          <w:highlight w:val="none"/>
        </w:rPr>
        <w:t>1.履行时间（期限）：</w:t>
      </w:r>
      <w:r>
        <w:rPr>
          <w:rFonts w:hint="eastAsia" w:asciiTheme="majorEastAsia" w:hAnsiTheme="majorEastAsia" w:eastAsiaTheme="majorEastAsia" w:cstheme="majorEastAsia"/>
          <w:color w:val="auto"/>
          <w:szCs w:val="21"/>
          <w:highlight w:val="none"/>
          <w:u w:val="single"/>
        </w:rPr>
        <w:t xml:space="preserve">                       </w:t>
      </w:r>
    </w:p>
    <w:p w14:paraId="26F31F6E">
      <w:pPr>
        <w:snapToGrid w:val="0"/>
        <w:spacing w:line="360" w:lineRule="exact"/>
        <w:ind w:firstLine="420" w:firstLineChars="200"/>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2.履行地点：</w:t>
      </w:r>
      <w:bookmarkStart w:id="171" w:name="OLE_LINK46"/>
      <w:r>
        <w:rPr>
          <w:rFonts w:hint="eastAsia" w:asciiTheme="majorEastAsia" w:hAnsiTheme="majorEastAsia" w:eastAsiaTheme="majorEastAsia" w:cstheme="majorEastAsia"/>
          <w:color w:val="auto"/>
          <w:szCs w:val="21"/>
          <w:highlight w:val="none"/>
          <w:u w:val="single"/>
        </w:rPr>
        <w:t xml:space="preserve">                       </w:t>
      </w:r>
      <w:bookmarkEnd w:id="171"/>
    </w:p>
    <w:p w14:paraId="548CE46C">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3.履行方式</w:t>
      </w:r>
    </w:p>
    <w:p w14:paraId="49E5938A">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（1）乙方负责货物运输，货物的运输方式：</w:t>
      </w:r>
      <w:r>
        <w:rPr>
          <w:rFonts w:hint="eastAsia" w:asciiTheme="majorEastAsia" w:hAnsiTheme="majorEastAsia" w:eastAsiaTheme="majorEastAsia" w:cstheme="majorEastAsia"/>
          <w:color w:val="auto"/>
          <w:szCs w:val="21"/>
          <w:highlight w:val="none"/>
          <w:u w:val="single"/>
        </w:rPr>
        <w:t xml:space="preserve"> 不限   </w:t>
      </w:r>
      <w:r>
        <w:rPr>
          <w:rFonts w:hint="eastAsia" w:asciiTheme="majorEastAsia" w:hAnsiTheme="majorEastAsia" w:eastAsiaTheme="majorEastAsia" w:cstheme="majorEastAsia"/>
          <w:color w:val="auto"/>
          <w:szCs w:val="21"/>
          <w:highlight w:val="none"/>
        </w:rPr>
        <w:t>。</w:t>
      </w:r>
    </w:p>
    <w:p w14:paraId="47FC0D71">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（2）交货方式</w:t>
      </w:r>
    </w:p>
    <w:p w14:paraId="26EAFDFD">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color w:val="auto"/>
          <w:highlight w:val="none"/>
        </w:rPr>
        <w:t xml:space="preserve">☑ </w:t>
      </w:r>
      <w:r>
        <w:rPr>
          <w:rFonts w:hint="eastAsia" w:asciiTheme="majorEastAsia" w:hAnsiTheme="majorEastAsia" w:eastAsiaTheme="majorEastAsia" w:cstheme="majorEastAsia"/>
          <w:color w:val="auto"/>
          <w:szCs w:val="21"/>
          <w:highlight w:val="none"/>
        </w:rPr>
        <w:t>乙方将货物送到甲方指定地点。</w:t>
      </w:r>
    </w:p>
    <w:p w14:paraId="3787E758">
      <w:pPr>
        <w:snapToGrid w:val="0"/>
        <w:spacing w:line="360" w:lineRule="exact"/>
        <w:ind w:firstLine="420" w:firstLineChars="200"/>
        <w:rPr>
          <w:rFonts w:asciiTheme="majorEastAsia" w:hAnsiTheme="majorEastAsia" w:eastAsiaTheme="majorEastAsia" w:cstheme="majorEastAsia"/>
          <w:color w:val="auto"/>
          <w:szCs w:val="21"/>
          <w:highlight w:val="none"/>
        </w:rPr>
      </w:pPr>
      <w:bookmarkStart w:id="172" w:name="OLE_LINK47"/>
      <w:r>
        <w:rPr>
          <w:rFonts w:hint="eastAsia" w:asciiTheme="majorEastAsia" w:hAnsiTheme="majorEastAsia" w:eastAsiaTheme="majorEastAsia" w:cstheme="majorEastAsia"/>
          <w:color w:val="auto"/>
          <w:szCs w:val="21"/>
          <w:highlight w:val="none"/>
        </w:rPr>
        <w:t>□</w:t>
      </w:r>
      <w:bookmarkEnd w:id="172"/>
      <w:r>
        <w:rPr>
          <w:rFonts w:hint="eastAsia" w:asciiTheme="majorEastAsia" w:hAnsiTheme="majorEastAsia" w:eastAsiaTheme="majorEastAsia" w:cstheme="majorEastAsia"/>
          <w:color w:val="auto"/>
          <w:szCs w:val="21"/>
          <w:highlight w:val="none"/>
        </w:rPr>
        <w:t>甲方自行到乙方指定地点提货。</w:t>
      </w:r>
    </w:p>
    <w:p w14:paraId="2127B22C">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w:t>
      </w:r>
    </w:p>
    <w:p w14:paraId="6C6392E9">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第四条 包装方式</w:t>
      </w:r>
    </w:p>
    <w:p w14:paraId="47A9BE6C">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1.乙方提供的货物均应按投标（响应）文件承诺的要求的包装材料、包装标准、包装方式进行包装。</w:t>
      </w:r>
    </w:p>
    <w:p w14:paraId="5C0FE0F7">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2.乙方应在货物发运前对其进行满足运输距离、防水、防潮、防震、防锈和防破损装卸等要求包装，以保证货物安全运达甲方指定地点。</w:t>
      </w:r>
    </w:p>
    <w:p w14:paraId="2735C3AF">
      <w:pPr>
        <w:pStyle w:val="2"/>
        <w:spacing w:line="36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3.货物的使用说明书（货物属于进口产品的，供货时应同时附上中文使用说明书）、质量检验证明书、质量合格证、随配附件和工具以及清单一并附于货物包装内。</w:t>
      </w:r>
    </w:p>
    <w:p w14:paraId="5413A3C7">
      <w:pPr>
        <w:snapToGrid w:val="0"/>
        <w:spacing w:line="360" w:lineRule="exact"/>
        <w:ind w:firstLine="422"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第五条 安装和培训</w:t>
      </w:r>
    </w:p>
    <w:p w14:paraId="25285B1B">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1.安装时间：</w:t>
      </w:r>
      <w:r>
        <w:rPr>
          <w:rFonts w:hint="eastAsia" w:asciiTheme="majorEastAsia" w:hAnsiTheme="majorEastAsia" w:eastAsiaTheme="majorEastAsia" w:cstheme="majorEastAsia"/>
          <w:color w:val="auto"/>
          <w:szCs w:val="21"/>
          <w:highlight w:val="none"/>
          <w:u w:val="single"/>
        </w:rPr>
        <w:t xml:space="preserve">  按甲方要求   </w:t>
      </w:r>
      <w:r>
        <w:rPr>
          <w:rFonts w:hint="eastAsia" w:asciiTheme="majorEastAsia" w:hAnsiTheme="majorEastAsia" w:eastAsiaTheme="majorEastAsia" w:cstheme="majorEastAsia"/>
          <w:color w:val="auto"/>
          <w:szCs w:val="21"/>
          <w:highlight w:val="none"/>
        </w:rPr>
        <w:t>；安装地点：</w:t>
      </w:r>
      <w:r>
        <w:rPr>
          <w:rFonts w:hint="eastAsia" w:asciiTheme="majorEastAsia" w:hAnsiTheme="majorEastAsia" w:eastAsiaTheme="majorEastAsia" w:cstheme="majorEastAsia"/>
          <w:color w:val="auto"/>
          <w:szCs w:val="21"/>
          <w:highlight w:val="none"/>
          <w:u w:val="single"/>
        </w:rPr>
        <w:t xml:space="preserve">  按甲方要求    </w:t>
      </w:r>
      <w:r>
        <w:rPr>
          <w:rFonts w:hint="eastAsia" w:asciiTheme="majorEastAsia" w:hAnsiTheme="majorEastAsia" w:eastAsiaTheme="majorEastAsia" w:cstheme="majorEastAsia"/>
          <w:color w:val="auto"/>
          <w:szCs w:val="21"/>
          <w:highlight w:val="none"/>
        </w:rPr>
        <w:t>。</w:t>
      </w:r>
    </w:p>
    <w:p w14:paraId="46DC595A">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2.安装要求：</w:t>
      </w:r>
      <w:r>
        <w:rPr>
          <w:rFonts w:hint="eastAsia" w:asciiTheme="majorEastAsia" w:hAnsiTheme="majorEastAsia" w:eastAsiaTheme="majorEastAsia" w:cstheme="majorEastAsia"/>
          <w:color w:val="auto"/>
          <w:szCs w:val="21"/>
          <w:highlight w:val="none"/>
          <w:u w:val="single"/>
        </w:rPr>
        <w:t>按甲方要求</w:t>
      </w:r>
      <w:r>
        <w:rPr>
          <w:rFonts w:hint="eastAsia" w:asciiTheme="majorEastAsia" w:hAnsiTheme="majorEastAsia" w:eastAsiaTheme="majorEastAsia" w:cstheme="majorEastAsia"/>
          <w:color w:val="auto"/>
          <w:szCs w:val="21"/>
          <w:highlight w:val="none"/>
        </w:rPr>
        <w:t>。</w:t>
      </w:r>
    </w:p>
    <w:p w14:paraId="6AD47AF3">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3.甲方应提供必要安装条件（如场地、电源、水源等）。</w:t>
      </w:r>
    </w:p>
    <w:p w14:paraId="2DFAD6D2">
      <w:pPr>
        <w:pStyle w:val="2"/>
        <w:spacing w:line="36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4.乙方应当按照投标（响应）文件的承诺对甲方有关人员进行培训。培训时间：</w:t>
      </w:r>
      <w:r>
        <w:rPr>
          <w:rFonts w:hint="eastAsia" w:asciiTheme="majorEastAsia" w:hAnsiTheme="majorEastAsia" w:eastAsiaTheme="majorEastAsia" w:cstheme="majorEastAsia"/>
          <w:color w:val="auto"/>
          <w:sz w:val="21"/>
          <w:szCs w:val="21"/>
          <w:highlight w:val="none"/>
          <w:u w:val="single"/>
        </w:rPr>
        <w:t xml:space="preserve">  按甲方要求     </w:t>
      </w:r>
      <w:r>
        <w:rPr>
          <w:rFonts w:hint="eastAsia" w:asciiTheme="majorEastAsia" w:hAnsiTheme="majorEastAsia" w:eastAsiaTheme="majorEastAsia" w:cstheme="majorEastAsia"/>
          <w:color w:val="auto"/>
          <w:sz w:val="21"/>
          <w:szCs w:val="21"/>
          <w:highlight w:val="none"/>
        </w:rPr>
        <w:t>；培训地点</w:t>
      </w:r>
      <w:r>
        <w:rPr>
          <w:rFonts w:hint="eastAsia" w:asciiTheme="majorEastAsia" w:hAnsiTheme="majorEastAsia" w:eastAsiaTheme="majorEastAsia" w:cstheme="majorEastAsia"/>
          <w:color w:val="auto"/>
          <w:sz w:val="21"/>
          <w:szCs w:val="21"/>
          <w:highlight w:val="none"/>
          <w:u w:val="single"/>
        </w:rPr>
        <w:t xml:space="preserve">：  按甲方要求     </w:t>
      </w:r>
      <w:r>
        <w:rPr>
          <w:rFonts w:hint="eastAsia" w:asciiTheme="majorEastAsia" w:hAnsiTheme="majorEastAsia" w:eastAsiaTheme="majorEastAsia" w:cstheme="majorEastAsia"/>
          <w:color w:val="auto"/>
          <w:sz w:val="21"/>
          <w:szCs w:val="21"/>
          <w:highlight w:val="none"/>
        </w:rPr>
        <w:t>。</w:t>
      </w:r>
    </w:p>
    <w:p w14:paraId="19EEBE5F">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第六条 合同价款及支付</w:t>
      </w:r>
    </w:p>
    <w:p w14:paraId="5821529D">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1.本合同以人民币付款。</w:t>
      </w:r>
    </w:p>
    <w:p w14:paraId="51F56ED9">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2.合同价款：详见第一条 合同标的   。</w:t>
      </w:r>
    </w:p>
    <w:p w14:paraId="59ADCA92">
      <w:pPr>
        <w:snapToGri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3.合同价款</w:t>
      </w:r>
      <w:r>
        <w:rPr>
          <w:rFonts w:hint="eastAsia" w:asciiTheme="majorEastAsia" w:hAnsiTheme="majorEastAsia" w:eastAsiaTheme="majorEastAsia" w:cstheme="majorEastAsia"/>
          <w:color w:val="auto"/>
          <w:szCs w:val="21"/>
          <w:highlight w:val="none"/>
        </w:rPr>
        <w:t>包括投标货物（包括备品备件、专用工具等）的价格（包括已在中国境内的进口货物完税后的仓库交货价、展室交货价或者货架交货价），投标货物运输（含保险）、装卸、检验及验收（如有）、保修、安装（如有）、调试、检验、修补（如有）、换货及售后服务（如有）、技术服务、培训和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p w14:paraId="29531020">
      <w:pPr>
        <w:widowControl/>
        <w:numPr>
          <w:ilvl w:val="-1"/>
          <w:numId w:val="0"/>
        </w:numPr>
        <w:textAlignment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4.付款进度安排：</w:t>
      </w:r>
    </w:p>
    <w:p w14:paraId="2DEA7FA7">
      <w:pPr>
        <w:widowControl/>
        <w:numPr>
          <w:ilvl w:val="-1"/>
          <w:numId w:val="0"/>
        </w:numPr>
        <w:textAlignment w:val="center"/>
        <w:rPr>
          <w:rFonts w:ascii="宋体" w:hAnsi="宋体" w:eastAsia="宋体" w:cs="宋体"/>
          <w:b w:val="0"/>
          <w:bCs w:val="0"/>
          <w:color w:val="auto"/>
          <w:sz w:val="21"/>
          <w:szCs w:val="21"/>
          <w:highlight w:val="none"/>
        </w:rPr>
      </w:pPr>
      <w:r>
        <w:rPr>
          <w:rFonts w:hint="eastAsia" w:asciiTheme="majorEastAsia" w:hAnsiTheme="majorEastAsia" w:eastAsiaTheme="majorEastAsia" w:cstheme="majorEastAsia"/>
          <w:color w:val="auto"/>
          <w:szCs w:val="21"/>
          <w:highlight w:val="none"/>
        </w:rPr>
        <w:t>1）</w:t>
      </w:r>
      <w:r>
        <w:rPr>
          <w:rFonts w:ascii="宋体" w:hAnsi="宋体" w:eastAsia="宋体" w:cs="宋体"/>
          <w:b w:val="0"/>
          <w:bCs w:val="0"/>
          <w:color w:val="auto"/>
          <w:sz w:val="21"/>
          <w:szCs w:val="21"/>
          <w:highlight w:val="none"/>
        </w:rPr>
        <w:t>合同签订生效后，</w:t>
      </w:r>
      <w:r>
        <w:rPr>
          <w:rFonts w:hint="eastAsia" w:ascii="宋体" w:hAnsi="宋体" w:cs="宋体"/>
          <w:b w:val="0"/>
          <w:bCs w:val="0"/>
          <w:color w:val="auto"/>
          <w:sz w:val="21"/>
          <w:szCs w:val="21"/>
          <w:highlight w:val="none"/>
          <w:lang w:eastAsia="zh-CN"/>
        </w:rPr>
        <w:t>乙</w:t>
      </w:r>
      <w:r>
        <w:rPr>
          <w:rFonts w:ascii="宋体" w:hAnsi="宋体" w:eastAsia="宋体" w:cs="宋体"/>
          <w:b w:val="0"/>
          <w:bCs w:val="0"/>
          <w:color w:val="auto"/>
          <w:sz w:val="21"/>
          <w:szCs w:val="21"/>
          <w:highlight w:val="none"/>
        </w:rPr>
        <w:t>方提交预付合同金额30%的申请，审批通过后支付。</w:t>
      </w:r>
    </w:p>
    <w:p w14:paraId="6704CB45">
      <w:pPr>
        <w:widowControl/>
        <w:numPr>
          <w:ilvl w:val="-1"/>
          <w:numId w:val="0"/>
        </w:numPr>
        <w:textAlignment w:val="center"/>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eastAsia="zh-CN"/>
        </w:rPr>
        <w:t>）</w:t>
      </w:r>
      <w:r>
        <w:rPr>
          <w:rFonts w:ascii="宋体" w:hAnsi="宋体" w:eastAsia="宋体" w:cs="宋体"/>
          <w:b w:val="0"/>
          <w:bCs w:val="0"/>
          <w:color w:val="auto"/>
          <w:sz w:val="21"/>
          <w:szCs w:val="21"/>
          <w:highlight w:val="none"/>
        </w:rPr>
        <w:t>项目完成安全生产智能化管控平台的产品设计、系统平台软件开发、安装及测试、配套设备采购及安装等工作后，支付至合同金额的60%。</w:t>
      </w:r>
    </w:p>
    <w:p w14:paraId="7C879A24">
      <w:pPr>
        <w:widowControl/>
        <w:numPr>
          <w:ilvl w:val="-1"/>
          <w:numId w:val="0"/>
        </w:numPr>
        <w:textAlignment w:val="center"/>
        <w:rPr>
          <w:rFonts w:ascii="宋体" w:hAnsi="宋体" w:cs="宋体"/>
          <w:color w:val="auto"/>
          <w:szCs w:val="21"/>
          <w:highlight w:val="none"/>
        </w:rPr>
      </w:pPr>
      <w:r>
        <w:rPr>
          <w:rFonts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eastAsia="zh-CN"/>
        </w:rPr>
        <w:t>）</w:t>
      </w:r>
      <w:r>
        <w:rPr>
          <w:rFonts w:ascii="宋体" w:hAnsi="宋体" w:eastAsia="宋体" w:cs="宋体"/>
          <w:b w:val="0"/>
          <w:bCs w:val="0"/>
          <w:color w:val="auto"/>
          <w:sz w:val="21"/>
          <w:szCs w:val="21"/>
          <w:highlight w:val="none"/>
        </w:rPr>
        <w:t>完成项目全部建设，达到验收标准，包含每个系统平台安装、部署、实施，基础数据收集导入、系统集约后的检测、使用者培训、上线使用跟踪、文档整理、验收准备及完成验收等内容，贵港市应急管理局局组织验收合格后支付至合同金额的80%。</w:t>
      </w:r>
    </w:p>
    <w:p w14:paraId="7A28D3F1">
      <w:pPr>
        <w:widowControl/>
        <w:numPr>
          <w:ilvl w:val="-1"/>
          <w:numId w:val="0"/>
        </w:numPr>
        <w:textAlignment w:val="center"/>
        <w:rPr>
          <w:rFonts w:ascii="宋体" w:hAnsi="宋体" w:cs="宋体"/>
          <w:color w:val="auto"/>
          <w:szCs w:val="21"/>
          <w:highlight w:val="none"/>
        </w:rPr>
      </w:pPr>
      <w:r>
        <w:rPr>
          <w:rFonts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eastAsia="zh-CN"/>
        </w:rPr>
        <w:t>）</w:t>
      </w:r>
      <w:r>
        <w:rPr>
          <w:rFonts w:ascii="宋体" w:hAnsi="宋体" w:eastAsia="宋体" w:cs="宋体"/>
          <w:b w:val="0"/>
          <w:bCs w:val="0"/>
          <w:color w:val="auto"/>
          <w:sz w:val="21"/>
          <w:szCs w:val="21"/>
          <w:highlight w:val="none"/>
        </w:rPr>
        <w:t>完成广西壮族自治区应急管理厅对本项目的验收，验收合格后，并结算经覃塘区审计部门审定后甲乙双方签字确定，支付至合同金额的97%。</w:t>
      </w:r>
    </w:p>
    <w:p w14:paraId="263CED18">
      <w:pPr>
        <w:widowControl/>
        <w:textAlignment w:val="center"/>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5</w:t>
      </w:r>
      <w:r>
        <w:rPr>
          <w:rFonts w:hint="eastAsia" w:ascii="宋体" w:hAnsi="宋体" w:cs="宋体"/>
          <w:b w:val="0"/>
          <w:bCs w:val="0"/>
          <w:color w:val="auto"/>
          <w:sz w:val="21"/>
          <w:szCs w:val="21"/>
          <w:highlight w:val="none"/>
          <w:lang w:eastAsia="zh-CN"/>
        </w:rPr>
        <w:t>）</w:t>
      </w:r>
      <w:r>
        <w:rPr>
          <w:rFonts w:ascii="宋体" w:hAnsi="宋体" w:eastAsia="宋体" w:cs="宋体"/>
          <w:b w:val="0"/>
          <w:bCs w:val="0"/>
          <w:color w:val="auto"/>
          <w:sz w:val="21"/>
          <w:szCs w:val="21"/>
          <w:highlight w:val="none"/>
        </w:rPr>
        <w:t>验收合格三年后</w:t>
      </w:r>
      <w:r>
        <w:rPr>
          <w:rFonts w:hint="eastAsia" w:ascii="宋体" w:hAnsi="宋体" w:cs="宋体"/>
          <w:b w:val="0"/>
          <w:bCs w:val="0"/>
          <w:color w:val="auto"/>
          <w:sz w:val="21"/>
          <w:szCs w:val="21"/>
          <w:highlight w:val="none"/>
          <w:lang w:eastAsia="zh-CN"/>
        </w:rPr>
        <w:t>甲方</w:t>
      </w:r>
      <w:r>
        <w:rPr>
          <w:rFonts w:ascii="宋体" w:hAnsi="宋体" w:eastAsia="宋体" w:cs="宋体"/>
          <w:b w:val="0"/>
          <w:bCs w:val="0"/>
          <w:color w:val="auto"/>
          <w:sz w:val="21"/>
          <w:szCs w:val="21"/>
          <w:highlight w:val="none"/>
        </w:rPr>
        <w:t>按流程支付合同价款的3%。</w:t>
      </w:r>
    </w:p>
    <w:p w14:paraId="6C012EE0">
      <w:pPr>
        <w:widowControl/>
        <w:spacing w:line="360" w:lineRule="auto"/>
        <w:textAlignment w:val="center"/>
        <w:rPr>
          <w:rFonts w:ascii="宋体" w:hAnsi="宋体" w:cs="宋体"/>
          <w:color w:val="auto"/>
          <w:sz w:val="21"/>
          <w:szCs w:val="21"/>
          <w:highlight w:val="none"/>
        </w:rPr>
      </w:pPr>
      <w:r>
        <w:rPr>
          <w:rFonts w:ascii="宋体" w:hAnsi="宋体" w:eastAsia="宋体" w:cs="宋体"/>
          <w:b w:val="0"/>
          <w:bCs w:val="0"/>
          <w:color w:val="auto"/>
          <w:sz w:val="21"/>
          <w:szCs w:val="21"/>
          <w:highlight w:val="none"/>
        </w:rPr>
        <w:t>注：付款前提是，</w:t>
      </w:r>
      <w:r>
        <w:rPr>
          <w:rFonts w:hint="eastAsia" w:ascii="宋体" w:hAnsi="宋体" w:cs="宋体"/>
          <w:b w:val="0"/>
          <w:bCs w:val="0"/>
          <w:color w:val="auto"/>
          <w:sz w:val="21"/>
          <w:szCs w:val="21"/>
          <w:highlight w:val="none"/>
          <w:lang w:eastAsia="zh-CN"/>
        </w:rPr>
        <w:t>乙方</w:t>
      </w:r>
      <w:r>
        <w:rPr>
          <w:rFonts w:ascii="宋体" w:hAnsi="宋体" w:eastAsia="宋体" w:cs="宋体"/>
          <w:b w:val="0"/>
          <w:bCs w:val="0"/>
          <w:color w:val="auto"/>
          <w:sz w:val="21"/>
          <w:szCs w:val="21"/>
          <w:highlight w:val="none"/>
        </w:rPr>
        <w:t>需在结款日之前开具等额的增值税发票。</w:t>
      </w:r>
    </w:p>
    <w:p w14:paraId="132B646D">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5.资金支付方式：</w:t>
      </w:r>
      <w:r>
        <w:rPr>
          <w:rFonts w:hint="eastAsia" w:asciiTheme="majorEastAsia" w:hAnsiTheme="majorEastAsia" w:eastAsiaTheme="majorEastAsia" w:cstheme="majorEastAsia"/>
          <w:color w:val="auto"/>
          <w:sz w:val="21"/>
          <w:highlight w:val="none"/>
          <w:u w:val="single"/>
        </w:rPr>
        <w:t xml:space="preserve">   银行转账 </w:t>
      </w:r>
      <w:r>
        <w:rPr>
          <w:rFonts w:hint="eastAsia" w:asciiTheme="majorEastAsia" w:hAnsiTheme="majorEastAsia" w:eastAsiaTheme="majorEastAsia" w:cstheme="majorEastAsia"/>
          <w:color w:val="auto"/>
          <w:sz w:val="21"/>
          <w:highlight w:val="none"/>
        </w:rPr>
        <w:t xml:space="preserve">  。</w:t>
      </w:r>
    </w:p>
    <w:p w14:paraId="3FAE02B8">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第七条 验收、交付标准和方法</w:t>
      </w:r>
    </w:p>
    <w:p w14:paraId="2718F616">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1.验收标准和方法（注：验收标准与招标文件采购需求有不一致的按招标文件采购需求执行）</w:t>
      </w:r>
    </w:p>
    <w:p w14:paraId="2EA9390B">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（1）验收标准：</w:t>
      </w:r>
    </w:p>
    <w:p w14:paraId="7E128ABB">
      <w:pPr>
        <w:snapToGri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1）甲方对乙方提交的货物依据采购合同要求和国家有关质量标准进行现场签收，外观、说明书、及各项功能符合采购合同要求的，给予签收，不合格的不予签收。</w:t>
      </w:r>
    </w:p>
    <w:p w14:paraId="54C5F45E">
      <w:pPr>
        <w:snapToGri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2CCD3BF5">
      <w:pPr>
        <w:snapToGri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3）乙方需负责安装、调试（测试），并培训甲方的使用操作人员，直到设备符合技术要求，甲方方可验收。</w:t>
      </w:r>
    </w:p>
    <w:p w14:paraId="605008B6">
      <w:pPr>
        <w:snapToGri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甲方或甲方委托的第三方机构负责组织验收，乙方必须到场配合，由甲方在交货设备中随机抽取一定比例数量的设备，乙方按甲方要求进行现场演示操作。验收合格后双方签署验收合格凭证。验收地点由甲方或甲方委托的第三方机构协商确定。</w:t>
      </w:r>
    </w:p>
    <w:p w14:paraId="102FFE0B">
      <w:pPr>
        <w:snapToGri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55548960">
      <w:pPr>
        <w:snapToGrid w:val="0"/>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6）验收产生的费用由乙方负责。</w:t>
      </w:r>
    </w:p>
    <w:p w14:paraId="512FE21D">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（2）验收程序及方法：</w:t>
      </w:r>
    </w:p>
    <w:p w14:paraId="7B0F5CFA">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1）乙方履行完合同义务后，书面向甲方提交验收申请。</w:t>
      </w:r>
    </w:p>
    <w:p w14:paraId="6C6D700D">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2）甲方收到乙方验收申请之日起7个工作日内组织验收，并提出验收意见，逾期不验收的，视同验收合格。甲方委托第三方机构组织项目验收的，其验收时间以该项目验收方案确定的验收时间为准。</w:t>
      </w:r>
    </w:p>
    <w:p w14:paraId="36A2B212">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3）本项目验收由验收小组按照采购合同约定对每一项技术和商务要求的履约情况进行确认。</w:t>
      </w:r>
    </w:p>
    <w:p w14:paraId="65914B65">
      <w:pPr>
        <w:spacing w:line="360" w:lineRule="exact"/>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14D7C139">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5）验收过程中所产生的一切费用均由乙方承担。</w:t>
      </w:r>
    </w:p>
    <w:p w14:paraId="0D31CD21">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6）验收书一式两份，甲乙双方各执一份、受托第三方机构一份（如有）。 </w:t>
      </w:r>
    </w:p>
    <w:p w14:paraId="67C92D09">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7）验收结论不合格的，乙方应自收到验收书后</w:t>
      </w:r>
      <w:r>
        <w:rPr>
          <w:rFonts w:hint="eastAsia" w:asciiTheme="majorEastAsia" w:hAnsiTheme="majorEastAsia" w:eastAsiaTheme="majorEastAsia" w:cstheme="majorEastAsia"/>
          <w:color w:val="auto"/>
          <w:szCs w:val="21"/>
          <w:highlight w:val="none"/>
          <w:u w:val="single"/>
        </w:rPr>
        <w:t xml:space="preserve"> 5</w:t>
      </w:r>
      <w:r>
        <w:rPr>
          <w:rFonts w:hint="eastAsia" w:asciiTheme="majorEastAsia" w:hAnsiTheme="majorEastAsia" w:eastAsiaTheme="majorEastAsia" w:cstheme="majorEastAsia"/>
          <w:color w:val="auto"/>
          <w:szCs w:val="21"/>
          <w:highlight w:val="none"/>
        </w:rPr>
        <w:t>日内及时予以解决。经乙方对验收结论不合格的货物进行整改后，仍然达不到要求的，经双方协商，可按以下办法处理：</w:t>
      </w:r>
    </w:p>
    <w:p w14:paraId="072C2E16">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更换：由乙方承担所发生的全部费用。</w:t>
      </w:r>
    </w:p>
    <w:p w14:paraId="58442792">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退货处理：乙方应退还甲方支付的合同款，同时应承担该货物的直接费用（运输、保险、检验、货款利息及银行手续费等）。</w:t>
      </w:r>
    </w:p>
    <w:p w14:paraId="22E51F1A">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2.交付标准和方法</w:t>
      </w:r>
    </w:p>
    <w:p w14:paraId="1CD412AD">
      <w:pPr>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（1）除售后服务验收外，验收结论合格的，乙方应自收到验收书后</w:t>
      </w:r>
      <w:r>
        <w:rPr>
          <w:rFonts w:hint="eastAsia" w:asciiTheme="majorEastAsia" w:hAnsiTheme="majorEastAsia" w:eastAsiaTheme="majorEastAsia" w:cstheme="majorEastAsia"/>
          <w:color w:val="auto"/>
          <w:szCs w:val="21"/>
          <w:highlight w:val="none"/>
          <w:u w:val="single"/>
        </w:rPr>
        <w:t>5</w:t>
      </w:r>
      <w:r>
        <w:rPr>
          <w:rFonts w:hint="eastAsia" w:asciiTheme="majorEastAsia" w:hAnsiTheme="majorEastAsia" w:eastAsiaTheme="majorEastAsia" w:cstheme="majorEastAsia"/>
          <w:color w:val="auto"/>
          <w:szCs w:val="21"/>
          <w:highlight w:val="none"/>
        </w:rPr>
        <w:t>日内向甲方交付使用。</w:t>
      </w:r>
    </w:p>
    <w:p w14:paraId="7E85E749">
      <w:pPr>
        <w:snapToGrid w:val="0"/>
        <w:spacing w:line="360" w:lineRule="exact"/>
        <w:ind w:firstLine="420"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color w:val="auto"/>
          <w:szCs w:val="21"/>
          <w:highlight w:val="none"/>
        </w:rPr>
        <w:t>（2）货物的所有权和风险自交付时起由乙方转移至甲方，货物交付给甲方之前所有风险均由乙方承担。</w:t>
      </w:r>
    </w:p>
    <w:p w14:paraId="6455DF59">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第八条  售后服务</w:t>
      </w:r>
    </w:p>
    <w:p w14:paraId="05B31A81">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1.乙方应按照国家有关法律法规规定以及投标（响应）文件承诺，为甲方提供售后服务。</w:t>
      </w:r>
    </w:p>
    <w:p w14:paraId="4BD2E320">
      <w:pPr>
        <w:snapToGrid w:val="0"/>
        <w:spacing w:line="360" w:lineRule="exact"/>
        <w:ind w:firstLine="420" w:firstLineChars="200"/>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2.质量保修范围:</w:t>
      </w:r>
      <w:r>
        <w:rPr>
          <w:rFonts w:hint="eastAsia" w:asciiTheme="majorEastAsia" w:hAnsiTheme="majorEastAsia" w:eastAsiaTheme="majorEastAsia" w:cstheme="majorEastAsia"/>
          <w:color w:val="auto"/>
          <w:szCs w:val="21"/>
          <w:highlight w:val="none"/>
          <w:u w:val="single"/>
        </w:rPr>
        <w:t xml:space="preserve"> 按采购文件要求   </w:t>
      </w:r>
      <w:r>
        <w:rPr>
          <w:rFonts w:hint="eastAsia" w:asciiTheme="majorEastAsia" w:hAnsiTheme="majorEastAsia" w:eastAsiaTheme="majorEastAsia" w:cstheme="majorEastAsia"/>
          <w:color w:val="auto"/>
          <w:szCs w:val="21"/>
          <w:highlight w:val="none"/>
        </w:rPr>
        <w:t>；质保期：</w:t>
      </w:r>
      <w:r>
        <w:rPr>
          <w:rFonts w:hint="eastAsia" w:asciiTheme="majorEastAsia" w:hAnsiTheme="majorEastAsia" w:eastAsiaTheme="majorEastAsia" w:cstheme="majorEastAsia"/>
          <w:color w:val="auto"/>
          <w:szCs w:val="21"/>
          <w:highlight w:val="none"/>
          <w:u w:val="single"/>
        </w:rPr>
        <w:t xml:space="preserve"> 3年</w:t>
      </w:r>
      <w:r>
        <w:rPr>
          <w:rFonts w:hint="eastAsia" w:asciiTheme="majorEastAsia" w:hAnsiTheme="majorEastAsia" w:eastAsiaTheme="majorEastAsia" w:cstheme="majorEastAsia"/>
          <w:color w:val="auto"/>
          <w:szCs w:val="21"/>
          <w:highlight w:val="none"/>
        </w:rPr>
        <w:t>。</w:t>
      </w:r>
    </w:p>
    <w:p w14:paraId="7421BFC3">
      <w:pPr>
        <w:snapToGrid w:val="0"/>
        <w:spacing w:line="360" w:lineRule="exact"/>
        <w:ind w:left="-61" w:leftChars="-29" w:firstLine="517" w:firstLineChars="245"/>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第九条 履约保证金</w:t>
      </w:r>
    </w:p>
    <w:p w14:paraId="282D5D58">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无</w:t>
      </w:r>
    </w:p>
    <w:p w14:paraId="77D7EDE6">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第十条 违约责任</w:t>
      </w:r>
    </w:p>
    <w:p w14:paraId="369C0A2B">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1.合同一方不履行合同义务、履行合同义务不符合约定或者违反合同项下所作保证的， 应向对方承担继续履行、采取修理、更换、退货等补救措施或者赔偿损失等违约责任。</w:t>
      </w:r>
    </w:p>
    <w:p w14:paraId="491249A1">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2.乙方未能按时交付货物的，应向甲方支付迟延交付违约金。迟延交付违约金的计算方法如下：</w:t>
      </w:r>
    </w:p>
    <w:p w14:paraId="4E352587">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（1）从迟交的第一周到第四周，每周迟延交付违约金为合同价款（报酬）的</w:t>
      </w:r>
      <w:r>
        <w:rPr>
          <w:rFonts w:hint="eastAsia" w:asciiTheme="majorEastAsia" w:hAnsiTheme="majorEastAsia" w:eastAsiaTheme="majorEastAsia" w:cstheme="majorEastAsia"/>
          <w:i/>
          <w:iCs/>
          <w:color w:val="auto"/>
          <w:sz w:val="21"/>
          <w:highlight w:val="none"/>
          <w:u w:val="single"/>
        </w:rPr>
        <w:t xml:space="preserve"> 0.5% </w:t>
      </w:r>
      <w:r>
        <w:rPr>
          <w:rFonts w:hint="eastAsia" w:asciiTheme="majorEastAsia" w:hAnsiTheme="majorEastAsia" w:eastAsiaTheme="majorEastAsia" w:cstheme="majorEastAsia"/>
          <w:color w:val="auto"/>
          <w:sz w:val="21"/>
          <w:highlight w:val="none"/>
        </w:rPr>
        <w:t>；</w:t>
      </w:r>
    </w:p>
    <w:p w14:paraId="37CC009C">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（2）从迟交的第五周到第八周，每周迟延交付违约金为合同价款（报酬）的</w:t>
      </w:r>
      <w:r>
        <w:rPr>
          <w:rFonts w:hint="eastAsia" w:asciiTheme="majorEastAsia" w:hAnsiTheme="majorEastAsia" w:eastAsiaTheme="majorEastAsia" w:cstheme="majorEastAsia"/>
          <w:i/>
          <w:iCs/>
          <w:color w:val="auto"/>
          <w:sz w:val="21"/>
          <w:highlight w:val="none"/>
          <w:u w:val="single"/>
        </w:rPr>
        <w:t xml:space="preserve"> 1% </w:t>
      </w:r>
      <w:r>
        <w:rPr>
          <w:rFonts w:hint="eastAsia" w:asciiTheme="majorEastAsia" w:hAnsiTheme="majorEastAsia" w:eastAsiaTheme="majorEastAsia" w:cstheme="majorEastAsia"/>
          <w:color w:val="auto"/>
          <w:sz w:val="21"/>
          <w:highlight w:val="none"/>
        </w:rPr>
        <w:t>；</w:t>
      </w:r>
    </w:p>
    <w:p w14:paraId="4A965414">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（3）从迟交第九周起，每周迟延交付违约金为合同价款（报酬）的</w:t>
      </w:r>
      <w:r>
        <w:rPr>
          <w:rFonts w:hint="eastAsia" w:asciiTheme="majorEastAsia" w:hAnsiTheme="majorEastAsia" w:eastAsiaTheme="majorEastAsia" w:cstheme="majorEastAsia"/>
          <w:i/>
          <w:iCs/>
          <w:color w:val="auto"/>
          <w:sz w:val="21"/>
          <w:highlight w:val="none"/>
          <w:u w:val="single"/>
        </w:rPr>
        <w:t xml:space="preserve"> 1.5% </w:t>
      </w:r>
      <w:r>
        <w:rPr>
          <w:rFonts w:hint="eastAsia" w:asciiTheme="majorEastAsia" w:hAnsiTheme="majorEastAsia" w:eastAsiaTheme="majorEastAsia" w:cstheme="majorEastAsia"/>
          <w:color w:val="auto"/>
          <w:sz w:val="21"/>
          <w:highlight w:val="none"/>
        </w:rPr>
        <w:t>。在计算迟延交付违约金时，迟交不足一周的按一周计算。迟延交付违约金的总额不得超过合同价款（报酬）的</w:t>
      </w:r>
      <w:r>
        <w:rPr>
          <w:rFonts w:hint="eastAsia" w:asciiTheme="majorEastAsia" w:hAnsiTheme="majorEastAsia" w:eastAsiaTheme="majorEastAsia" w:cstheme="majorEastAsia"/>
          <w:color w:val="auto"/>
          <w:sz w:val="21"/>
          <w:highlight w:val="none"/>
          <w:u w:val="single"/>
        </w:rPr>
        <w:t xml:space="preserve"> 10% </w:t>
      </w:r>
      <w:r>
        <w:rPr>
          <w:rFonts w:hint="eastAsia" w:asciiTheme="majorEastAsia" w:hAnsiTheme="majorEastAsia" w:eastAsiaTheme="majorEastAsia" w:cstheme="majorEastAsia"/>
          <w:color w:val="auto"/>
          <w:sz w:val="21"/>
          <w:highlight w:val="none"/>
        </w:rPr>
        <w:t>。迟延交付违约金的支付不能免除乙方继续交付相关合同货物的义务，但如迟延交付必然导致合同货物安装、调试、验收等工作推迟的，相关工作应相应顺延。</w:t>
      </w:r>
    </w:p>
    <w:p w14:paraId="7C8BE9C9">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3.甲方未能按合同约定支付合同价款的，应向乙方支付延迟付款违约金。迟延付款违约金的计算方法如下：</w:t>
      </w:r>
    </w:p>
    <w:p w14:paraId="6822CF52">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（1）从迟付的第一周到第四周，每周迟延付款违约金为迟延付款金额的</w:t>
      </w:r>
      <w:r>
        <w:rPr>
          <w:rFonts w:hint="eastAsia" w:asciiTheme="majorEastAsia" w:hAnsiTheme="majorEastAsia" w:eastAsiaTheme="majorEastAsia" w:cstheme="majorEastAsia"/>
          <w:i/>
          <w:iCs/>
          <w:color w:val="auto"/>
          <w:sz w:val="21"/>
          <w:highlight w:val="none"/>
          <w:u w:val="single"/>
        </w:rPr>
        <w:t xml:space="preserve"> 0.5% </w:t>
      </w:r>
      <w:r>
        <w:rPr>
          <w:rFonts w:hint="eastAsia" w:asciiTheme="majorEastAsia" w:hAnsiTheme="majorEastAsia" w:eastAsiaTheme="majorEastAsia" w:cstheme="majorEastAsia"/>
          <w:color w:val="auto"/>
          <w:sz w:val="21"/>
          <w:highlight w:val="none"/>
        </w:rPr>
        <w:t>；</w:t>
      </w:r>
    </w:p>
    <w:p w14:paraId="2A1F8B0A">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（2）从迟付的第五周到第八周，每周迟延付款违约金为迟延付款金额的</w:t>
      </w:r>
      <w:r>
        <w:rPr>
          <w:rFonts w:hint="eastAsia" w:asciiTheme="majorEastAsia" w:hAnsiTheme="majorEastAsia" w:eastAsiaTheme="majorEastAsia" w:cstheme="majorEastAsia"/>
          <w:i/>
          <w:iCs/>
          <w:color w:val="auto"/>
          <w:sz w:val="21"/>
          <w:highlight w:val="none"/>
          <w:u w:val="single"/>
        </w:rPr>
        <w:t xml:space="preserve"> 1% </w:t>
      </w:r>
      <w:r>
        <w:rPr>
          <w:rFonts w:hint="eastAsia" w:asciiTheme="majorEastAsia" w:hAnsiTheme="majorEastAsia" w:eastAsiaTheme="majorEastAsia" w:cstheme="majorEastAsia"/>
          <w:color w:val="auto"/>
          <w:sz w:val="21"/>
          <w:highlight w:val="none"/>
        </w:rPr>
        <w:t>；</w:t>
      </w:r>
    </w:p>
    <w:p w14:paraId="0733C86B">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（3）从迟付第九周起，每周迟延付款违约金为迟延付款金额的</w:t>
      </w:r>
      <w:r>
        <w:rPr>
          <w:rFonts w:hint="eastAsia" w:asciiTheme="majorEastAsia" w:hAnsiTheme="majorEastAsia" w:eastAsiaTheme="majorEastAsia" w:cstheme="majorEastAsia"/>
          <w:i/>
          <w:iCs/>
          <w:color w:val="auto"/>
          <w:sz w:val="21"/>
          <w:highlight w:val="none"/>
          <w:u w:val="single"/>
        </w:rPr>
        <w:t xml:space="preserve"> 1.5% </w:t>
      </w:r>
      <w:r>
        <w:rPr>
          <w:rFonts w:hint="eastAsia" w:asciiTheme="majorEastAsia" w:hAnsiTheme="majorEastAsia" w:eastAsiaTheme="majorEastAsia" w:cstheme="majorEastAsia"/>
          <w:color w:val="auto"/>
          <w:sz w:val="21"/>
          <w:highlight w:val="none"/>
        </w:rPr>
        <w:t>。在计算迟延付款违约金时，迟付不足一周的按一周计算。迟延付款违约金的总额不得超过合同价格的</w:t>
      </w:r>
      <w:r>
        <w:rPr>
          <w:rFonts w:hint="eastAsia" w:asciiTheme="majorEastAsia" w:hAnsiTheme="majorEastAsia" w:eastAsiaTheme="majorEastAsia" w:cstheme="majorEastAsia"/>
          <w:color w:val="auto"/>
          <w:sz w:val="21"/>
          <w:highlight w:val="none"/>
          <w:u w:val="single"/>
        </w:rPr>
        <w:t xml:space="preserve"> 10% </w:t>
      </w:r>
      <w:r>
        <w:rPr>
          <w:rFonts w:hint="eastAsia" w:asciiTheme="majorEastAsia" w:hAnsiTheme="majorEastAsia" w:eastAsiaTheme="majorEastAsia" w:cstheme="majorEastAsia"/>
          <w:color w:val="auto"/>
          <w:sz w:val="21"/>
          <w:highlight w:val="none"/>
        </w:rPr>
        <w:t>。</w:t>
      </w:r>
    </w:p>
    <w:p w14:paraId="699707F8">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 xml:space="preserve">4.乙方未按本合同和投标（响应）文件承诺提供售后服务的，乙方应按本合同价款（报酬）的 </w:t>
      </w:r>
      <w:r>
        <w:rPr>
          <w:rFonts w:hint="eastAsia" w:asciiTheme="majorEastAsia" w:hAnsiTheme="majorEastAsia" w:eastAsiaTheme="majorEastAsia" w:cstheme="majorEastAsia"/>
          <w:color w:val="auto"/>
          <w:sz w:val="21"/>
          <w:highlight w:val="none"/>
          <w:u w:val="single"/>
        </w:rPr>
        <w:t xml:space="preserve"> 10 </w:t>
      </w:r>
      <w:r>
        <w:rPr>
          <w:rFonts w:hint="eastAsia" w:asciiTheme="majorEastAsia" w:hAnsiTheme="majorEastAsia" w:eastAsiaTheme="majorEastAsia" w:cstheme="majorEastAsia"/>
          <w:color w:val="auto"/>
          <w:sz w:val="21"/>
          <w:highlight w:val="none"/>
        </w:rPr>
        <w:t>%向甲方支付违约金。</w:t>
      </w:r>
    </w:p>
    <w:p w14:paraId="0A53B0EE">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5.因某一方原因导致变更、中止或者终止政府采购合同的，该方应当对另一方受到的损失予以赔偿或者补偿。</w:t>
      </w:r>
    </w:p>
    <w:p w14:paraId="28CDD749">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6.其它违约责任按《中华人民共和国民法典》处理。</w:t>
      </w:r>
    </w:p>
    <w:p w14:paraId="675AD0A8">
      <w:pPr>
        <w:pStyle w:val="25"/>
        <w:snapToGrid w:val="0"/>
        <w:spacing w:line="360" w:lineRule="exact"/>
        <w:ind w:firstLine="413" w:firstLineChars="196"/>
        <w:rPr>
          <w:rFonts w:asciiTheme="majorEastAsia" w:hAnsiTheme="majorEastAsia" w:eastAsiaTheme="majorEastAsia" w:cstheme="majorEastAsia"/>
          <w:b/>
          <w:bCs/>
          <w:color w:val="auto"/>
          <w:sz w:val="21"/>
          <w:highlight w:val="none"/>
        </w:rPr>
      </w:pPr>
      <w:r>
        <w:rPr>
          <w:rFonts w:hint="eastAsia" w:asciiTheme="majorEastAsia" w:hAnsiTheme="majorEastAsia" w:eastAsiaTheme="majorEastAsia" w:cstheme="majorEastAsia"/>
          <w:b/>
          <w:bCs/>
          <w:color w:val="auto"/>
          <w:sz w:val="21"/>
          <w:highlight w:val="none"/>
        </w:rPr>
        <w:t>第十一条  不可抗力事件处理</w:t>
      </w:r>
    </w:p>
    <w:p w14:paraId="233FA41B">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1.在合同有效期内，任何一方因不可抗力事件导致不能履行合同，则合同履行期可延长，其延长期与不可抗力影响期相同。</w:t>
      </w:r>
    </w:p>
    <w:p w14:paraId="4979E927">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2.不可抗力事件发生后，应立即通知对方，并寄送有关权威机构出具的证明。</w:t>
      </w:r>
    </w:p>
    <w:p w14:paraId="480E72F9">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3.不可抗力事件延续一百二十天以上，双方应通过友好协商，确定是否继续履行合同。</w:t>
      </w:r>
    </w:p>
    <w:p w14:paraId="22F5E9A3">
      <w:pPr>
        <w:snapToGrid w:val="0"/>
        <w:spacing w:line="360" w:lineRule="exact"/>
        <w:ind w:firstLine="422"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第十二条  合同争议解决</w:t>
      </w:r>
    </w:p>
    <w:p w14:paraId="6F51C81C">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1.因货物质量问题发生争议的，应邀请国家认可的质量检测机构对货物质量进行鉴定。货物符合标准的，鉴定费由甲方承担；货物不符合标准的，鉴定费由乙方承担。</w:t>
      </w:r>
    </w:p>
    <w:p w14:paraId="533D9708">
      <w:pPr>
        <w:autoSpaceDE w:val="0"/>
        <w:autoSpaceDN w:val="0"/>
        <w:adjustRightInd w:val="0"/>
        <w:spacing w:line="360" w:lineRule="exact"/>
        <w:ind w:right="40"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2.因履行本合同引起的或者与本合同有关的争议，甲乙双方应首先通过友好协商解决，如果协商不能解决，向甲方所在地的人民法院提起诉讼。</w:t>
      </w:r>
    </w:p>
    <w:p w14:paraId="73866E83">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第十三条 合同的变更、中止或者终止</w:t>
      </w:r>
    </w:p>
    <w:p w14:paraId="3EC5B94B">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除《中华人民共和国政府采购法》第五十条规定的情形外，本合同一经签订，甲乙双方不得擅自变更、中止或者终止合同。</w:t>
      </w:r>
    </w:p>
    <w:p w14:paraId="45276240">
      <w:pPr>
        <w:pStyle w:val="2"/>
        <w:spacing w:line="36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371A4876">
      <w:pPr>
        <w:snapToGrid w:val="0"/>
        <w:spacing w:line="360" w:lineRule="exact"/>
        <w:ind w:firstLine="422" w:firstLineChars="200"/>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 xml:space="preserve">第十四条 </w:t>
      </w:r>
      <w:r>
        <w:rPr>
          <w:rFonts w:hint="eastAsia" w:asciiTheme="majorEastAsia" w:hAnsiTheme="majorEastAsia" w:eastAsiaTheme="majorEastAsia" w:cstheme="majorEastAsia"/>
          <w:b/>
          <w:bCs/>
          <w:color w:val="auto"/>
          <w:kern w:val="0"/>
          <w:szCs w:val="21"/>
          <w:highlight w:val="none"/>
        </w:rPr>
        <w:t>合</w:t>
      </w:r>
      <w:r>
        <w:rPr>
          <w:rFonts w:hint="eastAsia" w:asciiTheme="majorEastAsia" w:hAnsiTheme="majorEastAsia" w:eastAsiaTheme="majorEastAsia" w:cstheme="majorEastAsia"/>
          <w:b/>
          <w:bCs/>
          <w:color w:val="auto"/>
          <w:spacing w:val="-2"/>
          <w:kern w:val="0"/>
          <w:szCs w:val="21"/>
          <w:highlight w:val="none"/>
        </w:rPr>
        <w:t>同</w:t>
      </w:r>
      <w:r>
        <w:rPr>
          <w:rFonts w:hint="eastAsia" w:asciiTheme="majorEastAsia" w:hAnsiTheme="majorEastAsia" w:eastAsiaTheme="majorEastAsia" w:cstheme="majorEastAsia"/>
          <w:b/>
          <w:bCs/>
          <w:color w:val="auto"/>
          <w:kern w:val="0"/>
          <w:szCs w:val="21"/>
          <w:highlight w:val="none"/>
        </w:rPr>
        <w:t>文</w:t>
      </w:r>
      <w:r>
        <w:rPr>
          <w:rFonts w:hint="eastAsia" w:asciiTheme="majorEastAsia" w:hAnsiTheme="majorEastAsia" w:eastAsiaTheme="majorEastAsia" w:cstheme="majorEastAsia"/>
          <w:b/>
          <w:bCs/>
          <w:color w:val="auto"/>
          <w:spacing w:val="-2"/>
          <w:kern w:val="0"/>
          <w:szCs w:val="21"/>
          <w:highlight w:val="none"/>
        </w:rPr>
        <w:t>件构成</w:t>
      </w:r>
    </w:p>
    <w:p w14:paraId="1283B851">
      <w:pPr>
        <w:pStyle w:val="25"/>
        <w:snapToGrid w:val="0"/>
        <w:spacing w:line="360" w:lineRule="exact"/>
        <w:ind w:left="420" w:left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1.政府采购合同</w:t>
      </w:r>
    </w:p>
    <w:p w14:paraId="4CFAB15E">
      <w:pPr>
        <w:pStyle w:val="25"/>
        <w:snapToGrid w:val="0"/>
        <w:spacing w:line="360" w:lineRule="exact"/>
        <w:ind w:left="420" w:left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2.中标（成交）通知书；</w:t>
      </w:r>
    </w:p>
    <w:p w14:paraId="31264EFF">
      <w:pPr>
        <w:pStyle w:val="25"/>
        <w:snapToGrid w:val="0"/>
        <w:spacing w:line="360" w:lineRule="exact"/>
        <w:ind w:left="420" w:left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3.投标（响应）文件；</w:t>
      </w:r>
    </w:p>
    <w:p w14:paraId="4D0D7394">
      <w:pPr>
        <w:pStyle w:val="25"/>
        <w:snapToGrid w:val="0"/>
        <w:spacing w:line="360" w:lineRule="exact"/>
        <w:ind w:left="420" w:left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4.采购文件及更正公告（澄清或补充通知）；</w:t>
      </w:r>
    </w:p>
    <w:p w14:paraId="673BDE1D">
      <w:pPr>
        <w:pStyle w:val="25"/>
        <w:snapToGrid w:val="0"/>
        <w:spacing w:line="360" w:lineRule="exact"/>
        <w:ind w:left="420" w:left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5.标准、规范及有关技术文件；</w:t>
      </w:r>
    </w:p>
    <w:p w14:paraId="508A857F">
      <w:pPr>
        <w:pStyle w:val="25"/>
        <w:snapToGrid w:val="0"/>
        <w:spacing w:line="360" w:lineRule="exact"/>
        <w:ind w:left="420" w:left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6.双方约定的其他合同文件。</w:t>
      </w:r>
    </w:p>
    <w:p w14:paraId="24DBA1FC">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上述合同文件互相补充和解释。如果合同文件之间存在矛盾或者不一致之处，以上述文件的排列顺序在先者为准。</w:t>
      </w:r>
    </w:p>
    <w:p w14:paraId="1A97BDD7">
      <w:pPr>
        <w:snapToGrid w:val="0"/>
        <w:spacing w:line="360" w:lineRule="exact"/>
        <w:ind w:firstLine="422"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第十五条 知识产权和保密要求</w:t>
      </w:r>
    </w:p>
    <w:p w14:paraId="5D083EDD">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1.甲方在履行合同过程中提供给乙方的全部图纸、文件和其他含有数据和信息的资料，其知识产权属于甲方。</w:t>
      </w:r>
    </w:p>
    <w:p w14:paraId="03763314">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60DF2A1A">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35AB610A">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44628F7D">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A42EBF6">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6.乙方保证将要交付的货物的所有权完全属于乙方且无任何抵押、质押、查封等产权瑕疵。</w:t>
      </w:r>
    </w:p>
    <w:p w14:paraId="2B096E5E">
      <w:pPr>
        <w:pStyle w:val="25"/>
        <w:snapToGrid w:val="0"/>
        <w:spacing w:line="360" w:lineRule="exact"/>
        <w:ind w:firstLine="413" w:firstLineChars="196"/>
        <w:rPr>
          <w:rFonts w:asciiTheme="majorEastAsia" w:hAnsiTheme="majorEastAsia" w:eastAsiaTheme="majorEastAsia" w:cstheme="majorEastAsia"/>
          <w:b/>
          <w:bCs/>
          <w:color w:val="auto"/>
          <w:sz w:val="21"/>
          <w:highlight w:val="none"/>
        </w:rPr>
      </w:pPr>
      <w:r>
        <w:rPr>
          <w:rFonts w:hint="eastAsia" w:asciiTheme="majorEastAsia" w:hAnsiTheme="majorEastAsia" w:eastAsiaTheme="majorEastAsia" w:cstheme="majorEastAsia"/>
          <w:b/>
          <w:bCs/>
          <w:color w:val="auto"/>
          <w:sz w:val="21"/>
          <w:highlight w:val="none"/>
        </w:rPr>
        <w:t>第十六条  合同生效及其它</w:t>
      </w:r>
    </w:p>
    <w:p w14:paraId="65AAF2F8">
      <w:pPr>
        <w:pStyle w:val="25"/>
        <w:snapToGrid w:val="0"/>
        <w:spacing w:line="360" w:lineRule="exact"/>
        <w:ind w:firstLine="420" w:firstLine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1.合同经双方法定代表人或者委托代理人签字并加盖单位公章后生效（委托代理人签字的需后附授权委托书，格式自拟）。</w:t>
      </w:r>
    </w:p>
    <w:p w14:paraId="39B6F519">
      <w:pPr>
        <w:pStyle w:val="2"/>
        <w:spacing w:line="36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2.合同执行中涉及采购资金和采购内容修改或者补充的，并签书面补充协议报财政部门备案，方可作为主合同不可分割的一部分。</w:t>
      </w:r>
    </w:p>
    <w:p w14:paraId="2FAD03F1">
      <w:pPr>
        <w:pStyle w:val="2"/>
        <w:spacing w:line="36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3.合同生效后，甲乙双方不得因姓名、名称的变更或者法定代表人、负责人、承办人的变动而不履行合同义务。</w:t>
      </w:r>
    </w:p>
    <w:p w14:paraId="6E72A2F3">
      <w:pPr>
        <w:pStyle w:val="25"/>
        <w:snapToGrid w:val="0"/>
        <w:spacing w:line="360" w:lineRule="exact"/>
        <w:ind w:left="420" w:leftChars="200"/>
        <w:rPr>
          <w:rFonts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4.本合同未尽事宜，遵照《中华人民共和国民法典》有关条文执行。</w:t>
      </w:r>
    </w:p>
    <w:p w14:paraId="70724150">
      <w:pPr>
        <w:snapToGrid w:val="0"/>
        <w:spacing w:line="36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5.本合同一式陆份，具有同等法律效力，甲方执叁份，乙方执贰份，采购代理机构存壹份。（可根据需要另增加） </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D1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261" w:type="dxa"/>
            <w:tcBorders>
              <w:top w:val="single" w:color="auto" w:sz="4" w:space="0"/>
              <w:left w:val="single" w:color="auto" w:sz="4" w:space="0"/>
              <w:bottom w:val="single" w:color="auto" w:sz="4" w:space="0"/>
              <w:right w:val="single" w:color="auto" w:sz="4" w:space="0"/>
            </w:tcBorders>
            <w:vAlign w:val="center"/>
          </w:tcPr>
          <w:p w14:paraId="19544867">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甲方（章）           </w:t>
            </w:r>
          </w:p>
          <w:p w14:paraId="0CC14BB9">
            <w:pPr>
              <w:snapToGrid w:val="0"/>
              <w:spacing w:line="360" w:lineRule="exact"/>
              <w:rPr>
                <w:rFonts w:asciiTheme="majorEastAsia" w:hAnsiTheme="majorEastAsia" w:eastAsiaTheme="majorEastAsia" w:cstheme="majorEastAsia"/>
                <w:color w:val="auto"/>
                <w:szCs w:val="21"/>
                <w:highlight w:val="none"/>
              </w:rPr>
            </w:pPr>
          </w:p>
          <w:p w14:paraId="010448F0">
            <w:pPr>
              <w:snapToGrid w:val="0"/>
              <w:spacing w:line="360" w:lineRule="exact"/>
              <w:ind w:firstLine="0" w:firstLineChars="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年   月   日</w:t>
            </w:r>
          </w:p>
        </w:tc>
        <w:tc>
          <w:tcPr>
            <w:tcW w:w="4261" w:type="dxa"/>
            <w:tcBorders>
              <w:top w:val="single" w:color="auto" w:sz="4" w:space="0"/>
              <w:left w:val="nil"/>
              <w:bottom w:val="single" w:color="auto" w:sz="4" w:space="0"/>
              <w:right w:val="single" w:color="auto" w:sz="4" w:space="0"/>
            </w:tcBorders>
            <w:vAlign w:val="center"/>
          </w:tcPr>
          <w:p w14:paraId="1D34555A">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乙方（章）              </w:t>
            </w:r>
          </w:p>
          <w:p w14:paraId="5AF6F060">
            <w:pPr>
              <w:snapToGrid w:val="0"/>
              <w:spacing w:line="360" w:lineRule="exact"/>
              <w:rPr>
                <w:rFonts w:asciiTheme="majorEastAsia" w:hAnsiTheme="majorEastAsia" w:eastAsiaTheme="majorEastAsia" w:cstheme="majorEastAsia"/>
                <w:color w:val="auto"/>
                <w:szCs w:val="21"/>
                <w:highlight w:val="none"/>
              </w:rPr>
            </w:pPr>
          </w:p>
          <w:p w14:paraId="010448F0">
            <w:pPr>
              <w:snapToGrid w:val="0"/>
              <w:spacing w:line="36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年   月   日</w:t>
            </w:r>
          </w:p>
        </w:tc>
      </w:tr>
      <w:tr w14:paraId="650C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61" w:type="dxa"/>
            <w:tcBorders>
              <w:top w:val="single" w:color="auto" w:sz="4" w:space="0"/>
              <w:left w:val="single" w:color="auto" w:sz="4" w:space="0"/>
              <w:bottom w:val="single" w:color="auto" w:sz="4" w:space="0"/>
              <w:right w:val="single" w:color="auto" w:sz="4" w:space="0"/>
            </w:tcBorders>
            <w:vAlign w:val="center"/>
          </w:tcPr>
          <w:p w14:paraId="6C0DF51B">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单位地址：</w:t>
            </w:r>
          </w:p>
        </w:tc>
        <w:tc>
          <w:tcPr>
            <w:tcW w:w="4261" w:type="dxa"/>
            <w:tcBorders>
              <w:top w:val="single" w:color="auto" w:sz="4" w:space="0"/>
              <w:left w:val="nil"/>
              <w:bottom w:val="single" w:color="auto" w:sz="4" w:space="0"/>
              <w:right w:val="single" w:color="auto" w:sz="4" w:space="0"/>
            </w:tcBorders>
            <w:vAlign w:val="center"/>
          </w:tcPr>
          <w:p w14:paraId="10DE0BA7">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单位地址：</w:t>
            </w:r>
          </w:p>
        </w:tc>
      </w:tr>
      <w:tr w14:paraId="0C16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261" w:type="dxa"/>
            <w:tcBorders>
              <w:top w:val="single" w:color="auto" w:sz="4" w:space="0"/>
              <w:left w:val="single" w:color="auto" w:sz="4" w:space="0"/>
              <w:bottom w:val="single" w:color="auto" w:sz="4" w:space="0"/>
              <w:right w:val="single" w:color="auto" w:sz="4" w:space="0"/>
            </w:tcBorders>
          </w:tcPr>
          <w:p w14:paraId="336160B3">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法定代表人或者委托代理人：</w:t>
            </w:r>
          </w:p>
        </w:tc>
        <w:tc>
          <w:tcPr>
            <w:tcW w:w="4261" w:type="dxa"/>
            <w:tcBorders>
              <w:top w:val="single" w:color="auto" w:sz="4" w:space="0"/>
              <w:left w:val="nil"/>
              <w:bottom w:val="single" w:color="auto" w:sz="4" w:space="0"/>
              <w:right w:val="single" w:color="auto" w:sz="4" w:space="0"/>
            </w:tcBorders>
          </w:tcPr>
          <w:p w14:paraId="55BC123C">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法定代表人或者委托代理人：</w:t>
            </w:r>
          </w:p>
        </w:tc>
      </w:tr>
      <w:tr w14:paraId="3494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1" w:type="dxa"/>
            <w:tcBorders>
              <w:top w:val="single" w:color="auto" w:sz="4" w:space="0"/>
              <w:left w:val="single" w:color="auto" w:sz="4" w:space="0"/>
              <w:bottom w:val="single" w:color="auto" w:sz="4" w:space="0"/>
              <w:right w:val="single" w:color="auto" w:sz="4" w:space="0"/>
            </w:tcBorders>
            <w:vAlign w:val="center"/>
          </w:tcPr>
          <w:p w14:paraId="09B80EA6">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电话：</w:t>
            </w:r>
          </w:p>
        </w:tc>
        <w:tc>
          <w:tcPr>
            <w:tcW w:w="4261" w:type="dxa"/>
            <w:tcBorders>
              <w:top w:val="single" w:color="auto" w:sz="4" w:space="0"/>
              <w:left w:val="nil"/>
              <w:bottom w:val="single" w:color="auto" w:sz="4" w:space="0"/>
              <w:right w:val="single" w:color="auto" w:sz="4" w:space="0"/>
            </w:tcBorders>
            <w:vAlign w:val="center"/>
          </w:tcPr>
          <w:p w14:paraId="60CF5B11">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电话：</w:t>
            </w:r>
          </w:p>
        </w:tc>
      </w:tr>
      <w:tr w14:paraId="5673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261" w:type="dxa"/>
            <w:tcBorders>
              <w:top w:val="single" w:color="auto" w:sz="4" w:space="0"/>
              <w:left w:val="single" w:color="auto" w:sz="4" w:space="0"/>
              <w:bottom w:val="single" w:color="auto" w:sz="4" w:space="0"/>
              <w:right w:val="single" w:color="auto" w:sz="4" w:space="0"/>
            </w:tcBorders>
            <w:vAlign w:val="center"/>
          </w:tcPr>
          <w:p w14:paraId="45D8BA17">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电子邮箱：</w:t>
            </w:r>
          </w:p>
        </w:tc>
        <w:tc>
          <w:tcPr>
            <w:tcW w:w="4261" w:type="dxa"/>
            <w:tcBorders>
              <w:top w:val="single" w:color="auto" w:sz="4" w:space="0"/>
              <w:left w:val="nil"/>
              <w:bottom w:val="single" w:color="auto" w:sz="4" w:space="0"/>
              <w:right w:val="single" w:color="auto" w:sz="4" w:space="0"/>
            </w:tcBorders>
            <w:vAlign w:val="center"/>
          </w:tcPr>
          <w:p w14:paraId="57C2E32B">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电子邮箱：</w:t>
            </w:r>
          </w:p>
        </w:tc>
      </w:tr>
      <w:tr w14:paraId="35C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1" w:type="dxa"/>
            <w:tcBorders>
              <w:top w:val="single" w:color="auto" w:sz="4" w:space="0"/>
              <w:left w:val="single" w:color="auto" w:sz="4" w:space="0"/>
              <w:bottom w:val="single" w:color="auto" w:sz="4" w:space="0"/>
              <w:right w:val="single" w:color="auto" w:sz="4" w:space="0"/>
            </w:tcBorders>
            <w:vAlign w:val="center"/>
          </w:tcPr>
          <w:p w14:paraId="7DDE34AA">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开户银行：</w:t>
            </w:r>
          </w:p>
        </w:tc>
        <w:tc>
          <w:tcPr>
            <w:tcW w:w="4261" w:type="dxa"/>
            <w:tcBorders>
              <w:top w:val="single" w:color="auto" w:sz="4" w:space="0"/>
              <w:left w:val="nil"/>
              <w:bottom w:val="single" w:color="auto" w:sz="4" w:space="0"/>
              <w:right w:val="single" w:color="auto" w:sz="4" w:space="0"/>
            </w:tcBorders>
            <w:vAlign w:val="center"/>
          </w:tcPr>
          <w:p w14:paraId="4728F283">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开户银行：</w:t>
            </w:r>
          </w:p>
        </w:tc>
      </w:tr>
      <w:tr w14:paraId="3693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261" w:type="dxa"/>
            <w:tcBorders>
              <w:top w:val="single" w:color="auto" w:sz="4" w:space="0"/>
              <w:left w:val="single" w:color="auto" w:sz="4" w:space="0"/>
              <w:bottom w:val="single" w:color="auto" w:sz="4" w:space="0"/>
              <w:right w:val="single" w:color="auto" w:sz="4" w:space="0"/>
            </w:tcBorders>
            <w:vAlign w:val="center"/>
          </w:tcPr>
          <w:p w14:paraId="07AF1799">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账号：</w:t>
            </w:r>
          </w:p>
        </w:tc>
        <w:tc>
          <w:tcPr>
            <w:tcW w:w="4261" w:type="dxa"/>
            <w:tcBorders>
              <w:top w:val="single" w:color="auto" w:sz="4" w:space="0"/>
              <w:left w:val="nil"/>
              <w:bottom w:val="single" w:color="auto" w:sz="4" w:space="0"/>
              <w:right w:val="single" w:color="auto" w:sz="4" w:space="0"/>
            </w:tcBorders>
            <w:vAlign w:val="center"/>
          </w:tcPr>
          <w:p w14:paraId="545AA2AC">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账号：</w:t>
            </w:r>
          </w:p>
        </w:tc>
      </w:tr>
      <w:tr w14:paraId="183C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261" w:type="dxa"/>
            <w:tcBorders>
              <w:top w:val="single" w:color="auto" w:sz="4" w:space="0"/>
              <w:left w:val="single" w:color="auto" w:sz="4" w:space="0"/>
              <w:bottom w:val="single" w:color="auto" w:sz="4" w:space="0"/>
              <w:right w:val="single" w:color="auto" w:sz="4" w:space="0"/>
            </w:tcBorders>
            <w:vAlign w:val="center"/>
          </w:tcPr>
          <w:p w14:paraId="093BF19C">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邮政编码：</w:t>
            </w:r>
          </w:p>
        </w:tc>
        <w:tc>
          <w:tcPr>
            <w:tcW w:w="4261" w:type="dxa"/>
            <w:tcBorders>
              <w:top w:val="single" w:color="auto" w:sz="4" w:space="0"/>
              <w:left w:val="nil"/>
              <w:bottom w:val="single" w:color="auto" w:sz="4" w:space="0"/>
              <w:right w:val="single" w:color="auto" w:sz="4" w:space="0"/>
            </w:tcBorders>
            <w:vAlign w:val="center"/>
          </w:tcPr>
          <w:p w14:paraId="585D0ED1">
            <w:pPr>
              <w:snapToGrid w:val="0"/>
              <w:spacing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邮政编码：</w:t>
            </w:r>
          </w:p>
        </w:tc>
      </w:tr>
    </w:tbl>
    <w:p w14:paraId="759033C4">
      <w:pPr>
        <w:snapToGrid w:val="0"/>
        <w:jc w:val="both"/>
        <w:rPr>
          <w:rFonts w:hAnsi="宋体" w:cs="宋体"/>
          <w:color w:val="auto"/>
          <w:sz w:val="32"/>
          <w:szCs w:val="32"/>
          <w:highlight w:val="none"/>
        </w:rPr>
      </w:pPr>
      <w:r>
        <w:rPr>
          <w:rFonts w:hint="eastAsia" w:hAnsi="宋体" w:cs="宋体"/>
          <w:color w:val="auto"/>
          <w:sz w:val="32"/>
          <w:szCs w:val="32"/>
          <w:highlight w:val="none"/>
        </w:rPr>
        <w:t>拟签订的合同文本2</w:t>
      </w:r>
    </w:p>
    <w:p w14:paraId="70C87D2F">
      <w:pPr>
        <w:pStyle w:val="4"/>
        <w:spacing w:line="520" w:lineRule="exact"/>
        <w:jc w:val="center"/>
        <w:rPr>
          <w:color w:val="auto"/>
          <w:highlight w:val="none"/>
        </w:rPr>
      </w:pPr>
      <w:bookmarkStart w:id="173" w:name="_Toc19153"/>
      <w:r>
        <w:rPr>
          <w:rFonts w:hint="eastAsia"/>
          <w:color w:val="auto"/>
          <w:highlight w:val="none"/>
        </w:rPr>
        <w:t>采购合同</w:t>
      </w:r>
      <w:bookmarkEnd w:id="173"/>
    </w:p>
    <w:p w14:paraId="00D05708">
      <w:pPr>
        <w:snapToGrid w:val="0"/>
        <w:spacing w:after="140" w:line="360" w:lineRule="exact"/>
        <w:rPr>
          <w:rFonts w:asciiTheme="majorEastAsia" w:hAnsiTheme="majorEastAsia" w:eastAsiaTheme="majorEastAsia" w:cstheme="majorEastAsia"/>
          <w:color w:val="auto"/>
          <w:szCs w:val="21"/>
          <w:highlight w:val="none"/>
        </w:rPr>
      </w:pPr>
      <w:bookmarkStart w:id="174" w:name="OLE_LINK53"/>
      <w:r>
        <w:rPr>
          <w:rFonts w:hint="eastAsia" w:asciiTheme="majorEastAsia" w:hAnsiTheme="majorEastAsia" w:eastAsiaTheme="majorEastAsia" w:cstheme="majorEastAsia"/>
          <w:color w:val="auto"/>
          <w:szCs w:val="21"/>
          <w:highlight w:val="none"/>
        </w:rPr>
        <w:t>合同编号：</w:t>
      </w:r>
    </w:p>
    <w:p w14:paraId="58E0AD93">
      <w:pPr>
        <w:snapToGrid w:val="0"/>
        <w:spacing w:after="140"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采购人（甲方）：</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 w:val="22"/>
          <w:szCs w:val="22"/>
          <w:highlight w:val="none"/>
          <w:u w:val="single"/>
        </w:rPr>
        <w:t>贵港覃塘工业园区管理委员会</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供应商（乙方）：</w:t>
      </w:r>
      <w:r>
        <w:rPr>
          <w:rFonts w:hint="eastAsia" w:asciiTheme="majorEastAsia" w:hAnsiTheme="majorEastAsia" w:eastAsiaTheme="majorEastAsia" w:cstheme="majorEastAsia"/>
          <w:color w:val="auto"/>
          <w:szCs w:val="21"/>
          <w:highlight w:val="none"/>
          <w:u w:val="single"/>
        </w:rPr>
        <w:t xml:space="preserve">                          </w:t>
      </w:r>
    </w:p>
    <w:p w14:paraId="21C8DFAB">
      <w:pPr>
        <w:snapToGrid w:val="0"/>
        <w:spacing w:after="140"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pacing w:val="-20"/>
          <w:szCs w:val="21"/>
          <w:highlight w:val="none"/>
        </w:rPr>
        <w:t>采 购 计 划 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项目名称：</w:t>
      </w:r>
      <w:r>
        <w:rPr>
          <w:rFonts w:hint="eastAsia" w:asciiTheme="majorEastAsia" w:hAnsiTheme="majorEastAsia" w:eastAsiaTheme="majorEastAsia" w:cstheme="majorEastAsia"/>
          <w:color w:val="auto"/>
          <w:szCs w:val="21"/>
          <w:highlight w:val="none"/>
          <w:u w:val="single"/>
        </w:rPr>
        <w:t xml:space="preserve">                           </w:t>
      </w:r>
    </w:p>
    <w:p w14:paraId="53F36577">
      <w:pPr>
        <w:snapToGrid w:val="0"/>
        <w:spacing w:after="140"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项目编号：</w:t>
      </w:r>
      <w:r>
        <w:rPr>
          <w:rFonts w:hint="eastAsia" w:asciiTheme="majorEastAsia" w:hAnsiTheme="majorEastAsia" w:eastAsiaTheme="majorEastAsia" w:cstheme="majorEastAsia"/>
          <w:color w:val="auto"/>
          <w:szCs w:val="21"/>
          <w:highlight w:val="none"/>
          <w:u w:val="single"/>
        </w:rPr>
        <w:t xml:space="preserve">                 </w:t>
      </w:r>
    </w:p>
    <w:p w14:paraId="67C7C02E">
      <w:pPr>
        <w:spacing w:after="140" w:line="4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标项名称：</w:t>
      </w:r>
      <w:r>
        <w:rPr>
          <w:rFonts w:hint="eastAsia" w:asciiTheme="majorEastAsia" w:hAnsiTheme="majorEastAsia" w:eastAsiaTheme="majorEastAsia" w:cstheme="majorEastAsia"/>
          <w:color w:val="auto"/>
          <w:sz w:val="22"/>
          <w:szCs w:val="22"/>
          <w:highlight w:val="none"/>
          <w:u w:val="single"/>
        </w:rPr>
        <w:t>贵港覃塘产业园区新材料科技园重大安全风险防控项目(易燃易爆有毒有害气体泄漏探测设备)</w:t>
      </w:r>
    </w:p>
    <w:p w14:paraId="4C6ABDCA">
      <w:pPr>
        <w:spacing w:after="140" w:line="4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分 标 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 w:val="22"/>
          <w:szCs w:val="22"/>
          <w:highlight w:val="none"/>
          <w:u w:val="single"/>
        </w:rPr>
        <w:t xml:space="preserve"> 分标2  </w:t>
      </w:r>
      <w:r>
        <w:rPr>
          <w:rFonts w:hint="eastAsia" w:asciiTheme="majorEastAsia" w:hAnsiTheme="majorEastAsia" w:eastAsiaTheme="majorEastAsia" w:cstheme="majorEastAsia"/>
          <w:color w:val="auto"/>
          <w:szCs w:val="21"/>
          <w:highlight w:val="none"/>
          <w:u w:val="single"/>
        </w:rPr>
        <w:t xml:space="preserve">  </w:t>
      </w:r>
    </w:p>
    <w:p w14:paraId="28C67503">
      <w:pPr>
        <w:spacing w:after="140"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本合同为中小企业预留合同：</w:t>
      </w:r>
      <w:r>
        <w:rPr>
          <w:rFonts w:hint="eastAsia" w:asciiTheme="majorEastAsia" w:hAnsiTheme="majorEastAsia" w:eastAsiaTheme="majorEastAsia" w:cstheme="majorEastAsia"/>
          <w:i/>
          <w:iCs/>
          <w:color w:val="auto"/>
          <w:szCs w:val="21"/>
          <w:highlight w:val="none"/>
          <w:u w:val="single"/>
        </w:rPr>
        <w:t>（是/否）</w:t>
      </w:r>
      <w:r>
        <w:rPr>
          <w:rFonts w:hint="eastAsia" w:asciiTheme="majorEastAsia" w:hAnsiTheme="majorEastAsia" w:eastAsiaTheme="majorEastAsia" w:cstheme="majorEastAsia"/>
          <w:color w:val="auto"/>
          <w:szCs w:val="21"/>
          <w:highlight w:val="none"/>
        </w:rPr>
        <w:t>。</w:t>
      </w:r>
    </w:p>
    <w:bookmarkEnd w:id="174"/>
    <w:p w14:paraId="15394636">
      <w:pPr>
        <w:spacing w:after="140" w:line="360" w:lineRule="exact"/>
        <w:ind w:firstLine="420" w:firstLineChars="200"/>
        <w:rPr>
          <w:rFonts w:ascii="宋体" w:hAnsi="宋体" w:cs="宋体"/>
          <w:color w:val="auto"/>
          <w:szCs w:val="21"/>
          <w:highlight w:val="none"/>
        </w:rPr>
      </w:pPr>
    </w:p>
    <w:p w14:paraId="2355E5CD">
      <w:pPr>
        <w:spacing w:after="140" w:line="360" w:lineRule="exact"/>
        <w:ind w:firstLine="420" w:firstLineChars="200"/>
        <w:rPr>
          <w:rFonts w:ascii="宋体" w:hAnsi="宋体" w:cs="宋体"/>
          <w:color w:val="auto"/>
          <w:szCs w:val="21"/>
          <w:highlight w:val="none"/>
        </w:rPr>
      </w:pPr>
      <w:bookmarkStart w:id="175" w:name="OLE_LINK51"/>
      <w:r>
        <w:rPr>
          <w:rFonts w:hint="eastAsia" w:ascii="宋体" w:hAnsi="宋体" w:cs="宋体"/>
          <w:color w:val="auto"/>
          <w:szCs w:val="21"/>
          <w:highlight w:val="none"/>
        </w:rPr>
        <w:t>根据《中华人民共和国政府采购法》</w:t>
      </w:r>
      <w:bookmarkEnd w:id="175"/>
      <w:r>
        <w:rPr>
          <w:rFonts w:hint="eastAsia" w:ascii="宋体" w:hAnsi="宋体" w:cs="宋体"/>
          <w:color w:val="auto"/>
          <w:szCs w:val="21"/>
          <w:highlight w:val="none"/>
        </w:rPr>
        <w:t>、《中华人民共和国民法典》等法律、法规规定，按照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702AFC44">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404D3503">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50"/>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2CC5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72CD16A">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6DEB3142">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049DD08C">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1320" w:type="dxa"/>
            <w:tcBorders>
              <w:top w:val="single" w:color="auto" w:sz="4" w:space="0"/>
              <w:left w:val="single" w:color="auto" w:sz="4" w:space="0"/>
              <w:bottom w:val="single" w:color="auto" w:sz="4" w:space="0"/>
              <w:right w:val="single" w:color="auto" w:sz="4" w:space="0"/>
            </w:tcBorders>
            <w:vAlign w:val="center"/>
          </w:tcPr>
          <w:p w14:paraId="3C031FF1">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02791E3A">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184220C9">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单  价</w:t>
            </w:r>
          </w:p>
          <w:p w14:paraId="47D342C7">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52878F44">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6A2B4D40">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r>
      <w:tr w14:paraId="0400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20" w:type="dxa"/>
            <w:tcBorders>
              <w:top w:val="single" w:color="auto" w:sz="4" w:space="0"/>
              <w:left w:val="single" w:color="auto" w:sz="4" w:space="0"/>
              <w:bottom w:val="single" w:color="auto" w:sz="4" w:space="0"/>
              <w:right w:val="single" w:color="auto" w:sz="4" w:space="0"/>
            </w:tcBorders>
            <w:vAlign w:val="center"/>
          </w:tcPr>
          <w:p w14:paraId="0F137176">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13" w:type="dxa"/>
            <w:tcBorders>
              <w:top w:val="single" w:color="auto" w:sz="4" w:space="0"/>
              <w:left w:val="single" w:color="auto" w:sz="4" w:space="0"/>
              <w:bottom w:val="single" w:color="auto" w:sz="4" w:space="0"/>
              <w:right w:val="single" w:color="auto" w:sz="4" w:space="0"/>
            </w:tcBorders>
            <w:vAlign w:val="center"/>
          </w:tcPr>
          <w:p w14:paraId="1E10507B">
            <w:pPr>
              <w:spacing w:after="140" w:line="360" w:lineRule="exact"/>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65230E38">
            <w:pPr>
              <w:spacing w:after="140" w:line="360" w:lineRule="exact"/>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2BC1715">
            <w:pPr>
              <w:spacing w:after="140" w:line="360" w:lineRule="exact"/>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8351F93">
            <w:pPr>
              <w:spacing w:after="140" w:line="360" w:lineRule="exact"/>
              <w:jc w:val="cente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3786ABDA">
            <w:pPr>
              <w:spacing w:after="140" w:line="360" w:lineRule="exact"/>
              <w:jc w:val="center"/>
              <w:rPr>
                <w:rFonts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346A3FF3">
            <w:pPr>
              <w:spacing w:after="140" w:line="360" w:lineRule="exact"/>
              <w:jc w:val="center"/>
              <w:rPr>
                <w:rFonts w:ascii="宋体" w:hAnsi="宋体" w:cs="宋体"/>
                <w:color w:val="auto"/>
                <w:szCs w:val="21"/>
                <w:highlight w:val="none"/>
              </w:rPr>
            </w:pPr>
          </w:p>
        </w:tc>
      </w:tr>
      <w:tr w14:paraId="7F61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20" w:type="dxa"/>
            <w:tcBorders>
              <w:top w:val="single" w:color="auto" w:sz="4" w:space="0"/>
              <w:left w:val="single" w:color="auto" w:sz="4" w:space="0"/>
              <w:bottom w:val="single" w:color="auto" w:sz="4" w:space="0"/>
              <w:right w:val="single" w:color="auto" w:sz="4" w:space="0"/>
            </w:tcBorders>
            <w:vAlign w:val="center"/>
          </w:tcPr>
          <w:p w14:paraId="19291641">
            <w:pPr>
              <w:spacing w:after="140"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13" w:type="dxa"/>
            <w:tcBorders>
              <w:top w:val="single" w:color="auto" w:sz="4" w:space="0"/>
              <w:left w:val="single" w:color="auto" w:sz="4" w:space="0"/>
              <w:bottom w:val="single" w:color="auto" w:sz="4" w:space="0"/>
              <w:right w:val="single" w:color="auto" w:sz="4" w:space="0"/>
            </w:tcBorders>
            <w:vAlign w:val="center"/>
          </w:tcPr>
          <w:p w14:paraId="7331DAD1">
            <w:pPr>
              <w:spacing w:after="140" w:line="360" w:lineRule="exact"/>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61560AEF">
            <w:pPr>
              <w:spacing w:after="140" w:line="360" w:lineRule="exact"/>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B89AA51">
            <w:pPr>
              <w:spacing w:after="140" w:line="360" w:lineRule="exact"/>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92B474A">
            <w:pPr>
              <w:spacing w:after="140" w:line="360" w:lineRule="exact"/>
              <w:jc w:val="cente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3207B2C1">
            <w:pPr>
              <w:spacing w:after="140" w:line="360" w:lineRule="exact"/>
              <w:jc w:val="center"/>
              <w:rPr>
                <w:rFonts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2992B66B">
            <w:pPr>
              <w:spacing w:after="140" w:line="360" w:lineRule="exact"/>
              <w:jc w:val="center"/>
              <w:rPr>
                <w:rFonts w:ascii="宋体" w:hAnsi="宋体" w:cs="宋体"/>
                <w:color w:val="auto"/>
                <w:szCs w:val="21"/>
                <w:highlight w:val="none"/>
              </w:rPr>
            </w:pPr>
          </w:p>
        </w:tc>
      </w:tr>
      <w:tr w14:paraId="795D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3DE78100">
            <w:pPr>
              <w:spacing w:after="140" w:line="360" w:lineRule="exact"/>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088871AC">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投标全部采购需求所应提供的服务，以及伴随的货物的价格；包含投标服务、货物的成本、运输（含保险）、安装、调试、检验、技术服务、培训、税费等所有费用。如招标文件对其另有规定的，从其规定。</w:t>
      </w:r>
    </w:p>
    <w:p w14:paraId="30AC9464">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3C279187">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1DF9D076">
      <w:pPr>
        <w:spacing w:after="140"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3D7259E1">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A6C76DF">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D36715B">
      <w:pPr>
        <w:spacing w:after="140"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3CD2311B">
      <w:pPr>
        <w:spacing w:after="140"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1、合同履行期限：</w:t>
      </w:r>
      <w:r>
        <w:rPr>
          <w:rFonts w:hint="eastAsia" w:ascii="宋体" w:hAnsi="宋体" w:cs="宋体"/>
          <w:color w:val="auto"/>
          <w:szCs w:val="21"/>
          <w:highlight w:val="none"/>
          <w:u w:val="single"/>
        </w:rPr>
        <w:t xml:space="preserve">                                                 ；</w:t>
      </w:r>
    </w:p>
    <w:p w14:paraId="4692AAFF">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服务地点：</w:t>
      </w:r>
      <w:r>
        <w:rPr>
          <w:rFonts w:hint="eastAsia" w:ascii="宋体" w:hAnsi="宋体" w:cs="宋体"/>
          <w:color w:val="auto"/>
          <w:szCs w:val="21"/>
          <w:highlight w:val="none"/>
          <w:u w:val="single"/>
        </w:rPr>
        <w:t>采购人指定地点</w:t>
      </w:r>
      <w:r>
        <w:rPr>
          <w:rFonts w:hint="eastAsia" w:ascii="宋体" w:hAnsi="宋体" w:cs="宋体"/>
          <w:color w:val="auto"/>
          <w:szCs w:val="21"/>
          <w:highlight w:val="none"/>
        </w:rPr>
        <w:t>。</w:t>
      </w:r>
    </w:p>
    <w:p w14:paraId="741DE937">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4AD93FD2">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33B2C5CB">
      <w:pPr>
        <w:spacing w:after="140" w:line="360" w:lineRule="exact"/>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048A888F">
      <w:pPr>
        <w:spacing w:after="140"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5、甲乙双方应按照双方合同、投标文件验收。</w:t>
      </w:r>
    </w:p>
    <w:p w14:paraId="169A2868">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0D6C3EA9">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29D0E03E">
      <w:pPr>
        <w:snapToGrid w:val="0"/>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67CEB5A7">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4C9E0D9B">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59F7AB50">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由甲方安排</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E54B7E1">
      <w:pPr>
        <w:snapToGrid w:val="0"/>
        <w:spacing w:after="140"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第六条　付款方式</w:t>
      </w:r>
    </w:p>
    <w:p w14:paraId="3E5B14C2">
      <w:pPr>
        <w:snapToGrid w:val="0"/>
        <w:spacing w:after="140" w:line="360" w:lineRule="exact"/>
        <w:ind w:firstLine="420" w:firstLineChars="200"/>
        <w:rPr>
          <w:rFonts w:hint="eastAsia" w:ascii="宋体" w:hAnsi="宋体" w:cs="宋体"/>
          <w:b/>
          <w:color w:val="auto"/>
          <w:szCs w:val="21"/>
          <w:highlight w:val="none"/>
        </w:rPr>
      </w:pPr>
      <w:r>
        <w:rPr>
          <w:rFonts w:hint="eastAsia" w:ascii="宋体" w:hAnsi="宋体" w:cs="宋体"/>
          <w:color w:val="auto"/>
          <w:kern w:val="0"/>
          <w:sz w:val="21"/>
          <w:szCs w:val="21"/>
          <w:highlight w:val="none"/>
          <w:lang w:eastAsia="zh-CN" w:bidi="ar"/>
        </w:rPr>
        <w:t>合同签订生效后，乙方提交预付合同金额30%的申请，审批通过后支付，主要硬件设备到货后，经甲方确认并验收合格后支付至合同总额的60%，自平台开发完成、前端设备安装验收合格正常使用后，甲方按流程支付至合同价款的97%，验收合格三年后甲方按流程支付合同价款的3%。注：付款前提是，乙方需在结款日之前开具等额的增值税发票。</w:t>
      </w:r>
    </w:p>
    <w:p w14:paraId="6F6FAC1B">
      <w:pPr>
        <w:numPr>
          <w:ilvl w:val="0"/>
          <w:numId w:val="16"/>
        </w:numPr>
        <w:snapToGrid w:val="0"/>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履约保证金</w:t>
      </w:r>
    </w:p>
    <w:p w14:paraId="0D786DF2">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无</w:t>
      </w:r>
    </w:p>
    <w:p w14:paraId="7B20792C">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0EE5E172">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78355735">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001EA2DC">
      <w:pPr>
        <w:snapToGrid w:val="0"/>
        <w:spacing w:after="140"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1、除不可抗力原因外，乙方没有按照合同规定的时间提供服务的，甲方可要求乙方支付违约金。每推迟一天按合同金额的0.5‰支付违约金，该违约金累计不超过合同金额的10%。</w:t>
      </w:r>
      <w:r>
        <w:rPr>
          <w:rFonts w:hint="eastAsia" w:ascii="宋体" w:hAnsi="宋体" w:cs="宋体"/>
          <w:color w:val="auto"/>
          <w:szCs w:val="21"/>
          <w:highlight w:val="none"/>
        </w:rPr>
        <w:t xml:space="preserve">                                  </w:t>
      </w:r>
    </w:p>
    <w:p w14:paraId="452D267E">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3D1E9F4D">
      <w:pPr>
        <w:snapToGrid w:val="0"/>
        <w:spacing w:after="140" w:line="360" w:lineRule="exact"/>
        <w:ind w:firstLine="420" w:firstLineChars="200"/>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1D5F40E3">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14:paraId="01E6B1AB">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14A9DD03">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027A8C47">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53DEBF58">
      <w:pPr>
        <w:spacing w:after="140"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67414DD4">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03FC209">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4C81C44D">
      <w:pPr>
        <w:snapToGrid w:val="0"/>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3F81E37C">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38C0B46">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2089B817">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79A1961">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45D90C67">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1E6EC5F2">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0DBE84E6">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60F47F8F">
      <w:pPr>
        <w:spacing w:after="140"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3A93DB10">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ED1B68D">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303FDB56">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3、商务条款偏离表和技术需求偏离表；</w:t>
      </w:r>
    </w:p>
    <w:p w14:paraId="52D016F8">
      <w:pPr>
        <w:spacing w:after="140" w:line="36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76D5544F">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418B5049">
      <w:pPr>
        <w:spacing w:after="140"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7C3F9E4">
      <w:pPr>
        <w:spacing w:after="140"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本合同一式陆份，具有同等法律效力，甲方执叁份，乙方执贰份，采购代理机构存壹份。（可根据需要另增加）</w:t>
      </w:r>
    </w:p>
    <w:p w14:paraId="0D069521">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7955460C">
      <w:pPr>
        <w:spacing w:after="14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50"/>
        <w:tblpPr w:leftFromText="180" w:rightFromText="180" w:vertAnchor="text" w:horzAnchor="margin" w:tblpY="214"/>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590"/>
      </w:tblGrid>
      <w:tr w14:paraId="4B05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4589" w:type="dxa"/>
            <w:tcBorders>
              <w:top w:val="single" w:color="auto" w:sz="4" w:space="0"/>
              <w:left w:val="single" w:color="auto" w:sz="4" w:space="0"/>
              <w:bottom w:val="single" w:color="auto" w:sz="4" w:space="0"/>
              <w:right w:val="single" w:color="auto" w:sz="4" w:space="0"/>
            </w:tcBorders>
            <w:vAlign w:val="center"/>
          </w:tcPr>
          <w:p w14:paraId="6063FF7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28F3BE3F">
            <w:pPr>
              <w:snapToGrid w:val="0"/>
              <w:spacing w:line="360" w:lineRule="auto"/>
              <w:rPr>
                <w:rFonts w:ascii="宋体" w:hAnsi="宋体" w:cs="宋体"/>
                <w:color w:val="auto"/>
                <w:szCs w:val="21"/>
                <w:highlight w:val="none"/>
              </w:rPr>
            </w:pPr>
          </w:p>
          <w:p w14:paraId="5A534B86">
            <w:pPr>
              <w:snapToGrid w:val="0"/>
              <w:spacing w:line="360" w:lineRule="auto"/>
              <w:ind w:firstLine="945" w:firstLineChars="450"/>
              <w:jc w:val="right"/>
              <w:rPr>
                <w:rFonts w:ascii="宋体" w:hAnsi="宋体" w:cs="宋体"/>
                <w:color w:val="auto"/>
                <w:szCs w:val="21"/>
                <w:highlight w:val="none"/>
              </w:rPr>
            </w:pPr>
          </w:p>
          <w:p w14:paraId="6A8148EB">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90" w:type="dxa"/>
            <w:tcBorders>
              <w:top w:val="single" w:color="auto" w:sz="4" w:space="0"/>
              <w:left w:val="single" w:color="auto" w:sz="4" w:space="0"/>
              <w:bottom w:val="single" w:color="auto" w:sz="4" w:space="0"/>
              <w:right w:val="single" w:color="auto" w:sz="4" w:space="0"/>
            </w:tcBorders>
            <w:vAlign w:val="center"/>
          </w:tcPr>
          <w:p w14:paraId="47A9AF4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DB7B8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5C414BFB">
            <w:pPr>
              <w:snapToGrid w:val="0"/>
              <w:spacing w:line="360" w:lineRule="auto"/>
              <w:jc w:val="right"/>
              <w:rPr>
                <w:rFonts w:ascii="宋体" w:hAnsi="宋体" w:cs="宋体"/>
                <w:color w:val="auto"/>
                <w:szCs w:val="21"/>
                <w:highlight w:val="none"/>
              </w:rPr>
            </w:pPr>
          </w:p>
          <w:p w14:paraId="46F43215">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2012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89" w:type="dxa"/>
            <w:tcBorders>
              <w:top w:val="single" w:color="auto" w:sz="4" w:space="0"/>
              <w:left w:val="single" w:color="auto" w:sz="4" w:space="0"/>
              <w:bottom w:val="single" w:color="auto" w:sz="4" w:space="0"/>
              <w:right w:val="single" w:color="auto" w:sz="4" w:space="0"/>
            </w:tcBorders>
            <w:vAlign w:val="center"/>
          </w:tcPr>
          <w:p w14:paraId="1C999C0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90" w:type="dxa"/>
            <w:tcBorders>
              <w:top w:val="single" w:color="auto" w:sz="4" w:space="0"/>
              <w:left w:val="single" w:color="auto" w:sz="4" w:space="0"/>
              <w:bottom w:val="single" w:color="auto" w:sz="4" w:space="0"/>
              <w:right w:val="single" w:color="auto" w:sz="4" w:space="0"/>
            </w:tcBorders>
            <w:vAlign w:val="center"/>
          </w:tcPr>
          <w:p w14:paraId="364C8CB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30EB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89" w:type="dxa"/>
            <w:tcBorders>
              <w:top w:val="single" w:color="auto" w:sz="4" w:space="0"/>
              <w:left w:val="single" w:color="auto" w:sz="4" w:space="0"/>
              <w:bottom w:val="single" w:color="auto" w:sz="4" w:space="0"/>
              <w:right w:val="single" w:color="auto" w:sz="4" w:space="0"/>
            </w:tcBorders>
            <w:vAlign w:val="center"/>
          </w:tcPr>
          <w:p w14:paraId="013D27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90" w:type="dxa"/>
            <w:tcBorders>
              <w:top w:val="single" w:color="auto" w:sz="4" w:space="0"/>
              <w:left w:val="single" w:color="auto" w:sz="4" w:space="0"/>
              <w:bottom w:val="single" w:color="auto" w:sz="4" w:space="0"/>
              <w:right w:val="single" w:color="auto" w:sz="4" w:space="0"/>
            </w:tcBorders>
            <w:vAlign w:val="center"/>
          </w:tcPr>
          <w:p w14:paraId="342DC13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27F8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89" w:type="dxa"/>
            <w:tcBorders>
              <w:top w:val="single" w:color="auto" w:sz="4" w:space="0"/>
              <w:left w:val="single" w:color="auto" w:sz="4" w:space="0"/>
              <w:bottom w:val="single" w:color="auto" w:sz="4" w:space="0"/>
              <w:right w:val="single" w:color="auto" w:sz="4" w:space="0"/>
            </w:tcBorders>
            <w:vAlign w:val="center"/>
          </w:tcPr>
          <w:p w14:paraId="0C74D2B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90" w:type="dxa"/>
            <w:tcBorders>
              <w:top w:val="single" w:color="auto" w:sz="4" w:space="0"/>
              <w:left w:val="single" w:color="auto" w:sz="4" w:space="0"/>
              <w:bottom w:val="single" w:color="auto" w:sz="4" w:space="0"/>
              <w:right w:val="single" w:color="auto" w:sz="4" w:space="0"/>
            </w:tcBorders>
            <w:vAlign w:val="center"/>
          </w:tcPr>
          <w:p w14:paraId="2330B53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53FB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89" w:type="dxa"/>
            <w:tcBorders>
              <w:top w:val="single" w:color="auto" w:sz="4" w:space="0"/>
              <w:left w:val="single" w:color="auto" w:sz="4" w:space="0"/>
              <w:bottom w:val="single" w:color="auto" w:sz="4" w:space="0"/>
              <w:right w:val="single" w:color="auto" w:sz="4" w:space="0"/>
            </w:tcBorders>
            <w:vAlign w:val="center"/>
          </w:tcPr>
          <w:p w14:paraId="0315A7B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90" w:type="dxa"/>
            <w:tcBorders>
              <w:top w:val="single" w:color="auto" w:sz="4" w:space="0"/>
              <w:left w:val="single" w:color="auto" w:sz="4" w:space="0"/>
              <w:bottom w:val="single" w:color="auto" w:sz="4" w:space="0"/>
              <w:right w:val="single" w:color="auto" w:sz="4" w:space="0"/>
            </w:tcBorders>
            <w:vAlign w:val="center"/>
          </w:tcPr>
          <w:p w14:paraId="433C97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60AD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89" w:type="dxa"/>
            <w:tcBorders>
              <w:top w:val="single" w:color="auto" w:sz="4" w:space="0"/>
              <w:left w:val="single" w:color="auto" w:sz="4" w:space="0"/>
              <w:bottom w:val="single" w:color="auto" w:sz="4" w:space="0"/>
              <w:right w:val="single" w:color="auto" w:sz="4" w:space="0"/>
            </w:tcBorders>
            <w:vAlign w:val="center"/>
          </w:tcPr>
          <w:p w14:paraId="7D0244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90" w:type="dxa"/>
            <w:tcBorders>
              <w:top w:val="single" w:color="auto" w:sz="4" w:space="0"/>
              <w:left w:val="single" w:color="auto" w:sz="4" w:space="0"/>
              <w:bottom w:val="single" w:color="auto" w:sz="4" w:space="0"/>
              <w:right w:val="single" w:color="auto" w:sz="4" w:space="0"/>
            </w:tcBorders>
            <w:vAlign w:val="center"/>
          </w:tcPr>
          <w:p w14:paraId="0A4F215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63A4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89" w:type="dxa"/>
            <w:tcBorders>
              <w:top w:val="single" w:color="auto" w:sz="4" w:space="0"/>
              <w:left w:val="single" w:color="auto" w:sz="4" w:space="0"/>
              <w:bottom w:val="single" w:color="auto" w:sz="4" w:space="0"/>
              <w:right w:val="single" w:color="auto" w:sz="4" w:space="0"/>
            </w:tcBorders>
            <w:vAlign w:val="center"/>
          </w:tcPr>
          <w:p w14:paraId="0B2E8F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90" w:type="dxa"/>
            <w:tcBorders>
              <w:top w:val="single" w:color="auto" w:sz="4" w:space="0"/>
              <w:left w:val="single" w:color="auto" w:sz="4" w:space="0"/>
              <w:bottom w:val="single" w:color="auto" w:sz="4" w:space="0"/>
              <w:right w:val="single" w:color="auto" w:sz="4" w:space="0"/>
            </w:tcBorders>
            <w:vAlign w:val="center"/>
          </w:tcPr>
          <w:p w14:paraId="4282345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1621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89" w:type="dxa"/>
            <w:tcBorders>
              <w:top w:val="single" w:color="auto" w:sz="4" w:space="0"/>
              <w:left w:val="single" w:color="auto" w:sz="4" w:space="0"/>
              <w:bottom w:val="single" w:color="auto" w:sz="4" w:space="0"/>
              <w:right w:val="single" w:color="auto" w:sz="4" w:space="0"/>
            </w:tcBorders>
            <w:vAlign w:val="center"/>
          </w:tcPr>
          <w:p w14:paraId="15FB795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90" w:type="dxa"/>
            <w:tcBorders>
              <w:top w:val="single" w:color="auto" w:sz="4" w:space="0"/>
              <w:left w:val="single" w:color="auto" w:sz="4" w:space="0"/>
              <w:bottom w:val="single" w:color="auto" w:sz="4" w:space="0"/>
              <w:right w:val="single" w:color="auto" w:sz="4" w:space="0"/>
            </w:tcBorders>
            <w:vAlign w:val="center"/>
          </w:tcPr>
          <w:p w14:paraId="4A09A2C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42E00BC4">
      <w:pPr>
        <w:snapToGrid w:val="0"/>
        <w:rPr>
          <w:rFonts w:ascii="宋体" w:hAnsi="宋体"/>
          <w:b/>
          <w:bCs/>
          <w:color w:val="auto"/>
          <w:szCs w:val="21"/>
          <w:highlight w:val="none"/>
        </w:rPr>
      </w:pPr>
    </w:p>
    <w:p w14:paraId="74A2DAA0">
      <w:pPr>
        <w:snapToGrid w:val="0"/>
        <w:spacing w:line="360" w:lineRule="auto"/>
        <w:jc w:val="center"/>
        <w:rPr>
          <w:rFonts w:ascii="宋体" w:hAnsi="宋体"/>
          <w:b/>
          <w:color w:val="auto"/>
          <w:sz w:val="24"/>
          <w:highlight w:val="none"/>
        </w:rPr>
      </w:pPr>
      <w:r>
        <w:rPr>
          <w:rFonts w:ascii="宋体" w:hAnsi="宋体"/>
          <w:b/>
          <w:color w:val="auto"/>
          <w:szCs w:val="21"/>
          <w:highlight w:val="none"/>
        </w:rPr>
        <w:br w:type="page"/>
      </w:r>
      <w:r>
        <w:rPr>
          <w:rFonts w:hint="eastAsia" w:ascii="Arial" w:hAnsi="Arial" w:eastAsia="黑体"/>
          <w:b/>
          <w:bCs/>
          <w:color w:val="auto"/>
          <w:kern w:val="0"/>
          <w:sz w:val="24"/>
          <w:highlight w:val="none"/>
        </w:rPr>
        <w:t>合 同 附 件</w:t>
      </w:r>
    </w:p>
    <w:tbl>
      <w:tblPr>
        <w:tblStyle w:val="50"/>
        <w:tblW w:w="8522" w:type="dxa"/>
        <w:tblInd w:w="0" w:type="dxa"/>
        <w:tblLayout w:type="fixed"/>
        <w:tblCellMar>
          <w:top w:w="0" w:type="dxa"/>
          <w:left w:w="108" w:type="dxa"/>
          <w:bottom w:w="0" w:type="dxa"/>
          <w:right w:w="108" w:type="dxa"/>
        </w:tblCellMar>
      </w:tblPr>
      <w:tblGrid>
        <w:gridCol w:w="4246"/>
        <w:gridCol w:w="4276"/>
      </w:tblGrid>
      <w:tr w14:paraId="78FE3D01">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4D2ACD7C">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 供应商承诺具体事项：</w:t>
            </w:r>
          </w:p>
        </w:tc>
      </w:tr>
      <w:tr w14:paraId="4A081E63">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4A61ECAA">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 售后服务具体事项：</w:t>
            </w:r>
          </w:p>
        </w:tc>
      </w:tr>
      <w:tr w14:paraId="4E1768D4">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7F6355E2">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 保修期责任：</w:t>
            </w:r>
          </w:p>
        </w:tc>
      </w:tr>
      <w:tr w14:paraId="3C8650A1">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225A79BC">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 其他具体事项：</w:t>
            </w:r>
          </w:p>
        </w:tc>
      </w:tr>
      <w:tr w14:paraId="50C29F84">
        <w:tblPrEx>
          <w:tblCellMar>
            <w:top w:w="0" w:type="dxa"/>
            <w:left w:w="108" w:type="dxa"/>
            <w:bottom w:w="0" w:type="dxa"/>
            <w:right w:w="108" w:type="dxa"/>
          </w:tblCellMar>
        </w:tblPrEx>
        <w:trPr>
          <w:trHeight w:val="1703" w:hRule="atLeast"/>
        </w:trPr>
        <w:tc>
          <w:tcPr>
            <w:tcW w:w="4246" w:type="dxa"/>
            <w:tcBorders>
              <w:top w:val="single" w:color="auto" w:sz="4" w:space="0"/>
              <w:left w:val="single" w:color="auto" w:sz="4" w:space="0"/>
              <w:bottom w:val="single" w:color="auto" w:sz="4" w:space="0"/>
              <w:right w:val="single" w:color="auto" w:sz="4" w:space="0"/>
            </w:tcBorders>
            <w:vAlign w:val="center"/>
          </w:tcPr>
          <w:p w14:paraId="094883F5">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甲方（章）</w:t>
            </w:r>
          </w:p>
          <w:p w14:paraId="5678F84C">
            <w:pPr>
              <w:snapToGrid w:val="0"/>
              <w:spacing w:line="360" w:lineRule="auto"/>
              <w:ind w:firstLine="482" w:firstLineChars="200"/>
              <w:rPr>
                <w:rFonts w:ascii="宋体" w:hAnsi="宋体"/>
                <w:b/>
                <w:color w:val="auto"/>
                <w:sz w:val="24"/>
                <w:highlight w:val="none"/>
              </w:rPr>
            </w:pPr>
          </w:p>
          <w:p w14:paraId="6ECAC4D2">
            <w:pPr>
              <w:snapToGrid w:val="0"/>
              <w:spacing w:line="360" w:lineRule="auto"/>
              <w:rPr>
                <w:rFonts w:ascii="宋体" w:hAnsi="宋体"/>
                <w:b/>
                <w:color w:val="auto"/>
                <w:sz w:val="24"/>
                <w:highlight w:val="none"/>
              </w:rPr>
            </w:pPr>
          </w:p>
          <w:p w14:paraId="314AE6E0">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 </w:t>
            </w:r>
          </w:p>
        </w:tc>
        <w:tc>
          <w:tcPr>
            <w:tcW w:w="4276" w:type="dxa"/>
            <w:tcBorders>
              <w:top w:val="single" w:color="auto" w:sz="4" w:space="0"/>
              <w:left w:val="single" w:color="auto" w:sz="4" w:space="0"/>
              <w:bottom w:val="single" w:color="auto" w:sz="4" w:space="0"/>
              <w:right w:val="single" w:color="auto" w:sz="4" w:space="0"/>
            </w:tcBorders>
            <w:vAlign w:val="center"/>
          </w:tcPr>
          <w:p w14:paraId="2E7E5CB3">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乙方（章）</w:t>
            </w:r>
          </w:p>
          <w:p w14:paraId="04B4A8BD">
            <w:pPr>
              <w:snapToGrid w:val="0"/>
              <w:spacing w:line="360" w:lineRule="auto"/>
              <w:ind w:firstLine="482" w:firstLineChars="200"/>
              <w:rPr>
                <w:rFonts w:ascii="宋体" w:hAnsi="宋体"/>
                <w:b/>
                <w:color w:val="auto"/>
                <w:sz w:val="24"/>
                <w:highlight w:val="none"/>
              </w:rPr>
            </w:pPr>
          </w:p>
          <w:p w14:paraId="13DA6041">
            <w:pPr>
              <w:snapToGrid w:val="0"/>
              <w:spacing w:line="360" w:lineRule="auto"/>
              <w:rPr>
                <w:rFonts w:ascii="宋体" w:hAnsi="宋体"/>
                <w:b/>
                <w:color w:val="auto"/>
                <w:sz w:val="24"/>
                <w:highlight w:val="none"/>
              </w:rPr>
            </w:pPr>
          </w:p>
          <w:p w14:paraId="508BD371">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w:t>
            </w:r>
          </w:p>
        </w:tc>
      </w:tr>
    </w:tbl>
    <w:p w14:paraId="0D607510">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注：售后服务事项填不下时可另加附页</w:t>
      </w:r>
    </w:p>
    <w:p w14:paraId="36F4D35A">
      <w:pPr>
        <w:pStyle w:val="30"/>
        <w:ind w:firstLine="0"/>
        <w:rPr>
          <w:color w:val="auto"/>
          <w:highlight w:val="none"/>
        </w:rPr>
      </w:pPr>
    </w:p>
    <w:p w14:paraId="2D686C92">
      <w:pPr>
        <w:snapToGrid w:val="0"/>
        <w:jc w:val="center"/>
        <w:rPr>
          <w:rFonts w:ascii="仿宋" w:hAnsi="仿宋" w:eastAsia="仿宋"/>
          <w:bCs/>
          <w:color w:val="auto"/>
          <w:sz w:val="32"/>
          <w:szCs w:val="32"/>
          <w:highlight w:val="none"/>
        </w:rPr>
      </w:pPr>
    </w:p>
    <w:p w14:paraId="6BF4319E">
      <w:pPr>
        <w:snapToGrid w:val="0"/>
        <w:jc w:val="center"/>
        <w:rPr>
          <w:rFonts w:ascii="仿宋" w:hAnsi="仿宋" w:eastAsia="仿宋"/>
          <w:bCs/>
          <w:color w:val="auto"/>
          <w:sz w:val="32"/>
          <w:szCs w:val="32"/>
          <w:highlight w:val="none"/>
        </w:rPr>
      </w:pPr>
    </w:p>
    <w:p w14:paraId="7337810D">
      <w:pPr>
        <w:snapToGrid w:val="0"/>
        <w:jc w:val="center"/>
        <w:rPr>
          <w:rFonts w:ascii="仿宋" w:hAnsi="仿宋" w:eastAsia="仿宋"/>
          <w:bCs/>
          <w:color w:val="auto"/>
          <w:sz w:val="32"/>
          <w:szCs w:val="32"/>
          <w:highlight w:val="none"/>
        </w:rPr>
      </w:pPr>
    </w:p>
    <w:p w14:paraId="17794487">
      <w:pPr>
        <w:snapToGrid w:val="0"/>
        <w:jc w:val="center"/>
        <w:rPr>
          <w:rFonts w:ascii="仿宋" w:hAnsi="仿宋" w:eastAsia="仿宋"/>
          <w:bCs/>
          <w:color w:val="auto"/>
          <w:sz w:val="32"/>
          <w:szCs w:val="32"/>
          <w:highlight w:val="none"/>
        </w:rPr>
      </w:pPr>
    </w:p>
    <w:p w14:paraId="642F6A74">
      <w:pPr>
        <w:snapToGrid w:val="0"/>
        <w:jc w:val="center"/>
        <w:rPr>
          <w:rFonts w:ascii="仿宋" w:hAnsi="仿宋" w:eastAsia="仿宋"/>
          <w:bCs/>
          <w:color w:val="auto"/>
          <w:sz w:val="32"/>
          <w:szCs w:val="32"/>
          <w:highlight w:val="none"/>
        </w:rPr>
      </w:pPr>
    </w:p>
    <w:p w14:paraId="188E2AB4">
      <w:pPr>
        <w:snapToGrid w:val="0"/>
        <w:jc w:val="center"/>
        <w:rPr>
          <w:rFonts w:ascii="仿宋" w:hAnsi="仿宋" w:eastAsia="仿宋"/>
          <w:bCs/>
          <w:color w:val="auto"/>
          <w:sz w:val="32"/>
          <w:szCs w:val="32"/>
          <w:highlight w:val="none"/>
        </w:rPr>
      </w:pPr>
    </w:p>
    <w:p w14:paraId="1DFD4E97">
      <w:pPr>
        <w:snapToGrid w:val="0"/>
        <w:spacing w:line="400" w:lineRule="exact"/>
        <w:jc w:val="left"/>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5DDAF4A">
      <w:pPr>
        <w:snapToGrid w:val="0"/>
        <w:spacing w:line="400" w:lineRule="exact"/>
        <w:jc w:val="left"/>
        <w:rPr>
          <w:rFonts w:ascii="宋体" w:hAnsi="宋体" w:cs="宋体"/>
          <w:color w:val="auto"/>
          <w:sz w:val="32"/>
          <w:szCs w:val="32"/>
          <w:highlight w:val="none"/>
        </w:rPr>
      </w:pPr>
      <w:r>
        <w:rPr>
          <w:rFonts w:hint="eastAsia" w:ascii="宋体" w:hAnsi="宋体" w:cs="宋体"/>
          <w:color w:val="auto"/>
          <w:sz w:val="32"/>
          <w:szCs w:val="32"/>
          <w:highlight w:val="none"/>
        </w:rPr>
        <w:t>拟签订的合同文本3</w:t>
      </w:r>
    </w:p>
    <w:p w14:paraId="57D9D2CF">
      <w:pPr>
        <w:snapToGrid w:val="0"/>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 购 合 同</w:t>
      </w:r>
    </w:p>
    <w:p w14:paraId="1BA32E96">
      <w:pPr>
        <w:snapToGrid w:val="0"/>
        <w:spacing w:line="400" w:lineRule="exact"/>
        <w:jc w:val="center"/>
        <w:rPr>
          <w:rFonts w:ascii="宋体" w:hAnsi="宋体" w:cs="宋体"/>
          <w:b/>
          <w:bCs/>
          <w:color w:val="auto"/>
          <w:sz w:val="32"/>
          <w:szCs w:val="32"/>
          <w:highlight w:val="none"/>
        </w:rPr>
      </w:pPr>
    </w:p>
    <w:p w14:paraId="17146163">
      <w:pPr>
        <w:snapToGrid w:val="0"/>
        <w:spacing w:after="140"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合同编号：</w:t>
      </w:r>
    </w:p>
    <w:p w14:paraId="3BC2F4CA">
      <w:pPr>
        <w:snapToGrid w:val="0"/>
        <w:spacing w:after="140"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采购人（甲方）：</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 w:val="22"/>
          <w:szCs w:val="22"/>
          <w:highlight w:val="none"/>
          <w:u w:val="single"/>
        </w:rPr>
        <w:t>贵港覃塘工业园区管理委员会</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供应商（乙方）：</w:t>
      </w:r>
      <w:r>
        <w:rPr>
          <w:rFonts w:hint="eastAsia" w:asciiTheme="majorEastAsia" w:hAnsiTheme="majorEastAsia" w:eastAsiaTheme="majorEastAsia" w:cstheme="majorEastAsia"/>
          <w:color w:val="auto"/>
          <w:szCs w:val="21"/>
          <w:highlight w:val="none"/>
          <w:u w:val="single"/>
        </w:rPr>
        <w:t xml:space="preserve">                          </w:t>
      </w:r>
    </w:p>
    <w:p w14:paraId="7FEC6E84">
      <w:pPr>
        <w:snapToGrid w:val="0"/>
        <w:spacing w:after="140"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pacing w:val="-20"/>
          <w:szCs w:val="21"/>
          <w:highlight w:val="none"/>
        </w:rPr>
        <w:t>采 购 计 划 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项目名称：</w:t>
      </w:r>
      <w:r>
        <w:rPr>
          <w:rFonts w:hint="eastAsia" w:asciiTheme="majorEastAsia" w:hAnsiTheme="majorEastAsia" w:eastAsiaTheme="majorEastAsia" w:cstheme="majorEastAsia"/>
          <w:color w:val="auto"/>
          <w:szCs w:val="21"/>
          <w:highlight w:val="none"/>
          <w:u w:val="single"/>
        </w:rPr>
        <w:t xml:space="preserve">                           </w:t>
      </w:r>
    </w:p>
    <w:p w14:paraId="7E0E7241">
      <w:pPr>
        <w:snapToGrid w:val="0"/>
        <w:spacing w:after="140" w:line="3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项目编号：</w:t>
      </w:r>
      <w:r>
        <w:rPr>
          <w:rFonts w:hint="eastAsia" w:asciiTheme="majorEastAsia" w:hAnsiTheme="majorEastAsia" w:eastAsiaTheme="majorEastAsia" w:cstheme="majorEastAsia"/>
          <w:color w:val="auto"/>
          <w:szCs w:val="21"/>
          <w:highlight w:val="none"/>
          <w:u w:val="single"/>
        </w:rPr>
        <w:t xml:space="preserve">                 </w:t>
      </w:r>
    </w:p>
    <w:p w14:paraId="6946E480">
      <w:pPr>
        <w:spacing w:after="140" w:line="4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标项名称：</w:t>
      </w:r>
      <w:r>
        <w:rPr>
          <w:rFonts w:hint="eastAsia" w:asciiTheme="majorEastAsia" w:hAnsiTheme="majorEastAsia" w:eastAsiaTheme="majorEastAsia" w:cstheme="majorEastAsia"/>
          <w:color w:val="auto"/>
          <w:sz w:val="22"/>
          <w:szCs w:val="22"/>
          <w:highlight w:val="none"/>
          <w:u w:val="single"/>
        </w:rPr>
        <w:t>贵港覃塘产业园区新材料科技园重大安全风险防控项目(危险化学品安全预防控制体系服务)</w:t>
      </w:r>
    </w:p>
    <w:p w14:paraId="03B4FE39">
      <w:pPr>
        <w:spacing w:after="140" w:line="46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分 标 号：</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 w:val="22"/>
          <w:szCs w:val="22"/>
          <w:highlight w:val="none"/>
          <w:u w:val="single"/>
        </w:rPr>
        <w:t xml:space="preserve"> 分标3 </w:t>
      </w:r>
      <w:r>
        <w:rPr>
          <w:rFonts w:hint="eastAsia" w:asciiTheme="majorEastAsia" w:hAnsiTheme="majorEastAsia" w:eastAsiaTheme="majorEastAsia" w:cstheme="majorEastAsia"/>
          <w:color w:val="auto"/>
          <w:szCs w:val="21"/>
          <w:highlight w:val="none"/>
          <w:u w:val="single"/>
        </w:rPr>
        <w:t xml:space="preserve">  </w:t>
      </w:r>
    </w:p>
    <w:p w14:paraId="485A9497">
      <w:pPr>
        <w:spacing w:after="140" w:line="36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本合同为中小企业预留合同：</w:t>
      </w:r>
      <w:r>
        <w:rPr>
          <w:rFonts w:hint="eastAsia" w:asciiTheme="majorEastAsia" w:hAnsiTheme="majorEastAsia" w:eastAsiaTheme="majorEastAsia" w:cstheme="majorEastAsia"/>
          <w:i/>
          <w:iCs/>
          <w:color w:val="auto"/>
          <w:szCs w:val="21"/>
          <w:highlight w:val="none"/>
          <w:u w:val="single"/>
        </w:rPr>
        <w:t>（是/否）</w:t>
      </w:r>
      <w:r>
        <w:rPr>
          <w:rFonts w:hint="eastAsia" w:asciiTheme="majorEastAsia" w:hAnsiTheme="majorEastAsia" w:eastAsiaTheme="majorEastAsia" w:cstheme="majorEastAsia"/>
          <w:color w:val="auto"/>
          <w:szCs w:val="21"/>
          <w:highlight w:val="none"/>
        </w:rPr>
        <w:t>。</w:t>
      </w:r>
    </w:p>
    <w:p w14:paraId="15911D09">
      <w:pPr>
        <w:snapToGrid w:val="0"/>
        <w:spacing w:line="400" w:lineRule="exact"/>
        <w:rPr>
          <w:rFonts w:ascii="宋体" w:hAnsi="宋体" w:cs="宋体"/>
          <w:color w:val="auto"/>
          <w:sz w:val="32"/>
          <w:szCs w:val="32"/>
          <w:highlight w:val="none"/>
        </w:rPr>
      </w:pPr>
      <w:r>
        <w:rPr>
          <w:rFonts w:hint="eastAsia" w:ascii="宋体" w:hAnsi="宋体" w:cs="宋体"/>
          <w:color w:val="auto"/>
          <w:sz w:val="32"/>
          <w:szCs w:val="32"/>
          <w:highlight w:val="none"/>
        </w:rPr>
        <w:t xml:space="preserve">          </w:t>
      </w:r>
    </w:p>
    <w:p w14:paraId="2B094C9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根据《中华人民共和国政府采购法》、《中华人民共和国民法典》等法律、法规规定，按照招标文件规定条款和乙方投标文件及其承诺，甲乙双方签订本合同。</w:t>
      </w:r>
    </w:p>
    <w:p w14:paraId="0D9D96D5">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2BFE182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50"/>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026"/>
        <w:gridCol w:w="1320"/>
        <w:gridCol w:w="1048"/>
        <w:gridCol w:w="1559"/>
        <w:gridCol w:w="1418"/>
      </w:tblGrid>
      <w:tr w14:paraId="20CB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0F63C3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F8DDB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2026" w:type="dxa"/>
            <w:tcBorders>
              <w:top w:val="single" w:color="auto" w:sz="4" w:space="0"/>
              <w:left w:val="single" w:color="auto" w:sz="4" w:space="0"/>
              <w:bottom w:val="single" w:color="auto" w:sz="4" w:space="0"/>
              <w:right w:val="single" w:color="auto" w:sz="4" w:space="0"/>
            </w:tcBorders>
            <w:vAlign w:val="center"/>
          </w:tcPr>
          <w:p w14:paraId="348CA4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367EC7B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048" w:type="dxa"/>
            <w:tcBorders>
              <w:top w:val="single" w:color="auto" w:sz="4" w:space="0"/>
              <w:left w:val="single" w:color="auto" w:sz="4" w:space="0"/>
              <w:bottom w:val="single" w:color="auto" w:sz="4" w:space="0"/>
              <w:right w:val="single" w:color="auto" w:sz="4" w:space="0"/>
            </w:tcBorders>
            <w:vAlign w:val="center"/>
          </w:tcPr>
          <w:p w14:paraId="05B5D5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559" w:type="dxa"/>
            <w:tcBorders>
              <w:top w:val="single" w:color="auto" w:sz="4" w:space="0"/>
              <w:left w:val="single" w:color="auto" w:sz="4" w:space="0"/>
              <w:bottom w:val="single" w:color="auto" w:sz="4" w:space="0"/>
              <w:right w:val="single" w:color="auto" w:sz="4" w:space="0"/>
            </w:tcBorders>
            <w:vAlign w:val="center"/>
          </w:tcPr>
          <w:p w14:paraId="7A69D23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  价</w:t>
            </w:r>
          </w:p>
          <w:p w14:paraId="2C0109A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418" w:type="dxa"/>
            <w:tcBorders>
              <w:top w:val="single" w:color="auto" w:sz="4" w:space="0"/>
              <w:left w:val="single" w:color="auto" w:sz="4" w:space="0"/>
              <w:bottom w:val="single" w:color="auto" w:sz="4" w:space="0"/>
              <w:right w:val="single" w:color="auto" w:sz="4" w:space="0"/>
            </w:tcBorders>
            <w:vAlign w:val="center"/>
          </w:tcPr>
          <w:p w14:paraId="70AE4FE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总  价</w:t>
            </w:r>
          </w:p>
          <w:p w14:paraId="1F6E8D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r>
      <w:tr w14:paraId="55C0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04E3596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7D22FAEB">
            <w:pPr>
              <w:spacing w:line="360" w:lineRule="exact"/>
              <w:jc w:val="center"/>
              <w:rPr>
                <w:rFonts w:ascii="宋体" w:hAnsi="宋体" w:cs="宋体"/>
                <w:color w:val="auto"/>
                <w:szCs w:val="21"/>
                <w:highlight w:val="none"/>
              </w:rPr>
            </w:pPr>
          </w:p>
        </w:tc>
        <w:tc>
          <w:tcPr>
            <w:tcW w:w="2026" w:type="dxa"/>
            <w:tcBorders>
              <w:top w:val="single" w:color="auto" w:sz="4" w:space="0"/>
              <w:left w:val="single" w:color="auto" w:sz="4" w:space="0"/>
              <w:bottom w:val="single" w:color="auto" w:sz="4" w:space="0"/>
              <w:right w:val="single" w:color="auto" w:sz="4" w:space="0"/>
            </w:tcBorders>
            <w:vAlign w:val="center"/>
          </w:tcPr>
          <w:p w14:paraId="0D805AE3">
            <w:pPr>
              <w:spacing w:line="360" w:lineRule="exact"/>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C9632A6">
            <w:pPr>
              <w:spacing w:line="360" w:lineRule="exact"/>
              <w:jc w:val="center"/>
              <w:rPr>
                <w:rFonts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7D01B83">
            <w:pPr>
              <w:spacing w:line="360" w:lineRule="exact"/>
              <w:jc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A4FD246">
            <w:pPr>
              <w:spacing w:line="360" w:lineRule="exact"/>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F197040">
            <w:pPr>
              <w:spacing w:line="360" w:lineRule="exact"/>
              <w:jc w:val="center"/>
              <w:rPr>
                <w:rFonts w:ascii="宋体" w:hAnsi="宋体" w:cs="宋体"/>
                <w:color w:val="auto"/>
                <w:szCs w:val="21"/>
                <w:highlight w:val="none"/>
              </w:rPr>
            </w:pPr>
          </w:p>
        </w:tc>
      </w:tr>
      <w:tr w14:paraId="2248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185320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r w14:paraId="5DD1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057DFE48">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人民币合计金额（大写）： </w:t>
            </w:r>
          </w:p>
        </w:tc>
      </w:tr>
    </w:tbl>
    <w:p w14:paraId="491037A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投标全部采购需求所应提供的服务，以及伴随的货物和工程（如有）的价格；包含但不限于人工、材料、交通、保险、利润、税金等所有与本项目有关的所有费用。如招标文件对其另有规定的，从其规定。</w:t>
      </w:r>
    </w:p>
    <w:p w14:paraId="1319A5B9">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68FCCD0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1FDFDB8E">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6169A93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07ACE94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137798E">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7C39E4D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0D809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22155E5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1738D60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4871C7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5、甲乙双方应按照《广西壮族自治区政府采购项目履约验收管理办法》、双方合同、投标文件验收。</w:t>
      </w:r>
    </w:p>
    <w:p w14:paraId="1A7AFD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6F1D949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5E48E2B2">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0EDE53C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104FE20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4BFEFE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CCA693">
      <w:pPr>
        <w:snapToGrid w:val="0"/>
        <w:spacing w:line="36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7AD9D873">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项约定执行：</w:t>
      </w:r>
    </w:p>
    <w:p w14:paraId="630620F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1、一次性支付</w:t>
      </w:r>
    </w:p>
    <w:p w14:paraId="6A27FA6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2、分期支付</w:t>
      </w:r>
    </w:p>
    <w:p w14:paraId="2D35A0E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lang w:eastAsia="zh-CN" w:bidi="ar"/>
        </w:rPr>
        <w:t>合同签订生效后，甲方提交预付合同金额95%的申请，审批通过后支付。服务期满后，甲方支付合同款的5%给乙方。注：付款前提是，乙方需在结款日之前开具等额的增值税发票。</w:t>
      </w:r>
      <w:r>
        <w:rPr>
          <w:rFonts w:hint="eastAsia" w:ascii="宋体" w:hAnsi="宋体" w:cs="宋体"/>
          <w:color w:val="auto"/>
          <w:szCs w:val="21"/>
          <w:highlight w:val="none"/>
          <w:u w:val="single"/>
        </w:rPr>
        <w:t xml:space="preserve">       </w:t>
      </w:r>
    </w:p>
    <w:p w14:paraId="458F4DDA">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履约保证金（收取履约保证金时填写）</w:t>
      </w:r>
    </w:p>
    <w:p w14:paraId="5DFDAAF4">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无</w:t>
      </w:r>
    </w:p>
    <w:p w14:paraId="09312BE9">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5140D97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29645531">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55FB7A0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不可抗力原因外，乙方没有按照合同规定的时间提供服务的，甲方可要求乙方支付违约金。每推迟一天按合同金额的0.5‰支付违约金，该违约金累计不超过合同金额的20%。达到20天时甲方有权单方面解除本合同，合同金额没有支付的，不再支付；已经支付的，甲方有权追回；如因此造成用方损失的，还应赔偿甲方损失。</w:t>
      </w:r>
    </w:p>
    <w:p w14:paraId="537313D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所提供的服务成果、数量、技术参数要求（技术参数需求）等不符合招标文件及甲方要求的，应及时整改；乙方在甲方规定期限内不能完成整改的或无正当理由拒绝整改或经整改后仍不能达到甲方要求的，甲方有权终止合同，追回已付款项，并按本合同总价的 10%计算违约金。</w:t>
      </w:r>
    </w:p>
    <w:p w14:paraId="5D07CAB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有权依据招标文件、投标文件对乙方的服务人员进行管理或要求更换，对于甲方要求更换服务人员的，乙方应无条件及时更换；乙方拒绝更换的，甲方有权终止合同，追回已付款项，并按本合同总价的10%计算违约金。</w:t>
      </w:r>
    </w:p>
    <w:p w14:paraId="1F466EB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14:paraId="6BEA63D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5、除因甲方自身原因外，乙方操作造成甲方系统数据丢失、泄密的，应按合同金额的三倍支付违约金，违约金不足以弥补甲方损失的，还应支付赔偿甲方的全部损失。</w:t>
      </w:r>
    </w:p>
    <w:p w14:paraId="67D3876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6、乙方未按本合同和投标文件中规定的服务承诺提供售后服务的，每出现一次，乙方应按本合同金额的1%向甲方支付违约金；甲方有权聘请第三方提供售后服务，因此产生的费用均由乙方承担。</w:t>
      </w:r>
    </w:p>
    <w:p w14:paraId="67E40AE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7、乙方提供的服务及其成果在服务期及售后期内，因设计缺陷或其它质量原因造成的问题，由乙方负责。</w:t>
      </w:r>
    </w:p>
    <w:p w14:paraId="305AA45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如乙方违反合同约定的信息安全及保密要求，每违反一次收取合同金额1%的违约金，累计不超过合同金额的30%，累计违约次数超过30次的，甲方有权终止合同，追回已付款项。违约金不足以弥补甲方实际损失的，还应支付赔偿金。</w:t>
      </w:r>
    </w:p>
    <w:p w14:paraId="2AD69F3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9、本条所称损失是指一方因另一方违约而遭受的全部经济损失（包括但不限于直接损失、间接损失及实现债权的费用，如诉讼费、律师费、差旅费、调查费、财产保全责任险保险费等）。</w:t>
      </w:r>
    </w:p>
    <w:p w14:paraId="4B40F8B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10、甲方有权从未付价款、履约保证金中先行扣除乙方应支付的违约金、赔偿金，不足另补。</w:t>
      </w:r>
    </w:p>
    <w:p w14:paraId="07D80C25">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14:paraId="3E8130C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4279AC5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EFCC08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11CC968E">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4、本合同所称不可抗力，是指本合同各方由于地震、台风、水灾、火灾、政策以及其他不能预见，并且对其发生和后果不能防止或不能避免且不可克服的客观情况。</w:t>
      </w:r>
    </w:p>
    <w:p w14:paraId="28F438D8">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0665A57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C08119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04DAF41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58DC315F">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1E29C42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01EAF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2、合同执行中涉及采购资金和采购内容修改或者补充的，可签书面补充协议，作为主合同不可分割的一部分。</w:t>
      </w:r>
    </w:p>
    <w:p w14:paraId="260CD44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8A9910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4、送达</w:t>
      </w:r>
    </w:p>
    <w:p w14:paraId="380130A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本合同任何通知、主张、要求、请求或其他函件联系等均采用书面形式方为有效。书面文件可面呈，也可通过本合同约定的通讯地址、联系电话、挂号信或特快专递进行递送，通过面呈方式送达的，乙方确认乙方委托代理人的签收视为乙方签收。若甲乙双方产生诉讼，本合同约定的通讯地址、电子邮箱地址即为送达地址。</w:t>
      </w:r>
    </w:p>
    <w:p w14:paraId="0767D75A">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09435E3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74D94A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9E9FB8B">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0FE2C4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w:t>
      </w:r>
    </w:p>
    <w:p w14:paraId="410D918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7462505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45243D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14:paraId="4A8D6A1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70F11F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1D37A01B">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本合同一式陆份，具有同等法律效力，甲方执叁份，乙方执贰份，采购代理机构存壹份。（可根据需要另增加）</w:t>
      </w:r>
    </w:p>
    <w:p w14:paraId="013EA34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6213066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396B16FC">
      <w:pPr>
        <w:spacing w:line="360" w:lineRule="exact"/>
        <w:ind w:firstLine="420" w:firstLineChars="200"/>
        <w:rPr>
          <w:rFonts w:ascii="宋体" w:hAnsi="宋体" w:cs="宋体"/>
          <w:color w:val="auto"/>
          <w:szCs w:val="21"/>
          <w:highlight w:val="none"/>
        </w:rPr>
      </w:pPr>
    </w:p>
    <w:tbl>
      <w:tblPr>
        <w:tblStyle w:val="50"/>
        <w:tblW w:w="9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16"/>
        <w:gridCol w:w="4517"/>
      </w:tblGrid>
      <w:tr w14:paraId="4475F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6714D496">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甲方（章）          </w:t>
            </w:r>
          </w:p>
          <w:p w14:paraId="40DA35C2">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02F7CA65">
            <w:pPr>
              <w:widowControl/>
              <w:spacing w:line="360" w:lineRule="exact"/>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17" w:type="dxa"/>
            <w:vAlign w:val="center"/>
          </w:tcPr>
          <w:p w14:paraId="204DB20C">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193166D">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4CCFA68C">
            <w:pPr>
              <w:widowControl/>
              <w:spacing w:line="36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2441A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4EB7C210">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单位地址：</w:t>
            </w:r>
          </w:p>
        </w:tc>
        <w:tc>
          <w:tcPr>
            <w:tcW w:w="4517" w:type="dxa"/>
            <w:vAlign w:val="center"/>
          </w:tcPr>
          <w:p w14:paraId="3ABD10FD">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单位地址：</w:t>
            </w:r>
          </w:p>
        </w:tc>
      </w:tr>
      <w:tr w14:paraId="324B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39B2C03A">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法定代表或授权代表：</w:t>
            </w:r>
          </w:p>
        </w:tc>
        <w:tc>
          <w:tcPr>
            <w:tcW w:w="4517" w:type="dxa"/>
            <w:vAlign w:val="center"/>
          </w:tcPr>
          <w:p w14:paraId="3EBE3300">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法定代表或授权代表：</w:t>
            </w:r>
          </w:p>
        </w:tc>
      </w:tr>
      <w:tr w14:paraId="65F16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29F0CA26">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委托代理人：</w:t>
            </w:r>
          </w:p>
        </w:tc>
        <w:tc>
          <w:tcPr>
            <w:tcW w:w="4517" w:type="dxa"/>
            <w:vAlign w:val="center"/>
          </w:tcPr>
          <w:p w14:paraId="02B2CDD2">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委托代理人：</w:t>
            </w:r>
          </w:p>
        </w:tc>
      </w:tr>
      <w:tr w14:paraId="6F92C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312B73AC">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联系人及电话：</w:t>
            </w:r>
          </w:p>
        </w:tc>
        <w:tc>
          <w:tcPr>
            <w:tcW w:w="4517" w:type="dxa"/>
            <w:vAlign w:val="center"/>
          </w:tcPr>
          <w:p w14:paraId="2154CD2C">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联系人及电话：</w:t>
            </w:r>
          </w:p>
        </w:tc>
      </w:tr>
      <w:tr w14:paraId="691CF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5907D51B">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电子邮箱：</w:t>
            </w:r>
          </w:p>
        </w:tc>
        <w:tc>
          <w:tcPr>
            <w:tcW w:w="4517" w:type="dxa"/>
            <w:vAlign w:val="center"/>
          </w:tcPr>
          <w:p w14:paraId="6CDB1050">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电子邮箱：</w:t>
            </w:r>
          </w:p>
        </w:tc>
      </w:tr>
      <w:tr w14:paraId="4327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559AA4F5">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开户银行：</w:t>
            </w:r>
          </w:p>
        </w:tc>
        <w:tc>
          <w:tcPr>
            <w:tcW w:w="4517" w:type="dxa"/>
            <w:vAlign w:val="center"/>
          </w:tcPr>
          <w:p w14:paraId="2AA74758">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开户银行：</w:t>
            </w:r>
          </w:p>
        </w:tc>
      </w:tr>
      <w:tr w14:paraId="09703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3005734A">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账号：</w:t>
            </w:r>
          </w:p>
        </w:tc>
        <w:tc>
          <w:tcPr>
            <w:tcW w:w="4517" w:type="dxa"/>
            <w:vAlign w:val="center"/>
          </w:tcPr>
          <w:p w14:paraId="0B932B11">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账号：</w:t>
            </w:r>
          </w:p>
        </w:tc>
      </w:tr>
      <w:tr w14:paraId="5BCF9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01F30249">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邮政编码：</w:t>
            </w:r>
          </w:p>
        </w:tc>
        <w:tc>
          <w:tcPr>
            <w:tcW w:w="4517" w:type="dxa"/>
            <w:vAlign w:val="center"/>
          </w:tcPr>
          <w:p w14:paraId="5B0616E5">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邮政编码：</w:t>
            </w:r>
          </w:p>
        </w:tc>
      </w:tr>
      <w:tr w14:paraId="38319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446FEE21">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社会统一信用代码证：</w:t>
            </w:r>
          </w:p>
        </w:tc>
        <w:tc>
          <w:tcPr>
            <w:tcW w:w="4517" w:type="dxa"/>
            <w:vAlign w:val="center"/>
          </w:tcPr>
          <w:p w14:paraId="21D2E8F1">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社会统一信用代码证：</w:t>
            </w:r>
          </w:p>
        </w:tc>
      </w:tr>
      <w:tr w14:paraId="151C3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436781BD">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经办人：</w:t>
            </w:r>
          </w:p>
        </w:tc>
        <w:tc>
          <w:tcPr>
            <w:tcW w:w="4517" w:type="dxa"/>
            <w:vAlign w:val="center"/>
          </w:tcPr>
          <w:p w14:paraId="13F33851">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经办人：</w:t>
            </w:r>
          </w:p>
        </w:tc>
      </w:tr>
      <w:tr w14:paraId="57BA1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4516" w:type="dxa"/>
            <w:vAlign w:val="center"/>
          </w:tcPr>
          <w:p w14:paraId="03CF252D">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联系电话：</w:t>
            </w:r>
          </w:p>
        </w:tc>
        <w:tc>
          <w:tcPr>
            <w:tcW w:w="4517" w:type="dxa"/>
            <w:vAlign w:val="center"/>
          </w:tcPr>
          <w:p w14:paraId="388CFBC6">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联系电话：</w:t>
            </w:r>
          </w:p>
        </w:tc>
      </w:tr>
    </w:tbl>
    <w:p w14:paraId="3BD2F484">
      <w:pPr>
        <w:rPr>
          <w:rFonts w:ascii="宋体" w:hAnsi="宋体" w:cs="宋体"/>
          <w:color w:val="auto"/>
          <w:szCs w:val="21"/>
          <w:highlight w:val="none"/>
        </w:rPr>
      </w:pPr>
    </w:p>
    <w:p w14:paraId="0E7442FE">
      <w:pPr>
        <w:rPr>
          <w:color w:val="auto"/>
          <w:sz w:val="32"/>
          <w:szCs w:val="32"/>
          <w:highlight w:val="none"/>
        </w:rPr>
      </w:pPr>
    </w:p>
    <w:bookmarkEnd w:id="169"/>
    <w:p w14:paraId="11C609D0">
      <w:pPr>
        <w:snapToGrid w:val="0"/>
        <w:jc w:val="center"/>
        <w:rPr>
          <w:rFonts w:ascii="仿宋" w:hAnsi="仿宋" w:eastAsia="仿宋"/>
          <w:bCs/>
          <w:color w:val="auto"/>
          <w:sz w:val="32"/>
          <w:szCs w:val="32"/>
          <w:highlight w:val="none"/>
        </w:rPr>
      </w:pPr>
    </w:p>
    <w:p w14:paraId="52A34C5B">
      <w:pPr>
        <w:snapToGrid w:val="0"/>
        <w:jc w:val="center"/>
        <w:rPr>
          <w:rFonts w:ascii="仿宋" w:hAnsi="仿宋" w:eastAsia="仿宋"/>
          <w:bCs/>
          <w:color w:val="auto"/>
          <w:sz w:val="32"/>
          <w:szCs w:val="32"/>
          <w:highlight w:val="none"/>
        </w:rPr>
      </w:pPr>
    </w:p>
    <w:p w14:paraId="79D5A177">
      <w:pPr>
        <w:snapToGrid w:val="0"/>
        <w:jc w:val="center"/>
        <w:rPr>
          <w:rFonts w:ascii="仿宋" w:hAnsi="仿宋" w:eastAsia="仿宋"/>
          <w:bCs/>
          <w:color w:val="auto"/>
          <w:sz w:val="32"/>
          <w:szCs w:val="32"/>
          <w:highlight w:val="none"/>
        </w:rPr>
      </w:pPr>
    </w:p>
    <w:p w14:paraId="3AF67ADE">
      <w:pPr>
        <w:snapToGrid w:val="0"/>
        <w:jc w:val="center"/>
        <w:rPr>
          <w:rFonts w:ascii="仿宋" w:hAnsi="仿宋" w:eastAsia="仿宋"/>
          <w:bCs/>
          <w:color w:val="auto"/>
          <w:sz w:val="32"/>
          <w:szCs w:val="32"/>
          <w:highlight w:val="none"/>
        </w:rPr>
      </w:pPr>
    </w:p>
    <w:p w14:paraId="40E64CE5">
      <w:pPr>
        <w:snapToGrid w:val="0"/>
        <w:jc w:val="center"/>
        <w:rPr>
          <w:rFonts w:ascii="仿宋" w:hAnsi="仿宋" w:eastAsia="仿宋"/>
          <w:bCs/>
          <w:color w:val="auto"/>
          <w:sz w:val="32"/>
          <w:szCs w:val="32"/>
          <w:highlight w:val="none"/>
        </w:rPr>
      </w:pPr>
    </w:p>
    <w:p w14:paraId="652FBDCD">
      <w:pPr>
        <w:snapToGrid w:val="0"/>
        <w:jc w:val="center"/>
        <w:rPr>
          <w:rFonts w:ascii="仿宋" w:hAnsi="仿宋" w:eastAsia="仿宋"/>
          <w:bCs/>
          <w:color w:val="auto"/>
          <w:sz w:val="32"/>
          <w:szCs w:val="32"/>
          <w:highlight w:val="none"/>
        </w:rPr>
      </w:pPr>
    </w:p>
    <w:p w14:paraId="518A6FA8">
      <w:pPr>
        <w:snapToGrid w:val="0"/>
        <w:jc w:val="center"/>
        <w:rPr>
          <w:rFonts w:ascii="仿宋" w:hAnsi="仿宋" w:eastAsia="仿宋"/>
          <w:bCs/>
          <w:color w:val="auto"/>
          <w:sz w:val="32"/>
          <w:szCs w:val="32"/>
          <w:highlight w:val="none"/>
        </w:rPr>
      </w:pPr>
    </w:p>
    <w:p w14:paraId="6F0E9A9E">
      <w:pPr>
        <w:snapToGrid w:val="0"/>
        <w:jc w:val="center"/>
        <w:rPr>
          <w:rFonts w:ascii="仿宋" w:hAnsi="仿宋" w:eastAsia="仿宋"/>
          <w:bCs/>
          <w:color w:val="auto"/>
          <w:sz w:val="32"/>
          <w:szCs w:val="32"/>
          <w:highlight w:val="none"/>
        </w:rPr>
      </w:pPr>
    </w:p>
    <w:p w14:paraId="6C4F5FB2">
      <w:pPr>
        <w:snapToGrid w:val="0"/>
        <w:jc w:val="center"/>
        <w:rPr>
          <w:rFonts w:ascii="仿宋" w:hAnsi="仿宋" w:eastAsia="仿宋"/>
          <w:bCs/>
          <w:color w:val="auto"/>
          <w:sz w:val="32"/>
          <w:szCs w:val="32"/>
          <w:highlight w:val="none"/>
        </w:rPr>
      </w:pPr>
    </w:p>
    <w:p w14:paraId="68C5002A">
      <w:pPr>
        <w:snapToGrid w:val="0"/>
        <w:jc w:val="center"/>
        <w:rPr>
          <w:rFonts w:ascii="仿宋" w:hAnsi="仿宋" w:eastAsia="仿宋"/>
          <w:bCs/>
          <w:color w:val="auto"/>
          <w:sz w:val="32"/>
          <w:szCs w:val="32"/>
          <w:highlight w:val="none"/>
        </w:rPr>
      </w:pPr>
    </w:p>
    <w:p w14:paraId="74A66570">
      <w:pPr>
        <w:snapToGrid w:val="0"/>
        <w:jc w:val="center"/>
        <w:rPr>
          <w:rFonts w:ascii="仿宋" w:hAnsi="仿宋" w:eastAsia="仿宋"/>
          <w:bCs/>
          <w:color w:val="auto"/>
          <w:sz w:val="32"/>
          <w:szCs w:val="32"/>
          <w:highlight w:val="none"/>
        </w:rPr>
      </w:pPr>
    </w:p>
    <w:p w14:paraId="38FE43F0">
      <w:pPr>
        <w:pStyle w:val="3"/>
        <w:jc w:val="center"/>
        <w:rPr>
          <w:rFonts w:ascii="仿宋" w:hAnsi="仿宋" w:eastAsia="仿宋"/>
          <w:color w:val="auto"/>
          <w:sz w:val="32"/>
          <w:szCs w:val="20"/>
          <w:highlight w:val="none"/>
        </w:rPr>
      </w:pPr>
      <w:bookmarkStart w:id="176" w:name="_Toc30182"/>
      <w:r>
        <w:rPr>
          <w:rFonts w:hint="eastAsia" w:asciiTheme="majorEastAsia" w:hAnsiTheme="majorEastAsia" w:eastAsiaTheme="majorEastAsia" w:cstheme="majorEastAsia"/>
          <w:color w:val="auto"/>
          <w:highlight w:val="none"/>
        </w:rPr>
        <w:t>第六章　投标文件格式</w:t>
      </w:r>
      <w:bookmarkEnd w:id="176"/>
    </w:p>
    <w:p w14:paraId="2A9EC6E8">
      <w:pPr>
        <w:snapToGrid w:val="0"/>
        <w:spacing w:before="50" w:after="50"/>
        <w:outlineLvl w:val="1"/>
        <w:rPr>
          <w:rFonts w:ascii="仿宋" w:hAnsi="仿宋" w:eastAsia="仿宋"/>
          <w:color w:val="auto"/>
          <w:sz w:val="32"/>
          <w:szCs w:val="20"/>
          <w:highlight w:val="none"/>
        </w:rPr>
      </w:pPr>
    </w:p>
    <w:p w14:paraId="71446331">
      <w:pPr>
        <w:snapToGrid w:val="0"/>
        <w:spacing w:before="50" w:after="50"/>
        <w:outlineLvl w:val="1"/>
        <w:rPr>
          <w:rFonts w:ascii="仿宋" w:hAnsi="仿宋" w:eastAsia="仿宋"/>
          <w:color w:val="auto"/>
          <w:sz w:val="32"/>
          <w:szCs w:val="20"/>
          <w:highlight w:val="none"/>
        </w:rPr>
      </w:pPr>
    </w:p>
    <w:p w14:paraId="16FE149E">
      <w:pPr>
        <w:snapToGrid w:val="0"/>
        <w:spacing w:before="50" w:after="50"/>
        <w:outlineLvl w:val="1"/>
        <w:rPr>
          <w:rFonts w:ascii="仿宋" w:hAnsi="仿宋" w:eastAsia="仿宋"/>
          <w:color w:val="auto"/>
          <w:sz w:val="32"/>
          <w:szCs w:val="20"/>
          <w:highlight w:val="none"/>
        </w:rPr>
      </w:pPr>
    </w:p>
    <w:p w14:paraId="21B7C81A">
      <w:pPr>
        <w:snapToGrid w:val="0"/>
        <w:spacing w:before="50" w:after="50"/>
        <w:outlineLvl w:val="1"/>
        <w:rPr>
          <w:rFonts w:ascii="仿宋" w:hAnsi="仿宋" w:eastAsia="仿宋"/>
          <w:color w:val="auto"/>
          <w:sz w:val="32"/>
          <w:szCs w:val="20"/>
          <w:highlight w:val="none"/>
        </w:rPr>
      </w:pPr>
    </w:p>
    <w:p w14:paraId="42A72B22">
      <w:pPr>
        <w:snapToGrid w:val="0"/>
        <w:spacing w:before="50" w:after="50"/>
        <w:outlineLvl w:val="1"/>
        <w:rPr>
          <w:rFonts w:ascii="仿宋" w:hAnsi="仿宋" w:eastAsia="仿宋"/>
          <w:color w:val="auto"/>
          <w:sz w:val="32"/>
          <w:szCs w:val="20"/>
          <w:highlight w:val="none"/>
        </w:rPr>
      </w:pPr>
    </w:p>
    <w:p w14:paraId="1AC260CF">
      <w:pPr>
        <w:snapToGrid w:val="0"/>
        <w:spacing w:before="50" w:after="50"/>
        <w:outlineLvl w:val="1"/>
        <w:rPr>
          <w:rFonts w:ascii="仿宋" w:hAnsi="仿宋" w:eastAsia="仿宋"/>
          <w:color w:val="auto"/>
          <w:sz w:val="32"/>
          <w:szCs w:val="20"/>
          <w:highlight w:val="none"/>
        </w:rPr>
      </w:pPr>
    </w:p>
    <w:p w14:paraId="26D787B3">
      <w:pPr>
        <w:snapToGrid w:val="0"/>
        <w:spacing w:before="50" w:after="50"/>
        <w:outlineLvl w:val="1"/>
        <w:rPr>
          <w:rFonts w:ascii="仿宋" w:hAnsi="仿宋" w:eastAsia="仿宋"/>
          <w:color w:val="auto"/>
          <w:sz w:val="32"/>
          <w:szCs w:val="20"/>
          <w:highlight w:val="none"/>
        </w:rPr>
      </w:pPr>
    </w:p>
    <w:p w14:paraId="717DF0C9">
      <w:pPr>
        <w:snapToGrid w:val="0"/>
        <w:spacing w:before="50" w:after="50"/>
        <w:outlineLvl w:val="1"/>
        <w:rPr>
          <w:rFonts w:ascii="仿宋" w:hAnsi="仿宋" w:eastAsia="仿宋"/>
          <w:color w:val="auto"/>
          <w:sz w:val="32"/>
          <w:szCs w:val="20"/>
          <w:highlight w:val="none"/>
        </w:rPr>
      </w:pPr>
    </w:p>
    <w:p w14:paraId="4191856A">
      <w:pPr>
        <w:snapToGrid w:val="0"/>
        <w:spacing w:before="120" w:beforeLines="50" w:after="50"/>
        <w:jc w:val="center"/>
        <w:outlineLvl w:val="1"/>
        <w:rPr>
          <w:rFonts w:ascii="仿宋" w:hAnsi="仿宋" w:eastAsia="仿宋"/>
          <w:color w:val="auto"/>
          <w:highlight w:val="none"/>
        </w:rPr>
      </w:pPr>
    </w:p>
    <w:p w14:paraId="3EADF772">
      <w:pPr>
        <w:rPr>
          <w:rFonts w:asciiTheme="majorEastAsia" w:hAnsiTheme="majorEastAsia" w:eastAsiaTheme="majorEastAsia" w:cstheme="majorEastAsia"/>
          <w:b/>
          <w:color w:val="auto"/>
          <w:sz w:val="28"/>
          <w:szCs w:val="28"/>
          <w:highlight w:val="none"/>
        </w:rPr>
      </w:pPr>
      <w:bookmarkStart w:id="177" w:name="_Toc19686836"/>
      <w:bookmarkStart w:id="178" w:name="_Toc254970557"/>
      <w:bookmarkStart w:id="179" w:name="_Toc254970698"/>
      <w:r>
        <w:rPr>
          <w:rFonts w:ascii="仿宋" w:hAnsi="仿宋" w:eastAsia="仿宋"/>
          <w:b/>
          <w:color w:val="auto"/>
          <w:sz w:val="28"/>
          <w:szCs w:val="28"/>
          <w:highlight w:val="none"/>
        </w:rPr>
        <w:br w:type="page"/>
      </w:r>
      <w:r>
        <w:rPr>
          <w:rFonts w:hint="eastAsia" w:asciiTheme="majorEastAsia" w:hAnsiTheme="majorEastAsia" w:eastAsiaTheme="majorEastAsia" w:cstheme="majorEastAsia"/>
          <w:b/>
          <w:color w:val="auto"/>
          <w:sz w:val="28"/>
          <w:szCs w:val="28"/>
          <w:highlight w:val="none"/>
        </w:rPr>
        <w:t>一、报价文件格式</w:t>
      </w:r>
      <w:bookmarkEnd w:id="177"/>
    </w:p>
    <w:p w14:paraId="2D9138A9">
      <w:pPr>
        <w:snapToGrid w:val="0"/>
        <w:spacing w:before="120" w:beforeLines="50" w:after="50" w:line="360" w:lineRule="auto"/>
        <w:ind w:left="142"/>
        <w:jc w:val="left"/>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b/>
          <w:color w:val="auto"/>
          <w:sz w:val="24"/>
          <w:highlight w:val="none"/>
        </w:rPr>
        <w:t xml:space="preserve">1. 报价文件封面格式： </w:t>
      </w:r>
    </w:p>
    <w:p w14:paraId="62E279FB">
      <w:pPr>
        <w:snapToGrid w:val="0"/>
        <w:spacing w:before="120" w:beforeLines="50" w:after="50" w:line="400" w:lineRule="exact"/>
        <w:rPr>
          <w:rFonts w:asciiTheme="majorEastAsia" w:hAnsiTheme="majorEastAsia" w:eastAsiaTheme="majorEastAsia" w:cstheme="majorEastAsia"/>
          <w:bCs/>
          <w:color w:val="auto"/>
          <w:sz w:val="32"/>
          <w:szCs w:val="20"/>
          <w:highlight w:val="none"/>
        </w:rPr>
      </w:pPr>
      <w:r>
        <w:rPr>
          <w:rFonts w:hint="eastAsia" w:asciiTheme="majorEastAsia" w:hAnsiTheme="majorEastAsia" w:eastAsiaTheme="majorEastAsia" w:cstheme="majorEastAsia"/>
          <w:color w:val="auto"/>
          <w:sz w:val="24"/>
          <w:highlight w:val="none"/>
        </w:rPr>
        <w:t xml:space="preserve">                                                   </w:t>
      </w:r>
    </w:p>
    <w:p w14:paraId="29532F7A">
      <w:pPr>
        <w:snapToGrid w:val="0"/>
        <w:spacing w:before="120" w:beforeLines="50" w:after="50" w:line="400" w:lineRule="exact"/>
        <w:jc w:val="center"/>
        <w:rPr>
          <w:rFonts w:asciiTheme="majorEastAsia" w:hAnsiTheme="majorEastAsia" w:eastAsiaTheme="majorEastAsia" w:cstheme="majorEastAsia"/>
          <w:bCs/>
          <w:color w:val="auto"/>
          <w:sz w:val="24"/>
          <w:szCs w:val="20"/>
          <w:highlight w:val="none"/>
        </w:rPr>
      </w:pPr>
    </w:p>
    <w:p w14:paraId="3EFA0FF8">
      <w:pPr>
        <w:snapToGrid w:val="0"/>
        <w:spacing w:before="120" w:beforeLines="50" w:after="50"/>
        <w:jc w:val="center"/>
        <w:rPr>
          <w:rFonts w:asciiTheme="majorEastAsia" w:hAnsiTheme="majorEastAsia" w:eastAsiaTheme="majorEastAsia" w:cstheme="majorEastAsia"/>
          <w:color w:val="auto"/>
          <w:sz w:val="84"/>
          <w:szCs w:val="84"/>
          <w:highlight w:val="none"/>
        </w:rPr>
      </w:pPr>
      <w:r>
        <w:rPr>
          <w:rFonts w:hint="eastAsia" w:asciiTheme="majorEastAsia" w:hAnsiTheme="majorEastAsia" w:eastAsiaTheme="majorEastAsia" w:cstheme="majorEastAsia"/>
          <w:color w:val="auto"/>
          <w:sz w:val="84"/>
          <w:szCs w:val="84"/>
          <w:highlight w:val="none"/>
        </w:rPr>
        <w:t>投  标  文  件</w:t>
      </w:r>
    </w:p>
    <w:p w14:paraId="3F90B8B9">
      <w:pPr>
        <w:snapToGrid w:val="0"/>
        <w:spacing w:before="120" w:beforeLines="50" w:after="50" w:line="400" w:lineRule="exact"/>
        <w:jc w:val="center"/>
        <w:rPr>
          <w:rFonts w:asciiTheme="majorEastAsia" w:hAnsiTheme="majorEastAsia" w:eastAsiaTheme="majorEastAsia" w:cstheme="majorEastAsia"/>
          <w:bCs/>
          <w:color w:val="auto"/>
          <w:sz w:val="32"/>
          <w:szCs w:val="32"/>
          <w:highlight w:val="none"/>
        </w:rPr>
      </w:pPr>
    </w:p>
    <w:p w14:paraId="75D6EB70">
      <w:pPr>
        <w:snapToGrid w:val="0"/>
        <w:spacing w:before="120" w:beforeLines="50" w:after="50" w:line="400" w:lineRule="exact"/>
        <w:jc w:val="cente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报  价  文  件</w:t>
      </w:r>
    </w:p>
    <w:p w14:paraId="5B5CA14E">
      <w:pPr>
        <w:snapToGrid w:val="0"/>
        <w:spacing w:before="120" w:beforeLines="50" w:after="50" w:line="400" w:lineRule="exact"/>
        <w:rPr>
          <w:rFonts w:asciiTheme="majorEastAsia" w:hAnsiTheme="majorEastAsia" w:eastAsiaTheme="majorEastAsia" w:cstheme="majorEastAsia"/>
          <w:bCs/>
          <w:color w:val="auto"/>
          <w:sz w:val="24"/>
          <w:szCs w:val="20"/>
          <w:highlight w:val="none"/>
        </w:rPr>
      </w:pPr>
    </w:p>
    <w:p w14:paraId="0C30594D">
      <w:pPr>
        <w:snapToGrid w:val="0"/>
        <w:spacing w:before="120" w:beforeLines="50" w:after="50" w:line="400" w:lineRule="exact"/>
        <w:rPr>
          <w:rFonts w:asciiTheme="majorEastAsia" w:hAnsiTheme="majorEastAsia" w:eastAsiaTheme="majorEastAsia" w:cstheme="majorEastAsia"/>
          <w:bCs/>
          <w:color w:val="auto"/>
          <w:sz w:val="24"/>
          <w:szCs w:val="20"/>
          <w:highlight w:val="none"/>
        </w:rPr>
      </w:pPr>
    </w:p>
    <w:p w14:paraId="216758A4">
      <w:pPr>
        <w:snapToGrid w:val="0"/>
        <w:spacing w:before="120" w:beforeLines="50" w:after="50" w:line="400" w:lineRule="exact"/>
        <w:rPr>
          <w:rFonts w:asciiTheme="majorEastAsia" w:hAnsiTheme="majorEastAsia" w:eastAsiaTheme="majorEastAsia" w:cstheme="majorEastAsia"/>
          <w:bCs/>
          <w:color w:val="auto"/>
          <w:sz w:val="24"/>
          <w:szCs w:val="20"/>
          <w:highlight w:val="none"/>
        </w:rPr>
      </w:pPr>
    </w:p>
    <w:p w14:paraId="1F866FC9">
      <w:pPr>
        <w:snapToGrid w:val="0"/>
        <w:spacing w:before="120" w:beforeLines="50" w:after="50" w:line="400" w:lineRule="exact"/>
        <w:rPr>
          <w:rFonts w:asciiTheme="majorEastAsia" w:hAnsiTheme="majorEastAsia" w:eastAsiaTheme="majorEastAsia" w:cstheme="majorEastAsia"/>
          <w:bCs/>
          <w:color w:val="auto"/>
          <w:sz w:val="24"/>
          <w:szCs w:val="20"/>
          <w:highlight w:val="none"/>
        </w:rPr>
      </w:pPr>
    </w:p>
    <w:p w14:paraId="5E44CE87">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项目名称： </w:t>
      </w:r>
    </w:p>
    <w:p w14:paraId="226BF597">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p>
    <w:p w14:paraId="2A342917">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项目编号： </w:t>
      </w:r>
    </w:p>
    <w:p w14:paraId="7A55E98A">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p>
    <w:p w14:paraId="1821EF8B">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所投分标：</w:t>
      </w:r>
    </w:p>
    <w:p w14:paraId="574345CB">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p>
    <w:p w14:paraId="657F14F7">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投标人名称：</w:t>
      </w:r>
    </w:p>
    <w:p w14:paraId="63EC4B7D">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p>
    <w:p w14:paraId="646B3F62">
      <w:pPr>
        <w:snapToGrid w:val="0"/>
        <w:spacing w:before="120" w:beforeLines="50" w:after="50" w:line="400" w:lineRule="exact"/>
        <w:ind w:firstLine="360" w:firstLineChars="15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投标人地址：</w:t>
      </w:r>
    </w:p>
    <w:p w14:paraId="5466C6F3">
      <w:pPr>
        <w:snapToGrid w:val="0"/>
        <w:spacing w:before="50" w:after="50" w:line="400" w:lineRule="exact"/>
        <w:ind w:firstLine="960" w:firstLineChars="400"/>
        <w:rPr>
          <w:rFonts w:ascii="仿宋" w:hAnsi="仿宋" w:eastAsia="仿宋"/>
          <w:bCs/>
          <w:color w:val="auto"/>
          <w:sz w:val="24"/>
          <w:highlight w:val="none"/>
        </w:rPr>
      </w:pPr>
    </w:p>
    <w:p w14:paraId="519B1D7E">
      <w:pPr>
        <w:snapToGrid w:val="0"/>
        <w:spacing w:before="120" w:beforeLines="50" w:after="50" w:line="400" w:lineRule="exact"/>
        <w:rPr>
          <w:rFonts w:ascii="仿宋" w:hAnsi="仿宋" w:eastAsia="仿宋"/>
          <w:color w:val="auto"/>
          <w:sz w:val="30"/>
          <w:szCs w:val="20"/>
          <w:highlight w:val="none"/>
        </w:rPr>
      </w:pPr>
      <w:r>
        <w:rPr>
          <w:rFonts w:hint="eastAsia" w:ascii="仿宋" w:hAnsi="仿宋" w:eastAsia="仿宋"/>
          <w:color w:val="auto"/>
          <w:sz w:val="24"/>
          <w:highlight w:val="none"/>
        </w:rPr>
        <w:t xml:space="preserve">                                   年  月  日</w:t>
      </w:r>
    </w:p>
    <w:p w14:paraId="0884DCC8">
      <w:pPr>
        <w:snapToGrid w:val="0"/>
        <w:spacing w:before="120" w:beforeLines="50" w:after="50" w:line="360" w:lineRule="auto"/>
        <w:jc w:val="left"/>
        <w:rPr>
          <w:rFonts w:asciiTheme="majorEastAsia" w:hAnsiTheme="majorEastAsia" w:eastAsiaTheme="majorEastAsia" w:cstheme="majorEastAsia"/>
          <w:color w:val="auto"/>
          <w:sz w:val="24"/>
          <w:szCs w:val="20"/>
          <w:highlight w:val="none"/>
        </w:rPr>
      </w:pPr>
      <w:r>
        <w:rPr>
          <w:rFonts w:ascii="仿宋" w:hAnsi="仿宋" w:eastAsia="仿宋"/>
          <w:b/>
          <w:color w:val="auto"/>
          <w:sz w:val="24"/>
          <w:highlight w:val="none"/>
        </w:rPr>
        <w:br w:type="page"/>
      </w: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b/>
          <w:bCs/>
          <w:color w:val="auto"/>
          <w:sz w:val="24"/>
          <w:highlight w:val="none"/>
        </w:rPr>
        <w:t>报价文件目录</w:t>
      </w:r>
    </w:p>
    <w:p w14:paraId="378FE04D">
      <w:pPr>
        <w:snapToGrid w:val="0"/>
        <w:spacing w:before="50" w:after="120" w:afterLines="50" w:line="360" w:lineRule="auto"/>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Cs w:val="21"/>
          <w:highlight w:val="none"/>
        </w:rPr>
        <w:t>根据招标文件规定及投标人提供的材料自行编写目录。</w:t>
      </w:r>
    </w:p>
    <w:p w14:paraId="4B9223DA">
      <w:pPr>
        <w:snapToGrid w:val="0"/>
        <w:spacing w:before="120" w:beforeLines="50" w:after="50"/>
        <w:rPr>
          <w:rFonts w:asciiTheme="majorEastAsia" w:hAnsiTheme="majorEastAsia" w:eastAsiaTheme="majorEastAsia" w:cstheme="majorEastAsia"/>
          <w:b/>
          <w:color w:val="auto"/>
          <w:sz w:val="24"/>
          <w:highlight w:val="none"/>
        </w:rPr>
      </w:pPr>
    </w:p>
    <w:p w14:paraId="0D6262E9">
      <w:pPr>
        <w:snapToGrid w:val="0"/>
        <w:spacing w:before="120" w:beforeLines="50" w:after="50"/>
        <w:rPr>
          <w:rFonts w:asciiTheme="majorEastAsia" w:hAnsiTheme="majorEastAsia" w:eastAsiaTheme="majorEastAsia" w:cstheme="majorEastAsia"/>
          <w:b/>
          <w:color w:val="auto"/>
          <w:sz w:val="24"/>
          <w:highlight w:val="none"/>
        </w:rPr>
      </w:pPr>
    </w:p>
    <w:p w14:paraId="4B2F50EB">
      <w:pPr>
        <w:snapToGrid w:val="0"/>
        <w:spacing w:before="120" w:beforeLines="50" w:after="50"/>
        <w:rPr>
          <w:rFonts w:asciiTheme="majorEastAsia" w:hAnsiTheme="majorEastAsia" w:eastAsiaTheme="majorEastAsia" w:cstheme="majorEastAsia"/>
          <w:b/>
          <w:color w:val="auto"/>
          <w:sz w:val="24"/>
          <w:highlight w:val="none"/>
        </w:rPr>
      </w:pPr>
    </w:p>
    <w:p w14:paraId="240C210C">
      <w:pPr>
        <w:snapToGrid w:val="0"/>
        <w:spacing w:before="120" w:beforeLines="50" w:after="50"/>
        <w:ind w:left="142"/>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24"/>
          <w:highlight w:val="none"/>
        </w:rPr>
        <w:t>3. 投标函格式：</w:t>
      </w:r>
    </w:p>
    <w:p w14:paraId="4A04D646">
      <w:pPr>
        <w:snapToGrid w:val="0"/>
        <w:spacing w:before="120" w:beforeLines="50" w:after="50" w:line="360" w:lineRule="auto"/>
        <w:jc w:val="center"/>
        <w:rPr>
          <w:rFonts w:asciiTheme="majorEastAsia" w:hAnsiTheme="majorEastAsia" w:eastAsiaTheme="majorEastAsia" w:cstheme="majorEastAsia"/>
          <w:bCs/>
          <w:color w:val="auto"/>
          <w:sz w:val="44"/>
          <w:szCs w:val="44"/>
          <w:highlight w:val="none"/>
        </w:rPr>
      </w:pPr>
      <w:r>
        <w:rPr>
          <w:rFonts w:hint="eastAsia" w:asciiTheme="majorEastAsia" w:hAnsiTheme="majorEastAsia" w:eastAsiaTheme="majorEastAsia" w:cstheme="majorEastAsia"/>
          <w:bCs/>
          <w:color w:val="auto"/>
          <w:sz w:val="44"/>
          <w:szCs w:val="44"/>
          <w:highlight w:val="none"/>
        </w:rPr>
        <w:t>投 标 函</w:t>
      </w:r>
    </w:p>
    <w:p w14:paraId="5A46067C">
      <w:pPr>
        <w:snapToGrid w:val="0"/>
        <w:spacing w:before="120" w:beforeLines="50" w:after="50" w:line="288"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采购人名称</w:t>
      </w:r>
    </w:p>
    <w:p w14:paraId="290B1511">
      <w:pPr>
        <w:spacing w:line="288" w:lineRule="auto"/>
        <w:ind w:firstLine="48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根据贵方</w:t>
      </w:r>
      <w:r>
        <w:rPr>
          <w:rFonts w:hint="eastAsia" w:asciiTheme="majorEastAsia" w:hAnsiTheme="majorEastAsia" w:eastAsiaTheme="majorEastAsia" w:cstheme="majorEastAsia"/>
          <w:color w:val="auto"/>
          <w:sz w:val="24"/>
          <w:highlight w:val="none"/>
          <w:u w:val="single"/>
        </w:rPr>
        <w:t xml:space="preserve"> 项目名称</w:t>
      </w:r>
      <w:r>
        <w:rPr>
          <w:rFonts w:hint="eastAsia" w:asciiTheme="majorEastAsia" w:hAnsiTheme="majorEastAsia" w:eastAsiaTheme="majorEastAsia" w:cstheme="majorEastAsia"/>
          <w:color w:val="auto"/>
          <w:sz w:val="24"/>
          <w:highlight w:val="none"/>
        </w:rPr>
        <w:t>（项目编号：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）的招标公告，签字代表______</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（姓名）经正式授权并代表投标人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（投标人名称）提交投标文件。</w:t>
      </w:r>
    </w:p>
    <w:p w14:paraId="6CFF3ABA">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据此函，我方宣布同意如下：</w:t>
      </w:r>
    </w:p>
    <w:p w14:paraId="73349AB9">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B96A4F1">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2.我方在投标之前已经完全理解并接受招标文件的各项规定和要求，对招标文件的合理性、合法性不再有异议。</w:t>
      </w:r>
    </w:p>
    <w:p w14:paraId="3404F410">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3.本投标有效期自投标截止之日起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52FB8530">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4.如中标，本投标文件至本项目合同履行完毕止均保持有效，我方将按“招标文件”及政府采购法律、法规的规定履行合同责任和义务。</w:t>
      </w:r>
    </w:p>
    <w:p w14:paraId="300C6EED">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5.我方同意按照贵方要求提供与投标有关的一切数据或者资料。</w:t>
      </w:r>
    </w:p>
    <w:p w14:paraId="64FCFDAC">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6.我方向贵方提交的所有投标文件、资料都是准确的和真实的。</w:t>
      </w:r>
    </w:p>
    <w:p w14:paraId="0433A603">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7.以上事项如有虚假或者隐瞒，我方愿意承担一切后果，并不再寻求任何旨在减轻或者免除法律责任的辩解。</w:t>
      </w:r>
    </w:p>
    <w:p w14:paraId="7C62B958">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23C0CD39">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□我方本次投标文件</w:t>
      </w:r>
      <w:r>
        <w:rPr>
          <w:rFonts w:hint="eastAsia" w:asciiTheme="majorEastAsia" w:hAnsiTheme="majorEastAsia" w:eastAsiaTheme="majorEastAsia" w:cstheme="majorEastAsia"/>
          <w:color w:val="auto"/>
          <w:kern w:val="0"/>
          <w:sz w:val="24"/>
          <w:highlight w:val="none"/>
        </w:rPr>
        <w:t>内容中</w:t>
      </w:r>
      <w:r>
        <w:rPr>
          <w:rFonts w:hint="eastAsia" w:asciiTheme="majorEastAsia" w:hAnsiTheme="majorEastAsia" w:eastAsiaTheme="majorEastAsia" w:cstheme="majorEastAsia"/>
          <w:color w:val="auto"/>
          <w:sz w:val="24"/>
          <w:highlight w:val="none"/>
        </w:rPr>
        <w:t>未</w:t>
      </w:r>
      <w:r>
        <w:rPr>
          <w:rFonts w:hint="eastAsia" w:asciiTheme="majorEastAsia" w:hAnsiTheme="majorEastAsia" w:eastAsiaTheme="majorEastAsia" w:cstheme="majorEastAsia"/>
          <w:color w:val="auto"/>
          <w:kern w:val="0"/>
          <w:sz w:val="24"/>
          <w:highlight w:val="none"/>
        </w:rPr>
        <w:t>涉及商业秘密；</w:t>
      </w:r>
    </w:p>
    <w:p w14:paraId="48E8EC56">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□我方本次投标文件</w:t>
      </w:r>
      <w:r>
        <w:rPr>
          <w:rFonts w:hint="eastAsia" w:asciiTheme="majorEastAsia" w:hAnsiTheme="majorEastAsia" w:eastAsiaTheme="majorEastAsia" w:cstheme="majorEastAsia"/>
          <w:color w:val="auto"/>
          <w:kern w:val="0"/>
          <w:sz w:val="24"/>
          <w:highlight w:val="none"/>
        </w:rPr>
        <w:t>涉及商业秘密的内容有：</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77B5A0B7">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9.与本投标有关的一切正式往来信函请寄：</w:t>
      </w:r>
    </w:p>
    <w:p w14:paraId="5251BEA1">
      <w:pPr>
        <w:spacing w:line="288" w:lineRule="auto"/>
        <w:ind w:firstLine="480" w:firstLineChars="200"/>
        <w:contextualSpacing/>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single"/>
        </w:rPr>
        <w:t xml:space="preserve">            </w:t>
      </w:r>
    </w:p>
    <w:p w14:paraId="11C378BD">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传真：</w:t>
      </w:r>
      <w:r>
        <w:rPr>
          <w:rFonts w:hint="eastAsia" w:asciiTheme="majorEastAsia" w:hAnsiTheme="majorEastAsia" w:eastAsiaTheme="majorEastAsia" w:cstheme="majorEastAsia"/>
          <w:color w:val="auto"/>
          <w:sz w:val="24"/>
          <w:highlight w:val="none"/>
          <w:u w:val="single"/>
        </w:rPr>
        <w:t xml:space="preserve">          </w:t>
      </w:r>
    </w:p>
    <w:p w14:paraId="077A5C51">
      <w:pPr>
        <w:spacing w:line="288" w:lineRule="auto"/>
        <w:ind w:firstLine="480" w:firstLineChars="20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w:t>
      </w:r>
      <w:r>
        <w:rPr>
          <w:rFonts w:hint="eastAsia" w:asciiTheme="majorEastAsia" w:hAnsiTheme="majorEastAsia" w:eastAsiaTheme="majorEastAsia" w:cstheme="majorEastAsia"/>
          <w:color w:val="auto"/>
          <w:sz w:val="24"/>
          <w:highlight w:val="none"/>
          <w:u w:val="single"/>
        </w:rPr>
        <w:t xml:space="preserve">                </w:t>
      </w:r>
    </w:p>
    <w:p w14:paraId="1A51646C">
      <w:pPr>
        <w:spacing w:line="288" w:lineRule="auto"/>
        <w:ind w:firstLine="480" w:firstLineChars="200"/>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开户银行：</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银行帐号：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7BAFA47C">
      <w:pPr>
        <w:spacing w:line="288" w:lineRule="auto"/>
        <w:ind w:firstLine="480" w:firstLineChars="200"/>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法定代表人或者委托代理人签字:___________ </w:t>
      </w:r>
    </w:p>
    <w:p w14:paraId="27728C43">
      <w:pPr>
        <w:pStyle w:val="2"/>
        <w:spacing w:line="440" w:lineRule="exact"/>
        <w:contextualSpacing/>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投标人名称（电子签章）：</w:t>
      </w:r>
    </w:p>
    <w:p w14:paraId="3FCAD6EF">
      <w:pPr>
        <w:pStyle w:val="2"/>
        <w:spacing w:line="440" w:lineRule="exact"/>
        <w:contextualSpacing/>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年</w:t>
      </w:r>
      <w:bookmarkStart w:id="180" w:name="OLE_LINK57"/>
      <w:r>
        <w:rPr>
          <w:rFonts w:hint="eastAsia" w:asciiTheme="majorEastAsia" w:hAnsiTheme="majorEastAsia" w:eastAsiaTheme="majorEastAsia" w:cstheme="majorEastAsia"/>
          <w:color w:val="auto"/>
          <w:highlight w:val="none"/>
          <w:u w:val="single"/>
        </w:rPr>
        <w:t xml:space="preserve">    </w:t>
      </w:r>
      <w:bookmarkEnd w:id="180"/>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w:t>
      </w:r>
    </w:p>
    <w:p w14:paraId="6909CA86">
      <w:pPr>
        <w:snapToGrid w:val="0"/>
        <w:spacing w:before="120" w:beforeLines="50" w:after="50" w:line="440" w:lineRule="exact"/>
        <w:jc w:val="left"/>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color w:val="auto"/>
          <w:highlight w:val="none"/>
          <w:u w:val="single"/>
        </w:rPr>
        <w:br w:type="page"/>
      </w:r>
      <w:r>
        <w:rPr>
          <w:rFonts w:hint="eastAsia" w:asciiTheme="majorEastAsia" w:hAnsiTheme="majorEastAsia" w:eastAsiaTheme="majorEastAsia" w:cstheme="majorEastAsia"/>
          <w:b/>
          <w:color w:val="auto"/>
          <w:sz w:val="24"/>
          <w:highlight w:val="none"/>
        </w:rPr>
        <w:t>4. 开标一览表（货物类格式）</w:t>
      </w:r>
    </w:p>
    <w:p w14:paraId="11DAC906">
      <w:pPr>
        <w:snapToGrid w:val="0"/>
        <w:spacing w:before="50" w:after="50"/>
        <w:jc w:val="center"/>
        <w:rPr>
          <w:rFonts w:asciiTheme="majorEastAsia" w:hAnsiTheme="majorEastAsia" w:eastAsiaTheme="majorEastAsia" w:cstheme="majorEastAsia"/>
          <w:b/>
          <w:color w:val="auto"/>
          <w:sz w:val="30"/>
          <w:highlight w:val="none"/>
        </w:rPr>
      </w:pPr>
      <w:r>
        <w:rPr>
          <w:rFonts w:hint="eastAsia" w:asciiTheme="majorEastAsia" w:hAnsiTheme="majorEastAsia" w:eastAsiaTheme="majorEastAsia" w:cstheme="majorEastAsia"/>
          <w:b/>
          <w:color w:val="auto"/>
          <w:sz w:val="30"/>
          <w:highlight w:val="none"/>
        </w:rPr>
        <w:t>开标一览表</w:t>
      </w:r>
    </w:p>
    <w:p w14:paraId="690B149F">
      <w:pPr>
        <w:snapToGrid w:val="0"/>
        <w:spacing w:before="50" w:after="50"/>
        <w:jc w:val="center"/>
        <w:rPr>
          <w:rFonts w:asciiTheme="majorEastAsia" w:hAnsiTheme="majorEastAsia" w:eastAsiaTheme="majorEastAsia" w:cstheme="majorEastAsia"/>
          <w:b/>
          <w:color w:val="auto"/>
          <w:sz w:val="30"/>
          <w:szCs w:val="20"/>
          <w:highlight w:val="none"/>
        </w:rPr>
      </w:pPr>
    </w:p>
    <w:p w14:paraId="06AA058B">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6A3D2A68">
      <w:pPr>
        <w:snapToGrid w:val="0"/>
        <w:spacing w:before="50" w:after="50"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分标：</w:t>
      </w:r>
      <w:r>
        <w:rPr>
          <w:rFonts w:hint="eastAsia" w:asciiTheme="majorEastAsia" w:hAnsiTheme="majorEastAsia" w:eastAsiaTheme="majorEastAsia" w:cstheme="majorEastAsia"/>
          <w:color w:val="auto"/>
          <w:sz w:val="24"/>
          <w:highlight w:val="none"/>
          <w:u w:val="single"/>
        </w:rPr>
        <w:t xml:space="preserve">  分标1/分标2         </w:t>
      </w:r>
    </w:p>
    <w:p w14:paraId="7CF1C0BC">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单位：元</w:t>
      </w:r>
    </w:p>
    <w:tbl>
      <w:tblPr>
        <w:tblStyle w:val="50"/>
        <w:tblW w:w="9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1559"/>
        <w:gridCol w:w="709"/>
        <w:gridCol w:w="1487"/>
        <w:gridCol w:w="1488"/>
        <w:gridCol w:w="727"/>
        <w:gridCol w:w="1389"/>
      </w:tblGrid>
      <w:tr w14:paraId="742C5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EC6D2C2">
            <w:pPr>
              <w:jc w:val="center"/>
              <w:rPr>
                <w:rFonts w:asciiTheme="majorEastAsia" w:hAnsiTheme="majorEastAsia" w:eastAsiaTheme="majorEastAsia" w:cstheme="majorEastAsia"/>
                <w:b/>
                <w:color w:val="auto"/>
                <w:sz w:val="24"/>
                <w:highlight w:val="none"/>
              </w:rPr>
            </w:pPr>
            <w:bookmarkStart w:id="181" w:name="OLE_LINK62"/>
            <w:r>
              <w:rPr>
                <w:rFonts w:hint="eastAsia" w:asciiTheme="majorEastAsia" w:hAnsiTheme="majorEastAsia" w:eastAsiaTheme="majorEastAsia" w:cstheme="majorEastAsia"/>
                <w:b/>
                <w:color w:val="auto"/>
                <w:sz w:val="24"/>
                <w:highlight w:val="none"/>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535EE310">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货物名称</w:t>
            </w:r>
          </w:p>
        </w:tc>
        <w:tc>
          <w:tcPr>
            <w:tcW w:w="1559" w:type="dxa"/>
            <w:tcBorders>
              <w:top w:val="single" w:color="auto" w:sz="4" w:space="0"/>
              <w:left w:val="single" w:color="auto" w:sz="4" w:space="0"/>
              <w:bottom w:val="single" w:color="auto" w:sz="4" w:space="0"/>
              <w:right w:val="single" w:color="auto" w:sz="4" w:space="0"/>
            </w:tcBorders>
            <w:vAlign w:val="center"/>
          </w:tcPr>
          <w:p w14:paraId="6C44C1A0">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p w14:paraId="482E4374">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①</w:t>
            </w:r>
          </w:p>
        </w:tc>
        <w:tc>
          <w:tcPr>
            <w:tcW w:w="709" w:type="dxa"/>
            <w:tcBorders>
              <w:top w:val="single" w:color="auto" w:sz="4" w:space="0"/>
              <w:left w:val="single" w:color="auto" w:sz="4" w:space="0"/>
              <w:bottom w:val="single" w:color="auto" w:sz="4" w:space="0"/>
              <w:right w:val="single" w:color="auto" w:sz="4" w:space="0"/>
            </w:tcBorders>
            <w:vAlign w:val="center"/>
          </w:tcPr>
          <w:p w14:paraId="1F9507B3">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单位</w:t>
            </w:r>
          </w:p>
        </w:tc>
        <w:tc>
          <w:tcPr>
            <w:tcW w:w="1487" w:type="dxa"/>
            <w:tcBorders>
              <w:top w:val="single" w:color="auto" w:sz="4" w:space="0"/>
              <w:left w:val="single" w:color="auto" w:sz="4" w:space="0"/>
              <w:bottom w:val="single" w:color="auto" w:sz="4" w:space="0"/>
              <w:right w:val="single" w:color="auto" w:sz="4" w:space="0"/>
            </w:tcBorders>
            <w:vAlign w:val="center"/>
          </w:tcPr>
          <w:p w14:paraId="76DEB00A">
            <w:pPr>
              <w:spacing w:after="0" w:line="279" w:lineRule="auto"/>
              <w:jc w:val="center"/>
              <w:rPr>
                <w:rFonts w:asciiTheme="majorEastAsia" w:hAnsiTheme="majorEastAsia" w:eastAsiaTheme="majorEastAsia" w:cstheme="majorEastAsia"/>
                <w:b/>
                <w:color w:val="auto"/>
                <w:sz w:val="24"/>
                <w:highlight w:val="none"/>
              </w:rPr>
            </w:pPr>
            <w:bookmarkStart w:id="182" w:name="OLE_LINK59"/>
            <w:r>
              <w:rPr>
                <w:rFonts w:hint="eastAsia" w:asciiTheme="majorEastAsia" w:hAnsiTheme="majorEastAsia" w:eastAsiaTheme="majorEastAsia" w:cstheme="majorEastAsia"/>
                <w:b/>
                <w:color w:val="auto"/>
                <w:sz w:val="24"/>
                <w:highlight w:val="none"/>
              </w:rPr>
              <w:t>品牌或生产厂家</w:t>
            </w:r>
            <w:bookmarkEnd w:id="182"/>
          </w:p>
        </w:tc>
        <w:tc>
          <w:tcPr>
            <w:tcW w:w="1488" w:type="dxa"/>
            <w:tcBorders>
              <w:top w:val="single" w:color="auto" w:sz="4" w:space="0"/>
              <w:left w:val="single" w:color="auto" w:sz="4" w:space="0"/>
              <w:bottom w:val="single" w:color="auto" w:sz="4" w:space="0"/>
              <w:right w:val="single" w:color="auto" w:sz="4" w:space="0"/>
            </w:tcBorders>
            <w:vAlign w:val="center"/>
          </w:tcPr>
          <w:p w14:paraId="0600A382">
            <w:pPr>
              <w:spacing w:after="0" w:line="279" w:lineRule="auto"/>
              <w:jc w:val="center"/>
              <w:rPr>
                <w:rFonts w:asciiTheme="majorEastAsia" w:hAnsiTheme="majorEastAsia" w:eastAsiaTheme="majorEastAsia" w:cstheme="majorEastAsia"/>
                <w:b/>
                <w:color w:val="auto"/>
                <w:sz w:val="24"/>
                <w:highlight w:val="none"/>
              </w:rPr>
            </w:pPr>
            <w:bookmarkStart w:id="183" w:name="OLE_LINK58"/>
            <w:r>
              <w:rPr>
                <w:rFonts w:hint="eastAsia" w:asciiTheme="majorEastAsia" w:hAnsiTheme="majorEastAsia" w:eastAsiaTheme="majorEastAsia" w:cstheme="majorEastAsia"/>
                <w:b/>
                <w:color w:val="auto"/>
                <w:sz w:val="24"/>
                <w:highlight w:val="none"/>
              </w:rPr>
              <w:t>规格型号</w:t>
            </w:r>
            <w:bookmarkEnd w:id="183"/>
          </w:p>
        </w:tc>
        <w:tc>
          <w:tcPr>
            <w:tcW w:w="727" w:type="dxa"/>
            <w:tcBorders>
              <w:top w:val="single" w:color="auto" w:sz="4" w:space="0"/>
              <w:left w:val="single" w:color="auto" w:sz="4" w:space="0"/>
              <w:bottom w:val="single" w:color="auto" w:sz="4" w:space="0"/>
              <w:right w:val="single" w:color="auto" w:sz="4" w:space="0"/>
            </w:tcBorders>
            <w:vAlign w:val="center"/>
          </w:tcPr>
          <w:p w14:paraId="7F4517B5">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单价</w:t>
            </w:r>
          </w:p>
          <w:p w14:paraId="77326466">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0ECF75EB">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投标报价</w:t>
            </w:r>
          </w:p>
          <w:p w14:paraId="12CC572E">
            <w:pPr>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③=①×②</w:t>
            </w:r>
          </w:p>
        </w:tc>
      </w:tr>
      <w:tr w14:paraId="74CB7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48FB526">
            <w:pPr>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70689BA9">
            <w:pPr>
              <w:rPr>
                <w:rFonts w:asciiTheme="majorEastAsia" w:hAnsiTheme="majorEastAsia" w:eastAsiaTheme="majorEastAsia" w:cstheme="majorEastAsia"/>
                <w:color w:val="auto"/>
                <w:kern w:val="0"/>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51EDCCA">
            <w:pPr>
              <w:rPr>
                <w:rFonts w:asciiTheme="majorEastAsia" w:hAnsiTheme="majorEastAsia" w:eastAsiaTheme="majorEastAsia" w:cstheme="majorEastAsia"/>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05A42C">
            <w:pPr>
              <w:rPr>
                <w:rFonts w:asciiTheme="majorEastAsia" w:hAnsiTheme="majorEastAsia" w:eastAsiaTheme="majorEastAsia" w:cstheme="majorEastAsia"/>
                <w:b/>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5007B45F">
            <w:pPr>
              <w:rPr>
                <w:rFonts w:asciiTheme="majorEastAsia" w:hAnsiTheme="majorEastAsia" w:eastAsiaTheme="majorEastAsia" w:cstheme="majorEastAsia"/>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1B7C09B8">
            <w:pPr>
              <w:rPr>
                <w:rFonts w:asciiTheme="majorEastAsia" w:hAnsiTheme="majorEastAsia" w:eastAsiaTheme="majorEastAsia" w:cstheme="majorEastAsia"/>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7C87B641">
            <w:pPr>
              <w:rPr>
                <w:rFonts w:asciiTheme="majorEastAsia" w:hAnsiTheme="majorEastAsia" w:eastAsiaTheme="majorEastAsia" w:cstheme="majorEastAsia"/>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242C69D2">
            <w:pPr>
              <w:rPr>
                <w:rFonts w:asciiTheme="majorEastAsia" w:hAnsiTheme="majorEastAsia" w:eastAsiaTheme="majorEastAsia" w:cstheme="majorEastAsia"/>
                <w:color w:val="auto"/>
                <w:sz w:val="24"/>
                <w:highlight w:val="none"/>
              </w:rPr>
            </w:pPr>
          </w:p>
        </w:tc>
      </w:tr>
      <w:tr w14:paraId="2CAA6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08C9DDBF">
            <w:pPr>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02519532">
            <w:pPr>
              <w:rPr>
                <w:rFonts w:asciiTheme="majorEastAsia" w:hAnsiTheme="majorEastAsia" w:eastAsiaTheme="majorEastAsia" w:cstheme="majorEastAsia"/>
                <w:color w:val="auto"/>
                <w:kern w:val="0"/>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E33A35F">
            <w:pPr>
              <w:rPr>
                <w:rFonts w:asciiTheme="majorEastAsia" w:hAnsiTheme="majorEastAsia" w:eastAsiaTheme="majorEastAsia" w:cstheme="majorEastAsia"/>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8231878">
            <w:pPr>
              <w:rPr>
                <w:rFonts w:asciiTheme="majorEastAsia" w:hAnsiTheme="majorEastAsia" w:eastAsiaTheme="majorEastAsia" w:cstheme="majorEastAsia"/>
                <w:b/>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409098F">
            <w:pPr>
              <w:rPr>
                <w:rFonts w:asciiTheme="majorEastAsia" w:hAnsiTheme="majorEastAsia" w:eastAsiaTheme="majorEastAsia" w:cstheme="majorEastAsia"/>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2D1848E1">
            <w:pPr>
              <w:rPr>
                <w:rFonts w:asciiTheme="majorEastAsia" w:hAnsiTheme="majorEastAsia" w:eastAsiaTheme="majorEastAsia" w:cstheme="majorEastAsia"/>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37F0ABCE">
            <w:pPr>
              <w:rPr>
                <w:rFonts w:asciiTheme="majorEastAsia" w:hAnsiTheme="majorEastAsia" w:eastAsiaTheme="majorEastAsia" w:cstheme="majorEastAsia"/>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4E14885F">
            <w:pPr>
              <w:rPr>
                <w:rFonts w:asciiTheme="majorEastAsia" w:hAnsiTheme="majorEastAsia" w:eastAsiaTheme="majorEastAsia" w:cstheme="majorEastAsia"/>
                <w:color w:val="auto"/>
                <w:sz w:val="24"/>
                <w:highlight w:val="none"/>
              </w:rPr>
            </w:pPr>
          </w:p>
        </w:tc>
      </w:tr>
      <w:tr w14:paraId="2DEE8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4BDFFF20">
            <w:pPr>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14:paraId="2ACFE83D">
            <w:pPr>
              <w:rPr>
                <w:rFonts w:asciiTheme="majorEastAsia" w:hAnsiTheme="majorEastAsia" w:eastAsiaTheme="majorEastAsia" w:cstheme="majorEastAsia"/>
                <w:color w:val="auto"/>
                <w:kern w:val="0"/>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8614C17">
            <w:pPr>
              <w:rPr>
                <w:rFonts w:asciiTheme="majorEastAsia" w:hAnsiTheme="majorEastAsia" w:eastAsiaTheme="majorEastAsia" w:cstheme="majorEastAsia"/>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364ADA8">
            <w:pPr>
              <w:rPr>
                <w:rFonts w:asciiTheme="majorEastAsia" w:hAnsiTheme="majorEastAsia" w:eastAsiaTheme="majorEastAsia" w:cstheme="majorEastAsia"/>
                <w:b/>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15198B1">
            <w:pPr>
              <w:rPr>
                <w:rFonts w:asciiTheme="majorEastAsia" w:hAnsiTheme="majorEastAsia" w:eastAsiaTheme="majorEastAsia" w:cstheme="majorEastAsia"/>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4B5499F1">
            <w:pPr>
              <w:rPr>
                <w:rFonts w:asciiTheme="majorEastAsia" w:hAnsiTheme="majorEastAsia" w:eastAsiaTheme="majorEastAsia" w:cstheme="majorEastAsia"/>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09CF3D7">
            <w:pPr>
              <w:rPr>
                <w:rFonts w:asciiTheme="majorEastAsia" w:hAnsiTheme="majorEastAsia" w:eastAsiaTheme="majorEastAsia" w:cstheme="majorEastAsia"/>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0C7962D3">
            <w:pPr>
              <w:rPr>
                <w:rFonts w:asciiTheme="majorEastAsia" w:hAnsiTheme="majorEastAsia" w:eastAsiaTheme="majorEastAsia" w:cstheme="majorEastAsia"/>
                <w:color w:val="auto"/>
                <w:sz w:val="24"/>
                <w:highlight w:val="none"/>
              </w:rPr>
            </w:pPr>
          </w:p>
        </w:tc>
      </w:tr>
      <w:tr w14:paraId="19AA0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14:paraId="7EBB98F6">
            <w:pPr>
              <w:rPr>
                <w:rFonts w:asciiTheme="majorEastAsia" w:hAnsiTheme="majorEastAsia" w:eastAsiaTheme="majorEastAsia" w:cstheme="majorEastAsia"/>
                <w:color w:val="auto"/>
                <w:spacing w:val="20"/>
                <w:sz w:val="24"/>
                <w:highlight w:val="none"/>
              </w:rPr>
            </w:pPr>
            <w:r>
              <w:rPr>
                <w:rFonts w:hint="eastAsia" w:asciiTheme="majorEastAsia" w:hAnsiTheme="majorEastAsia" w:eastAsiaTheme="majorEastAsia" w:cstheme="majorEastAsia"/>
                <w:color w:val="auto"/>
                <w:sz w:val="24"/>
                <w:highlight w:val="none"/>
              </w:rPr>
              <w:t>合计总金额</w:t>
            </w:r>
            <w:r>
              <w:rPr>
                <w:rFonts w:hint="eastAsia" w:asciiTheme="majorEastAsia" w:hAnsiTheme="majorEastAsia" w:eastAsiaTheme="majorEastAsia" w:cstheme="majorEastAsia"/>
                <w:color w:val="auto"/>
                <w:spacing w:val="20"/>
                <w:sz w:val="24"/>
                <w:highlight w:val="none"/>
              </w:rPr>
              <w:t>（</w:t>
            </w:r>
            <w:r>
              <w:rPr>
                <w:rFonts w:hint="eastAsia" w:asciiTheme="majorEastAsia" w:hAnsiTheme="majorEastAsia" w:eastAsiaTheme="majorEastAsia" w:cstheme="majorEastAsia"/>
                <w:color w:val="auto"/>
                <w:sz w:val="24"/>
                <w:highlight w:val="none"/>
              </w:rPr>
              <w:t>大写）：</w:t>
            </w:r>
            <w:r>
              <w:rPr>
                <w:rFonts w:hint="eastAsia" w:asciiTheme="majorEastAsia" w:hAnsiTheme="majorEastAsia" w:eastAsiaTheme="majorEastAsia" w:cstheme="majorEastAsia"/>
                <w:color w:val="auto"/>
                <w:spacing w:val="20"/>
                <w:sz w:val="24"/>
                <w:highlight w:val="none"/>
                <w:u w:val="single"/>
              </w:rPr>
              <w:t>人民币</w:t>
            </w:r>
            <w:r>
              <w:rPr>
                <w:rFonts w:hint="eastAsia" w:asciiTheme="majorEastAsia" w:hAnsiTheme="majorEastAsia" w:eastAsiaTheme="majorEastAsia" w:cstheme="majorEastAsia"/>
                <w:color w:val="auto"/>
                <w:sz w:val="24"/>
                <w:highlight w:val="none"/>
                <w:u w:val="single"/>
              </w:rPr>
              <w:t xml:space="preserve">                     元整</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w:t>
            </w:r>
          </w:p>
        </w:tc>
      </w:tr>
      <w:tr w14:paraId="7C674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14:paraId="2E6C7EA1">
            <w:pPr>
              <w:rPr>
                <w:rFonts w:asciiTheme="majorEastAsia" w:hAnsiTheme="majorEastAsia" w:eastAsiaTheme="majorEastAsia" w:cstheme="majorEastAsia"/>
                <w:color w:val="auto"/>
                <w:sz w:val="24"/>
                <w:highlight w:val="none"/>
              </w:rPr>
            </w:pPr>
            <w:bookmarkStart w:id="184" w:name="OLE_LINK60"/>
            <w:r>
              <w:rPr>
                <w:rFonts w:hint="eastAsia" w:asciiTheme="majorEastAsia" w:hAnsiTheme="majorEastAsia" w:eastAsiaTheme="majorEastAsia" w:cstheme="majorEastAsia"/>
                <w:bCs/>
                <w:color w:val="auto"/>
                <w:kern w:val="0"/>
                <w:sz w:val="24"/>
                <w:highlight w:val="none"/>
              </w:rPr>
              <w:t>交付使用时间</w:t>
            </w:r>
            <w:r>
              <w:rPr>
                <w:rFonts w:hint="eastAsia" w:asciiTheme="majorEastAsia" w:hAnsiTheme="majorEastAsia" w:eastAsiaTheme="majorEastAsia" w:cstheme="majorEastAsia"/>
                <w:color w:val="auto"/>
                <w:sz w:val="24"/>
                <w:highlight w:val="none"/>
              </w:rPr>
              <w:t>：</w:t>
            </w:r>
            <w:bookmarkEnd w:id="184"/>
          </w:p>
        </w:tc>
      </w:tr>
      <w:bookmarkEnd w:id="181"/>
    </w:tbl>
    <w:p w14:paraId="335C964A">
      <w:pPr>
        <w:snapToGrid w:val="0"/>
        <w:spacing w:before="50" w:after="50" w:line="360" w:lineRule="auto"/>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注: </w:t>
      </w:r>
    </w:p>
    <w:p w14:paraId="6C30DF33">
      <w:pPr>
        <w:snapToGrid w:val="0"/>
        <w:spacing w:before="50" w:after="50"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1.投标人的开标一览表必须加盖投标人公章并由法定代表人或者委托代理人签字，</w:t>
      </w:r>
      <w:r>
        <w:rPr>
          <w:rFonts w:hint="eastAsia" w:asciiTheme="majorEastAsia" w:hAnsiTheme="majorEastAsia" w:eastAsiaTheme="majorEastAsia" w:cstheme="majorEastAsia"/>
          <w:b/>
          <w:color w:val="auto"/>
          <w:sz w:val="24"/>
          <w:highlight w:val="none"/>
        </w:rPr>
        <w:t>否则其投标作无效标处理</w:t>
      </w:r>
      <w:r>
        <w:rPr>
          <w:rFonts w:hint="eastAsia" w:asciiTheme="majorEastAsia" w:hAnsiTheme="majorEastAsia" w:eastAsiaTheme="majorEastAsia" w:cstheme="majorEastAsia"/>
          <w:color w:val="auto"/>
          <w:sz w:val="24"/>
          <w:highlight w:val="none"/>
        </w:rPr>
        <w:t>。</w:t>
      </w:r>
    </w:p>
    <w:p w14:paraId="4C018827">
      <w:pPr>
        <w:snapToGrid w:val="0"/>
        <w:spacing w:before="50" w:after="50" w:line="360" w:lineRule="auto"/>
        <w:ind w:firstLine="480" w:firstLineChars="200"/>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Cs/>
          <w:color w:val="auto"/>
          <w:sz w:val="24"/>
          <w:highlight w:val="none"/>
        </w:rPr>
        <w:t>2.</w:t>
      </w:r>
      <w:r>
        <w:rPr>
          <w:rFonts w:hint="eastAsia" w:asciiTheme="majorEastAsia" w:hAnsiTheme="majorEastAsia" w:eastAsiaTheme="majorEastAsia" w:cstheme="majorEastAsia"/>
          <w:color w:val="auto"/>
          <w:sz w:val="24"/>
          <w:highlight w:val="none"/>
        </w:rPr>
        <w:t>报价一经涂改，应在涂改处加盖投标人公章或者由法定代表人或者委托代理人签字或者盖章</w:t>
      </w:r>
      <w:r>
        <w:rPr>
          <w:rFonts w:hint="eastAsia" w:asciiTheme="majorEastAsia" w:hAnsiTheme="majorEastAsia" w:eastAsiaTheme="majorEastAsia" w:cstheme="majorEastAsia"/>
          <w:b/>
          <w:color w:val="auto"/>
          <w:sz w:val="24"/>
          <w:highlight w:val="none"/>
        </w:rPr>
        <w:t>，否则其投标作无效标处理。</w:t>
      </w:r>
    </w:p>
    <w:p w14:paraId="78B93FD3">
      <w:pPr>
        <w:snapToGrid w:val="0"/>
        <w:spacing w:before="50" w:after="50"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3.招标文件中列明采购专用耗材的，应按招标文件规定的耗材量或者按耗材的常规试用量提供报价。</w:t>
      </w:r>
    </w:p>
    <w:p w14:paraId="4FFA71C4">
      <w:pPr>
        <w:snapToGrid w:val="0"/>
        <w:spacing w:before="50" w:after="50"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4.如为联合体投标，“投标人名称”处必须列明联合体各方名称，并标注联合体牵头人名称，</w:t>
      </w:r>
      <w:r>
        <w:rPr>
          <w:rFonts w:hint="eastAsia" w:asciiTheme="majorEastAsia" w:hAnsiTheme="majorEastAsia" w:eastAsiaTheme="majorEastAsia" w:cstheme="majorEastAsia"/>
          <w:b/>
          <w:color w:val="auto"/>
          <w:sz w:val="24"/>
          <w:highlight w:val="none"/>
        </w:rPr>
        <w:t>否则其投标作无效标处理。</w:t>
      </w:r>
    </w:p>
    <w:p w14:paraId="3029AF7A">
      <w:pPr>
        <w:snapToGrid w:val="0"/>
        <w:spacing w:before="50" w:after="50" w:line="360" w:lineRule="auto"/>
        <w:ind w:firstLine="456" w:firstLineChars="200"/>
        <w:jc w:val="left"/>
        <w:rPr>
          <w:rFonts w:asciiTheme="majorEastAsia" w:hAnsiTheme="majorEastAsia" w:eastAsiaTheme="majorEastAsia" w:cstheme="majorEastAsia"/>
          <w:color w:val="auto"/>
          <w:spacing w:val="-6"/>
          <w:sz w:val="24"/>
          <w:highlight w:val="none"/>
        </w:rPr>
      </w:pPr>
      <w:r>
        <w:rPr>
          <w:rFonts w:hint="eastAsia" w:asciiTheme="majorEastAsia" w:hAnsiTheme="majorEastAsia" w:eastAsiaTheme="majorEastAsia" w:cstheme="majorEastAsia"/>
          <w:color w:val="auto"/>
          <w:spacing w:val="-6"/>
          <w:sz w:val="24"/>
          <w:highlight w:val="none"/>
        </w:rPr>
        <w:t>5.如为联合体投标，盖章处须加盖联合体各方公章，</w:t>
      </w:r>
      <w:r>
        <w:rPr>
          <w:rFonts w:hint="eastAsia" w:asciiTheme="majorEastAsia" w:hAnsiTheme="majorEastAsia" w:eastAsiaTheme="majorEastAsia" w:cstheme="majorEastAsia"/>
          <w:b/>
          <w:color w:val="auto"/>
          <w:spacing w:val="-6"/>
          <w:sz w:val="24"/>
          <w:highlight w:val="none"/>
        </w:rPr>
        <w:t>否则其投标作无效标处理。</w:t>
      </w:r>
    </w:p>
    <w:p w14:paraId="66F6C861">
      <w:pPr>
        <w:snapToGrid w:val="0"/>
        <w:spacing w:before="50" w:after="50" w:line="360" w:lineRule="auto"/>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6.如有多分标，按分标分别提供开标一览表，</w:t>
      </w:r>
      <w:r>
        <w:rPr>
          <w:rFonts w:hint="eastAsia" w:asciiTheme="majorEastAsia" w:hAnsiTheme="majorEastAsia" w:eastAsiaTheme="majorEastAsia" w:cstheme="majorEastAsia"/>
          <w:b/>
          <w:color w:val="auto"/>
          <w:sz w:val="24"/>
          <w:highlight w:val="none"/>
        </w:rPr>
        <w:t>否则投标无效。</w:t>
      </w:r>
    </w:p>
    <w:p w14:paraId="6C100FAF">
      <w:pPr>
        <w:snapToGrid w:val="0"/>
        <w:spacing w:before="50" w:after="50" w:line="360" w:lineRule="auto"/>
        <w:ind w:firstLine="482" w:firstLineChars="200"/>
        <w:rPr>
          <w:rFonts w:asciiTheme="majorEastAsia" w:hAnsiTheme="majorEastAsia" w:eastAsiaTheme="majorEastAsia" w:cstheme="majorEastAsia"/>
          <w:b/>
          <w:color w:val="auto"/>
          <w:sz w:val="24"/>
          <w:highlight w:val="none"/>
        </w:rPr>
      </w:pPr>
    </w:p>
    <w:p w14:paraId="1E85E2A3">
      <w:pPr>
        <w:snapToGrid w:val="0"/>
        <w:spacing w:before="50" w:after="50" w:line="360" w:lineRule="auto"/>
        <w:ind w:left="-2" w:leftChars="-1" w:right="-817" w:rightChars="-389"/>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法定代表人或者委托代理人（签字）：                    </w:t>
      </w:r>
    </w:p>
    <w:p w14:paraId="6BABA83E">
      <w:pPr>
        <w:snapToGrid w:val="0"/>
        <w:spacing w:before="50" w:after="50" w:line="360" w:lineRule="auto"/>
        <w:ind w:left="-3" w:leftChars="-15" w:right="-817" w:rightChars="-389" w:hanging="28" w:hangingChars="12"/>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投标人名称（电子签章）：                                 日期：    年   月   日</w:t>
      </w:r>
      <w:r>
        <w:rPr>
          <w:rFonts w:hint="eastAsia" w:asciiTheme="majorEastAsia" w:hAnsiTheme="majorEastAsia" w:eastAsiaTheme="majorEastAsia" w:cstheme="majorEastAsia"/>
          <w:b/>
          <w:bCs/>
          <w:color w:val="auto"/>
          <w:sz w:val="24"/>
          <w:highlight w:val="none"/>
        </w:rPr>
        <w:br w:type="page"/>
      </w:r>
      <w:bookmarkStart w:id="185" w:name="_Toc19686837"/>
    </w:p>
    <w:p w14:paraId="55A98249">
      <w:pPr>
        <w:snapToGrid w:val="0"/>
        <w:spacing w:before="50" w:after="50"/>
        <w:jc w:val="left"/>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开标一览表（服务类格式）</w:t>
      </w:r>
    </w:p>
    <w:p w14:paraId="224DD55B">
      <w:pPr>
        <w:snapToGrid w:val="0"/>
        <w:spacing w:before="50" w:after="50"/>
        <w:jc w:val="center"/>
        <w:rPr>
          <w:rFonts w:asciiTheme="majorEastAsia" w:hAnsiTheme="majorEastAsia" w:eastAsiaTheme="majorEastAsia" w:cstheme="majorEastAsia"/>
          <w:b/>
          <w:color w:val="auto"/>
          <w:sz w:val="30"/>
          <w:highlight w:val="none"/>
        </w:rPr>
      </w:pPr>
      <w:r>
        <w:rPr>
          <w:rFonts w:hint="eastAsia" w:asciiTheme="majorEastAsia" w:hAnsiTheme="majorEastAsia" w:eastAsiaTheme="majorEastAsia" w:cstheme="majorEastAsia"/>
          <w:b/>
          <w:color w:val="auto"/>
          <w:sz w:val="30"/>
          <w:highlight w:val="none"/>
        </w:rPr>
        <w:t>开标一览表</w:t>
      </w:r>
    </w:p>
    <w:p w14:paraId="197D0E5C">
      <w:pPr>
        <w:snapToGrid w:val="0"/>
        <w:spacing w:before="50" w:after="50"/>
        <w:jc w:val="center"/>
        <w:rPr>
          <w:rFonts w:asciiTheme="majorEastAsia" w:hAnsiTheme="majorEastAsia" w:eastAsiaTheme="majorEastAsia" w:cstheme="majorEastAsia"/>
          <w:b/>
          <w:color w:val="auto"/>
          <w:sz w:val="30"/>
          <w:szCs w:val="20"/>
          <w:highlight w:val="none"/>
        </w:rPr>
      </w:pPr>
    </w:p>
    <w:p w14:paraId="6E1AF076">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1349F3E7">
      <w:pPr>
        <w:snapToGrid w:val="0"/>
        <w:spacing w:before="50" w:after="50"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分标：</w:t>
      </w:r>
      <w:r>
        <w:rPr>
          <w:rFonts w:hint="eastAsia" w:asciiTheme="majorEastAsia" w:hAnsiTheme="majorEastAsia" w:eastAsiaTheme="majorEastAsia" w:cstheme="majorEastAsia"/>
          <w:color w:val="auto"/>
          <w:sz w:val="24"/>
          <w:highlight w:val="none"/>
          <w:u w:val="single"/>
        </w:rPr>
        <w:t xml:space="preserve">  分标3        </w:t>
      </w:r>
    </w:p>
    <w:p w14:paraId="35C634E6">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tbl>
      <w:tblPr>
        <w:tblStyle w:val="5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5083"/>
        <w:gridCol w:w="1083"/>
        <w:gridCol w:w="2551"/>
      </w:tblGrid>
      <w:tr w14:paraId="7ECE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065" w:type="dxa"/>
            <w:tcBorders>
              <w:top w:val="single" w:color="auto" w:sz="4" w:space="0"/>
              <w:left w:val="single" w:color="auto" w:sz="4" w:space="0"/>
              <w:bottom w:val="single" w:color="auto" w:sz="4" w:space="0"/>
              <w:right w:val="single" w:color="auto" w:sz="4" w:space="0"/>
            </w:tcBorders>
            <w:vAlign w:val="center"/>
          </w:tcPr>
          <w:p w14:paraId="3136B535">
            <w:pPr>
              <w:jc w:val="center"/>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序号</w:t>
            </w:r>
          </w:p>
        </w:tc>
        <w:tc>
          <w:tcPr>
            <w:tcW w:w="5083" w:type="dxa"/>
            <w:tcBorders>
              <w:top w:val="single" w:color="auto" w:sz="4" w:space="0"/>
              <w:left w:val="single" w:color="auto" w:sz="4" w:space="0"/>
              <w:bottom w:val="single" w:color="auto" w:sz="4" w:space="0"/>
              <w:right w:val="single" w:color="auto" w:sz="4" w:space="0"/>
            </w:tcBorders>
            <w:vAlign w:val="center"/>
          </w:tcPr>
          <w:p w14:paraId="23D8D2B1">
            <w:pPr>
              <w:jc w:val="center"/>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标的名称</w:t>
            </w:r>
          </w:p>
        </w:tc>
        <w:tc>
          <w:tcPr>
            <w:tcW w:w="1083" w:type="dxa"/>
            <w:tcBorders>
              <w:top w:val="single" w:color="auto" w:sz="4" w:space="0"/>
              <w:left w:val="single" w:color="auto" w:sz="4" w:space="0"/>
              <w:bottom w:val="single" w:color="auto" w:sz="4" w:space="0"/>
              <w:right w:val="single" w:color="auto" w:sz="4" w:space="0"/>
            </w:tcBorders>
            <w:vAlign w:val="center"/>
          </w:tcPr>
          <w:p w14:paraId="24A4A0C2">
            <w:pPr>
              <w:jc w:val="center"/>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数量</w:t>
            </w:r>
          </w:p>
        </w:tc>
        <w:tc>
          <w:tcPr>
            <w:tcW w:w="2551" w:type="dxa"/>
            <w:tcBorders>
              <w:top w:val="single" w:color="auto" w:sz="4" w:space="0"/>
              <w:left w:val="single" w:color="auto" w:sz="4" w:space="0"/>
              <w:bottom w:val="single" w:color="auto" w:sz="4" w:space="0"/>
              <w:right w:val="single" w:color="auto" w:sz="4" w:space="0"/>
            </w:tcBorders>
            <w:vAlign w:val="center"/>
          </w:tcPr>
          <w:p w14:paraId="7AF71AB6">
            <w:pPr>
              <w:jc w:val="center"/>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投标总报价(元)</w:t>
            </w:r>
          </w:p>
        </w:tc>
      </w:tr>
      <w:tr w14:paraId="1A68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065" w:type="dxa"/>
            <w:tcBorders>
              <w:top w:val="single" w:color="auto" w:sz="4" w:space="0"/>
              <w:left w:val="single" w:color="auto" w:sz="4" w:space="0"/>
              <w:bottom w:val="single" w:color="auto" w:sz="4" w:space="0"/>
              <w:right w:val="single" w:color="auto" w:sz="4" w:space="0"/>
            </w:tcBorders>
            <w:vAlign w:val="center"/>
          </w:tcPr>
          <w:p w14:paraId="5B664AE7">
            <w:pPr>
              <w:jc w:val="center"/>
              <w:rPr>
                <w:rFonts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szCs w:val="21"/>
                <w:highlight w:val="none"/>
              </w:rPr>
              <w:t>1</w:t>
            </w:r>
          </w:p>
        </w:tc>
        <w:tc>
          <w:tcPr>
            <w:tcW w:w="5083" w:type="dxa"/>
            <w:tcBorders>
              <w:top w:val="single" w:color="auto" w:sz="4" w:space="0"/>
              <w:left w:val="single" w:color="auto" w:sz="4" w:space="0"/>
              <w:bottom w:val="single" w:color="auto" w:sz="4" w:space="0"/>
              <w:right w:val="single" w:color="auto" w:sz="4" w:space="0"/>
            </w:tcBorders>
            <w:vAlign w:val="center"/>
          </w:tcPr>
          <w:p w14:paraId="001ED8CC">
            <w:pPr>
              <w:jc w:val="center"/>
              <w:rPr>
                <w:rFonts w:asciiTheme="majorEastAsia" w:hAnsiTheme="majorEastAsia" w:eastAsiaTheme="majorEastAsia" w:cstheme="majorEastAsia"/>
                <w:b/>
                <w:color w:val="auto"/>
                <w:sz w:val="24"/>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54418A13">
            <w:pPr>
              <w:jc w:val="center"/>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1项</w:t>
            </w:r>
          </w:p>
        </w:tc>
        <w:tc>
          <w:tcPr>
            <w:tcW w:w="2551" w:type="dxa"/>
            <w:tcBorders>
              <w:top w:val="single" w:color="auto" w:sz="4" w:space="0"/>
              <w:left w:val="single" w:color="auto" w:sz="4" w:space="0"/>
              <w:bottom w:val="single" w:color="auto" w:sz="4" w:space="0"/>
              <w:right w:val="single" w:color="auto" w:sz="4" w:space="0"/>
            </w:tcBorders>
            <w:vAlign w:val="center"/>
          </w:tcPr>
          <w:p w14:paraId="720BCB24">
            <w:pPr>
              <w:jc w:val="center"/>
              <w:rPr>
                <w:rFonts w:asciiTheme="majorEastAsia" w:hAnsiTheme="majorEastAsia" w:eastAsiaTheme="majorEastAsia" w:cstheme="majorEastAsia"/>
                <w:color w:val="auto"/>
                <w:sz w:val="24"/>
                <w:szCs w:val="20"/>
                <w:highlight w:val="none"/>
              </w:rPr>
            </w:pPr>
          </w:p>
        </w:tc>
      </w:tr>
      <w:tr w14:paraId="5BD7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065" w:type="dxa"/>
            <w:tcBorders>
              <w:top w:val="single" w:color="auto" w:sz="4" w:space="0"/>
              <w:left w:val="single" w:color="auto" w:sz="4" w:space="0"/>
              <w:bottom w:val="single" w:color="auto" w:sz="4" w:space="0"/>
              <w:right w:val="single" w:color="auto" w:sz="4" w:space="0"/>
            </w:tcBorders>
            <w:vAlign w:val="center"/>
          </w:tcPr>
          <w:p w14:paraId="3EFC3A08">
            <w:pPr>
              <w:jc w:val="center"/>
              <w:rPr>
                <w:rFonts w:asciiTheme="majorEastAsia" w:hAnsiTheme="majorEastAsia" w:eastAsiaTheme="majorEastAsia" w:cstheme="majorEastAsia"/>
                <w:b/>
                <w:color w:val="auto"/>
                <w:sz w:val="24"/>
                <w:szCs w:val="21"/>
                <w:highlight w:val="none"/>
              </w:rPr>
            </w:pPr>
          </w:p>
        </w:tc>
        <w:tc>
          <w:tcPr>
            <w:tcW w:w="5083" w:type="dxa"/>
            <w:tcBorders>
              <w:top w:val="single" w:color="auto" w:sz="4" w:space="0"/>
              <w:left w:val="single" w:color="auto" w:sz="4" w:space="0"/>
              <w:bottom w:val="single" w:color="auto" w:sz="4" w:space="0"/>
              <w:right w:val="single" w:color="auto" w:sz="4" w:space="0"/>
            </w:tcBorders>
            <w:vAlign w:val="center"/>
          </w:tcPr>
          <w:p w14:paraId="286690EC">
            <w:pPr>
              <w:jc w:val="center"/>
              <w:rPr>
                <w:rFonts w:asciiTheme="majorEastAsia" w:hAnsiTheme="majorEastAsia" w:eastAsiaTheme="majorEastAsia" w:cstheme="majorEastAsia"/>
                <w:b/>
                <w:color w:val="auto"/>
                <w:sz w:val="24"/>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A1DDC28">
            <w:pPr>
              <w:jc w:val="center"/>
              <w:rPr>
                <w:rFonts w:asciiTheme="majorEastAsia" w:hAnsiTheme="majorEastAsia" w:eastAsiaTheme="majorEastAsia" w:cstheme="majorEastAsia"/>
                <w:b/>
                <w:color w:val="auto"/>
                <w:sz w:val="24"/>
                <w:szCs w:val="20"/>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D660635">
            <w:pPr>
              <w:jc w:val="center"/>
              <w:rPr>
                <w:rFonts w:asciiTheme="majorEastAsia" w:hAnsiTheme="majorEastAsia" w:eastAsiaTheme="majorEastAsia" w:cstheme="majorEastAsia"/>
                <w:color w:val="auto"/>
                <w:sz w:val="24"/>
                <w:szCs w:val="20"/>
                <w:highlight w:val="none"/>
              </w:rPr>
            </w:pPr>
          </w:p>
        </w:tc>
      </w:tr>
      <w:tr w14:paraId="7B70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065" w:type="dxa"/>
            <w:tcBorders>
              <w:top w:val="single" w:color="auto" w:sz="4" w:space="0"/>
              <w:left w:val="single" w:color="auto" w:sz="4" w:space="0"/>
              <w:bottom w:val="single" w:color="auto" w:sz="4" w:space="0"/>
              <w:right w:val="single" w:color="auto" w:sz="4" w:space="0"/>
            </w:tcBorders>
            <w:vAlign w:val="center"/>
          </w:tcPr>
          <w:p w14:paraId="4EC0FA61">
            <w:pPr>
              <w:jc w:val="center"/>
              <w:rPr>
                <w:rFonts w:asciiTheme="majorEastAsia" w:hAnsiTheme="majorEastAsia" w:eastAsiaTheme="majorEastAsia" w:cstheme="majorEastAsia"/>
                <w:b/>
                <w:color w:val="auto"/>
                <w:sz w:val="24"/>
                <w:szCs w:val="21"/>
                <w:highlight w:val="none"/>
              </w:rPr>
            </w:pPr>
          </w:p>
        </w:tc>
        <w:tc>
          <w:tcPr>
            <w:tcW w:w="5083" w:type="dxa"/>
            <w:tcBorders>
              <w:top w:val="single" w:color="auto" w:sz="4" w:space="0"/>
              <w:left w:val="single" w:color="auto" w:sz="4" w:space="0"/>
              <w:bottom w:val="single" w:color="auto" w:sz="4" w:space="0"/>
              <w:right w:val="single" w:color="auto" w:sz="4" w:space="0"/>
            </w:tcBorders>
            <w:vAlign w:val="center"/>
          </w:tcPr>
          <w:p w14:paraId="0DE14439">
            <w:pPr>
              <w:jc w:val="center"/>
              <w:rPr>
                <w:rFonts w:asciiTheme="majorEastAsia" w:hAnsiTheme="majorEastAsia" w:eastAsiaTheme="majorEastAsia" w:cstheme="majorEastAsia"/>
                <w:b/>
                <w:color w:val="auto"/>
                <w:sz w:val="24"/>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50F42942">
            <w:pPr>
              <w:jc w:val="center"/>
              <w:rPr>
                <w:rFonts w:asciiTheme="majorEastAsia" w:hAnsiTheme="majorEastAsia" w:eastAsiaTheme="majorEastAsia" w:cstheme="majorEastAsia"/>
                <w:b/>
                <w:color w:val="auto"/>
                <w:sz w:val="24"/>
                <w:szCs w:val="20"/>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25F5B8E">
            <w:pPr>
              <w:jc w:val="center"/>
              <w:rPr>
                <w:rFonts w:asciiTheme="majorEastAsia" w:hAnsiTheme="majorEastAsia" w:eastAsiaTheme="majorEastAsia" w:cstheme="majorEastAsia"/>
                <w:b/>
                <w:color w:val="auto"/>
                <w:sz w:val="24"/>
                <w:szCs w:val="20"/>
                <w:highlight w:val="none"/>
                <w:u w:val="single"/>
              </w:rPr>
            </w:pPr>
          </w:p>
        </w:tc>
      </w:tr>
      <w:tr w14:paraId="119A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1065" w:type="dxa"/>
            <w:tcBorders>
              <w:top w:val="single" w:color="auto" w:sz="4" w:space="0"/>
              <w:left w:val="single" w:color="auto" w:sz="4" w:space="0"/>
              <w:bottom w:val="single" w:color="auto" w:sz="4" w:space="0"/>
              <w:right w:val="single" w:color="auto" w:sz="4" w:space="0"/>
            </w:tcBorders>
            <w:vAlign w:val="center"/>
          </w:tcPr>
          <w:p w14:paraId="30DF56D1">
            <w:pPr>
              <w:jc w:val="center"/>
              <w:rPr>
                <w:rFonts w:asciiTheme="majorEastAsia" w:hAnsiTheme="majorEastAsia" w:eastAsiaTheme="majorEastAsia" w:cstheme="majorEastAsia"/>
                <w:b/>
                <w:color w:val="auto"/>
                <w:sz w:val="24"/>
                <w:szCs w:val="21"/>
                <w:highlight w:val="none"/>
              </w:rPr>
            </w:pPr>
          </w:p>
        </w:tc>
        <w:tc>
          <w:tcPr>
            <w:tcW w:w="5083" w:type="dxa"/>
            <w:tcBorders>
              <w:top w:val="single" w:color="auto" w:sz="4" w:space="0"/>
              <w:left w:val="single" w:color="auto" w:sz="4" w:space="0"/>
              <w:bottom w:val="single" w:color="auto" w:sz="4" w:space="0"/>
              <w:right w:val="single" w:color="auto" w:sz="4" w:space="0"/>
            </w:tcBorders>
            <w:vAlign w:val="center"/>
          </w:tcPr>
          <w:p w14:paraId="412FF1D0">
            <w:pPr>
              <w:jc w:val="center"/>
              <w:rPr>
                <w:rFonts w:asciiTheme="majorEastAsia" w:hAnsiTheme="majorEastAsia" w:eastAsiaTheme="majorEastAsia" w:cstheme="majorEastAsia"/>
                <w:b/>
                <w:color w:val="auto"/>
                <w:sz w:val="24"/>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30F2ECBE">
            <w:pPr>
              <w:jc w:val="center"/>
              <w:rPr>
                <w:rFonts w:asciiTheme="majorEastAsia" w:hAnsiTheme="majorEastAsia" w:eastAsiaTheme="majorEastAsia" w:cstheme="majorEastAsia"/>
                <w:b/>
                <w:color w:val="auto"/>
                <w:sz w:val="24"/>
                <w:szCs w:val="20"/>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D7A5739">
            <w:pPr>
              <w:jc w:val="center"/>
              <w:rPr>
                <w:rFonts w:asciiTheme="majorEastAsia" w:hAnsiTheme="majorEastAsia" w:eastAsiaTheme="majorEastAsia" w:cstheme="majorEastAsia"/>
                <w:b/>
                <w:color w:val="auto"/>
                <w:sz w:val="24"/>
                <w:szCs w:val="20"/>
                <w:highlight w:val="none"/>
                <w:u w:val="single"/>
              </w:rPr>
            </w:pPr>
          </w:p>
        </w:tc>
      </w:tr>
      <w:tr w14:paraId="75A7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9782" w:type="dxa"/>
            <w:gridSpan w:val="4"/>
            <w:tcBorders>
              <w:top w:val="single" w:color="auto" w:sz="4" w:space="0"/>
              <w:left w:val="single" w:color="auto" w:sz="4" w:space="0"/>
              <w:bottom w:val="single" w:color="auto" w:sz="4" w:space="0"/>
              <w:right w:val="single" w:color="auto" w:sz="4" w:space="0"/>
            </w:tcBorders>
            <w:vAlign w:val="center"/>
          </w:tcPr>
          <w:p w14:paraId="66A47498">
            <w:pPr>
              <w:tabs>
                <w:tab w:val="left" w:pos="1820"/>
              </w:tabs>
              <w:spacing w:line="400" w:lineRule="exact"/>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Cs/>
                <w:color w:val="auto"/>
                <w:kern w:val="0"/>
                <w:sz w:val="24"/>
                <w:highlight w:val="none"/>
              </w:rPr>
              <w:t>服务期限</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u w:val="single"/>
              </w:rPr>
              <w:t xml:space="preserve">                     </w:t>
            </w:r>
            <w:r>
              <w:rPr>
                <w:rFonts w:hint="eastAsia" w:asciiTheme="majorEastAsia" w:hAnsiTheme="majorEastAsia" w:eastAsiaTheme="majorEastAsia" w:cstheme="majorEastAsia"/>
                <w:b/>
                <w:color w:val="auto"/>
                <w:sz w:val="24"/>
                <w:highlight w:val="none"/>
              </w:rPr>
              <w:t>。</w:t>
            </w:r>
          </w:p>
        </w:tc>
      </w:tr>
      <w:tr w14:paraId="3DD2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blHeader/>
          <w:jc w:val="center"/>
        </w:trPr>
        <w:tc>
          <w:tcPr>
            <w:tcW w:w="9782" w:type="dxa"/>
            <w:gridSpan w:val="4"/>
            <w:tcBorders>
              <w:top w:val="single" w:color="auto" w:sz="4" w:space="0"/>
              <w:left w:val="single" w:color="auto" w:sz="4" w:space="0"/>
              <w:bottom w:val="single" w:color="auto" w:sz="4" w:space="0"/>
              <w:right w:val="single" w:color="auto" w:sz="4" w:space="0"/>
            </w:tcBorders>
            <w:vAlign w:val="center"/>
          </w:tcPr>
          <w:p w14:paraId="440495C1">
            <w:pPr>
              <w:tabs>
                <w:tab w:val="left" w:pos="1820"/>
              </w:tabs>
              <w:spacing w:line="400" w:lineRule="exact"/>
              <w:ind w:firstLine="482"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w:t>
            </w:r>
          </w:p>
        </w:tc>
      </w:tr>
    </w:tbl>
    <w:p w14:paraId="79D896DE">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注: </w:t>
      </w:r>
    </w:p>
    <w:p w14:paraId="21BB2D05">
      <w:pPr>
        <w:snapToGrid w:val="0"/>
        <w:spacing w:before="50" w:after="50" w:line="360" w:lineRule="exact"/>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1.投标人的开标一览表必须签名及加盖投标人电子公章，</w:t>
      </w:r>
      <w:r>
        <w:rPr>
          <w:rFonts w:hint="eastAsia" w:asciiTheme="majorEastAsia" w:hAnsiTheme="majorEastAsia" w:eastAsiaTheme="majorEastAsia" w:cstheme="majorEastAsia"/>
          <w:b/>
          <w:color w:val="auto"/>
          <w:sz w:val="24"/>
          <w:highlight w:val="none"/>
        </w:rPr>
        <w:t>否则其投标作无效标处理</w:t>
      </w:r>
      <w:r>
        <w:rPr>
          <w:rFonts w:hint="eastAsia" w:asciiTheme="majorEastAsia" w:hAnsiTheme="majorEastAsia" w:eastAsiaTheme="majorEastAsia" w:cstheme="majorEastAsia"/>
          <w:color w:val="auto"/>
          <w:sz w:val="24"/>
          <w:highlight w:val="none"/>
        </w:rPr>
        <w:t>。</w:t>
      </w:r>
    </w:p>
    <w:p w14:paraId="637A0186">
      <w:pPr>
        <w:snapToGrid w:val="0"/>
        <w:spacing w:before="50" w:after="50" w:line="360" w:lineRule="exact"/>
        <w:ind w:firstLine="480" w:firstLineChars="200"/>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Cs/>
          <w:color w:val="auto"/>
          <w:sz w:val="24"/>
          <w:highlight w:val="none"/>
        </w:rPr>
        <w:t>2.</w:t>
      </w:r>
      <w:r>
        <w:rPr>
          <w:rFonts w:hint="eastAsia" w:asciiTheme="majorEastAsia" w:hAnsiTheme="majorEastAsia" w:eastAsiaTheme="majorEastAsia" w:cstheme="majorEastAsia"/>
          <w:color w:val="auto"/>
          <w:sz w:val="24"/>
          <w:highlight w:val="none"/>
        </w:rPr>
        <w:t>报价一经涂改，应在涂改处加盖投标人公章或者由法定代表人或者委托代理人签字或者盖章</w:t>
      </w:r>
      <w:r>
        <w:rPr>
          <w:rFonts w:hint="eastAsia" w:asciiTheme="majorEastAsia" w:hAnsiTheme="majorEastAsia" w:eastAsiaTheme="majorEastAsia" w:cstheme="majorEastAsia"/>
          <w:b/>
          <w:color w:val="auto"/>
          <w:sz w:val="24"/>
          <w:highlight w:val="none"/>
        </w:rPr>
        <w:t>，否则其投标作无效标处理。</w:t>
      </w:r>
    </w:p>
    <w:p w14:paraId="2D2AEE29">
      <w:pPr>
        <w:snapToGrid w:val="0"/>
        <w:spacing w:before="50" w:after="50" w:line="360" w:lineRule="exact"/>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3.如为联合体投标，“投标人名称”处必须列明联合体各方名称，并标注联合体牵头人名称，</w:t>
      </w:r>
      <w:r>
        <w:rPr>
          <w:rFonts w:hint="eastAsia" w:asciiTheme="majorEastAsia" w:hAnsiTheme="majorEastAsia" w:eastAsiaTheme="majorEastAsia" w:cstheme="majorEastAsia"/>
          <w:b/>
          <w:color w:val="auto"/>
          <w:sz w:val="24"/>
          <w:highlight w:val="none"/>
        </w:rPr>
        <w:t>否则其投标作无效标处理。</w:t>
      </w:r>
    </w:p>
    <w:p w14:paraId="12FE8871">
      <w:pPr>
        <w:snapToGrid w:val="0"/>
        <w:spacing w:before="50" w:after="50" w:line="360" w:lineRule="exact"/>
        <w:ind w:firstLine="456" w:firstLineChars="200"/>
        <w:jc w:val="left"/>
        <w:rPr>
          <w:rFonts w:asciiTheme="majorEastAsia" w:hAnsiTheme="majorEastAsia" w:eastAsiaTheme="majorEastAsia" w:cstheme="majorEastAsia"/>
          <w:color w:val="auto"/>
          <w:spacing w:val="-6"/>
          <w:sz w:val="24"/>
          <w:highlight w:val="none"/>
        </w:rPr>
      </w:pPr>
      <w:r>
        <w:rPr>
          <w:rFonts w:hint="eastAsia" w:asciiTheme="majorEastAsia" w:hAnsiTheme="majorEastAsia" w:eastAsiaTheme="majorEastAsia" w:cstheme="majorEastAsia"/>
          <w:color w:val="auto"/>
          <w:spacing w:val="-6"/>
          <w:sz w:val="24"/>
          <w:highlight w:val="none"/>
        </w:rPr>
        <w:t>4.如为联合体投标，盖章处须加盖联合体各方公章，</w:t>
      </w:r>
      <w:r>
        <w:rPr>
          <w:rFonts w:hint="eastAsia" w:asciiTheme="majorEastAsia" w:hAnsiTheme="majorEastAsia" w:eastAsiaTheme="majorEastAsia" w:cstheme="majorEastAsia"/>
          <w:b/>
          <w:color w:val="auto"/>
          <w:spacing w:val="-6"/>
          <w:sz w:val="24"/>
          <w:highlight w:val="none"/>
        </w:rPr>
        <w:t>否则其投标作无效标处理。</w:t>
      </w:r>
    </w:p>
    <w:p w14:paraId="38DED4A3">
      <w:pPr>
        <w:snapToGrid w:val="0"/>
        <w:spacing w:before="50" w:after="50" w:line="360" w:lineRule="exact"/>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5.如有多分标，按分标分别提供开标一览表，</w:t>
      </w:r>
      <w:r>
        <w:rPr>
          <w:rFonts w:hint="eastAsia" w:asciiTheme="majorEastAsia" w:hAnsiTheme="majorEastAsia" w:eastAsiaTheme="majorEastAsia" w:cstheme="majorEastAsia"/>
          <w:b/>
          <w:color w:val="auto"/>
          <w:sz w:val="24"/>
          <w:highlight w:val="none"/>
        </w:rPr>
        <w:t>否则投标无效。</w:t>
      </w:r>
    </w:p>
    <w:p w14:paraId="005C6D61">
      <w:pPr>
        <w:snapToGrid w:val="0"/>
        <w:spacing w:before="50" w:after="50" w:line="360" w:lineRule="auto"/>
        <w:ind w:left="-2" w:leftChars="-1" w:right="-817" w:rightChars="-389"/>
        <w:rPr>
          <w:rFonts w:asciiTheme="majorEastAsia" w:hAnsiTheme="majorEastAsia" w:eastAsiaTheme="majorEastAsia" w:cstheme="majorEastAsia"/>
          <w:color w:val="auto"/>
          <w:sz w:val="24"/>
          <w:highlight w:val="none"/>
        </w:rPr>
      </w:pPr>
    </w:p>
    <w:p w14:paraId="3122C026">
      <w:pPr>
        <w:snapToGrid w:val="0"/>
        <w:spacing w:line="360" w:lineRule="auto"/>
        <w:ind w:firstLine="5040" w:firstLineChars="2100"/>
        <w:rPr>
          <w:rFonts w:asciiTheme="majorEastAsia" w:hAnsiTheme="majorEastAsia" w:eastAsiaTheme="majorEastAsia" w:cstheme="majorEastAsia"/>
          <w:color w:val="auto"/>
          <w:kern w:val="0"/>
          <w:sz w:val="24"/>
          <w:highlight w:val="none"/>
          <w:lang w:val="zh-CN"/>
        </w:rPr>
      </w:pPr>
    </w:p>
    <w:p w14:paraId="4C8CDFF6">
      <w:pPr>
        <w:snapToGrid w:val="0"/>
        <w:spacing w:line="360" w:lineRule="auto"/>
        <w:ind w:firstLine="3120" w:firstLineChars="1300"/>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法定代表人（签字或者盖章或者电子签名）：</w:t>
      </w:r>
      <w:r>
        <w:rPr>
          <w:rFonts w:hint="eastAsia" w:asciiTheme="majorEastAsia" w:hAnsiTheme="majorEastAsia" w:eastAsiaTheme="majorEastAsia" w:cstheme="majorEastAsia"/>
          <w:color w:val="auto"/>
          <w:kern w:val="0"/>
          <w:sz w:val="24"/>
          <w:highlight w:val="none"/>
          <w:u w:val="single"/>
          <w:lang w:val="zh-CN"/>
        </w:rPr>
        <w:t xml:space="preserve">          </w:t>
      </w:r>
    </w:p>
    <w:p w14:paraId="4045C708">
      <w:pPr>
        <w:snapToGrid w:val="0"/>
        <w:spacing w:line="360" w:lineRule="auto"/>
        <w:ind w:firstLine="5040" w:firstLineChars="2100"/>
        <w:rPr>
          <w:rFonts w:asciiTheme="majorEastAsia" w:hAnsiTheme="majorEastAsia" w:eastAsiaTheme="majorEastAsia" w:cstheme="majorEastAsia"/>
          <w:color w:val="auto"/>
          <w:kern w:val="0"/>
          <w:sz w:val="24"/>
          <w:highlight w:val="none"/>
          <w:u w:val="single"/>
        </w:rPr>
      </w:pPr>
      <w:r>
        <w:rPr>
          <w:rFonts w:hint="eastAsia" w:asciiTheme="majorEastAsia" w:hAnsiTheme="majorEastAsia" w:eastAsiaTheme="majorEastAsia" w:cstheme="majorEastAsia"/>
          <w:color w:val="auto"/>
          <w:kern w:val="0"/>
          <w:sz w:val="24"/>
          <w:highlight w:val="none"/>
          <w:lang w:val="zh-CN"/>
        </w:rPr>
        <w:t>投标人名称(电子签章)：</w:t>
      </w:r>
      <w:r>
        <w:rPr>
          <w:rFonts w:hint="eastAsia" w:asciiTheme="majorEastAsia" w:hAnsiTheme="majorEastAsia" w:eastAsiaTheme="majorEastAsia" w:cstheme="majorEastAsia"/>
          <w:color w:val="auto"/>
          <w:kern w:val="0"/>
          <w:sz w:val="24"/>
          <w:highlight w:val="none"/>
          <w:u w:val="single"/>
          <w:lang w:val="zh-CN"/>
        </w:rPr>
        <w:t xml:space="preserve">          </w:t>
      </w:r>
    </w:p>
    <w:p w14:paraId="0E6783DB">
      <w:pPr>
        <w:snapToGrid w:val="0"/>
        <w:spacing w:line="360" w:lineRule="auto"/>
        <w:ind w:firstLine="5160" w:firstLineChars="2150"/>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07236040">
      <w:pPr>
        <w:snapToGrid w:val="0"/>
        <w:spacing w:before="120" w:beforeLines="50" w:after="50" w:line="400" w:lineRule="exact"/>
        <w:jc w:val="left"/>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highlight w:val="none"/>
        </w:rPr>
        <w:t>5. 投标报价明细表（货物类格式）</w:t>
      </w:r>
    </w:p>
    <w:p w14:paraId="6075ED03">
      <w:pPr>
        <w:snapToGrid w:val="0"/>
        <w:spacing w:before="50" w:after="50"/>
        <w:jc w:val="center"/>
        <w:rPr>
          <w:rFonts w:asciiTheme="majorEastAsia" w:hAnsiTheme="majorEastAsia" w:eastAsiaTheme="majorEastAsia" w:cstheme="majorEastAsia"/>
          <w:b/>
          <w:color w:val="auto"/>
          <w:sz w:val="30"/>
          <w:highlight w:val="none"/>
        </w:rPr>
      </w:pPr>
    </w:p>
    <w:p w14:paraId="52721397">
      <w:pPr>
        <w:snapToGrid w:val="0"/>
        <w:spacing w:before="50" w:after="50" w:line="240" w:lineRule="auto"/>
        <w:jc w:val="center"/>
        <w:rPr>
          <w:rFonts w:asciiTheme="majorEastAsia" w:hAnsiTheme="majorEastAsia" w:eastAsiaTheme="majorEastAsia" w:cstheme="majorEastAsia"/>
          <w:b/>
          <w:color w:val="auto"/>
          <w:sz w:val="30"/>
          <w:highlight w:val="none"/>
        </w:rPr>
      </w:pPr>
      <w:r>
        <w:rPr>
          <w:rFonts w:hint="eastAsia" w:asciiTheme="majorEastAsia" w:hAnsiTheme="majorEastAsia" w:eastAsiaTheme="majorEastAsia" w:cstheme="majorEastAsia"/>
          <w:b/>
          <w:color w:val="auto"/>
          <w:sz w:val="30"/>
          <w:highlight w:val="none"/>
        </w:rPr>
        <w:t>投标报价明细表</w:t>
      </w:r>
    </w:p>
    <w:p w14:paraId="00D9AA1F">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774BE74D">
      <w:pPr>
        <w:snapToGrid w:val="0"/>
        <w:spacing w:before="50" w:after="50"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分标：</w:t>
      </w:r>
      <w:r>
        <w:rPr>
          <w:rFonts w:hint="eastAsia" w:asciiTheme="majorEastAsia" w:hAnsiTheme="majorEastAsia" w:eastAsiaTheme="majorEastAsia" w:cstheme="majorEastAsia"/>
          <w:color w:val="auto"/>
          <w:sz w:val="24"/>
          <w:highlight w:val="none"/>
          <w:u w:val="single"/>
        </w:rPr>
        <w:t xml:space="preserve"> 分标1或分标2         </w:t>
      </w:r>
    </w:p>
    <w:p w14:paraId="3AEE1413">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tbl>
      <w:tblPr>
        <w:tblStyle w:val="50"/>
        <w:tblW w:w="9700"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148"/>
        <w:gridCol w:w="900"/>
        <w:gridCol w:w="900"/>
        <w:gridCol w:w="2880"/>
        <w:gridCol w:w="2140"/>
      </w:tblGrid>
      <w:tr w14:paraId="668A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494218D6">
            <w:pPr>
              <w:tabs>
                <w:tab w:val="left" w:pos="8040"/>
              </w:tabs>
              <w:spacing w:line="5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2148" w:type="dxa"/>
            <w:vAlign w:val="center"/>
          </w:tcPr>
          <w:p w14:paraId="4255E2A3">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设备名称</w:t>
            </w:r>
          </w:p>
        </w:tc>
        <w:tc>
          <w:tcPr>
            <w:tcW w:w="900" w:type="dxa"/>
            <w:vAlign w:val="center"/>
          </w:tcPr>
          <w:p w14:paraId="53CA4035">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  量</w:t>
            </w:r>
          </w:p>
        </w:tc>
        <w:tc>
          <w:tcPr>
            <w:tcW w:w="900" w:type="dxa"/>
            <w:vAlign w:val="center"/>
          </w:tcPr>
          <w:p w14:paraId="52899E5C">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单位</w:t>
            </w:r>
          </w:p>
        </w:tc>
        <w:tc>
          <w:tcPr>
            <w:tcW w:w="2880" w:type="dxa"/>
            <w:vAlign w:val="center"/>
          </w:tcPr>
          <w:p w14:paraId="59E8AA54">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金  额</w:t>
            </w:r>
          </w:p>
          <w:p w14:paraId="156EC392">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（元）</w:t>
            </w:r>
          </w:p>
        </w:tc>
        <w:tc>
          <w:tcPr>
            <w:tcW w:w="2140" w:type="dxa"/>
            <w:vAlign w:val="center"/>
          </w:tcPr>
          <w:p w14:paraId="5662F39F">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kern w:val="0"/>
                <w:highlight w:val="none"/>
              </w:rPr>
              <w:t>说      明</w:t>
            </w:r>
          </w:p>
        </w:tc>
      </w:tr>
      <w:tr w14:paraId="477A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0262383F">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2148" w:type="dxa"/>
            <w:vAlign w:val="center"/>
          </w:tcPr>
          <w:p w14:paraId="1F1562E4">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729BD87A">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15F6E18D">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7AD14D27">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1FB33DC1">
            <w:pPr>
              <w:snapToGrid w:val="0"/>
              <w:spacing w:line="400" w:lineRule="exact"/>
              <w:jc w:val="center"/>
              <w:rPr>
                <w:rFonts w:asciiTheme="majorEastAsia" w:hAnsiTheme="majorEastAsia" w:eastAsiaTheme="majorEastAsia" w:cstheme="majorEastAsia"/>
                <w:color w:val="auto"/>
                <w:szCs w:val="21"/>
                <w:highlight w:val="none"/>
              </w:rPr>
            </w:pPr>
          </w:p>
        </w:tc>
      </w:tr>
      <w:tr w14:paraId="197C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07BE0661">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2148" w:type="dxa"/>
            <w:vAlign w:val="center"/>
          </w:tcPr>
          <w:p w14:paraId="1CF5FD23">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1908BDA1">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1F47390E">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27FA05D1">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5DA90667">
            <w:pPr>
              <w:snapToGrid w:val="0"/>
              <w:spacing w:line="400" w:lineRule="exact"/>
              <w:jc w:val="center"/>
              <w:rPr>
                <w:rFonts w:asciiTheme="majorEastAsia" w:hAnsiTheme="majorEastAsia" w:eastAsiaTheme="majorEastAsia" w:cstheme="majorEastAsia"/>
                <w:color w:val="auto"/>
                <w:szCs w:val="21"/>
                <w:highlight w:val="none"/>
              </w:rPr>
            </w:pPr>
          </w:p>
        </w:tc>
      </w:tr>
      <w:tr w14:paraId="750E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55D3A200">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2148" w:type="dxa"/>
            <w:vAlign w:val="center"/>
          </w:tcPr>
          <w:p w14:paraId="08FD069C">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573523F2">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61B3B826">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6DF259FE">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33DC3D38">
            <w:pPr>
              <w:snapToGrid w:val="0"/>
              <w:spacing w:line="400" w:lineRule="exact"/>
              <w:jc w:val="center"/>
              <w:rPr>
                <w:rFonts w:asciiTheme="majorEastAsia" w:hAnsiTheme="majorEastAsia" w:eastAsiaTheme="majorEastAsia" w:cstheme="majorEastAsia"/>
                <w:color w:val="auto"/>
                <w:szCs w:val="21"/>
                <w:highlight w:val="none"/>
              </w:rPr>
            </w:pPr>
          </w:p>
        </w:tc>
      </w:tr>
      <w:tr w14:paraId="1047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449D522E">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2148" w:type="dxa"/>
            <w:vAlign w:val="center"/>
          </w:tcPr>
          <w:p w14:paraId="50F0B193">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2C9C54A4">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4363B6F3">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726B90B3">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69D531D5">
            <w:pPr>
              <w:snapToGrid w:val="0"/>
              <w:spacing w:line="400" w:lineRule="exact"/>
              <w:jc w:val="center"/>
              <w:rPr>
                <w:rFonts w:asciiTheme="majorEastAsia" w:hAnsiTheme="majorEastAsia" w:eastAsiaTheme="majorEastAsia" w:cstheme="majorEastAsia"/>
                <w:color w:val="auto"/>
                <w:szCs w:val="21"/>
                <w:highlight w:val="none"/>
              </w:rPr>
            </w:pPr>
          </w:p>
        </w:tc>
      </w:tr>
      <w:tr w14:paraId="2B63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880" w:type="dxa"/>
            <w:gridSpan w:val="2"/>
            <w:vAlign w:val="center"/>
          </w:tcPr>
          <w:p w14:paraId="0A7E7351">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合计</w:t>
            </w:r>
          </w:p>
        </w:tc>
        <w:tc>
          <w:tcPr>
            <w:tcW w:w="900" w:type="dxa"/>
            <w:vAlign w:val="center"/>
          </w:tcPr>
          <w:p w14:paraId="703CCBA2">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08A1A8B3">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2D1712A1">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290DB703">
            <w:pPr>
              <w:snapToGrid w:val="0"/>
              <w:spacing w:line="400" w:lineRule="exact"/>
              <w:jc w:val="center"/>
              <w:rPr>
                <w:rFonts w:asciiTheme="majorEastAsia" w:hAnsiTheme="majorEastAsia" w:eastAsiaTheme="majorEastAsia" w:cstheme="majorEastAsia"/>
                <w:color w:val="auto"/>
                <w:szCs w:val="21"/>
                <w:highlight w:val="none"/>
              </w:rPr>
            </w:pPr>
          </w:p>
        </w:tc>
      </w:tr>
      <w:tr w14:paraId="0AFC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700" w:type="dxa"/>
            <w:gridSpan w:val="6"/>
            <w:vAlign w:val="center"/>
          </w:tcPr>
          <w:p w14:paraId="7E9D4FC4">
            <w:pPr>
              <w:snapToGrid w:val="0"/>
              <w:spacing w:line="400" w:lineRule="exact"/>
              <w:rPr>
                <w:rFonts w:asciiTheme="majorEastAsia" w:hAnsiTheme="majorEastAsia" w:eastAsiaTheme="majorEastAsia" w:cstheme="majorEastAsia"/>
                <w:b/>
                <w:bCs/>
                <w:color w:val="auto"/>
                <w:kern w:val="0"/>
                <w:sz w:val="20"/>
                <w:szCs w:val="20"/>
                <w:highlight w:val="none"/>
                <w:lang w:bidi="ar"/>
              </w:rPr>
            </w:pPr>
            <w:r>
              <w:rPr>
                <w:rFonts w:hint="eastAsia" w:asciiTheme="majorEastAsia" w:hAnsiTheme="majorEastAsia" w:eastAsiaTheme="majorEastAsia" w:cstheme="majorEastAsia"/>
                <w:b/>
                <w:bCs/>
                <w:color w:val="auto"/>
                <w:szCs w:val="21"/>
                <w:highlight w:val="none"/>
              </w:rPr>
              <w:t>投标总报价</w:t>
            </w:r>
          </w:p>
          <w:p w14:paraId="67369FEE">
            <w:pPr>
              <w:snapToGrid w:val="0"/>
              <w:spacing w:line="400" w:lineRule="exact"/>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人民币合计金额（大写）：</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color w:val="auto"/>
                <w:szCs w:val="21"/>
                <w:highlight w:val="none"/>
              </w:rPr>
              <w:t xml:space="preserve">     小写金额：</w:t>
            </w:r>
            <w:r>
              <w:rPr>
                <w:rFonts w:hint="eastAsia" w:asciiTheme="majorEastAsia" w:hAnsiTheme="majorEastAsia" w:eastAsiaTheme="majorEastAsia" w:cstheme="majorEastAsia"/>
                <w:color w:val="auto"/>
                <w:szCs w:val="21"/>
                <w:highlight w:val="none"/>
                <w:u w:val="single"/>
              </w:rPr>
              <w:t xml:space="preserve">                  </w:t>
            </w:r>
          </w:p>
        </w:tc>
      </w:tr>
    </w:tbl>
    <w:p w14:paraId="5ADC9D0A">
      <w:pPr>
        <w:ind w:firstLine="480"/>
        <w:rPr>
          <w:rFonts w:asciiTheme="majorEastAsia" w:hAnsiTheme="majorEastAsia" w:eastAsiaTheme="majorEastAsia" w:cstheme="majorEastAsia"/>
          <w:color w:val="auto"/>
          <w:sz w:val="24"/>
          <w:highlight w:val="none"/>
          <w:lang w:val="zh-CN"/>
        </w:rPr>
      </w:pPr>
    </w:p>
    <w:p w14:paraId="416C6EB8">
      <w:pPr>
        <w:rPr>
          <w:rFonts w:asciiTheme="majorEastAsia" w:hAnsiTheme="majorEastAsia" w:eastAsiaTheme="majorEastAsia" w:cstheme="majorEastAsia"/>
          <w:b/>
          <w:bCs/>
          <w:color w:val="auto"/>
          <w:sz w:val="24"/>
          <w:highlight w:val="none"/>
        </w:rPr>
      </w:pPr>
    </w:p>
    <w:p w14:paraId="5D6EA891">
      <w:pPr>
        <w:ind w:firstLine="482"/>
        <w:rPr>
          <w:rFonts w:asciiTheme="majorEastAsia" w:hAnsiTheme="majorEastAsia" w:eastAsiaTheme="majorEastAsia" w:cstheme="majorEastAsia"/>
          <w:b/>
          <w:bCs/>
          <w:color w:val="auto"/>
          <w:sz w:val="24"/>
          <w:highlight w:val="none"/>
        </w:rPr>
      </w:pPr>
    </w:p>
    <w:p w14:paraId="20BC2C55">
      <w:pPr>
        <w:snapToGrid w:val="0"/>
        <w:spacing w:line="360" w:lineRule="auto"/>
        <w:ind w:firstLine="5040" w:firstLineChars="2100"/>
        <w:rPr>
          <w:rFonts w:asciiTheme="majorEastAsia" w:hAnsiTheme="majorEastAsia" w:eastAsiaTheme="majorEastAsia" w:cstheme="majorEastAsia"/>
          <w:color w:val="auto"/>
          <w:kern w:val="0"/>
          <w:sz w:val="24"/>
          <w:highlight w:val="none"/>
          <w:u w:val="single"/>
        </w:rPr>
      </w:pPr>
      <w:r>
        <w:rPr>
          <w:rFonts w:hint="eastAsia" w:asciiTheme="majorEastAsia" w:hAnsiTheme="majorEastAsia" w:eastAsiaTheme="majorEastAsia" w:cstheme="majorEastAsia"/>
          <w:color w:val="auto"/>
          <w:kern w:val="0"/>
          <w:sz w:val="24"/>
          <w:highlight w:val="none"/>
          <w:lang w:val="zh-CN"/>
        </w:rPr>
        <w:t>投标人名称(电子签章)：</w:t>
      </w:r>
      <w:r>
        <w:rPr>
          <w:rFonts w:hint="eastAsia" w:asciiTheme="majorEastAsia" w:hAnsiTheme="majorEastAsia" w:eastAsiaTheme="majorEastAsia" w:cstheme="majorEastAsia"/>
          <w:color w:val="auto"/>
          <w:kern w:val="0"/>
          <w:sz w:val="24"/>
          <w:highlight w:val="none"/>
          <w:u w:val="single"/>
          <w:lang w:val="zh-CN"/>
        </w:rPr>
        <w:t xml:space="preserve">          </w:t>
      </w:r>
    </w:p>
    <w:p w14:paraId="60EEC6B5">
      <w:pPr>
        <w:snapToGrid w:val="0"/>
        <w:spacing w:line="360" w:lineRule="auto"/>
        <w:ind w:firstLine="5160" w:firstLineChars="2150"/>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3D52F385">
      <w:pPr>
        <w:snapToGrid w:val="0"/>
        <w:spacing w:before="50" w:after="50" w:line="240" w:lineRule="auto"/>
        <w:jc w:val="center"/>
        <w:rPr>
          <w:rFonts w:asciiTheme="majorEastAsia" w:hAnsiTheme="majorEastAsia" w:eastAsiaTheme="majorEastAsia" w:cstheme="majorEastAsia"/>
          <w:b/>
          <w:color w:val="auto"/>
          <w:sz w:val="30"/>
          <w:highlight w:val="none"/>
        </w:rPr>
      </w:pPr>
      <w:r>
        <w:rPr>
          <w:rFonts w:hint="eastAsia" w:asciiTheme="majorEastAsia" w:hAnsiTheme="majorEastAsia" w:eastAsiaTheme="majorEastAsia" w:cstheme="majorEastAsia"/>
          <w:b/>
          <w:bCs/>
          <w:color w:val="auto"/>
          <w:sz w:val="24"/>
          <w:highlight w:val="none"/>
        </w:rPr>
        <w:br w:type="page"/>
      </w:r>
    </w:p>
    <w:p w14:paraId="0F54FBE4">
      <w:pPr>
        <w:snapToGrid w:val="0"/>
        <w:spacing w:before="50" w:after="50" w:line="240" w:lineRule="auto"/>
        <w:jc w:val="left"/>
        <w:rPr>
          <w:rFonts w:asciiTheme="majorEastAsia" w:hAnsiTheme="majorEastAsia" w:eastAsiaTheme="majorEastAsia" w:cstheme="majorEastAsia"/>
          <w:b/>
          <w:color w:val="auto"/>
          <w:sz w:val="30"/>
          <w:highlight w:val="none"/>
        </w:rPr>
      </w:pPr>
      <w:r>
        <w:rPr>
          <w:rFonts w:hint="eastAsia" w:asciiTheme="majorEastAsia" w:hAnsiTheme="majorEastAsia" w:eastAsiaTheme="majorEastAsia" w:cstheme="majorEastAsia"/>
          <w:b/>
          <w:color w:val="auto"/>
          <w:sz w:val="24"/>
          <w:highlight w:val="none"/>
        </w:rPr>
        <w:t>投标报价明细表（服务类格式）</w:t>
      </w:r>
    </w:p>
    <w:p w14:paraId="0149E66B">
      <w:pPr>
        <w:snapToGrid w:val="0"/>
        <w:spacing w:before="50" w:after="50" w:line="240" w:lineRule="auto"/>
        <w:jc w:val="center"/>
        <w:rPr>
          <w:rFonts w:asciiTheme="majorEastAsia" w:hAnsiTheme="majorEastAsia" w:eastAsiaTheme="majorEastAsia" w:cstheme="majorEastAsia"/>
          <w:b/>
          <w:color w:val="auto"/>
          <w:sz w:val="30"/>
          <w:highlight w:val="none"/>
        </w:rPr>
      </w:pPr>
      <w:r>
        <w:rPr>
          <w:rFonts w:hint="eastAsia" w:asciiTheme="majorEastAsia" w:hAnsiTheme="majorEastAsia" w:eastAsiaTheme="majorEastAsia" w:cstheme="majorEastAsia"/>
          <w:b/>
          <w:color w:val="auto"/>
          <w:sz w:val="30"/>
          <w:highlight w:val="none"/>
        </w:rPr>
        <w:t>投标报价明细表</w:t>
      </w:r>
    </w:p>
    <w:p w14:paraId="072D4E54">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599E8B5D">
      <w:pPr>
        <w:snapToGrid w:val="0"/>
        <w:spacing w:before="50" w:after="50" w:line="360" w:lineRule="auto"/>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分标：</w:t>
      </w:r>
      <w:r>
        <w:rPr>
          <w:rFonts w:hint="eastAsia" w:asciiTheme="majorEastAsia" w:hAnsiTheme="majorEastAsia" w:eastAsiaTheme="majorEastAsia" w:cstheme="majorEastAsia"/>
          <w:color w:val="auto"/>
          <w:sz w:val="24"/>
          <w:highlight w:val="none"/>
          <w:u w:val="single"/>
        </w:rPr>
        <w:t xml:space="preserve"> 分标3         </w:t>
      </w:r>
    </w:p>
    <w:p w14:paraId="66D9D3FD">
      <w:pPr>
        <w:snapToGrid w:val="0"/>
        <w:spacing w:before="50" w:after="5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tbl>
      <w:tblPr>
        <w:tblStyle w:val="50"/>
        <w:tblW w:w="9700"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148"/>
        <w:gridCol w:w="900"/>
        <w:gridCol w:w="900"/>
        <w:gridCol w:w="2880"/>
        <w:gridCol w:w="2140"/>
      </w:tblGrid>
      <w:tr w14:paraId="1DFA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1029787F">
            <w:pPr>
              <w:tabs>
                <w:tab w:val="left" w:pos="8040"/>
              </w:tabs>
              <w:spacing w:line="5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2148" w:type="dxa"/>
            <w:vAlign w:val="center"/>
          </w:tcPr>
          <w:p w14:paraId="5AD09FD0">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服务名称</w:t>
            </w:r>
          </w:p>
        </w:tc>
        <w:tc>
          <w:tcPr>
            <w:tcW w:w="900" w:type="dxa"/>
            <w:vAlign w:val="center"/>
          </w:tcPr>
          <w:p w14:paraId="46DE1FA9">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  量</w:t>
            </w:r>
          </w:p>
        </w:tc>
        <w:tc>
          <w:tcPr>
            <w:tcW w:w="900" w:type="dxa"/>
            <w:vAlign w:val="center"/>
          </w:tcPr>
          <w:p w14:paraId="78A095B0">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单位</w:t>
            </w:r>
          </w:p>
        </w:tc>
        <w:tc>
          <w:tcPr>
            <w:tcW w:w="2880" w:type="dxa"/>
            <w:vAlign w:val="center"/>
          </w:tcPr>
          <w:p w14:paraId="11897F04">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金  额</w:t>
            </w:r>
          </w:p>
          <w:p w14:paraId="61583F8A">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（元）</w:t>
            </w:r>
          </w:p>
        </w:tc>
        <w:tc>
          <w:tcPr>
            <w:tcW w:w="2140" w:type="dxa"/>
            <w:vAlign w:val="center"/>
          </w:tcPr>
          <w:p w14:paraId="70E40D82">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color w:val="auto"/>
                <w:kern w:val="0"/>
                <w:highlight w:val="none"/>
              </w:rPr>
              <w:t>说      明</w:t>
            </w:r>
          </w:p>
        </w:tc>
      </w:tr>
      <w:tr w14:paraId="5678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5A943CD8">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2148" w:type="dxa"/>
            <w:vAlign w:val="center"/>
          </w:tcPr>
          <w:p w14:paraId="430C4A4C">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1BE88EAF">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44699F42">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17A5CF22">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644E69F9">
            <w:pPr>
              <w:snapToGrid w:val="0"/>
              <w:spacing w:line="400" w:lineRule="exact"/>
              <w:jc w:val="center"/>
              <w:rPr>
                <w:rFonts w:asciiTheme="majorEastAsia" w:hAnsiTheme="majorEastAsia" w:eastAsiaTheme="majorEastAsia" w:cstheme="majorEastAsia"/>
                <w:color w:val="auto"/>
                <w:szCs w:val="21"/>
                <w:highlight w:val="none"/>
              </w:rPr>
            </w:pPr>
          </w:p>
        </w:tc>
      </w:tr>
      <w:tr w14:paraId="036E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560FFF43">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2148" w:type="dxa"/>
            <w:vAlign w:val="center"/>
          </w:tcPr>
          <w:p w14:paraId="6B65C72F">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7BFE6128">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3CCF9F7A">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09088B70">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5BC7F31B">
            <w:pPr>
              <w:snapToGrid w:val="0"/>
              <w:spacing w:line="400" w:lineRule="exact"/>
              <w:jc w:val="center"/>
              <w:rPr>
                <w:rFonts w:asciiTheme="majorEastAsia" w:hAnsiTheme="majorEastAsia" w:eastAsiaTheme="majorEastAsia" w:cstheme="majorEastAsia"/>
                <w:color w:val="auto"/>
                <w:szCs w:val="21"/>
                <w:highlight w:val="none"/>
              </w:rPr>
            </w:pPr>
          </w:p>
        </w:tc>
      </w:tr>
      <w:tr w14:paraId="0655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32" w:type="dxa"/>
            <w:vAlign w:val="center"/>
          </w:tcPr>
          <w:p w14:paraId="49117306">
            <w:pPr>
              <w:snapToGrid w:val="0"/>
              <w:spacing w:line="40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2148" w:type="dxa"/>
            <w:vAlign w:val="center"/>
          </w:tcPr>
          <w:p w14:paraId="4AC95BB2">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1CBC22FB">
            <w:pPr>
              <w:snapToGrid w:val="0"/>
              <w:spacing w:line="400" w:lineRule="exact"/>
              <w:jc w:val="center"/>
              <w:rPr>
                <w:rFonts w:asciiTheme="majorEastAsia" w:hAnsiTheme="majorEastAsia" w:eastAsiaTheme="majorEastAsia" w:cstheme="majorEastAsia"/>
                <w:color w:val="auto"/>
                <w:szCs w:val="21"/>
                <w:highlight w:val="none"/>
              </w:rPr>
            </w:pPr>
          </w:p>
        </w:tc>
        <w:tc>
          <w:tcPr>
            <w:tcW w:w="900" w:type="dxa"/>
            <w:vAlign w:val="center"/>
          </w:tcPr>
          <w:p w14:paraId="56575F51">
            <w:pPr>
              <w:snapToGrid w:val="0"/>
              <w:spacing w:line="400" w:lineRule="exact"/>
              <w:jc w:val="center"/>
              <w:rPr>
                <w:rFonts w:asciiTheme="majorEastAsia" w:hAnsiTheme="majorEastAsia" w:eastAsiaTheme="majorEastAsia" w:cstheme="majorEastAsia"/>
                <w:color w:val="auto"/>
                <w:szCs w:val="21"/>
                <w:highlight w:val="none"/>
              </w:rPr>
            </w:pPr>
          </w:p>
        </w:tc>
        <w:tc>
          <w:tcPr>
            <w:tcW w:w="2880" w:type="dxa"/>
            <w:vAlign w:val="center"/>
          </w:tcPr>
          <w:p w14:paraId="72CBB341">
            <w:pPr>
              <w:snapToGrid w:val="0"/>
              <w:spacing w:line="400" w:lineRule="exact"/>
              <w:jc w:val="center"/>
              <w:rPr>
                <w:rFonts w:asciiTheme="majorEastAsia" w:hAnsiTheme="majorEastAsia" w:eastAsiaTheme="majorEastAsia" w:cstheme="majorEastAsia"/>
                <w:color w:val="auto"/>
                <w:szCs w:val="21"/>
                <w:highlight w:val="none"/>
              </w:rPr>
            </w:pPr>
          </w:p>
        </w:tc>
        <w:tc>
          <w:tcPr>
            <w:tcW w:w="2140" w:type="dxa"/>
          </w:tcPr>
          <w:p w14:paraId="695C78B3">
            <w:pPr>
              <w:snapToGrid w:val="0"/>
              <w:spacing w:line="400" w:lineRule="exact"/>
              <w:jc w:val="center"/>
              <w:rPr>
                <w:rFonts w:asciiTheme="majorEastAsia" w:hAnsiTheme="majorEastAsia" w:eastAsiaTheme="majorEastAsia" w:cstheme="majorEastAsia"/>
                <w:color w:val="auto"/>
                <w:szCs w:val="21"/>
                <w:highlight w:val="none"/>
              </w:rPr>
            </w:pPr>
          </w:p>
        </w:tc>
      </w:tr>
      <w:tr w14:paraId="216C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700" w:type="dxa"/>
            <w:gridSpan w:val="6"/>
            <w:vAlign w:val="center"/>
          </w:tcPr>
          <w:p w14:paraId="3BDDCD65">
            <w:pPr>
              <w:snapToGrid w:val="0"/>
              <w:spacing w:line="40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人民币合计金额（大写）：                               小写金额：</w:t>
            </w:r>
          </w:p>
        </w:tc>
      </w:tr>
    </w:tbl>
    <w:p w14:paraId="1E86C9E8">
      <w:pPr>
        <w:ind w:firstLine="480"/>
        <w:rPr>
          <w:rFonts w:asciiTheme="majorEastAsia" w:hAnsiTheme="majorEastAsia" w:eastAsiaTheme="majorEastAsia" w:cstheme="majorEastAsia"/>
          <w:color w:val="auto"/>
          <w:sz w:val="24"/>
          <w:highlight w:val="none"/>
          <w:lang w:val="zh-CN"/>
        </w:rPr>
      </w:pPr>
    </w:p>
    <w:p w14:paraId="06AB38FF">
      <w:pPr>
        <w:rPr>
          <w:rFonts w:asciiTheme="majorEastAsia" w:hAnsiTheme="majorEastAsia" w:eastAsiaTheme="majorEastAsia" w:cstheme="majorEastAsia"/>
          <w:b/>
          <w:bCs/>
          <w:color w:val="auto"/>
          <w:sz w:val="24"/>
          <w:highlight w:val="none"/>
        </w:rPr>
      </w:pPr>
    </w:p>
    <w:p w14:paraId="775DE197">
      <w:pPr>
        <w:ind w:firstLine="482"/>
        <w:rPr>
          <w:rFonts w:asciiTheme="majorEastAsia" w:hAnsiTheme="majorEastAsia" w:eastAsiaTheme="majorEastAsia" w:cstheme="majorEastAsia"/>
          <w:b/>
          <w:bCs/>
          <w:color w:val="auto"/>
          <w:sz w:val="24"/>
          <w:highlight w:val="none"/>
        </w:rPr>
      </w:pPr>
    </w:p>
    <w:p w14:paraId="603A913D">
      <w:pPr>
        <w:snapToGrid w:val="0"/>
        <w:spacing w:line="360" w:lineRule="auto"/>
        <w:ind w:firstLine="5040" w:firstLineChars="2100"/>
        <w:rPr>
          <w:rFonts w:asciiTheme="majorEastAsia" w:hAnsiTheme="majorEastAsia" w:eastAsiaTheme="majorEastAsia" w:cstheme="majorEastAsia"/>
          <w:color w:val="auto"/>
          <w:kern w:val="0"/>
          <w:sz w:val="24"/>
          <w:highlight w:val="none"/>
          <w:u w:val="single"/>
        </w:rPr>
      </w:pPr>
      <w:r>
        <w:rPr>
          <w:rFonts w:hint="eastAsia" w:asciiTheme="majorEastAsia" w:hAnsiTheme="majorEastAsia" w:eastAsiaTheme="majorEastAsia" w:cstheme="majorEastAsia"/>
          <w:color w:val="auto"/>
          <w:kern w:val="0"/>
          <w:sz w:val="24"/>
          <w:highlight w:val="none"/>
          <w:lang w:val="zh-CN"/>
        </w:rPr>
        <w:t>投标人名称(电子签章)：</w:t>
      </w:r>
      <w:r>
        <w:rPr>
          <w:rFonts w:hint="eastAsia" w:asciiTheme="majorEastAsia" w:hAnsiTheme="majorEastAsia" w:eastAsiaTheme="majorEastAsia" w:cstheme="majorEastAsia"/>
          <w:color w:val="auto"/>
          <w:kern w:val="0"/>
          <w:sz w:val="24"/>
          <w:highlight w:val="none"/>
          <w:u w:val="single"/>
          <w:lang w:val="zh-CN"/>
        </w:rPr>
        <w:t xml:space="preserve">          </w:t>
      </w:r>
    </w:p>
    <w:p w14:paraId="119C20B5">
      <w:pPr>
        <w:snapToGrid w:val="0"/>
        <w:spacing w:line="360" w:lineRule="auto"/>
        <w:ind w:firstLine="5160" w:firstLineChars="2150"/>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2A8B130D">
      <w:pPr>
        <w:rPr>
          <w:rFonts w:ascii="仿宋" w:hAnsi="仿宋" w:eastAsia="仿宋"/>
          <w:b/>
          <w:color w:val="auto"/>
          <w:sz w:val="28"/>
          <w:szCs w:val="28"/>
          <w:highlight w:val="none"/>
        </w:rPr>
      </w:pPr>
    </w:p>
    <w:p w14:paraId="330D54AF">
      <w:pPr>
        <w:ind w:firstLine="562"/>
        <w:rPr>
          <w:rFonts w:ascii="仿宋" w:hAnsi="仿宋" w:eastAsia="仿宋"/>
          <w:b/>
          <w:color w:val="auto"/>
          <w:sz w:val="28"/>
          <w:szCs w:val="28"/>
          <w:highlight w:val="none"/>
        </w:rPr>
      </w:pPr>
    </w:p>
    <w:p w14:paraId="3A1734E2">
      <w:pPr>
        <w:ind w:firstLine="562"/>
        <w:rPr>
          <w:rFonts w:ascii="仿宋" w:hAnsi="仿宋" w:eastAsia="仿宋"/>
          <w:b/>
          <w:color w:val="auto"/>
          <w:sz w:val="28"/>
          <w:szCs w:val="28"/>
          <w:highlight w:val="none"/>
        </w:rPr>
      </w:pPr>
    </w:p>
    <w:p w14:paraId="7D75C633">
      <w:pPr>
        <w:ind w:firstLine="562"/>
        <w:rPr>
          <w:rFonts w:ascii="仿宋" w:hAnsi="仿宋" w:eastAsia="仿宋"/>
          <w:b/>
          <w:color w:val="auto"/>
          <w:sz w:val="28"/>
          <w:szCs w:val="28"/>
          <w:highlight w:val="none"/>
        </w:rPr>
      </w:pPr>
    </w:p>
    <w:p w14:paraId="6F1D9D8E">
      <w:pPr>
        <w:ind w:firstLine="562"/>
        <w:rPr>
          <w:rFonts w:ascii="仿宋" w:hAnsi="仿宋" w:eastAsia="仿宋"/>
          <w:b/>
          <w:color w:val="auto"/>
          <w:sz w:val="28"/>
          <w:szCs w:val="28"/>
          <w:highlight w:val="none"/>
        </w:rPr>
      </w:pPr>
    </w:p>
    <w:p w14:paraId="571C57A6">
      <w:pPr>
        <w:ind w:firstLine="562"/>
        <w:rPr>
          <w:rFonts w:ascii="仿宋" w:hAnsi="仿宋" w:eastAsia="仿宋"/>
          <w:b/>
          <w:color w:val="auto"/>
          <w:sz w:val="28"/>
          <w:szCs w:val="28"/>
          <w:highlight w:val="none"/>
        </w:rPr>
      </w:pPr>
    </w:p>
    <w:p w14:paraId="537ED9B6">
      <w:pPr>
        <w:ind w:firstLine="562"/>
        <w:rPr>
          <w:rFonts w:ascii="仿宋" w:hAnsi="仿宋" w:eastAsia="仿宋"/>
          <w:b/>
          <w:color w:val="auto"/>
          <w:sz w:val="28"/>
          <w:szCs w:val="28"/>
          <w:highlight w:val="none"/>
        </w:rPr>
      </w:pPr>
    </w:p>
    <w:p w14:paraId="49D47867">
      <w:pPr>
        <w:ind w:firstLine="562"/>
        <w:rPr>
          <w:rFonts w:ascii="仿宋" w:hAnsi="仿宋" w:eastAsia="仿宋"/>
          <w:b/>
          <w:color w:val="auto"/>
          <w:sz w:val="28"/>
          <w:szCs w:val="28"/>
          <w:highlight w:val="none"/>
        </w:rPr>
      </w:pPr>
    </w:p>
    <w:p w14:paraId="22287C16">
      <w:pP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二、资格证明文件格式</w:t>
      </w:r>
      <w:bookmarkEnd w:id="178"/>
      <w:bookmarkEnd w:id="179"/>
      <w:bookmarkEnd w:id="185"/>
    </w:p>
    <w:p w14:paraId="0A896F5E">
      <w:pPr>
        <w:numPr>
          <w:ilvl w:val="2"/>
          <w:numId w:val="17"/>
        </w:numPr>
        <w:snapToGrid w:val="0"/>
        <w:spacing w:before="120" w:beforeLines="50" w:after="50" w:line="360" w:lineRule="auto"/>
        <w:ind w:left="0" w:firstLine="0"/>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资格证明文件封面格式： </w:t>
      </w:r>
    </w:p>
    <w:p w14:paraId="6610514F">
      <w:pPr>
        <w:snapToGrid w:val="0"/>
        <w:spacing w:before="120" w:beforeLines="50" w:after="50"/>
        <w:rPr>
          <w:rFonts w:asciiTheme="majorEastAsia" w:hAnsiTheme="majorEastAsia" w:eastAsiaTheme="majorEastAsia" w:cstheme="majorEastAsia"/>
          <w:bCs/>
          <w:color w:val="auto"/>
          <w:sz w:val="32"/>
          <w:szCs w:val="20"/>
          <w:highlight w:val="none"/>
        </w:rPr>
      </w:pPr>
      <w:r>
        <w:rPr>
          <w:rFonts w:hint="eastAsia" w:asciiTheme="majorEastAsia" w:hAnsiTheme="majorEastAsia" w:eastAsiaTheme="majorEastAsia" w:cstheme="majorEastAsia"/>
          <w:color w:val="auto"/>
          <w:sz w:val="24"/>
          <w:highlight w:val="none"/>
        </w:rPr>
        <w:t xml:space="preserve">                                                   </w:t>
      </w:r>
    </w:p>
    <w:p w14:paraId="58B275C2">
      <w:pPr>
        <w:snapToGrid w:val="0"/>
        <w:spacing w:before="120" w:beforeLines="50" w:after="50"/>
        <w:rPr>
          <w:rFonts w:asciiTheme="majorEastAsia" w:hAnsiTheme="majorEastAsia" w:eastAsiaTheme="majorEastAsia" w:cstheme="majorEastAsia"/>
          <w:color w:val="auto"/>
          <w:sz w:val="24"/>
          <w:szCs w:val="20"/>
          <w:highlight w:val="none"/>
        </w:rPr>
      </w:pPr>
    </w:p>
    <w:p w14:paraId="61FD4FE9">
      <w:pPr>
        <w:snapToGrid w:val="0"/>
        <w:spacing w:before="120" w:beforeLines="50" w:after="50"/>
        <w:rPr>
          <w:rFonts w:asciiTheme="majorEastAsia" w:hAnsiTheme="majorEastAsia" w:eastAsiaTheme="majorEastAsia" w:cstheme="majorEastAsia"/>
          <w:color w:val="auto"/>
          <w:sz w:val="24"/>
          <w:szCs w:val="20"/>
          <w:highlight w:val="none"/>
        </w:rPr>
      </w:pPr>
    </w:p>
    <w:p w14:paraId="2A469C6A">
      <w:pPr>
        <w:snapToGrid w:val="0"/>
        <w:spacing w:before="120" w:beforeLines="50" w:after="50"/>
        <w:jc w:val="center"/>
        <w:rPr>
          <w:rFonts w:asciiTheme="majorEastAsia" w:hAnsiTheme="majorEastAsia" w:eastAsiaTheme="majorEastAsia" w:cstheme="majorEastAsia"/>
          <w:color w:val="auto"/>
          <w:sz w:val="84"/>
          <w:szCs w:val="84"/>
          <w:highlight w:val="none"/>
        </w:rPr>
      </w:pPr>
      <w:r>
        <w:rPr>
          <w:rFonts w:hint="eastAsia" w:asciiTheme="majorEastAsia" w:hAnsiTheme="majorEastAsia" w:eastAsiaTheme="majorEastAsia" w:cstheme="majorEastAsia"/>
          <w:color w:val="auto"/>
          <w:sz w:val="84"/>
          <w:szCs w:val="84"/>
          <w:highlight w:val="none"/>
        </w:rPr>
        <w:t>投  标  文  件</w:t>
      </w:r>
    </w:p>
    <w:p w14:paraId="2F586882">
      <w:pPr>
        <w:snapToGrid w:val="0"/>
        <w:spacing w:before="120" w:beforeLines="50" w:after="50"/>
        <w:rPr>
          <w:rFonts w:asciiTheme="majorEastAsia" w:hAnsiTheme="majorEastAsia" w:eastAsiaTheme="majorEastAsia" w:cstheme="majorEastAsia"/>
          <w:color w:val="auto"/>
          <w:sz w:val="24"/>
          <w:szCs w:val="20"/>
          <w:highlight w:val="none"/>
        </w:rPr>
      </w:pPr>
    </w:p>
    <w:p w14:paraId="1632826C">
      <w:pPr>
        <w:snapToGrid w:val="0"/>
        <w:spacing w:before="120" w:beforeLines="50" w:after="50"/>
        <w:rPr>
          <w:rFonts w:asciiTheme="majorEastAsia" w:hAnsiTheme="majorEastAsia" w:eastAsiaTheme="majorEastAsia" w:cstheme="majorEastAsia"/>
          <w:color w:val="auto"/>
          <w:sz w:val="24"/>
          <w:szCs w:val="20"/>
          <w:highlight w:val="none"/>
        </w:rPr>
      </w:pPr>
    </w:p>
    <w:p w14:paraId="58615C9F">
      <w:pPr>
        <w:snapToGrid w:val="0"/>
        <w:spacing w:before="120" w:beforeLines="50" w:after="50"/>
        <w:jc w:val="center"/>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32"/>
          <w:szCs w:val="32"/>
          <w:highlight w:val="none"/>
        </w:rPr>
        <w:t>资 格 证 明 文 件</w:t>
      </w:r>
    </w:p>
    <w:p w14:paraId="1C36964A">
      <w:pPr>
        <w:snapToGrid w:val="0"/>
        <w:spacing w:before="120" w:beforeLines="50" w:after="50"/>
        <w:rPr>
          <w:rFonts w:asciiTheme="majorEastAsia" w:hAnsiTheme="majorEastAsia" w:eastAsiaTheme="majorEastAsia" w:cstheme="majorEastAsia"/>
          <w:bCs/>
          <w:color w:val="auto"/>
          <w:sz w:val="24"/>
          <w:szCs w:val="20"/>
          <w:highlight w:val="none"/>
        </w:rPr>
      </w:pPr>
    </w:p>
    <w:p w14:paraId="26A46325">
      <w:pPr>
        <w:snapToGrid w:val="0"/>
        <w:spacing w:before="120" w:beforeLines="50" w:after="50"/>
        <w:rPr>
          <w:rFonts w:asciiTheme="majorEastAsia" w:hAnsiTheme="majorEastAsia" w:eastAsiaTheme="majorEastAsia" w:cstheme="majorEastAsia"/>
          <w:bCs/>
          <w:color w:val="auto"/>
          <w:sz w:val="24"/>
          <w:szCs w:val="20"/>
          <w:highlight w:val="none"/>
        </w:rPr>
      </w:pPr>
    </w:p>
    <w:p w14:paraId="0237D234">
      <w:pPr>
        <w:snapToGrid w:val="0"/>
        <w:spacing w:before="120" w:beforeLines="50" w:after="50"/>
        <w:rPr>
          <w:rFonts w:asciiTheme="majorEastAsia" w:hAnsiTheme="majorEastAsia" w:eastAsiaTheme="majorEastAsia" w:cstheme="majorEastAsia"/>
          <w:bCs/>
          <w:color w:val="auto"/>
          <w:sz w:val="24"/>
          <w:szCs w:val="20"/>
          <w:highlight w:val="none"/>
        </w:rPr>
      </w:pPr>
    </w:p>
    <w:p w14:paraId="70D8E321">
      <w:pPr>
        <w:snapToGrid w:val="0"/>
        <w:spacing w:before="120" w:beforeLines="50" w:after="50"/>
        <w:rPr>
          <w:rFonts w:asciiTheme="majorEastAsia" w:hAnsiTheme="majorEastAsia" w:eastAsiaTheme="majorEastAsia" w:cstheme="majorEastAsia"/>
          <w:bCs/>
          <w:color w:val="auto"/>
          <w:sz w:val="24"/>
          <w:szCs w:val="20"/>
          <w:highlight w:val="none"/>
        </w:rPr>
      </w:pPr>
    </w:p>
    <w:p w14:paraId="780639F9">
      <w:pPr>
        <w:snapToGrid w:val="0"/>
        <w:spacing w:before="120" w:beforeLines="50" w:after="50"/>
        <w:rPr>
          <w:rFonts w:asciiTheme="majorEastAsia" w:hAnsiTheme="majorEastAsia" w:eastAsiaTheme="majorEastAsia" w:cstheme="majorEastAsia"/>
          <w:bCs/>
          <w:color w:val="auto"/>
          <w:sz w:val="24"/>
          <w:szCs w:val="20"/>
          <w:highlight w:val="none"/>
        </w:rPr>
      </w:pPr>
    </w:p>
    <w:p w14:paraId="23DF87C8">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项目名称：</w:t>
      </w:r>
    </w:p>
    <w:p w14:paraId="61C92CB6">
      <w:pPr>
        <w:snapToGrid w:val="0"/>
        <w:spacing w:before="120" w:beforeLines="50" w:after="50"/>
        <w:ind w:firstLine="540" w:firstLineChars="225"/>
        <w:rPr>
          <w:rFonts w:asciiTheme="majorEastAsia" w:hAnsiTheme="majorEastAsia" w:eastAsiaTheme="majorEastAsia" w:cstheme="majorEastAsia"/>
          <w:bCs/>
          <w:color w:val="auto"/>
          <w:sz w:val="24"/>
          <w:szCs w:val="20"/>
          <w:highlight w:val="none"/>
        </w:rPr>
      </w:pPr>
    </w:p>
    <w:p w14:paraId="49A39CF4">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项目编号：</w:t>
      </w:r>
    </w:p>
    <w:p w14:paraId="3EABABFD">
      <w:pPr>
        <w:snapToGrid w:val="0"/>
        <w:spacing w:before="120" w:beforeLines="50" w:after="50"/>
        <w:ind w:firstLine="540" w:firstLineChars="225"/>
        <w:rPr>
          <w:rFonts w:asciiTheme="majorEastAsia" w:hAnsiTheme="majorEastAsia" w:eastAsiaTheme="majorEastAsia" w:cstheme="majorEastAsia"/>
          <w:bCs/>
          <w:color w:val="auto"/>
          <w:sz w:val="24"/>
          <w:szCs w:val="20"/>
          <w:highlight w:val="none"/>
        </w:rPr>
      </w:pPr>
      <w:r>
        <w:rPr>
          <w:rFonts w:hint="eastAsia" w:asciiTheme="majorEastAsia" w:hAnsiTheme="majorEastAsia" w:eastAsiaTheme="majorEastAsia" w:cstheme="majorEastAsia"/>
          <w:bCs/>
          <w:color w:val="auto"/>
          <w:sz w:val="24"/>
          <w:highlight w:val="none"/>
        </w:rPr>
        <w:t xml:space="preserve"> </w:t>
      </w:r>
    </w:p>
    <w:p w14:paraId="750EFB7A">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所投分标：</w:t>
      </w:r>
    </w:p>
    <w:p w14:paraId="2D422811">
      <w:pPr>
        <w:snapToGrid w:val="0"/>
        <w:spacing w:before="50" w:after="50"/>
        <w:ind w:firstLine="540" w:firstLineChars="225"/>
        <w:rPr>
          <w:rFonts w:asciiTheme="majorEastAsia" w:hAnsiTheme="majorEastAsia" w:eastAsiaTheme="majorEastAsia" w:cstheme="majorEastAsia"/>
          <w:bCs/>
          <w:color w:val="auto"/>
          <w:sz w:val="24"/>
          <w:highlight w:val="none"/>
        </w:rPr>
      </w:pPr>
    </w:p>
    <w:p w14:paraId="6AA250C1">
      <w:pPr>
        <w:snapToGrid w:val="0"/>
        <w:spacing w:before="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投标人名称：</w:t>
      </w:r>
    </w:p>
    <w:p w14:paraId="78AFE0E4">
      <w:pPr>
        <w:snapToGrid w:val="0"/>
        <w:spacing w:before="50" w:after="50"/>
        <w:ind w:firstLine="540" w:firstLineChars="225"/>
        <w:rPr>
          <w:rFonts w:asciiTheme="majorEastAsia" w:hAnsiTheme="majorEastAsia" w:eastAsiaTheme="majorEastAsia" w:cstheme="majorEastAsia"/>
          <w:bCs/>
          <w:color w:val="auto"/>
          <w:sz w:val="24"/>
          <w:highlight w:val="none"/>
        </w:rPr>
      </w:pPr>
    </w:p>
    <w:p w14:paraId="60DBD4CC">
      <w:pPr>
        <w:snapToGrid w:val="0"/>
        <w:spacing w:before="50" w:after="50"/>
        <w:ind w:firstLine="960" w:firstLineChars="400"/>
        <w:rPr>
          <w:rFonts w:asciiTheme="majorEastAsia" w:hAnsiTheme="majorEastAsia" w:eastAsiaTheme="majorEastAsia" w:cstheme="majorEastAsia"/>
          <w:bCs/>
          <w:color w:val="auto"/>
          <w:sz w:val="24"/>
          <w:highlight w:val="none"/>
        </w:rPr>
      </w:pPr>
    </w:p>
    <w:p w14:paraId="7D0C35A5">
      <w:pPr>
        <w:snapToGrid w:val="0"/>
        <w:spacing w:before="120" w:beforeLines="50" w:after="50"/>
        <w:ind w:firstLine="645"/>
        <w:jc w:val="center"/>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highlight w:val="none"/>
        </w:rPr>
        <w:t>年  月  日</w:t>
      </w:r>
    </w:p>
    <w:p w14:paraId="2EF5255C">
      <w:pPr>
        <w:numPr>
          <w:ilvl w:val="2"/>
          <w:numId w:val="17"/>
        </w:numPr>
        <w:snapToGrid w:val="0"/>
        <w:spacing w:before="120" w:beforeLines="50" w:after="50" w:line="360" w:lineRule="auto"/>
        <w:ind w:left="0" w:firstLine="0"/>
        <w:jc w:val="left"/>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b/>
          <w:bCs/>
          <w:color w:val="auto"/>
          <w:sz w:val="24"/>
          <w:highlight w:val="none"/>
        </w:rPr>
        <w:br w:type="page"/>
      </w:r>
      <w:r>
        <w:rPr>
          <w:rFonts w:hint="eastAsia" w:asciiTheme="majorEastAsia" w:hAnsiTheme="majorEastAsia" w:eastAsiaTheme="majorEastAsia" w:cstheme="majorEastAsia"/>
          <w:b/>
          <w:bCs/>
          <w:color w:val="auto"/>
          <w:sz w:val="24"/>
          <w:highlight w:val="none"/>
        </w:rPr>
        <w:t>资格证明文件目录</w:t>
      </w:r>
    </w:p>
    <w:p w14:paraId="7FC67C84">
      <w:pPr>
        <w:snapToGrid w:val="0"/>
        <w:spacing w:line="360"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根据招标文件规定及投标人提供的材料自行编写目录。</w:t>
      </w:r>
    </w:p>
    <w:p w14:paraId="17DA525E">
      <w:pPr>
        <w:snapToGrid w:val="0"/>
        <w:spacing w:before="50" w:after="120" w:afterLines="50"/>
        <w:jc w:val="left"/>
        <w:rPr>
          <w:rFonts w:ascii="仿宋" w:hAnsi="仿宋" w:eastAsia="仿宋"/>
          <w:color w:val="auto"/>
          <w:sz w:val="24"/>
          <w:highlight w:val="none"/>
        </w:rPr>
      </w:pPr>
    </w:p>
    <w:p w14:paraId="478A6F64">
      <w:pPr>
        <w:snapToGrid w:val="0"/>
        <w:spacing w:before="50" w:after="120" w:afterLines="50"/>
        <w:jc w:val="left"/>
        <w:rPr>
          <w:rFonts w:ascii="仿宋" w:hAnsi="仿宋" w:eastAsia="仿宋"/>
          <w:color w:val="auto"/>
          <w:sz w:val="24"/>
          <w:highlight w:val="none"/>
        </w:rPr>
      </w:pPr>
    </w:p>
    <w:p w14:paraId="5CC0DDBC">
      <w:pPr>
        <w:numPr>
          <w:ilvl w:val="2"/>
          <w:numId w:val="17"/>
        </w:numPr>
        <w:snapToGrid w:val="0"/>
        <w:spacing w:before="120" w:beforeLines="50" w:after="50"/>
        <w:ind w:left="0" w:firstLine="0"/>
        <w:jc w:val="left"/>
        <w:rPr>
          <w:rFonts w:ascii="仿宋" w:hAnsi="仿宋" w:eastAsia="仿宋"/>
          <w:b/>
          <w:color w:val="auto"/>
          <w:sz w:val="24"/>
          <w:highlight w:val="none"/>
        </w:rPr>
      </w:pPr>
      <w:r>
        <w:rPr>
          <w:rFonts w:ascii="仿宋" w:hAnsi="仿宋" w:eastAsia="仿宋"/>
          <w:b/>
          <w:color w:val="auto"/>
          <w:sz w:val="24"/>
          <w:highlight w:val="none"/>
        </w:rPr>
        <w:br w:type="page"/>
      </w:r>
    </w:p>
    <w:p w14:paraId="315FDC07">
      <w:pPr>
        <w:pStyle w:val="2"/>
        <w:numPr>
          <w:ilvl w:val="0"/>
          <w:numId w:val="18"/>
        </w:numPr>
        <w:spacing w:line="360" w:lineRule="auto"/>
        <w:ind w:firstLine="643" w:firstLineChars="200"/>
        <w:jc w:val="center"/>
        <w:outlineLvl w:val="1"/>
        <w:rPr>
          <w:rFonts w:hAnsi="宋体"/>
          <w:b/>
          <w:bCs/>
          <w:color w:val="auto"/>
          <w:sz w:val="32"/>
          <w:szCs w:val="32"/>
          <w:highlight w:val="none"/>
        </w:rPr>
      </w:pPr>
      <w:bookmarkStart w:id="186" w:name="_Toc9336"/>
      <w:r>
        <w:rPr>
          <w:rFonts w:hint="eastAsia" w:hAnsi="宋体"/>
          <w:b/>
          <w:bCs/>
          <w:color w:val="auto"/>
          <w:sz w:val="32"/>
          <w:szCs w:val="32"/>
          <w:highlight w:val="none"/>
        </w:rPr>
        <w:t>贵港市政府采购项目投标资格承诺函（格式）</w:t>
      </w:r>
      <w:bookmarkEnd w:id="186"/>
    </w:p>
    <w:p w14:paraId="7C4B02E3">
      <w:pPr>
        <w:ind w:left="420" w:leftChars="200"/>
        <w:rPr>
          <w:color w:val="auto"/>
          <w:highlight w:val="none"/>
        </w:rPr>
      </w:pPr>
    </w:p>
    <w:p w14:paraId="3B892424">
      <w:pPr>
        <w:spacing w:line="360" w:lineRule="auto"/>
        <w:ind w:firstLine="643" w:firstLineChars="200"/>
        <w:jc w:val="center"/>
        <w:textAlignment w:val="baseline"/>
        <w:rPr>
          <w:rFonts w:ascii="黑体" w:hAnsi="宋体" w:eastAsia="黑体"/>
          <w:color w:val="auto"/>
          <w:sz w:val="36"/>
          <w:szCs w:val="36"/>
          <w:highlight w:val="none"/>
        </w:rPr>
      </w:pPr>
      <w:r>
        <w:rPr>
          <w:rFonts w:hint="eastAsia" w:hAnsi="宋体"/>
          <w:b/>
          <w:bCs/>
          <w:color w:val="auto"/>
          <w:kern w:val="0"/>
          <w:sz w:val="32"/>
          <w:szCs w:val="32"/>
          <w:highlight w:val="none"/>
        </w:rPr>
        <w:t>贵港市政府采购项目投标资格承诺函</w:t>
      </w:r>
    </w:p>
    <w:p w14:paraId="0F923B0F">
      <w:pPr>
        <w:snapToGrid w:val="0"/>
        <w:spacing w:line="360" w:lineRule="auto"/>
        <w:textAlignment w:val="baseline"/>
        <w:rPr>
          <w:rFonts w:ascii="宋体" w:hAnsi="Courier New"/>
          <w:color w:val="auto"/>
          <w:sz w:val="24"/>
          <w:highlight w:val="none"/>
        </w:rPr>
      </w:pPr>
      <w:r>
        <w:rPr>
          <w:rFonts w:ascii="宋体" w:hAnsi="Courier New"/>
          <w:color w:val="auto"/>
          <w:sz w:val="24"/>
          <w:highlight w:val="none"/>
        </w:rPr>
        <w:t>致：（采购单位名称）：</w:t>
      </w:r>
    </w:p>
    <w:p w14:paraId="0E8625DA">
      <w:pPr>
        <w:spacing w:line="360" w:lineRule="auto"/>
        <w:ind w:firstLine="480" w:firstLineChars="200"/>
        <w:textAlignment w:val="baseline"/>
        <w:rPr>
          <w:rFonts w:ascii="宋体" w:hAnsi="Courier New"/>
          <w:color w:val="auto"/>
          <w:sz w:val="24"/>
          <w:highlight w:val="none"/>
        </w:rPr>
      </w:pPr>
      <w:r>
        <w:rPr>
          <w:rFonts w:hint="eastAsia" w:ascii="宋体" w:hAnsi="Courier New"/>
          <w:color w:val="auto"/>
          <w:sz w:val="24"/>
          <w:highlight w:val="none"/>
        </w:rPr>
        <w:t>本公司郑重承诺,根据《中华人民共和国政府采购法》第二十二条的规定,本公司为参加政府采购活动的合格供应商。即本公司同时满足以下条件:</w:t>
      </w:r>
    </w:p>
    <w:p w14:paraId="5C0C6558">
      <w:pPr>
        <w:spacing w:line="360" w:lineRule="auto"/>
        <w:ind w:firstLine="480" w:firstLineChars="200"/>
        <w:textAlignment w:val="baseline"/>
        <w:rPr>
          <w:rFonts w:ascii="宋体" w:hAnsi="Courier New"/>
          <w:color w:val="auto"/>
          <w:sz w:val="24"/>
          <w:highlight w:val="none"/>
        </w:rPr>
      </w:pPr>
      <w:r>
        <w:rPr>
          <w:rFonts w:hint="eastAsia" w:ascii="宋体" w:hAnsi="Courier New"/>
          <w:color w:val="auto"/>
          <w:sz w:val="24"/>
          <w:highlight w:val="none"/>
        </w:rPr>
        <w:t>1.具有独立承担民事责任的能力。</w:t>
      </w:r>
    </w:p>
    <w:p w14:paraId="4E11CE7A">
      <w:pPr>
        <w:spacing w:line="360" w:lineRule="auto"/>
        <w:ind w:firstLine="480" w:firstLineChars="200"/>
        <w:textAlignment w:val="baseline"/>
        <w:rPr>
          <w:rFonts w:ascii="宋体" w:hAnsi="Courier New"/>
          <w:color w:val="auto"/>
          <w:sz w:val="24"/>
          <w:highlight w:val="none"/>
        </w:rPr>
      </w:pPr>
      <w:r>
        <w:rPr>
          <w:rFonts w:hint="eastAsia" w:ascii="宋体" w:hAnsi="Courier New"/>
          <w:color w:val="auto"/>
          <w:sz w:val="24"/>
          <w:highlight w:val="none"/>
        </w:rPr>
        <w:t>2.具有良好的商业信誉和健全的财务会计制度。</w:t>
      </w:r>
    </w:p>
    <w:p w14:paraId="0F9A6E81">
      <w:pPr>
        <w:spacing w:line="360" w:lineRule="auto"/>
        <w:ind w:firstLine="480" w:firstLineChars="200"/>
        <w:textAlignment w:val="baseline"/>
        <w:rPr>
          <w:rFonts w:ascii="宋体" w:hAnsi="Courier New"/>
          <w:color w:val="auto"/>
          <w:sz w:val="24"/>
          <w:highlight w:val="none"/>
        </w:rPr>
      </w:pPr>
      <w:r>
        <w:rPr>
          <w:rFonts w:hint="eastAsia" w:ascii="宋体" w:hAnsi="Courier New"/>
          <w:color w:val="auto"/>
          <w:sz w:val="24"/>
          <w:highlight w:val="none"/>
        </w:rPr>
        <w:t>3.具有履行合同所必需的设备和专业技术能力。</w:t>
      </w:r>
    </w:p>
    <w:p w14:paraId="6D2EFFA6">
      <w:pPr>
        <w:spacing w:line="360" w:lineRule="auto"/>
        <w:ind w:firstLine="480" w:firstLineChars="200"/>
        <w:textAlignment w:val="baseline"/>
        <w:rPr>
          <w:rFonts w:ascii="宋体" w:hAnsi="Courier New"/>
          <w:color w:val="auto"/>
          <w:sz w:val="24"/>
          <w:highlight w:val="none"/>
        </w:rPr>
      </w:pPr>
      <w:r>
        <w:rPr>
          <w:rFonts w:hint="eastAsia" w:ascii="宋体" w:hAnsi="Courier New"/>
          <w:color w:val="auto"/>
          <w:sz w:val="24"/>
          <w:highlight w:val="none"/>
        </w:rPr>
        <w:t>4.有依法缴纳税收和社会保障资金的良好记录。</w:t>
      </w:r>
    </w:p>
    <w:p w14:paraId="037D7CBE">
      <w:pPr>
        <w:spacing w:line="360" w:lineRule="auto"/>
        <w:ind w:firstLine="480" w:firstLineChars="200"/>
        <w:textAlignment w:val="baseline"/>
        <w:rPr>
          <w:rFonts w:ascii="宋体" w:hAnsi="Courier New"/>
          <w:color w:val="auto"/>
          <w:sz w:val="24"/>
          <w:highlight w:val="none"/>
        </w:rPr>
      </w:pPr>
      <w:r>
        <w:rPr>
          <w:rFonts w:hint="eastAsia" w:ascii="宋体" w:hAnsi="Courier New"/>
          <w:color w:val="auto"/>
          <w:sz w:val="24"/>
          <w:highlight w:val="none"/>
        </w:rPr>
        <w:t>5.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14:paraId="2D7A59F9">
      <w:pPr>
        <w:spacing w:line="360" w:lineRule="auto"/>
        <w:textAlignment w:val="baseline"/>
        <w:rPr>
          <w:rFonts w:ascii="宋体" w:hAnsi="Courier New"/>
          <w:color w:val="auto"/>
          <w:sz w:val="24"/>
          <w:highlight w:val="none"/>
        </w:rPr>
      </w:pPr>
    </w:p>
    <w:p w14:paraId="34A2BDF9">
      <w:pPr>
        <w:spacing w:line="360" w:lineRule="auto"/>
        <w:textAlignment w:val="baseline"/>
        <w:rPr>
          <w:rFonts w:ascii="宋体" w:hAnsi="Courier New"/>
          <w:color w:val="auto"/>
          <w:sz w:val="24"/>
          <w:highlight w:val="none"/>
        </w:rPr>
      </w:pPr>
    </w:p>
    <w:p w14:paraId="10ACCA70">
      <w:pPr>
        <w:spacing w:line="360" w:lineRule="auto"/>
        <w:ind w:firstLine="4320" w:firstLineChars="1800"/>
        <w:textAlignment w:val="baseline"/>
        <w:rPr>
          <w:rFonts w:ascii="宋体" w:hAnsi="Courier New"/>
          <w:color w:val="auto"/>
          <w:sz w:val="24"/>
          <w:highlight w:val="none"/>
        </w:rPr>
      </w:pPr>
      <w:r>
        <w:rPr>
          <w:rFonts w:hint="eastAsia" w:ascii="宋体" w:hAnsi="Courier New"/>
          <w:color w:val="auto"/>
          <w:sz w:val="24"/>
          <w:highlight w:val="none"/>
        </w:rPr>
        <w:t>企业名称(盖章)：</w:t>
      </w:r>
    </w:p>
    <w:p w14:paraId="5C301B23">
      <w:pPr>
        <w:spacing w:line="360" w:lineRule="auto"/>
        <w:ind w:firstLine="4320" w:firstLineChars="1800"/>
        <w:textAlignment w:val="baseline"/>
        <w:rPr>
          <w:rFonts w:ascii="宋体" w:hAnsi="Courier New"/>
          <w:color w:val="auto"/>
          <w:sz w:val="24"/>
          <w:highlight w:val="none"/>
        </w:rPr>
      </w:pPr>
      <w:r>
        <w:rPr>
          <w:rFonts w:hint="eastAsia" w:ascii="宋体" w:hAnsi="Courier New"/>
          <w:color w:val="auto"/>
          <w:sz w:val="24"/>
          <w:highlight w:val="none"/>
        </w:rPr>
        <w:t>法定代表人(签名或盖章)：</w:t>
      </w:r>
    </w:p>
    <w:p w14:paraId="1E7222D5">
      <w:pPr>
        <w:pStyle w:val="2"/>
        <w:spacing w:line="360" w:lineRule="auto"/>
        <w:jc w:val="center"/>
        <w:outlineLvl w:val="1"/>
        <w:rPr>
          <w:b/>
          <w:bCs/>
          <w:color w:val="auto"/>
          <w:sz w:val="28"/>
          <w:szCs w:val="28"/>
          <w:highlight w:val="none"/>
        </w:rPr>
      </w:pPr>
      <w:r>
        <w:rPr>
          <w:rFonts w:hint="eastAsia"/>
          <w:color w:val="auto"/>
          <w:highlight w:val="none"/>
        </w:rPr>
        <w:t xml:space="preserve">                 </w:t>
      </w:r>
      <w:bookmarkStart w:id="187" w:name="_Toc2749"/>
      <w:r>
        <w:rPr>
          <w:rFonts w:hint="eastAsia"/>
          <w:color w:val="auto"/>
          <w:highlight w:val="none"/>
        </w:rPr>
        <w:t>日期：    年   月   日</w:t>
      </w:r>
      <w:bookmarkEnd w:id="187"/>
    </w:p>
    <w:p w14:paraId="2A86798B">
      <w:pPr>
        <w:snapToGrid w:val="0"/>
        <w:spacing w:before="120" w:beforeLines="50" w:after="5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br w:type="page"/>
      </w:r>
    </w:p>
    <w:p w14:paraId="48E4ABF2">
      <w:pPr>
        <w:snapToGrid w:val="0"/>
        <w:spacing w:before="120" w:beforeLines="50" w:after="50"/>
        <w:jc w:val="left"/>
        <w:rPr>
          <w:rFonts w:ascii="仿宋" w:hAnsi="仿宋" w:eastAsia="仿宋"/>
          <w:b/>
          <w:color w:val="auto"/>
          <w:sz w:val="24"/>
          <w:highlight w:val="none"/>
        </w:rPr>
      </w:pPr>
      <w:r>
        <w:rPr>
          <w:rFonts w:hint="eastAsia" w:ascii="仿宋" w:hAnsi="仿宋" w:eastAsia="仿宋"/>
          <w:b/>
          <w:color w:val="auto"/>
          <w:sz w:val="28"/>
          <w:szCs w:val="28"/>
          <w:highlight w:val="none"/>
        </w:rPr>
        <w:t>4、投标人直接控股、管理关系信息表(格式）</w:t>
      </w:r>
    </w:p>
    <w:p w14:paraId="5BDCDDE4">
      <w:pPr>
        <w:snapToGrid w:val="0"/>
        <w:spacing w:before="50" w:after="120" w:afterLines="50"/>
        <w:jc w:val="center"/>
        <w:rPr>
          <w:rFonts w:ascii="仿宋" w:hAnsi="仿宋" w:eastAsia="仿宋"/>
          <w:b/>
          <w:color w:val="auto"/>
          <w:sz w:val="28"/>
          <w:szCs w:val="28"/>
          <w:highlight w:val="none"/>
        </w:rPr>
      </w:pPr>
    </w:p>
    <w:p w14:paraId="3C75DC2D">
      <w:pPr>
        <w:snapToGrid w:val="0"/>
        <w:spacing w:before="50" w:after="120" w:afterLines="50"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投标人直接控股股东信息表</w:t>
      </w:r>
    </w:p>
    <w:tbl>
      <w:tblPr>
        <w:tblStyle w:val="50"/>
        <w:tblW w:w="9476" w:type="dxa"/>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2ED47794">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085807">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1ABA1A">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F2DEFB">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A7A51">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5F9F89">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14:paraId="651A32C3">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AE477D">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3D8E88">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7AC800">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18A793">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F4FAC">
            <w:pPr>
              <w:spacing w:line="360" w:lineRule="auto"/>
              <w:jc w:val="center"/>
              <w:rPr>
                <w:rFonts w:ascii="仿宋" w:hAnsi="仿宋" w:eastAsia="仿宋" w:cs="宋体"/>
                <w:color w:val="auto"/>
                <w:kern w:val="0"/>
                <w:sz w:val="24"/>
                <w:highlight w:val="none"/>
              </w:rPr>
            </w:pPr>
          </w:p>
        </w:tc>
      </w:tr>
      <w:tr w14:paraId="766D92B2">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A5B0F">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64278B">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D631DD">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59DE71">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0B78A1">
            <w:pPr>
              <w:spacing w:line="360" w:lineRule="auto"/>
              <w:jc w:val="center"/>
              <w:rPr>
                <w:rFonts w:ascii="仿宋" w:hAnsi="仿宋" w:eastAsia="仿宋" w:cs="宋体"/>
                <w:color w:val="auto"/>
                <w:kern w:val="0"/>
                <w:sz w:val="24"/>
                <w:highlight w:val="none"/>
              </w:rPr>
            </w:pPr>
          </w:p>
        </w:tc>
      </w:tr>
      <w:tr w14:paraId="6664FB5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774346">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AFFEAE">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664545">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F857F8">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4588BB">
            <w:pPr>
              <w:spacing w:line="360" w:lineRule="auto"/>
              <w:jc w:val="center"/>
              <w:rPr>
                <w:rFonts w:ascii="仿宋" w:hAnsi="仿宋" w:eastAsia="仿宋" w:cs="宋体"/>
                <w:color w:val="auto"/>
                <w:kern w:val="0"/>
                <w:sz w:val="24"/>
                <w:highlight w:val="none"/>
              </w:rPr>
            </w:pPr>
          </w:p>
        </w:tc>
      </w:tr>
      <w:tr w14:paraId="71CE970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726FA">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C6AF0E">
            <w:pPr>
              <w:spacing w:line="360" w:lineRule="auto"/>
              <w:jc w:val="center"/>
              <w:rPr>
                <w:rFonts w:ascii="仿宋" w:hAnsi="仿宋" w:eastAsia="仿宋"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764AEF">
            <w:pPr>
              <w:spacing w:line="360" w:lineRule="auto"/>
              <w:jc w:val="center"/>
              <w:rPr>
                <w:rFonts w:ascii="仿宋" w:hAnsi="仿宋" w:eastAsia="仿宋"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1DC6F7">
            <w:pPr>
              <w:spacing w:line="360" w:lineRule="auto"/>
              <w:jc w:val="center"/>
              <w:rPr>
                <w:rFonts w:ascii="仿宋" w:hAnsi="仿宋" w:eastAsia="仿宋"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F8C457">
            <w:pPr>
              <w:spacing w:line="360" w:lineRule="auto"/>
              <w:jc w:val="center"/>
              <w:rPr>
                <w:rFonts w:ascii="仿宋" w:hAnsi="仿宋" w:eastAsia="仿宋" w:cs="宋体"/>
                <w:color w:val="auto"/>
                <w:kern w:val="0"/>
                <w:sz w:val="24"/>
                <w:highlight w:val="none"/>
              </w:rPr>
            </w:pPr>
          </w:p>
        </w:tc>
      </w:tr>
    </w:tbl>
    <w:p w14:paraId="55931EBF">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14:paraId="5C8C9AAC">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6C0F93">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2.本表所指的控股关系仅限于直接控股关系，不包括间接的控股关系。公司实际控制人与公司之间的关系不属于本表所指的直接控股关系。</w:t>
      </w:r>
    </w:p>
    <w:p w14:paraId="46850433">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3.供应商不存在直接控股股东的，则填“无”。</w:t>
      </w:r>
    </w:p>
    <w:p w14:paraId="71D79DB5">
      <w:pPr>
        <w:snapToGrid w:val="0"/>
        <w:spacing w:line="360" w:lineRule="auto"/>
        <w:jc w:val="left"/>
        <w:rPr>
          <w:rFonts w:ascii="仿宋" w:hAnsi="仿宋" w:eastAsia="仿宋"/>
          <w:color w:val="auto"/>
          <w:sz w:val="24"/>
          <w:highlight w:val="none"/>
        </w:rPr>
      </w:pPr>
    </w:p>
    <w:p w14:paraId="06EA8DA1">
      <w:pPr>
        <w:snapToGrid w:val="0"/>
        <w:spacing w:line="360" w:lineRule="auto"/>
        <w:jc w:val="left"/>
        <w:rPr>
          <w:rFonts w:ascii="仿宋" w:hAnsi="仿宋" w:eastAsia="仿宋"/>
          <w:color w:val="auto"/>
          <w:sz w:val="24"/>
          <w:highlight w:val="none"/>
        </w:rPr>
      </w:pPr>
    </w:p>
    <w:p w14:paraId="27CE991C">
      <w:pPr>
        <w:snapToGrid w:val="0"/>
        <w:spacing w:before="120" w:beforeLines="50" w:line="360" w:lineRule="auto"/>
        <w:ind w:left="2873" w:leftChars="1368" w:right="480" w:firstLine="1082" w:firstLineChars="451"/>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投标人名称（电子签章）：</w:t>
      </w:r>
      <w:r>
        <w:rPr>
          <w:rFonts w:hint="eastAsia" w:ascii="仿宋" w:hAnsi="仿宋" w:eastAsia="仿宋"/>
          <w:color w:val="auto"/>
          <w:sz w:val="24"/>
          <w:highlight w:val="none"/>
          <w:u w:val="single"/>
        </w:rPr>
        <w:t xml:space="preserve">                 </w:t>
      </w:r>
    </w:p>
    <w:p w14:paraId="78B65710">
      <w:pPr>
        <w:snapToGrid w:val="0"/>
        <w:spacing w:before="120" w:beforeLines="50" w:after="50" w:line="360" w:lineRule="auto"/>
        <w:ind w:right="480" w:firstLine="5520" w:firstLineChars="2300"/>
        <w:rPr>
          <w:rFonts w:ascii="仿宋" w:hAnsi="仿宋" w:eastAsia="仿宋"/>
          <w:b/>
          <w:color w:val="auto"/>
          <w:sz w:val="28"/>
          <w:szCs w:val="28"/>
          <w:highlight w:val="none"/>
        </w:rPr>
      </w:pPr>
      <w:r>
        <w:rPr>
          <w:rFonts w:hint="eastAsia" w:ascii="仿宋" w:hAnsi="仿宋" w:eastAsia="仿宋"/>
          <w:color w:val="auto"/>
          <w:sz w:val="24"/>
          <w:highlight w:val="none"/>
        </w:rPr>
        <w:t>年    月    日</w:t>
      </w:r>
    </w:p>
    <w:p w14:paraId="5D3782FB">
      <w:pPr>
        <w:snapToGrid w:val="0"/>
        <w:spacing w:line="360" w:lineRule="auto"/>
        <w:jc w:val="center"/>
        <w:rPr>
          <w:rFonts w:ascii="仿宋" w:hAnsi="仿宋" w:eastAsia="仿宋"/>
          <w:color w:val="auto"/>
          <w:sz w:val="32"/>
          <w:szCs w:val="32"/>
          <w:highlight w:val="none"/>
        </w:rPr>
      </w:pPr>
      <w:r>
        <w:rPr>
          <w:rFonts w:ascii="仿宋" w:hAnsi="仿宋" w:eastAsia="仿宋"/>
          <w:b/>
          <w:color w:val="auto"/>
          <w:sz w:val="32"/>
          <w:szCs w:val="32"/>
          <w:highlight w:val="none"/>
        </w:rPr>
        <w:br w:type="page"/>
      </w:r>
      <w:r>
        <w:rPr>
          <w:rFonts w:hint="eastAsia" w:ascii="仿宋" w:hAnsi="仿宋" w:eastAsia="仿宋"/>
          <w:b/>
          <w:color w:val="auto"/>
          <w:sz w:val="32"/>
          <w:szCs w:val="32"/>
          <w:highlight w:val="none"/>
        </w:rPr>
        <w:t>投标人直接管理关系信息表</w:t>
      </w:r>
    </w:p>
    <w:tbl>
      <w:tblPr>
        <w:tblStyle w:val="50"/>
        <w:tblW w:w="9652" w:type="dxa"/>
        <w:jc w:val="center"/>
        <w:tblLayout w:type="fixed"/>
        <w:tblCellMar>
          <w:top w:w="0" w:type="dxa"/>
          <w:left w:w="0" w:type="dxa"/>
          <w:bottom w:w="0" w:type="dxa"/>
          <w:right w:w="0" w:type="dxa"/>
        </w:tblCellMar>
      </w:tblPr>
      <w:tblGrid>
        <w:gridCol w:w="1005"/>
        <w:gridCol w:w="2659"/>
        <w:gridCol w:w="3924"/>
        <w:gridCol w:w="2064"/>
      </w:tblGrid>
      <w:tr w14:paraId="04CE8FD8">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F930B2">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03C1CE">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131355">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7932AB">
            <w:pPr>
              <w:spacing w:line="360" w:lineRule="auto"/>
              <w:jc w:val="center"/>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备注</w:t>
            </w:r>
          </w:p>
        </w:tc>
      </w:tr>
      <w:tr w14:paraId="5D696C91">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FA57E1">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5473CD">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F15CE3">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E4D866">
            <w:pPr>
              <w:spacing w:line="360" w:lineRule="auto"/>
              <w:jc w:val="center"/>
              <w:rPr>
                <w:rFonts w:ascii="仿宋" w:hAnsi="仿宋" w:eastAsia="仿宋" w:cs="宋体"/>
                <w:color w:val="auto"/>
                <w:kern w:val="0"/>
                <w:sz w:val="24"/>
                <w:highlight w:val="none"/>
              </w:rPr>
            </w:pPr>
          </w:p>
        </w:tc>
      </w:tr>
      <w:tr w14:paraId="626B9DD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C6A8E6">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E9D2A5">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49AC2A">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F34C58">
            <w:pPr>
              <w:spacing w:line="360" w:lineRule="auto"/>
              <w:jc w:val="center"/>
              <w:rPr>
                <w:rFonts w:ascii="仿宋" w:hAnsi="仿宋" w:eastAsia="仿宋" w:cs="宋体"/>
                <w:color w:val="auto"/>
                <w:kern w:val="0"/>
                <w:sz w:val="24"/>
                <w:highlight w:val="none"/>
              </w:rPr>
            </w:pPr>
          </w:p>
        </w:tc>
      </w:tr>
      <w:tr w14:paraId="59BB2A6F">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257763">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434A85">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A89868">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9A9BF6">
            <w:pPr>
              <w:spacing w:line="360" w:lineRule="auto"/>
              <w:jc w:val="center"/>
              <w:rPr>
                <w:rFonts w:ascii="仿宋" w:hAnsi="仿宋" w:eastAsia="仿宋" w:cs="宋体"/>
                <w:color w:val="auto"/>
                <w:kern w:val="0"/>
                <w:sz w:val="24"/>
                <w:highlight w:val="none"/>
              </w:rPr>
            </w:pPr>
          </w:p>
        </w:tc>
      </w:tr>
      <w:tr w14:paraId="4CA628CF">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8F73FA4">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75CEC6">
            <w:pPr>
              <w:spacing w:line="360" w:lineRule="auto"/>
              <w:jc w:val="center"/>
              <w:rPr>
                <w:rFonts w:ascii="仿宋" w:hAnsi="仿宋" w:eastAsia="仿宋"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7EF047">
            <w:pPr>
              <w:spacing w:line="360" w:lineRule="auto"/>
              <w:jc w:val="center"/>
              <w:rPr>
                <w:rFonts w:ascii="仿宋" w:hAnsi="仿宋" w:eastAsia="仿宋"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F2066B">
            <w:pPr>
              <w:spacing w:line="360" w:lineRule="auto"/>
              <w:jc w:val="center"/>
              <w:rPr>
                <w:rFonts w:ascii="仿宋" w:hAnsi="仿宋" w:eastAsia="仿宋" w:cs="宋体"/>
                <w:color w:val="auto"/>
                <w:kern w:val="0"/>
                <w:sz w:val="24"/>
                <w:highlight w:val="none"/>
              </w:rPr>
            </w:pPr>
          </w:p>
        </w:tc>
      </w:tr>
    </w:tbl>
    <w:p w14:paraId="5CF2E265">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注：</w:t>
      </w:r>
    </w:p>
    <w:p w14:paraId="668DCD51">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1.管理关系：是指不具有出资持股关系的其他单位之间存在的管理与被管理关系，如一些上下级关系的事业单位和团体组织。</w:t>
      </w:r>
    </w:p>
    <w:p w14:paraId="65AC9543">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pacing w:val="-6"/>
          <w:sz w:val="24"/>
          <w:highlight w:val="none"/>
        </w:rPr>
        <w:t>本表所指的管理关系仅限于直接管理关系，不包括间接的管理关系。</w:t>
      </w:r>
    </w:p>
    <w:p w14:paraId="501408D9">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3.供应商不存在直接管理关系的，则填“无”。</w:t>
      </w:r>
    </w:p>
    <w:p w14:paraId="045CD291">
      <w:pPr>
        <w:snapToGrid w:val="0"/>
        <w:spacing w:line="360" w:lineRule="auto"/>
        <w:jc w:val="left"/>
        <w:rPr>
          <w:rFonts w:ascii="仿宋" w:hAnsi="仿宋" w:eastAsia="仿宋"/>
          <w:color w:val="auto"/>
          <w:sz w:val="24"/>
          <w:highlight w:val="none"/>
        </w:rPr>
      </w:pPr>
    </w:p>
    <w:p w14:paraId="3B725798">
      <w:pPr>
        <w:snapToGrid w:val="0"/>
        <w:spacing w:line="360" w:lineRule="auto"/>
        <w:jc w:val="left"/>
        <w:rPr>
          <w:rFonts w:ascii="仿宋" w:hAnsi="仿宋" w:eastAsia="仿宋"/>
          <w:color w:val="auto"/>
          <w:sz w:val="24"/>
          <w:highlight w:val="none"/>
        </w:rPr>
      </w:pPr>
    </w:p>
    <w:p w14:paraId="0C8CB5AB">
      <w:pPr>
        <w:snapToGrid w:val="0"/>
        <w:spacing w:before="120" w:beforeLines="50" w:line="360" w:lineRule="auto"/>
        <w:ind w:right="480" w:firstLine="3967" w:firstLineChars="1653"/>
        <w:rPr>
          <w:rFonts w:ascii="仿宋" w:hAnsi="仿宋" w:eastAsia="仿宋"/>
          <w:color w:val="auto"/>
          <w:sz w:val="24"/>
          <w:highlight w:val="none"/>
          <w:u w:val="single"/>
        </w:rPr>
      </w:pPr>
      <w:r>
        <w:rPr>
          <w:rFonts w:hint="eastAsia" w:ascii="仿宋" w:hAnsi="仿宋" w:eastAsia="仿宋"/>
          <w:color w:val="auto"/>
          <w:sz w:val="24"/>
          <w:highlight w:val="none"/>
        </w:rPr>
        <w:t>法定代表人或者委托代理人（签字）：</w:t>
      </w:r>
      <w:r>
        <w:rPr>
          <w:rFonts w:hint="eastAsia" w:ascii="仿宋" w:hAnsi="仿宋" w:eastAsia="仿宋"/>
          <w:color w:val="auto"/>
          <w:sz w:val="24"/>
          <w:highlight w:val="none"/>
          <w:u w:val="single"/>
        </w:rPr>
        <w:t xml:space="preserve">             </w:t>
      </w:r>
    </w:p>
    <w:p w14:paraId="4543378F">
      <w:pPr>
        <w:snapToGrid w:val="0"/>
        <w:spacing w:before="120" w:beforeLines="50" w:after="50" w:line="360" w:lineRule="auto"/>
        <w:ind w:right="480" w:firstLine="3120" w:firstLineChars="1300"/>
        <w:rPr>
          <w:rFonts w:ascii="仿宋" w:hAnsi="仿宋" w:eastAsia="仿宋"/>
          <w:color w:val="auto"/>
          <w:sz w:val="24"/>
          <w:highlight w:val="none"/>
        </w:rPr>
      </w:pPr>
      <w:r>
        <w:rPr>
          <w:rFonts w:hint="eastAsia" w:ascii="仿宋" w:hAnsi="仿宋" w:eastAsia="仿宋"/>
          <w:color w:val="auto"/>
          <w:sz w:val="24"/>
          <w:highlight w:val="none"/>
        </w:rPr>
        <w:t>投标人名称（电子签章）：</w:t>
      </w:r>
      <w:r>
        <w:rPr>
          <w:rFonts w:hint="eastAsia" w:ascii="仿宋" w:hAnsi="仿宋" w:eastAsia="仿宋"/>
          <w:color w:val="auto"/>
          <w:sz w:val="24"/>
          <w:highlight w:val="none"/>
          <w:u w:val="single"/>
        </w:rPr>
        <w:t xml:space="preserve">                     </w:t>
      </w:r>
    </w:p>
    <w:p w14:paraId="1B0E4300">
      <w:pPr>
        <w:snapToGrid w:val="0"/>
        <w:spacing w:before="120" w:beforeLines="50" w:after="50" w:line="360" w:lineRule="auto"/>
        <w:ind w:right="480" w:firstLine="240" w:firstLineChars="100"/>
        <w:jc w:val="right"/>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78200E7B">
      <w:pPr>
        <w:snapToGrid w:val="0"/>
        <w:spacing w:before="50" w:after="120" w:afterLines="50"/>
        <w:jc w:val="left"/>
        <w:rPr>
          <w:rFonts w:ascii="仿宋" w:hAnsi="仿宋" w:eastAsia="仿宋"/>
          <w:color w:val="auto"/>
          <w:szCs w:val="21"/>
          <w:highlight w:val="none"/>
        </w:rPr>
      </w:pPr>
    </w:p>
    <w:p w14:paraId="1BE803D0">
      <w:pPr>
        <w:snapToGrid w:val="0"/>
        <w:spacing w:before="120" w:beforeLines="50" w:after="50"/>
        <w:jc w:val="left"/>
        <w:rPr>
          <w:rFonts w:ascii="仿宋" w:hAnsi="仿宋" w:eastAsia="仿宋"/>
          <w:b/>
          <w:color w:val="auto"/>
          <w:sz w:val="24"/>
          <w:szCs w:val="20"/>
          <w:highlight w:val="none"/>
        </w:rPr>
      </w:pPr>
    </w:p>
    <w:p w14:paraId="47E79187">
      <w:pPr>
        <w:snapToGrid w:val="0"/>
        <w:spacing w:before="120" w:beforeLines="50" w:after="50"/>
        <w:jc w:val="left"/>
        <w:rPr>
          <w:rFonts w:ascii="仿宋" w:hAnsi="仿宋" w:eastAsia="仿宋"/>
          <w:b/>
          <w:color w:val="auto"/>
          <w:sz w:val="24"/>
          <w:highlight w:val="none"/>
        </w:rPr>
      </w:pPr>
      <w:r>
        <w:rPr>
          <w:rFonts w:ascii="仿宋" w:hAnsi="仿宋" w:eastAsia="仿宋"/>
          <w:b/>
          <w:color w:val="auto"/>
          <w:sz w:val="24"/>
          <w:highlight w:val="none"/>
        </w:rPr>
        <w:br w:type="page"/>
      </w:r>
      <w:r>
        <w:rPr>
          <w:rFonts w:hint="eastAsia" w:ascii="宋体" w:hAnsi="宋体" w:cs="宋体"/>
          <w:b/>
          <w:color w:val="auto"/>
          <w:sz w:val="24"/>
          <w:highlight w:val="none"/>
        </w:rPr>
        <w:t>5、信用承诺书（格式）</w:t>
      </w:r>
    </w:p>
    <w:p w14:paraId="27E4340B">
      <w:pPr>
        <w:spacing w:line="360" w:lineRule="auto"/>
        <w:jc w:val="center"/>
        <w:textAlignment w:val="baseline"/>
        <w:rPr>
          <w:rFonts w:ascii="宋体" w:hAnsi="宋体"/>
          <w:b/>
          <w:bCs/>
          <w:color w:val="auto"/>
          <w:kern w:val="0"/>
          <w:sz w:val="32"/>
          <w:szCs w:val="32"/>
          <w:highlight w:val="none"/>
        </w:rPr>
      </w:pPr>
      <w:r>
        <w:rPr>
          <w:rFonts w:hint="eastAsia" w:ascii="宋体" w:hAnsi="宋体"/>
          <w:b/>
          <w:bCs/>
          <w:color w:val="auto"/>
          <w:kern w:val="0"/>
          <w:sz w:val="32"/>
          <w:szCs w:val="32"/>
          <w:highlight w:val="none"/>
        </w:rPr>
        <w:t>信用承诺书</w:t>
      </w:r>
    </w:p>
    <w:p w14:paraId="5CB2C4D7">
      <w:pPr>
        <w:pStyle w:val="4"/>
        <w:keepNext w:val="0"/>
        <w:keepLines w:val="0"/>
        <w:widowControl/>
        <w:spacing w:before="0" w:after="0" w:line="360" w:lineRule="auto"/>
        <w:jc w:val="left"/>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bookmarkStart w:id="188" w:name="_Toc15789"/>
      <w:r>
        <w:rPr>
          <w:rFonts w:hint="eastAsia" w:ascii="宋体" w:hAnsi="宋体" w:eastAsia="宋体" w:cs="宋体"/>
          <w:b w:val="0"/>
          <w:bCs w:val="0"/>
          <w:color w:val="auto"/>
          <w:sz w:val="24"/>
          <w:szCs w:val="24"/>
          <w:highlight w:val="none"/>
        </w:rPr>
        <w:t>为营造我市公开、公平、公正、诚实守信的公共资源交易环境，树立诚信守法的投标人形象，本人代表本单位作出以下承诺：</w:t>
      </w:r>
      <w:bookmarkEnd w:id="188"/>
      <w:r>
        <w:rPr>
          <w:rFonts w:hint="eastAsia" w:ascii="宋体" w:hAnsi="宋体" w:eastAsia="宋体" w:cs="宋体"/>
          <w:b w:val="0"/>
          <w:bCs w:val="0"/>
          <w:color w:val="auto"/>
          <w:sz w:val="24"/>
          <w:szCs w:val="24"/>
          <w:highlight w:val="none"/>
        </w:rPr>
        <w:t xml:space="preserve"> </w:t>
      </w:r>
    </w:p>
    <w:p w14:paraId="70A416AF">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89" w:name="_Toc147"/>
      <w:r>
        <w:rPr>
          <w:rFonts w:hint="eastAsia" w:ascii="宋体" w:hAnsi="宋体" w:eastAsia="宋体" w:cs="宋体"/>
          <w:b w:val="0"/>
          <w:bCs w:val="0"/>
          <w:color w:val="auto"/>
          <w:sz w:val="24"/>
          <w:szCs w:val="24"/>
          <w:highlight w:val="none"/>
        </w:rPr>
        <w:t>本单位对所提交的企（事）业单位基本信息、企（事）业单位负责人、项目负责人、技术负责人，从业资质和资格，业绩、财务状况、信誉等所有资料，均合法、真实、准确、有效，无任何伪造、修改、夸张成分，并对所提供资料的真实性负责；</w:t>
      </w:r>
      <w:bookmarkEnd w:id="189"/>
    </w:p>
    <w:p w14:paraId="574C1198">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90" w:name="_Toc15859"/>
      <w:r>
        <w:rPr>
          <w:rFonts w:hint="eastAsia" w:ascii="宋体" w:hAnsi="宋体" w:eastAsia="宋体" w:cs="宋体"/>
          <w:b w:val="0"/>
          <w:bCs w:val="0"/>
          <w:color w:val="auto"/>
          <w:sz w:val="24"/>
          <w:szCs w:val="24"/>
          <w:highlight w:val="none"/>
        </w:rPr>
        <w:t>严格依照国家、自治区及我市关于公共资源交易招标投标领域的法律、法规、规章、规范性文件参加公共资源交易招标投标活动：活动中积极履行社会责任，促进廉政建设；</w:t>
      </w:r>
      <w:bookmarkEnd w:id="190"/>
    </w:p>
    <w:p w14:paraId="005C6D57">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91" w:name="_Toc26637"/>
      <w:r>
        <w:rPr>
          <w:rFonts w:hint="eastAsia" w:ascii="宋体" w:hAnsi="宋体" w:eastAsia="宋体" w:cs="宋体"/>
          <w:b w:val="0"/>
          <w:bCs w:val="0"/>
          <w:color w:val="auto"/>
          <w:sz w:val="24"/>
          <w:szCs w:val="24"/>
          <w:highlight w:val="none"/>
        </w:rPr>
        <w:t>自我约束、自我管理，守合同、重信用，不参与围标串标、弄虚作假、骗取中标、干扰评标、违约毁约等行为，自觉维护公共资源交易市场秩序；</w:t>
      </w:r>
      <w:bookmarkEnd w:id="191"/>
      <w:r>
        <w:rPr>
          <w:rFonts w:hint="eastAsia" w:ascii="宋体" w:hAnsi="宋体" w:eastAsia="宋体" w:cs="宋体"/>
          <w:b w:val="0"/>
          <w:bCs w:val="0"/>
          <w:color w:val="auto"/>
          <w:sz w:val="24"/>
          <w:szCs w:val="24"/>
          <w:highlight w:val="none"/>
        </w:rPr>
        <w:t xml:space="preserve"> </w:t>
      </w:r>
    </w:p>
    <w:p w14:paraId="4135B516">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92" w:name="_Toc9667"/>
      <w:r>
        <w:rPr>
          <w:rFonts w:hint="eastAsia" w:ascii="宋体" w:hAnsi="宋体" w:eastAsia="宋体" w:cs="宋体"/>
          <w:b w:val="0"/>
          <w:bCs w:val="0"/>
          <w:color w:val="auto"/>
          <w:sz w:val="24"/>
          <w:szCs w:val="24"/>
          <w:highlight w:val="none"/>
        </w:rPr>
        <w:t>自觉接受政府、行业组织、社会公众、新闻舆论的监督；</w:t>
      </w:r>
      <w:bookmarkEnd w:id="192"/>
    </w:p>
    <w:p w14:paraId="05598539">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93" w:name="_Toc20609"/>
      <w:r>
        <w:rPr>
          <w:rFonts w:hint="eastAsia" w:ascii="宋体" w:hAnsi="宋体" w:eastAsia="宋体" w:cs="宋体"/>
          <w:b w:val="0"/>
          <w:bCs w:val="0"/>
          <w:color w:val="auto"/>
          <w:sz w:val="24"/>
          <w:szCs w:val="24"/>
          <w:highlight w:val="none"/>
        </w:rPr>
        <w:t>近三年参与的历史公共资源交易中，我单位及关联企业无发生重大违法记录，没有因违法经营受到刑事处罚或责令停产停业、吊销许可证或执照等行政处罚，且未在被禁止参加公共资源交易、政府采购活动的处罚期限内；</w:t>
      </w:r>
      <w:bookmarkEnd w:id="193"/>
    </w:p>
    <w:p w14:paraId="3C0F1BD0">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94" w:name="_Toc7382"/>
      <w:r>
        <w:rPr>
          <w:rFonts w:hint="eastAsia" w:ascii="宋体" w:hAnsi="宋体" w:eastAsia="宋体" w:cs="宋体"/>
          <w:b w:val="0"/>
          <w:bCs w:val="0"/>
          <w:color w:val="auto"/>
          <w:sz w:val="24"/>
          <w:szCs w:val="24"/>
          <w:highlight w:val="none"/>
        </w:rPr>
        <w:t>我单位目前不存在以下情形：被人民法院列入失信惩戒对象，单位、法定代表人或拟派项目经理（项目负责人）被人民检察院列入行贿犯罪档案，被市场监督管理部门列入企业经营异常名录，被税务部门列入重大税收违法案件当事人名单，被政府采购监管部门列入政府采购严重违法失信行为记录名单；</w:t>
      </w:r>
      <w:bookmarkEnd w:id="194"/>
    </w:p>
    <w:p w14:paraId="3F19270C">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95" w:name="_Toc10651"/>
      <w:r>
        <w:rPr>
          <w:rFonts w:hint="eastAsia" w:ascii="宋体" w:hAnsi="宋体" w:eastAsia="宋体" w:cs="宋体"/>
          <w:b w:val="0"/>
          <w:bCs w:val="0"/>
          <w:color w:val="auto"/>
          <w:sz w:val="24"/>
          <w:szCs w:val="24"/>
          <w:highlight w:val="none"/>
        </w:rPr>
        <w:t>本单位自愿接受我市公共资源交易招标投标综合监管部门及行业主管部门的依法检查。如发生违法违规或不良行为，自愿接受行政主管部门依法给予的取消投标、取消中标资格等行政处罚（处理）、记录失信行为并依法承担相应的赔偿责任和刑事责任；</w:t>
      </w:r>
      <w:bookmarkEnd w:id="195"/>
    </w:p>
    <w:p w14:paraId="7350EB8A">
      <w:pPr>
        <w:pStyle w:val="4"/>
        <w:keepNext w:val="0"/>
        <w:keepLines w:val="0"/>
        <w:widowControl/>
        <w:numPr>
          <w:ilvl w:val="0"/>
          <w:numId w:val="19"/>
        </w:numPr>
        <w:spacing w:before="0" w:after="0" w:line="360" w:lineRule="auto"/>
        <w:ind w:firstLine="480" w:firstLineChars="200"/>
        <w:jc w:val="left"/>
        <w:rPr>
          <w:rFonts w:ascii="宋体" w:hAnsi="宋体" w:eastAsia="宋体" w:cs="宋体"/>
          <w:b w:val="0"/>
          <w:bCs w:val="0"/>
          <w:color w:val="auto"/>
          <w:sz w:val="24"/>
          <w:szCs w:val="24"/>
          <w:highlight w:val="none"/>
        </w:rPr>
      </w:pPr>
      <w:bookmarkStart w:id="196" w:name="_Toc26546"/>
      <w:r>
        <w:rPr>
          <w:rFonts w:hint="eastAsia" w:ascii="宋体" w:hAnsi="宋体" w:eastAsia="宋体" w:cs="宋体"/>
          <w:b w:val="0"/>
          <w:bCs w:val="0"/>
          <w:color w:val="auto"/>
          <w:sz w:val="24"/>
          <w:szCs w:val="24"/>
          <w:highlight w:val="none"/>
        </w:rPr>
        <w:t>本人已认真阅读了上述承诺，并向本单位员工作了宣传教育。</w:t>
      </w:r>
      <w:bookmarkEnd w:id="196"/>
    </w:p>
    <w:p w14:paraId="3A5D6D36">
      <w:pPr>
        <w:pStyle w:val="4"/>
        <w:keepNext w:val="0"/>
        <w:keepLines w:val="0"/>
        <w:widowControl/>
        <w:spacing w:before="0" w:after="0" w:line="360" w:lineRule="auto"/>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bookmarkStart w:id="197" w:name="_Toc4901"/>
      <w:r>
        <w:rPr>
          <w:rFonts w:hint="eastAsia" w:ascii="宋体" w:hAnsi="宋体" w:eastAsia="宋体" w:cs="宋体"/>
          <w:b w:val="0"/>
          <w:bCs w:val="0"/>
          <w:color w:val="auto"/>
          <w:sz w:val="24"/>
          <w:szCs w:val="24"/>
          <w:highlight w:val="none"/>
        </w:rPr>
        <w:t>法定代表人(签名或盖章)：</w:t>
      </w:r>
      <w:bookmarkEnd w:id="197"/>
      <w:r>
        <w:rPr>
          <w:rFonts w:hint="eastAsia" w:ascii="宋体" w:hAnsi="宋体" w:eastAsia="宋体" w:cs="宋体"/>
          <w:b w:val="0"/>
          <w:bCs w:val="0"/>
          <w:color w:val="auto"/>
          <w:sz w:val="24"/>
          <w:szCs w:val="24"/>
          <w:highlight w:val="none"/>
        </w:rPr>
        <w:t xml:space="preserve">   </w:t>
      </w:r>
    </w:p>
    <w:p w14:paraId="7E6888FB">
      <w:pPr>
        <w:pStyle w:val="4"/>
        <w:keepNext w:val="0"/>
        <w:keepLines w:val="0"/>
        <w:widowControl/>
        <w:spacing w:before="0" w:after="0" w:line="360" w:lineRule="auto"/>
        <w:jc w:val="center"/>
        <w:rPr>
          <w:rFonts w:ascii="仿宋_GB2312" w:hAnsi="仿宋_GB2312" w:eastAsia="仿宋_GB2312" w:cs="仿宋_GB2312"/>
          <w:b w:val="0"/>
          <w:bCs w:val="0"/>
          <w:color w:val="auto"/>
          <w:highlight w:val="none"/>
        </w:rPr>
      </w:pPr>
      <w:r>
        <w:rPr>
          <w:rFonts w:hint="eastAsia" w:ascii="宋体" w:hAnsi="宋体" w:eastAsia="宋体" w:cs="宋体"/>
          <w:b w:val="0"/>
          <w:bCs w:val="0"/>
          <w:color w:val="auto"/>
          <w:sz w:val="24"/>
          <w:szCs w:val="24"/>
          <w:highlight w:val="none"/>
        </w:rPr>
        <w:t xml:space="preserve">                   </w:t>
      </w:r>
      <w:bookmarkStart w:id="198" w:name="_Toc26325"/>
      <w:r>
        <w:rPr>
          <w:rFonts w:hint="eastAsia" w:ascii="宋体" w:hAnsi="宋体" w:eastAsia="宋体" w:cs="宋体"/>
          <w:b w:val="0"/>
          <w:bCs w:val="0"/>
          <w:color w:val="auto"/>
          <w:sz w:val="24"/>
          <w:szCs w:val="24"/>
          <w:highlight w:val="none"/>
        </w:rPr>
        <w:t>企业名称（盖章）：</w:t>
      </w:r>
      <w:bookmarkEnd w:id="198"/>
      <w:r>
        <w:rPr>
          <w:rFonts w:hint="eastAsia" w:ascii="仿宋_GB2312" w:hAnsi="仿宋_GB2312" w:eastAsia="仿宋_GB2312" w:cs="仿宋_GB2312"/>
          <w:b w:val="0"/>
          <w:bCs w:val="0"/>
          <w:color w:val="auto"/>
          <w:highlight w:val="none"/>
        </w:rPr>
        <w:t xml:space="preserve"> </w:t>
      </w:r>
    </w:p>
    <w:p w14:paraId="12F2CA6E">
      <w:pPr>
        <w:pStyle w:val="2"/>
        <w:spacing w:line="360" w:lineRule="auto"/>
        <w:jc w:val="center"/>
        <w:outlineLvl w:val="1"/>
        <w:rPr>
          <w:rFonts w:ascii="仿宋" w:hAnsi="仿宋" w:eastAsia="仿宋"/>
          <w:b/>
          <w:color w:val="auto"/>
          <w:highlight w:val="none"/>
        </w:rPr>
      </w:pPr>
      <w:r>
        <w:rPr>
          <w:rFonts w:hint="eastAsia" w:hAnsi="宋体" w:cs="宋体"/>
          <w:color w:val="auto"/>
          <w:highlight w:val="none"/>
        </w:rPr>
        <w:t xml:space="preserve">          </w:t>
      </w:r>
      <w:bookmarkStart w:id="199" w:name="_Toc5150"/>
      <w:r>
        <w:rPr>
          <w:rFonts w:hint="eastAsia" w:hAnsi="宋体" w:cs="宋体"/>
          <w:color w:val="auto"/>
          <w:highlight w:val="none"/>
        </w:rPr>
        <w:t>年  月  日</w:t>
      </w:r>
      <w:r>
        <w:rPr>
          <w:rFonts w:hint="eastAsia" w:ascii="仿宋" w:hAnsi="仿宋" w:eastAsia="仿宋"/>
          <w:b/>
          <w:color w:val="auto"/>
          <w:highlight w:val="none"/>
        </w:rPr>
        <w:br w:type="page"/>
      </w:r>
      <w:bookmarkEnd w:id="199"/>
    </w:p>
    <w:p w14:paraId="244948B8">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6、投标声明格式</w:t>
      </w:r>
    </w:p>
    <w:p w14:paraId="7AFAB99E">
      <w:pPr>
        <w:snapToGrid w:val="0"/>
        <w:spacing w:before="50" w:after="120" w:afterLines="50"/>
        <w:jc w:val="left"/>
        <w:rPr>
          <w:rFonts w:ascii="宋体" w:hAnsi="宋体" w:cs="宋体"/>
          <w:color w:val="auto"/>
          <w:highlight w:val="none"/>
        </w:rPr>
      </w:pPr>
    </w:p>
    <w:p w14:paraId="3AFD0175">
      <w:pPr>
        <w:snapToGrid w:val="0"/>
        <w:spacing w:before="50" w:after="12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43F2855F">
      <w:pPr>
        <w:snapToGrid w:val="0"/>
        <w:spacing w:before="50" w:after="120" w:afterLines="50"/>
        <w:jc w:val="center"/>
        <w:rPr>
          <w:rFonts w:ascii="宋体" w:hAnsi="宋体" w:cs="宋体"/>
          <w:bCs/>
          <w:color w:val="auto"/>
          <w:sz w:val="44"/>
          <w:szCs w:val="44"/>
          <w:highlight w:val="none"/>
        </w:rPr>
      </w:pPr>
    </w:p>
    <w:p w14:paraId="4B6DD5DF">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59455CC2">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10C3FBB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A6DB23B">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77B62E2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0C881D2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15B61AD4">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5709CFC9">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1C9A0DC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65F51E2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0363D9E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57E19A0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38AB657F">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7CC97D3D">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 xml:space="preserve">    注：如为联合体投标，盖章处须加盖联合体各方公章并由联合体各方法定代表人分别签字，否则投标无效。</w:t>
      </w:r>
    </w:p>
    <w:p w14:paraId="1E22362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w:t>
      </w:r>
    </w:p>
    <w:p w14:paraId="67F457E3">
      <w:pPr>
        <w:spacing w:line="400" w:lineRule="exact"/>
        <w:contextualSpacing/>
        <w:jc w:val="left"/>
        <w:rPr>
          <w:rFonts w:ascii="宋体" w:hAnsi="宋体" w:cs="宋体"/>
          <w:color w:val="auto"/>
          <w:sz w:val="24"/>
          <w:highlight w:val="none"/>
        </w:rPr>
      </w:pPr>
    </w:p>
    <w:p w14:paraId="2C00410F">
      <w:pPr>
        <w:spacing w:line="400" w:lineRule="exact"/>
        <w:ind w:firstLine="3840" w:firstLineChars="1600"/>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法定代表人（签字或者盖章）：</w:t>
      </w:r>
      <w:r>
        <w:rPr>
          <w:rFonts w:hint="eastAsia" w:ascii="宋体" w:hAnsi="宋体" w:cs="宋体"/>
          <w:color w:val="auto"/>
          <w:sz w:val="24"/>
          <w:highlight w:val="none"/>
          <w:u w:val="single"/>
        </w:rPr>
        <w:t xml:space="preserve">             </w:t>
      </w:r>
    </w:p>
    <w:p w14:paraId="4E4C996D">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r>
        <w:rPr>
          <w:rFonts w:hint="eastAsia" w:ascii="宋体" w:hAnsi="宋体" w:cs="宋体"/>
          <w:color w:val="auto"/>
          <w:sz w:val="24"/>
          <w:highlight w:val="none"/>
          <w:u w:val="single"/>
        </w:rPr>
        <w:t xml:space="preserve">                 </w:t>
      </w:r>
    </w:p>
    <w:p w14:paraId="3B2D2229">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2B6B7E17">
      <w:pPr>
        <w:rPr>
          <w:rFonts w:asciiTheme="majorEastAsia" w:hAnsiTheme="majorEastAsia" w:eastAsiaTheme="majorEastAsia" w:cstheme="majorEastAsia"/>
          <w:b/>
          <w:color w:val="auto"/>
          <w:sz w:val="28"/>
          <w:szCs w:val="28"/>
          <w:highlight w:val="none"/>
        </w:rPr>
      </w:pPr>
      <w:bookmarkStart w:id="200" w:name="_Toc19686838"/>
      <w:r>
        <w:rPr>
          <w:rFonts w:hint="eastAsia" w:ascii="宋体" w:hAnsi="宋体" w:cs="宋体"/>
          <w:b/>
          <w:color w:val="auto"/>
          <w:sz w:val="28"/>
          <w:szCs w:val="28"/>
          <w:highlight w:val="none"/>
        </w:rPr>
        <w:br w:type="page"/>
      </w:r>
      <w:r>
        <w:rPr>
          <w:rFonts w:hint="eastAsia" w:asciiTheme="majorEastAsia" w:hAnsiTheme="majorEastAsia" w:eastAsiaTheme="majorEastAsia" w:cstheme="majorEastAsia"/>
          <w:b/>
          <w:color w:val="auto"/>
          <w:sz w:val="28"/>
          <w:szCs w:val="28"/>
          <w:highlight w:val="none"/>
        </w:rPr>
        <w:t>三、商务文件格式</w:t>
      </w:r>
      <w:bookmarkEnd w:id="200"/>
    </w:p>
    <w:p w14:paraId="225F12EE">
      <w:pPr>
        <w:snapToGrid w:val="0"/>
        <w:spacing w:before="120" w:beforeLines="50" w:after="50" w:line="360" w:lineRule="auto"/>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1.商务文件封面格式： </w:t>
      </w:r>
    </w:p>
    <w:p w14:paraId="33498735">
      <w:pPr>
        <w:snapToGrid w:val="0"/>
        <w:spacing w:before="120" w:beforeLines="50" w:after="50"/>
        <w:rPr>
          <w:rFonts w:asciiTheme="majorEastAsia" w:hAnsiTheme="majorEastAsia" w:eastAsiaTheme="majorEastAsia" w:cstheme="majorEastAsia"/>
          <w:bCs/>
          <w:color w:val="auto"/>
          <w:sz w:val="32"/>
          <w:szCs w:val="20"/>
          <w:highlight w:val="none"/>
        </w:rPr>
      </w:pPr>
      <w:r>
        <w:rPr>
          <w:rFonts w:hint="eastAsia" w:asciiTheme="majorEastAsia" w:hAnsiTheme="majorEastAsia" w:eastAsiaTheme="majorEastAsia" w:cstheme="majorEastAsia"/>
          <w:color w:val="auto"/>
          <w:sz w:val="24"/>
          <w:highlight w:val="none"/>
        </w:rPr>
        <w:t xml:space="preserve">                                                 </w:t>
      </w:r>
    </w:p>
    <w:p w14:paraId="3EBE258E">
      <w:pPr>
        <w:snapToGrid w:val="0"/>
        <w:spacing w:before="120" w:beforeLines="50" w:after="50"/>
        <w:rPr>
          <w:rFonts w:asciiTheme="majorEastAsia" w:hAnsiTheme="majorEastAsia" w:eastAsiaTheme="majorEastAsia" w:cstheme="majorEastAsia"/>
          <w:color w:val="auto"/>
          <w:sz w:val="24"/>
          <w:szCs w:val="20"/>
          <w:highlight w:val="none"/>
        </w:rPr>
      </w:pPr>
    </w:p>
    <w:p w14:paraId="74980399">
      <w:pPr>
        <w:snapToGrid w:val="0"/>
        <w:spacing w:before="120" w:beforeLines="50" w:after="50"/>
        <w:rPr>
          <w:rFonts w:asciiTheme="majorEastAsia" w:hAnsiTheme="majorEastAsia" w:eastAsiaTheme="majorEastAsia" w:cstheme="majorEastAsia"/>
          <w:color w:val="auto"/>
          <w:sz w:val="24"/>
          <w:szCs w:val="20"/>
          <w:highlight w:val="none"/>
        </w:rPr>
      </w:pPr>
    </w:p>
    <w:p w14:paraId="6CE7D345">
      <w:pPr>
        <w:snapToGrid w:val="0"/>
        <w:spacing w:before="120" w:beforeLines="50" w:after="50"/>
        <w:rPr>
          <w:rFonts w:asciiTheme="majorEastAsia" w:hAnsiTheme="majorEastAsia" w:eastAsiaTheme="majorEastAsia" w:cstheme="majorEastAsia"/>
          <w:color w:val="auto"/>
          <w:sz w:val="24"/>
          <w:szCs w:val="20"/>
          <w:highlight w:val="none"/>
        </w:rPr>
      </w:pPr>
    </w:p>
    <w:p w14:paraId="02A08B66">
      <w:pPr>
        <w:snapToGrid w:val="0"/>
        <w:spacing w:before="120" w:beforeLines="50" w:after="50"/>
        <w:jc w:val="center"/>
        <w:rPr>
          <w:rFonts w:asciiTheme="majorEastAsia" w:hAnsiTheme="majorEastAsia" w:eastAsiaTheme="majorEastAsia" w:cstheme="majorEastAsia"/>
          <w:color w:val="auto"/>
          <w:sz w:val="84"/>
          <w:szCs w:val="84"/>
          <w:highlight w:val="none"/>
        </w:rPr>
      </w:pPr>
      <w:r>
        <w:rPr>
          <w:rFonts w:hint="eastAsia" w:asciiTheme="majorEastAsia" w:hAnsiTheme="majorEastAsia" w:eastAsiaTheme="majorEastAsia" w:cstheme="majorEastAsia"/>
          <w:color w:val="auto"/>
          <w:sz w:val="84"/>
          <w:szCs w:val="84"/>
          <w:highlight w:val="none"/>
        </w:rPr>
        <w:t>投  标  文  件</w:t>
      </w:r>
    </w:p>
    <w:p w14:paraId="4ABFD510">
      <w:pPr>
        <w:snapToGrid w:val="0"/>
        <w:spacing w:before="120" w:beforeLines="50" w:after="50"/>
        <w:rPr>
          <w:rFonts w:asciiTheme="majorEastAsia" w:hAnsiTheme="majorEastAsia" w:eastAsiaTheme="majorEastAsia" w:cstheme="majorEastAsia"/>
          <w:color w:val="auto"/>
          <w:sz w:val="24"/>
          <w:szCs w:val="20"/>
          <w:highlight w:val="none"/>
        </w:rPr>
      </w:pPr>
    </w:p>
    <w:p w14:paraId="1DA92A9A">
      <w:pPr>
        <w:snapToGrid w:val="0"/>
        <w:spacing w:before="120" w:beforeLines="50" w:after="50"/>
        <w:rPr>
          <w:rFonts w:asciiTheme="majorEastAsia" w:hAnsiTheme="majorEastAsia" w:eastAsiaTheme="majorEastAsia" w:cstheme="majorEastAsia"/>
          <w:color w:val="auto"/>
          <w:sz w:val="24"/>
          <w:szCs w:val="20"/>
          <w:highlight w:val="none"/>
        </w:rPr>
      </w:pPr>
    </w:p>
    <w:p w14:paraId="6399F079">
      <w:pPr>
        <w:snapToGrid w:val="0"/>
        <w:spacing w:before="120" w:beforeLines="50" w:after="50"/>
        <w:jc w:val="center"/>
        <w:rPr>
          <w:rFonts w:asciiTheme="majorEastAsia" w:hAnsiTheme="majorEastAsia" w:eastAsiaTheme="majorEastAsia" w:cstheme="majorEastAsia"/>
          <w:bCs/>
          <w:color w:val="auto"/>
          <w:sz w:val="32"/>
          <w:szCs w:val="32"/>
          <w:highlight w:val="none"/>
        </w:rPr>
      </w:pPr>
      <w:r>
        <w:rPr>
          <w:rFonts w:hint="eastAsia" w:asciiTheme="majorEastAsia" w:hAnsiTheme="majorEastAsia" w:eastAsiaTheme="majorEastAsia" w:cstheme="majorEastAsia"/>
          <w:bCs/>
          <w:color w:val="auto"/>
          <w:sz w:val="32"/>
          <w:szCs w:val="32"/>
          <w:highlight w:val="none"/>
        </w:rPr>
        <w:t>商  务  文  件</w:t>
      </w:r>
    </w:p>
    <w:p w14:paraId="7101F08C">
      <w:pPr>
        <w:snapToGrid w:val="0"/>
        <w:spacing w:before="120" w:beforeLines="50" w:after="50"/>
        <w:rPr>
          <w:rFonts w:asciiTheme="majorEastAsia" w:hAnsiTheme="majorEastAsia" w:eastAsiaTheme="majorEastAsia" w:cstheme="majorEastAsia"/>
          <w:bCs/>
          <w:color w:val="auto"/>
          <w:sz w:val="24"/>
          <w:szCs w:val="20"/>
          <w:highlight w:val="none"/>
        </w:rPr>
      </w:pPr>
    </w:p>
    <w:p w14:paraId="2DACF503">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p>
    <w:p w14:paraId="261327FF">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p>
    <w:p w14:paraId="3E704CC8">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p>
    <w:p w14:paraId="77ABA447">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项目名称：</w:t>
      </w:r>
    </w:p>
    <w:p w14:paraId="6CBC0236">
      <w:pPr>
        <w:snapToGrid w:val="0"/>
        <w:spacing w:before="120" w:beforeLines="50" w:after="50"/>
        <w:ind w:firstLine="540" w:firstLineChars="225"/>
        <w:rPr>
          <w:rFonts w:asciiTheme="majorEastAsia" w:hAnsiTheme="majorEastAsia" w:eastAsiaTheme="majorEastAsia" w:cstheme="majorEastAsia"/>
          <w:bCs/>
          <w:color w:val="auto"/>
          <w:sz w:val="24"/>
          <w:szCs w:val="20"/>
          <w:highlight w:val="none"/>
        </w:rPr>
      </w:pPr>
    </w:p>
    <w:p w14:paraId="489F6901">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项目编号：</w:t>
      </w:r>
    </w:p>
    <w:p w14:paraId="4726062E">
      <w:pPr>
        <w:snapToGrid w:val="0"/>
        <w:spacing w:before="120" w:beforeLines="50" w:after="50"/>
        <w:ind w:firstLine="540" w:firstLineChars="225"/>
        <w:rPr>
          <w:rFonts w:asciiTheme="majorEastAsia" w:hAnsiTheme="majorEastAsia" w:eastAsiaTheme="majorEastAsia" w:cstheme="majorEastAsia"/>
          <w:bCs/>
          <w:color w:val="auto"/>
          <w:sz w:val="24"/>
          <w:szCs w:val="20"/>
          <w:highlight w:val="none"/>
        </w:rPr>
      </w:pPr>
      <w:r>
        <w:rPr>
          <w:rFonts w:hint="eastAsia" w:asciiTheme="majorEastAsia" w:hAnsiTheme="majorEastAsia" w:eastAsiaTheme="majorEastAsia" w:cstheme="majorEastAsia"/>
          <w:bCs/>
          <w:color w:val="auto"/>
          <w:sz w:val="24"/>
          <w:highlight w:val="none"/>
        </w:rPr>
        <w:t xml:space="preserve"> </w:t>
      </w:r>
    </w:p>
    <w:p w14:paraId="779E9C2E">
      <w:pPr>
        <w:snapToGrid w:val="0"/>
        <w:spacing w:before="120" w:beforeLines="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所投分标：</w:t>
      </w:r>
    </w:p>
    <w:p w14:paraId="4B341E9F">
      <w:pPr>
        <w:snapToGrid w:val="0"/>
        <w:spacing w:before="120" w:beforeLines="50" w:after="50"/>
        <w:ind w:firstLine="540" w:firstLineChars="225"/>
        <w:rPr>
          <w:rFonts w:asciiTheme="majorEastAsia" w:hAnsiTheme="majorEastAsia" w:eastAsiaTheme="majorEastAsia" w:cstheme="majorEastAsia"/>
          <w:bCs/>
          <w:color w:val="auto"/>
          <w:sz w:val="24"/>
          <w:szCs w:val="20"/>
          <w:highlight w:val="none"/>
        </w:rPr>
      </w:pPr>
    </w:p>
    <w:p w14:paraId="27F83E69">
      <w:pPr>
        <w:snapToGrid w:val="0"/>
        <w:spacing w:before="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投标人名称：</w:t>
      </w:r>
    </w:p>
    <w:p w14:paraId="7469E3EE">
      <w:pPr>
        <w:snapToGrid w:val="0"/>
        <w:spacing w:before="50" w:after="50"/>
        <w:ind w:firstLine="540" w:firstLineChars="225"/>
        <w:rPr>
          <w:rFonts w:asciiTheme="majorEastAsia" w:hAnsiTheme="majorEastAsia" w:eastAsiaTheme="majorEastAsia" w:cstheme="majorEastAsia"/>
          <w:bCs/>
          <w:color w:val="auto"/>
          <w:sz w:val="24"/>
          <w:highlight w:val="none"/>
        </w:rPr>
      </w:pPr>
    </w:p>
    <w:p w14:paraId="3BAF92EC">
      <w:pPr>
        <w:snapToGrid w:val="0"/>
        <w:spacing w:before="50" w:after="50"/>
        <w:ind w:firstLine="540" w:firstLineChars="225"/>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投标人地址：</w:t>
      </w:r>
    </w:p>
    <w:p w14:paraId="210041D7">
      <w:pPr>
        <w:snapToGrid w:val="0"/>
        <w:spacing w:before="50" w:after="50"/>
        <w:ind w:firstLine="960" w:firstLineChars="400"/>
        <w:rPr>
          <w:rFonts w:asciiTheme="majorEastAsia" w:hAnsiTheme="majorEastAsia" w:eastAsiaTheme="majorEastAsia" w:cstheme="majorEastAsia"/>
          <w:bCs/>
          <w:color w:val="auto"/>
          <w:sz w:val="24"/>
          <w:highlight w:val="none"/>
        </w:rPr>
      </w:pPr>
    </w:p>
    <w:p w14:paraId="658FA3AE">
      <w:pPr>
        <w:snapToGrid w:val="0"/>
        <w:spacing w:before="120" w:beforeLines="50" w:after="50"/>
        <w:ind w:firstLine="645"/>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2732320E">
      <w:pPr>
        <w:snapToGrid w:val="0"/>
        <w:spacing w:before="120" w:beforeLines="50" w:after="50"/>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 xml:space="preserve"> </w:t>
      </w:r>
    </w:p>
    <w:p w14:paraId="5A283888">
      <w:pPr>
        <w:snapToGrid w:val="0"/>
        <w:spacing w:line="360" w:lineRule="auto"/>
        <w:jc w:val="left"/>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color w:val="auto"/>
          <w:sz w:val="24"/>
          <w:szCs w:val="20"/>
          <w:highlight w:val="none"/>
        </w:rPr>
        <w:br w:type="page"/>
      </w:r>
      <w:r>
        <w:rPr>
          <w:rFonts w:hint="eastAsia" w:asciiTheme="majorEastAsia" w:hAnsiTheme="majorEastAsia" w:eastAsiaTheme="majorEastAsia" w:cstheme="majorEastAsia"/>
          <w:b/>
          <w:bCs/>
          <w:color w:val="auto"/>
          <w:sz w:val="24"/>
          <w:highlight w:val="none"/>
        </w:rPr>
        <w:t>2.商务文件目录</w:t>
      </w:r>
    </w:p>
    <w:p w14:paraId="0A11F728">
      <w:pPr>
        <w:snapToGrid w:val="0"/>
        <w:spacing w:before="50" w:after="120" w:afterLines="50" w:line="360" w:lineRule="auto"/>
        <w:ind w:firstLine="480" w:firstLineChars="200"/>
        <w:jc w:val="left"/>
        <w:rPr>
          <w:rFonts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color w:val="auto"/>
          <w:sz w:val="24"/>
          <w:highlight w:val="none"/>
        </w:rPr>
        <w:t>根据招标文件规定及投标人提供的材料自行编写目录。</w:t>
      </w:r>
    </w:p>
    <w:p w14:paraId="6A610F8A">
      <w:pPr>
        <w:snapToGrid w:val="0"/>
        <w:spacing w:before="50" w:after="120" w:afterLines="50"/>
        <w:jc w:val="left"/>
        <w:rPr>
          <w:rFonts w:asciiTheme="majorEastAsia" w:hAnsiTheme="majorEastAsia" w:eastAsiaTheme="majorEastAsia" w:cstheme="majorEastAsia"/>
          <w:color w:val="auto"/>
          <w:highlight w:val="none"/>
        </w:rPr>
      </w:pPr>
    </w:p>
    <w:p w14:paraId="000C755D">
      <w:pPr>
        <w:snapToGrid w:val="0"/>
        <w:spacing w:before="120" w:beforeLines="50" w:after="50"/>
        <w:jc w:val="left"/>
        <w:rPr>
          <w:rFonts w:asciiTheme="majorEastAsia" w:hAnsiTheme="majorEastAsia" w:eastAsiaTheme="majorEastAsia" w:cstheme="majorEastAsia"/>
          <w:b/>
          <w:color w:val="auto"/>
          <w:sz w:val="24"/>
          <w:highlight w:val="none"/>
        </w:rPr>
      </w:pPr>
      <w:r>
        <w:rPr>
          <w:rFonts w:ascii="仿宋" w:hAnsi="仿宋" w:eastAsia="仿宋"/>
          <w:b/>
          <w:color w:val="auto"/>
          <w:sz w:val="24"/>
          <w:highlight w:val="none"/>
        </w:rPr>
        <w:br w:type="page"/>
      </w:r>
      <w:r>
        <w:rPr>
          <w:rFonts w:hint="eastAsia" w:asciiTheme="majorEastAsia" w:hAnsiTheme="majorEastAsia" w:eastAsiaTheme="majorEastAsia" w:cstheme="majorEastAsia"/>
          <w:b/>
          <w:color w:val="auto"/>
          <w:sz w:val="24"/>
          <w:highlight w:val="none"/>
        </w:rPr>
        <w:t>3.投标人参加本项目无围标串标行为的承诺</w:t>
      </w:r>
    </w:p>
    <w:p w14:paraId="2AFC85B4">
      <w:pPr>
        <w:snapToGrid w:val="0"/>
        <w:spacing w:before="120" w:beforeLines="50" w:after="50"/>
        <w:jc w:val="left"/>
        <w:rPr>
          <w:rFonts w:asciiTheme="majorEastAsia" w:hAnsiTheme="majorEastAsia" w:eastAsiaTheme="majorEastAsia" w:cstheme="majorEastAsia"/>
          <w:b/>
          <w:color w:val="auto"/>
          <w:sz w:val="24"/>
          <w:highlight w:val="none"/>
        </w:rPr>
      </w:pPr>
    </w:p>
    <w:p w14:paraId="358ED9CC">
      <w:pPr>
        <w:spacing w:line="360" w:lineRule="auto"/>
        <w:contextualSpacing/>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Cs/>
          <w:color w:val="auto"/>
          <w:spacing w:val="-11"/>
          <w:sz w:val="44"/>
          <w:szCs w:val="44"/>
          <w:highlight w:val="none"/>
        </w:rPr>
        <w:t>投标人参加本项目无围标串标行为的承诺函</w:t>
      </w:r>
    </w:p>
    <w:p w14:paraId="387DE342">
      <w:pPr>
        <w:spacing w:line="440" w:lineRule="exact"/>
        <w:contextualSpacing/>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一、我方承诺无下列相互串通投标的情形：</w:t>
      </w:r>
    </w:p>
    <w:p w14:paraId="5B783F34">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1.不同投标人的投标文件由同一单位或者个人编制；</w:t>
      </w:r>
    </w:p>
    <w:p w14:paraId="16A5375D">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2.不同投标人委托同一单位或者个人办理投标事宜；</w:t>
      </w:r>
    </w:p>
    <w:p w14:paraId="3640C938">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3.不同的投标人的投标文件载明的项目管理员为同一个人；</w:t>
      </w:r>
    </w:p>
    <w:p w14:paraId="7445E11F">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4.不同投标人的投标文件异常一致或者投标报价呈规律性差异；</w:t>
      </w:r>
    </w:p>
    <w:p w14:paraId="0FEE18F7">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5.不同投标人的投标文件相互混装；</w:t>
      </w:r>
    </w:p>
    <w:p w14:paraId="460C5BD4">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6.不同投标人的投标保证金从同一单位或者个人账户转出。</w:t>
      </w:r>
    </w:p>
    <w:p w14:paraId="2FB12530">
      <w:pPr>
        <w:spacing w:line="440" w:lineRule="exact"/>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二、我方承诺无下列恶意串通的情形：</w:t>
      </w:r>
    </w:p>
    <w:p w14:paraId="07FE72A9">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1.投标人直接或者间接从采购人或者采购代理机构处获得其他投标人的相关信息并修改其投标文件或者响应文件；</w:t>
      </w:r>
    </w:p>
    <w:p w14:paraId="326D7635">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2.投标人按照采购人或者采购代理机构的授意撤换、修改投标文件或者响应文件；</w:t>
      </w:r>
    </w:p>
    <w:p w14:paraId="17EEF850">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3.投标人之间协商报价、技术方案等投标文件或者响应文件的实质性内容；</w:t>
      </w:r>
    </w:p>
    <w:p w14:paraId="7359ED10">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4.属于同一集团、协会、商会等组织成员的投标人按照该组织要求协同参加政府采购活动；</w:t>
      </w:r>
    </w:p>
    <w:p w14:paraId="01EA5DDD">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47676B4">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6.投标人之间商定部分投标人放弃参加政府采购活动或者放弃中标；</w:t>
      </w:r>
    </w:p>
    <w:p w14:paraId="0F3EE79E">
      <w:pPr>
        <w:spacing w:line="440" w:lineRule="exact"/>
        <w:ind w:firstLine="470" w:firstLineChars="196"/>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7.投标人与采购人或者采购代理机构之间、投标人相互之间，为谋求特定投标人中标或者排斥其他投标人的其他串通行为。</w:t>
      </w:r>
    </w:p>
    <w:p w14:paraId="00E01920">
      <w:pPr>
        <w:spacing w:line="440" w:lineRule="exact"/>
        <w:ind w:firstLine="472" w:firstLineChars="196"/>
        <w:contextualSpacing/>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以上情形一经核查属实，我方愿意承担一切后果，并不再寻求任何旨在减轻或者免除法律责任的辩解。</w:t>
      </w:r>
    </w:p>
    <w:p w14:paraId="0ACC2550">
      <w:pPr>
        <w:pStyle w:val="2"/>
        <w:spacing w:line="440" w:lineRule="exact"/>
        <w:ind w:firstLine="6840" w:firstLineChars="2850"/>
        <w:contextualSpacing/>
        <w:rPr>
          <w:rFonts w:asciiTheme="majorEastAsia" w:hAnsiTheme="majorEastAsia" w:eastAsiaTheme="majorEastAsia" w:cstheme="majorEastAsia"/>
          <w:color w:val="auto"/>
          <w:highlight w:val="none"/>
        </w:rPr>
      </w:pPr>
    </w:p>
    <w:p w14:paraId="5E60B92E">
      <w:pPr>
        <w:pStyle w:val="2"/>
        <w:spacing w:line="440" w:lineRule="exact"/>
        <w:contextualSpacing/>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投标人名称（电子签章）</w:t>
      </w:r>
    </w:p>
    <w:p w14:paraId="59A0B47C">
      <w:pPr>
        <w:pStyle w:val="2"/>
        <w:spacing w:line="440" w:lineRule="exact"/>
        <w:contextualSpacing/>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w:t>
      </w:r>
    </w:p>
    <w:p w14:paraId="5277CB3D">
      <w:pPr>
        <w:snapToGrid w:val="0"/>
        <w:spacing w:before="120" w:beforeLines="50" w:after="50"/>
        <w:jc w:val="left"/>
        <w:rPr>
          <w:rFonts w:asciiTheme="majorEastAsia" w:hAnsiTheme="majorEastAsia" w:eastAsiaTheme="majorEastAsia" w:cstheme="majorEastAsia"/>
          <w:b/>
          <w:color w:val="auto"/>
          <w:sz w:val="24"/>
          <w:highlight w:val="none"/>
        </w:rPr>
      </w:pPr>
    </w:p>
    <w:p w14:paraId="178F41B7">
      <w:pPr>
        <w:snapToGrid w:val="0"/>
        <w:spacing w:before="120" w:beforeLines="50" w:after="50"/>
        <w:jc w:val="left"/>
        <w:rPr>
          <w:rFonts w:asciiTheme="majorEastAsia" w:hAnsiTheme="majorEastAsia" w:eastAsiaTheme="majorEastAsia" w:cstheme="majorEastAsia"/>
          <w:b/>
          <w:color w:val="auto"/>
          <w:sz w:val="24"/>
          <w:highlight w:val="none"/>
        </w:rPr>
      </w:pPr>
    </w:p>
    <w:p w14:paraId="265D45CA">
      <w:pPr>
        <w:snapToGrid w:val="0"/>
        <w:spacing w:before="120" w:beforeLines="50" w:after="50"/>
        <w:jc w:val="left"/>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highlight w:val="none"/>
        </w:rPr>
        <w:t>4.法定代表人身份证明</w:t>
      </w:r>
    </w:p>
    <w:p w14:paraId="537415C4">
      <w:pPr>
        <w:spacing w:before="240" w:beforeLines="100" w:after="120" w:afterLines="50"/>
        <w:ind w:left="540"/>
        <w:jc w:val="center"/>
        <w:rPr>
          <w:rFonts w:asciiTheme="majorEastAsia" w:hAnsiTheme="majorEastAsia" w:eastAsiaTheme="majorEastAsia" w:cstheme="majorEastAsia"/>
          <w:bCs/>
          <w:color w:val="auto"/>
          <w:sz w:val="44"/>
          <w:szCs w:val="44"/>
          <w:highlight w:val="none"/>
        </w:rPr>
      </w:pPr>
    </w:p>
    <w:p w14:paraId="72137E64">
      <w:pPr>
        <w:spacing w:before="240" w:beforeLines="100" w:after="120" w:afterLines="50"/>
        <w:ind w:left="540"/>
        <w:jc w:val="center"/>
        <w:rPr>
          <w:rFonts w:asciiTheme="majorEastAsia" w:hAnsiTheme="majorEastAsia" w:eastAsiaTheme="majorEastAsia" w:cstheme="majorEastAsia"/>
          <w:bCs/>
          <w:color w:val="auto"/>
          <w:sz w:val="44"/>
          <w:szCs w:val="44"/>
          <w:highlight w:val="none"/>
        </w:rPr>
      </w:pPr>
      <w:r>
        <w:rPr>
          <w:rFonts w:hint="eastAsia" w:asciiTheme="majorEastAsia" w:hAnsiTheme="majorEastAsia" w:eastAsiaTheme="majorEastAsia" w:cstheme="majorEastAsia"/>
          <w:bCs/>
          <w:color w:val="auto"/>
          <w:sz w:val="44"/>
          <w:szCs w:val="44"/>
          <w:highlight w:val="none"/>
        </w:rPr>
        <w:t>法定代表人身份证明</w:t>
      </w:r>
    </w:p>
    <w:p w14:paraId="46DD2521">
      <w:pPr>
        <w:spacing w:line="500" w:lineRule="exact"/>
        <w:ind w:left="54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 标 人：</w:t>
      </w:r>
      <w:r>
        <w:rPr>
          <w:rFonts w:hint="eastAsia" w:asciiTheme="majorEastAsia" w:hAnsiTheme="majorEastAsia" w:eastAsiaTheme="majorEastAsia" w:cstheme="majorEastAsia"/>
          <w:color w:val="auto"/>
          <w:sz w:val="24"/>
          <w:highlight w:val="none"/>
          <w:u w:val="single"/>
        </w:rPr>
        <w:t xml:space="preserve">                                                        </w:t>
      </w:r>
    </w:p>
    <w:p w14:paraId="4EAE447F">
      <w:pPr>
        <w:spacing w:line="500" w:lineRule="exact"/>
        <w:ind w:left="54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single"/>
        </w:rPr>
        <w:t xml:space="preserve">                                                        </w:t>
      </w:r>
    </w:p>
    <w:p w14:paraId="1E0FE29A">
      <w:pPr>
        <w:spacing w:line="500" w:lineRule="exact"/>
        <w:ind w:left="54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    名：</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性      别：</w:t>
      </w:r>
      <w:r>
        <w:rPr>
          <w:rFonts w:hint="eastAsia" w:asciiTheme="majorEastAsia" w:hAnsiTheme="majorEastAsia" w:eastAsiaTheme="majorEastAsia" w:cstheme="majorEastAsia"/>
          <w:color w:val="auto"/>
          <w:sz w:val="24"/>
          <w:highlight w:val="none"/>
          <w:u w:val="single"/>
        </w:rPr>
        <w:t xml:space="preserve">                </w:t>
      </w:r>
    </w:p>
    <w:p w14:paraId="17F53E11">
      <w:pPr>
        <w:spacing w:line="500" w:lineRule="exact"/>
        <w:ind w:left="54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年    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职      务：</w:t>
      </w:r>
      <w:r>
        <w:rPr>
          <w:rFonts w:hint="eastAsia" w:asciiTheme="majorEastAsia" w:hAnsiTheme="majorEastAsia" w:eastAsiaTheme="majorEastAsia" w:cstheme="majorEastAsia"/>
          <w:color w:val="auto"/>
          <w:sz w:val="24"/>
          <w:highlight w:val="none"/>
          <w:u w:val="single"/>
        </w:rPr>
        <w:t xml:space="preserve">                </w:t>
      </w:r>
    </w:p>
    <w:p w14:paraId="1FFE552B">
      <w:pPr>
        <w:spacing w:line="500" w:lineRule="exact"/>
        <w:ind w:left="54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身份证号码：</w:t>
      </w:r>
      <w:r>
        <w:rPr>
          <w:rFonts w:hint="eastAsia" w:asciiTheme="majorEastAsia" w:hAnsiTheme="majorEastAsia" w:eastAsiaTheme="majorEastAsia" w:cstheme="majorEastAsia"/>
          <w:color w:val="auto"/>
          <w:sz w:val="24"/>
          <w:highlight w:val="none"/>
          <w:u w:val="single"/>
        </w:rPr>
        <w:t xml:space="preserve">                                 </w:t>
      </w:r>
    </w:p>
    <w:p w14:paraId="32B1EE10">
      <w:pPr>
        <w:spacing w:line="500" w:lineRule="exact"/>
        <w:ind w:left="54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系</w:t>
      </w:r>
      <w:r>
        <w:rPr>
          <w:rFonts w:hint="eastAsia" w:asciiTheme="majorEastAsia" w:hAnsiTheme="majorEastAsia" w:eastAsiaTheme="majorEastAsia" w:cstheme="majorEastAsia"/>
          <w:color w:val="auto"/>
          <w:sz w:val="24"/>
          <w:highlight w:val="none"/>
          <w:u w:val="single"/>
        </w:rPr>
        <w:t xml:space="preserve">            （投标人名称）              </w:t>
      </w:r>
      <w:r>
        <w:rPr>
          <w:rFonts w:hint="eastAsia" w:asciiTheme="majorEastAsia" w:hAnsiTheme="majorEastAsia" w:eastAsiaTheme="majorEastAsia" w:cstheme="majorEastAsia"/>
          <w:color w:val="auto"/>
          <w:sz w:val="24"/>
          <w:highlight w:val="none"/>
        </w:rPr>
        <w:t>的法定代表人。</w:t>
      </w:r>
    </w:p>
    <w:p w14:paraId="4D562669">
      <w:pPr>
        <w:spacing w:line="500" w:lineRule="exact"/>
        <w:ind w:left="54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特此证明。</w:t>
      </w:r>
    </w:p>
    <w:p w14:paraId="4E5F1B1A">
      <w:pPr>
        <w:spacing w:line="500" w:lineRule="exact"/>
        <w:ind w:left="540"/>
        <w:rPr>
          <w:rFonts w:asciiTheme="majorEastAsia" w:hAnsiTheme="majorEastAsia" w:eastAsiaTheme="majorEastAsia" w:cstheme="majorEastAsia"/>
          <w:color w:val="auto"/>
          <w:sz w:val="24"/>
          <w:highlight w:val="none"/>
        </w:rPr>
      </w:pPr>
    </w:p>
    <w:p w14:paraId="63F6AE16">
      <w:pPr>
        <w:spacing w:line="500" w:lineRule="exact"/>
        <w:ind w:left="540"/>
        <w:rPr>
          <w:rFonts w:asciiTheme="majorEastAsia" w:hAnsiTheme="majorEastAsia" w:eastAsiaTheme="majorEastAsia" w:cstheme="majorEastAsia"/>
          <w:color w:val="auto"/>
          <w:sz w:val="24"/>
          <w:highlight w:val="none"/>
        </w:rPr>
      </w:pPr>
    </w:p>
    <w:p w14:paraId="223F8E5C">
      <w:pPr>
        <w:spacing w:line="500" w:lineRule="exact"/>
        <w:ind w:left="54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附件：法定代表人有效身份证正反面复印件</w:t>
      </w:r>
    </w:p>
    <w:p w14:paraId="22BF2F11">
      <w:pPr>
        <w:spacing w:line="500" w:lineRule="exact"/>
        <w:ind w:left="540"/>
        <w:rPr>
          <w:rFonts w:asciiTheme="majorEastAsia" w:hAnsiTheme="majorEastAsia" w:eastAsiaTheme="majorEastAsia" w:cstheme="majorEastAsia"/>
          <w:color w:val="auto"/>
          <w:sz w:val="24"/>
          <w:highlight w:val="none"/>
        </w:rPr>
      </w:pPr>
    </w:p>
    <w:p w14:paraId="23D779F9">
      <w:pPr>
        <w:spacing w:line="500" w:lineRule="exact"/>
        <w:ind w:left="540"/>
        <w:jc w:val="righ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投标人名称（电子签章）</w:t>
      </w:r>
    </w:p>
    <w:p w14:paraId="1FB446C3">
      <w:pPr>
        <w:spacing w:line="500" w:lineRule="exact"/>
        <w:ind w:left="540"/>
        <w:jc w:val="right"/>
        <w:rPr>
          <w:rFonts w:asciiTheme="majorEastAsia" w:hAnsiTheme="majorEastAsia" w:eastAsiaTheme="majorEastAsia" w:cstheme="majorEastAsia"/>
          <w:color w:val="auto"/>
          <w:sz w:val="24"/>
          <w:highlight w:val="none"/>
        </w:rPr>
      </w:pPr>
    </w:p>
    <w:p w14:paraId="143A703B">
      <w:pPr>
        <w:snapToGrid w:val="0"/>
        <w:spacing w:before="120" w:beforeLines="50" w:after="50"/>
        <w:ind w:left="540"/>
        <w:jc w:val="righ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75766B9E">
      <w:pPr>
        <w:snapToGrid w:val="0"/>
        <w:spacing w:before="120" w:beforeLines="50" w:after="50"/>
        <w:jc w:val="center"/>
        <w:rPr>
          <w:rFonts w:asciiTheme="majorEastAsia" w:hAnsiTheme="majorEastAsia" w:eastAsiaTheme="majorEastAsia" w:cstheme="majorEastAsia"/>
          <w:b/>
          <w:color w:val="auto"/>
          <w:sz w:val="24"/>
          <w:highlight w:val="none"/>
        </w:rPr>
      </w:pPr>
    </w:p>
    <w:p w14:paraId="0C9D05F4">
      <w:pPr>
        <w:snapToGrid w:val="0"/>
        <w:spacing w:before="120" w:beforeLines="50" w:after="50"/>
        <w:jc w:val="left"/>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color w:val="auto"/>
          <w:sz w:val="24"/>
          <w:highlight w:val="none"/>
        </w:rPr>
        <w:t>注：自然人投标的无需提供.</w:t>
      </w:r>
    </w:p>
    <w:p w14:paraId="7D9E4E54">
      <w:pPr>
        <w:snapToGrid w:val="0"/>
        <w:spacing w:before="120" w:beforeLines="50" w:after="50"/>
        <w:jc w:val="left"/>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24"/>
          <w:highlight w:val="none"/>
        </w:rPr>
        <w:t>5.授权委托书格式</w:t>
      </w:r>
    </w:p>
    <w:p w14:paraId="0ACBF877">
      <w:pPr>
        <w:snapToGrid w:val="0"/>
        <w:spacing w:before="120" w:beforeLines="50" w:after="50"/>
        <w:jc w:val="center"/>
        <w:rPr>
          <w:rFonts w:asciiTheme="majorEastAsia" w:hAnsiTheme="majorEastAsia" w:eastAsiaTheme="majorEastAsia" w:cstheme="majorEastAsia"/>
          <w:b/>
          <w:color w:val="auto"/>
          <w:sz w:val="44"/>
          <w:szCs w:val="44"/>
          <w:highlight w:val="none"/>
        </w:rPr>
      </w:pPr>
    </w:p>
    <w:p w14:paraId="10727A3F">
      <w:pPr>
        <w:spacing w:line="360" w:lineRule="auto"/>
        <w:contextualSpacing/>
        <w:jc w:val="center"/>
        <w:rPr>
          <w:rFonts w:asciiTheme="majorEastAsia" w:hAnsiTheme="majorEastAsia" w:eastAsiaTheme="majorEastAsia" w:cstheme="majorEastAsia"/>
          <w:bCs/>
          <w:color w:val="auto"/>
          <w:sz w:val="44"/>
          <w:szCs w:val="44"/>
          <w:highlight w:val="none"/>
        </w:rPr>
      </w:pPr>
      <w:r>
        <w:rPr>
          <w:rFonts w:hint="eastAsia" w:asciiTheme="majorEastAsia" w:hAnsiTheme="majorEastAsia" w:eastAsiaTheme="majorEastAsia" w:cstheme="majorEastAsia"/>
          <w:bCs/>
          <w:color w:val="auto"/>
          <w:sz w:val="44"/>
          <w:szCs w:val="44"/>
          <w:highlight w:val="none"/>
        </w:rPr>
        <w:t>授权委托书</w:t>
      </w:r>
    </w:p>
    <w:p w14:paraId="0C82431D">
      <w:pPr>
        <w:spacing w:line="440" w:lineRule="exact"/>
        <w:contextualSpacing/>
        <w:jc w:val="center"/>
        <w:rPr>
          <w:rFonts w:asciiTheme="majorEastAsia" w:hAnsiTheme="majorEastAsia" w:eastAsiaTheme="majorEastAsia" w:cstheme="majorEastAsia"/>
          <w:b/>
          <w:color w:val="auto"/>
          <w:sz w:val="24"/>
          <w:highlight w:val="none"/>
        </w:rPr>
      </w:pPr>
    </w:p>
    <w:p w14:paraId="6B9E1E77">
      <w:pPr>
        <w:spacing w:line="440" w:lineRule="exact"/>
        <w:contextualSpacing/>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Cs/>
          <w:color w:val="auto"/>
          <w:sz w:val="24"/>
          <w:highlight w:val="none"/>
        </w:rPr>
        <w:t>致：</w:t>
      </w:r>
      <w:r>
        <w:rPr>
          <w:rFonts w:hint="eastAsia" w:asciiTheme="majorEastAsia" w:hAnsiTheme="majorEastAsia" w:eastAsiaTheme="majorEastAsia" w:cstheme="majorEastAsia"/>
          <w:color w:val="auto"/>
          <w:sz w:val="24"/>
          <w:highlight w:val="none"/>
          <w:u w:val="single"/>
        </w:rPr>
        <w:t>采购人名称</w:t>
      </w:r>
      <w:r>
        <w:rPr>
          <w:rFonts w:hint="eastAsia" w:asciiTheme="majorEastAsia" w:hAnsiTheme="majorEastAsia" w:eastAsiaTheme="majorEastAsia" w:cstheme="majorEastAsia"/>
          <w:color w:val="auto"/>
          <w:sz w:val="24"/>
          <w:highlight w:val="none"/>
        </w:rPr>
        <w:t>：</w:t>
      </w:r>
    </w:p>
    <w:p w14:paraId="4707C81E">
      <w:pPr>
        <w:spacing w:line="440" w:lineRule="exact"/>
        <w:ind w:firstLine="566" w:firstLineChars="236"/>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（投标人名称）的法定代表人，现授权委托</w:t>
      </w:r>
      <w:r>
        <w:rPr>
          <w:rFonts w:hint="eastAsia" w:asciiTheme="majorEastAsia" w:hAnsiTheme="majorEastAsia" w:eastAsiaTheme="majorEastAsia" w:cstheme="majorEastAsia"/>
          <w:color w:val="auto"/>
          <w:sz w:val="24"/>
          <w:highlight w:val="none"/>
          <w:u w:val="single"/>
        </w:rPr>
        <w:t xml:space="preserve">       （姓名）</w:t>
      </w:r>
      <w:r>
        <w:rPr>
          <w:rFonts w:hint="eastAsia" w:asciiTheme="majorEastAsia" w:hAnsiTheme="majorEastAsia" w:eastAsiaTheme="majorEastAsia" w:cstheme="majorEastAsia"/>
          <w:color w:val="auto"/>
          <w:sz w:val="24"/>
          <w:highlight w:val="none"/>
        </w:rPr>
        <w:t>以我方的名义参加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项目的投标活动，并代表我方全权办理针对上述项目的所有采购程序和环节的具体事务和签署相关文件。</w:t>
      </w:r>
    </w:p>
    <w:p w14:paraId="5FEE9731">
      <w:pPr>
        <w:spacing w:line="440" w:lineRule="exact"/>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我方对委托代理人的签字事项负全部责任。</w:t>
      </w:r>
    </w:p>
    <w:p w14:paraId="289327F0">
      <w:pPr>
        <w:spacing w:line="440" w:lineRule="exact"/>
        <w:ind w:firstLine="48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本授权书自签署之日起生效，在撤销授权的书面通知以前，本授权书一直有效。委托代理人在授权书有效期内签署的所有文件不因授权的撤销而失效。</w:t>
      </w:r>
    </w:p>
    <w:p w14:paraId="02ECDBFA">
      <w:pPr>
        <w:spacing w:line="440" w:lineRule="exact"/>
        <w:ind w:firstLine="48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委托代理人无转委托权，特此委托。</w:t>
      </w:r>
    </w:p>
    <w:p w14:paraId="7C950711">
      <w:pPr>
        <w:spacing w:line="440" w:lineRule="exact"/>
        <w:ind w:firstLine="480"/>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附：法定代表人身份证明及委托代理人有效身份证正反面复印件</w:t>
      </w:r>
    </w:p>
    <w:p w14:paraId="561BA246">
      <w:pPr>
        <w:spacing w:line="440" w:lineRule="exact"/>
        <w:contextualSpacing/>
        <w:rPr>
          <w:rFonts w:asciiTheme="majorEastAsia" w:hAnsiTheme="majorEastAsia" w:eastAsiaTheme="majorEastAsia" w:cstheme="majorEastAsia"/>
          <w:color w:val="auto"/>
          <w:sz w:val="24"/>
          <w:highlight w:val="none"/>
        </w:rPr>
      </w:pPr>
    </w:p>
    <w:p w14:paraId="7803C741">
      <w:pPr>
        <w:spacing w:line="440" w:lineRule="exact"/>
        <w:contextualSpacing/>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委托代理人（签字）：</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法定代表人（签字或者盖章）：</w:t>
      </w:r>
      <w:r>
        <w:rPr>
          <w:rFonts w:hint="eastAsia" w:asciiTheme="majorEastAsia" w:hAnsiTheme="majorEastAsia" w:eastAsiaTheme="majorEastAsia" w:cstheme="majorEastAsia"/>
          <w:color w:val="auto"/>
          <w:sz w:val="24"/>
          <w:highlight w:val="none"/>
          <w:u w:val="single"/>
        </w:rPr>
        <w:t xml:space="preserve">              </w:t>
      </w:r>
    </w:p>
    <w:p w14:paraId="25D50C51">
      <w:pPr>
        <w:spacing w:line="440" w:lineRule="exact"/>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委托代理人身份证号码：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3BC62681">
      <w:pPr>
        <w:spacing w:line="440" w:lineRule="exact"/>
        <w:contextualSpacing/>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65ADADF">
      <w:pPr>
        <w:spacing w:line="440" w:lineRule="exact"/>
        <w:contextualSpacing/>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投标人名称（电子签章）：</w:t>
      </w:r>
    </w:p>
    <w:p w14:paraId="13968CF1">
      <w:pPr>
        <w:spacing w:line="440" w:lineRule="exact"/>
        <w:contextualSpacing/>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342D3604">
      <w:pPr>
        <w:spacing w:line="440" w:lineRule="exact"/>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w:t>
      </w:r>
      <w:bookmarkStart w:id="201" w:name="_Hlk65851555"/>
      <w:bookmarkStart w:id="202" w:name="_Hlk65851620"/>
      <w:r>
        <w:rPr>
          <w:rFonts w:hint="eastAsia" w:asciiTheme="majorEastAsia" w:hAnsiTheme="majorEastAsia" w:eastAsiaTheme="majorEastAsia" w:cstheme="majorEastAsia"/>
          <w:color w:val="auto"/>
          <w:sz w:val="24"/>
          <w:highlight w:val="none"/>
        </w:rPr>
        <w:t>法定代表人必须在授权委托书上亲笔签字或者盖章，</w:t>
      </w:r>
      <w:bookmarkEnd w:id="201"/>
      <w:r>
        <w:rPr>
          <w:rFonts w:hint="eastAsia" w:asciiTheme="majorEastAsia" w:hAnsiTheme="majorEastAsia" w:eastAsiaTheme="majorEastAsia" w:cstheme="majorEastAsia"/>
          <w:color w:val="auto"/>
          <w:sz w:val="24"/>
          <w:highlight w:val="none"/>
        </w:rPr>
        <w:t>委托代理人必须在授权委托书上亲笔签字，</w:t>
      </w:r>
      <w:r>
        <w:rPr>
          <w:rFonts w:hint="eastAsia" w:asciiTheme="majorEastAsia" w:hAnsiTheme="majorEastAsia" w:eastAsiaTheme="majorEastAsia" w:cstheme="majorEastAsia"/>
          <w:b/>
          <w:bCs/>
          <w:color w:val="auto"/>
          <w:sz w:val="24"/>
          <w:highlight w:val="none"/>
        </w:rPr>
        <w:t>否则按无效投标处理</w:t>
      </w:r>
      <w:r>
        <w:rPr>
          <w:rFonts w:hint="eastAsia" w:asciiTheme="majorEastAsia" w:hAnsiTheme="majorEastAsia" w:eastAsiaTheme="majorEastAsia" w:cstheme="majorEastAsia"/>
          <w:color w:val="auto"/>
          <w:sz w:val="24"/>
          <w:highlight w:val="none"/>
        </w:rPr>
        <w:t>；</w:t>
      </w:r>
      <w:bookmarkEnd w:id="202"/>
    </w:p>
    <w:p w14:paraId="5828E8FB">
      <w:pPr>
        <w:spacing w:line="440" w:lineRule="exact"/>
        <w:ind w:firstLine="480" w:firstLineChars="200"/>
        <w:contextualSpacing/>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2.法人、其他组织投标时“我方”是指“我单位”，自然人投标时“我方”是指“本人”。</w:t>
      </w:r>
    </w:p>
    <w:p w14:paraId="7F10E479">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p>
    <w:p w14:paraId="1413AB8A">
      <w:pPr>
        <w:rPr>
          <w:rFonts w:asciiTheme="majorEastAsia" w:hAnsiTheme="majorEastAsia" w:eastAsiaTheme="majorEastAsia" w:cstheme="majorEastAsia"/>
          <w:color w:val="auto"/>
          <w:sz w:val="24"/>
          <w:highlight w:val="none"/>
        </w:rPr>
      </w:pPr>
    </w:p>
    <w:p w14:paraId="1A186F3C">
      <w:pPr>
        <w:rPr>
          <w:rFonts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highlight w:val="none"/>
        </w:rPr>
        <w:t>6.商务要求偏离表格式（注：按项目需求表具体项目修改）</w:t>
      </w:r>
    </w:p>
    <w:p w14:paraId="6AB134D7">
      <w:pPr>
        <w:pStyle w:val="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所投分标：</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分标</w:t>
      </w:r>
    </w:p>
    <w:tbl>
      <w:tblPr>
        <w:tblStyle w:val="5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162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F0B9407">
            <w:pPr>
              <w:spacing w:line="34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9B08F38">
            <w:pPr>
              <w:spacing w:line="34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058DC45">
            <w:pPr>
              <w:spacing w:line="34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7985C1F">
            <w:pPr>
              <w:spacing w:line="34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偏离说明</w:t>
            </w:r>
          </w:p>
        </w:tc>
      </w:tr>
      <w:tr w14:paraId="069A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675BC6B">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6855578">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6CCB1991">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4371B85C">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2468563B">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357E632">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6346E271">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445A0772">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68F12F68">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2E71E7E">
            <w:pPr>
              <w:spacing w:line="300" w:lineRule="exact"/>
              <w:rPr>
                <w:rFonts w:asciiTheme="majorEastAsia" w:hAnsiTheme="majorEastAsia" w:eastAsiaTheme="majorEastAsia" w:cstheme="majorEastAsia"/>
                <w:color w:val="auto"/>
                <w:szCs w:val="21"/>
                <w:highlight w:val="none"/>
              </w:rPr>
            </w:pPr>
          </w:p>
        </w:tc>
      </w:tr>
      <w:tr w14:paraId="5BCE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6A48FFE">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5FD4B250">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02183DB4">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4D26DBCA">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2C92BD15">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70A9C7B">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4116E538">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7888D68F">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71440683">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1736683">
            <w:pPr>
              <w:spacing w:line="300" w:lineRule="exact"/>
              <w:rPr>
                <w:rFonts w:asciiTheme="majorEastAsia" w:hAnsiTheme="majorEastAsia" w:eastAsiaTheme="majorEastAsia" w:cstheme="majorEastAsia"/>
                <w:color w:val="auto"/>
                <w:szCs w:val="21"/>
                <w:highlight w:val="none"/>
              </w:rPr>
            </w:pPr>
          </w:p>
        </w:tc>
      </w:tr>
      <w:tr w14:paraId="2D7F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3ACBFA8">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6639768F">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59B7B024">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4A1E5977">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41AC01FA">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962B9AA">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04EEB291">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596074C2">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591E29CE">
            <w:pPr>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80B0F7D">
            <w:pPr>
              <w:spacing w:line="300" w:lineRule="exact"/>
              <w:rPr>
                <w:rFonts w:asciiTheme="majorEastAsia" w:hAnsiTheme="majorEastAsia" w:eastAsiaTheme="majorEastAsia" w:cstheme="majorEastAsia"/>
                <w:color w:val="auto"/>
                <w:szCs w:val="21"/>
                <w:highlight w:val="none"/>
              </w:rPr>
            </w:pPr>
          </w:p>
        </w:tc>
      </w:tr>
    </w:tbl>
    <w:p w14:paraId="369F5613">
      <w:pPr>
        <w:pStyle w:val="4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w:t>
      </w:r>
    </w:p>
    <w:p w14:paraId="1C40AFE6">
      <w:pPr>
        <w:pStyle w:val="18"/>
        <w:spacing w:line="240" w:lineRule="auto"/>
        <w:rPr>
          <w:rFonts w:asciiTheme="majorEastAsia" w:hAnsiTheme="majorEastAsia" w:eastAsiaTheme="majorEastAsia" w:cstheme="majorEastAsia"/>
          <w:color w:val="auto"/>
          <w:szCs w:val="32"/>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说明：应对照招标文件“第二章 采购需求”中的商务要求逐条作明确的投标响应，并作出偏离说明。</w:t>
      </w:r>
    </w:p>
    <w:p w14:paraId="7F99080D">
      <w:pPr>
        <w:pStyle w:val="47"/>
        <w:spacing w:line="240" w:lineRule="auto"/>
        <w:rPr>
          <w:rFonts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highlight w:val="none"/>
        </w:rPr>
        <w:t>2.投标人应根据自身的承诺，对照招标文件要求在“偏离说明”中注明“</w:t>
      </w:r>
      <w:r>
        <w:rPr>
          <w:rFonts w:hint="eastAsia" w:asciiTheme="majorEastAsia" w:hAnsiTheme="majorEastAsia" w:eastAsiaTheme="majorEastAsia" w:cstheme="majorEastAsia"/>
          <w:color w:val="auto"/>
          <w:highlight w:val="none"/>
        </w:rPr>
        <w:t>正偏离</w:t>
      </w:r>
      <w:r>
        <w:rPr>
          <w:rFonts w:hint="eastAsia" w:asciiTheme="majorEastAsia" w:hAnsiTheme="majorEastAsia" w:eastAsiaTheme="majorEastAsia" w:cstheme="majorEastAsia"/>
          <w:b w:val="0"/>
          <w:bCs w:val="0"/>
          <w:color w:val="auto"/>
          <w:highlight w:val="none"/>
        </w:rPr>
        <w:t>”、“</w:t>
      </w:r>
      <w:r>
        <w:rPr>
          <w:rFonts w:hint="eastAsia" w:asciiTheme="majorEastAsia" w:hAnsiTheme="majorEastAsia" w:eastAsiaTheme="majorEastAsia" w:cstheme="majorEastAsia"/>
          <w:color w:val="auto"/>
          <w:highlight w:val="none"/>
        </w:rPr>
        <w:t>负偏离</w:t>
      </w:r>
      <w:r>
        <w:rPr>
          <w:rFonts w:hint="eastAsia" w:asciiTheme="majorEastAsia" w:hAnsiTheme="majorEastAsia" w:eastAsiaTheme="majorEastAsia" w:cstheme="majorEastAsia"/>
          <w:b w:val="0"/>
          <w:bCs w:val="0"/>
          <w:color w:val="auto"/>
          <w:highlight w:val="none"/>
        </w:rPr>
        <w:t>”或者“</w:t>
      </w:r>
      <w:r>
        <w:rPr>
          <w:rFonts w:hint="eastAsia" w:asciiTheme="majorEastAsia" w:hAnsiTheme="majorEastAsia" w:eastAsiaTheme="majorEastAsia" w:cstheme="majorEastAsia"/>
          <w:color w:val="auto"/>
          <w:highlight w:val="none"/>
        </w:rPr>
        <w:t>无偏离</w:t>
      </w:r>
      <w:r>
        <w:rPr>
          <w:rFonts w:hint="eastAsia" w:asciiTheme="majorEastAsia" w:hAnsiTheme="majorEastAsia" w:eastAsiaTheme="majorEastAsia" w:cstheme="majorEastAsia"/>
          <w:b w:val="0"/>
          <w:bCs w:val="0"/>
          <w:color w:val="auto"/>
          <w:highlight w:val="none"/>
        </w:rPr>
        <w:t>”。既不属于“</w:t>
      </w:r>
      <w:r>
        <w:rPr>
          <w:rFonts w:hint="eastAsia" w:asciiTheme="majorEastAsia" w:hAnsiTheme="majorEastAsia" w:eastAsiaTheme="majorEastAsia" w:cstheme="majorEastAsia"/>
          <w:color w:val="auto"/>
          <w:highlight w:val="none"/>
        </w:rPr>
        <w:t>正偏离</w:t>
      </w:r>
      <w:r>
        <w:rPr>
          <w:rFonts w:hint="eastAsia" w:asciiTheme="majorEastAsia" w:hAnsiTheme="majorEastAsia" w:eastAsiaTheme="majorEastAsia" w:cstheme="majorEastAsia"/>
          <w:b w:val="0"/>
          <w:bCs w:val="0"/>
          <w:color w:val="auto"/>
          <w:highlight w:val="none"/>
        </w:rPr>
        <w:t>”也不属于“</w:t>
      </w:r>
      <w:r>
        <w:rPr>
          <w:rFonts w:hint="eastAsia" w:asciiTheme="majorEastAsia" w:hAnsiTheme="majorEastAsia" w:eastAsiaTheme="majorEastAsia" w:cstheme="majorEastAsia"/>
          <w:color w:val="auto"/>
          <w:highlight w:val="none"/>
        </w:rPr>
        <w:t>负偏离</w:t>
      </w:r>
      <w:r>
        <w:rPr>
          <w:rFonts w:hint="eastAsia" w:asciiTheme="majorEastAsia" w:hAnsiTheme="majorEastAsia" w:eastAsiaTheme="majorEastAsia" w:cstheme="majorEastAsia"/>
          <w:b w:val="0"/>
          <w:bCs w:val="0"/>
          <w:color w:val="auto"/>
          <w:highlight w:val="none"/>
        </w:rPr>
        <w:t>”即为“</w:t>
      </w:r>
      <w:r>
        <w:rPr>
          <w:rFonts w:hint="eastAsia" w:asciiTheme="majorEastAsia" w:hAnsiTheme="majorEastAsia" w:eastAsiaTheme="majorEastAsia" w:cstheme="majorEastAsia"/>
          <w:color w:val="auto"/>
          <w:highlight w:val="none"/>
        </w:rPr>
        <w:t>无偏离</w:t>
      </w:r>
      <w:r>
        <w:rPr>
          <w:rFonts w:hint="eastAsia" w:asciiTheme="majorEastAsia" w:hAnsiTheme="majorEastAsia" w:eastAsiaTheme="majorEastAsia" w:cstheme="majorEastAsia"/>
          <w:b w:val="0"/>
          <w:bCs w:val="0"/>
          <w:color w:val="auto"/>
          <w:highlight w:val="none"/>
        </w:rPr>
        <w:t>”。</w:t>
      </w:r>
    </w:p>
    <w:p w14:paraId="280A8C1F">
      <w:pPr>
        <w:snapToGrid w:val="0"/>
        <w:spacing w:before="50" w:after="50"/>
        <w:rPr>
          <w:rFonts w:asciiTheme="majorEastAsia" w:hAnsiTheme="majorEastAsia" w:eastAsiaTheme="majorEastAsia" w:cstheme="majorEastAsia"/>
          <w:color w:val="auto"/>
          <w:sz w:val="24"/>
          <w:highlight w:val="none"/>
        </w:rPr>
      </w:pPr>
    </w:p>
    <w:p w14:paraId="5C8E5957">
      <w:pPr>
        <w:snapToGrid w:val="0"/>
        <w:spacing w:before="50" w:after="50"/>
        <w:rPr>
          <w:rFonts w:asciiTheme="majorEastAsia" w:hAnsiTheme="majorEastAsia" w:eastAsiaTheme="majorEastAsia" w:cstheme="majorEastAsia"/>
          <w:color w:val="auto"/>
          <w:spacing w:val="20"/>
          <w:sz w:val="24"/>
          <w:highlight w:val="none"/>
          <w:u w:val="single"/>
        </w:rPr>
      </w:pPr>
      <w:r>
        <w:rPr>
          <w:rFonts w:hint="eastAsia" w:asciiTheme="majorEastAsia" w:hAnsiTheme="majorEastAsia" w:eastAsiaTheme="majorEastAsia" w:cstheme="majorEastAsia"/>
          <w:color w:val="auto"/>
          <w:sz w:val="24"/>
          <w:highlight w:val="none"/>
        </w:rPr>
        <w:t>法定代表人或者委托代理人</w:t>
      </w:r>
      <w:r>
        <w:rPr>
          <w:rFonts w:hint="eastAsia" w:asciiTheme="majorEastAsia" w:hAnsiTheme="majorEastAsia" w:eastAsiaTheme="majorEastAsia" w:cstheme="majorEastAsia"/>
          <w:color w:val="auto"/>
          <w:spacing w:val="20"/>
          <w:sz w:val="24"/>
          <w:highlight w:val="none"/>
        </w:rPr>
        <w:t>（签字）：</w:t>
      </w:r>
      <w:r>
        <w:rPr>
          <w:rFonts w:hint="eastAsia" w:asciiTheme="majorEastAsia" w:hAnsiTheme="majorEastAsia" w:eastAsiaTheme="majorEastAsia" w:cstheme="majorEastAsia"/>
          <w:color w:val="auto"/>
          <w:spacing w:val="20"/>
          <w:sz w:val="24"/>
          <w:highlight w:val="none"/>
          <w:u w:val="single"/>
        </w:rPr>
        <w:t xml:space="preserve">        </w:t>
      </w:r>
    </w:p>
    <w:p w14:paraId="65FE0203">
      <w:pPr>
        <w:snapToGrid w:val="0"/>
        <w:spacing w:before="120" w:beforeLines="50"/>
        <w:rPr>
          <w:rFonts w:asciiTheme="majorEastAsia" w:hAnsiTheme="majorEastAsia" w:eastAsiaTheme="majorEastAsia" w:cstheme="majorEastAsia"/>
          <w:color w:val="auto"/>
          <w:spacing w:val="20"/>
          <w:sz w:val="24"/>
          <w:highlight w:val="none"/>
        </w:rPr>
      </w:pPr>
      <w:r>
        <w:rPr>
          <w:rFonts w:hint="eastAsia" w:asciiTheme="majorEastAsia" w:hAnsiTheme="majorEastAsia" w:eastAsiaTheme="majorEastAsia" w:cstheme="majorEastAsia"/>
          <w:color w:val="auto"/>
          <w:spacing w:val="20"/>
          <w:sz w:val="24"/>
          <w:highlight w:val="none"/>
        </w:rPr>
        <w:t>投标人名称（电子签章）：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w:t>
      </w:r>
    </w:p>
    <w:p w14:paraId="2E319B12">
      <w:pPr>
        <w:snapToGrid w:val="0"/>
        <w:spacing w:before="120" w:beforeLines="50"/>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pacing w:val="20"/>
          <w:sz w:val="24"/>
          <w:highlight w:val="none"/>
        </w:rPr>
        <w:t>日  期：</w:t>
      </w:r>
      <w:r>
        <w:rPr>
          <w:rFonts w:hint="eastAsia" w:asciiTheme="majorEastAsia" w:hAnsiTheme="majorEastAsia" w:eastAsiaTheme="majorEastAsia" w:cstheme="majorEastAsia"/>
          <w:color w:val="auto"/>
          <w:spacing w:val="20"/>
          <w:sz w:val="24"/>
          <w:highlight w:val="none"/>
          <w:u w:val="single"/>
        </w:rPr>
        <w:t xml:space="preserve">         </w:t>
      </w:r>
    </w:p>
    <w:p w14:paraId="18D71C9A">
      <w:pPr>
        <w:snapToGrid w:val="0"/>
        <w:spacing w:before="120" w:beforeLines="50"/>
        <w:rPr>
          <w:rFonts w:asciiTheme="majorEastAsia" w:hAnsiTheme="majorEastAsia" w:eastAsiaTheme="majorEastAsia" w:cstheme="majorEastAsia"/>
          <w:color w:val="auto"/>
          <w:sz w:val="24"/>
          <w:szCs w:val="20"/>
          <w:highlight w:val="none"/>
        </w:rPr>
      </w:pPr>
    </w:p>
    <w:p w14:paraId="1CB34662">
      <w:pPr>
        <w:snapToGrid w:val="0"/>
        <w:spacing w:before="120" w:beforeLines="50" w:after="50"/>
        <w:jc w:val="left"/>
        <w:rPr>
          <w:rFonts w:asciiTheme="majorEastAsia" w:hAnsiTheme="majorEastAsia" w:eastAsiaTheme="majorEastAsia" w:cstheme="majorEastAsia"/>
          <w:color w:val="auto"/>
          <w:sz w:val="24"/>
          <w:szCs w:val="20"/>
          <w:highlight w:val="none"/>
        </w:rPr>
      </w:pPr>
    </w:p>
    <w:p w14:paraId="5C382444">
      <w:pPr>
        <w:snapToGrid w:val="0"/>
        <w:spacing w:before="120" w:beforeLines="50" w:after="50"/>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szCs w:val="20"/>
          <w:highlight w:val="none"/>
        </w:rPr>
        <w:br w:type="page"/>
      </w:r>
      <w:r>
        <w:rPr>
          <w:rFonts w:hint="eastAsia" w:asciiTheme="majorEastAsia" w:hAnsiTheme="majorEastAsia" w:eastAsiaTheme="majorEastAsia" w:cstheme="majorEastAsia"/>
          <w:b/>
          <w:color w:val="auto"/>
          <w:sz w:val="24"/>
          <w:highlight w:val="none"/>
        </w:rPr>
        <w:t>7.投标人业绩证明材料</w:t>
      </w:r>
    </w:p>
    <w:p w14:paraId="303AB13F">
      <w:pPr>
        <w:pStyle w:val="22"/>
        <w:snapToGrid w:val="0"/>
        <w:ind w:left="900" w:hanging="480"/>
        <w:rPr>
          <w:rFonts w:asciiTheme="majorEastAsia" w:hAnsiTheme="majorEastAsia" w:eastAsiaTheme="majorEastAsia" w:cstheme="majorEastAsia"/>
          <w:color w:val="auto"/>
          <w:sz w:val="24"/>
          <w:highlight w:val="none"/>
        </w:rPr>
      </w:pPr>
    </w:p>
    <w:p w14:paraId="65C78526">
      <w:pPr>
        <w:pStyle w:val="22"/>
        <w:snapToGrid w:val="0"/>
        <w:ind w:left="900" w:hanging="48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投标人业绩情况一览表格式： </w:t>
      </w:r>
    </w:p>
    <w:tbl>
      <w:tblPr>
        <w:tblStyle w:val="50"/>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2F55D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430042D2">
            <w:pPr>
              <w:snapToGrid w:val="0"/>
              <w:spacing w:line="24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2AAA08B">
            <w:pPr>
              <w:snapToGrid w:val="0"/>
              <w:spacing w:line="24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7895D0B">
            <w:pPr>
              <w:snapToGrid w:val="0"/>
              <w:spacing w:line="24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合同金额</w:t>
            </w:r>
          </w:p>
          <w:p w14:paraId="20211BB0">
            <w:pPr>
              <w:snapToGrid w:val="0"/>
              <w:spacing w:line="24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32F149AB">
            <w:pPr>
              <w:snapToGrid w:val="0"/>
              <w:spacing w:line="24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采购人联系人及</w:t>
            </w:r>
          </w:p>
          <w:p w14:paraId="3F34772F">
            <w:pPr>
              <w:snapToGrid w:val="0"/>
              <w:spacing w:line="24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p>
        </w:tc>
      </w:tr>
      <w:tr w14:paraId="00C29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0A00B450">
            <w:pPr>
              <w:jc w:val="left"/>
              <w:rPr>
                <w:rFonts w:asciiTheme="majorEastAsia" w:hAnsiTheme="majorEastAsia" w:eastAsiaTheme="majorEastAsia" w:cstheme="majorEastAsia"/>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221A051D">
            <w:pPr>
              <w:jc w:val="left"/>
              <w:rPr>
                <w:rFonts w:asciiTheme="majorEastAsia" w:hAnsiTheme="majorEastAsia" w:eastAsiaTheme="majorEastAsia" w:cstheme="majorEastAsia"/>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4B19B5AA">
            <w:pPr>
              <w:jc w:val="left"/>
              <w:rPr>
                <w:rFonts w:asciiTheme="majorEastAsia" w:hAnsiTheme="majorEastAsia" w:eastAsiaTheme="majorEastAsia" w:cstheme="majorEastAsia"/>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4F0DDFCF">
            <w:pPr>
              <w:jc w:val="left"/>
              <w:rPr>
                <w:rFonts w:asciiTheme="majorEastAsia" w:hAnsiTheme="majorEastAsia" w:eastAsiaTheme="majorEastAsia" w:cstheme="majorEastAsia"/>
                <w:color w:val="auto"/>
                <w:sz w:val="24"/>
                <w:highlight w:val="none"/>
              </w:rPr>
            </w:pPr>
          </w:p>
        </w:tc>
      </w:tr>
      <w:tr w14:paraId="615C9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132" w:type="dxa"/>
            <w:tcBorders>
              <w:top w:val="single" w:color="auto" w:sz="4" w:space="0"/>
              <w:left w:val="single" w:color="auto" w:sz="4" w:space="0"/>
              <w:bottom w:val="single" w:color="auto" w:sz="4" w:space="0"/>
              <w:right w:val="single" w:color="auto" w:sz="4" w:space="0"/>
            </w:tcBorders>
          </w:tcPr>
          <w:p w14:paraId="6B94F06E">
            <w:pPr>
              <w:snapToGrid w:val="0"/>
              <w:spacing w:line="24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867DAD4">
            <w:pPr>
              <w:snapToGrid w:val="0"/>
              <w:spacing w:line="24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CB74848">
            <w:pPr>
              <w:snapToGrid w:val="0"/>
              <w:spacing w:line="240" w:lineRule="exact"/>
              <w:jc w:val="left"/>
              <w:rPr>
                <w:rFonts w:asciiTheme="majorEastAsia" w:hAnsiTheme="majorEastAsia" w:eastAsiaTheme="majorEastAsia" w:cstheme="majorEastAsia"/>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79C1CF8A">
            <w:pPr>
              <w:snapToGrid w:val="0"/>
              <w:spacing w:line="240" w:lineRule="exact"/>
              <w:jc w:val="left"/>
              <w:rPr>
                <w:rFonts w:asciiTheme="majorEastAsia" w:hAnsiTheme="majorEastAsia" w:eastAsiaTheme="majorEastAsia" w:cstheme="majorEastAsia"/>
                <w:color w:val="auto"/>
                <w:sz w:val="24"/>
                <w:highlight w:val="none"/>
              </w:rPr>
            </w:pPr>
          </w:p>
        </w:tc>
      </w:tr>
      <w:tr w14:paraId="1C54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14:paraId="4B60025B">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3207A10">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FC4845A">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461B48BB">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r>
      <w:tr w14:paraId="6E428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132" w:type="dxa"/>
            <w:tcBorders>
              <w:top w:val="single" w:color="auto" w:sz="4" w:space="0"/>
              <w:left w:val="single" w:color="auto" w:sz="4" w:space="0"/>
              <w:bottom w:val="single" w:color="auto" w:sz="4" w:space="0"/>
              <w:right w:val="single" w:color="auto" w:sz="4" w:space="0"/>
            </w:tcBorders>
          </w:tcPr>
          <w:p w14:paraId="668EDDAE">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3A4E17A">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09FBC1E">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591E95EC">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r>
      <w:tr w14:paraId="6B65F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14:paraId="03C26E48">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6EB28EB">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8AE2D43">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2BAF4C6D">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r>
      <w:tr w14:paraId="6E91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14:paraId="2722A811">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4C4E50D">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9340A5A">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74B21F49">
            <w:pPr>
              <w:snapToGrid w:val="0"/>
              <w:spacing w:before="50" w:after="120" w:afterLines="50" w:line="400" w:lineRule="exact"/>
              <w:jc w:val="left"/>
              <w:rPr>
                <w:rFonts w:asciiTheme="majorEastAsia" w:hAnsiTheme="majorEastAsia" w:eastAsiaTheme="majorEastAsia" w:cstheme="majorEastAsia"/>
                <w:color w:val="auto"/>
                <w:sz w:val="24"/>
                <w:highlight w:val="none"/>
              </w:rPr>
            </w:pPr>
          </w:p>
        </w:tc>
      </w:tr>
    </w:tbl>
    <w:p w14:paraId="0FA92510">
      <w:pPr>
        <w:spacing w:after="0" w:line="360" w:lineRule="auto"/>
        <w:contextualSpacing/>
        <w:rPr>
          <w:rFonts w:asciiTheme="majorEastAsia" w:hAnsiTheme="majorEastAsia" w:eastAsiaTheme="majorEastAsia" w:cstheme="majorEastAsia"/>
          <w:color w:val="auto"/>
          <w:sz w:val="24"/>
          <w:highlight w:val="none"/>
        </w:rPr>
      </w:pPr>
    </w:p>
    <w:p w14:paraId="10383C94">
      <w:pPr>
        <w:spacing w:after="0" w:line="360" w:lineRule="auto"/>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注：投标人根据评标标准具体要求附业绩证明材料。</w:t>
      </w:r>
    </w:p>
    <w:p w14:paraId="5BB795B2">
      <w:pPr>
        <w:spacing w:after="0" w:line="360" w:lineRule="auto"/>
        <w:contextualSpacing/>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法定代表人或者委托代理人（签字）：</w:t>
      </w:r>
      <w:r>
        <w:rPr>
          <w:rFonts w:hint="eastAsia" w:asciiTheme="majorEastAsia" w:hAnsiTheme="majorEastAsia" w:eastAsiaTheme="majorEastAsia" w:cstheme="majorEastAsia"/>
          <w:color w:val="auto"/>
          <w:sz w:val="24"/>
          <w:highlight w:val="none"/>
          <w:u w:val="single"/>
        </w:rPr>
        <w:t>　　　　　</w:t>
      </w:r>
    </w:p>
    <w:p w14:paraId="0B909F25">
      <w:pPr>
        <w:spacing w:line="360" w:lineRule="auto"/>
        <w:ind w:right="480"/>
        <w:contextualSpacing/>
        <w:jc w:val="left"/>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highlight w:val="none"/>
        </w:rPr>
        <w:t xml:space="preserve">投标人名称（电子签章）：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年    月    日</w:t>
      </w:r>
    </w:p>
    <w:p w14:paraId="21ED7F6F">
      <w:pPr>
        <w:snapToGrid w:val="0"/>
        <w:spacing w:before="50"/>
        <w:ind w:firstLine="480" w:firstLineChars="200"/>
        <w:jc w:val="left"/>
        <w:rPr>
          <w:rFonts w:asciiTheme="majorEastAsia" w:hAnsiTheme="majorEastAsia" w:eastAsiaTheme="majorEastAsia" w:cstheme="majorEastAsia"/>
          <w:color w:val="auto"/>
          <w:sz w:val="24"/>
          <w:szCs w:val="20"/>
          <w:highlight w:val="none"/>
        </w:rPr>
      </w:pPr>
    </w:p>
    <w:p w14:paraId="0CEC9EA8">
      <w:pPr>
        <w:snapToGrid w:val="0"/>
        <w:spacing w:before="50"/>
        <w:jc w:val="left"/>
        <w:rPr>
          <w:rFonts w:asciiTheme="majorEastAsia" w:hAnsiTheme="majorEastAsia" w:eastAsiaTheme="majorEastAsia" w:cstheme="majorEastAsia"/>
          <w:color w:val="auto"/>
          <w:sz w:val="24"/>
          <w:highlight w:val="none"/>
        </w:rPr>
      </w:pPr>
    </w:p>
    <w:p w14:paraId="14D85AA5">
      <w:pPr>
        <w:snapToGrid w:val="0"/>
        <w:spacing w:before="120" w:beforeLines="50"/>
        <w:rPr>
          <w:rFonts w:asciiTheme="majorEastAsia" w:hAnsiTheme="majorEastAsia" w:eastAsiaTheme="majorEastAsia" w:cstheme="majorEastAsia"/>
          <w:color w:val="auto"/>
          <w:sz w:val="24"/>
          <w:szCs w:val="20"/>
          <w:highlight w:val="none"/>
        </w:rPr>
        <w:sectPr>
          <w:headerReference r:id="rId5" w:type="default"/>
          <w:footerReference r:id="rId6" w:type="default"/>
          <w:pgSz w:w="11906" w:h="16838"/>
          <w:pgMar w:top="1440" w:right="1797" w:bottom="1440" w:left="1797" w:header="851" w:footer="283" w:gutter="0"/>
          <w:cols w:space="720" w:num="1"/>
          <w:docGrid w:linePitch="312" w:charSpace="0"/>
        </w:sectPr>
      </w:pPr>
    </w:p>
    <w:p w14:paraId="6843880D">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446B898C">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1DF47DF9">
      <w:pPr>
        <w:snapToGrid w:val="0"/>
        <w:spacing w:before="120" w:beforeLines="50" w:after="50"/>
        <w:rPr>
          <w:rFonts w:ascii="宋体" w:hAnsi="宋体" w:cs="宋体"/>
          <w:b/>
          <w:bCs/>
          <w:color w:val="auto"/>
          <w:sz w:val="32"/>
          <w:szCs w:val="20"/>
          <w:highlight w:val="none"/>
        </w:rPr>
      </w:pPr>
      <w:r>
        <w:rPr>
          <w:rFonts w:hint="eastAsia" w:ascii="宋体" w:hAnsi="宋体" w:cs="宋体"/>
          <w:color w:val="auto"/>
          <w:sz w:val="24"/>
          <w:highlight w:val="none"/>
        </w:rPr>
        <w:t xml:space="preserve">                                                   </w:t>
      </w:r>
    </w:p>
    <w:p w14:paraId="73BBB4B1">
      <w:pPr>
        <w:snapToGrid w:val="0"/>
        <w:spacing w:before="120" w:beforeLines="50" w:after="50"/>
        <w:rPr>
          <w:rFonts w:ascii="宋体" w:hAnsi="宋体" w:cs="宋体"/>
          <w:color w:val="auto"/>
          <w:sz w:val="24"/>
          <w:szCs w:val="20"/>
          <w:highlight w:val="none"/>
        </w:rPr>
      </w:pPr>
    </w:p>
    <w:p w14:paraId="4D1AE4EB">
      <w:pPr>
        <w:snapToGrid w:val="0"/>
        <w:spacing w:before="120" w:beforeLines="50" w:after="50"/>
        <w:rPr>
          <w:rFonts w:ascii="宋体" w:hAnsi="宋体" w:cs="宋体"/>
          <w:color w:val="auto"/>
          <w:sz w:val="24"/>
          <w:szCs w:val="20"/>
          <w:highlight w:val="none"/>
        </w:rPr>
      </w:pPr>
    </w:p>
    <w:p w14:paraId="318939FA">
      <w:pPr>
        <w:snapToGrid w:val="0"/>
        <w:spacing w:before="120" w:beforeLines="50" w:after="50"/>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682ED399">
      <w:pPr>
        <w:snapToGrid w:val="0"/>
        <w:spacing w:before="120" w:beforeLines="50" w:after="50"/>
        <w:rPr>
          <w:rFonts w:ascii="宋体" w:hAnsi="宋体" w:cs="宋体"/>
          <w:color w:val="auto"/>
          <w:sz w:val="24"/>
          <w:szCs w:val="20"/>
          <w:highlight w:val="none"/>
        </w:rPr>
      </w:pPr>
    </w:p>
    <w:p w14:paraId="141994F6">
      <w:pPr>
        <w:snapToGrid w:val="0"/>
        <w:spacing w:before="120" w:beforeLines="50" w:after="50"/>
        <w:rPr>
          <w:rFonts w:ascii="宋体" w:hAnsi="宋体" w:cs="宋体"/>
          <w:color w:val="auto"/>
          <w:sz w:val="24"/>
          <w:szCs w:val="20"/>
          <w:highlight w:val="none"/>
        </w:rPr>
      </w:pPr>
    </w:p>
    <w:p w14:paraId="7E0044A5">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  术  文  件</w:t>
      </w:r>
    </w:p>
    <w:p w14:paraId="6307D4FE">
      <w:pPr>
        <w:snapToGrid w:val="0"/>
        <w:spacing w:before="120" w:beforeLines="50" w:after="50"/>
        <w:rPr>
          <w:rFonts w:ascii="宋体" w:hAnsi="宋体" w:cs="宋体"/>
          <w:bCs/>
          <w:color w:val="auto"/>
          <w:sz w:val="24"/>
          <w:szCs w:val="20"/>
          <w:highlight w:val="none"/>
        </w:rPr>
      </w:pPr>
    </w:p>
    <w:p w14:paraId="067127D6">
      <w:pPr>
        <w:snapToGrid w:val="0"/>
        <w:spacing w:before="120" w:beforeLines="50" w:after="50"/>
        <w:rPr>
          <w:rFonts w:ascii="宋体" w:hAnsi="宋体" w:cs="宋体"/>
          <w:bCs/>
          <w:color w:val="auto"/>
          <w:sz w:val="24"/>
          <w:szCs w:val="20"/>
          <w:highlight w:val="none"/>
        </w:rPr>
      </w:pPr>
    </w:p>
    <w:p w14:paraId="69C81FB7">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B44CBE9">
      <w:pPr>
        <w:snapToGrid w:val="0"/>
        <w:spacing w:before="120" w:beforeLines="50" w:after="50" w:line="400" w:lineRule="exact"/>
        <w:ind w:firstLine="360" w:firstLineChars="150"/>
        <w:rPr>
          <w:rFonts w:ascii="宋体" w:hAnsi="宋体" w:cs="宋体"/>
          <w:bCs/>
          <w:color w:val="auto"/>
          <w:sz w:val="24"/>
          <w:szCs w:val="20"/>
          <w:highlight w:val="none"/>
        </w:rPr>
      </w:pPr>
    </w:p>
    <w:p w14:paraId="02D6B4DB">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00FD976">
      <w:pPr>
        <w:snapToGrid w:val="0"/>
        <w:spacing w:before="120" w:beforeLines="50" w:after="50" w:line="400" w:lineRule="exact"/>
        <w:ind w:firstLine="360" w:firstLineChars="150"/>
        <w:rPr>
          <w:rFonts w:ascii="宋体" w:hAnsi="宋体" w:cs="宋体"/>
          <w:bCs/>
          <w:color w:val="auto"/>
          <w:sz w:val="24"/>
          <w:highlight w:val="none"/>
        </w:rPr>
      </w:pPr>
    </w:p>
    <w:p w14:paraId="327D5EFD">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457F8920">
      <w:pPr>
        <w:snapToGrid w:val="0"/>
        <w:spacing w:before="120" w:beforeLines="50" w:after="50" w:line="400" w:lineRule="exact"/>
        <w:ind w:firstLine="360" w:firstLineChars="150"/>
        <w:rPr>
          <w:rFonts w:ascii="宋体" w:hAnsi="宋体" w:cs="宋体"/>
          <w:bCs/>
          <w:color w:val="auto"/>
          <w:sz w:val="24"/>
          <w:highlight w:val="none"/>
        </w:rPr>
      </w:pPr>
    </w:p>
    <w:p w14:paraId="00EF99B1">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270CB1A">
      <w:pPr>
        <w:snapToGrid w:val="0"/>
        <w:spacing w:before="120" w:beforeLines="50" w:after="50" w:line="400" w:lineRule="exact"/>
        <w:ind w:firstLine="360" w:firstLineChars="150"/>
        <w:rPr>
          <w:rFonts w:ascii="宋体" w:hAnsi="宋体" w:cs="宋体"/>
          <w:bCs/>
          <w:color w:val="auto"/>
          <w:sz w:val="24"/>
          <w:highlight w:val="none"/>
        </w:rPr>
      </w:pPr>
    </w:p>
    <w:p w14:paraId="2336E2E3">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1E748FD">
      <w:pPr>
        <w:snapToGrid w:val="0"/>
        <w:spacing w:before="120" w:beforeLines="50" w:after="50" w:line="400" w:lineRule="exact"/>
        <w:ind w:firstLine="360" w:firstLineChars="150"/>
        <w:rPr>
          <w:rFonts w:ascii="宋体" w:hAnsi="宋体" w:cs="宋体"/>
          <w:bCs/>
          <w:color w:val="auto"/>
          <w:sz w:val="24"/>
          <w:highlight w:val="none"/>
        </w:rPr>
      </w:pPr>
    </w:p>
    <w:p w14:paraId="188F0D40">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174B2893">
      <w:pPr>
        <w:snapToGrid w:val="0"/>
        <w:spacing w:before="120" w:beforeLines="50" w:after="50"/>
        <w:ind w:firstLine="645"/>
        <w:jc w:val="center"/>
        <w:rPr>
          <w:rFonts w:ascii="宋体" w:hAnsi="宋体" w:cs="宋体"/>
          <w:color w:val="auto"/>
          <w:sz w:val="24"/>
          <w:highlight w:val="none"/>
        </w:rPr>
      </w:pPr>
    </w:p>
    <w:p w14:paraId="00D34E35">
      <w:pPr>
        <w:snapToGrid w:val="0"/>
        <w:spacing w:before="120" w:beforeLines="50" w:after="50"/>
        <w:ind w:firstLine="645"/>
        <w:jc w:val="center"/>
        <w:rPr>
          <w:rFonts w:ascii="宋体" w:hAnsi="宋体" w:cs="宋体"/>
          <w:b/>
          <w:bCs/>
          <w:color w:val="auto"/>
          <w:sz w:val="24"/>
          <w:highlight w:val="none"/>
        </w:rPr>
      </w:pPr>
      <w:r>
        <w:rPr>
          <w:rFonts w:hint="eastAsia" w:ascii="宋体" w:hAnsi="宋体" w:cs="宋体"/>
          <w:color w:val="auto"/>
          <w:sz w:val="24"/>
          <w:highlight w:val="none"/>
        </w:rPr>
        <w:t>年    月    日</w:t>
      </w: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6A0F0A07">
      <w:pPr>
        <w:snapToGrid w:val="0"/>
        <w:spacing w:before="50" w:after="120"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14:paraId="5FE3E277">
      <w:pPr>
        <w:snapToGrid w:val="0"/>
        <w:spacing w:before="120" w:beforeLines="50" w:after="50"/>
        <w:ind w:left="142"/>
        <w:jc w:val="left"/>
        <w:rPr>
          <w:rFonts w:asciiTheme="majorEastAsia" w:hAnsiTheme="majorEastAsia" w:eastAsiaTheme="majorEastAsia" w:cstheme="majorEastAsia"/>
          <w:b/>
          <w:color w:val="auto"/>
          <w:sz w:val="24"/>
          <w:highlight w:val="none"/>
        </w:rPr>
      </w:pPr>
      <w:r>
        <w:rPr>
          <w:rFonts w:hint="eastAsia" w:ascii="宋体" w:hAnsi="宋体" w:cs="宋体"/>
          <w:b/>
          <w:color w:val="auto"/>
          <w:sz w:val="24"/>
          <w:highlight w:val="none"/>
        </w:rPr>
        <w:br w:type="page"/>
      </w:r>
      <w:r>
        <w:rPr>
          <w:rFonts w:hint="eastAsia" w:asciiTheme="majorEastAsia" w:hAnsiTheme="majorEastAsia" w:eastAsiaTheme="majorEastAsia" w:cstheme="majorEastAsia"/>
          <w:b/>
          <w:color w:val="auto"/>
          <w:sz w:val="24"/>
          <w:highlight w:val="none"/>
        </w:rPr>
        <w:t>3. 设备性能配置清单格式</w:t>
      </w:r>
    </w:p>
    <w:p w14:paraId="241BEC96">
      <w:pPr>
        <w:snapToGrid w:val="0"/>
        <w:spacing w:before="120" w:beforeLines="50" w:after="50"/>
        <w:ind w:left="142"/>
        <w:jc w:val="left"/>
        <w:rPr>
          <w:rFonts w:asciiTheme="majorEastAsia" w:hAnsiTheme="majorEastAsia" w:eastAsiaTheme="majorEastAsia" w:cstheme="majorEastAsia"/>
          <w:b/>
          <w:color w:val="auto"/>
          <w:sz w:val="24"/>
          <w:highlight w:val="none"/>
        </w:rPr>
      </w:pPr>
    </w:p>
    <w:p w14:paraId="044FA66F">
      <w:pPr>
        <w:snapToGrid w:val="0"/>
        <w:spacing w:before="120" w:beforeLines="50" w:after="50"/>
        <w:ind w:left="142"/>
        <w:jc w:val="center"/>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设备性能配置清单</w:t>
      </w:r>
    </w:p>
    <w:p w14:paraId="51F59DD5">
      <w:pPr>
        <w:pStyle w:val="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所投分标：</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分标</w:t>
      </w:r>
    </w:p>
    <w:tbl>
      <w:tblPr>
        <w:tblStyle w:val="5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1188"/>
        <w:gridCol w:w="911"/>
        <w:gridCol w:w="1013"/>
        <w:gridCol w:w="1644"/>
        <w:gridCol w:w="1644"/>
        <w:gridCol w:w="1937"/>
      </w:tblGrid>
      <w:tr w14:paraId="2AEEC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56F6FF22">
            <w:pPr>
              <w:snapToGrid w:val="0"/>
              <w:spacing w:before="50" w:after="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188" w:type="dxa"/>
            <w:tcBorders>
              <w:top w:val="single" w:color="auto" w:sz="4" w:space="0"/>
              <w:left w:val="single" w:color="auto" w:sz="4" w:space="0"/>
              <w:bottom w:val="single" w:color="auto" w:sz="4" w:space="0"/>
              <w:right w:val="single" w:color="auto" w:sz="4" w:space="0"/>
            </w:tcBorders>
            <w:vAlign w:val="center"/>
          </w:tcPr>
          <w:p w14:paraId="47EDCBB5">
            <w:pPr>
              <w:snapToGrid w:val="0"/>
              <w:spacing w:before="50" w:after="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货物名称</w:t>
            </w:r>
          </w:p>
        </w:tc>
        <w:tc>
          <w:tcPr>
            <w:tcW w:w="911" w:type="dxa"/>
            <w:tcBorders>
              <w:top w:val="single" w:color="auto" w:sz="4" w:space="0"/>
              <w:left w:val="single" w:color="auto" w:sz="4" w:space="0"/>
              <w:bottom w:val="single" w:color="auto" w:sz="4" w:space="0"/>
              <w:right w:val="single" w:color="auto" w:sz="4" w:space="0"/>
            </w:tcBorders>
            <w:vAlign w:val="center"/>
          </w:tcPr>
          <w:p w14:paraId="0BC9DDFF">
            <w:pPr>
              <w:snapToGrid w:val="0"/>
              <w:spacing w:before="50" w:after="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数量</w:t>
            </w:r>
          </w:p>
        </w:tc>
        <w:tc>
          <w:tcPr>
            <w:tcW w:w="1013" w:type="dxa"/>
            <w:tcBorders>
              <w:top w:val="single" w:color="auto" w:sz="4" w:space="0"/>
              <w:left w:val="single" w:color="auto" w:sz="4" w:space="0"/>
              <w:bottom w:val="single" w:color="auto" w:sz="4" w:space="0"/>
              <w:right w:val="single" w:color="auto" w:sz="4" w:space="0"/>
            </w:tcBorders>
            <w:vAlign w:val="center"/>
          </w:tcPr>
          <w:p w14:paraId="7F2DE0DB">
            <w:pPr>
              <w:snapToGrid w:val="0"/>
              <w:spacing w:before="50" w:after="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单位</w:t>
            </w:r>
          </w:p>
        </w:tc>
        <w:tc>
          <w:tcPr>
            <w:tcW w:w="1644" w:type="dxa"/>
            <w:tcBorders>
              <w:top w:val="single" w:color="auto" w:sz="4" w:space="0"/>
              <w:left w:val="single" w:color="auto" w:sz="4" w:space="0"/>
              <w:bottom w:val="single" w:color="auto" w:sz="4" w:space="0"/>
              <w:right w:val="single" w:color="auto" w:sz="4" w:space="0"/>
            </w:tcBorders>
            <w:vAlign w:val="center"/>
          </w:tcPr>
          <w:p w14:paraId="30744B02">
            <w:pPr>
              <w:snapToGrid w:val="0"/>
              <w:spacing w:after="0" w:line="279"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品牌或生产厂家</w:t>
            </w:r>
          </w:p>
        </w:tc>
        <w:tc>
          <w:tcPr>
            <w:tcW w:w="1644" w:type="dxa"/>
            <w:tcBorders>
              <w:top w:val="single" w:color="auto" w:sz="4" w:space="0"/>
              <w:left w:val="single" w:color="auto" w:sz="4" w:space="0"/>
              <w:bottom w:val="single" w:color="auto" w:sz="4" w:space="0"/>
              <w:right w:val="single" w:color="auto" w:sz="4" w:space="0"/>
            </w:tcBorders>
            <w:vAlign w:val="center"/>
          </w:tcPr>
          <w:p w14:paraId="6C1CC90B">
            <w:pPr>
              <w:snapToGrid w:val="0"/>
              <w:spacing w:after="0" w:line="279"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规格型号</w:t>
            </w:r>
          </w:p>
        </w:tc>
        <w:tc>
          <w:tcPr>
            <w:tcW w:w="1937" w:type="dxa"/>
            <w:tcBorders>
              <w:top w:val="single" w:color="auto" w:sz="4" w:space="0"/>
              <w:left w:val="single" w:color="auto" w:sz="4" w:space="0"/>
              <w:bottom w:val="single" w:color="auto" w:sz="4" w:space="0"/>
              <w:right w:val="single" w:color="auto" w:sz="4" w:space="0"/>
            </w:tcBorders>
            <w:vAlign w:val="center"/>
          </w:tcPr>
          <w:p w14:paraId="44F31D68">
            <w:pPr>
              <w:snapToGrid w:val="0"/>
              <w:spacing w:before="50" w:after="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参数性能、指标及配置</w:t>
            </w:r>
          </w:p>
        </w:tc>
      </w:tr>
      <w:tr w14:paraId="028D7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16F05AFE">
            <w:pPr>
              <w:snapToGrid w:val="0"/>
              <w:spacing w:before="50" w:after="50"/>
              <w:jc w:val="center"/>
              <w:rPr>
                <w:rFonts w:asciiTheme="majorEastAsia" w:hAnsiTheme="majorEastAsia" w:eastAsiaTheme="majorEastAsia" w:cstheme="majorEastAsia"/>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FE664D0">
            <w:pPr>
              <w:snapToGrid w:val="0"/>
              <w:spacing w:before="50" w:after="50"/>
              <w:jc w:val="center"/>
              <w:rPr>
                <w:rFonts w:asciiTheme="majorEastAsia" w:hAnsiTheme="majorEastAsia" w:eastAsiaTheme="majorEastAsia" w:cstheme="majorEastAsia"/>
                <w:color w:val="auto"/>
                <w:sz w:val="24"/>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23E8E31E">
            <w:pPr>
              <w:snapToGrid w:val="0"/>
              <w:spacing w:before="50" w:after="50"/>
              <w:jc w:val="center"/>
              <w:rPr>
                <w:rFonts w:asciiTheme="majorEastAsia" w:hAnsiTheme="majorEastAsia" w:eastAsiaTheme="majorEastAsia" w:cstheme="majorEastAsia"/>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0DB2DFA">
            <w:pPr>
              <w:snapToGrid w:val="0"/>
              <w:spacing w:before="50" w:after="50"/>
              <w:jc w:val="center"/>
              <w:rPr>
                <w:rFonts w:asciiTheme="majorEastAsia" w:hAnsiTheme="majorEastAsia" w:eastAsiaTheme="majorEastAsia" w:cstheme="majorEastAsia"/>
                <w:color w:val="auto"/>
                <w:sz w:val="24"/>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3630BDF7">
            <w:pPr>
              <w:snapToGrid w:val="0"/>
              <w:spacing w:before="50" w:after="50"/>
              <w:jc w:val="center"/>
              <w:rPr>
                <w:rFonts w:asciiTheme="majorEastAsia" w:hAnsiTheme="majorEastAsia" w:eastAsiaTheme="majorEastAsia" w:cstheme="majorEastAsia"/>
                <w:color w:val="auto"/>
                <w:sz w:val="24"/>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0F6B57B9">
            <w:pPr>
              <w:snapToGrid w:val="0"/>
              <w:spacing w:before="50" w:after="50"/>
              <w:jc w:val="center"/>
              <w:rPr>
                <w:rFonts w:asciiTheme="majorEastAsia" w:hAnsiTheme="majorEastAsia" w:eastAsiaTheme="majorEastAsia" w:cstheme="majorEastAsia"/>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vAlign w:val="center"/>
          </w:tcPr>
          <w:p w14:paraId="471D04C7">
            <w:pPr>
              <w:snapToGrid w:val="0"/>
              <w:spacing w:before="50" w:after="50"/>
              <w:jc w:val="center"/>
              <w:rPr>
                <w:rFonts w:asciiTheme="majorEastAsia" w:hAnsiTheme="majorEastAsia" w:eastAsiaTheme="majorEastAsia" w:cstheme="majorEastAsia"/>
                <w:color w:val="auto"/>
                <w:sz w:val="24"/>
                <w:highlight w:val="none"/>
              </w:rPr>
            </w:pPr>
          </w:p>
        </w:tc>
      </w:tr>
      <w:tr w14:paraId="0A2F1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35C1BF0A">
            <w:pPr>
              <w:snapToGrid w:val="0"/>
              <w:spacing w:before="50" w:after="50"/>
              <w:jc w:val="center"/>
              <w:rPr>
                <w:rFonts w:asciiTheme="majorEastAsia" w:hAnsiTheme="majorEastAsia" w:eastAsiaTheme="majorEastAsia" w:cstheme="majorEastAsia"/>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1EACB821">
            <w:pPr>
              <w:snapToGrid w:val="0"/>
              <w:spacing w:before="50" w:after="50"/>
              <w:jc w:val="center"/>
              <w:rPr>
                <w:rFonts w:asciiTheme="majorEastAsia" w:hAnsiTheme="majorEastAsia" w:eastAsiaTheme="majorEastAsia" w:cstheme="majorEastAsia"/>
                <w:color w:val="auto"/>
                <w:sz w:val="24"/>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601B3014">
            <w:pPr>
              <w:snapToGrid w:val="0"/>
              <w:spacing w:before="50" w:after="50"/>
              <w:jc w:val="center"/>
              <w:rPr>
                <w:rFonts w:asciiTheme="majorEastAsia" w:hAnsiTheme="majorEastAsia" w:eastAsiaTheme="majorEastAsia" w:cstheme="majorEastAsia"/>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B2FD4DD">
            <w:pPr>
              <w:snapToGrid w:val="0"/>
              <w:spacing w:before="50" w:after="50"/>
              <w:jc w:val="center"/>
              <w:rPr>
                <w:rFonts w:asciiTheme="majorEastAsia" w:hAnsiTheme="majorEastAsia" w:eastAsiaTheme="majorEastAsia" w:cstheme="majorEastAsia"/>
                <w:color w:val="auto"/>
                <w:sz w:val="24"/>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3FEDD71F">
            <w:pPr>
              <w:snapToGrid w:val="0"/>
              <w:spacing w:before="50" w:after="50"/>
              <w:jc w:val="center"/>
              <w:rPr>
                <w:rFonts w:asciiTheme="majorEastAsia" w:hAnsiTheme="majorEastAsia" w:eastAsiaTheme="majorEastAsia" w:cstheme="majorEastAsia"/>
                <w:color w:val="auto"/>
                <w:sz w:val="24"/>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44CDC322">
            <w:pPr>
              <w:snapToGrid w:val="0"/>
              <w:spacing w:before="50" w:after="50"/>
              <w:jc w:val="center"/>
              <w:rPr>
                <w:rFonts w:asciiTheme="majorEastAsia" w:hAnsiTheme="majorEastAsia" w:eastAsiaTheme="majorEastAsia" w:cstheme="majorEastAsia"/>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vAlign w:val="center"/>
          </w:tcPr>
          <w:p w14:paraId="5DFCCF51">
            <w:pPr>
              <w:snapToGrid w:val="0"/>
              <w:spacing w:before="50" w:after="50"/>
              <w:jc w:val="center"/>
              <w:rPr>
                <w:rFonts w:asciiTheme="majorEastAsia" w:hAnsiTheme="majorEastAsia" w:eastAsiaTheme="majorEastAsia" w:cstheme="majorEastAsia"/>
                <w:color w:val="auto"/>
                <w:sz w:val="24"/>
                <w:highlight w:val="none"/>
              </w:rPr>
            </w:pPr>
          </w:p>
        </w:tc>
      </w:tr>
      <w:tr w14:paraId="1A0E3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66E55574">
            <w:pPr>
              <w:snapToGrid w:val="0"/>
              <w:spacing w:before="50" w:after="50"/>
              <w:jc w:val="center"/>
              <w:rPr>
                <w:rFonts w:asciiTheme="majorEastAsia" w:hAnsiTheme="majorEastAsia" w:eastAsiaTheme="majorEastAsia" w:cstheme="majorEastAsia"/>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5B181443">
            <w:pPr>
              <w:snapToGrid w:val="0"/>
              <w:spacing w:before="50" w:after="50"/>
              <w:jc w:val="center"/>
              <w:rPr>
                <w:rFonts w:asciiTheme="majorEastAsia" w:hAnsiTheme="majorEastAsia" w:eastAsiaTheme="majorEastAsia" w:cstheme="majorEastAsia"/>
                <w:color w:val="auto"/>
                <w:sz w:val="24"/>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219EC7FF">
            <w:pPr>
              <w:snapToGrid w:val="0"/>
              <w:spacing w:before="50" w:after="50"/>
              <w:jc w:val="center"/>
              <w:rPr>
                <w:rFonts w:asciiTheme="majorEastAsia" w:hAnsiTheme="majorEastAsia" w:eastAsiaTheme="majorEastAsia" w:cstheme="majorEastAsia"/>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C52286F">
            <w:pPr>
              <w:snapToGrid w:val="0"/>
              <w:spacing w:before="50" w:after="50"/>
              <w:jc w:val="center"/>
              <w:rPr>
                <w:rFonts w:asciiTheme="majorEastAsia" w:hAnsiTheme="majorEastAsia" w:eastAsiaTheme="majorEastAsia" w:cstheme="majorEastAsia"/>
                <w:color w:val="auto"/>
                <w:sz w:val="24"/>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3270F2A9">
            <w:pPr>
              <w:snapToGrid w:val="0"/>
              <w:spacing w:before="50" w:after="50"/>
              <w:jc w:val="center"/>
              <w:rPr>
                <w:rFonts w:asciiTheme="majorEastAsia" w:hAnsiTheme="majorEastAsia" w:eastAsiaTheme="majorEastAsia" w:cstheme="majorEastAsia"/>
                <w:color w:val="auto"/>
                <w:sz w:val="24"/>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14:paraId="269AE41F">
            <w:pPr>
              <w:snapToGrid w:val="0"/>
              <w:spacing w:before="50" w:after="50"/>
              <w:jc w:val="center"/>
              <w:rPr>
                <w:rFonts w:asciiTheme="majorEastAsia" w:hAnsiTheme="majorEastAsia" w:eastAsiaTheme="majorEastAsia" w:cstheme="majorEastAsia"/>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vAlign w:val="center"/>
          </w:tcPr>
          <w:p w14:paraId="78350ED8">
            <w:pPr>
              <w:snapToGrid w:val="0"/>
              <w:spacing w:before="50" w:after="50"/>
              <w:jc w:val="center"/>
              <w:rPr>
                <w:rFonts w:asciiTheme="majorEastAsia" w:hAnsiTheme="majorEastAsia" w:eastAsiaTheme="majorEastAsia" w:cstheme="majorEastAsia"/>
                <w:color w:val="auto"/>
                <w:sz w:val="24"/>
                <w:highlight w:val="none"/>
              </w:rPr>
            </w:pPr>
          </w:p>
        </w:tc>
      </w:tr>
    </w:tbl>
    <w:p w14:paraId="78E63FF2">
      <w:pPr>
        <w:spacing w:line="360" w:lineRule="auto"/>
        <w:contextualSpacing/>
        <w:rPr>
          <w:rFonts w:asciiTheme="majorEastAsia" w:hAnsiTheme="majorEastAsia" w:eastAsiaTheme="majorEastAsia" w:cstheme="majorEastAsia"/>
          <w:color w:val="auto"/>
          <w:sz w:val="24"/>
          <w:highlight w:val="none"/>
        </w:rPr>
      </w:pPr>
    </w:p>
    <w:p w14:paraId="1790AB22">
      <w:pPr>
        <w:spacing w:line="360" w:lineRule="auto"/>
        <w:contextualSpacing/>
        <w:rPr>
          <w:rFonts w:asciiTheme="majorEastAsia" w:hAnsiTheme="majorEastAsia" w:eastAsiaTheme="majorEastAsia" w:cstheme="majorEastAsia"/>
          <w:color w:val="auto"/>
          <w:sz w:val="24"/>
          <w:highlight w:val="none"/>
        </w:rPr>
      </w:pPr>
    </w:p>
    <w:p w14:paraId="05DC5716">
      <w:pPr>
        <w:spacing w:line="360" w:lineRule="auto"/>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p>
    <w:p w14:paraId="651E2D86">
      <w:pPr>
        <w:spacing w:line="360" w:lineRule="auto"/>
        <w:ind w:firstLine="480" w:firstLineChars="200"/>
        <w:contextualSpacing/>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以上设备性能配置清单中“货物名称、数量及单位、</w:t>
      </w:r>
      <w:bookmarkStart w:id="203" w:name="OLE_LINK61"/>
      <w:r>
        <w:rPr>
          <w:rFonts w:hint="eastAsia" w:asciiTheme="majorEastAsia" w:hAnsiTheme="majorEastAsia" w:eastAsiaTheme="majorEastAsia" w:cstheme="majorEastAsia"/>
          <w:color w:val="auto"/>
          <w:sz w:val="24"/>
          <w:highlight w:val="none"/>
        </w:rPr>
        <w:t>品牌或生产厂家</w:t>
      </w:r>
      <w:bookmarkEnd w:id="203"/>
      <w:r>
        <w:rPr>
          <w:rFonts w:hint="eastAsia" w:asciiTheme="majorEastAsia" w:hAnsiTheme="majorEastAsia" w:eastAsiaTheme="majorEastAsia" w:cstheme="majorEastAsia"/>
          <w:color w:val="auto"/>
          <w:sz w:val="24"/>
          <w:highlight w:val="none"/>
        </w:rPr>
        <w:t>、规格型号、参数性能、指标及配置”必须如实填写完整，品牌、规格型号没有则填无，填写有缺漏</w:t>
      </w:r>
      <w:r>
        <w:rPr>
          <w:rFonts w:hint="eastAsia" w:asciiTheme="majorEastAsia" w:hAnsiTheme="majorEastAsia" w:eastAsiaTheme="majorEastAsia" w:cstheme="majorEastAsia"/>
          <w:bCs/>
          <w:color w:val="auto"/>
          <w:sz w:val="24"/>
          <w:highlight w:val="none"/>
        </w:rPr>
        <w:t>的，</w:t>
      </w:r>
      <w:r>
        <w:rPr>
          <w:rFonts w:hint="eastAsia" w:asciiTheme="majorEastAsia" w:hAnsiTheme="majorEastAsia" w:eastAsiaTheme="majorEastAsia" w:cstheme="majorEastAsia"/>
          <w:b/>
          <w:color w:val="auto"/>
          <w:sz w:val="24"/>
          <w:highlight w:val="none"/>
        </w:rPr>
        <w:t>作无效投标处理。</w:t>
      </w:r>
      <w:r>
        <w:rPr>
          <w:rFonts w:hint="eastAsia" w:asciiTheme="majorEastAsia" w:hAnsiTheme="majorEastAsia" w:eastAsiaTheme="majorEastAsia" w:cstheme="majorEastAsia"/>
          <w:color w:val="auto"/>
          <w:sz w:val="24"/>
          <w:highlight w:val="none"/>
        </w:rPr>
        <w:t>货物名称、数量及单位、品牌或生产厂家必须与“开标一览表”一致，</w:t>
      </w:r>
      <w:r>
        <w:rPr>
          <w:rFonts w:hint="eastAsia" w:asciiTheme="majorEastAsia" w:hAnsiTheme="majorEastAsia" w:eastAsiaTheme="majorEastAsia" w:cstheme="majorEastAsia"/>
          <w:b/>
          <w:color w:val="auto"/>
          <w:sz w:val="24"/>
          <w:highlight w:val="none"/>
        </w:rPr>
        <w:t>否则按无效投标处理。</w:t>
      </w:r>
    </w:p>
    <w:p w14:paraId="47ABDBBB">
      <w:pPr>
        <w:spacing w:line="360" w:lineRule="auto"/>
        <w:ind w:firstLine="480" w:firstLineChars="200"/>
        <w:contextualSpacing/>
        <w:rPr>
          <w:rFonts w:asciiTheme="majorEastAsia" w:hAnsiTheme="majorEastAsia" w:eastAsiaTheme="majorEastAsia" w:cstheme="majorEastAsia"/>
          <w:color w:val="auto"/>
          <w:sz w:val="24"/>
          <w:highlight w:val="none"/>
        </w:rPr>
      </w:pPr>
    </w:p>
    <w:p w14:paraId="22E7BB19">
      <w:pPr>
        <w:spacing w:line="360" w:lineRule="auto"/>
        <w:contextualSpacing/>
        <w:rPr>
          <w:rFonts w:asciiTheme="majorEastAsia" w:hAnsiTheme="majorEastAsia" w:eastAsiaTheme="majorEastAsia" w:cstheme="majorEastAsia"/>
          <w:color w:val="auto"/>
          <w:spacing w:val="20"/>
          <w:sz w:val="24"/>
          <w:highlight w:val="none"/>
          <w:u w:val="single"/>
        </w:rPr>
      </w:pPr>
      <w:r>
        <w:rPr>
          <w:rFonts w:hint="eastAsia" w:asciiTheme="majorEastAsia" w:hAnsiTheme="majorEastAsia" w:eastAsiaTheme="majorEastAsia" w:cstheme="majorEastAsia"/>
          <w:color w:val="auto"/>
          <w:sz w:val="24"/>
          <w:highlight w:val="none"/>
        </w:rPr>
        <w:t>法定代表人或者委托代理人</w:t>
      </w:r>
      <w:r>
        <w:rPr>
          <w:rFonts w:hint="eastAsia" w:asciiTheme="majorEastAsia" w:hAnsiTheme="majorEastAsia" w:eastAsiaTheme="majorEastAsia" w:cstheme="majorEastAsia"/>
          <w:color w:val="auto"/>
          <w:spacing w:val="20"/>
          <w:sz w:val="24"/>
          <w:highlight w:val="none"/>
        </w:rPr>
        <w:t>（签字）：</w:t>
      </w:r>
      <w:r>
        <w:rPr>
          <w:rFonts w:hint="eastAsia" w:asciiTheme="majorEastAsia" w:hAnsiTheme="majorEastAsia" w:eastAsiaTheme="majorEastAsia" w:cstheme="majorEastAsia"/>
          <w:color w:val="auto"/>
          <w:spacing w:val="20"/>
          <w:sz w:val="24"/>
          <w:highlight w:val="none"/>
          <w:u w:val="single"/>
        </w:rPr>
        <w:t xml:space="preserve">        </w:t>
      </w:r>
    </w:p>
    <w:p w14:paraId="2402B091">
      <w:pPr>
        <w:spacing w:line="360" w:lineRule="auto"/>
        <w:contextualSpacing/>
        <w:rPr>
          <w:rFonts w:asciiTheme="majorEastAsia" w:hAnsiTheme="majorEastAsia" w:eastAsiaTheme="majorEastAsia" w:cstheme="majorEastAsia"/>
          <w:color w:val="auto"/>
          <w:spacing w:val="20"/>
          <w:sz w:val="24"/>
          <w:highlight w:val="none"/>
        </w:rPr>
      </w:pPr>
      <w:r>
        <w:rPr>
          <w:rFonts w:hint="eastAsia" w:asciiTheme="majorEastAsia" w:hAnsiTheme="majorEastAsia" w:eastAsiaTheme="majorEastAsia" w:cstheme="majorEastAsia"/>
          <w:color w:val="auto"/>
          <w:spacing w:val="20"/>
          <w:sz w:val="24"/>
          <w:highlight w:val="none"/>
        </w:rPr>
        <w:t>投标人名称（电子签章）：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w:t>
      </w:r>
    </w:p>
    <w:p w14:paraId="0A8725C3">
      <w:pPr>
        <w:spacing w:line="360" w:lineRule="auto"/>
        <w:contextualSpacing/>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pacing w:val="20"/>
          <w:sz w:val="24"/>
          <w:highlight w:val="none"/>
        </w:rPr>
        <w:t>日  期：</w:t>
      </w:r>
      <w:r>
        <w:rPr>
          <w:rFonts w:hint="eastAsia" w:asciiTheme="majorEastAsia" w:hAnsiTheme="majorEastAsia" w:eastAsiaTheme="majorEastAsia" w:cstheme="majorEastAsia"/>
          <w:color w:val="auto"/>
          <w:spacing w:val="20"/>
          <w:sz w:val="24"/>
          <w:highlight w:val="none"/>
          <w:u w:val="single"/>
        </w:rPr>
        <w:t xml:space="preserve">          </w:t>
      </w:r>
    </w:p>
    <w:p w14:paraId="0C92D7D8">
      <w:pPr>
        <w:snapToGrid w:val="0"/>
        <w:spacing w:before="50" w:after="120" w:afterLines="50"/>
        <w:jc w:val="left"/>
        <w:rPr>
          <w:rFonts w:asciiTheme="majorEastAsia" w:hAnsiTheme="majorEastAsia" w:eastAsiaTheme="majorEastAsia" w:cstheme="majorEastAsia"/>
          <w:color w:val="auto"/>
          <w:sz w:val="24"/>
          <w:szCs w:val="20"/>
          <w:highlight w:val="none"/>
        </w:rPr>
      </w:pPr>
    </w:p>
    <w:p w14:paraId="1C4FC6E0">
      <w:pPr>
        <w:snapToGrid w:val="0"/>
        <w:spacing w:before="50" w:after="120" w:afterLines="50"/>
        <w:jc w:val="left"/>
        <w:rPr>
          <w:rFonts w:asciiTheme="majorEastAsia" w:hAnsiTheme="majorEastAsia" w:eastAsiaTheme="majorEastAsia" w:cstheme="majorEastAsia"/>
          <w:color w:val="auto"/>
          <w:sz w:val="24"/>
          <w:szCs w:val="20"/>
          <w:highlight w:val="none"/>
        </w:rPr>
      </w:pPr>
    </w:p>
    <w:p w14:paraId="2652D0EE">
      <w:pPr>
        <w:snapToGrid w:val="0"/>
        <w:spacing w:before="120" w:beforeLines="50" w:after="50"/>
        <w:ind w:left="142"/>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24"/>
          <w:highlight w:val="none"/>
        </w:rPr>
        <w:t>4. 技术要求偏离表格式</w:t>
      </w:r>
    </w:p>
    <w:p w14:paraId="74566FE6">
      <w:pPr>
        <w:snapToGrid w:val="0"/>
        <w:spacing w:before="120" w:beforeLines="50" w:after="50"/>
        <w:ind w:left="142"/>
        <w:jc w:val="center"/>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技术要求偏离表</w:t>
      </w:r>
    </w:p>
    <w:p w14:paraId="534F37B2">
      <w:pPr>
        <w:pStyle w:val="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所投分标：</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分标</w:t>
      </w:r>
    </w:p>
    <w:tbl>
      <w:tblPr>
        <w:tblStyle w:val="50"/>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1134"/>
        <w:gridCol w:w="1134"/>
        <w:gridCol w:w="1225"/>
      </w:tblGrid>
      <w:tr w14:paraId="64FD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4210BDB3">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71C0AEB5">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招标文件技术参数需求</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0DE4C083">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3A5BD1C6">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偏离说明</w:t>
            </w:r>
          </w:p>
        </w:tc>
      </w:tr>
      <w:tr w14:paraId="7561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8F01546">
            <w:pPr>
              <w:widowControl/>
              <w:jc w:val="left"/>
              <w:rPr>
                <w:rFonts w:asciiTheme="majorEastAsia" w:hAnsiTheme="majorEastAsia" w:eastAsiaTheme="majorEastAsia" w:cstheme="majorEastAsia"/>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83F3D27">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货物</w:t>
            </w:r>
          </w:p>
          <w:p w14:paraId="352FEF80">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7ED3041C">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2FB30228">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29C93DEA">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货物</w:t>
            </w:r>
          </w:p>
          <w:p w14:paraId="2A5C0D51">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4F1E982D">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5141F179">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57E1B943">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28052061">
            <w:pPr>
              <w:widowControl/>
              <w:jc w:val="left"/>
              <w:rPr>
                <w:rFonts w:asciiTheme="majorEastAsia" w:hAnsiTheme="majorEastAsia" w:eastAsiaTheme="majorEastAsia" w:cstheme="majorEastAsia"/>
                <w:color w:val="auto"/>
                <w:szCs w:val="21"/>
                <w:highlight w:val="none"/>
              </w:rPr>
            </w:pPr>
          </w:p>
        </w:tc>
      </w:tr>
      <w:tr w14:paraId="7AD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E15E671">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19AFA604">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4B7AAD14">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51C2A432">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7F37F59E">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114A2435">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16B2D8AB">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23013E20">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5FBB3F77">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14:paraId="5E8E1710">
            <w:pPr>
              <w:rPr>
                <w:rFonts w:asciiTheme="majorEastAsia" w:hAnsiTheme="majorEastAsia" w:eastAsiaTheme="majorEastAsia" w:cstheme="maj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8A8AF8">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669DAE95">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03E6A7F5">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1BE32458">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6FDF01A7">
            <w:pPr>
              <w:rPr>
                <w:rFonts w:asciiTheme="majorEastAsia" w:hAnsiTheme="majorEastAsia" w:eastAsiaTheme="majorEastAsia" w:cstheme="majorEastAsia"/>
                <w:color w:val="auto"/>
                <w:szCs w:val="21"/>
                <w:highlight w:val="none"/>
              </w:rPr>
            </w:pPr>
          </w:p>
        </w:tc>
      </w:tr>
      <w:tr w14:paraId="03DA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ACA4D52">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14:paraId="2F1C617F">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029C8944">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224415F9">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2349E4FA">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00C26B59">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229166CF">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32130040">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49052827">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14:paraId="33CBA58B">
            <w:pPr>
              <w:rPr>
                <w:rFonts w:asciiTheme="majorEastAsia" w:hAnsiTheme="majorEastAsia" w:eastAsiaTheme="majorEastAsia" w:cstheme="maj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42F9D4">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w:t>
            </w:r>
          </w:p>
          <w:p w14:paraId="6744094A">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w:t>
            </w:r>
          </w:p>
          <w:p w14:paraId="71A7662F">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w:t>
            </w:r>
          </w:p>
          <w:p w14:paraId="2700D4AD">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188CC4B4">
            <w:pPr>
              <w:rPr>
                <w:rFonts w:asciiTheme="majorEastAsia" w:hAnsiTheme="majorEastAsia" w:eastAsiaTheme="majorEastAsia" w:cstheme="majorEastAsia"/>
                <w:color w:val="auto"/>
                <w:szCs w:val="21"/>
                <w:highlight w:val="none"/>
              </w:rPr>
            </w:pPr>
          </w:p>
        </w:tc>
      </w:tr>
      <w:tr w14:paraId="033D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D2E9072">
            <w:pP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21F17F05">
            <w:pPr>
              <w:rPr>
                <w:rFonts w:asciiTheme="majorEastAsia" w:hAnsiTheme="majorEastAsia" w:eastAsiaTheme="majorEastAsia" w:cstheme="majorEastAs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21AB18C">
            <w:pPr>
              <w:rPr>
                <w:rFonts w:asciiTheme="majorEastAsia" w:hAnsiTheme="majorEastAsia" w:eastAsiaTheme="majorEastAsia" w:cstheme="maj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F5D613D">
            <w:pPr>
              <w:rPr>
                <w:rFonts w:asciiTheme="majorEastAsia" w:hAnsiTheme="majorEastAsia" w:eastAsiaTheme="majorEastAsia" w:cstheme="majorEastAsia"/>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3BB8ED8">
            <w:pPr>
              <w:rPr>
                <w:rFonts w:asciiTheme="majorEastAsia" w:hAnsiTheme="majorEastAsia" w:eastAsiaTheme="majorEastAsia" w:cstheme="majorEastAs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55720C1">
            <w:pPr>
              <w:rPr>
                <w:rFonts w:asciiTheme="majorEastAsia" w:hAnsiTheme="majorEastAsia" w:eastAsiaTheme="majorEastAsia" w:cstheme="maj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283C7F">
            <w:pPr>
              <w:rPr>
                <w:rFonts w:asciiTheme="majorEastAsia" w:hAnsiTheme="majorEastAsia" w:eastAsiaTheme="majorEastAsia" w:cstheme="maj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10E885">
            <w:pPr>
              <w:rPr>
                <w:rFonts w:asciiTheme="majorEastAsia" w:hAnsiTheme="majorEastAsia" w:eastAsiaTheme="majorEastAsia" w:cstheme="majorEastAsia"/>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9C5C6A4">
            <w:pPr>
              <w:rPr>
                <w:rFonts w:asciiTheme="majorEastAsia" w:hAnsiTheme="majorEastAsia" w:eastAsiaTheme="majorEastAsia" w:cstheme="majorEastAsia"/>
                <w:color w:val="auto"/>
                <w:szCs w:val="21"/>
                <w:highlight w:val="none"/>
              </w:rPr>
            </w:pPr>
          </w:p>
        </w:tc>
      </w:tr>
    </w:tbl>
    <w:p w14:paraId="6D3777BA">
      <w:pPr>
        <w:pStyle w:val="47"/>
        <w:spacing w:line="24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w:t>
      </w:r>
    </w:p>
    <w:p w14:paraId="29F3EA64">
      <w:pPr>
        <w:pStyle w:val="18"/>
        <w:spacing w:line="240" w:lineRule="auto"/>
        <w:rPr>
          <w:rFonts w:asciiTheme="majorEastAsia" w:hAnsiTheme="majorEastAsia" w:eastAsiaTheme="majorEastAsia" w:cstheme="majorEastAsia"/>
          <w:color w:val="auto"/>
          <w:szCs w:val="32"/>
          <w:highlight w:val="none"/>
        </w:rPr>
      </w:pPr>
      <w:r>
        <w:rPr>
          <w:rFonts w:hint="eastAsia" w:asciiTheme="majorEastAsia" w:hAnsiTheme="majorEastAsia" w:eastAsiaTheme="majorEastAsia" w:cstheme="majorEastAsia"/>
          <w:color w:val="auto"/>
          <w:sz w:val="24"/>
          <w:highlight w:val="none"/>
        </w:rPr>
        <w:t>1. 说明：应对照招标文件“第二章 采购需求”中的“设备性能参数”或“服务内容及技术要求”逐条作明确的投标响应，并作出偏离说明。</w:t>
      </w:r>
    </w:p>
    <w:p w14:paraId="2DDA5268">
      <w:pPr>
        <w:pStyle w:val="47"/>
        <w:spacing w:line="240" w:lineRule="auto"/>
        <w:rPr>
          <w:rFonts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highlight w:val="none"/>
        </w:rPr>
        <w:t>2.投标人根据投标货物的性能指标，对照招标文件技术要求，在“偏离说明”中注明“</w:t>
      </w:r>
      <w:r>
        <w:rPr>
          <w:rFonts w:hint="eastAsia" w:asciiTheme="majorEastAsia" w:hAnsiTheme="majorEastAsia" w:eastAsiaTheme="majorEastAsia" w:cstheme="majorEastAsia"/>
          <w:color w:val="auto"/>
          <w:highlight w:val="none"/>
        </w:rPr>
        <w:t>正偏离</w:t>
      </w:r>
      <w:r>
        <w:rPr>
          <w:rFonts w:hint="eastAsia" w:asciiTheme="majorEastAsia" w:hAnsiTheme="majorEastAsia" w:eastAsiaTheme="majorEastAsia" w:cstheme="majorEastAsia"/>
          <w:b w:val="0"/>
          <w:bCs w:val="0"/>
          <w:color w:val="auto"/>
          <w:highlight w:val="none"/>
        </w:rPr>
        <w:t>”、“</w:t>
      </w:r>
      <w:r>
        <w:rPr>
          <w:rFonts w:hint="eastAsia" w:asciiTheme="majorEastAsia" w:hAnsiTheme="majorEastAsia" w:eastAsiaTheme="majorEastAsia" w:cstheme="majorEastAsia"/>
          <w:color w:val="auto"/>
          <w:highlight w:val="none"/>
        </w:rPr>
        <w:t>负偏离</w:t>
      </w:r>
      <w:r>
        <w:rPr>
          <w:rFonts w:hint="eastAsia" w:asciiTheme="majorEastAsia" w:hAnsiTheme="majorEastAsia" w:eastAsiaTheme="majorEastAsia" w:cstheme="majorEastAsia"/>
          <w:b w:val="0"/>
          <w:bCs w:val="0"/>
          <w:color w:val="auto"/>
          <w:highlight w:val="none"/>
        </w:rPr>
        <w:t>”或者“</w:t>
      </w:r>
      <w:r>
        <w:rPr>
          <w:rFonts w:hint="eastAsia" w:asciiTheme="majorEastAsia" w:hAnsiTheme="majorEastAsia" w:eastAsiaTheme="majorEastAsia" w:cstheme="majorEastAsia"/>
          <w:color w:val="auto"/>
          <w:highlight w:val="none"/>
        </w:rPr>
        <w:t>无偏离</w:t>
      </w:r>
      <w:r>
        <w:rPr>
          <w:rFonts w:hint="eastAsia" w:asciiTheme="majorEastAsia" w:hAnsiTheme="majorEastAsia" w:eastAsiaTheme="majorEastAsia" w:cstheme="majorEastAsia"/>
          <w:b w:val="0"/>
          <w:bCs w:val="0"/>
          <w:color w:val="auto"/>
          <w:highlight w:val="none"/>
        </w:rPr>
        <w:t>”。既不属于“</w:t>
      </w:r>
      <w:r>
        <w:rPr>
          <w:rFonts w:hint="eastAsia" w:asciiTheme="majorEastAsia" w:hAnsiTheme="majorEastAsia" w:eastAsiaTheme="majorEastAsia" w:cstheme="majorEastAsia"/>
          <w:color w:val="auto"/>
          <w:highlight w:val="none"/>
        </w:rPr>
        <w:t>正偏离</w:t>
      </w:r>
      <w:r>
        <w:rPr>
          <w:rFonts w:hint="eastAsia" w:asciiTheme="majorEastAsia" w:hAnsiTheme="majorEastAsia" w:eastAsiaTheme="majorEastAsia" w:cstheme="majorEastAsia"/>
          <w:b w:val="0"/>
          <w:bCs w:val="0"/>
          <w:color w:val="auto"/>
          <w:highlight w:val="none"/>
        </w:rPr>
        <w:t>”也不属于“</w:t>
      </w:r>
      <w:r>
        <w:rPr>
          <w:rFonts w:hint="eastAsia" w:asciiTheme="majorEastAsia" w:hAnsiTheme="majorEastAsia" w:eastAsiaTheme="majorEastAsia" w:cstheme="majorEastAsia"/>
          <w:color w:val="auto"/>
          <w:highlight w:val="none"/>
        </w:rPr>
        <w:t>负偏离</w:t>
      </w:r>
      <w:r>
        <w:rPr>
          <w:rFonts w:hint="eastAsia" w:asciiTheme="majorEastAsia" w:hAnsiTheme="majorEastAsia" w:eastAsiaTheme="majorEastAsia" w:cstheme="majorEastAsia"/>
          <w:b w:val="0"/>
          <w:bCs w:val="0"/>
          <w:color w:val="auto"/>
          <w:highlight w:val="none"/>
        </w:rPr>
        <w:t>”即为“</w:t>
      </w:r>
      <w:r>
        <w:rPr>
          <w:rFonts w:hint="eastAsia" w:asciiTheme="majorEastAsia" w:hAnsiTheme="majorEastAsia" w:eastAsiaTheme="majorEastAsia" w:cstheme="majorEastAsia"/>
          <w:color w:val="auto"/>
          <w:highlight w:val="none"/>
        </w:rPr>
        <w:t>无偏离</w:t>
      </w:r>
      <w:r>
        <w:rPr>
          <w:rFonts w:hint="eastAsia" w:asciiTheme="majorEastAsia" w:hAnsiTheme="majorEastAsia" w:eastAsiaTheme="majorEastAsia" w:cstheme="majorEastAsia"/>
          <w:b w:val="0"/>
          <w:bCs w:val="0"/>
          <w:color w:val="auto"/>
          <w:highlight w:val="none"/>
        </w:rPr>
        <w:t>”。</w:t>
      </w:r>
    </w:p>
    <w:p w14:paraId="6FAFE13A">
      <w:pPr>
        <w:pStyle w:val="18"/>
        <w:spacing w:line="24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1A8A0B33">
      <w:pPr>
        <w:pStyle w:val="18"/>
        <w:spacing w:line="24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 如技术要求偏离表中的投标响应与佐证材料不一致的，以佐证材料为准。</w:t>
      </w:r>
    </w:p>
    <w:p w14:paraId="2D2EA37F">
      <w:pPr>
        <w:snapToGrid w:val="0"/>
        <w:spacing w:before="50" w:after="50" w:line="360" w:lineRule="auto"/>
        <w:rPr>
          <w:rFonts w:asciiTheme="majorEastAsia" w:hAnsiTheme="majorEastAsia" w:eastAsiaTheme="majorEastAsia" w:cstheme="majorEastAsia"/>
          <w:color w:val="auto"/>
          <w:spacing w:val="20"/>
          <w:sz w:val="24"/>
          <w:highlight w:val="none"/>
          <w:u w:val="single"/>
        </w:rPr>
      </w:pPr>
      <w:r>
        <w:rPr>
          <w:rFonts w:hint="eastAsia" w:asciiTheme="majorEastAsia" w:hAnsiTheme="majorEastAsia" w:eastAsiaTheme="majorEastAsia" w:cstheme="majorEastAsia"/>
          <w:color w:val="auto"/>
          <w:sz w:val="24"/>
          <w:highlight w:val="none"/>
        </w:rPr>
        <w:t>法定代表人或者委托代理人</w:t>
      </w:r>
      <w:r>
        <w:rPr>
          <w:rFonts w:hint="eastAsia" w:asciiTheme="majorEastAsia" w:hAnsiTheme="majorEastAsia" w:eastAsiaTheme="majorEastAsia" w:cstheme="majorEastAsia"/>
          <w:color w:val="auto"/>
          <w:spacing w:val="20"/>
          <w:sz w:val="24"/>
          <w:highlight w:val="none"/>
        </w:rPr>
        <w:t>（签字）：</w:t>
      </w:r>
      <w:r>
        <w:rPr>
          <w:rFonts w:hint="eastAsia" w:asciiTheme="majorEastAsia" w:hAnsiTheme="majorEastAsia" w:eastAsiaTheme="majorEastAsia" w:cstheme="majorEastAsia"/>
          <w:color w:val="auto"/>
          <w:spacing w:val="20"/>
          <w:sz w:val="24"/>
          <w:highlight w:val="none"/>
          <w:u w:val="single"/>
        </w:rPr>
        <w:t xml:space="preserve">        </w:t>
      </w:r>
    </w:p>
    <w:p w14:paraId="790885AC">
      <w:pPr>
        <w:snapToGrid w:val="0"/>
        <w:spacing w:before="50" w:after="50" w:line="360" w:lineRule="auto"/>
        <w:rPr>
          <w:rFonts w:asciiTheme="majorEastAsia" w:hAnsiTheme="majorEastAsia" w:eastAsiaTheme="majorEastAsia" w:cstheme="majorEastAsia"/>
          <w:color w:val="auto"/>
          <w:spacing w:val="20"/>
          <w:sz w:val="24"/>
          <w:highlight w:val="none"/>
        </w:rPr>
      </w:pPr>
      <w:r>
        <w:rPr>
          <w:rFonts w:hint="eastAsia" w:asciiTheme="majorEastAsia" w:hAnsiTheme="majorEastAsia" w:eastAsiaTheme="majorEastAsia" w:cstheme="majorEastAsia"/>
          <w:color w:val="auto"/>
          <w:spacing w:val="20"/>
          <w:sz w:val="24"/>
          <w:highlight w:val="none"/>
        </w:rPr>
        <w:t>投标人名称（电子签章）：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w:t>
      </w:r>
    </w:p>
    <w:p w14:paraId="63F4E9CE">
      <w:pPr>
        <w:snapToGrid w:val="0"/>
        <w:spacing w:before="50" w:after="50" w:line="360" w:lineRule="auto"/>
        <w:rPr>
          <w:rFonts w:asciiTheme="majorEastAsia" w:hAnsiTheme="majorEastAsia" w:eastAsiaTheme="majorEastAsia" w:cstheme="majorEastAsia"/>
          <w:color w:val="auto"/>
          <w:spacing w:val="20"/>
          <w:sz w:val="24"/>
          <w:highlight w:val="none"/>
          <w:u w:val="single"/>
        </w:rPr>
      </w:pPr>
      <w:r>
        <w:rPr>
          <w:rFonts w:hint="eastAsia" w:asciiTheme="majorEastAsia" w:hAnsiTheme="majorEastAsia" w:eastAsiaTheme="majorEastAsia" w:cstheme="majorEastAsia"/>
          <w:color w:val="auto"/>
          <w:spacing w:val="20"/>
          <w:sz w:val="24"/>
          <w:highlight w:val="none"/>
        </w:rPr>
        <w:t>日 期：</w:t>
      </w:r>
      <w:r>
        <w:rPr>
          <w:rFonts w:hint="eastAsia" w:asciiTheme="majorEastAsia" w:hAnsiTheme="majorEastAsia" w:eastAsiaTheme="majorEastAsia" w:cstheme="majorEastAsia"/>
          <w:color w:val="auto"/>
          <w:spacing w:val="20"/>
          <w:sz w:val="24"/>
          <w:highlight w:val="none"/>
          <w:u w:val="single"/>
        </w:rPr>
        <w:t xml:space="preserve">          </w:t>
      </w:r>
    </w:p>
    <w:p w14:paraId="3279D66A">
      <w:pPr>
        <w:snapToGrid w:val="0"/>
        <w:spacing w:before="120" w:beforeLines="50" w:after="50"/>
        <w:ind w:left="142"/>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p>
    <w:p w14:paraId="5D1F9DD2">
      <w:pPr>
        <w:snapToGrid w:val="0"/>
        <w:spacing w:before="120" w:beforeLines="50" w:after="50"/>
        <w:ind w:left="142"/>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5. </w:t>
      </w:r>
      <w:bookmarkStart w:id="204" w:name="OLE_LINK63"/>
      <w:r>
        <w:rPr>
          <w:rFonts w:hint="eastAsia" w:asciiTheme="majorEastAsia" w:hAnsiTheme="majorEastAsia" w:eastAsiaTheme="majorEastAsia" w:cstheme="majorEastAsia"/>
          <w:b/>
          <w:color w:val="auto"/>
          <w:sz w:val="24"/>
          <w:highlight w:val="none"/>
        </w:rPr>
        <w:t>项目实施人员</w:t>
      </w:r>
      <w:bookmarkEnd w:id="204"/>
      <w:r>
        <w:rPr>
          <w:rFonts w:hint="eastAsia" w:asciiTheme="majorEastAsia" w:hAnsiTheme="majorEastAsia" w:eastAsiaTheme="majorEastAsia" w:cstheme="majorEastAsia"/>
          <w:b/>
          <w:color w:val="auto"/>
          <w:sz w:val="24"/>
          <w:highlight w:val="none"/>
        </w:rPr>
        <w:t>一览表格式</w:t>
      </w:r>
    </w:p>
    <w:p w14:paraId="10B43F76">
      <w:pPr>
        <w:snapToGrid w:val="0"/>
        <w:spacing w:before="120" w:beforeLines="50" w:after="50"/>
        <w:ind w:left="142"/>
        <w:jc w:val="left"/>
        <w:rPr>
          <w:rFonts w:asciiTheme="majorEastAsia" w:hAnsiTheme="majorEastAsia" w:eastAsiaTheme="majorEastAsia" w:cstheme="majorEastAsia"/>
          <w:b/>
          <w:color w:val="auto"/>
          <w:sz w:val="24"/>
          <w:highlight w:val="none"/>
        </w:rPr>
      </w:pPr>
    </w:p>
    <w:p w14:paraId="79BC12D5">
      <w:pPr>
        <w:snapToGrid w:val="0"/>
        <w:spacing w:before="120" w:beforeLines="50" w:after="50"/>
        <w:ind w:left="142"/>
        <w:jc w:val="center"/>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项目实施人员一览表</w:t>
      </w:r>
    </w:p>
    <w:p w14:paraId="29267A18">
      <w:pPr>
        <w:pStyle w:val="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所投分标：</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分标</w:t>
      </w:r>
    </w:p>
    <w:tbl>
      <w:tblPr>
        <w:tblStyle w:val="50"/>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16"/>
        <w:gridCol w:w="2205"/>
        <w:gridCol w:w="1350"/>
      </w:tblGrid>
      <w:tr w14:paraId="6E7F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7D5079">
            <w:pPr>
              <w:snapToGrid w:val="0"/>
              <w:spacing w:before="50" w:after="120" w:afterLines="50"/>
              <w:jc w:val="center"/>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姓名</w:t>
            </w:r>
          </w:p>
        </w:tc>
        <w:tc>
          <w:tcPr>
            <w:tcW w:w="709" w:type="dxa"/>
            <w:vAlign w:val="center"/>
          </w:tcPr>
          <w:p w14:paraId="7569EC77">
            <w:pPr>
              <w:snapToGrid w:val="0"/>
              <w:spacing w:before="50" w:after="120" w:afterLines="50"/>
              <w:jc w:val="center"/>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职务</w:t>
            </w:r>
          </w:p>
        </w:tc>
        <w:tc>
          <w:tcPr>
            <w:tcW w:w="3316" w:type="dxa"/>
            <w:vAlign w:val="center"/>
          </w:tcPr>
          <w:p w14:paraId="11AF4ACE">
            <w:pPr>
              <w:snapToGrid w:val="0"/>
              <w:spacing w:before="50" w:after="120" w:afterLines="50"/>
              <w:jc w:val="center"/>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专业技术资格（职称）或者职业资格或者执业资格证或者其他证书</w:t>
            </w:r>
          </w:p>
        </w:tc>
        <w:tc>
          <w:tcPr>
            <w:tcW w:w="2205" w:type="dxa"/>
            <w:vAlign w:val="center"/>
          </w:tcPr>
          <w:p w14:paraId="64D9501B">
            <w:pPr>
              <w:snapToGrid w:val="0"/>
              <w:spacing w:before="50" w:after="120" w:afterLines="50"/>
              <w:jc w:val="center"/>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证书编号</w:t>
            </w:r>
          </w:p>
        </w:tc>
        <w:tc>
          <w:tcPr>
            <w:tcW w:w="1350" w:type="dxa"/>
            <w:vAlign w:val="center"/>
          </w:tcPr>
          <w:p w14:paraId="739DE422">
            <w:pPr>
              <w:snapToGrid w:val="0"/>
              <w:spacing w:before="50" w:after="120" w:afterLines="50"/>
              <w:jc w:val="center"/>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备注</w:t>
            </w:r>
          </w:p>
        </w:tc>
      </w:tr>
      <w:tr w14:paraId="6E86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C71B00">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709" w:type="dxa"/>
            <w:vAlign w:val="center"/>
          </w:tcPr>
          <w:p w14:paraId="125ACF63">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3316" w:type="dxa"/>
            <w:vAlign w:val="center"/>
          </w:tcPr>
          <w:p w14:paraId="5D8013DF">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2205" w:type="dxa"/>
            <w:vAlign w:val="center"/>
          </w:tcPr>
          <w:p w14:paraId="3BFD72BB">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1350" w:type="dxa"/>
            <w:vAlign w:val="center"/>
          </w:tcPr>
          <w:p w14:paraId="6C63D12E">
            <w:pPr>
              <w:snapToGrid w:val="0"/>
              <w:spacing w:before="50" w:after="120" w:afterLines="50"/>
              <w:jc w:val="center"/>
              <w:rPr>
                <w:rFonts w:asciiTheme="majorEastAsia" w:hAnsiTheme="majorEastAsia" w:eastAsiaTheme="majorEastAsia" w:cstheme="majorEastAsia"/>
                <w:color w:val="auto"/>
                <w:sz w:val="24"/>
                <w:szCs w:val="20"/>
                <w:highlight w:val="none"/>
              </w:rPr>
            </w:pPr>
          </w:p>
        </w:tc>
      </w:tr>
      <w:tr w14:paraId="5C1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611D49">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709" w:type="dxa"/>
            <w:vAlign w:val="center"/>
          </w:tcPr>
          <w:p w14:paraId="557F0060">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3316" w:type="dxa"/>
            <w:vAlign w:val="center"/>
          </w:tcPr>
          <w:p w14:paraId="545C0DB7">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2205" w:type="dxa"/>
            <w:vAlign w:val="center"/>
          </w:tcPr>
          <w:p w14:paraId="5BEEA779">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1350" w:type="dxa"/>
            <w:vAlign w:val="center"/>
          </w:tcPr>
          <w:p w14:paraId="560EBDEE">
            <w:pPr>
              <w:snapToGrid w:val="0"/>
              <w:spacing w:before="50" w:after="120" w:afterLines="50"/>
              <w:jc w:val="center"/>
              <w:rPr>
                <w:rFonts w:asciiTheme="majorEastAsia" w:hAnsiTheme="majorEastAsia" w:eastAsiaTheme="majorEastAsia" w:cstheme="majorEastAsia"/>
                <w:color w:val="auto"/>
                <w:sz w:val="24"/>
                <w:szCs w:val="20"/>
                <w:highlight w:val="none"/>
              </w:rPr>
            </w:pPr>
          </w:p>
        </w:tc>
      </w:tr>
      <w:tr w14:paraId="3149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D93F53">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709" w:type="dxa"/>
            <w:vAlign w:val="center"/>
          </w:tcPr>
          <w:p w14:paraId="4623226B">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3316" w:type="dxa"/>
            <w:vAlign w:val="center"/>
          </w:tcPr>
          <w:p w14:paraId="2EB5A9F9">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2205" w:type="dxa"/>
            <w:vAlign w:val="center"/>
          </w:tcPr>
          <w:p w14:paraId="71B6DFE1">
            <w:pPr>
              <w:snapToGrid w:val="0"/>
              <w:spacing w:before="50" w:after="120" w:afterLines="50"/>
              <w:jc w:val="center"/>
              <w:rPr>
                <w:rFonts w:asciiTheme="majorEastAsia" w:hAnsiTheme="majorEastAsia" w:eastAsiaTheme="majorEastAsia" w:cstheme="majorEastAsia"/>
                <w:color w:val="auto"/>
                <w:sz w:val="24"/>
                <w:szCs w:val="20"/>
                <w:highlight w:val="none"/>
              </w:rPr>
            </w:pPr>
          </w:p>
        </w:tc>
        <w:tc>
          <w:tcPr>
            <w:tcW w:w="1350" w:type="dxa"/>
            <w:vAlign w:val="center"/>
          </w:tcPr>
          <w:p w14:paraId="4988CEDE">
            <w:pPr>
              <w:snapToGrid w:val="0"/>
              <w:spacing w:before="50" w:after="120" w:afterLines="50"/>
              <w:jc w:val="center"/>
              <w:rPr>
                <w:rFonts w:asciiTheme="majorEastAsia" w:hAnsiTheme="majorEastAsia" w:eastAsiaTheme="majorEastAsia" w:cstheme="majorEastAsia"/>
                <w:color w:val="auto"/>
                <w:sz w:val="24"/>
                <w:szCs w:val="20"/>
                <w:highlight w:val="none"/>
              </w:rPr>
            </w:pPr>
          </w:p>
        </w:tc>
      </w:tr>
    </w:tbl>
    <w:p w14:paraId="7F924AB0">
      <w:pPr>
        <w:snapToGrid w:val="0"/>
        <w:spacing w:before="50" w:after="120" w:afterLines="50"/>
        <w:jc w:val="left"/>
        <w:rPr>
          <w:rFonts w:asciiTheme="majorEastAsia" w:hAnsiTheme="majorEastAsia" w:eastAsiaTheme="majorEastAsia" w:cstheme="majorEastAsia"/>
          <w:color w:val="auto"/>
          <w:sz w:val="24"/>
          <w:szCs w:val="20"/>
          <w:highlight w:val="none"/>
        </w:rPr>
      </w:pPr>
    </w:p>
    <w:p w14:paraId="7E2DF722">
      <w:pPr>
        <w:spacing w:line="360" w:lineRule="auto"/>
        <w:contextualSpacing/>
        <w:jc w:val="left"/>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注：</w:t>
      </w:r>
    </w:p>
    <w:p w14:paraId="744879A8">
      <w:pPr>
        <w:spacing w:line="360" w:lineRule="auto"/>
        <w:contextualSpacing/>
        <w:jc w:val="left"/>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1.在填写时，如本表格不适合投标单位的实际情况，可根据本表格式自行制表填写。</w:t>
      </w:r>
    </w:p>
    <w:p w14:paraId="3012E277">
      <w:pPr>
        <w:spacing w:line="360" w:lineRule="auto"/>
        <w:contextualSpacing/>
        <w:jc w:val="left"/>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2.投标人应当附本表所列证书的复印件并加盖投标人公章。</w:t>
      </w:r>
    </w:p>
    <w:p w14:paraId="3B179950">
      <w:pPr>
        <w:spacing w:line="360" w:lineRule="auto"/>
        <w:contextualSpacing/>
        <w:rPr>
          <w:rFonts w:asciiTheme="majorEastAsia" w:hAnsiTheme="majorEastAsia" w:eastAsiaTheme="majorEastAsia" w:cstheme="majorEastAsia"/>
          <w:color w:val="auto"/>
          <w:sz w:val="24"/>
          <w:highlight w:val="none"/>
        </w:rPr>
      </w:pPr>
    </w:p>
    <w:p w14:paraId="03D245BE">
      <w:pPr>
        <w:spacing w:line="360" w:lineRule="auto"/>
        <w:contextualSpacing/>
        <w:rPr>
          <w:rFonts w:asciiTheme="majorEastAsia" w:hAnsiTheme="majorEastAsia" w:eastAsiaTheme="majorEastAsia" w:cstheme="majorEastAsia"/>
          <w:color w:val="auto"/>
          <w:sz w:val="24"/>
          <w:highlight w:val="none"/>
        </w:rPr>
      </w:pPr>
    </w:p>
    <w:p w14:paraId="7ADFBB61">
      <w:pPr>
        <w:spacing w:line="360" w:lineRule="auto"/>
        <w:contextualSpacing/>
        <w:rPr>
          <w:rFonts w:asciiTheme="majorEastAsia" w:hAnsiTheme="majorEastAsia" w:eastAsiaTheme="majorEastAsia" w:cstheme="majorEastAsia"/>
          <w:color w:val="auto"/>
          <w:spacing w:val="20"/>
          <w:sz w:val="24"/>
          <w:szCs w:val="20"/>
          <w:highlight w:val="none"/>
          <w:u w:val="single"/>
        </w:rPr>
      </w:pPr>
      <w:r>
        <w:rPr>
          <w:rFonts w:hint="eastAsia" w:asciiTheme="majorEastAsia" w:hAnsiTheme="majorEastAsia" w:eastAsiaTheme="majorEastAsia" w:cstheme="majorEastAsia"/>
          <w:color w:val="auto"/>
          <w:sz w:val="24"/>
          <w:highlight w:val="none"/>
        </w:rPr>
        <w:t>法定代表人或者委托代理人</w:t>
      </w:r>
      <w:r>
        <w:rPr>
          <w:rFonts w:hint="eastAsia" w:asciiTheme="majorEastAsia" w:hAnsiTheme="majorEastAsia" w:eastAsiaTheme="majorEastAsia" w:cstheme="majorEastAsia"/>
          <w:color w:val="auto"/>
          <w:spacing w:val="20"/>
          <w:sz w:val="24"/>
          <w:highlight w:val="none"/>
        </w:rPr>
        <w:t>（签字）：</w:t>
      </w:r>
      <w:r>
        <w:rPr>
          <w:rFonts w:hint="eastAsia" w:asciiTheme="majorEastAsia" w:hAnsiTheme="majorEastAsia" w:eastAsiaTheme="majorEastAsia" w:cstheme="majorEastAsia"/>
          <w:color w:val="auto"/>
          <w:spacing w:val="20"/>
          <w:sz w:val="24"/>
          <w:highlight w:val="none"/>
          <w:u w:val="single"/>
        </w:rPr>
        <w:t xml:space="preserve">        </w:t>
      </w:r>
    </w:p>
    <w:p w14:paraId="60012A34">
      <w:pPr>
        <w:spacing w:line="360" w:lineRule="auto"/>
        <w:contextualSpacing/>
        <w:jc w:val="left"/>
        <w:rPr>
          <w:rFonts w:asciiTheme="majorEastAsia" w:hAnsiTheme="majorEastAsia" w:eastAsiaTheme="majorEastAsia" w:cstheme="majorEastAsia"/>
          <w:color w:val="auto"/>
          <w:spacing w:val="20"/>
          <w:sz w:val="24"/>
          <w:highlight w:val="none"/>
        </w:rPr>
      </w:pPr>
      <w:r>
        <w:rPr>
          <w:rFonts w:hint="eastAsia" w:asciiTheme="majorEastAsia" w:hAnsiTheme="majorEastAsia" w:eastAsiaTheme="majorEastAsia" w:cstheme="majorEastAsia"/>
          <w:color w:val="auto"/>
          <w:spacing w:val="20"/>
          <w:sz w:val="24"/>
          <w:highlight w:val="none"/>
        </w:rPr>
        <w:t>投标人名称（电子签章）：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w:t>
      </w:r>
    </w:p>
    <w:p w14:paraId="67A95EDA">
      <w:pPr>
        <w:spacing w:line="360" w:lineRule="auto"/>
        <w:contextualSpacing/>
        <w:jc w:val="left"/>
        <w:rPr>
          <w:rFonts w:asciiTheme="majorEastAsia" w:hAnsiTheme="majorEastAsia" w:eastAsiaTheme="majorEastAsia" w:cstheme="majorEastAsia"/>
          <w:color w:val="auto"/>
          <w:spacing w:val="20"/>
          <w:sz w:val="24"/>
          <w:highlight w:val="none"/>
        </w:rPr>
      </w:pPr>
    </w:p>
    <w:p w14:paraId="7D322481">
      <w:pPr>
        <w:spacing w:line="360" w:lineRule="auto"/>
        <w:contextualSpacing/>
        <w:jc w:val="left"/>
        <w:rPr>
          <w:rFonts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pacing w:val="20"/>
          <w:sz w:val="24"/>
          <w:highlight w:val="none"/>
        </w:rPr>
        <w:t>日 期：</w:t>
      </w:r>
      <w:r>
        <w:rPr>
          <w:rFonts w:hint="eastAsia" w:asciiTheme="majorEastAsia" w:hAnsiTheme="majorEastAsia" w:eastAsiaTheme="majorEastAsia" w:cstheme="majorEastAsia"/>
          <w:color w:val="auto"/>
          <w:spacing w:val="20"/>
          <w:sz w:val="24"/>
          <w:highlight w:val="none"/>
          <w:u w:val="single"/>
        </w:rPr>
        <w:t xml:space="preserve">         </w:t>
      </w:r>
    </w:p>
    <w:p w14:paraId="3ED4252D">
      <w:pPr>
        <w:snapToGrid w:val="0"/>
        <w:spacing w:before="50" w:after="120" w:afterLines="50"/>
        <w:jc w:val="left"/>
        <w:rPr>
          <w:rFonts w:asciiTheme="majorEastAsia" w:hAnsiTheme="majorEastAsia" w:eastAsiaTheme="majorEastAsia" w:cstheme="majorEastAsia"/>
          <w:color w:val="auto"/>
          <w:sz w:val="24"/>
          <w:szCs w:val="20"/>
          <w:highlight w:val="none"/>
        </w:rPr>
      </w:pPr>
    </w:p>
    <w:p w14:paraId="5A6E0199">
      <w:pP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28"/>
          <w:szCs w:val="28"/>
          <w:highlight w:val="none"/>
        </w:rPr>
        <w:t>五、其他文书、文件格式</w:t>
      </w:r>
    </w:p>
    <w:p w14:paraId="22E8D675">
      <w:pPr>
        <w:overflowPunct w:val="0"/>
        <w:spacing w:line="360" w:lineRule="auto"/>
        <w:contextualSpacing/>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pacing w:val="20"/>
          <w:sz w:val="24"/>
          <w:highlight w:val="none"/>
        </w:rPr>
        <w:t>1、</w:t>
      </w:r>
      <w:r>
        <w:rPr>
          <w:rFonts w:hint="eastAsia" w:asciiTheme="majorEastAsia" w:hAnsiTheme="majorEastAsia" w:eastAsiaTheme="majorEastAsia" w:cstheme="majorEastAsia"/>
          <w:b/>
          <w:color w:val="auto"/>
          <w:sz w:val="24"/>
          <w:highlight w:val="none"/>
        </w:rPr>
        <w:t>中小企业声明函格式</w:t>
      </w:r>
    </w:p>
    <w:p w14:paraId="45691E65">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分标1/分标2：</w:t>
      </w:r>
    </w:p>
    <w:p w14:paraId="46734D71">
      <w:pPr>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中小企业声明函（货物）</w:t>
      </w:r>
    </w:p>
    <w:p w14:paraId="5FB02765">
      <w:pPr>
        <w:spacing w:before="2" w:line="500" w:lineRule="exact"/>
        <w:rPr>
          <w:rFonts w:asciiTheme="majorEastAsia" w:hAnsiTheme="majorEastAsia" w:eastAsiaTheme="majorEastAsia" w:cstheme="majorEastAsia"/>
          <w:b/>
          <w:bCs/>
          <w:color w:val="auto"/>
          <w:sz w:val="27"/>
          <w:szCs w:val="27"/>
          <w:highlight w:val="none"/>
        </w:rPr>
      </w:pPr>
    </w:p>
    <w:p w14:paraId="7E0D5D66">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color w:val="auto"/>
          <w:kern w:val="24"/>
          <w:highlight w:val="none"/>
          <w:u w:val="single"/>
        </w:rPr>
        <w:t>（单位名称）</w:t>
      </w:r>
      <w:r>
        <w:rPr>
          <w:rFonts w:hint="eastAsia" w:asciiTheme="majorEastAsia" w:hAnsiTheme="majorEastAsia" w:eastAsiaTheme="majorEastAsia" w:cstheme="majorEastAsia"/>
          <w:color w:val="auto"/>
          <w:kern w:val="24"/>
          <w:highlight w:val="none"/>
        </w:rPr>
        <w:t>的</w:t>
      </w:r>
      <w:r>
        <w:rPr>
          <w:rFonts w:hint="eastAsia" w:asciiTheme="majorEastAsia" w:hAnsiTheme="majorEastAsia" w:eastAsiaTheme="majorEastAsia" w:cstheme="majorEastAsia"/>
          <w:color w:val="auto"/>
          <w:kern w:val="24"/>
          <w:highlight w:val="none"/>
          <w:u w:val="single"/>
        </w:rPr>
        <w:t>（项目名称）</w:t>
      </w:r>
      <w:r>
        <w:rPr>
          <w:rFonts w:hint="eastAsia" w:asciiTheme="majorEastAsia" w:hAnsiTheme="majorEastAsia" w:eastAsiaTheme="majorEastAsia" w:cstheme="majorEastAsia"/>
          <w:color w:val="auto"/>
          <w:kern w:val="24"/>
          <w:highlight w:val="none"/>
        </w:rPr>
        <w:t>采购活动，提供的货物全部由符合政策要求的中小企业制造。相关企业（含联合体中的中小企业、签订分包意向协议的中小企业）的具体情况如下：</w:t>
      </w:r>
    </w:p>
    <w:p w14:paraId="0BED9AA0">
      <w:pPr>
        <w:tabs>
          <w:tab w:val="left" w:pos="1384"/>
          <w:tab w:val="left" w:pos="4562"/>
          <w:tab w:val="left" w:pos="6803"/>
        </w:tabs>
        <w:spacing w:line="360" w:lineRule="auto"/>
        <w:ind w:left="-426" w:right="-58" w:firstLine="655"/>
        <w:contextualSpacing/>
        <w:rPr>
          <w:rFonts w:asciiTheme="majorEastAsia" w:hAnsiTheme="majorEastAsia" w:eastAsiaTheme="majorEastAsia" w:cstheme="majorEastAsia"/>
          <w:color w:val="auto"/>
          <w:kern w:val="24"/>
          <w:sz w:val="24"/>
          <w:highlight w:val="none"/>
        </w:rPr>
      </w:pPr>
      <w:r>
        <w:rPr>
          <w:rFonts w:hint="eastAsia" w:asciiTheme="majorEastAsia" w:hAnsiTheme="majorEastAsia" w:eastAsiaTheme="majorEastAsia" w:cstheme="majorEastAsia"/>
          <w:color w:val="auto"/>
          <w:kern w:val="24"/>
          <w:sz w:val="24"/>
          <w:highlight w:val="none"/>
        </w:rPr>
        <w:t>1.</w:t>
      </w:r>
      <w:r>
        <w:rPr>
          <w:rFonts w:hint="eastAsia" w:asciiTheme="majorEastAsia" w:hAnsiTheme="majorEastAsia" w:eastAsiaTheme="majorEastAsia" w:cstheme="majorEastAsia"/>
          <w:color w:val="auto"/>
          <w:kern w:val="24"/>
          <w:sz w:val="24"/>
          <w:highlight w:val="none"/>
          <w:u w:val="single"/>
        </w:rPr>
        <w:t>（标的名称）</w:t>
      </w:r>
      <w:r>
        <w:rPr>
          <w:rFonts w:hint="eastAsia" w:asciiTheme="majorEastAsia" w:hAnsiTheme="majorEastAsia" w:eastAsiaTheme="majorEastAsia" w:cstheme="majorEastAsia"/>
          <w:color w:val="auto"/>
          <w:kern w:val="24"/>
          <w:sz w:val="24"/>
          <w:highlight w:val="none"/>
        </w:rPr>
        <w:t>，属于</w:t>
      </w:r>
      <w:r>
        <w:rPr>
          <w:rFonts w:hint="eastAsia" w:asciiTheme="majorEastAsia" w:hAnsiTheme="majorEastAsia" w:eastAsiaTheme="majorEastAsia" w:cstheme="majorEastAsia"/>
          <w:color w:val="auto"/>
          <w:kern w:val="24"/>
          <w:sz w:val="24"/>
          <w:highlight w:val="none"/>
          <w:u w:val="single"/>
        </w:rPr>
        <w:t>（采购文件中明确的所属行业）</w:t>
      </w:r>
      <w:r>
        <w:rPr>
          <w:rFonts w:hint="eastAsia" w:asciiTheme="majorEastAsia" w:hAnsiTheme="majorEastAsia" w:eastAsiaTheme="majorEastAsia" w:cstheme="majorEastAsia"/>
          <w:color w:val="auto"/>
          <w:kern w:val="24"/>
          <w:sz w:val="24"/>
          <w:highlight w:val="none"/>
        </w:rPr>
        <w:t>行业；制造商为</w:t>
      </w:r>
      <w:r>
        <w:rPr>
          <w:rFonts w:hint="eastAsia" w:asciiTheme="majorEastAsia" w:hAnsiTheme="majorEastAsia" w:eastAsiaTheme="majorEastAsia" w:cstheme="majorEastAsia"/>
          <w:color w:val="auto"/>
          <w:kern w:val="24"/>
          <w:sz w:val="24"/>
          <w:highlight w:val="none"/>
          <w:u w:val="single"/>
        </w:rPr>
        <w:t>（企业名称）</w:t>
      </w:r>
      <w:r>
        <w:rPr>
          <w:rFonts w:hint="eastAsia" w:asciiTheme="majorEastAsia" w:hAnsiTheme="majorEastAsia" w:eastAsiaTheme="majorEastAsia" w:cstheme="majorEastAsia"/>
          <w:color w:val="auto"/>
          <w:kern w:val="24"/>
          <w:sz w:val="24"/>
          <w:highlight w:val="none"/>
        </w:rPr>
        <w:t>，从业人员</w:t>
      </w:r>
      <w:r>
        <w:rPr>
          <w:rFonts w:hint="eastAsia" w:asciiTheme="majorEastAsia" w:hAnsiTheme="majorEastAsia" w:eastAsiaTheme="majorEastAsia" w:cstheme="majorEastAsia"/>
          <w:color w:val="auto"/>
          <w:kern w:val="24"/>
          <w:sz w:val="24"/>
          <w:highlight w:val="none"/>
          <w:u w:val="single"/>
        </w:rPr>
        <w:t xml:space="preserve">      </w:t>
      </w:r>
      <w:r>
        <w:rPr>
          <w:rFonts w:hint="eastAsia" w:asciiTheme="majorEastAsia" w:hAnsiTheme="majorEastAsia" w:eastAsiaTheme="majorEastAsia" w:cstheme="majorEastAsia"/>
          <w:color w:val="auto"/>
          <w:kern w:val="24"/>
          <w:sz w:val="24"/>
          <w:highlight w:val="none"/>
        </w:rPr>
        <w:t>人，营业收入为</w:t>
      </w:r>
      <w:r>
        <w:rPr>
          <w:rFonts w:hint="eastAsia" w:asciiTheme="majorEastAsia" w:hAnsiTheme="majorEastAsia" w:eastAsiaTheme="majorEastAsia" w:cstheme="majorEastAsia"/>
          <w:color w:val="auto"/>
          <w:kern w:val="24"/>
          <w:sz w:val="24"/>
          <w:highlight w:val="none"/>
          <w:u w:val="single"/>
        </w:rPr>
        <w:t xml:space="preserve">      </w:t>
      </w:r>
      <w:r>
        <w:rPr>
          <w:rFonts w:hint="eastAsia" w:asciiTheme="majorEastAsia" w:hAnsiTheme="majorEastAsia" w:eastAsiaTheme="majorEastAsia" w:cstheme="majorEastAsia"/>
          <w:color w:val="auto"/>
          <w:kern w:val="24"/>
          <w:sz w:val="24"/>
          <w:highlight w:val="none"/>
        </w:rPr>
        <w:t>万元，资产总额为</w:t>
      </w:r>
      <w:r>
        <w:rPr>
          <w:rFonts w:hint="eastAsia" w:asciiTheme="majorEastAsia" w:hAnsiTheme="majorEastAsia" w:eastAsiaTheme="majorEastAsia" w:cstheme="majorEastAsia"/>
          <w:color w:val="auto"/>
          <w:kern w:val="24"/>
          <w:sz w:val="24"/>
          <w:highlight w:val="none"/>
          <w:u w:val="single"/>
        </w:rPr>
        <w:t xml:space="preserve">      </w:t>
      </w:r>
      <w:r>
        <w:rPr>
          <w:rFonts w:hint="eastAsia" w:asciiTheme="majorEastAsia" w:hAnsiTheme="majorEastAsia" w:eastAsiaTheme="majorEastAsia" w:cstheme="majorEastAsia"/>
          <w:color w:val="auto"/>
          <w:kern w:val="24"/>
          <w:sz w:val="24"/>
          <w:highlight w:val="none"/>
        </w:rPr>
        <w:t>万元，属于</w:t>
      </w:r>
      <w:r>
        <w:rPr>
          <w:rFonts w:hint="eastAsia" w:asciiTheme="majorEastAsia" w:hAnsiTheme="majorEastAsia" w:eastAsiaTheme="majorEastAsia" w:cstheme="majorEastAsia"/>
          <w:color w:val="auto"/>
          <w:kern w:val="24"/>
          <w:sz w:val="24"/>
          <w:highlight w:val="none"/>
          <w:u w:val="single"/>
        </w:rPr>
        <w:t>（中型企业、小型企业、微型企业）</w:t>
      </w:r>
      <w:r>
        <w:rPr>
          <w:rFonts w:hint="eastAsia" w:asciiTheme="majorEastAsia" w:hAnsiTheme="majorEastAsia" w:eastAsiaTheme="majorEastAsia" w:cstheme="majorEastAsia"/>
          <w:color w:val="auto"/>
          <w:kern w:val="24"/>
          <w:sz w:val="24"/>
          <w:highlight w:val="none"/>
        </w:rPr>
        <w:t>；</w:t>
      </w:r>
    </w:p>
    <w:p w14:paraId="2525517F">
      <w:pPr>
        <w:tabs>
          <w:tab w:val="left" w:pos="1065"/>
          <w:tab w:val="left" w:pos="6477"/>
        </w:tabs>
        <w:spacing w:line="360" w:lineRule="auto"/>
        <w:ind w:left="-426" w:right="-58" w:firstLine="655"/>
        <w:contextualSpacing/>
        <w:rPr>
          <w:rFonts w:asciiTheme="majorEastAsia" w:hAnsiTheme="majorEastAsia" w:eastAsiaTheme="majorEastAsia" w:cstheme="majorEastAsia"/>
          <w:color w:val="auto"/>
          <w:kern w:val="24"/>
          <w:sz w:val="24"/>
          <w:highlight w:val="none"/>
        </w:rPr>
      </w:pPr>
      <w:r>
        <w:rPr>
          <w:rFonts w:hint="eastAsia" w:asciiTheme="majorEastAsia" w:hAnsiTheme="majorEastAsia" w:eastAsiaTheme="majorEastAsia" w:cstheme="majorEastAsia"/>
          <w:color w:val="auto"/>
          <w:kern w:val="24"/>
          <w:sz w:val="24"/>
          <w:highlight w:val="none"/>
        </w:rPr>
        <w:t>2.</w:t>
      </w:r>
      <w:r>
        <w:rPr>
          <w:rFonts w:hint="eastAsia" w:asciiTheme="majorEastAsia" w:hAnsiTheme="majorEastAsia" w:eastAsiaTheme="majorEastAsia" w:cstheme="majorEastAsia"/>
          <w:color w:val="auto"/>
          <w:kern w:val="24"/>
          <w:sz w:val="24"/>
          <w:highlight w:val="none"/>
          <w:u w:val="single"/>
        </w:rPr>
        <w:t>（标的名称）</w:t>
      </w:r>
      <w:r>
        <w:rPr>
          <w:rFonts w:hint="eastAsia" w:asciiTheme="majorEastAsia" w:hAnsiTheme="majorEastAsia" w:eastAsiaTheme="majorEastAsia" w:cstheme="majorEastAsia"/>
          <w:color w:val="auto"/>
          <w:kern w:val="24"/>
          <w:sz w:val="24"/>
          <w:highlight w:val="none"/>
        </w:rPr>
        <w:t>，属于</w:t>
      </w:r>
      <w:r>
        <w:rPr>
          <w:rFonts w:hint="eastAsia" w:asciiTheme="majorEastAsia" w:hAnsiTheme="majorEastAsia" w:eastAsiaTheme="majorEastAsia" w:cstheme="majorEastAsia"/>
          <w:color w:val="auto"/>
          <w:kern w:val="24"/>
          <w:sz w:val="24"/>
          <w:highlight w:val="none"/>
          <w:u w:val="single"/>
        </w:rPr>
        <w:t>（采购文件中明确的所属行业）</w:t>
      </w:r>
      <w:r>
        <w:rPr>
          <w:rFonts w:hint="eastAsia" w:asciiTheme="majorEastAsia" w:hAnsiTheme="majorEastAsia" w:eastAsiaTheme="majorEastAsia" w:cstheme="majorEastAsia"/>
          <w:color w:val="auto"/>
          <w:kern w:val="24"/>
          <w:sz w:val="24"/>
          <w:highlight w:val="none"/>
        </w:rPr>
        <w:t>行业；制造商为</w:t>
      </w:r>
      <w:r>
        <w:rPr>
          <w:rFonts w:hint="eastAsia" w:asciiTheme="majorEastAsia" w:hAnsiTheme="majorEastAsia" w:eastAsiaTheme="majorEastAsia" w:cstheme="majorEastAsia"/>
          <w:color w:val="auto"/>
          <w:kern w:val="24"/>
          <w:sz w:val="24"/>
          <w:highlight w:val="none"/>
          <w:u w:val="single"/>
        </w:rPr>
        <w:t>（企业名称）</w:t>
      </w:r>
      <w:r>
        <w:rPr>
          <w:rFonts w:hint="eastAsia" w:asciiTheme="majorEastAsia" w:hAnsiTheme="majorEastAsia" w:eastAsiaTheme="majorEastAsia" w:cstheme="majorEastAsia"/>
          <w:color w:val="auto"/>
          <w:kern w:val="24"/>
          <w:sz w:val="24"/>
          <w:highlight w:val="none"/>
        </w:rPr>
        <w:t>，从业人员</w:t>
      </w:r>
      <w:r>
        <w:rPr>
          <w:rFonts w:hint="eastAsia" w:asciiTheme="majorEastAsia" w:hAnsiTheme="majorEastAsia" w:eastAsiaTheme="majorEastAsia" w:cstheme="majorEastAsia"/>
          <w:color w:val="auto"/>
          <w:kern w:val="24"/>
          <w:sz w:val="24"/>
          <w:highlight w:val="none"/>
          <w:u w:val="single"/>
        </w:rPr>
        <w:t xml:space="preserve">      </w:t>
      </w:r>
      <w:r>
        <w:rPr>
          <w:rFonts w:hint="eastAsia" w:asciiTheme="majorEastAsia" w:hAnsiTheme="majorEastAsia" w:eastAsiaTheme="majorEastAsia" w:cstheme="majorEastAsia"/>
          <w:color w:val="auto"/>
          <w:kern w:val="24"/>
          <w:sz w:val="24"/>
          <w:highlight w:val="none"/>
        </w:rPr>
        <w:t>人，营业收入为</w:t>
      </w:r>
      <w:r>
        <w:rPr>
          <w:rFonts w:hint="eastAsia" w:asciiTheme="majorEastAsia" w:hAnsiTheme="majorEastAsia" w:eastAsiaTheme="majorEastAsia" w:cstheme="majorEastAsia"/>
          <w:color w:val="auto"/>
          <w:kern w:val="24"/>
          <w:sz w:val="24"/>
          <w:highlight w:val="none"/>
          <w:u w:val="single"/>
        </w:rPr>
        <w:t xml:space="preserve">      </w:t>
      </w:r>
      <w:r>
        <w:rPr>
          <w:rFonts w:hint="eastAsia" w:asciiTheme="majorEastAsia" w:hAnsiTheme="majorEastAsia" w:eastAsiaTheme="majorEastAsia" w:cstheme="majorEastAsia"/>
          <w:color w:val="auto"/>
          <w:kern w:val="24"/>
          <w:sz w:val="24"/>
          <w:highlight w:val="none"/>
        </w:rPr>
        <w:t>万元，资产总额为</w:t>
      </w:r>
      <w:r>
        <w:rPr>
          <w:rFonts w:hint="eastAsia" w:asciiTheme="majorEastAsia" w:hAnsiTheme="majorEastAsia" w:eastAsiaTheme="majorEastAsia" w:cstheme="majorEastAsia"/>
          <w:color w:val="auto"/>
          <w:kern w:val="24"/>
          <w:sz w:val="24"/>
          <w:highlight w:val="none"/>
          <w:u w:val="single"/>
        </w:rPr>
        <w:t xml:space="preserve">      </w:t>
      </w:r>
      <w:r>
        <w:rPr>
          <w:rFonts w:hint="eastAsia" w:asciiTheme="majorEastAsia" w:hAnsiTheme="majorEastAsia" w:eastAsiaTheme="majorEastAsia" w:cstheme="majorEastAsia"/>
          <w:color w:val="auto"/>
          <w:kern w:val="24"/>
          <w:sz w:val="24"/>
          <w:highlight w:val="none"/>
        </w:rPr>
        <w:t>万元，属于</w:t>
      </w:r>
      <w:r>
        <w:rPr>
          <w:rFonts w:hint="eastAsia" w:asciiTheme="majorEastAsia" w:hAnsiTheme="majorEastAsia" w:eastAsiaTheme="majorEastAsia" w:cstheme="majorEastAsia"/>
          <w:color w:val="auto"/>
          <w:kern w:val="24"/>
          <w:sz w:val="24"/>
          <w:highlight w:val="none"/>
          <w:u w:val="single"/>
        </w:rPr>
        <w:t>（中型企业、小型企业、微型企业）</w:t>
      </w:r>
      <w:r>
        <w:rPr>
          <w:rFonts w:hint="eastAsia" w:asciiTheme="majorEastAsia" w:hAnsiTheme="majorEastAsia" w:eastAsiaTheme="majorEastAsia" w:cstheme="majorEastAsia"/>
          <w:color w:val="auto"/>
          <w:kern w:val="24"/>
          <w:sz w:val="24"/>
          <w:highlight w:val="none"/>
        </w:rPr>
        <w:t>；</w:t>
      </w:r>
    </w:p>
    <w:p w14:paraId="3FCFB564">
      <w:pPr>
        <w:spacing w:line="360" w:lineRule="auto"/>
        <w:ind w:left="142" w:right="142"/>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 xml:space="preserve">…… </w:t>
      </w:r>
    </w:p>
    <w:p w14:paraId="45A69032">
      <w:pPr>
        <w:spacing w:line="360" w:lineRule="auto"/>
        <w:ind w:left="-405" w:leftChars="-193" w:right="142" w:firstLine="396" w:firstLineChars="189"/>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以上企业，不属于大企业的分支机构，不存在控股股东为大企业的情形，也不存在与大企业的负责人为同一人的情形。</w:t>
      </w:r>
    </w:p>
    <w:p w14:paraId="3475758C">
      <w:pPr>
        <w:spacing w:line="360" w:lineRule="auto"/>
        <w:ind w:left="-426" w:right="142" w:firstLine="567"/>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本企业对上述声明内容的真实性负责。如有虚假，将依法承担相应责任。</w:t>
      </w:r>
    </w:p>
    <w:p w14:paraId="7A9219AC">
      <w:pPr>
        <w:spacing w:line="360" w:lineRule="auto"/>
        <w:ind w:left="3960" w:right="1808"/>
        <w:contextualSpacing/>
        <w:rPr>
          <w:rFonts w:asciiTheme="majorEastAsia" w:hAnsiTheme="majorEastAsia" w:eastAsiaTheme="majorEastAsia" w:cstheme="majorEastAsia"/>
          <w:color w:val="auto"/>
          <w:kern w:val="24"/>
          <w:highlight w:val="none"/>
        </w:rPr>
      </w:pPr>
    </w:p>
    <w:p w14:paraId="041071F1">
      <w:pPr>
        <w:spacing w:line="360" w:lineRule="auto"/>
        <w:ind w:left="3960" w:right="1808"/>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 xml:space="preserve">企业名称（章）： </w:t>
      </w:r>
    </w:p>
    <w:p w14:paraId="6C08A7E4">
      <w:pPr>
        <w:spacing w:line="360" w:lineRule="auto"/>
        <w:ind w:left="3960" w:right="1808"/>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日 期：</w:t>
      </w:r>
    </w:p>
    <w:p w14:paraId="65438E05">
      <w:pPr>
        <w:spacing w:line="360" w:lineRule="auto"/>
        <w:ind w:left="-426" w:right="142" w:firstLine="567"/>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08523572">
      <w:pPr>
        <w:snapToGrid w:val="0"/>
        <w:spacing w:before="120" w:beforeLines="50" w:after="50"/>
        <w:ind w:left="142"/>
        <w:jc w:val="left"/>
        <w:rPr>
          <w:rFonts w:asciiTheme="majorEastAsia" w:hAnsiTheme="majorEastAsia" w:eastAsiaTheme="majorEastAsia" w:cstheme="majorEastAsia"/>
          <w:b/>
          <w:color w:val="auto"/>
          <w:sz w:val="24"/>
          <w:highlight w:val="none"/>
        </w:rPr>
      </w:pPr>
    </w:p>
    <w:p w14:paraId="497293A0">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分标3：</w:t>
      </w:r>
    </w:p>
    <w:p w14:paraId="2DA9E2E1">
      <w:pPr>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中小企业声明函（工程、服务）</w:t>
      </w:r>
    </w:p>
    <w:p w14:paraId="7BF74B13">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p>
    <w:p w14:paraId="6FC5D130">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kern w:val="24"/>
          <w:highlight w:val="none"/>
          <w:u w:val="single"/>
        </w:rPr>
        <w:t>（单位名称）</w:t>
      </w:r>
      <w:r>
        <w:rPr>
          <w:rFonts w:hint="eastAsia" w:asciiTheme="majorEastAsia" w:hAnsiTheme="majorEastAsia" w:eastAsiaTheme="majorEastAsia" w:cstheme="majorEastAsia"/>
          <w:color w:val="auto"/>
          <w:kern w:val="24"/>
          <w:highlight w:val="none"/>
        </w:rPr>
        <w:t>的</w:t>
      </w:r>
      <w:r>
        <w:rPr>
          <w:rFonts w:hint="eastAsia" w:asciiTheme="majorEastAsia" w:hAnsiTheme="majorEastAsia" w:eastAsiaTheme="majorEastAsia" w:cstheme="majorEastAsia"/>
          <w:color w:val="auto"/>
          <w:kern w:val="24"/>
          <w:highlight w:val="none"/>
          <w:u w:val="single"/>
        </w:rPr>
        <w:t>（项目名称）</w:t>
      </w:r>
      <w:r>
        <w:rPr>
          <w:rFonts w:hint="eastAsia" w:asciiTheme="majorEastAsia" w:hAnsiTheme="majorEastAsia" w:eastAsiaTheme="majorEastAsia" w:cstheme="majorEastAsia"/>
          <w:color w:val="auto"/>
          <w:kern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55AC45">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 xml:space="preserve">1. </w:t>
      </w:r>
      <w:r>
        <w:rPr>
          <w:rFonts w:hint="eastAsia" w:asciiTheme="majorEastAsia" w:hAnsiTheme="majorEastAsia" w:eastAsiaTheme="majorEastAsia" w:cstheme="majorEastAsia"/>
          <w:color w:val="auto"/>
          <w:kern w:val="24"/>
          <w:highlight w:val="none"/>
          <w:u w:val="single"/>
        </w:rPr>
        <w:t>（标的名称）</w:t>
      </w:r>
      <w:r>
        <w:rPr>
          <w:rFonts w:hint="eastAsia" w:asciiTheme="majorEastAsia" w:hAnsiTheme="majorEastAsia" w:eastAsiaTheme="majorEastAsia" w:cstheme="majorEastAsia"/>
          <w:color w:val="auto"/>
          <w:kern w:val="24"/>
          <w:highlight w:val="none"/>
        </w:rPr>
        <w:t>，属于</w:t>
      </w:r>
      <w:r>
        <w:rPr>
          <w:rFonts w:hint="eastAsia" w:asciiTheme="majorEastAsia" w:hAnsiTheme="majorEastAsia" w:eastAsiaTheme="majorEastAsia" w:cstheme="majorEastAsia"/>
          <w:color w:val="auto"/>
          <w:kern w:val="24"/>
          <w:highlight w:val="none"/>
          <w:u w:val="single"/>
        </w:rPr>
        <w:t>（采购文件中明确的所属行业）</w:t>
      </w:r>
      <w:r>
        <w:rPr>
          <w:rFonts w:hint="eastAsia" w:asciiTheme="majorEastAsia" w:hAnsiTheme="majorEastAsia" w:eastAsiaTheme="majorEastAsia" w:cstheme="majorEastAsia"/>
          <w:color w:val="auto"/>
          <w:kern w:val="24"/>
          <w:highlight w:val="none"/>
        </w:rPr>
        <w:t>行业；承建（承接）企业为</w:t>
      </w:r>
      <w:r>
        <w:rPr>
          <w:rFonts w:hint="eastAsia" w:asciiTheme="majorEastAsia" w:hAnsiTheme="majorEastAsia" w:eastAsiaTheme="majorEastAsia" w:cstheme="majorEastAsia"/>
          <w:color w:val="auto"/>
          <w:kern w:val="24"/>
          <w:highlight w:val="none"/>
          <w:u w:val="single"/>
        </w:rPr>
        <w:t>（企业名称）</w:t>
      </w:r>
      <w:r>
        <w:rPr>
          <w:rFonts w:hint="eastAsia" w:asciiTheme="majorEastAsia" w:hAnsiTheme="majorEastAsia" w:eastAsiaTheme="majorEastAsia" w:cstheme="majorEastAsia"/>
          <w:color w:val="auto"/>
          <w:kern w:val="24"/>
          <w:highlight w:val="none"/>
        </w:rPr>
        <w:t>，从业人员</w:t>
      </w:r>
      <w:r>
        <w:rPr>
          <w:rFonts w:hint="eastAsia" w:asciiTheme="majorEastAsia" w:hAnsiTheme="majorEastAsia" w:eastAsiaTheme="majorEastAsia" w:cstheme="majorEastAsia"/>
          <w:color w:val="auto"/>
          <w:kern w:val="24"/>
          <w:highlight w:val="none"/>
          <w:u w:val="single"/>
        </w:rPr>
        <w:t xml:space="preserve">    </w:t>
      </w:r>
      <w:r>
        <w:rPr>
          <w:rFonts w:hint="eastAsia" w:asciiTheme="majorEastAsia" w:hAnsiTheme="majorEastAsia" w:eastAsiaTheme="majorEastAsia" w:cstheme="majorEastAsia"/>
          <w:color w:val="auto"/>
          <w:kern w:val="24"/>
          <w:highlight w:val="none"/>
        </w:rPr>
        <w:t>人，营业收入为</w:t>
      </w:r>
      <w:r>
        <w:rPr>
          <w:rFonts w:hint="eastAsia" w:asciiTheme="majorEastAsia" w:hAnsiTheme="majorEastAsia" w:eastAsiaTheme="majorEastAsia" w:cstheme="majorEastAsia"/>
          <w:color w:val="auto"/>
          <w:kern w:val="24"/>
          <w:highlight w:val="none"/>
          <w:u w:val="single"/>
        </w:rPr>
        <w:t xml:space="preserve">    </w:t>
      </w:r>
      <w:r>
        <w:rPr>
          <w:rFonts w:hint="eastAsia" w:asciiTheme="majorEastAsia" w:hAnsiTheme="majorEastAsia" w:eastAsiaTheme="majorEastAsia" w:cstheme="majorEastAsia"/>
          <w:color w:val="auto"/>
          <w:kern w:val="24"/>
          <w:highlight w:val="none"/>
        </w:rPr>
        <w:t>万元，资产总额为</w:t>
      </w:r>
      <w:r>
        <w:rPr>
          <w:rFonts w:hint="eastAsia" w:asciiTheme="majorEastAsia" w:hAnsiTheme="majorEastAsia" w:eastAsiaTheme="majorEastAsia" w:cstheme="majorEastAsia"/>
          <w:color w:val="auto"/>
          <w:kern w:val="24"/>
          <w:highlight w:val="none"/>
          <w:u w:val="single"/>
        </w:rPr>
        <w:t xml:space="preserve">    </w:t>
      </w:r>
      <w:r>
        <w:rPr>
          <w:rFonts w:hint="eastAsia" w:asciiTheme="majorEastAsia" w:hAnsiTheme="majorEastAsia" w:eastAsiaTheme="majorEastAsia" w:cstheme="majorEastAsia"/>
          <w:color w:val="auto"/>
          <w:kern w:val="24"/>
          <w:highlight w:val="none"/>
        </w:rPr>
        <w:t>万元，属于</w:t>
      </w:r>
      <w:r>
        <w:rPr>
          <w:rFonts w:hint="eastAsia" w:asciiTheme="majorEastAsia" w:hAnsiTheme="majorEastAsia" w:eastAsiaTheme="majorEastAsia" w:cstheme="majorEastAsia"/>
          <w:color w:val="auto"/>
          <w:kern w:val="24"/>
          <w:highlight w:val="none"/>
          <w:u w:val="single"/>
        </w:rPr>
        <w:t>（中型企业、小型企业、微型企业）</w:t>
      </w:r>
      <w:r>
        <w:rPr>
          <w:rFonts w:hint="eastAsia" w:asciiTheme="majorEastAsia" w:hAnsiTheme="majorEastAsia" w:eastAsiaTheme="majorEastAsia" w:cstheme="majorEastAsia"/>
          <w:color w:val="auto"/>
          <w:kern w:val="24"/>
          <w:highlight w:val="none"/>
        </w:rPr>
        <w:t>；</w:t>
      </w:r>
    </w:p>
    <w:p w14:paraId="625A799C">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 xml:space="preserve"> 2. </w:t>
      </w:r>
      <w:r>
        <w:rPr>
          <w:rFonts w:hint="eastAsia" w:asciiTheme="majorEastAsia" w:hAnsiTheme="majorEastAsia" w:eastAsiaTheme="majorEastAsia" w:cstheme="majorEastAsia"/>
          <w:color w:val="auto"/>
          <w:kern w:val="24"/>
          <w:highlight w:val="none"/>
          <w:u w:val="single"/>
        </w:rPr>
        <w:t>（标的名称）</w:t>
      </w:r>
      <w:r>
        <w:rPr>
          <w:rFonts w:hint="eastAsia" w:asciiTheme="majorEastAsia" w:hAnsiTheme="majorEastAsia" w:eastAsiaTheme="majorEastAsia" w:cstheme="majorEastAsia"/>
          <w:color w:val="auto"/>
          <w:kern w:val="24"/>
          <w:highlight w:val="none"/>
        </w:rPr>
        <w:t>，属于</w:t>
      </w:r>
      <w:r>
        <w:rPr>
          <w:rFonts w:hint="eastAsia" w:asciiTheme="majorEastAsia" w:hAnsiTheme="majorEastAsia" w:eastAsiaTheme="majorEastAsia" w:cstheme="majorEastAsia"/>
          <w:color w:val="auto"/>
          <w:kern w:val="24"/>
          <w:highlight w:val="none"/>
          <w:u w:val="single"/>
        </w:rPr>
        <w:t>（采购文件中明确的所属行业）</w:t>
      </w:r>
      <w:r>
        <w:rPr>
          <w:rFonts w:hint="eastAsia" w:asciiTheme="majorEastAsia" w:hAnsiTheme="majorEastAsia" w:eastAsiaTheme="majorEastAsia" w:cstheme="majorEastAsia"/>
          <w:color w:val="auto"/>
          <w:kern w:val="24"/>
          <w:highlight w:val="none"/>
        </w:rPr>
        <w:t>行业；承建（承接）企业为</w:t>
      </w:r>
      <w:r>
        <w:rPr>
          <w:rFonts w:hint="eastAsia" w:asciiTheme="majorEastAsia" w:hAnsiTheme="majorEastAsia" w:eastAsiaTheme="majorEastAsia" w:cstheme="majorEastAsia"/>
          <w:color w:val="auto"/>
          <w:kern w:val="24"/>
          <w:highlight w:val="none"/>
          <w:u w:val="single"/>
        </w:rPr>
        <w:t>（企业名称）</w:t>
      </w:r>
      <w:r>
        <w:rPr>
          <w:rFonts w:hint="eastAsia" w:asciiTheme="majorEastAsia" w:hAnsiTheme="majorEastAsia" w:eastAsiaTheme="majorEastAsia" w:cstheme="majorEastAsia"/>
          <w:color w:val="auto"/>
          <w:kern w:val="24"/>
          <w:highlight w:val="none"/>
        </w:rPr>
        <w:t>，从业人员</w:t>
      </w:r>
      <w:r>
        <w:rPr>
          <w:rFonts w:hint="eastAsia" w:asciiTheme="majorEastAsia" w:hAnsiTheme="majorEastAsia" w:eastAsiaTheme="majorEastAsia" w:cstheme="majorEastAsia"/>
          <w:color w:val="auto"/>
          <w:kern w:val="24"/>
          <w:highlight w:val="none"/>
          <w:u w:val="single"/>
        </w:rPr>
        <w:t xml:space="preserve">    </w:t>
      </w:r>
      <w:r>
        <w:rPr>
          <w:rFonts w:hint="eastAsia" w:asciiTheme="majorEastAsia" w:hAnsiTheme="majorEastAsia" w:eastAsiaTheme="majorEastAsia" w:cstheme="majorEastAsia"/>
          <w:color w:val="auto"/>
          <w:kern w:val="24"/>
          <w:highlight w:val="none"/>
        </w:rPr>
        <w:t>人，营业收入为</w:t>
      </w:r>
      <w:r>
        <w:rPr>
          <w:rFonts w:hint="eastAsia" w:asciiTheme="majorEastAsia" w:hAnsiTheme="majorEastAsia" w:eastAsiaTheme="majorEastAsia" w:cstheme="majorEastAsia"/>
          <w:color w:val="auto"/>
          <w:kern w:val="24"/>
          <w:highlight w:val="none"/>
          <w:u w:val="single"/>
        </w:rPr>
        <w:t xml:space="preserve">    </w:t>
      </w:r>
      <w:r>
        <w:rPr>
          <w:rFonts w:hint="eastAsia" w:asciiTheme="majorEastAsia" w:hAnsiTheme="majorEastAsia" w:eastAsiaTheme="majorEastAsia" w:cstheme="majorEastAsia"/>
          <w:color w:val="auto"/>
          <w:kern w:val="24"/>
          <w:highlight w:val="none"/>
        </w:rPr>
        <w:t>万元，资产总额为</w:t>
      </w:r>
      <w:r>
        <w:rPr>
          <w:rFonts w:hint="eastAsia" w:asciiTheme="majorEastAsia" w:hAnsiTheme="majorEastAsia" w:eastAsiaTheme="majorEastAsia" w:cstheme="majorEastAsia"/>
          <w:color w:val="auto"/>
          <w:kern w:val="24"/>
          <w:highlight w:val="none"/>
          <w:u w:val="single"/>
        </w:rPr>
        <w:t xml:space="preserve">    </w:t>
      </w:r>
      <w:r>
        <w:rPr>
          <w:rFonts w:hint="eastAsia" w:asciiTheme="majorEastAsia" w:hAnsiTheme="majorEastAsia" w:eastAsiaTheme="majorEastAsia" w:cstheme="majorEastAsia"/>
          <w:color w:val="auto"/>
          <w:kern w:val="24"/>
          <w:highlight w:val="none"/>
        </w:rPr>
        <w:t>万元，属于</w:t>
      </w:r>
      <w:r>
        <w:rPr>
          <w:rFonts w:hint="eastAsia" w:asciiTheme="majorEastAsia" w:hAnsiTheme="majorEastAsia" w:eastAsiaTheme="majorEastAsia" w:cstheme="majorEastAsia"/>
          <w:color w:val="auto"/>
          <w:kern w:val="24"/>
          <w:highlight w:val="none"/>
          <w:u w:val="single"/>
        </w:rPr>
        <w:t>（中型企业、小型企业、微型企业）</w:t>
      </w:r>
      <w:r>
        <w:rPr>
          <w:rFonts w:hint="eastAsia" w:asciiTheme="majorEastAsia" w:hAnsiTheme="majorEastAsia" w:eastAsiaTheme="majorEastAsia" w:cstheme="majorEastAsia"/>
          <w:color w:val="auto"/>
          <w:kern w:val="24"/>
          <w:highlight w:val="none"/>
        </w:rPr>
        <w:t>；</w:t>
      </w:r>
    </w:p>
    <w:p w14:paraId="70C8FDF8">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 xml:space="preserve"> …… </w:t>
      </w:r>
    </w:p>
    <w:p w14:paraId="41EFFB1B">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以上企业，不属于大企业的分支机构，不存在控股股东为大企业的情形，也不存在与大企业的负责人为同一人的情形。</w:t>
      </w:r>
    </w:p>
    <w:p w14:paraId="081D0162">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本企业对上述声明内容的真实性负责。如有虚假，将依法承担相应责任。</w:t>
      </w:r>
    </w:p>
    <w:p w14:paraId="4DBA0EFD">
      <w:pPr>
        <w:spacing w:line="360" w:lineRule="auto"/>
        <w:ind w:left="-426" w:leftChars="-203" w:right="142" w:firstLine="420" w:firstLineChars="200"/>
        <w:contextualSpacing/>
        <w:rPr>
          <w:rFonts w:asciiTheme="majorEastAsia" w:hAnsiTheme="majorEastAsia" w:eastAsiaTheme="majorEastAsia" w:cstheme="majorEastAsia"/>
          <w:color w:val="auto"/>
          <w:kern w:val="24"/>
          <w:highlight w:val="none"/>
        </w:rPr>
      </w:pPr>
    </w:p>
    <w:p w14:paraId="08825E51">
      <w:pPr>
        <w:spacing w:line="360" w:lineRule="auto"/>
        <w:ind w:right="142" w:firstLine="3360" w:firstLineChars="16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 xml:space="preserve">企业名称（盖章）： </w:t>
      </w:r>
    </w:p>
    <w:p w14:paraId="3532803D">
      <w:pPr>
        <w:spacing w:line="360" w:lineRule="auto"/>
        <w:ind w:left="-426" w:leftChars="-203" w:right="142" w:firstLine="4200" w:firstLineChars="2000"/>
        <w:contextualSpacing/>
        <w:rPr>
          <w:rFonts w:asciiTheme="majorEastAsia" w:hAnsiTheme="majorEastAsia" w:eastAsiaTheme="majorEastAsia" w:cstheme="majorEastAsia"/>
          <w:color w:val="auto"/>
          <w:kern w:val="24"/>
          <w:highlight w:val="none"/>
        </w:rPr>
      </w:pPr>
      <w:r>
        <w:rPr>
          <w:rFonts w:hint="eastAsia" w:asciiTheme="majorEastAsia" w:hAnsiTheme="majorEastAsia" w:eastAsiaTheme="majorEastAsia" w:cstheme="majorEastAsia"/>
          <w:color w:val="auto"/>
          <w:kern w:val="24"/>
          <w:highlight w:val="none"/>
        </w:rPr>
        <w:t xml:space="preserve">日 期： </w:t>
      </w:r>
    </w:p>
    <w:p w14:paraId="2B97CFAB">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9C1413A">
      <w:pPr>
        <w:pStyle w:val="2"/>
        <w:jc w:val="left"/>
        <w:rPr>
          <w:rFonts w:asciiTheme="majorEastAsia" w:hAnsiTheme="majorEastAsia" w:eastAsiaTheme="majorEastAsia" w:cstheme="majorEastAsia"/>
          <w:color w:val="auto"/>
          <w:sz w:val="32"/>
          <w:szCs w:val="32"/>
          <w:highlight w:val="none"/>
        </w:rPr>
      </w:pPr>
    </w:p>
    <w:p w14:paraId="0E0E7C8D">
      <w:pPr>
        <w:pStyle w:val="2"/>
        <w:jc w:val="left"/>
        <w:rPr>
          <w:rFonts w:asciiTheme="majorEastAsia" w:hAnsiTheme="majorEastAsia" w:eastAsiaTheme="majorEastAsia" w:cstheme="majorEastAsia"/>
          <w:color w:val="auto"/>
          <w:sz w:val="32"/>
          <w:szCs w:val="32"/>
          <w:highlight w:val="none"/>
        </w:rPr>
      </w:pPr>
    </w:p>
    <w:p w14:paraId="353B5FAB">
      <w:pPr>
        <w:snapToGrid w:val="0"/>
        <w:spacing w:before="120" w:beforeLines="50" w:after="50"/>
        <w:ind w:left="142"/>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24"/>
          <w:highlight w:val="none"/>
        </w:rPr>
        <w:t>2、残疾人福利性单位声明函格式</w:t>
      </w:r>
    </w:p>
    <w:p w14:paraId="64C3F892">
      <w:pPr>
        <w:spacing w:line="588" w:lineRule="exact"/>
        <w:jc w:val="center"/>
        <w:rPr>
          <w:rFonts w:asciiTheme="majorEastAsia" w:hAnsiTheme="majorEastAsia" w:eastAsiaTheme="majorEastAsia" w:cstheme="majorEastAsia"/>
          <w:b/>
          <w:color w:val="auto"/>
          <w:spacing w:val="6"/>
          <w:sz w:val="32"/>
          <w:szCs w:val="32"/>
          <w:highlight w:val="none"/>
        </w:rPr>
      </w:pPr>
    </w:p>
    <w:p w14:paraId="553E55DE">
      <w:pPr>
        <w:spacing w:line="588" w:lineRule="exact"/>
        <w:jc w:val="center"/>
        <w:rPr>
          <w:rFonts w:asciiTheme="majorEastAsia" w:hAnsiTheme="majorEastAsia" w:eastAsiaTheme="majorEastAsia" w:cstheme="majorEastAsia"/>
          <w:bCs/>
          <w:color w:val="auto"/>
          <w:spacing w:val="6"/>
          <w:sz w:val="44"/>
          <w:szCs w:val="44"/>
          <w:highlight w:val="none"/>
        </w:rPr>
      </w:pPr>
      <w:r>
        <w:rPr>
          <w:rFonts w:hint="eastAsia" w:asciiTheme="majorEastAsia" w:hAnsiTheme="majorEastAsia" w:eastAsiaTheme="majorEastAsia" w:cstheme="majorEastAsia"/>
          <w:bCs/>
          <w:color w:val="auto"/>
          <w:spacing w:val="6"/>
          <w:sz w:val="44"/>
          <w:szCs w:val="44"/>
          <w:highlight w:val="none"/>
        </w:rPr>
        <w:t>残疾人福利性单位声明函</w:t>
      </w:r>
    </w:p>
    <w:p w14:paraId="778FFD7A">
      <w:pPr>
        <w:spacing w:line="360" w:lineRule="auto"/>
        <w:contextualSpacing/>
        <w:rPr>
          <w:rFonts w:asciiTheme="majorEastAsia" w:hAnsiTheme="majorEastAsia" w:eastAsiaTheme="majorEastAsia" w:cstheme="majorEastAsia"/>
          <w:bCs/>
          <w:color w:val="auto"/>
          <w:spacing w:val="6"/>
          <w:sz w:val="30"/>
          <w:szCs w:val="30"/>
          <w:highlight w:val="none"/>
        </w:rPr>
      </w:pPr>
    </w:p>
    <w:p w14:paraId="412313B1">
      <w:pPr>
        <w:spacing w:line="360" w:lineRule="auto"/>
        <w:ind w:firstLine="504" w:firstLineChars="200"/>
        <w:contextualSpacing/>
        <w:rPr>
          <w:rFonts w:asciiTheme="majorEastAsia" w:hAnsiTheme="majorEastAsia" w:eastAsiaTheme="majorEastAsia" w:cstheme="majorEastAsia"/>
          <w:color w:val="auto"/>
          <w:spacing w:val="6"/>
          <w:sz w:val="24"/>
          <w:highlight w:val="none"/>
        </w:rPr>
      </w:pPr>
      <w:r>
        <w:rPr>
          <w:rFonts w:hint="eastAsia" w:asciiTheme="majorEastAsia" w:hAnsiTheme="majorEastAsia" w:eastAsiaTheme="majorEastAsia" w:cstheme="majorEastAsia"/>
          <w:color w:val="auto"/>
          <w:spacing w:val="6"/>
          <w:sz w:val="24"/>
          <w:highlight w:val="none"/>
        </w:rPr>
        <w:t>本单位郑重声明，根据《财政部 民政部 中国残疾人联合会关于促进残疾人就业政府采购政策的通知》（财库</w:t>
      </w:r>
      <w:r>
        <w:rPr>
          <w:rFonts w:hint="eastAsia" w:asciiTheme="majorEastAsia" w:hAnsiTheme="majorEastAsia" w:eastAsiaTheme="majorEastAsia" w:cstheme="majorEastAsia"/>
          <w:color w:val="auto"/>
          <w:sz w:val="24"/>
          <w:highlight w:val="none"/>
        </w:rPr>
        <w:t>〔2017〕 141</w:t>
      </w:r>
      <w:r>
        <w:rPr>
          <w:rFonts w:hint="eastAsia" w:asciiTheme="majorEastAsia" w:hAnsiTheme="majorEastAsia" w:eastAsiaTheme="majorEastAsia" w:cstheme="maj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Theme="majorEastAsia" w:hAnsiTheme="majorEastAsia" w:eastAsiaTheme="majorEastAsia" w:cstheme="majorEastAsia"/>
          <w:color w:val="auto"/>
          <w:spacing w:val="-6"/>
          <w:sz w:val="24"/>
          <w:highlight w:val="none"/>
        </w:rPr>
        <w:t>疾人福利性单位制造的货物（不包括使用非残疾人福利性单位注册商标的货物）。</w:t>
      </w:r>
    </w:p>
    <w:p w14:paraId="07DD0077">
      <w:pPr>
        <w:spacing w:line="360" w:lineRule="auto"/>
        <w:ind w:firstLine="504" w:firstLineChars="200"/>
        <w:contextualSpacing/>
        <w:rPr>
          <w:rFonts w:asciiTheme="majorEastAsia" w:hAnsiTheme="majorEastAsia" w:eastAsiaTheme="majorEastAsia" w:cstheme="majorEastAsia"/>
          <w:color w:val="auto"/>
          <w:spacing w:val="6"/>
          <w:sz w:val="24"/>
          <w:highlight w:val="none"/>
        </w:rPr>
      </w:pPr>
      <w:r>
        <w:rPr>
          <w:rFonts w:hint="eastAsia" w:asciiTheme="majorEastAsia" w:hAnsiTheme="majorEastAsia" w:eastAsiaTheme="majorEastAsia" w:cstheme="majorEastAsia"/>
          <w:color w:val="auto"/>
          <w:spacing w:val="6"/>
          <w:sz w:val="24"/>
          <w:highlight w:val="none"/>
        </w:rPr>
        <w:t>本单位对上述声明的真实性负责。如有虚假，将依法承担相应责任。</w:t>
      </w:r>
    </w:p>
    <w:p w14:paraId="1E903728">
      <w:pPr>
        <w:spacing w:line="360" w:lineRule="auto"/>
        <w:ind w:firstLine="504" w:firstLineChars="200"/>
        <w:contextualSpacing/>
        <w:rPr>
          <w:rFonts w:asciiTheme="majorEastAsia" w:hAnsiTheme="majorEastAsia" w:eastAsiaTheme="majorEastAsia" w:cstheme="majorEastAsia"/>
          <w:color w:val="auto"/>
          <w:spacing w:val="6"/>
          <w:sz w:val="24"/>
          <w:highlight w:val="none"/>
        </w:rPr>
      </w:pPr>
    </w:p>
    <w:p w14:paraId="73A7E928">
      <w:pPr>
        <w:spacing w:line="360" w:lineRule="auto"/>
        <w:ind w:firstLine="504" w:firstLineChars="200"/>
        <w:contextualSpacing/>
        <w:rPr>
          <w:rFonts w:asciiTheme="majorEastAsia" w:hAnsiTheme="majorEastAsia" w:eastAsiaTheme="majorEastAsia" w:cstheme="majorEastAsia"/>
          <w:color w:val="auto"/>
          <w:spacing w:val="6"/>
          <w:sz w:val="24"/>
          <w:highlight w:val="none"/>
        </w:rPr>
      </w:pPr>
    </w:p>
    <w:p w14:paraId="5AA07944">
      <w:pPr>
        <w:tabs>
          <w:tab w:val="left" w:pos="4860"/>
        </w:tabs>
        <w:spacing w:line="360" w:lineRule="auto"/>
        <w:ind w:right="1560" w:firstLine="504" w:firstLineChars="200"/>
        <w:contextualSpacing/>
        <w:jc w:val="center"/>
        <w:rPr>
          <w:rFonts w:asciiTheme="majorEastAsia" w:hAnsiTheme="majorEastAsia" w:eastAsiaTheme="majorEastAsia" w:cstheme="majorEastAsia"/>
          <w:color w:val="auto"/>
          <w:spacing w:val="6"/>
          <w:sz w:val="24"/>
          <w:highlight w:val="none"/>
        </w:rPr>
      </w:pPr>
      <w:r>
        <w:rPr>
          <w:rFonts w:hint="eastAsia" w:asciiTheme="majorEastAsia" w:hAnsiTheme="majorEastAsia" w:eastAsiaTheme="majorEastAsia" w:cstheme="majorEastAsia"/>
          <w:color w:val="auto"/>
          <w:spacing w:val="6"/>
          <w:sz w:val="24"/>
          <w:highlight w:val="none"/>
        </w:rPr>
        <w:t>单位名称（电子签章）：</w:t>
      </w:r>
    </w:p>
    <w:p w14:paraId="6F16EC27">
      <w:pPr>
        <w:tabs>
          <w:tab w:val="left" w:pos="4860"/>
        </w:tabs>
        <w:spacing w:line="360" w:lineRule="auto"/>
        <w:ind w:right="1560" w:firstLine="504" w:firstLineChars="200"/>
        <w:contextualSpacing/>
        <w:jc w:val="center"/>
        <w:rPr>
          <w:rFonts w:asciiTheme="majorEastAsia" w:hAnsiTheme="majorEastAsia" w:eastAsiaTheme="majorEastAsia" w:cstheme="majorEastAsia"/>
          <w:color w:val="auto"/>
          <w:spacing w:val="6"/>
          <w:sz w:val="24"/>
          <w:highlight w:val="none"/>
        </w:rPr>
      </w:pPr>
      <w:r>
        <w:rPr>
          <w:rFonts w:hint="eastAsia" w:asciiTheme="majorEastAsia" w:hAnsiTheme="majorEastAsia" w:eastAsiaTheme="majorEastAsia" w:cstheme="majorEastAsia"/>
          <w:color w:val="auto"/>
          <w:spacing w:val="6"/>
          <w:sz w:val="24"/>
          <w:highlight w:val="none"/>
        </w:rPr>
        <w:t>日  期：</w:t>
      </w:r>
    </w:p>
    <w:p w14:paraId="66D05264">
      <w:pPr>
        <w:spacing w:line="360" w:lineRule="auto"/>
        <w:contextualSpacing/>
        <w:rPr>
          <w:rFonts w:asciiTheme="majorEastAsia" w:hAnsiTheme="majorEastAsia" w:eastAsiaTheme="majorEastAsia" w:cstheme="majorEastAsia"/>
          <w:color w:val="auto"/>
          <w:sz w:val="24"/>
          <w:highlight w:val="none"/>
        </w:rPr>
      </w:pPr>
    </w:p>
    <w:p w14:paraId="5DB1793E">
      <w:pPr>
        <w:spacing w:line="360" w:lineRule="auto"/>
        <w:contextualSpacing/>
        <w:rPr>
          <w:rFonts w:asciiTheme="majorEastAsia" w:hAnsiTheme="majorEastAsia" w:eastAsiaTheme="majorEastAsia" w:cstheme="majorEastAsia"/>
          <w:color w:val="auto"/>
          <w:sz w:val="24"/>
          <w:highlight w:val="none"/>
        </w:rPr>
      </w:pPr>
    </w:p>
    <w:p w14:paraId="354A4188">
      <w:pPr>
        <w:spacing w:line="360" w:lineRule="auto"/>
        <w:contextualSpacing/>
        <w:rPr>
          <w:rFonts w:asciiTheme="majorEastAsia" w:hAnsiTheme="majorEastAsia" w:eastAsiaTheme="majorEastAsia" w:cstheme="majorEastAsia"/>
          <w:color w:val="auto"/>
          <w:sz w:val="24"/>
          <w:highlight w:val="none"/>
        </w:rPr>
      </w:pPr>
    </w:p>
    <w:p w14:paraId="7D2D4E54">
      <w:pPr>
        <w:spacing w:line="360" w:lineRule="auto"/>
        <w:contextualSpacing/>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1DE127A">
      <w:pPr>
        <w:spacing w:line="360" w:lineRule="auto"/>
        <w:jc w:val="left"/>
        <w:rPr>
          <w:rFonts w:asciiTheme="majorEastAsia" w:hAnsiTheme="majorEastAsia" w:eastAsiaTheme="majorEastAsia" w:cstheme="majorEastAsia"/>
          <w:color w:val="auto"/>
          <w:sz w:val="24"/>
          <w:highlight w:val="none"/>
        </w:rPr>
      </w:pPr>
      <w:r>
        <w:rPr>
          <w:rFonts w:ascii="仿宋" w:hAnsi="仿宋" w:eastAsia="仿宋"/>
          <w:color w:val="auto"/>
          <w:sz w:val="24"/>
          <w:highlight w:val="none"/>
        </w:rPr>
        <w:br w:type="page"/>
      </w:r>
      <w:r>
        <w:rPr>
          <w:rFonts w:hint="eastAsia" w:asciiTheme="majorEastAsia" w:hAnsiTheme="majorEastAsia" w:eastAsiaTheme="majorEastAsia" w:cstheme="majorEastAsia"/>
          <w:b/>
          <w:color w:val="auto"/>
          <w:sz w:val="24"/>
          <w:highlight w:val="none"/>
        </w:rPr>
        <w:t>3、质疑函格式</w:t>
      </w:r>
    </w:p>
    <w:p w14:paraId="2E7D1BB6">
      <w:pPr>
        <w:spacing w:line="360" w:lineRule="auto"/>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质疑函</w:t>
      </w:r>
    </w:p>
    <w:p w14:paraId="71ACBA90">
      <w:pPr>
        <w:pStyle w:val="2"/>
        <w:snapToGrid w:val="0"/>
        <w:spacing w:line="360" w:lineRule="auto"/>
        <w:ind w:firstLine="48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一、质疑供应商基本信息：</w:t>
      </w:r>
    </w:p>
    <w:p w14:paraId="550F3942">
      <w:pPr>
        <w:pStyle w:val="2"/>
        <w:snapToGrid w:val="0"/>
        <w:spacing w:line="360" w:lineRule="auto"/>
        <w:ind w:firstLine="48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质疑供应商：</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1B56799B">
      <w:pPr>
        <w:pStyle w:val="2"/>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地址：</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邮编：</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6BEC1A30">
      <w:pPr>
        <w:pStyle w:val="2"/>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联系人：</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联系电话：</w:t>
      </w:r>
      <w:r>
        <w:rPr>
          <w:rFonts w:hint="eastAsia" w:asciiTheme="majorEastAsia" w:hAnsiTheme="majorEastAsia" w:eastAsiaTheme="majorEastAsia" w:cstheme="majorEastAsia"/>
          <w:bCs/>
          <w:color w:val="auto"/>
          <w:highlight w:val="none"/>
          <w:u w:val="single"/>
        </w:rPr>
        <w:t xml:space="preserve">                 </w:t>
      </w:r>
    </w:p>
    <w:p w14:paraId="364D59EE">
      <w:pPr>
        <w:pStyle w:val="2"/>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授权代表：</w:t>
      </w:r>
      <w:r>
        <w:rPr>
          <w:rFonts w:hint="eastAsia" w:asciiTheme="majorEastAsia" w:hAnsiTheme="majorEastAsia" w:eastAsiaTheme="majorEastAsia" w:cstheme="majorEastAsia"/>
          <w:bCs/>
          <w:color w:val="auto"/>
          <w:highlight w:val="none"/>
          <w:u w:val="single"/>
        </w:rPr>
        <w:t xml:space="preserve">                      </w:t>
      </w:r>
    </w:p>
    <w:p w14:paraId="6DCA927B">
      <w:pPr>
        <w:pStyle w:val="2"/>
        <w:snapToGrid w:val="0"/>
        <w:spacing w:line="360" w:lineRule="auto"/>
        <w:ind w:firstLine="48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联系电话：</w:t>
      </w:r>
      <w:r>
        <w:rPr>
          <w:rFonts w:hint="eastAsia" w:asciiTheme="majorEastAsia" w:hAnsiTheme="majorEastAsia" w:eastAsiaTheme="majorEastAsia" w:cstheme="majorEastAsia"/>
          <w:bCs/>
          <w:color w:val="auto"/>
          <w:highlight w:val="none"/>
          <w:u w:val="single"/>
        </w:rPr>
        <w:t xml:space="preserve">                      </w:t>
      </w:r>
    </w:p>
    <w:p w14:paraId="6BED68BD">
      <w:pPr>
        <w:pStyle w:val="2"/>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地址：</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邮编：</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5B69865B">
      <w:pPr>
        <w:pStyle w:val="2"/>
        <w:snapToGrid w:val="0"/>
        <w:spacing w:line="360" w:lineRule="auto"/>
        <w:ind w:firstLine="48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二、质疑项目基本情况：</w:t>
      </w:r>
    </w:p>
    <w:p w14:paraId="0B6F4AE1">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质疑</w:t>
      </w:r>
      <w:r>
        <w:rPr>
          <w:rFonts w:hint="eastAsia" w:asciiTheme="majorEastAsia" w:hAnsiTheme="majorEastAsia" w:eastAsiaTheme="majorEastAsia" w:cstheme="majorEastAsia"/>
          <w:color w:val="auto"/>
          <w:highlight w:val="none"/>
        </w:rPr>
        <w:t>项目的名称：</w:t>
      </w:r>
      <w:r>
        <w:rPr>
          <w:rFonts w:hint="eastAsia" w:asciiTheme="majorEastAsia" w:hAnsiTheme="majorEastAsia" w:eastAsiaTheme="majorEastAsia" w:cstheme="majorEastAsia"/>
          <w:bCs/>
          <w:color w:val="auto"/>
          <w:highlight w:val="none"/>
          <w:u w:val="single"/>
        </w:rPr>
        <w:t xml:space="preserve">                                     </w:t>
      </w:r>
    </w:p>
    <w:p w14:paraId="23898BD1">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质疑</w:t>
      </w:r>
      <w:r>
        <w:rPr>
          <w:rFonts w:hint="eastAsia" w:asciiTheme="majorEastAsia" w:hAnsiTheme="majorEastAsia" w:eastAsiaTheme="majorEastAsia" w:cstheme="majorEastAsia"/>
          <w:color w:val="auto"/>
          <w:highlight w:val="none"/>
        </w:rPr>
        <w:t>项目的编号：</w:t>
      </w:r>
      <w:r>
        <w:rPr>
          <w:rFonts w:hint="eastAsia" w:asciiTheme="majorEastAsia" w:hAnsiTheme="majorEastAsia" w:eastAsiaTheme="majorEastAsia" w:cstheme="majorEastAsia"/>
          <w:bCs/>
          <w:color w:val="auto"/>
          <w:highlight w:val="none"/>
          <w:u w:val="single"/>
        </w:rPr>
        <w:t xml:space="preserve">                                     </w:t>
      </w:r>
    </w:p>
    <w:p w14:paraId="3AA80A3B">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采购人名称：</w:t>
      </w:r>
      <w:r>
        <w:rPr>
          <w:rFonts w:hint="eastAsia" w:asciiTheme="majorEastAsia" w:hAnsiTheme="majorEastAsia" w:eastAsiaTheme="majorEastAsia" w:cstheme="majorEastAsia"/>
          <w:bCs/>
          <w:color w:val="auto"/>
          <w:highlight w:val="none"/>
          <w:u w:val="single"/>
        </w:rPr>
        <w:t xml:space="preserve">                                         </w:t>
      </w:r>
    </w:p>
    <w:p w14:paraId="1ED5D0C9">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质疑事项：</w:t>
      </w:r>
    </w:p>
    <w:p w14:paraId="56F3B39F">
      <w:pPr>
        <w:pStyle w:val="2"/>
        <w:spacing w:line="360" w:lineRule="auto"/>
        <w:ind w:left="25" w:leftChars="12" w:firstLine="352" w:firstLineChars="14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□招标文件   招标文件获取日期：</w:t>
      </w:r>
      <w:r>
        <w:rPr>
          <w:rFonts w:hint="eastAsia" w:asciiTheme="majorEastAsia" w:hAnsiTheme="majorEastAsia" w:eastAsiaTheme="majorEastAsia" w:cstheme="majorEastAsia"/>
          <w:bCs/>
          <w:color w:val="auto"/>
          <w:highlight w:val="none"/>
          <w:u w:val="single"/>
        </w:rPr>
        <w:t xml:space="preserve">                                   </w:t>
      </w:r>
    </w:p>
    <w:p w14:paraId="32E5C372">
      <w:pPr>
        <w:pStyle w:val="2"/>
        <w:spacing w:line="360" w:lineRule="auto"/>
        <w:ind w:left="25" w:leftChars="12" w:firstLine="352" w:firstLineChars="14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□采购过程   </w:t>
      </w:r>
    </w:p>
    <w:p w14:paraId="7D1DAE71">
      <w:pPr>
        <w:pStyle w:val="2"/>
        <w:spacing w:line="360" w:lineRule="auto"/>
        <w:ind w:left="25" w:leftChars="12" w:firstLine="352" w:firstLineChars="147"/>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color w:val="auto"/>
          <w:highlight w:val="none"/>
        </w:rPr>
        <w:t xml:space="preserve">□中标结果   </w:t>
      </w:r>
    </w:p>
    <w:p w14:paraId="3209A0AE">
      <w:pPr>
        <w:pStyle w:val="2"/>
        <w:spacing w:line="360" w:lineRule="auto"/>
        <w:ind w:left="25" w:leftChars="12" w:firstLine="472" w:firstLineChars="196"/>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三、质疑事项具体内容</w:t>
      </w:r>
    </w:p>
    <w:p w14:paraId="38B02EC4">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质疑事项1：</w:t>
      </w:r>
      <w:r>
        <w:rPr>
          <w:rFonts w:hint="eastAsia" w:asciiTheme="majorEastAsia" w:hAnsiTheme="majorEastAsia" w:eastAsiaTheme="majorEastAsia" w:cstheme="majorEastAsia"/>
          <w:bCs/>
          <w:color w:val="auto"/>
          <w:highlight w:val="none"/>
          <w:u w:val="single"/>
        </w:rPr>
        <w:t xml:space="preserve">                                                                    </w:t>
      </w:r>
    </w:p>
    <w:p w14:paraId="1212A05D">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事实依据：</w:t>
      </w:r>
      <w:r>
        <w:rPr>
          <w:rFonts w:hint="eastAsia" w:asciiTheme="majorEastAsia" w:hAnsiTheme="majorEastAsia" w:eastAsiaTheme="majorEastAsia" w:cstheme="majorEastAsia"/>
          <w:bCs/>
          <w:color w:val="auto"/>
          <w:highlight w:val="none"/>
          <w:u w:val="single"/>
        </w:rPr>
        <w:t xml:space="preserve">                                                                      </w:t>
      </w:r>
    </w:p>
    <w:p w14:paraId="6DB30474">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法律依据：</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Cs/>
          <w:color w:val="auto"/>
          <w:highlight w:val="none"/>
          <w:u w:val="single"/>
        </w:rPr>
        <w:t xml:space="preserve">               </w:t>
      </w:r>
    </w:p>
    <w:p w14:paraId="2F9751CF">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质疑事项2</w:t>
      </w:r>
    </w:p>
    <w:p w14:paraId="37CD4B63">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w:t>
      </w:r>
    </w:p>
    <w:p w14:paraId="370AA2D2">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四、与质疑事项相关的质疑请求：</w:t>
      </w:r>
    </w:p>
    <w:p w14:paraId="23A5F110">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请求：</w:t>
      </w:r>
      <w:r>
        <w:rPr>
          <w:rFonts w:hint="eastAsia" w:asciiTheme="majorEastAsia" w:hAnsiTheme="majorEastAsia" w:eastAsiaTheme="majorEastAsia" w:cstheme="majorEastAsia"/>
          <w:bCs/>
          <w:color w:val="auto"/>
          <w:highlight w:val="none"/>
          <w:u w:val="single"/>
        </w:rPr>
        <w:t xml:space="preserve">                                                                </w:t>
      </w:r>
    </w:p>
    <w:p w14:paraId="5EB8A30D">
      <w:pPr>
        <w:pStyle w:val="2"/>
        <w:spacing w:line="360" w:lineRule="auto"/>
        <w:ind w:left="25" w:leftChars="12" w:firstLine="352" w:firstLineChars="147"/>
        <w:rPr>
          <w:rFonts w:asciiTheme="majorEastAsia" w:hAnsiTheme="majorEastAsia" w:eastAsiaTheme="majorEastAsia" w:cstheme="majorEastAsia"/>
          <w:color w:val="auto"/>
          <w:highlight w:val="none"/>
        </w:rPr>
      </w:pPr>
    </w:p>
    <w:p w14:paraId="038C701F">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签字（签章）：                                       公章：</w:t>
      </w:r>
    </w:p>
    <w:p w14:paraId="4016875E">
      <w:pPr>
        <w:pStyle w:val="2"/>
        <w:spacing w:line="360" w:lineRule="auto"/>
        <w:ind w:left="25" w:leftChars="12" w:firstLine="352" w:firstLineChars="147"/>
        <w:rPr>
          <w:rFonts w:asciiTheme="majorEastAsia" w:hAnsiTheme="majorEastAsia" w:eastAsiaTheme="majorEastAsia" w:cstheme="majorEastAsia"/>
          <w:color w:val="auto"/>
          <w:highlight w:val="none"/>
        </w:rPr>
      </w:pPr>
    </w:p>
    <w:p w14:paraId="6D9E551B">
      <w:pPr>
        <w:pStyle w:val="2"/>
        <w:spacing w:line="360" w:lineRule="auto"/>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w:t>
      </w:r>
    </w:p>
    <w:p w14:paraId="1EE9693E">
      <w:pPr>
        <w:pStyle w:val="2"/>
        <w:snapToGrid w:val="0"/>
        <w:spacing w:line="360" w:lineRule="auto"/>
        <w:rPr>
          <w:rFonts w:asciiTheme="majorEastAsia" w:hAnsiTheme="majorEastAsia" w:eastAsiaTheme="majorEastAsia" w:cstheme="majorEastAsia"/>
          <w:b/>
          <w:color w:val="auto"/>
          <w:highlight w:val="none"/>
        </w:rPr>
      </w:pPr>
    </w:p>
    <w:p w14:paraId="5DE9AA53">
      <w:pPr>
        <w:pStyle w:val="2"/>
        <w:snapToGrid w:val="0"/>
        <w:spacing w:line="360" w:lineRule="auto"/>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说明：</w:t>
      </w:r>
    </w:p>
    <w:p w14:paraId="56A06EFA">
      <w:pPr>
        <w:pStyle w:val="2"/>
        <w:spacing w:line="360" w:lineRule="auto"/>
        <w:ind w:left="25" w:leftChars="12" w:firstLine="354" w:firstLineChars="147"/>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color w:val="auto"/>
          <w:highlight w:val="none"/>
        </w:rPr>
        <w:t>1.供应商提出质疑时，应提交质疑函和必要的证明材料</w:t>
      </w:r>
      <w:r>
        <w:rPr>
          <w:rFonts w:hint="eastAsia" w:asciiTheme="majorEastAsia" w:hAnsiTheme="majorEastAsia" w:eastAsiaTheme="majorEastAsia" w:cstheme="majorEastAsia"/>
          <w:b/>
          <w:bCs/>
          <w:color w:val="auto"/>
          <w:highlight w:val="none"/>
        </w:rPr>
        <w:t>。</w:t>
      </w:r>
    </w:p>
    <w:p w14:paraId="762D8214">
      <w:pPr>
        <w:pStyle w:val="2"/>
        <w:spacing w:line="360" w:lineRule="auto"/>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13F6D4">
      <w:pPr>
        <w:pStyle w:val="2"/>
        <w:spacing w:line="360" w:lineRule="auto"/>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3.质疑函的质疑事项应具体、明确，并有必要的事实依据和法律依据。</w:t>
      </w:r>
    </w:p>
    <w:p w14:paraId="445FF042">
      <w:pPr>
        <w:pStyle w:val="2"/>
        <w:spacing w:line="360" w:lineRule="auto"/>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4.质疑函的质疑请求应与质疑事项相关。</w:t>
      </w:r>
    </w:p>
    <w:p w14:paraId="7594FC54">
      <w:pPr>
        <w:pStyle w:val="2"/>
        <w:spacing w:line="360" w:lineRule="auto"/>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5.质疑供应商为法人或者其他组织的，质疑函应由法定代表人、主要负责人，或者其授权代表签字或者盖章，并加盖公章。</w:t>
      </w:r>
    </w:p>
    <w:p w14:paraId="340FB2EE">
      <w:pPr>
        <w:pStyle w:val="2"/>
        <w:snapToGrid w:val="0"/>
        <w:rPr>
          <w:rFonts w:asciiTheme="majorEastAsia" w:hAnsiTheme="majorEastAsia" w:eastAsiaTheme="majorEastAsia" w:cstheme="majorEastAsia"/>
          <w:b/>
          <w:color w:val="auto"/>
          <w:highlight w:val="none"/>
        </w:rPr>
      </w:pPr>
    </w:p>
    <w:p w14:paraId="35694054">
      <w:pPr>
        <w:spacing w:line="360" w:lineRule="auto"/>
        <w:jc w:val="left"/>
        <w:rPr>
          <w:rFonts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color w:val="auto"/>
          <w:sz w:val="44"/>
          <w:highlight w:val="none"/>
        </w:rPr>
        <w:br w:type="page"/>
      </w:r>
      <w:r>
        <w:rPr>
          <w:rFonts w:hint="eastAsia" w:asciiTheme="majorEastAsia" w:hAnsiTheme="majorEastAsia" w:eastAsiaTheme="majorEastAsia" w:cstheme="majorEastAsia"/>
          <w:b/>
          <w:color w:val="auto"/>
          <w:sz w:val="24"/>
          <w:highlight w:val="none"/>
        </w:rPr>
        <w:t>4、投诉书格式</w:t>
      </w:r>
    </w:p>
    <w:p w14:paraId="5B53C768">
      <w:pPr>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投诉书</w:t>
      </w:r>
    </w:p>
    <w:p w14:paraId="4ABF04F9">
      <w:pPr>
        <w:pStyle w:val="2"/>
        <w:snapToGrid w:val="0"/>
        <w:spacing w:line="440" w:lineRule="exact"/>
        <w:ind w:firstLine="482" w:firstLineChars="200"/>
        <w:rPr>
          <w:rFonts w:asciiTheme="majorEastAsia" w:hAnsiTheme="majorEastAsia" w:eastAsiaTheme="majorEastAsia" w:cstheme="majorEastAsia"/>
          <w:b/>
          <w:bCs/>
          <w:color w:val="auto"/>
          <w:highlight w:val="none"/>
        </w:rPr>
      </w:pPr>
    </w:p>
    <w:p w14:paraId="25C21857">
      <w:pPr>
        <w:pStyle w:val="2"/>
        <w:snapToGrid w:val="0"/>
        <w:spacing w:line="440" w:lineRule="exact"/>
        <w:ind w:firstLine="48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一、投诉相关主体基本情况：</w:t>
      </w:r>
    </w:p>
    <w:p w14:paraId="323EA8EC">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投标人：</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30602251">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地址：</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邮编：</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2F4D3D38">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法定代表人/主要负责人：</w:t>
      </w:r>
      <w:r>
        <w:rPr>
          <w:rFonts w:hint="eastAsia" w:asciiTheme="majorEastAsia" w:hAnsiTheme="majorEastAsia" w:eastAsiaTheme="majorEastAsia" w:cstheme="majorEastAsia"/>
          <w:bCs/>
          <w:color w:val="auto"/>
          <w:highlight w:val="none"/>
          <w:u w:val="single"/>
        </w:rPr>
        <w:t xml:space="preserve">                                                         </w:t>
      </w:r>
    </w:p>
    <w:p w14:paraId="598C4B8C">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联系电话：</w:t>
      </w:r>
      <w:r>
        <w:rPr>
          <w:rFonts w:hint="eastAsia" w:asciiTheme="majorEastAsia" w:hAnsiTheme="majorEastAsia" w:eastAsiaTheme="majorEastAsia" w:cstheme="majorEastAsia"/>
          <w:bCs/>
          <w:color w:val="auto"/>
          <w:highlight w:val="none"/>
          <w:u w:val="single"/>
        </w:rPr>
        <w:t xml:space="preserve">                                         </w:t>
      </w:r>
    </w:p>
    <w:p w14:paraId="16C3C7D6">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授权代表：</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联系电话：</w:t>
      </w:r>
      <w:r>
        <w:rPr>
          <w:rFonts w:hint="eastAsia" w:asciiTheme="majorEastAsia" w:hAnsiTheme="majorEastAsia" w:eastAsiaTheme="majorEastAsia" w:cstheme="majorEastAsia"/>
          <w:bCs/>
          <w:color w:val="auto"/>
          <w:highlight w:val="none"/>
          <w:u w:val="single"/>
        </w:rPr>
        <w:t xml:space="preserve">                   </w:t>
      </w:r>
    </w:p>
    <w:p w14:paraId="7F00D2EB">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地址：</w:t>
      </w:r>
      <w:r>
        <w:rPr>
          <w:rFonts w:hint="eastAsia" w:asciiTheme="majorEastAsia" w:hAnsiTheme="majorEastAsia" w:eastAsiaTheme="majorEastAsia" w:cstheme="majorEastAsia"/>
          <w:bCs/>
          <w:color w:val="auto"/>
          <w:highlight w:val="none"/>
          <w:u w:val="single"/>
        </w:rPr>
        <w:t xml:space="preserve">                                                            </w:t>
      </w:r>
    </w:p>
    <w:p w14:paraId="7B111642">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邮编：</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04F67607">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被投诉人1：</w:t>
      </w:r>
    </w:p>
    <w:p w14:paraId="53D5A380">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地址：</w:t>
      </w:r>
      <w:r>
        <w:rPr>
          <w:rFonts w:hint="eastAsia" w:asciiTheme="majorEastAsia" w:hAnsiTheme="majorEastAsia" w:eastAsiaTheme="majorEastAsia" w:cstheme="majorEastAsia"/>
          <w:bCs/>
          <w:color w:val="auto"/>
          <w:highlight w:val="none"/>
          <w:u w:val="single"/>
        </w:rPr>
        <w:t xml:space="preserve">                                                            </w:t>
      </w:r>
    </w:p>
    <w:p w14:paraId="20779306">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邮编：</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592E1515">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联系人：</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联系电话：</w:t>
      </w:r>
      <w:r>
        <w:rPr>
          <w:rFonts w:hint="eastAsia" w:asciiTheme="majorEastAsia" w:hAnsiTheme="majorEastAsia" w:eastAsiaTheme="majorEastAsia" w:cstheme="majorEastAsia"/>
          <w:bCs/>
          <w:color w:val="auto"/>
          <w:highlight w:val="none"/>
          <w:u w:val="single"/>
        </w:rPr>
        <w:t xml:space="preserve">                </w:t>
      </w:r>
    </w:p>
    <w:p w14:paraId="5BAB7B00">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被投诉人2：</w:t>
      </w:r>
    </w:p>
    <w:p w14:paraId="44FF1B86">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w:t>
      </w:r>
    </w:p>
    <w:p w14:paraId="1D75AA63">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相关供应商：</w:t>
      </w:r>
      <w:r>
        <w:rPr>
          <w:rFonts w:hint="eastAsia" w:asciiTheme="majorEastAsia" w:hAnsiTheme="majorEastAsia" w:eastAsiaTheme="majorEastAsia" w:cstheme="majorEastAsia"/>
          <w:bCs/>
          <w:color w:val="auto"/>
          <w:highlight w:val="none"/>
          <w:u w:val="single"/>
        </w:rPr>
        <w:t xml:space="preserve">                                                                       </w:t>
      </w:r>
    </w:p>
    <w:p w14:paraId="0D94C310">
      <w:pPr>
        <w:pStyle w:val="2"/>
        <w:snapToGrid w:val="0"/>
        <w:spacing w:line="440" w:lineRule="exact"/>
        <w:ind w:firstLine="480" w:firstLineChars="200"/>
        <w:jc w:val="lef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地址：</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邮编：</w:t>
      </w:r>
      <w:r>
        <w:rPr>
          <w:rFonts w:hint="eastAsia" w:asciiTheme="majorEastAsia" w:hAnsiTheme="majorEastAsia" w:eastAsiaTheme="majorEastAsia" w:cstheme="majorEastAsia"/>
          <w:bCs/>
          <w:color w:val="auto"/>
          <w:highlight w:val="none"/>
          <w:u w:val="single"/>
        </w:rPr>
        <w:t xml:space="preserve">                         </w:t>
      </w:r>
    </w:p>
    <w:p w14:paraId="57623C56">
      <w:pPr>
        <w:pStyle w:val="2"/>
        <w:snapToGrid w:val="0"/>
        <w:spacing w:line="440" w:lineRule="exact"/>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联系人：</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联系电话：</w:t>
      </w:r>
      <w:r>
        <w:rPr>
          <w:rFonts w:hint="eastAsia" w:asciiTheme="majorEastAsia" w:hAnsiTheme="majorEastAsia" w:eastAsiaTheme="majorEastAsia" w:cstheme="majorEastAsia"/>
          <w:bCs/>
          <w:color w:val="auto"/>
          <w:highlight w:val="none"/>
          <w:u w:val="single"/>
        </w:rPr>
        <w:t xml:space="preserve">                     </w:t>
      </w:r>
      <w:r>
        <w:rPr>
          <w:rFonts w:hint="eastAsia" w:asciiTheme="majorEastAsia" w:hAnsiTheme="majorEastAsia" w:eastAsiaTheme="majorEastAsia" w:cstheme="majorEastAsia"/>
          <w:bCs/>
          <w:color w:val="auto"/>
          <w:highlight w:val="none"/>
        </w:rPr>
        <w:t xml:space="preserve">                </w:t>
      </w:r>
    </w:p>
    <w:p w14:paraId="0F7E862C">
      <w:pPr>
        <w:pStyle w:val="2"/>
        <w:snapToGrid w:val="0"/>
        <w:spacing w:line="440" w:lineRule="exact"/>
        <w:ind w:firstLine="48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二、投诉项目基本情况：</w:t>
      </w:r>
    </w:p>
    <w:p w14:paraId="45EBFD9C">
      <w:pPr>
        <w:pStyle w:val="2"/>
        <w:spacing w:line="440" w:lineRule="exact"/>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采购</w:t>
      </w:r>
      <w:r>
        <w:rPr>
          <w:rFonts w:hint="eastAsia" w:asciiTheme="majorEastAsia" w:hAnsiTheme="majorEastAsia" w:eastAsiaTheme="majorEastAsia" w:cstheme="majorEastAsia"/>
          <w:color w:val="auto"/>
          <w:highlight w:val="none"/>
        </w:rPr>
        <w:t>项目的名称：</w:t>
      </w:r>
      <w:r>
        <w:rPr>
          <w:rFonts w:hint="eastAsia" w:asciiTheme="majorEastAsia" w:hAnsiTheme="majorEastAsia" w:eastAsiaTheme="majorEastAsia" w:cstheme="majorEastAsia"/>
          <w:bCs/>
          <w:color w:val="auto"/>
          <w:highlight w:val="none"/>
          <w:u w:val="single"/>
        </w:rPr>
        <w:t xml:space="preserve">                                                                   </w:t>
      </w:r>
    </w:p>
    <w:p w14:paraId="43A88EDF">
      <w:pPr>
        <w:pStyle w:val="2"/>
        <w:spacing w:line="440" w:lineRule="exact"/>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采购</w:t>
      </w:r>
      <w:r>
        <w:rPr>
          <w:rFonts w:hint="eastAsia" w:asciiTheme="majorEastAsia" w:hAnsiTheme="majorEastAsia" w:eastAsiaTheme="majorEastAsia" w:cstheme="majorEastAsia"/>
          <w:color w:val="auto"/>
          <w:highlight w:val="none"/>
        </w:rPr>
        <w:t>项目的编号：</w:t>
      </w:r>
      <w:r>
        <w:rPr>
          <w:rFonts w:hint="eastAsia" w:asciiTheme="majorEastAsia" w:hAnsiTheme="majorEastAsia" w:eastAsiaTheme="majorEastAsia" w:cstheme="majorEastAsia"/>
          <w:bCs/>
          <w:color w:val="auto"/>
          <w:highlight w:val="none"/>
          <w:u w:val="single"/>
        </w:rPr>
        <w:t xml:space="preserve">                                          </w:t>
      </w:r>
    </w:p>
    <w:p w14:paraId="27FC8D39">
      <w:pPr>
        <w:pStyle w:val="2"/>
        <w:spacing w:line="440" w:lineRule="exact"/>
        <w:ind w:left="25" w:leftChars="12" w:firstLine="472" w:firstLineChars="197"/>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color w:val="auto"/>
          <w:highlight w:val="none"/>
        </w:rPr>
        <w:t>采购人名称：</w:t>
      </w:r>
      <w:r>
        <w:rPr>
          <w:rFonts w:hint="eastAsia" w:asciiTheme="majorEastAsia" w:hAnsiTheme="majorEastAsia" w:eastAsiaTheme="majorEastAsia" w:cstheme="majorEastAsia"/>
          <w:bCs/>
          <w:color w:val="auto"/>
          <w:highlight w:val="none"/>
          <w:u w:val="single"/>
        </w:rPr>
        <w:t xml:space="preserve">                                                                        </w:t>
      </w:r>
    </w:p>
    <w:p w14:paraId="074AF255">
      <w:pPr>
        <w:pStyle w:val="2"/>
        <w:spacing w:line="440" w:lineRule="exact"/>
        <w:ind w:left="25" w:leftChars="12" w:firstLine="472" w:firstLineChars="197"/>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color w:val="auto"/>
          <w:highlight w:val="none"/>
        </w:rPr>
        <w:t>代理机构名称：</w:t>
      </w:r>
      <w:r>
        <w:rPr>
          <w:rFonts w:hint="eastAsia" w:asciiTheme="majorEastAsia" w:hAnsiTheme="majorEastAsia" w:eastAsiaTheme="majorEastAsia" w:cstheme="majorEastAsia"/>
          <w:bCs/>
          <w:color w:val="auto"/>
          <w:highlight w:val="none"/>
          <w:u w:val="single"/>
        </w:rPr>
        <w:t xml:space="preserve">                                                                      </w:t>
      </w:r>
    </w:p>
    <w:p w14:paraId="5C689928">
      <w:pPr>
        <w:pStyle w:val="2"/>
        <w:spacing w:line="440" w:lineRule="exact"/>
        <w:ind w:left="25" w:leftChars="12" w:firstLine="472" w:firstLineChars="197"/>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招标文件公告：</w:t>
      </w:r>
      <w:r>
        <w:rPr>
          <w:rFonts w:hint="eastAsia" w:asciiTheme="majorEastAsia" w:hAnsiTheme="majorEastAsia" w:eastAsiaTheme="majorEastAsia" w:cstheme="majorEastAsia"/>
          <w:bCs/>
          <w:color w:val="auto"/>
          <w:highlight w:val="none"/>
          <w:u w:val="single"/>
        </w:rPr>
        <w:t>是/否</w:t>
      </w:r>
      <w:r>
        <w:rPr>
          <w:rFonts w:hint="eastAsia" w:asciiTheme="majorEastAsia" w:hAnsiTheme="majorEastAsia" w:eastAsiaTheme="majorEastAsia" w:cstheme="majorEastAsia"/>
          <w:bCs/>
          <w:color w:val="auto"/>
          <w:highlight w:val="none"/>
        </w:rPr>
        <w:t>公告期限：</w:t>
      </w:r>
      <w:r>
        <w:rPr>
          <w:rFonts w:hint="eastAsia" w:asciiTheme="majorEastAsia" w:hAnsiTheme="majorEastAsia" w:eastAsiaTheme="majorEastAsia" w:cstheme="majorEastAsia"/>
          <w:bCs/>
          <w:color w:val="auto"/>
          <w:highlight w:val="none"/>
          <w:u w:val="single"/>
        </w:rPr>
        <w:t xml:space="preserve">                                                       </w:t>
      </w:r>
    </w:p>
    <w:p w14:paraId="6EFA64CA">
      <w:pPr>
        <w:pStyle w:val="2"/>
        <w:spacing w:line="440" w:lineRule="exact"/>
        <w:ind w:left="25" w:leftChars="12" w:firstLine="472" w:firstLineChars="19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Cs/>
          <w:color w:val="auto"/>
          <w:highlight w:val="none"/>
        </w:rPr>
        <w:t>采购结果公告：</w:t>
      </w:r>
      <w:r>
        <w:rPr>
          <w:rFonts w:hint="eastAsia" w:asciiTheme="majorEastAsia" w:hAnsiTheme="majorEastAsia" w:eastAsiaTheme="majorEastAsia" w:cstheme="majorEastAsia"/>
          <w:bCs/>
          <w:color w:val="auto"/>
          <w:highlight w:val="none"/>
          <w:u w:val="single"/>
        </w:rPr>
        <w:t>是/否</w:t>
      </w:r>
      <w:r>
        <w:rPr>
          <w:rFonts w:hint="eastAsia" w:asciiTheme="majorEastAsia" w:hAnsiTheme="majorEastAsia" w:eastAsiaTheme="majorEastAsia" w:cstheme="majorEastAsia"/>
          <w:bCs/>
          <w:color w:val="auto"/>
          <w:highlight w:val="none"/>
        </w:rPr>
        <w:t>公告期限：</w:t>
      </w:r>
      <w:r>
        <w:rPr>
          <w:rFonts w:hint="eastAsia" w:asciiTheme="majorEastAsia" w:hAnsiTheme="majorEastAsia" w:eastAsiaTheme="majorEastAsia" w:cstheme="majorEastAsia"/>
          <w:bCs/>
          <w:color w:val="auto"/>
          <w:highlight w:val="none"/>
          <w:u w:val="single"/>
        </w:rPr>
        <w:t xml:space="preserve">                                                       </w:t>
      </w:r>
    </w:p>
    <w:p w14:paraId="6567A602">
      <w:pPr>
        <w:pStyle w:val="2"/>
        <w:spacing w:line="440" w:lineRule="exact"/>
        <w:ind w:left="25" w:leftChars="12" w:firstLine="472" w:firstLineChars="196"/>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三、质疑基本情况</w:t>
      </w:r>
    </w:p>
    <w:p w14:paraId="354DCC24">
      <w:pPr>
        <w:pStyle w:val="2"/>
        <w:spacing w:line="440" w:lineRule="exact"/>
        <w:ind w:left="25" w:leftChars="12"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投诉人于</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日，向</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提出质疑，质疑事项为：</w:t>
      </w:r>
    </w:p>
    <w:p w14:paraId="6C9EAFE0">
      <w:pPr>
        <w:pStyle w:val="2"/>
        <w:spacing w:line="440" w:lineRule="exact"/>
        <w:ind w:firstLine="241"/>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highlight w:val="none"/>
          <w:u w:val="single"/>
        </w:rPr>
        <w:t xml:space="preserve">                                                                                      </w:t>
      </w:r>
    </w:p>
    <w:p w14:paraId="6BAF7824">
      <w:pPr>
        <w:pStyle w:val="2"/>
        <w:spacing w:line="440" w:lineRule="exact"/>
        <w:ind w:firstLine="241"/>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 xml:space="preserve">    </w:t>
      </w:r>
      <w:r>
        <w:rPr>
          <w:rFonts w:hint="eastAsia" w:asciiTheme="majorEastAsia" w:hAnsiTheme="majorEastAsia" w:eastAsiaTheme="majorEastAsia" w:cstheme="majorEastAsia"/>
          <w:bCs/>
          <w:color w:val="auto"/>
          <w:highlight w:val="none"/>
          <w:u w:val="single"/>
        </w:rPr>
        <w:t xml:space="preserve">                                                                                      </w:t>
      </w:r>
    </w:p>
    <w:p w14:paraId="4F2A1B49">
      <w:pPr>
        <w:pStyle w:val="2"/>
        <w:spacing w:line="4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u w:val="single"/>
        </w:rPr>
        <w:t>采购人/代理机构</w:t>
      </w:r>
      <w:r>
        <w:rPr>
          <w:rFonts w:hint="eastAsia" w:asciiTheme="majorEastAsia" w:hAnsiTheme="majorEastAsia" w:eastAsiaTheme="majorEastAsia" w:cstheme="majorEastAsia"/>
          <w:bCs/>
          <w:color w:val="auto"/>
          <w:highlight w:val="none"/>
        </w:rPr>
        <w:t>于</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w:t>
      </w:r>
      <w:r>
        <w:rPr>
          <w:rFonts w:hint="eastAsia" w:asciiTheme="majorEastAsia" w:hAnsiTheme="majorEastAsia" w:eastAsiaTheme="majorEastAsia" w:cstheme="majorEastAsia"/>
          <w:bCs/>
          <w:color w:val="auto"/>
          <w:highlight w:val="none"/>
        </w:rPr>
        <w:t xml:space="preserve">就质疑事项作出了答复/没有在法定期限内作出答复。                                                                                             </w:t>
      </w:r>
    </w:p>
    <w:p w14:paraId="652B6832">
      <w:pPr>
        <w:pStyle w:val="2"/>
        <w:spacing w:line="440" w:lineRule="exact"/>
        <w:ind w:left="25" w:leftChars="12" w:firstLine="472" w:firstLineChars="196"/>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四、投诉事项具体内容</w:t>
      </w:r>
    </w:p>
    <w:p w14:paraId="07A34F9C">
      <w:pPr>
        <w:pStyle w:val="2"/>
        <w:spacing w:line="440" w:lineRule="exact"/>
        <w:ind w:left="25" w:leftChars="12" w:firstLine="472" w:firstLineChars="197"/>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color w:val="auto"/>
          <w:highlight w:val="none"/>
        </w:rPr>
        <w:t>投诉事项1：</w:t>
      </w:r>
      <w:r>
        <w:rPr>
          <w:rFonts w:hint="eastAsia" w:asciiTheme="majorEastAsia" w:hAnsiTheme="majorEastAsia" w:eastAsiaTheme="majorEastAsia" w:cstheme="majorEastAsia"/>
          <w:bCs/>
          <w:color w:val="auto"/>
          <w:highlight w:val="none"/>
          <w:u w:val="single"/>
        </w:rPr>
        <w:t xml:space="preserve">                                                                           </w:t>
      </w:r>
    </w:p>
    <w:p w14:paraId="351FBE23">
      <w:pPr>
        <w:pStyle w:val="2"/>
        <w:spacing w:line="440" w:lineRule="exact"/>
        <w:ind w:firstLine="48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事实依据：</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highlight w:val="none"/>
          <w:u w:val="single"/>
        </w:rPr>
        <w:t xml:space="preserve">                                                                                      </w:t>
      </w:r>
    </w:p>
    <w:p w14:paraId="6461B9F6">
      <w:pPr>
        <w:pStyle w:val="2"/>
        <w:spacing w:line="440" w:lineRule="exact"/>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u w:val="single"/>
        </w:rPr>
        <w:t xml:space="preserve">                                                                                        </w:t>
      </w:r>
    </w:p>
    <w:p w14:paraId="1E85ADF0">
      <w:pPr>
        <w:pStyle w:val="2"/>
        <w:spacing w:line="440" w:lineRule="exact"/>
        <w:ind w:firstLine="48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法律依据：</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highlight w:val="none"/>
          <w:u w:val="single"/>
        </w:rPr>
        <w:t xml:space="preserve">                                                                                      </w:t>
      </w:r>
    </w:p>
    <w:p w14:paraId="43D989C2">
      <w:pPr>
        <w:pStyle w:val="2"/>
        <w:spacing w:line="440" w:lineRule="exact"/>
        <w:ind w:left="25" w:leftChars="12" w:firstLine="352" w:firstLineChars="147"/>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 xml:space="preserve"> </w:t>
      </w:r>
      <w:r>
        <w:rPr>
          <w:rFonts w:hint="eastAsia" w:asciiTheme="majorEastAsia" w:hAnsiTheme="majorEastAsia" w:eastAsiaTheme="majorEastAsia" w:cstheme="majorEastAsia"/>
          <w:bCs/>
          <w:color w:val="auto"/>
          <w:highlight w:val="none"/>
          <w:u w:val="single"/>
        </w:rPr>
        <w:t xml:space="preserve">                                                                                        </w:t>
      </w:r>
    </w:p>
    <w:p w14:paraId="08F9D3D5">
      <w:pPr>
        <w:pStyle w:val="2"/>
        <w:spacing w:line="440" w:lineRule="exact"/>
        <w:ind w:left="25" w:leftChars="12" w:firstLine="472" w:firstLineChars="197"/>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color w:val="auto"/>
          <w:highlight w:val="none"/>
        </w:rPr>
        <w:t xml:space="preserve">投诉事项2  </w:t>
      </w:r>
      <w:r>
        <w:rPr>
          <w:rFonts w:hint="eastAsia" w:asciiTheme="majorEastAsia" w:hAnsiTheme="majorEastAsia" w:eastAsiaTheme="majorEastAsia" w:cstheme="majorEastAsia"/>
          <w:bCs/>
          <w:color w:val="auto"/>
          <w:highlight w:val="none"/>
        </w:rPr>
        <w:t xml:space="preserve">   </w:t>
      </w:r>
    </w:p>
    <w:p w14:paraId="11BF802E">
      <w:pPr>
        <w:pStyle w:val="2"/>
        <w:spacing w:line="440" w:lineRule="exact"/>
        <w:ind w:left="25" w:leftChars="12" w:firstLine="472" w:firstLineChars="197"/>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w:t>
      </w:r>
    </w:p>
    <w:p w14:paraId="51E22AA8">
      <w:pPr>
        <w:pStyle w:val="2"/>
        <w:spacing w:line="440" w:lineRule="exact"/>
        <w:ind w:left="25" w:leftChars="12" w:firstLine="472" w:firstLineChars="196"/>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五、与投诉事项相关的投诉请求：</w:t>
      </w:r>
    </w:p>
    <w:p w14:paraId="2A533450">
      <w:pPr>
        <w:pStyle w:val="2"/>
        <w:spacing w:line="440" w:lineRule="exact"/>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请求：</w:t>
      </w:r>
      <w:r>
        <w:rPr>
          <w:rFonts w:hint="eastAsia" w:asciiTheme="majorEastAsia" w:hAnsiTheme="majorEastAsia" w:eastAsiaTheme="majorEastAsia" w:cstheme="majorEastAsia"/>
          <w:bCs/>
          <w:color w:val="auto"/>
          <w:highlight w:val="none"/>
          <w:u w:val="single"/>
        </w:rPr>
        <w:t xml:space="preserve">                                                                                 </w:t>
      </w:r>
    </w:p>
    <w:p w14:paraId="49F133BC">
      <w:pPr>
        <w:pStyle w:val="2"/>
        <w:spacing w:line="440" w:lineRule="exact"/>
        <w:ind w:left="25" w:leftChars="12" w:firstLine="352" w:firstLineChars="147"/>
        <w:rPr>
          <w:rFonts w:asciiTheme="majorEastAsia" w:hAnsiTheme="majorEastAsia" w:eastAsiaTheme="majorEastAsia" w:cstheme="majorEastAsia"/>
          <w:color w:val="auto"/>
          <w:highlight w:val="none"/>
        </w:rPr>
      </w:pPr>
    </w:p>
    <w:p w14:paraId="2F019B33">
      <w:pPr>
        <w:pStyle w:val="2"/>
        <w:spacing w:line="440" w:lineRule="exact"/>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签字（签章）：                                       公章：</w:t>
      </w:r>
    </w:p>
    <w:p w14:paraId="1C27D6FC">
      <w:pPr>
        <w:pStyle w:val="2"/>
        <w:spacing w:line="440" w:lineRule="exact"/>
        <w:ind w:left="25" w:leftChars="12" w:firstLine="352" w:firstLineChars="147"/>
        <w:rPr>
          <w:rFonts w:asciiTheme="majorEastAsia" w:hAnsiTheme="majorEastAsia" w:eastAsiaTheme="majorEastAsia" w:cstheme="majorEastAsia"/>
          <w:color w:val="auto"/>
          <w:highlight w:val="none"/>
        </w:rPr>
      </w:pPr>
    </w:p>
    <w:p w14:paraId="0F79E035">
      <w:pPr>
        <w:pStyle w:val="2"/>
        <w:spacing w:line="440" w:lineRule="exact"/>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w:t>
      </w:r>
    </w:p>
    <w:p w14:paraId="6954233E">
      <w:pPr>
        <w:pStyle w:val="2"/>
        <w:spacing w:line="440" w:lineRule="exact"/>
        <w:ind w:left="25" w:leftChars="12" w:firstLine="472"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 xml:space="preserve">                                                                              </w:t>
      </w:r>
    </w:p>
    <w:p w14:paraId="444E3411">
      <w:pPr>
        <w:pStyle w:val="2"/>
        <w:snapToGrid w:val="0"/>
        <w:spacing w:line="440" w:lineRule="exac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说明：</w:t>
      </w:r>
    </w:p>
    <w:p w14:paraId="59546F0D">
      <w:pPr>
        <w:pStyle w:val="2"/>
        <w:spacing w:line="440" w:lineRule="exact"/>
        <w:ind w:left="25" w:leftChars="12" w:firstLine="354" w:firstLineChars="147"/>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color w:val="auto"/>
          <w:highlight w:val="none"/>
        </w:rPr>
        <w:t>1.投诉人提起投诉时，应当提交投诉书和必要的证明材料，并按照被投诉人和与投诉事项有关的供应商数量提供投诉书副本</w:t>
      </w:r>
      <w:r>
        <w:rPr>
          <w:rFonts w:hint="eastAsia" w:asciiTheme="majorEastAsia" w:hAnsiTheme="majorEastAsia" w:eastAsiaTheme="majorEastAsia" w:cstheme="majorEastAsia"/>
          <w:b/>
          <w:bCs/>
          <w:color w:val="auto"/>
          <w:highlight w:val="none"/>
        </w:rPr>
        <w:t>。</w:t>
      </w:r>
    </w:p>
    <w:p w14:paraId="67AD03A7">
      <w:pPr>
        <w:pStyle w:val="2"/>
        <w:spacing w:line="440" w:lineRule="exact"/>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3E2BB50">
      <w:pPr>
        <w:pStyle w:val="2"/>
        <w:spacing w:line="440" w:lineRule="exact"/>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3.投诉书应简要列明质疑事项，质疑函、质疑答复等作为附件材料提供。</w:t>
      </w:r>
    </w:p>
    <w:p w14:paraId="1C9468BD">
      <w:pPr>
        <w:pStyle w:val="2"/>
        <w:spacing w:line="440" w:lineRule="exact"/>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4.投诉书的投诉事项应具体、明确，并有必要的事实依据和法律依据。</w:t>
      </w:r>
    </w:p>
    <w:p w14:paraId="611697B6">
      <w:pPr>
        <w:pStyle w:val="2"/>
        <w:spacing w:line="440" w:lineRule="exact"/>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5.投诉书的投诉请求应与投诉事项相关。</w:t>
      </w:r>
    </w:p>
    <w:p w14:paraId="4C697838">
      <w:pPr>
        <w:pStyle w:val="2"/>
        <w:spacing w:line="440" w:lineRule="exact"/>
        <w:ind w:left="25" w:leftChars="12" w:firstLine="354" w:firstLineChars="147"/>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Malgun Gothic">
    <w:panose1 w:val="020B0503020000020004"/>
    <w:charset w:val="81"/>
    <w:family w:val="swiss"/>
    <w:pitch w:val="default"/>
    <w:sig w:usb0="900002AF" w:usb1="01D77CFB" w:usb2="00000012" w:usb3="00000000" w:csb0="0008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E41B">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101</w:t>
    </w:r>
    <w:r>
      <w:rPr>
        <w:sz w:val="21"/>
        <w:szCs w:val="21"/>
        <w:lang w:val="zh-CN"/>
      </w:rPr>
      <w:fldChar w:fldCharType="end"/>
    </w:r>
  </w:p>
  <w:p w14:paraId="3047D8D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6BD5">
    <w:pPr>
      <w:pStyle w:val="19"/>
      <w:jc w:val="center"/>
    </w:pPr>
    <w:r>
      <w:fldChar w:fldCharType="begin"/>
    </w:r>
    <w:r>
      <w:instrText xml:space="preserve"> PAGE   \* MERGEFORMAT </w:instrText>
    </w:r>
    <w:r>
      <w:fldChar w:fldCharType="separate"/>
    </w:r>
    <w:r>
      <w:rPr>
        <w:lang w:val="zh-CN"/>
      </w:rPr>
      <w:t>255</w:t>
    </w:r>
    <w:r>
      <w:rPr>
        <w:lang w:val="zh-CN"/>
      </w:rPr>
      <w:fldChar w:fldCharType="end"/>
    </w:r>
  </w:p>
  <w:p w14:paraId="313BE75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0FB3F">
    <w:pPr>
      <w:pStyle w:val="19"/>
      <w:framePr w:wrap="around" w:vAnchor="text" w:hAnchor="margin" w:xAlign="center" w:y="1"/>
      <w:rPr>
        <w:rStyle w:val="77"/>
      </w:rPr>
    </w:pPr>
    <w:r>
      <w:fldChar w:fldCharType="begin"/>
    </w:r>
    <w:r>
      <w:rPr>
        <w:rStyle w:val="77"/>
      </w:rPr>
      <w:instrText xml:space="preserve">PAGE  </w:instrText>
    </w:r>
    <w:r>
      <w:fldChar w:fldCharType="end"/>
    </w:r>
  </w:p>
  <w:p w14:paraId="6ABA22CD">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F2DC">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C4EC">
    <w:pPr>
      <w:pStyle w:val="20"/>
      <w:ind w:firstLine="0" w:firstLineChars="0"/>
      <w:rPr>
        <w:rFonts w:hint="default" w:ascii="宋体" w:hAnsi="宋体" w:eastAsia="宋体" w:cs="宋体"/>
        <w:sz w:val="18"/>
        <w:szCs w:val="18"/>
        <w:lang w:val="en-US" w:eastAsia="zh-CN"/>
      </w:rPr>
    </w:pPr>
    <w:r>
      <w:rPr>
        <w:rFonts w:hint="eastAsia" w:ascii="宋体" w:hAnsi="宋体" w:eastAsia="宋体" w:cs="宋体"/>
        <w:color w:val="000000"/>
        <w:sz w:val="18"/>
        <w:szCs w:val="18"/>
        <w:u w:val="single"/>
        <w:lang w:val="en-US"/>
      </w:rPr>
      <w:t>贵港覃塘产业园区新材料科技园重大安全风险防控项目</w:t>
    </w:r>
    <w:r>
      <w:rPr>
        <w:rFonts w:hint="eastAsia" w:ascii="宋体" w:hAnsi="宋体" w:eastAsia="宋体" w:cs="宋体"/>
        <w:color w:val="000000"/>
        <w:sz w:val="18"/>
        <w:szCs w:val="18"/>
        <w:u w:val="single"/>
        <w:lang w:val="en-US" w:eastAsia="zh-CN"/>
      </w:rPr>
      <w:t xml:space="preserve">                 GGZC2025-G1-040048-ZDJS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4549">
    <w:pPr>
      <w:pStyle w:val="20"/>
      <w:ind w:firstLine="11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914F7"/>
    <w:multiLevelType w:val="singleLevel"/>
    <w:tmpl w:val="824914F7"/>
    <w:lvl w:ilvl="0" w:tentative="0">
      <w:start w:val="1"/>
      <w:numFmt w:val="decimal"/>
      <w:suff w:val="nothing"/>
      <w:lvlText w:val="%1、"/>
      <w:lvlJc w:val="left"/>
    </w:lvl>
  </w:abstractNum>
  <w:abstractNum w:abstractNumId="1">
    <w:nsid w:val="85E24589"/>
    <w:multiLevelType w:val="singleLevel"/>
    <w:tmpl w:val="85E24589"/>
    <w:lvl w:ilvl="0" w:tentative="0">
      <w:start w:val="1"/>
      <w:numFmt w:val="chineseCounting"/>
      <w:suff w:val="nothing"/>
      <w:lvlText w:val="%1、"/>
      <w:lvlJc w:val="left"/>
      <w:rPr>
        <w:rFonts w:hint="eastAsia"/>
      </w:rPr>
    </w:lvl>
  </w:abstractNum>
  <w:abstractNum w:abstractNumId="2">
    <w:nsid w:val="86FA8448"/>
    <w:multiLevelType w:val="singleLevel"/>
    <w:tmpl w:val="86FA8448"/>
    <w:lvl w:ilvl="0" w:tentative="0">
      <w:start w:val="2"/>
      <w:numFmt w:val="decimal"/>
      <w:suff w:val="nothing"/>
      <w:lvlText w:val="%1、"/>
      <w:lvlJc w:val="left"/>
    </w:lvl>
  </w:abstractNum>
  <w:abstractNum w:abstractNumId="3">
    <w:nsid w:val="B494AF97"/>
    <w:multiLevelType w:val="singleLevel"/>
    <w:tmpl w:val="B494AF97"/>
    <w:lvl w:ilvl="0" w:tentative="0">
      <w:start w:val="1"/>
      <w:numFmt w:val="decimal"/>
      <w:suff w:val="nothing"/>
      <w:lvlText w:val="%1、"/>
      <w:lvlJc w:val="left"/>
    </w:lvl>
  </w:abstractNum>
  <w:abstractNum w:abstractNumId="4">
    <w:nsid w:val="BFFF0B46"/>
    <w:multiLevelType w:val="singleLevel"/>
    <w:tmpl w:val="BFFF0B46"/>
    <w:lvl w:ilvl="0" w:tentative="0">
      <w:start w:val="1"/>
      <w:numFmt w:val="chineseCounting"/>
      <w:suff w:val="nothing"/>
      <w:lvlText w:val="（%1）"/>
      <w:lvlJc w:val="left"/>
      <w:rPr>
        <w:rFonts w:hint="eastAsia"/>
      </w:rPr>
    </w:lvl>
  </w:abstractNum>
  <w:abstractNum w:abstractNumId="5">
    <w:nsid w:val="C111FECF"/>
    <w:multiLevelType w:val="singleLevel"/>
    <w:tmpl w:val="C111FECF"/>
    <w:lvl w:ilvl="0" w:tentative="0">
      <w:start w:val="1"/>
      <w:numFmt w:val="decimal"/>
      <w:suff w:val="nothing"/>
      <w:lvlText w:val="%1、"/>
      <w:lvlJc w:val="left"/>
    </w:lvl>
  </w:abstractNum>
  <w:abstractNum w:abstractNumId="6">
    <w:nsid w:val="CF83820E"/>
    <w:multiLevelType w:val="singleLevel"/>
    <w:tmpl w:val="CF83820E"/>
    <w:lvl w:ilvl="0" w:tentative="0">
      <w:start w:val="1"/>
      <w:numFmt w:val="decimal"/>
      <w:suff w:val="space"/>
      <w:lvlText w:val="%1."/>
      <w:lvlJc w:val="left"/>
    </w:lvl>
  </w:abstractNum>
  <w:abstractNum w:abstractNumId="7">
    <w:nsid w:val="D92D22F2"/>
    <w:multiLevelType w:val="singleLevel"/>
    <w:tmpl w:val="D92D22F2"/>
    <w:lvl w:ilvl="0" w:tentative="0">
      <w:start w:val="3"/>
      <w:numFmt w:val="chineseCounting"/>
      <w:suff w:val="space"/>
      <w:lvlText w:val="第%1章"/>
      <w:lvlJc w:val="left"/>
      <w:rPr>
        <w:rFonts w:hint="eastAsia"/>
      </w:rPr>
    </w:lvl>
  </w:abstractNum>
  <w:abstractNum w:abstractNumId="8">
    <w:nsid w:val="F09D5A8A"/>
    <w:multiLevelType w:val="singleLevel"/>
    <w:tmpl w:val="F09D5A8A"/>
    <w:lvl w:ilvl="0" w:tentative="0">
      <w:start w:val="1"/>
      <w:numFmt w:val="decimal"/>
      <w:lvlText w:val="(%1)"/>
      <w:lvlJc w:val="left"/>
      <w:pPr>
        <w:ind w:left="425" w:hanging="425"/>
      </w:pPr>
      <w:rPr>
        <w:rFonts w:hint="default"/>
      </w:rPr>
    </w:lvl>
  </w:abstractNum>
  <w:abstractNum w:abstractNumId="9">
    <w:nsid w:val="FE968CBB"/>
    <w:multiLevelType w:val="singleLevel"/>
    <w:tmpl w:val="FE968CBB"/>
    <w:lvl w:ilvl="0" w:tentative="0">
      <w:start w:val="1"/>
      <w:numFmt w:val="decimal"/>
      <w:suff w:val="nothing"/>
      <w:lvlText w:val="%1、"/>
      <w:lvlJc w:val="left"/>
    </w:lvl>
  </w:abstractNum>
  <w:abstractNum w:abstractNumId="10">
    <w:nsid w:val="1509F3E0"/>
    <w:multiLevelType w:val="singleLevel"/>
    <w:tmpl w:val="1509F3E0"/>
    <w:lvl w:ilvl="0" w:tentative="0">
      <w:start w:val="7"/>
      <w:numFmt w:val="chineseCounting"/>
      <w:suff w:val="nothing"/>
      <w:lvlText w:val="第%1条　"/>
      <w:lvlJc w:val="left"/>
      <w:rPr>
        <w:rFonts w:hint="eastAsia"/>
      </w:rPr>
    </w:lvl>
  </w:abstractNum>
  <w:abstractNum w:abstractNumId="11">
    <w:nsid w:val="416049F2"/>
    <w:multiLevelType w:val="singleLevel"/>
    <w:tmpl w:val="416049F2"/>
    <w:lvl w:ilvl="0" w:tentative="0">
      <w:start w:val="1"/>
      <w:numFmt w:val="decimal"/>
      <w:suff w:val="nothing"/>
      <w:lvlText w:val="%1、"/>
      <w:lvlJc w:val="left"/>
    </w:lvl>
  </w:abstractNum>
  <w:abstractNum w:abstractNumId="12">
    <w:nsid w:val="4C601917"/>
    <w:multiLevelType w:val="singleLevel"/>
    <w:tmpl w:val="4C601917"/>
    <w:lvl w:ilvl="0" w:tentative="0">
      <w:start w:val="1"/>
      <w:numFmt w:val="decimal"/>
      <w:suff w:val="nothing"/>
      <w:lvlText w:val="（%1）"/>
      <w:lvlJc w:val="left"/>
      <w:pPr>
        <w:ind w:left="-2"/>
      </w:pPr>
    </w:lvl>
  </w:abstractNum>
  <w:abstractNum w:abstractNumId="13">
    <w:nsid w:val="5EC988FC"/>
    <w:multiLevelType w:val="singleLevel"/>
    <w:tmpl w:val="5EC988FC"/>
    <w:lvl w:ilvl="0" w:tentative="0">
      <w:start w:val="1"/>
      <w:numFmt w:val="chineseCounting"/>
      <w:suff w:val="nothing"/>
      <w:lvlText w:val="%1、"/>
      <w:lvlJc w:val="left"/>
      <w:rPr>
        <w:rFonts w:hint="eastAsia"/>
      </w:rPr>
    </w:lvl>
  </w:abstractNum>
  <w:abstractNum w:abstractNumId="14">
    <w:nsid w:val="5F5BA753"/>
    <w:multiLevelType w:val="singleLevel"/>
    <w:tmpl w:val="5F5BA753"/>
    <w:lvl w:ilvl="0" w:tentative="0">
      <w:start w:val="1"/>
      <w:numFmt w:val="decimal"/>
      <w:suff w:val="nothing"/>
      <w:lvlText w:val="%1、"/>
      <w:lvlJc w:val="left"/>
    </w:lvl>
  </w:abstractNum>
  <w:abstractNum w:abstractNumId="15">
    <w:nsid w:val="5FABD14B"/>
    <w:multiLevelType w:val="singleLevel"/>
    <w:tmpl w:val="5FABD14B"/>
    <w:lvl w:ilvl="0" w:tentative="0">
      <w:start w:val="1"/>
      <w:numFmt w:val="decimal"/>
      <w:suff w:val="nothing"/>
      <w:lvlText w:val="（%1）"/>
      <w:lvlJc w:val="left"/>
    </w:lvl>
  </w:abstractNum>
  <w:abstractNum w:abstractNumId="16">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7">
    <w:nsid w:val="75B67BA7"/>
    <w:multiLevelType w:val="singleLevel"/>
    <w:tmpl w:val="75B67BA7"/>
    <w:lvl w:ilvl="0" w:tentative="0">
      <w:start w:val="1"/>
      <w:numFmt w:val="decimal"/>
      <w:suff w:val="nothing"/>
      <w:lvlText w:val="%1、"/>
      <w:lvlJc w:val="left"/>
    </w:lvl>
  </w:abstractNum>
  <w:abstractNum w:abstractNumId="1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6"/>
  </w:num>
  <w:num w:numId="2">
    <w:abstractNumId w:val="13"/>
  </w:num>
  <w:num w:numId="3">
    <w:abstractNumId w:val="2"/>
  </w:num>
  <w:num w:numId="4">
    <w:abstractNumId w:val="8"/>
  </w:num>
  <w:num w:numId="5">
    <w:abstractNumId w:val="6"/>
  </w:num>
  <w:num w:numId="6">
    <w:abstractNumId w:val="3"/>
  </w:num>
  <w:num w:numId="7">
    <w:abstractNumId w:val="5"/>
  </w:num>
  <w:num w:numId="8">
    <w:abstractNumId w:val="7"/>
  </w:num>
  <w:num w:numId="9">
    <w:abstractNumId w:val="1"/>
  </w:num>
  <w:num w:numId="10">
    <w:abstractNumId w:val="12"/>
  </w:num>
  <w:num w:numId="11">
    <w:abstractNumId w:val="15"/>
  </w:num>
  <w:num w:numId="12">
    <w:abstractNumId w:val="11"/>
  </w:num>
  <w:num w:numId="13">
    <w:abstractNumId w:val="14"/>
  </w:num>
  <w:num w:numId="14">
    <w:abstractNumId w:val="17"/>
  </w:num>
  <w:num w:numId="15">
    <w:abstractNumId w:val="9"/>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MjM3YzA0ZjBkNTk1MmQxMGU4NTE2MmZkODQ3Nzc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0FEB"/>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267"/>
    <w:rsid w:val="00014D89"/>
    <w:rsid w:val="00014DD9"/>
    <w:rsid w:val="00014EE0"/>
    <w:rsid w:val="000151E4"/>
    <w:rsid w:val="00015577"/>
    <w:rsid w:val="000156E4"/>
    <w:rsid w:val="000159A7"/>
    <w:rsid w:val="00015C9A"/>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5CA"/>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A61"/>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2E32"/>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1EDC"/>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94E"/>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BE3"/>
    <w:rsid w:val="000D6CE7"/>
    <w:rsid w:val="000D6E38"/>
    <w:rsid w:val="000D6E63"/>
    <w:rsid w:val="000D711C"/>
    <w:rsid w:val="000D7B6E"/>
    <w:rsid w:val="000D7D2A"/>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139"/>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60E"/>
    <w:rsid w:val="00102946"/>
    <w:rsid w:val="00102FBF"/>
    <w:rsid w:val="0010333D"/>
    <w:rsid w:val="0010372A"/>
    <w:rsid w:val="00103F41"/>
    <w:rsid w:val="00104662"/>
    <w:rsid w:val="00104CBD"/>
    <w:rsid w:val="00104F34"/>
    <w:rsid w:val="0010519C"/>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30A8"/>
    <w:rsid w:val="00163233"/>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460"/>
    <w:rsid w:val="001A0D25"/>
    <w:rsid w:val="001A0E14"/>
    <w:rsid w:val="001A1570"/>
    <w:rsid w:val="001A1917"/>
    <w:rsid w:val="001A1C64"/>
    <w:rsid w:val="001A1DFB"/>
    <w:rsid w:val="001A1E7F"/>
    <w:rsid w:val="001A2918"/>
    <w:rsid w:val="001A2D02"/>
    <w:rsid w:val="001A3076"/>
    <w:rsid w:val="001A3163"/>
    <w:rsid w:val="001A31A5"/>
    <w:rsid w:val="001A3450"/>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10CE"/>
    <w:rsid w:val="001B2104"/>
    <w:rsid w:val="001B2151"/>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1F7CA7"/>
    <w:rsid w:val="00200FCD"/>
    <w:rsid w:val="0020125C"/>
    <w:rsid w:val="0020130D"/>
    <w:rsid w:val="00201916"/>
    <w:rsid w:val="00201D06"/>
    <w:rsid w:val="00201E9F"/>
    <w:rsid w:val="00202F25"/>
    <w:rsid w:val="00202FA3"/>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D6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2A"/>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52"/>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C74"/>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B63"/>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49C"/>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12F"/>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897"/>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3BF"/>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2EFD"/>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3F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26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4F9A"/>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07F"/>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6DD6"/>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3E37"/>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CBE"/>
    <w:rsid w:val="00616D0C"/>
    <w:rsid w:val="00616EE6"/>
    <w:rsid w:val="0061717E"/>
    <w:rsid w:val="006171FB"/>
    <w:rsid w:val="00617283"/>
    <w:rsid w:val="00617A2A"/>
    <w:rsid w:val="006207F4"/>
    <w:rsid w:val="00620C67"/>
    <w:rsid w:val="00620D09"/>
    <w:rsid w:val="00621646"/>
    <w:rsid w:val="00621803"/>
    <w:rsid w:val="00621A34"/>
    <w:rsid w:val="006220F1"/>
    <w:rsid w:val="00623E46"/>
    <w:rsid w:val="00624604"/>
    <w:rsid w:val="00624D2C"/>
    <w:rsid w:val="00624F7F"/>
    <w:rsid w:val="00625142"/>
    <w:rsid w:val="00625145"/>
    <w:rsid w:val="0062525F"/>
    <w:rsid w:val="00626069"/>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26F"/>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E90"/>
    <w:rsid w:val="00651FB8"/>
    <w:rsid w:val="0065203F"/>
    <w:rsid w:val="006520D5"/>
    <w:rsid w:val="0065239B"/>
    <w:rsid w:val="00652BA0"/>
    <w:rsid w:val="00652D24"/>
    <w:rsid w:val="00653045"/>
    <w:rsid w:val="00653A25"/>
    <w:rsid w:val="00653D93"/>
    <w:rsid w:val="00653FDA"/>
    <w:rsid w:val="006541A0"/>
    <w:rsid w:val="00654E99"/>
    <w:rsid w:val="00655104"/>
    <w:rsid w:val="0065548F"/>
    <w:rsid w:val="00655633"/>
    <w:rsid w:val="006559BB"/>
    <w:rsid w:val="00655D93"/>
    <w:rsid w:val="00655E86"/>
    <w:rsid w:val="00656614"/>
    <w:rsid w:val="006569D5"/>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6F9B"/>
    <w:rsid w:val="00697053"/>
    <w:rsid w:val="0069761A"/>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B91"/>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75A"/>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3D1B"/>
    <w:rsid w:val="006F4036"/>
    <w:rsid w:val="006F428E"/>
    <w:rsid w:val="006F48E1"/>
    <w:rsid w:val="006F4FA0"/>
    <w:rsid w:val="006F5096"/>
    <w:rsid w:val="006F5160"/>
    <w:rsid w:val="006F5374"/>
    <w:rsid w:val="006F57D7"/>
    <w:rsid w:val="006F5C15"/>
    <w:rsid w:val="006F5F1A"/>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31CF"/>
    <w:rsid w:val="007133C0"/>
    <w:rsid w:val="00713613"/>
    <w:rsid w:val="007137C6"/>
    <w:rsid w:val="007138FC"/>
    <w:rsid w:val="0071393D"/>
    <w:rsid w:val="00713E79"/>
    <w:rsid w:val="00714245"/>
    <w:rsid w:val="00714A14"/>
    <w:rsid w:val="00715441"/>
    <w:rsid w:val="00715471"/>
    <w:rsid w:val="00715739"/>
    <w:rsid w:val="0071576C"/>
    <w:rsid w:val="00715C94"/>
    <w:rsid w:val="007165F0"/>
    <w:rsid w:val="00716A09"/>
    <w:rsid w:val="007170DB"/>
    <w:rsid w:val="00717880"/>
    <w:rsid w:val="00717CA8"/>
    <w:rsid w:val="007205E7"/>
    <w:rsid w:val="007209C4"/>
    <w:rsid w:val="00720A51"/>
    <w:rsid w:val="00720A9F"/>
    <w:rsid w:val="00721E9E"/>
    <w:rsid w:val="007227FE"/>
    <w:rsid w:val="007233C3"/>
    <w:rsid w:val="00723C95"/>
    <w:rsid w:val="007244E7"/>
    <w:rsid w:val="0072505F"/>
    <w:rsid w:val="00725B00"/>
    <w:rsid w:val="00726300"/>
    <w:rsid w:val="0072680C"/>
    <w:rsid w:val="00726B3D"/>
    <w:rsid w:val="00726C64"/>
    <w:rsid w:val="007310B7"/>
    <w:rsid w:val="007310DE"/>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44DF"/>
    <w:rsid w:val="00765366"/>
    <w:rsid w:val="00765914"/>
    <w:rsid w:val="00765AC2"/>
    <w:rsid w:val="0076614D"/>
    <w:rsid w:val="0076624C"/>
    <w:rsid w:val="0076627D"/>
    <w:rsid w:val="00766304"/>
    <w:rsid w:val="00766648"/>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14"/>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4BE8"/>
    <w:rsid w:val="007859FC"/>
    <w:rsid w:val="00785F1E"/>
    <w:rsid w:val="00785F4C"/>
    <w:rsid w:val="0078609C"/>
    <w:rsid w:val="00786355"/>
    <w:rsid w:val="00786DA3"/>
    <w:rsid w:val="00787370"/>
    <w:rsid w:val="007874AE"/>
    <w:rsid w:val="0078750B"/>
    <w:rsid w:val="00787F5E"/>
    <w:rsid w:val="0079024D"/>
    <w:rsid w:val="00791069"/>
    <w:rsid w:val="007911B8"/>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84"/>
    <w:rsid w:val="00820D3A"/>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64"/>
    <w:rsid w:val="00853FD8"/>
    <w:rsid w:val="00854053"/>
    <w:rsid w:val="008543AC"/>
    <w:rsid w:val="008548B8"/>
    <w:rsid w:val="00854965"/>
    <w:rsid w:val="00855298"/>
    <w:rsid w:val="008554D1"/>
    <w:rsid w:val="008558E0"/>
    <w:rsid w:val="00855E52"/>
    <w:rsid w:val="008569E0"/>
    <w:rsid w:val="00857AF7"/>
    <w:rsid w:val="00857BE5"/>
    <w:rsid w:val="00860109"/>
    <w:rsid w:val="008601BD"/>
    <w:rsid w:val="00860359"/>
    <w:rsid w:val="00860E43"/>
    <w:rsid w:val="00861252"/>
    <w:rsid w:val="0086171A"/>
    <w:rsid w:val="0086226C"/>
    <w:rsid w:val="00863237"/>
    <w:rsid w:val="00863472"/>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67FFD"/>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248"/>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9B1"/>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B0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4FAD"/>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3FC0"/>
    <w:rsid w:val="008F51F0"/>
    <w:rsid w:val="008F57CD"/>
    <w:rsid w:val="008F5960"/>
    <w:rsid w:val="008F5CD0"/>
    <w:rsid w:val="008F629A"/>
    <w:rsid w:val="008F6A9B"/>
    <w:rsid w:val="008F6F03"/>
    <w:rsid w:val="008F7603"/>
    <w:rsid w:val="008F769D"/>
    <w:rsid w:val="008F76B7"/>
    <w:rsid w:val="008F76DC"/>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496"/>
    <w:rsid w:val="009448F2"/>
    <w:rsid w:val="009451E0"/>
    <w:rsid w:val="0094524B"/>
    <w:rsid w:val="009456E3"/>
    <w:rsid w:val="00945759"/>
    <w:rsid w:val="00945925"/>
    <w:rsid w:val="009466E9"/>
    <w:rsid w:val="00946CB3"/>
    <w:rsid w:val="00946D20"/>
    <w:rsid w:val="00946E51"/>
    <w:rsid w:val="009473F4"/>
    <w:rsid w:val="0094767D"/>
    <w:rsid w:val="00950231"/>
    <w:rsid w:val="0095047C"/>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67AFC"/>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3AA3"/>
    <w:rsid w:val="00984149"/>
    <w:rsid w:val="00984788"/>
    <w:rsid w:val="00984909"/>
    <w:rsid w:val="00984FF3"/>
    <w:rsid w:val="00984FF9"/>
    <w:rsid w:val="009850C5"/>
    <w:rsid w:val="0098516C"/>
    <w:rsid w:val="00985208"/>
    <w:rsid w:val="00985CDD"/>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857"/>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5BB"/>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4B9"/>
    <w:rsid w:val="00A0187E"/>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585"/>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002"/>
    <w:rsid w:val="00AA5C0B"/>
    <w:rsid w:val="00AA5E3B"/>
    <w:rsid w:val="00AA63AD"/>
    <w:rsid w:val="00AA65B4"/>
    <w:rsid w:val="00AA6A75"/>
    <w:rsid w:val="00AA745E"/>
    <w:rsid w:val="00AB04AB"/>
    <w:rsid w:val="00AB0733"/>
    <w:rsid w:val="00AB09D2"/>
    <w:rsid w:val="00AB0B64"/>
    <w:rsid w:val="00AB0C30"/>
    <w:rsid w:val="00AB176B"/>
    <w:rsid w:val="00AB2C5F"/>
    <w:rsid w:val="00AB35C0"/>
    <w:rsid w:val="00AB37E6"/>
    <w:rsid w:val="00AB3DBA"/>
    <w:rsid w:val="00AB431C"/>
    <w:rsid w:val="00AB470E"/>
    <w:rsid w:val="00AB4C80"/>
    <w:rsid w:val="00AB506B"/>
    <w:rsid w:val="00AB5467"/>
    <w:rsid w:val="00AB5883"/>
    <w:rsid w:val="00AB5A50"/>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021"/>
    <w:rsid w:val="00AD7154"/>
    <w:rsid w:val="00AD797D"/>
    <w:rsid w:val="00AD7E02"/>
    <w:rsid w:val="00AE0034"/>
    <w:rsid w:val="00AE0483"/>
    <w:rsid w:val="00AE08DD"/>
    <w:rsid w:val="00AE13BD"/>
    <w:rsid w:val="00AE1ABF"/>
    <w:rsid w:val="00AE1AF9"/>
    <w:rsid w:val="00AE1E60"/>
    <w:rsid w:val="00AE2068"/>
    <w:rsid w:val="00AE2258"/>
    <w:rsid w:val="00AE25FA"/>
    <w:rsid w:val="00AE2737"/>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4EE4"/>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766"/>
    <w:rsid w:val="00C049BE"/>
    <w:rsid w:val="00C04A71"/>
    <w:rsid w:val="00C04DF0"/>
    <w:rsid w:val="00C05A4C"/>
    <w:rsid w:val="00C05A67"/>
    <w:rsid w:val="00C061BA"/>
    <w:rsid w:val="00C0632D"/>
    <w:rsid w:val="00C0641F"/>
    <w:rsid w:val="00C06C9A"/>
    <w:rsid w:val="00C06E6F"/>
    <w:rsid w:val="00C075DB"/>
    <w:rsid w:val="00C07EBA"/>
    <w:rsid w:val="00C07FBC"/>
    <w:rsid w:val="00C100E2"/>
    <w:rsid w:val="00C100E7"/>
    <w:rsid w:val="00C11035"/>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372"/>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2D08"/>
    <w:rsid w:val="00C63DED"/>
    <w:rsid w:val="00C63E88"/>
    <w:rsid w:val="00C6436D"/>
    <w:rsid w:val="00C64F97"/>
    <w:rsid w:val="00C65585"/>
    <w:rsid w:val="00C656EB"/>
    <w:rsid w:val="00C65DF4"/>
    <w:rsid w:val="00C667F0"/>
    <w:rsid w:val="00C66AC8"/>
    <w:rsid w:val="00C677F7"/>
    <w:rsid w:val="00C67B49"/>
    <w:rsid w:val="00C711F5"/>
    <w:rsid w:val="00C713A1"/>
    <w:rsid w:val="00C71828"/>
    <w:rsid w:val="00C72105"/>
    <w:rsid w:val="00C73D86"/>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A8D"/>
    <w:rsid w:val="00C85E9B"/>
    <w:rsid w:val="00C874C8"/>
    <w:rsid w:val="00C90165"/>
    <w:rsid w:val="00C902DA"/>
    <w:rsid w:val="00C90733"/>
    <w:rsid w:val="00C910F3"/>
    <w:rsid w:val="00C921C4"/>
    <w:rsid w:val="00C9235F"/>
    <w:rsid w:val="00C9257F"/>
    <w:rsid w:val="00C9302E"/>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92B"/>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EF9"/>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17D56"/>
    <w:rsid w:val="00D2058D"/>
    <w:rsid w:val="00D206BC"/>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6E1"/>
    <w:rsid w:val="00D36105"/>
    <w:rsid w:val="00D40609"/>
    <w:rsid w:val="00D40983"/>
    <w:rsid w:val="00D40B3B"/>
    <w:rsid w:val="00D41188"/>
    <w:rsid w:val="00D417D3"/>
    <w:rsid w:val="00D418D5"/>
    <w:rsid w:val="00D41DB1"/>
    <w:rsid w:val="00D42147"/>
    <w:rsid w:val="00D4276D"/>
    <w:rsid w:val="00D42798"/>
    <w:rsid w:val="00D42970"/>
    <w:rsid w:val="00D42B17"/>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57786"/>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3E"/>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B63"/>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075"/>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2E5"/>
    <w:rsid w:val="00ED0453"/>
    <w:rsid w:val="00ED04FE"/>
    <w:rsid w:val="00ED0DD0"/>
    <w:rsid w:val="00ED1122"/>
    <w:rsid w:val="00ED1989"/>
    <w:rsid w:val="00ED28F2"/>
    <w:rsid w:val="00ED2F3E"/>
    <w:rsid w:val="00ED3145"/>
    <w:rsid w:val="00ED3309"/>
    <w:rsid w:val="00ED356E"/>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3FCC"/>
    <w:rsid w:val="00EF49FB"/>
    <w:rsid w:val="00EF4E2D"/>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E75"/>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89B"/>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2B9B"/>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0F3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D7DF3"/>
    <w:rsid w:val="00FE011C"/>
    <w:rsid w:val="00FE0458"/>
    <w:rsid w:val="00FE07DC"/>
    <w:rsid w:val="00FE08FB"/>
    <w:rsid w:val="00FE1116"/>
    <w:rsid w:val="00FE2075"/>
    <w:rsid w:val="00FE2080"/>
    <w:rsid w:val="00FE209E"/>
    <w:rsid w:val="00FE27B9"/>
    <w:rsid w:val="00FE2E37"/>
    <w:rsid w:val="00FE30EF"/>
    <w:rsid w:val="00FE3640"/>
    <w:rsid w:val="00FE36B6"/>
    <w:rsid w:val="00FE3780"/>
    <w:rsid w:val="00FE3954"/>
    <w:rsid w:val="00FE3AE5"/>
    <w:rsid w:val="00FE3CF7"/>
    <w:rsid w:val="00FE4071"/>
    <w:rsid w:val="00FE42E3"/>
    <w:rsid w:val="00FE4854"/>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3D2F2E"/>
    <w:rsid w:val="014D7AC0"/>
    <w:rsid w:val="01505F15"/>
    <w:rsid w:val="0159301C"/>
    <w:rsid w:val="01635C49"/>
    <w:rsid w:val="016C0FA1"/>
    <w:rsid w:val="01747E56"/>
    <w:rsid w:val="017936BE"/>
    <w:rsid w:val="017B7436"/>
    <w:rsid w:val="018750D4"/>
    <w:rsid w:val="01AA2C10"/>
    <w:rsid w:val="01B70956"/>
    <w:rsid w:val="01F55459"/>
    <w:rsid w:val="01FD7C1C"/>
    <w:rsid w:val="022C5CBA"/>
    <w:rsid w:val="023A5E67"/>
    <w:rsid w:val="026223A4"/>
    <w:rsid w:val="02676625"/>
    <w:rsid w:val="02753E85"/>
    <w:rsid w:val="02B32C00"/>
    <w:rsid w:val="02B73399"/>
    <w:rsid w:val="02B80216"/>
    <w:rsid w:val="02DB675D"/>
    <w:rsid w:val="0300236B"/>
    <w:rsid w:val="03007C0D"/>
    <w:rsid w:val="0305026F"/>
    <w:rsid w:val="03065D3F"/>
    <w:rsid w:val="032F672A"/>
    <w:rsid w:val="03382A89"/>
    <w:rsid w:val="035A6548"/>
    <w:rsid w:val="0374518A"/>
    <w:rsid w:val="037738D8"/>
    <w:rsid w:val="03806F86"/>
    <w:rsid w:val="03836AF7"/>
    <w:rsid w:val="038F71C9"/>
    <w:rsid w:val="03977E2B"/>
    <w:rsid w:val="03AD58A1"/>
    <w:rsid w:val="03E73308"/>
    <w:rsid w:val="04272850"/>
    <w:rsid w:val="042F62B6"/>
    <w:rsid w:val="04460CB5"/>
    <w:rsid w:val="04504BAA"/>
    <w:rsid w:val="04770389"/>
    <w:rsid w:val="047A5783"/>
    <w:rsid w:val="04802709"/>
    <w:rsid w:val="04BF3ADE"/>
    <w:rsid w:val="04C64E6C"/>
    <w:rsid w:val="04CB3BFD"/>
    <w:rsid w:val="04CD5D15"/>
    <w:rsid w:val="04D1736D"/>
    <w:rsid w:val="04DC4690"/>
    <w:rsid w:val="04E565D4"/>
    <w:rsid w:val="04F03C97"/>
    <w:rsid w:val="04F76B05"/>
    <w:rsid w:val="04FA52B7"/>
    <w:rsid w:val="05030478"/>
    <w:rsid w:val="050414F1"/>
    <w:rsid w:val="050C6262"/>
    <w:rsid w:val="051B7B8F"/>
    <w:rsid w:val="051F15AE"/>
    <w:rsid w:val="052E66A1"/>
    <w:rsid w:val="053022E6"/>
    <w:rsid w:val="054212D5"/>
    <w:rsid w:val="05565748"/>
    <w:rsid w:val="05594913"/>
    <w:rsid w:val="05740424"/>
    <w:rsid w:val="05A64AE0"/>
    <w:rsid w:val="05D2339D"/>
    <w:rsid w:val="06020126"/>
    <w:rsid w:val="06240462"/>
    <w:rsid w:val="062E2486"/>
    <w:rsid w:val="06590826"/>
    <w:rsid w:val="06606BFB"/>
    <w:rsid w:val="06693D01"/>
    <w:rsid w:val="067B11C0"/>
    <w:rsid w:val="068955F4"/>
    <w:rsid w:val="06964565"/>
    <w:rsid w:val="069C2064"/>
    <w:rsid w:val="06E14CBE"/>
    <w:rsid w:val="06FF6413"/>
    <w:rsid w:val="071A16D5"/>
    <w:rsid w:val="073E518E"/>
    <w:rsid w:val="073F0F06"/>
    <w:rsid w:val="074260DA"/>
    <w:rsid w:val="07463076"/>
    <w:rsid w:val="074A3B33"/>
    <w:rsid w:val="07504EC1"/>
    <w:rsid w:val="075F0692"/>
    <w:rsid w:val="076646E5"/>
    <w:rsid w:val="077C4DF2"/>
    <w:rsid w:val="07844A8B"/>
    <w:rsid w:val="07B23029"/>
    <w:rsid w:val="07B92E8A"/>
    <w:rsid w:val="07CC56E3"/>
    <w:rsid w:val="07DB054A"/>
    <w:rsid w:val="07E721A6"/>
    <w:rsid w:val="07EB3BFC"/>
    <w:rsid w:val="0811685E"/>
    <w:rsid w:val="082A3964"/>
    <w:rsid w:val="083D2AF4"/>
    <w:rsid w:val="08536A17"/>
    <w:rsid w:val="085D0370"/>
    <w:rsid w:val="086C7AD9"/>
    <w:rsid w:val="086F18EA"/>
    <w:rsid w:val="08845D57"/>
    <w:rsid w:val="08C00BE2"/>
    <w:rsid w:val="08C96A20"/>
    <w:rsid w:val="08DF64FD"/>
    <w:rsid w:val="08E6152E"/>
    <w:rsid w:val="08ED6E6B"/>
    <w:rsid w:val="08F53B23"/>
    <w:rsid w:val="09005A3D"/>
    <w:rsid w:val="09045F63"/>
    <w:rsid w:val="09062B40"/>
    <w:rsid w:val="091042E1"/>
    <w:rsid w:val="091C13C7"/>
    <w:rsid w:val="093254B1"/>
    <w:rsid w:val="093920B1"/>
    <w:rsid w:val="094576C5"/>
    <w:rsid w:val="09523172"/>
    <w:rsid w:val="09656CA2"/>
    <w:rsid w:val="097E5D15"/>
    <w:rsid w:val="098B0432"/>
    <w:rsid w:val="09973ECA"/>
    <w:rsid w:val="09C50FAF"/>
    <w:rsid w:val="09C83435"/>
    <w:rsid w:val="09D74819"/>
    <w:rsid w:val="0A053C89"/>
    <w:rsid w:val="0A070656"/>
    <w:rsid w:val="0A326B00"/>
    <w:rsid w:val="0A5F5B47"/>
    <w:rsid w:val="0A687358"/>
    <w:rsid w:val="0A786C09"/>
    <w:rsid w:val="0A913ED8"/>
    <w:rsid w:val="0AA24A42"/>
    <w:rsid w:val="0AFD2C6A"/>
    <w:rsid w:val="0B043FF8"/>
    <w:rsid w:val="0B1F0E32"/>
    <w:rsid w:val="0B21525C"/>
    <w:rsid w:val="0B24171E"/>
    <w:rsid w:val="0B246449"/>
    <w:rsid w:val="0B2705C9"/>
    <w:rsid w:val="0B39659C"/>
    <w:rsid w:val="0B424B21"/>
    <w:rsid w:val="0B522AC1"/>
    <w:rsid w:val="0B5C3243"/>
    <w:rsid w:val="0B5E59FA"/>
    <w:rsid w:val="0B995C03"/>
    <w:rsid w:val="0B9A50A9"/>
    <w:rsid w:val="0BAD59A4"/>
    <w:rsid w:val="0BAF665A"/>
    <w:rsid w:val="0BB871D6"/>
    <w:rsid w:val="0BBF0E59"/>
    <w:rsid w:val="0BC52C41"/>
    <w:rsid w:val="0BDD7C8A"/>
    <w:rsid w:val="0BFF7DA9"/>
    <w:rsid w:val="0C19598C"/>
    <w:rsid w:val="0C357211"/>
    <w:rsid w:val="0C466B45"/>
    <w:rsid w:val="0C5B7903"/>
    <w:rsid w:val="0C6F08ED"/>
    <w:rsid w:val="0CA04578"/>
    <w:rsid w:val="0CD45C4C"/>
    <w:rsid w:val="0CDF5AF2"/>
    <w:rsid w:val="0CE033AE"/>
    <w:rsid w:val="0D074EB0"/>
    <w:rsid w:val="0D110C4F"/>
    <w:rsid w:val="0D2E6FBA"/>
    <w:rsid w:val="0D407BD1"/>
    <w:rsid w:val="0D430B48"/>
    <w:rsid w:val="0D4A3B9B"/>
    <w:rsid w:val="0D584403"/>
    <w:rsid w:val="0D5D20E6"/>
    <w:rsid w:val="0D6B71B3"/>
    <w:rsid w:val="0D7F305A"/>
    <w:rsid w:val="0D8238FA"/>
    <w:rsid w:val="0D885833"/>
    <w:rsid w:val="0D8E6743"/>
    <w:rsid w:val="0D8F76E7"/>
    <w:rsid w:val="0D9760BE"/>
    <w:rsid w:val="0DB317B6"/>
    <w:rsid w:val="0DB6381A"/>
    <w:rsid w:val="0DC43F13"/>
    <w:rsid w:val="0DEE7765"/>
    <w:rsid w:val="0E067E80"/>
    <w:rsid w:val="0E083E00"/>
    <w:rsid w:val="0E100F06"/>
    <w:rsid w:val="0E1E4B6A"/>
    <w:rsid w:val="0E28217C"/>
    <w:rsid w:val="0E3707D5"/>
    <w:rsid w:val="0E3B2427"/>
    <w:rsid w:val="0E3E3CC5"/>
    <w:rsid w:val="0E947D89"/>
    <w:rsid w:val="0EC8358F"/>
    <w:rsid w:val="0ED343D9"/>
    <w:rsid w:val="0ED463D8"/>
    <w:rsid w:val="0ED70174"/>
    <w:rsid w:val="0EE53B7D"/>
    <w:rsid w:val="0EEE7499"/>
    <w:rsid w:val="0F063AE5"/>
    <w:rsid w:val="0F0804C8"/>
    <w:rsid w:val="0F113188"/>
    <w:rsid w:val="0F196D3A"/>
    <w:rsid w:val="0F204221"/>
    <w:rsid w:val="0F225395"/>
    <w:rsid w:val="0F243E3E"/>
    <w:rsid w:val="0F2B5D1F"/>
    <w:rsid w:val="0F2D7FC5"/>
    <w:rsid w:val="0F3C2F15"/>
    <w:rsid w:val="0F4B5E65"/>
    <w:rsid w:val="0F4E6166"/>
    <w:rsid w:val="0F8B4CE8"/>
    <w:rsid w:val="0F977B31"/>
    <w:rsid w:val="0FB2443E"/>
    <w:rsid w:val="0FB24C49"/>
    <w:rsid w:val="0FDD2F99"/>
    <w:rsid w:val="0FE443F8"/>
    <w:rsid w:val="0FE84CF1"/>
    <w:rsid w:val="0FED7751"/>
    <w:rsid w:val="0FF45E0F"/>
    <w:rsid w:val="10172A20"/>
    <w:rsid w:val="101C0A97"/>
    <w:rsid w:val="10394D13"/>
    <w:rsid w:val="103A04BC"/>
    <w:rsid w:val="103E7FAD"/>
    <w:rsid w:val="104A4BA3"/>
    <w:rsid w:val="10725EA8"/>
    <w:rsid w:val="109E6C9D"/>
    <w:rsid w:val="10D204C2"/>
    <w:rsid w:val="10E6462C"/>
    <w:rsid w:val="10E87D46"/>
    <w:rsid w:val="10F67974"/>
    <w:rsid w:val="11124F95"/>
    <w:rsid w:val="111B02EE"/>
    <w:rsid w:val="11254CC9"/>
    <w:rsid w:val="113B1891"/>
    <w:rsid w:val="11744246"/>
    <w:rsid w:val="11797F0B"/>
    <w:rsid w:val="11A26319"/>
    <w:rsid w:val="11BD3AF5"/>
    <w:rsid w:val="11C84587"/>
    <w:rsid w:val="11C95105"/>
    <w:rsid w:val="11C97D4A"/>
    <w:rsid w:val="11CA3164"/>
    <w:rsid w:val="11CB5358"/>
    <w:rsid w:val="11F748B7"/>
    <w:rsid w:val="11FB025F"/>
    <w:rsid w:val="120B14EA"/>
    <w:rsid w:val="120D20D8"/>
    <w:rsid w:val="121962C3"/>
    <w:rsid w:val="123029BC"/>
    <w:rsid w:val="123E2862"/>
    <w:rsid w:val="12463148"/>
    <w:rsid w:val="12685FCD"/>
    <w:rsid w:val="126D2DCB"/>
    <w:rsid w:val="128E689D"/>
    <w:rsid w:val="129E11D6"/>
    <w:rsid w:val="12A63A7D"/>
    <w:rsid w:val="12C306E5"/>
    <w:rsid w:val="12D42E77"/>
    <w:rsid w:val="12D6405D"/>
    <w:rsid w:val="1303728B"/>
    <w:rsid w:val="1312127D"/>
    <w:rsid w:val="131E40C5"/>
    <w:rsid w:val="132A2A6A"/>
    <w:rsid w:val="134639A2"/>
    <w:rsid w:val="134A41EC"/>
    <w:rsid w:val="134F427F"/>
    <w:rsid w:val="1354060D"/>
    <w:rsid w:val="13655850"/>
    <w:rsid w:val="13734411"/>
    <w:rsid w:val="137B32C6"/>
    <w:rsid w:val="138C102F"/>
    <w:rsid w:val="139775C4"/>
    <w:rsid w:val="13E156B5"/>
    <w:rsid w:val="13EF0479"/>
    <w:rsid w:val="1402620C"/>
    <w:rsid w:val="14045069"/>
    <w:rsid w:val="141203A8"/>
    <w:rsid w:val="1412152D"/>
    <w:rsid w:val="14290F74"/>
    <w:rsid w:val="142E0338"/>
    <w:rsid w:val="14364968"/>
    <w:rsid w:val="143E0453"/>
    <w:rsid w:val="143F42F3"/>
    <w:rsid w:val="14460456"/>
    <w:rsid w:val="14664637"/>
    <w:rsid w:val="14684D4E"/>
    <w:rsid w:val="146855F8"/>
    <w:rsid w:val="146C3A9E"/>
    <w:rsid w:val="146F2C7A"/>
    <w:rsid w:val="147765C9"/>
    <w:rsid w:val="14794F90"/>
    <w:rsid w:val="148775B8"/>
    <w:rsid w:val="148B578A"/>
    <w:rsid w:val="149D7965"/>
    <w:rsid w:val="149E4992"/>
    <w:rsid w:val="14A44CEC"/>
    <w:rsid w:val="14A513CF"/>
    <w:rsid w:val="14E024A3"/>
    <w:rsid w:val="14EC214C"/>
    <w:rsid w:val="14EC68A8"/>
    <w:rsid w:val="15202A3E"/>
    <w:rsid w:val="15232F86"/>
    <w:rsid w:val="15284D87"/>
    <w:rsid w:val="156B129A"/>
    <w:rsid w:val="157D1577"/>
    <w:rsid w:val="159B4065"/>
    <w:rsid w:val="15B157C5"/>
    <w:rsid w:val="15CA5E3E"/>
    <w:rsid w:val="15D602EE"/>
    <w:rsid w:val="15FD6214"/>
    <w:rsid w:val="161B146B"/>
    <w:rsid w:val="161F0345"/>
    <w:rsid w:val="16563E13"/>
    <w:rsid w:val="168021C0"/>
    <w:rsid w:val="169F7CD8"/>
    <w:rsid w:val="16A14DF1"/>
    <w:rsid w:val="16A92BBA"/>
    <w:rsid w:val="16FE0496"/>
    <w:rsid w:val="17070C26"/>
    <w:rsid w:val="170E5D26"/>
    <w:rsid w:val="17130E24"/>
    <w:rsid w:val="17171557"/>
    <w:rsid w:val="172A4DE7"/>
    <w:rsid w:val="17393D38"/>
    <w:rsid w:val="17424826"/>
    <w:rsid w:val="17681DB3"/>
    <w:rsid w:val="17694B12"/>
    <w:rsid w:val="177469AA"/>
    <w:rsid w:val="177C0275"/>
    <w:rsid w:val="17AA23CB"/>
    <w:rsid w:val="17B467F6"/>
    <w:rsid w:val="17B80644"/>
    <w:rsid w:val="17BA1F9C"/>
    <w:rsid w:val="17BE59A2"/>
    <w:rsid w:val="17C20BA8"/>
    <w:rsid w:val="1807337A"/>
    <w:rsid w:val="18137F71"/>
    <w:rsid w:val="18185849"/>
    <w:rsid w:val="182201B4"/>
    <w:rsid w:val="18243F2C"/>
    <w:rsid w:val="18294E05"/>
    <w:rsid w:val="18340596"/>
    <w:rsid w:val="18370805"/>
    <w:rsid w:val="183964CA"/>
    <w:rsid w:val="18404B66"/>
    <w:rsid w:val="185145F5"/>
    <w:rsid w:val="18553EC6"/>
    <w:rsid w:val="187D53EA"/>
    <w:rsid w:val="1888270D"/>
    <w:rsid w:val="18BA4890"/>
    <w:rsid w:val="18E134FB"/>
    <w:rsid w:val="19024E0F"/>
    <w:rsid w:val="19033B41"/>
    <w:rsid w:val="19056FF0"/>
    <w:rsid w:val="191A5CC2"/>
    <w:rsid w:val="194F4FD8"/>
    <w:rsid w:val="19520625"/>
    <w:rsid w:val="195C76F5"/>
    <w:rsid w:val="195E397B"/>
    <w:rsid w:val="197728C3"/>
    <w:rsid w:val="198B3B37"/>
    <w:rsid w:val="198F3BE1"/>
    <w:rsid w:val="199155F1"/>
    <w:rsid w:val="199576CF"/>
    <w:rsid w:val="19AE01E2"/>
    <w:rsid w:val="19D07AE3"/>
    <w:rsid w:val="19D159ED"/>
    <w:rsid w:val="19E81C92"/>
    <w:rsid w:val="19F811CC"/>
    <w:rsid w:val="19F90C1E"/>
    <w:rsid w:val="1A1B2776"/>
    <w:rsid w:val="1A204453"/>
    <w:rsid w:val="1A2577BE"/>
    <w:rsid w:val="1A306ECA"/>
    <w:rsid w:val="1A37709D"/>
    <w:rsid w:val="1A442DE9"/>
    <w:rsid w:val="1A49132E"/>
    <w:rsid w:val="1A524EDB"/>
    <w:rsid w:val="1A652345"/>
    <w:rsid w:val="1A766595"/>
    <w:rsid w:val="1A7E323B"/>
    <w:rsid w:val="1A845156"/>
    <w:rsid w:val="1A846F04"/>
    <w:rsid w:val="1AA072AE"/>
    <w:rsid w:val="1AB53AAF"/>
    <w:rsid w:val="1AC612F4"/>
    <w:rsid w:val="1AEC416D"/>
    <w:rsid w:val="1AF851FC"/>
    <w:rsid w:val="1AFB2E83"/>
    <w:rsid w:val="1B1C2662"/>
    <w:rsid w:val="1B3641F5"/>
    <w:rsid w:val="1B746820"/>
    <w:rsid w:val="1B7F05B6"/>
    <w:rsid w:val="1B8015BA"/>
    <w:rsid w:val="1B836942"/>
    <w:rsid w:val="1B854CE1"/>
    <w:rsid w:val="1B8A013A"/>
    <w:rsid w:val="1B8B42C2"/>
    <w:rsid w:val="1B91111F"/>
    <w:rsid w:val="1BB6133F"/>
    <w:rsid w:val="1BC305D3"/>
    <w:rsid w:val="1BD54DF9"/>
    <w:rsid w:val="1BFF31C0"/>
    <w:rsid w:val="1C0741A3"/>
    <w:rsid w:val="1C1962F6"/>
    <w:rsid w:val="1C2A7F82"/>
    <w:rsid w:val="1C2D7127"/>
    <w:rsid w:val="1C4F709D"/>
    <w:rsid w:val="1C782A98"/>
    <w:rsid w:val="1C897CAF"/>
    <w:rsid w:val="1CA5120B"/>
    <w:rsid w:val="1CD55680"/>
    <w:rsid w:val="1CDC3027"/>
    <w:rsid w:val="1CE935AE"/>
    <w:rsid w:val="1CF048B2"/>
    <w:rsid w:val="1CFD4C6D"/>
    <w:rsid w:val="1D005368"/>
    <w:rsid w:val="1D321E13"/>
    <w:rsid w:val="1D3516BF"/>
    <w:rsid w:val="1D3C3AC6"/>
    <w:rsid w:val="1D540A4C"/>
    <w:rsid w:val="1D6951BA"/>
    <w:rsid w:val="1D7C7692"/>
    <w:rsid w:val="1DAF1BED"/>
    <w:rsid w:val="1DB93368"/>
    <w:rsid w:val="1DBC044E"/>
    <w:rsid w:val="1DCA5B98"/>
    <w:rsid w:val="1DE008F5"/>
    <w:rsid w:val="1DEE0F14"/>
    <w:rsid w:val="1DF234B0"/>
    <w:rsid w:val="1DF60118"/>
    <w:rsid w:val="1E0740D4"/>
    <w:rsid w:val="1E192DA5"/>
    <w:rsid w:val="1E1D34C1"/>
    <w:rsid w:val="1E1E141D"/>
    <w:rsid w:val="1E28404A"/>
    <w:rsid w:val="1E3E1819"/>
    <w:rsid w:val="1E917E41"/>
    <w:rsid w:val="1E934CC5"/>
    <w:rsid w:val="1EA87AA7"/>
    <w:rsid w:val="1EAA4A5F"/>
    <w:rsid w:val="1EC713C3"/>
    <w:rsid w:val="1ECF7D55"/>
    <w:rsid w:val="1ED8781E"/>
    <w:rsid w:val="1EDB10BC"/>
    <w:rsid w:val="1EDD76D2"/>
    <w:rsid w:val="1EEB57A3"/>
    <w:rsid w:val="1EF745F5"/>
    <w:rsid w:val="1EFF2FFD"/>
    <w:rsid w:val="1F0B7BF4"/>
    <w:rsid w:val="1F233752"/>
    <w:rsid w:val="1F2E2860"/>
    <w:rsid w:val="1F4849CA"/>
    <w:rsid w:val="1F501ED3"/>
    <w:rsid w:val="1F582B4E"/>
    <w:rsid w:val="1F721A21"/>
    <w:rsid w:val="1F7532BF"/>
    <w:rsid w:val="1F873477"/>
    <w:rsid w:val="1F9C6A9E"/>
    <w:rsid w:val="1F9D6372"/>
    <w:rsid w:val="1FD31391"/>
    <w:rsid w:val="1FED67EC"/>
    <w:rsid w:val="1FEF3071"/>
    <w:rsid w:val="1FEF6BCD"/>
    <w:rsid w:val="1FF82DDD"/>
    <w:rsid w:val="20036B1D"/>
    <w:rsid w:val="200B3AA3"/>
    <w:rsid w:val="20126D60"/>
    <w:rsid w:val="20315438"/>
    <w:rsid w:val="203451E7"/>
    <w:rsid w:val="205D447F"/>
    <w:rsid w:val="20AF1FB5"/>
    <w:rsid w:val="20B00655"/>
    <w:rsid w:val="20C75D9C"/>
    <w:rsid w:val="20CA3197"/>
    <w:rsid w:val="21085A9C"/>
    <w:rsid w:val="2139763B"/>
    <w:rsid w:val="213D605E"/>
    <w:rsid w:val="21455F84"/>
    <w:rsid w:val="215A496F"/>
    <w:rsid w:val="21774AB8"/>
    <w:rsid w:val="21893052"/>
    <w:rsid w:val="21AC3BEE"/>
    <w:rsid w:val="21D17E6F"/>
    <w:rsid w:val="21DC7625"/>
    <w:rsid w:val="21E93E32"/>
    <w:rsid w:val="21F52068"/>
    <w:rsid w:val="22145011"/>
    <w:rsid w:val="22A04E95"/>
    <w:rsid w:val="22A13307"/>
    <w:rsid w:val="22A16179"/>
    <w:rsid w:val="22DF5329"/>
    <w:rsid w:val="22F55AC0"/>
    <w:rsid w:val="22F97D63"/>
    <w:rsid w:val="23045086"/>
    <w:rsid w:val="231E48BA"/>
    <w:rsid w:val="232050A1"/>
    <w:rsid w:val="232302E6"/>
    <w:rsid w:val="232344A5"/>
    <w:rsid w:val="23405992"/>
    <w:rsid w:val="234E4553"/>
    <w:rsid w:val="2362085F"/>
    <w:rsid w:val="23953F30"/>
    <w:rsid w:val="23A97CCA"/>
    <w:rsid w:val="23C33523"/>
    <w:rsid w:val="23D63C62"/>
    <w:rsid w:val="23DC0222"/>
    <w:rsid w:val="23DC5ABC"/>
    <w:rsid w:val="23FA3D93"/>
    <w:rsid w:val="24421EE4"/>
    <w:rsid w:val="24514AEE"/>
    <w:rsid w:val="24724271"/>
    <w:rsid w:val="24783FA5"/>
    <w:rsid w:val="24977600"/>
    <w:rsid w:val="249864DD"/>
    <w:rsid w:val="24B14D99"/>
    <w:rsid w:val="24B831E2"/>
    <w:rsid w:val="24CD6D50"/>
    <w:rsid w:val="24D40A88"/>
    <w:rsid w:val="24D91E5B"/>
    <w:rsid w:val="24F639D3"/>
    <w:rsid w:val="250B120F"/>
    <w:rsid w:val="251A1F8F"/>
    <w:rsid w:val="252217F3"/>
    <w:rsid w:val="252C7220"/>
    <w:rsid w:val="253B0208"/>
    <w:rsid w:val="25570E32"/>
    <w:rsid w:val="25762FFD"/>
    <w:rsid w:val="25903F1A"/>
    <w:rsid w:val="25957FFD"/>
    <w:rsid w:val="25A20B86"/>
    <w:rsid w:val="25B21B8A"/>
    <w:rsid w:val="25BE6ECB"/>
    <w:rsid w:val="25C06787"/>
    <w:rsid w:val="25C44658"/>
    <w:rsid w:val="25EE5B79"/>
    <w:rsid w:val="261C6242"/>
    <w:rsid w:val="26487037"/>
    <w:rsid w:val="26746FE7"/>
    <w:rsid w:val="26787AB8"/>
    <w:rsid w:val="26791268"/>
    <w:rsid w:val="2695133D"/>
    <w:rsid w:val="26A50560"/>
    <w:rsid w:val="26B0380F"/>
    <w:rsid w:val="26B96187"/>
    <w:rsid w:val="26BA75C3"/>
    <w:rsid w:val="26C54B2C"/>
    <w:rsid w:val="26FD3AB6"/>
    <w:rsid w:val="27013008"/>
    <w:rsid w:val="270E64D3"/>
    <w:rsid w:val="270F55EE"/>
    <w:rsid w:val="271B0BF0"/>
    <w:rsid w:val="27235E01"/>
    <w:rsid w:val="272B5778"/>
    <w:rsid w:val="272F1A96"/>
    <w:rsid w:val="27402404"/>
    <w:rsid w:val="274742E6"/>
    <w:rsid w:val="274C3342"/>
    <w:rsid w:val="275616DD"/>
    <w:rsid w:val="27712FBE"/>
    <w:rsid w:val="279B588D"/>
    <w:rsid w:val="27BB1A8B"/>
    <w:rsid w:val="27DF7FD9"/>
    <w:rsid w:val="27E77793"/>
    <w:rsid w:val="27EA2E66"/>
    <w:rsid w:val="27F52753"/>
    <w:rsid w:val="283F5ECD"/>
    <w:rsid w:val="2840342E"/>
    <w:rsid w:val="28461C9C"/>
    <w:rsid w:val="284657F9"/>
    <w:rsid w:val="284F59CE"/>
    <w:rsid w:val="286345FC"/>
    <w:rsid w:val="286D49C1"/>
    <w:rsid w:val="28942A08"/>
    <w:rsid w:val="28A15125"/>
    <w:rsid w:val="29023E15"/>
    <w:rsid w:val="29037B8D"/>
    <w:rsid w:val="292D6EE6"/>
    <w:rsid w:val="293935AF"/>
    <w:rsid w:val="2953341A"/>
    <w:rsid w:val="2961005D"/>
    <w:rsid w:val="297B0CF7"/>
    <w:rsid w:val="298C38F4"/>
    <w:rsid w:val="299A60A7"/>
    <w:rsid w:val="29A24CB1"/>
    <w:rsid w:val="29BB2216"/>
    <w:rsid w:val="29E37561"/>
    <w:rsid w:val="29F15C38"/>
    <w:rsid w:val="29FF7471"/>
    <w:rsid w:val="2A110381"/>
    <w:rsid w:val="2A175AF9"/>
    <w:rsid w:val="2A241B69"/>
    <w:rsid w:val="2A492CDC"/>
    <w:rsid w:val="2A4D1F98"/>
    <w:rsid w:val="2A4D6CEE"/>
    <w:rsid w:val="2A6F54DA"/>
    <w:rsid w:val="2A847938"/>
    <w:rsid w:val="2AB136D3"/>
    <w:rsid w:val="2ABF6AF3"/>
    <w:rsid w:val="2AD87E64"/>
    <w:rsid w:val="2AEE2739"/>
    <w:rsid w:val="2AF7592B"/>
    <w:rsid w:val="2AFD74FF"/>
    <w:rsid w:val="2B084FE7"/>
    <w:rsid w:val="2B507D30"/>
    <w:rsid w:val="2B5E71D0"/>
    <w:rsid w:val="2B6B0F2D"/>
    <w:rsid w:val="2B822DA1"/>
    <w:rsid w:val="2B920D55"/>
    <w:rsid w:val="2B9A5534"/>
    <w:rsid w:val="2BA84A29"/>
    <w:rsid w:val="2BC929C8"/>
    <w:rsid w:val="2BD559B4"/>
    <w:rsid w:val="2BE02C4E"/>
    <w:rsid w:val="2BE94B33"/>
    <w:rsid w:val="2BF57C61"/>
    <w:rsid w:val="2BFA11C0"/>
    <w:rsid w:val="2C1874AC"/>
    <w:rsid w:val="2C1A1476"/>
    <w:rsid w:val="2C2A71DF"/>
    <w:rsid w:val="2C7B2AA3"/>
    <w:rsid w:val="2C8114F5"/>
    <w:rsid w:val="2CA12DC3"/>
    <w:rsid w:val="2CA3062B"/>
    <w:rsid w:val="2CAD7FE6"/>
    <w:rsid w:val="2CB9711D"/>
    <w:rsid w:val="2CC8623E"/>
    <w:rsid w:val="2CCC19C2"/>
    <w:rsid w:val="2CD11ABF"/>
    <w:rsid w:val="2CE10D2D"/>
    <w:rsid w:val="2CFA3055"/>
    <w:rsid w:val="2CFC6DCE"/>
    <w:rsid w:val="2D0261C1"/>
    <w:rsid w:val="2D104A12"/>
    <w:rsid w:val="2D3F42BA"/>
    <w:rsid w:val="2D450775"/>
    <w:rsid w:val="2D471563"/>
    <w:rsid w:val="2D7746A6"/>
    <w:rsid w:val="2D872106"/>
    <w:rsid w:val="2D93624A"/>
    <w:rsid w:val="2DB01ADD"/>
    <w:rsid w:val="2DB023DE"/>
    <w:rsid w:val="2DE33AEA"/>
    <w:rsid w:val="2DF8044C"/>
    <w:rsid w:val="2DF87595"/>
    <w:rsid w:val="2DFC3ADD"/>
    <w:rsid w:val="2E162111"/>
    <w:rsid w:val="2E173E43"/>
    <w:rsid w:val="2E293BF2"/>
    <w:rsid w:val="2E5172B2"/>
    <w:rsid w:val="2E525322"/>
    <w:rsid w:val="2E547940"/>
    <w:rsid w:val="2E5C6546"/>
    <w:rsid w:val="2E772BB0"/>
    <w:rsid w:val="2EA133AF"/>
    <w:rsid w:val="2ECD0A22"/>
    <w:rsid w:val="2EDD2DD9"/>
    <w:rsid w:val="2EE108EE"/>
    <w:rsid w:val="2EE3062E"/>
    <w:rsid w:val="2EED2E72"/>
    <w:rsid w:val="2F0D52C2"/>
    <w:rsid w:val="2F1315AD"/>
    <w:rsid w:val="2F237E51"/>
    <w:rsid w:val="2F371BFE"/>
    <w:rsid w:val="2F631386"/>
    <w:rsid w:val="2F6A44C2"/>
    <w:rsid w:val="2F6F69CB"/>
    <w:rsid w:val="2F723467"/>
    <w:rsid w:val="2F725159"/>
    <w:rsid w:val="2F8310E0"/>
    <w:rsid w:val="2F884949"/>
    <w:rsid w:val="2F8D4185"/>
    <w:rsid w:val="2F922149"/>
    <w:rsid w:val="2F927575"/>
    <w:rsid w:val="2F94153F"/>
    <w:rsid w:val="2F991FA5"/>
    <w:rsid w:val="2FA940D3"/>
    <w:rsid w:val="2FB93676"/>
    <w:rsid w:val="2FDA5BCD"/>
    <w:rsid w:val="2FDB716E"/>
    <w:rsid w:val="2FF95846"/>
    <w:rsid w:val="30147100"/>
    <w:rsid w:val="3025551B"/>
    <w:rsid w:val="303D7193"/>
    <w:rsid w:val="30564A47"/>
    <w:rsid w:val="305C2E10"/>
    <w:rsid w:val="306835D0"/>
    <w:rsid w:val="30C72319"/>
    <w:rsid w:val="30C8751C"/>
    <w:rsid w:val="30DD0CC4"/>
    <w:rsid w:val="30E97669"/>
    <w:rsid w:val="30EA701B"/>
    <w:rsid w:val="310811F3"/>
    <w:rsid w:val="311264ED"/>
    <w:rsid w:val="312205CF"/>
    <w:rsid w:val="315512CA"/>
    <w:rsid w:val="316311C9"/>
    <w:rsid w:val="31973BA0"/>
    <w:rsid w:val="31C205E6"/>
    <w:rsid w:val="31D6694B"/>
    <w:rsid w:val="31E3055C"/>
    <w:rsid w:val="320B7DBF"/>
    <w:rsid w:val="32153FA4"/>
    <w:rsid w:val="321A126D"/>
    <w:rsid w:val="323668DE"/>
    <w:rsid w:val="325269C4"/>
    <w:rsid w:val="32544610"/>
    <w:rsid w:val="325A3905"/>
    <w:rsid w:val="326C0551"/>
    <w:rsid w:val="326C5A1E"/>
    <w:rsid w:val="32810196"/>
    <w:rsid w:val="3287661D"/>
    <w:rsid w:val="32A0292F"/>
    <w:rsid w:val="32A02B99"/>
    <w:rsid w:val="32C034B7"/>
    <w:rsid w:val="32EB1476"/>
    <w:rsid w:val="32FB415D"/>
    <w:rsid w:val="33087C08"/>
    <w:rsid w:val="330C6BB2"/>
    <w:rsid w:val="330F2BAA"/>
    <w:rsid w:val="33247082"/>
    <w:rsid w:val="3344327C"/>
    <w:rsid w:val="33484B1B"/>
    <w:rsid w:val="335F123F"/>
    <w:rsid w:val="335F6616"/>
    <w:rsid w:val="33724510"/>
    <w:rsid w:val="337D5F7B"/>
    <w:rsid w:val="339B3F3F"/>
    <w:rsid w:val="339F1B79"/>
    <w:rsid w:val="33AA74E2"/>
    <w:rsid w:val="33C10429"/>
    <w:rsid w:val="33D414D0"/>
    <w:rsid w:val="33DA14EB"/>
    <w:rsid w:val="33E37B1D"/>
    <w:rsid w:val="33FE167D"/>
    <w:rsid w:val="3411197D"/>
    <w:rsid w:val="341B5D8B"/>
    <w:rsid w:val="341E7629"/>
    <w:rsid w:val="345C0152"/>
    <w:rsid w:val="34603E67"/>
    <w:rsid w:val="347D25A2"/>
    <w:rsid w:val="348002E4"/>
    <w:rsid w:val="34BF514A"/>
    <w:rsid w:val="34C04B85"/>
    <w:rsid w:val="34F353F0"/>
    <w:rsid w:val="35236FA0"/>
    <w:rsid w:val="352D221A"/>
    <w:rsid w:val="355D0D46"/>
    <w:rsid w:val="356358A2"/>
    <w:rsid w:val="3575596F"/>
    <w:rsid w:val="3598736F"/>
    <w:rsid w:val="35A16764"/>
    <w:rsid w:val="35A7110B"/>
    <w:rsid w:val="35AB3956"/>
    <w:rsid w:val="35CD358A"/>
    <w:rsid w:val="35D96A9E"/>
    <w:rsid w:val="35D96E90"/>
    <w:rsid w:val="35E36D7D"/>
    <w:rsid w:val="35E62FB7"/>
    <w:rsid w:val="35FE6840"/>
    <w:rsid w:val="3608233F"/>
    <w:rsid w:val="361333A0"/>
    <w:rsid w:val="36232DB0"/>
    <w:rsid w:val="36290C50"/>
    <w:rsid w:val="36394BEF"/>
    <w:rsid w:val="363F2832"/>
    <w:rsid w:val="3643781B"/>
    <w:rsid w:val="36524F10"/>
    <w:rsid w:val="36575075"/>
    <w:rsid w:val="367E0853"/>
    <w:rsid w:val="369D6F2B"/>
    <w:rsid w:val="369E35CC"/>
    <w:rsid w:val="36D72B72"/>
    <w:rsid w:val="36E903C3"/>
    <w:rsid w:val="36F30C44"/>
    <w:rsid w:val="370621EB"/>
    <w:rsid w:val="370B1F2F"/>
    <w:rsid w:val="374E6478"/>
    <w:rsid w:val="37643EED"/>
    <w:rsid w:val="377B7D18"/>
    <w:rsid w:val="378123A9"/>
    <w:rsid w:val="378679C0"/>
    <w:rsid w:val="379E11AD"/>
    <w:rsid w:val="37BF7375"/>
    <w:rsid w:val="37DA7D0B"/>
    <w:rsid w:val="37E3413A"/>
    <w:rsid w:val="37F45271"/>
    <w:rsid w:val="38080D1C"/>
    <w:rsid w:val="38094285"/>
    <w:rsid w:val="38183E1B"/>
    <w:rsid w:val="38203354"/>
    <w:rsid w:val="38445BC6"/>
    <w:rsid w:val="384B0C09"/>
    <w:rsid w:val="3851753C"/>
    <w:rsid w:val="385A1BF5"/>
    <w:rsid w:val="385F1C95"/>
    <w:rsid w:val="385F359C"/>
    <w:rsid w:val="38637D01"/>
    <w:rsid w:val="38934A8A"/>
    <w:rsid w:val="38974E08"/>
    <w:rsid w:val="389D76B7"/>
    <w:rsid w:val="38A65E3F"/>
    <w:rsid w:val="38B51168"/>
    <w:rsid w:val="38B642D4"/>
    <w:rsid w:val="38D86941"/>
    <w:rsid w:val="38FC1D39"/>
    <w:rsid w:val="390214DE"/>
    <w:rsid w:val="3902751A"/>
    <w:rsid w:val="39102DC5"/>
    <w:rsid w:val="392B23DF"/>
    <w:rsid w:val="392E0314"/>
    <w:rsid w:val="394A2C6F"/>
    <w:rsid w:val="394E4536"/>
    <w:rsid w:val="396E4BAF"/>
    <w:rsid w:val="39783DFD"/>
    <w:rsid w:val="39AB195F"/>
    <w:rsid w:val="39BE045B"/>
    <w:rsid w:val="39C40C73"/>
    <w:rsid w:val="39D07618"/>
    <w:rsid w:val="39D30EB6"/>
    <w:rsid w:val="39F8091D"/>
    <w:rsid w:val="3A011194"/>
    <w:rsid w:val="3A0B68A2"/>
    <w:rsid w:val="3A111A09"/>
    <w:rsid w:val="3A243F7D"/>
    <w:rsid w:val="3A423A1A"/>
    <w:rsid w:val="3A5B3385"/>
    <w:rsid w:val="3A6164C2"/>
    <w:rsid w:val="3A6707F2"/>
    <w:rsid w:val="3A767A79"/>
    <w:rsid w:val="3A79380C"/>
    <w:rsid w:val="3A872B9C"/>
    <w:rsid w:val="3AAA2244"/>
    <w:rsid w:val="3AE07D2F"/>
    <w:rsid w:val="3AF74B61"/>
    <w:rsid w:val="3B1D063B"/>
    <w:rsid w:val="3B4D02BA"/>
    <w:rsid w:val="3B6A75F8"/>
    <w:rsid w:val="3B732620"/>
    <w:rsid w:val="3B824942"/>
    <w:rsid w:val="3B826A16"/>
    <w:rsid w:val="3B867FAF"/>
    <w:rsid w:val="3B9B5A04"/>
    <w:rsid w:val="3BA80B19"/>
    <w:rsid w:val="3BB54D17"/>
    <w:rsid w:val="3BCB453B"/>
    <w:rsid w:val="3BCB6311"/>
    <w:rsid w:val="3BE94443"/>
    <w:rsid w:val="3BEFF825"/>
    <w:rsid w:val="3C025A83"/>
    <w:rsid w:val="3C21415B"/>
    <w:rsid w:val="3C2E5D9B"/>
    <w:rsid w:val="3C2E61B3"/>
    <w:rsid w:val="3C353D8D"/>
    <w:rsid w:val="3C4240EC"/>
    <w:rsid w:val="3C4542ED"/>
    <w:rsid w:val="3C4E6A3E"/>
    <w:rsid w:val="3C575DCE"/>
    <w:rsid w:val="3C5C5193"/>
    <w:rsid w:val="3C7E77FF"/>
    <w:rsid w:val="3C8800D3"/>
    <w:rsid w:val="3C945797"/>
    <w:rsid w:val="3C9568F7"/>
    <w:rsid w:val="3CA803D8"/>
    <w:rsid w:val="3CDC0F86"/>
    <w:rsid w:val="3D001FC2"/>
    <w:rsid w:val="3D0F66A9"/>
    <w:rsid w:val="3D12534D"/>
    <w:rsid w:val="3D1F279A"/>
    <w:rsid w:val="3D3630FE"/>
    <w:rsid w:val="3D3B3155"/>
    <w:rsid w:val="3D4C16AB"/>
    <w:rsid w:val="3D605157"/>
    <w:rsid w:val="3D711B40"/>
    <w:rsid w:val="3D7C222E"/>
    <w:rsid w:val="3D8726E3"/>
    <w:rsid w:val="3D8E332D"/>
    <w:rsid w:val="3D953705"/>
    <w:rsid w:val="3DA959E7"/>
    <w:rsid w:val="3DB23AF4"/>
    <w:rsid w:val="3DE329CA"/>
    <w:rsid w:val="3E391222"/>
    <w:rsid w:val="3E497999"/>
    <w:rsid w:val="3E497EDB"/>
    <w:rsid w:val="3E4A7410"/>
    <w:rsid w:val="3E572F3B"/>
    <w:rsid w:val="3E614CE2"/>
    <w:rsid w:val="3E7C38CA"/>
    <w:rsid w:val="3E7F4388"/>
    <w:rsid w:val="3E800AA6"/>
    <w:rsid w:val="3E8409D1"/>
    <w:rsid w:val="3E8D3D29"/>
    <w:rsid w:val="3EBA43F3"/>
    <w:rsid w:val="3EC3237A"/>
    <w:rsid w:val="3EC7672F"/>
    <w:rsid w:val="3ECF7E9E"/>
    <w:rsid w:val="3EE020AB"/>
    <w:rsid w:val="3EF93913"/>
    <w:rsid w:val="3F1434CE"/>
    <w:rsid w:val="3F3A1FEB"/>
    <w:rsid w:val="3F424B14"/>
    <w:rsid w:val="3F446ADE"/>
    <w:rsid w:val="3F4C2F9A"/>
    <w:rsid w:val="3F7D7895"/>
    <w:rsid w:val="3F8213B4"/>
    <w:rsid w:val="3F8F2C8A"/>
    <w:rsid w:val="3FC523E1"/>
    <w:rsid w:val="3FC96FE3"/>
    <w:rsid w:val="3FD64367"/>
    <w:rsid w:val="3FDA4D4C"/>
    <w:rsid w:val="3FFE1A0A"/>
    <w:rsid w:val="4024246B"/>
    <w:rsid w:val="402661E4"/>
    <w:rsid w:val="402C7A1A"/>
    <w:rsid w:val="4036290E"/>
    <w:rsid w:val="40621B84"/>
    <w:rsid w:val="407041AB"/>
    <w:rsid w:val="40A67243"/>
    <w:rsid w:val="40AE0CEC"/>
    <w:rsid w:val="40B80592"/>
    <w:rsid w:val="40BA6B22"/>
    <w:rsid w:val="40C65821"/>
    <w:rsid w:val="40C854ED"/>
    <w:rsid w:val="40C90CF4"/>
    <w:rsid w:val="40C96B6F"/>
    <w:rsid w:val="40EE65D6"/>
    <w:rsid w:val="41087697"/>
    <w:rsid w:val="410B53D9"/>
    <w:rsid w:val="414D59F2"/>
    <w:rsid w:val="41A21103"/>
    <w:rsid w:val="41C1797D"/>
    <w:rsid w:val="41CA5CC4"/>
    <w:rsid w:val="41CF1D2F"/>
    <w:rsid w:val="41D02A92"/>
    <w:rsid w:val="41E00E7B"/>
    <w:rsid w:val="41ED076D"/>
    <w:rsid w:val="41F801AE"/>
    <w:rsid w:val="421E266D"/>
    <w:rsid w:val="42253D73"/>
    <w:rsid w:val="422C7D41"/>
    <w:rsid w:val="422E137F"/>
    <w:rsid w:val="42366486"/>
    <w:rsid w:val="42503AC2"/>
    <w:rsid w:val="426E79CE"/>
    <w:rsid w:val="42AD499A"/>
    <w:rsid w:val="42E6070B"/>
    <w:rsid w:val="42FC7797"/>
    <w:rsid w:val="42FF43AB"/>
    <w:rsid w:val="43213D37"/>
    <w:rsid w:val="432B07AA"/>
    <w:rsid w:val="436419F8"/>
    <w:rsid w:val="43811E23"/>
    <w:rsid w:val="43963A9F"/>
    <w:rsid w:val="439C4B3A"/>
    <w:rsid w:val="43AF1CA8"/>
    <w:rsid w:val="43AF5669"/>
    <w:rsid w:val="43C33D49"/>
    <w:rsid w:val="43DB1093"/>
    <w:rsid w:val="43F32881"/>
    <w:rsid w:val="44044A8E"/>
    <w:rsid w:val="440A7BCA"/>
    <w:rsid w:val="44134942"/>
    <w:rsid w:val="441647C1"/>
    <w:rsid w:val="441A1710"/>
    <w:rsid w:val="443C1C52"/>
    <w:rsid w:val="446C7E62"/>
    <w:rsid w:val="4484172B"/>
    <w:rsid w:val="44891EC3"/>
    <w:rsid w:val="44922563"/>
    <w:rsid w:val="44957494"/>
    <w:rsid w:val="44AB64CD"/>
    <w:rsid w:val="44B43C6A"/>
    <w:rsid w:val="44B518E4"/>
    <w:rsid w:val="44BE2E8F"/>
    <w:rsid w:val="44D501D8"/>
    <w:rsid w:val="44E4602A"/>
    <w:rsid w:val="45464C32"/>
    <w:rsid w:val="4550160D"/>
    <w:rsid w:val="45651C8F"/>
    <w:rsid w:val="456D21BF"/>
    <w:rsid w:val="458D35C1"/>
    <w:rsid w:val="458F65D9"/>
    <w:rsid w:val="45A02594"/>
    <w:rsid w:val="45AA3413"/>
    <w:rsid w:val="45B80788"/>
    <w:rsid w:val="45B95404"/>
    <w:rsid w:val="45D11CEB"/>
    <w:rsid w:val="45E701C3"/>
    <w:rsid w:val="463F604F"/>
    <w:rsid w:val="465F41FD"/>
    <w:rsid w:val="467A2DE5"/>
    <w:rsid w:val="468772B0"/>
    <w:rsid w:val="46880F28"/>
    <w:rsid w:val="46A77952"/>
    <w:rsid w:val="46C71DA3"/>
    <w:rsid w:val="46D10204"/>
    <w:rsid w:val="46EA5390"/>
    <w:rsid w:val="470E2902"/>
    <w:rsid w:val="471A0124"/>
    <w:rsid w:val="474F3279"/>
    <w:rsid w:val="47760E7F"/>
    <w:rsid w:val="477852D5"/>
    <w:rsid w:val="47A3011A"/>
    <w:rsid w:val="47AC3472"/>
    <w:rsid w:val="47E0136E"/>
    <w:rsid w:val="47E9061B"/>
    <w:rsid w:val="48030BB8"/>
    <w:rsid w:val="484245C7"/>
    <w:rsid w:val="485E550D"/>
    <w:rsid w:val="4860600B"/>
    <w:rsid w:val="486E0728"/>
    <w:rsid w:val="486E74B3"/>
    <w:rsid w:val="48763A80"/>
    <w:rsid w:val="487650FA"/>
    <w:rsid w:val="487B1097"/>
    <w:rsid w:val="4886248F"/>
    <w:rsid w:val="488D7CFE"/>
    <w:rsid w:val="48B56357"/>
    <w:rsid w:val="48E46C3C"/>
    <w:rsid w:val="48FB3017"/>
    <w:rsid w:val="490B41C9"/>
    <w:rsid w:val="49224D62"/>
    <w:rsid w:val="49323FD7"/>
    <w:rsid w:val="493F3E72"/>
    <w:rsid w:val="496347AE"/>
    <w:rsid w:val="496906D2"/>
    <w:rsid w:val="496B283C"/>
    <w:rsid w:val="498777F6"/>
    <w:rsid w:val="498B2DA7"/>
    <w:rsid w:val="49935F6C"/>
    <w:rsid w:val="49C232E7"/>
    <w:rsid w:val="49D634F5"/>
    <w:rsid w:val="49E62540"/>
    <w:rsid w:val="49EB6CFF"/>
    <w:rsid w:val="49FD6207"/>
    <w:rsid w:val="4A0008D3"/>
    <w:rsid w:val="4A123335"/>
    <w:rsid w:val="4A253068"/>
    <w:rsid w:val="4A2675DE"/>
    <w:rsid w:val="4A6242BC"/>
    <w:rsid w:val="4A7D1F1B"/>
    <w:rsid w:val="4A966F56"/>
    <w:rsid w:val="4A9B3950"/>
    <w:rsid w:val="4AAE12AF"/>
    <w:rsid w:val="4AAE5753"/>
    <w:rsid w:val="4AAF3543"/>
    <w:rsid w:val="4ACE190F"/>
    <w:rsid w:val="4AF869CF"/>
    <w:rsid w:val="4B0F349C"/>
    <w:rsid w:val="4B127C87"/>
    <w:rsid w:val="4B234855"/>
    <w:rsid w:val="4B3073F9"/>
    <w:rsid w:val="4B4E65EF"/>
    <w:rsid w:val="4B5A4F93"/>
    <w:rsid w:val="4B715B58"/>
    <w:rsid w:val="4B877666"/>
    <w:rsid w:val="4B8D0681"/>
    <w:rsid w:val="4B9318F2"/>
    <w:rsid w:val="4B94275C"/>
    <w:rsid w:val="4BBE5DFA"/>
    <w:rsid w:val="4BC1574F"/>
    <w:rsid w:val="4BE17463"/>
    <w:rsid w:val="4BE34F89"/>
    <w:rsid w:val="4C0C782F"/>
    <w:rsid w:val="4C12409B"/>
    <w:rsid w:val="4C1710D6"/>
    <w:rsid w:val="4C453B3C"/>
    <w:rsid w:val="4C485734"/>
    <w:rsid w:val="4C4F1E34"/>
    <w:rsid w:val="4C515898"/>
    <w:rsid w:val="4C53383F"/>
    <w:rsid w:val="4C5C2F8D"/>
    <w:rsid w:val="4C775BA7"/>
    <w:rsid w:val="4C776F34"/>
    <w:rsid w:val="4C9149E5"/>
    <w:rsid w:val="4C9444D5"/>
    <w:rsid w:val="4C971D09"/>
    <w:rsid w:val="4CA138D5"/>
    <w:rsid w:val="4CA57DB5"/>
    <w:rsid w:val="4CBA1CFA"/>
    <w:rsid w:val="4CC759FC"/>
    <w:rsid w:val="4D1A10FE"/>
    <w:rsid w:val="4D1B6EB4"/>
    <w:rsid w:val="4D3A1520"/>
    <w:rsid w:val="4D44414D"/>
    <w:rsid w:val="4D471547"/>
    <w:rsid w:val="4D5601C7"/>
    <w:rsid w:val="4D571ED4"/>
    <w:rsid w:val="4D5A04CE"/>
    <w:rsid w:val="4D5D520F"/>
    <w:rsid w:val="4D764F46"/>
    <w:rsid w:val="4D9A1FBF"/>
    <w:rsid w:val="4D9B7782"/>
    <w:rsid w:val="4DB56DF9"/>
    <w:rsid w:val="4DB60B57"/>
    <w:rsid w:val="4DD728CB"/>
    <w:rsid w:val="4DD76D6F"/>
    <w:rsid w:val="4DE44FE8"/>
    <w:rsid w:val="4DEB6377"/>
    <w:rsid w:val="4E1C4782"/>
    <w:rsid w:val="4E232C0B"/>
    <w:rsid w:val="4E2A0F73"/>
    <w:rsid w:val="4E3244EB"/>
    <w:rsid w:val="4E4476B1"/>
    <w:rsid w:val="4E4E165B"/>
    <w:rsid w:val="4E7C5C2D"/>
    <w:rsid w:val="4E816CDB"/>
    <w:rsid w:val="4E8306F4"/>
    <w:rsid w:val="4E9D3638"/>
    <w:rsid w:val="4EA85EEE"/>
    <w:rsid w:val="4EAC5711"/>
    <w:rsid w:val="4EB43B95"/>
    <w:rsid w:val="4EB62E28"/>
    <w:rsid w:val="4EDD2163"/>
    <w:rsid w:val="4EDE7C89"/>
    <w:rsid w:val="4EFD7B26"/>
    <w:rsid w:val="4F0A0A7E"/>
    <w:rsid w:val="4F512B51"/>
    <w:rsid w:val="4F5A7C58"/>
    <w:rsid w:val="4F736D24"/>
    <w:rsid w:val="4F797940"/>
    <w:rsid w:val="4F934F18"/>
    <w:rsid w:val="4FA964E9"/>
    <w:rsid w:val="4FAB04B3"/>
    <w:rsid w:val="4FC43323"/>
    <w:rsid w:val="4FCD042A"/>
    <w:rsid w:val="4FE90FDC"/>
    <w:rsid w:val="4FEB3559"/>
    <w:rsid w:val="4FF736F9"/>
    <w:rsid w:val="500B0F52"/>
    <w:rsid w:val="500E0EF0"/>
    <w:rsid w:val="50131BB5"/>
    <w:rsid w:val="50151DD1"/>
    <w:rsid w:val="502816F5"/>
    <w:rsid w:val="502C325A"/>
    <w:rsid w:val="503F03EA"/>
    <w:rsid w:val="50411035"/>
    <w:rsid w:val="504A078F"/>
    <w:rsid w:val="504F143E"/>
    <w:rsid w:val="50572C95"/>
    <w:rsid w:val="505B3C87"/>
    <w:rsid w:val="50772144"/>
    <w:rsid w:val="507A39FF"/>
    <w:rsid w:val="507C3BFE"/>
    <w:rsid w:val="50960DE6"/>
    <w:rsid w:val="509E3B74"/>
    <w:rsid w:val="50AC1958"/>
    <w:rsid w:val="50C3182D"/>
    <w:rsid w:val="50C51101"/>
    <w:rsid w:val="50D253CB"/>
    <w:rsid w:val="50E81293"/>
    <w:rsid w:val="50EC0D83"/>
    <w:rsid w:val="50F32112"/>
    <w:rsid w:val="510C5BAF"/>
    <w:rsid w:val="512D050E"/>
    <w:rsid w:val="512E314A"/>
    <w:rsid w:val="513E2FA9"/>
    <w:rsid w:val="51491D32"/>
    <w:rsid w:val="51496D0A"/>
    <w:rsid w:val="516D26A7"/>
    <w:rsid w:val="517C40D7"/>
    <w:rsid w:val="517F5754"/>
    <w:rsid w:val="51A0391C"/>
    <w:rsid w:val="51B014ED"/>
    <w:rsid w:val="51B2004B"/>
    <w:rsid w:val="51B47721"/>
    <w:rsid w:val="51C70EA9"/>
    <w:rsid w:val="51EA5FAC"/>
    <w:rsid w:val="51FA127E"/>
    <w:rsid w:val="52102850"/>
    <w:rsid w:val="52293D33"/>
    <w:rsid w:val="52381490"/>
    <w:rsid w:val="524801F3"/>
    <w:rsid w:val="52484432"/>
    <w:rsid w:val="52484CBE"/>
    <w:rsid w:val="5251159C"/>
    <w:rsid w:val="526D7CA2"/>
    <w:rsid w:val="527578BA"/>
    <w:rsid w:val="527821A3"/>
    <w:rsid w:val="52852566"/>
    <w:rsid w:val="528B1DBA"/>
    <w:rsid w:val="528F6A86"/>
    <w:rsid w:val="529112D1"/>
    <w:rsid w:val="52D27B05"/>
    <w:rsid w:val="52D4387D"/>
    <w:rsid w:val="52E55A8A"/>
    <w:rsid w:val="52FF195A"/>
    <w:rsid w:val="53035F10"/>
    <w:rsid w:val="531943D7"/>
    <w:rsid w:val="532F32A1"/>
    <w:rsid w:val="53311AB3"/>
    <w:rsid w:val="533267F6"/>
    <w:rsid w:val="533E519B"/>
    <w:rsid w:val="5345477B"/>
    <w:rsid w:val="53570112"/>
    <w:rsid w:val="53690C11"/>
    <w:rsid w:val="53785236"/>
    <w:rsid w:val="53A21BCD"/>
    <w:rsid w:val="53A568D5"/>
    <w:rsid w:val="53AD55AD"/>
    <w:rsid w:val="53AD7BDA"/>
    <w:rsid w:val="53B278ED"/>
    <w:rsid w:val="53C02053"/>
    <w:rsid w:val="53D770A0"/>
    <w:rsid w:val="53E73A84"/>
    <w:rsid w:val="53F40AD2"/>
    <w:rsid w:val="53FF0DCE"/>
    <w:rsid w:val="542162FF"/>
    <w:rsid w:val="542924D4"/>
    <w:rsid w:val="544463AA"/>
    <w:rsid w:val="54556AEA"/>
    <w:rsid w:val="54562148"/>
    <w:rsid w:val="546D3F89"/>
    <w:rsid w:val="547F7047"/>
    <w:rsid w:val="54866DF9"/>
    <w:rsid w:val="54901A26"/>
    <w:rsid w:val="54A159E1"/>
    <w:rsid w:val="54E54D3D"/>
    <w:rsid w:val="54F151AE"/>
    <w:rsid w:val="550264B0"/>
    <w:rsid w:val="55104779"/>
    <w:rsid w:val="55131A57"/>
    <w:rsid w:val="5530145D"/>
    <w:rsid w:val="55384597"/>
    <w:rsid w:val="5540344C"/>
    <w:rsid w:val="555C3226"/>
    <w:rsid w:val="556101D6"/>
    <w:rsid w:val="55622629"/>
    <w:rsid w:val="556B363A"/>
    <w:rsid w:val="556E7FB9"/>
    <w:rsid w:val="55833339"/>
    <w:rsid w:val="55C36AC2"/>
    <w:rsid w:val="55C7591B"/>
    <w:rsid w:val="55E009FD"/>
    <w:rsid w:val="55E24503"/>
    <w:rsid w:val="55F83D27"/>
    <w:rsid w:val="562F2B65"/>
    <w:rsid w:val="565007C1"/>
    <w:rsid w:val="565151E5"/>
    <w:rsid w:val="56690780"/>
    <w:rsid w:val="566F6493"/>
    <w:rsid w:val="569C0B56"/>
    <w:rsid w:val="56DE4CCA"/>
    <w:rsid w:val="56E12AAA"/>
    <w:rsid w:val="56F444EE"/>
    <w:rsid w:val="56F62932"/>
    <w:rsid w:val="57006DC6"/>
    <w:rsid w:val="570219CD"/>
    <w:rsid w:val="570D55B0"/>
    <w:rsid w:val="57110FFC"/>
    <w:rsid w:val="5714693E"/>
    <w:rsid w:val="57191F52"/>
    <w:rsid w:val="572B1EDA"/>
    <w:rsid w:val="573516D7"/>
    <w:rsid w:val="57616C53"/>
    <w:rsid w:val="576B045F"/>
    <w:rsid w:val="57713D91"/>
    <w:rsid w:val="577D71D5"/>
    <w:rsid w:val="578515EA"/>
    <w:rsid w:val="5794182D"/>
    <w:rsid w:val="57947A7F"/>
    <w:rsid w:val="579805DD"/>
    <w:rsid w:val="57C95EB0"/>
    <w:rsid w:val="57DF5F4A"/>
    <w:rsid w:val="58093FC9"/>
    <w:rsid w:val="581120E2"/>
    <w:rsid w:val="586C3D63"/>
    <w:rsid w:val="587A09A5"/>
    <w:rsid w:val="589324AE"/>
    <w:rsid w:val="58B24108"/>
    <w:rsid w:val="58BC728D"/>
    <w:rsid w:val="58BD4DB3"/>
    <w:rsid w:val="58C148A4"/>
    <w:rsid w:val="58DD34E5"/>
    <w:rsid w:val="58EE3F63"/>
    <w:rsid w:val="59187FA2"/>
    <w:rsid w:val="591A2206"/>
    <w:rsid w:val="591E1CF6"/>
    <w:rsid w:val="591F41F8"/>
    <w:rsid w:val="592437DC"/>
    <w:rsid w:val="594518F8"/>
    <w:rsid w:val="59554408"/>
    <w:rsid w:val="597109B8"/>
    <w:rsid w:val="5978267A"/>
    <w:rsid w:val="598F04FE"/>
    <w:rsid w:val="599C2C1B"/>
    <w:rsid w:val="5A2E41BB"/>
    <w:rsid w:val="5A364E1D"/>
    <w:rsid w:val="5A3A2DDD"/>
    <w:rsid w:val="5A3B0686"/>
    <w:rsid w:val="5A3B2A7A"/>
    <w:rsid w:val="5AAB580B"/>
    <w:rsid w:val="5AAE3B0B"/>
    <w:rsid w:val="5AB61B49"/>
    <w:rsid w:val="5ABF3065"/>
    <w:rsid w:val="5ACC20D7"/>
    <w:rsid w:val="5AE20B01"/>
    <w:rsid w:val="5AE44355"/>
    <w:rsid w:val="5AE8436A"/>
    <w:rsid w:val="5B1C2265"/>
    <w:rsid w:val="5B413F46"/>
    <w:rsid w:val="5B4B29CC"/>
    <w:rsid w:val="5B5D3018"/>
    <w:rsid w:val="5B8C6E12"/>
    <w:rsid w:val="5B961153"/>
    <w:rsid w:val="5B9A0FAF"/>
    <w:rsid w:val="5B9F24C5"/>
    <w:rsid w:val="5BB57082"/>
    <w:rsid w:val="5BBC42C0"/>
    <w:rsid w:val="5BC604F3"/>
    <w:rsid w:val="5BDB5C7C"/>
    <w:rsid w:val="5BE2502A"/>
    <w:rsid w:val="5BEF3C67"/>
    <w:rsid w:val="5BF918A2"/>
    <w:rsid w:val="5BFE2BDC"/>
    <w:rsid w:val="5C0A783A"/>
    <w:rsid w:val="5C50666A"/>
    <w:rsid w:val="5C55464A"/>
    <w:rsid w:val="5C8C3B86"/>
    <w:rsid w:val="5C9716B5"/>
    <w:rsid w:val="5CC01EE0"/>
    <w:rsid w:val="5CD866BD"/>
    <w:rsid w:val="5CEE414D"/>
    <w:rsid w:val="5CF326FF"/>
    <w:rsid w:val="5D027239"/>
    <w:rsid w:val="5D05319C"/>
    <w:rsid w:val="5D2D4B48"/>
    <w:rsid w:val="5D417D61"/>
    <w:rsid w:val="5D4B35B7"/>
    <w:rsid w:val="5D5471D0"/>
    <w:rsid w:val="5D6677C8"/>
    <w:rsid w:val="5D8B09B7"/>
    <w:rsid w:val="5D9724E6"/>
    <w:rsid w:val="5D9C143B"/>
    <w:rsid w:val="5DBB5D65"/>
    <w:rsid w:val="5DC170F4"/>
    <w:rsid w:val="5DCA0B67"/>
    <w:rsid w:val="5DE51034"/>
    <w:rsid w:val="5DF03545"/>
    <w:rsid w:val="5DF85F7C"/>
    <w:rsid w:val="5E0A546C"/>
    <w:rsid w:val="5E0C4813"/>
    <w:rsid w:val="5E302CFD"/>
    <w:rsid w:val="5E3255D0"/>
    <w:rsid w:val="5E5166CA"/>
    <w:rsid w:val="5E595346"/>
    <w:rsid w:val="5E6C7060"/>
    <w:rsid w:val="5E7D126D"/>
    <w:rsid w:val="5E8F2230"/>
    <w:rsid w:val="5E9D190F"/>
    <w:rsid w:val="5EE035AA"/>
    <w:rsid w:val="5F0B6879"/>
    <w:rsid w:val="5F0C53C6"/>
    <w:rsid w:val="5F180F96"/>
    <w:rsid w:val="5F1F1842"/>
    <w:rsid w:val="5F322057"/>
    <w:rsid w:val="5F335DCF"/>
    <w:rsid w:val="5F36141C"/>
    <w:rsid w:val="5F574BF4"/>
    <w:rsid w:val="5F7D0F9F"/>
    <w:rsid w:val="5F823C4D"/>
    <w:rsid w:val="5F952235"/>
    <w:rsid w:val="5FA44939"/>
    <w:rsid w:val="5FE1582B"/>
    <w:rsid w:val="5FEA69F9"/>
    <w:rsid w:val="5FF273F0"/>
    <w:rsid w:val="600357A2"/>
    <w:rsid w:val="6007722E"/>
    <w:rsid w:val="600B4656"/>
    <w:rsid w:val="604167CD"/>
    <w:rsid w:val="606B5858"/>
    <w:rsid w:val="60714E01"/>
    <w:rsid w:val="607246D5"/>
    <w:rsid w:val="60995EA1"/>
    <w:rsid w:val="60997EB4"/>
    <w:rsid w:val="60A97045"/>
    <w:rsid w:val="60AF072D"/>
    <w:rsid w:val="60CE4002"/>
    <w:rsid w:val="60DB671F"/>
    <w:rsid w:val="60FB291D"/>
    <w:rsid w:val="610E7639"/>
    <w:rsid w:val="612C5F0B"/>
    <w:rsid w:val="614442C4"/>
    <w:rsid w:val="61481234"/>
    <w:rsid w:val="615C33BC"/>
    <w:rsid w:val="615C785F"/>
    <w:rsid w:val="61A13872"/>
    <w:rsid w:val="61A92379"/>
    <w:rsid w:val="61B0501B"/>
    <w:rsid w:val="61C96577"/>
    <w:rsid w:val="61CD4931"/>
    <w:rsid w:val="62093465"/>
    <w:rsid w:val="62122F41"/>
    <w:rsid w:val="622D3399"/>
    <w:rsid w:val="62315204"/>
    <w:rsid w:val="623B574A"/>
    <w:rsid w:val="623D288E"/>
    <w:rsid w:val="6243443B"/>
    <w:rsid w:val="624712F1"/>
    <w:rsid w:val="624A6ED1"/>
    <w:rsid w:val="62540537"/>
    <w:rsid w:val="625C197E"/>
    <w:rsid w:val="628801E0"/>
    <w:rsid w:val="62A50FBD"/>
    <w:rsid w:val="62B8336A"/>
    <w:rsid w:val="62D13DCC"/>
    <w:rsid w:val="63052F68"/>
    <w:rsid w:val="63114F11"/>
    <w:rsid w:val="631F4D38"/>
    <w:rsid w:val="633A5FF6"/>
    <w:rsid w:val="633B16F7"/>
    <w:rsid w:val="6361431A"/>
    <w:rsid w:val="63803269"/>
    <w:rsid w:val="63861D9C"/>
    <w:rsid w:val="638A25E9"/>
    <w:rsid w:val="638C65F4"/>
    <w:rsid w:val="6391074D"/>
    <w:rsid w:val="63996A94"/>
    <w:rsid w:val="63A4104A"/>
    <w:rsid w:val="63B03E93"/>
    <w:rsid w:val="63C90AB0"/>
    <w:rsid w:val="63D86F45"/>
    <w:rsid w:val="63E8623D"/>
    <w:rsid w:val="63EF3592"/>
    <w:rsid w:val="64337579"/>
    <w:rsid w:val="64403BE7"/>
    <w:rsid w:val="64441196"/>
    <w:rsid w:val="644C3BBB"/>
    <w:rsid w:val="64744EC0"/>
    <w:rsid w:val="64B82FFF"/>
    <w:rsid w:val="64D4770D"/>
    <w:rsid w:val="64DD2D41"/>
    <w:rsid w:val="64EC2CA8"/>
    <w:rsid w:val="64FD6C64"/>
    <w:rsid w:val="64FF4DA1"/>
    <w:rsid w:val="65091B75"/>
    <w:rsid w:val="65240698"/>
    <w:rsid w:val="65420B1A"/>
    <w:rsid w:val="654523B9"/>
    <w:rsid w:val="654A79CF"/>
    <w:rsid w:val="655F03DC"/>
    <w:rsid w:val="656E232E"/>
    <w:rsid w:val="6583773F"/>
    <w:rsid w:val="658805ED"/>
    <w:rsid w:val="65A35881"/>
    <w:rsid w:val="65A417D5"/>
    <w:rsid w:val="65AC068A"/>
    <w:rsid w:val="65BB0B51"/>
    <w:rsid w:val="65BC6440"/>
    <w:rsid w:val="65BF216B"/>
    <w:rsid w:val="65C36E7F"/>
    <w:rsid w:val="65C634F9"/>
    <w:rsid w:val="65D21A26"/>
    <w:rsid w:val="65DF048A"/>
    <w:rsid w:val="65E25E59"/>
    <w:rsid w:val="65E9543A"/>
    <w:rsid w:val="65F04A1A"/>
    <w:rsid w:val="660918F9"/>
    <w:rsid w:val="660D1128"/>
    <w:rsid w:val="661853E7"/>
    <w:rsid w:val="66256DBE"/>
    <w:rsid w:val="663B7430"/>
    <w:rsid w:val="663F6CA2"/>
    <w:rsid w:val="66434E23"/>
    <w:rsid w:val="66467922"/>
    <w:rsid w:val="66493F20"/>
    <w:rsid w:val="664A237C"/>
    <w:rsid w:val="664F5A97"/>
    <w:rsid w:val="665F613D"/>
    <w:rsid w:val="66634050"/>
    <w:rsid w:val="66CB2414"/>
    <w:rsid w:val="66DA6D1E"/>
    <w:rsid w:val="66F36AF2"/>
    <w:rsid w:val="671E7365"/>
    <w:rsid w:val="672A0BC3"/>
    <w:rsid w:val="6734508E"/>
    <w:rsid w:val="674B7447"/>
    <w:rsid w:val="674D72CB"/>
    <w:rsid w:val="67553CA8"/>
    <w:rsid w:val="675F565F"/>
    <w:rsid w:val="6773414D"/>
    <w:rsid w:val="677E4F3F"/>
    <w:rsid w:val="67A5189A"/>
    <w:rsid w:val="67B215EE"/>
    <w:rsid w:val="67B37AAD"/>
    <w:rsid w:val="67B37FB5"/>
    <w:rsid w:val="67C65A33"/>
    <w:rsid w:val="67CB3049"/>
    <w:rsid w:val="67D04C04"/>
    <w:rsid w:val="67DF08A2"/>
    <w:rsid w:val="67E4410B"/>
    <w:rsid w:val="67E7705C"/>
    <w:rsid w:val="67EA4382"/>
    <w:rsid w:val="68155EAC"/>
    <w:rsid w:val="68264723"/>
    <w:rsid w:val="683A01CF"/>
    <w:rsid w:val="684C23CD"/>
    <w:rsid w:val="6853303E"/>
    <w:rsid w:val="68623D98"/>
    <w:rsid w:val="687775B2"/>
    <w:rsid w:val="687C2595"/>
    <w:rsid w:val="68975F99"/>
    <w:rsid w:val="68996117"/>
    <w:rsid w:val="68AA7FC8"/>
    <w:rsid w:val="68F24767"/>
    <w:rsid w:val="69164D97"/>
    <w:rsid w:val="69201240"/>
    <w:rsid w:val="692F585A"/>
    <w:rsid w:val="69595E78"/>
    <w:rsid w:val="696279DD"/>
    <w:rsid w:val="699F58C1"/>
    <w:rsid w:val="69A2469B"/>
    <w:rsid w:val="69B8584F"/>
    <w:rsid w:val="6A072332"/>
    <w:rsid w:val="6A1707C7"/>
    <w:rsid w:val="6A1B14A7"/>
    <w:rsid w:val="6A2644CC"/>
    <w:rsid w:val="6A535578"/>
    <w:rsid w:val="6A576E16"/>
    <w:rsid w:val="6A643E97"/>
    <w:rsid w:val="6A7A6FA8"/>
    <w:rsid w:val="6A88231F"/>
    <w:rsid w:val="6A8B4D12"/>
    <w:rsid w:val="6A8F4802"/>
    <w:rsid w:val="6A941E18"/>
    <w:rsid w:val="6AAD2EDA"/>
    <w:rsid w:val="6AB71FCC"/>
    <w:rsid w:val="6AE368FC"/>
    <w:rsid w:val="6AE5012B"/>
    <w:rsid w:val="6AE85692"/>
    <w:rsid w:val="6B090119"/>
    <w:rsid w:val="6B1148DF"/>
    <w:rsid w:val="6B19056F"/>
    <w:rsid w:val="6B2111D2"/>
    <w:rsid w:val="6B241A17"/>
    <w:rsid w:val="6B264A3A"/>
    <w:rsid w:val="6B300FF4"/>
    <w:rsid w:val="6B511AB7"/>
    <w:rsid w:val="6B5E3EC2"/>
    <w:rsid w:val="6B7636D8"/>
    <w:rsid w:val="6B885F35"/>
    <w:rsid w:val="6BBA58AE"/>
    <w:rsid w:val="6BD3401C"/>
    <w:rsid w:val="6BD90366"/>
    <w:rsid w:val="6BFD1C3F"/>
    <w:rsid w:val="6C1D2FAC"/>
    <w:rsid w:val="6C5A174D"/>
    <w:rsid w:val="6C635F46"/>
    <w:rsid w:val="6C6F157B"/>
    <w:rsid w:val="6C7A3290"/>
    <w:rsid w:val="6C9D7864"/>
    <w:rsid w:val="6CD104BD"/>
    <w:rsid w:val="6CF03552"/>
    <w:rsid w:val="6D125276"/>
    <w:rsid w:val="6D130AAC"/>
    <w:rsid w:val="6D5238C5"/>
    <w:rsid w:val="6D853C9A"/>
    <w:rsid w:val="6D9A1EC6"/>
    <w:rsid w:val="6D9D1D1D"/>
    <w:rsid w:val="6DB95988"/>
    <w:rsid w:val="6DB97DE8"/>
    <w:rsid w:val="6DBD1686"/>
    <w:rsid w:val="6DC00DFC"/>
    <w:rsid w:val="6DC0711C"/>
    <w:rsid w:val="6DC80CEB"/>
    <w:rsid w:val="6DC878D9"/>
    <w:rsid w:val="6DF125B8"/>
    <w:rsid w:val="6E070B53"/>
    <w:rsid w:val="6E1148C4"/>
    <w:rsid w:val="6E181ED6"/>
    <w:rsid w:val="6E393B7E"/>
    <w:rsid w:val="6E892773"/>
    <w:rsid w:val="6E914282"/>
    <w:rsid w:val="6E96294B"/>
    <w:rsid w:val="6E9C0F6F"/>
    <w:rsid w:val="6E9C129B"/>
    <w:rsid w:val="6EA21F4E"/>
    <w:rsid w:val="6EA42846"/>
    <w:rsid w:val="6EAF6C69"/>
    <w:rsid w:val="6EB33282"/>
    <w:rsid w:val="6EB74CEA"/>
    <w:rsid w:val="6EE175F6"/>
    <w:rsid w:val="6EEC3E21"/>
    <w:rsid w:val="6F060E0B"/>
    <w:rsid w:val="6F0E4EC3"/>
    <w:rsid w:val="6F0F5F11"/>
    <w:rsid w:val="6F377216"/>
    <w:rsid w:val="6F3C65DA"/>
    <w:rsid w:val="6F435BBB"/>
    <w:rsid w:val="6F4A519B"/>
    <w:rsid w:val="6F4E5549"/>
    <w:rsid w:val="6F4F630E"/>
    <w:rsid w:val="6F630F35"/>
    <w:rsid w:val="6F637CD9"/>
    <w:rsid w:val="6F6E2FF8"/>
    <w:rsid w:val="6F6F5F5C"/>
    <w:rsid w:val="6F985370"/>
    <w:rsid w:val="6F993A2D"/>
    <w:rsid w:val="6FC0720B"/>
    <w:rsid w:val="6FC565D0"/>
    <w:rsid w:val="700A66D9"/>
    <w:rsid w:val="701117D9"/>
    <w:rsid w:val="702F613F"/>
    <w:rsid w:val="70483BF2"/>
    <w:rsid w:val="70557737"/>
    <w:rsid w:val="70820965"/>
    <w:rsid w:val="709A16FD"/>
    <w:rsid w:val="709A5944"/>
    <w:rsid w:val="709B5583"/>
    <w:rsid w:val="70A15B5A"/>
    <w:rsid w:val="70A7743A"/>
    <w:rsid w:val="70C76378"/>
    <w:rsid w:val="712715E1"/>
    <w:rsid w:val="713B57E2"/>
    <w:rsid w:val="716562BC"/>
    <w:rsid w:val="717007BD"/>
    <w:rsid w:val="717300E1"/>
    <w:rsid w:val="71787AB8"/>
    <w:rsid w:val="717E5C5B"/>
    <w:rsid w:val="71956476"/>
    <w:rsid w:val="71963E7B"/>
    <w:rsid w:val="71AA1F21"/>
    <w:rsid w:val="71AD7318"/>
    <w:rsid w:val="71C32FE3"/>
    <w:rsid w:val="71C37A53"/>
    <w:rsid w:val="71CA6CA8"/>
    <w:rsid w:val="71CA7D6E"/>
    <w:rsid w:val="71EC2F5F"/>
    <w:rsid w:val="71F66F14"/>
    <w:rsid w:val="71F907B3"/>
    <w:rsid w:val="72477770"/>
    <w:rsid w:val="724A3858"/>
    <w:rsid w:val="72553376"/>
    <w:rsid w:val="726553A3"/>
    <w:rsid w:val="72655F95"/>
    <w:rsid w:val="726D70E7"/>
    <w:rsid w:val="728A3905"/>
    <w:rsid w:val="729A7F2F"/>
    <w:rsid w:val="729D3834"/>
    <w:rsid w:val="729F232F"/>
    <w:rsid w:val="72A63D8F"/>
    <w:rsid w:val="72B124CE"/>
    <w:rsid w:val="72B312A9"/>
    <w:rsid w:val="72B62B48"/>
    <w:rsid w:val="72CD6775"/>
    <w:rsid w:val="72D66F5A"/>
    <w:rsid w:val="72D82ABE"/>
    <w:rsid w:val="730F435D"/>
    <w:rsid w:val="73137F9A"/>
    <w:rsid w:val="7315161C"/>
    <w:rsid w:val="731735E6"/>
    <w:rsid w:val="731909ED"/>
    <w:rsid w:val="73267AE8"/>
    <w:rsid w:val="733A0AFA"/>
    <w:rsid w:val="734D7517"/>
    <w:rsid w:val="73896463"/>
    <w:rsid w:val="738A6A21"/>
    <w:rsid w:val="7392667F"/>
    <w:rsid w:val="73D56FFD"/>
    <w:rsid w:val="73E6317C"/>
    <w:rsid w:val="74107F17"/>
    <w:rsid w:val="7460754E"/>
    <w:rsid w:val="747B2B41"/>
    <w:rsid w:val="747D74F0"/>
    <w:rsid w:val="74A25132"/>
    <w:rsid w:val="74C31ECB"/>
    <w:rsid w:val="74C55109"/>
    <w:rsid w:val="74D94E6E"/>
    <w:rsid w:val="74DC1F00"/>
    <w:rsid w:val="751D6EAE"/>
    <w:rsid w:val="75357D54"/>
    <w:rsid w:val="755738AA"/>
    <w:rsid w:val="756248C1"/>
    <w:rsid w:val="756E3266"/>
    <w:rsid w:val="75813F28"/>
    <w:rsid w:val="75942919"/>
    <w:rsid w:val="75974858"/>
    <w:rsid w:val="75994786"/>
    <w:rsid w:val="75B710B1"/>
    <w:rsid w:val="75EF66C8"/>
    <w:rsid w:val="7601232C"/>
    <w:rsid w:val="760A2A49"/>
    <w:rsid w:val="762B1157"/>
    <w:rsid w:val="763D362D"/>
    <w:rsid w:val="763F21AA"/>
    <w:rsid w:val="76502916"/>
    <w:rsid w:val="767B616B"/>
    <w:rsid w:val="769E7B7B"/>
    <w:rsid w:val="76B61368"/>
    <w:rsid w:val="76BF5F6B"/>
    <w:rsid w:val="76D20A27"/>
    <w:rsid w:val="76D701FE"/>
    <w:rsid w:val="76DD3F58"/>
    <w:rsid w:val="76DF3CD0"/>
    <w:rsid w:val="76E52316"/>
    <w:rsid w:val="76F72B61"/>
    <w:rsid w:val="770B16B4"/>
    <w:rsid w:val="77197328"/>
    <w:rsid w:val="77260942"/>
    <w:rsid w:val="772E7A2D"/>
    <w:rsid w:val="77534E09"/>
    <w:rsid w:val="77674410"/>
    <w:rsid w:val="77A35559"/>
    <w:rsid w:val="77AA57AB"/>
    <w:rsid w:val="77AE203F"/>
    <w:rsid w:val="77B3120C"/>
    <w:rsid w:val="77D63978"/>
    <w:rsid w:val="77D777E8"/>
    <w:rsid w:val="77FC2A0A"/>
    <w:rsid w:val="77FF3415"/>
    <w:rsid w:val="78123A61"/>
    <w:rsid w:val="782B182B"/>
    <w:rsid w:val="7836450F"/>
    <w:rsid w:val="78465C65"/>
    <w:rsid w:val="7889310D"/>
    <w:rsid w:val="78A70F68"/>
    <w:rsid w:val="78B57075"/>
    <w:rsid w:val="78C0027C"/>
    <w:rsid w:val="78C859E9"/>
    <w:rsid w:val="78FE100C"/>
    <w:rsid w:val="7908577F"/>
    <w:rsid w:val="79132AA2"/>
    <w:rsid w:val="791D122B"/>
    <w:rsid w:val="791F31F5"/>
    <w:rsid w:val="792720A9"/>
    <w:rsid w:val="79415644"/>
    <w:rsid w:val="794E145A"/>
    <w:rsid w:val="79782905"/>
    <w:rsid w:val="79952967"/>
    <w:rsid w:val="79A731EA"/>
    <w:rsid w:val="79AE4579"/>
    <w:rsid w:val="79BE2849"/>
    <w:rsid w:val="79C47087"/>
    <w:rsid w:val="79D57D57"/>
    <w:rsid w:val="79DA65D2"/>
    <w:rsid w:val="7A3946F5"/>
    <w:rsid w:val="7A3C3932"/>
    <w:rsid w:val="7A6335B5"/>
    <w:rsid w:val="7A717937"/>
    <w:rsid w:val="7A805F15"/>
    <w:rsid w:val="7AAA36FF"/>
    <w:rsid w:val="7ACF52CE"/>
    <w:rsid w:val="7AD2046C"/>
    <w:rsid w:val="7ADB4D2F"/>
    <w:rsid w:val="7AF44B79"/>
    <w:rsid w:val="7AFC1853"/>
    <w:rsid w:val="7B031843"/>
    <w:rsid w:val="7B1D308B"/>
    <w:rsid w:val="7B30439D"/>
    <w:rsid w:val="7B311FB1"/>
    <w:rsid w:val="7B3B008E"/>
    <w:rsid w:val="7B4A207F"/>
    <w:rsid w:val="7B5B397F"/>
    <w:rsid w:val="7B5F523F"/>
    <w:rsid w:val="7B6E3FBF"/>
    <w:rsid w:val="7B711D02"/>
    <w:rsid w:val="7B852096"/>
    <w:rsid w:val="7B8E290B"/>
    <w:rsid w:val="7B9042E9"/>
    <w:rsid w:val="7B9A0B28"/>
    <w:rsid w:val="7BB0536E"/>
    <w:rsid w:val="7BBA0112"/>
    <w:rsid w:val="7BE62C75"/>
    <w:rsid w:val="7BFA6928"/>
    <w:rsid w:val="7C100AC9"/>
    <w:rsid w:val="7C211628"/>
    <w:rsid w:val="7C2B0102"/>
    <w:rsid w:val="7C2E21D0"/>
    <w:rsid w:val="7C330D3F"/>
    <w:rsid w:val="7C363C04"/>
    <w:rsid w:val="7C392297"/>
    <w:rsid w:val="7C3F770A"/>
    <w:rsid w:val="7C5B57F0"/>
    <w:rsid w:val="7C660203"/>
    <w:rsid w:val="7C8554FF"/>
    <w:rsid w:val="7C896BD7"/>
    <w:rsid w:val="7C9C4E59"/>
    <w:rsid w:val="7CA35EEB"/>
    <w:rsid w:val="7CB02EC0"/>
    <w:rsid w:val="7CBE0F77"/>
    <w:rsid w:val="7CFB7AD5"/>
    <w:rsid w:val="7D145EE4"/>
    <w:rsid w:val="7D270829"/>
    <w:rsid w:val="7D3036DB"/>
    <w:rsid w:val="7D474AC8"/>
    <w:rsid w:val="7D50524D"/>
    <w:rsid w:val="7D580A83"/>
    <w:rsid w:val="7D584D0A"/>
    <w:rsid w:val="7D5A0C9F"/>
    <w:rsid w:val="7D63567A"/>
    <w:rsid w:val="7D657644"/>
    <w:rsid w:val="7D671C03"/>
    <w:rsid w:val="7D711B45"/>
    <w:rsid w:val="7D747887"/>
    <w:rsid w:val="7D871368"/>
    <w:rsid w:val="7D9D03C7"/>
    <w:rsid w:val="7DA2758C"/>
    <w:rsid w:val="7DB06B11"/>
    <w:rsid w:val="7DCE51E9"/>
    <w:rsid w:val="7DCF4ABD"/>
    <w:rsid w:val="7DD65A11"/>
    <w:rsid w:val="7DF033B2"/>
    <w:rsid w:val="7DF95C2F"/>
    <w:rsid w:val="7DFBF3F2"/>
    <w:rsid w:val="7E07683D"/>
    <w:rsid w:val="7E2363E8"/>
    <w:rsid w:val="7E2564CB"/>
    <w:rsid w:val="7E2766A8"/>
    <w:rsid w:val="7E283030"/>
    <w:rsid w:val="7E2F1D63"/>
    <w:rsid w:val="7E362955"/>
    <w:rsid w:val="7E412536"/>
    <w:rsid w:val="7E4210B2"/>
    <w:rsid w:val="7E8231FD"/>
    <w:rsid w:val="7E867872"/>
    <w:rsid w:val="7E8807F6"/>
    <w:rsid w:val="7E93361A"/>
    <w:rsid w:val="7E996EC9"/>
    <w:rsid w:val="7EA66D43"/>
    <w:rsid w:val="7EA871AC"/>
    <w:rsid w:val="7EB4618D"/>
    <w:rsid w:val="7EB9429C"/>
    <w:rsid w:val="7EC16AFC"/>
    <w:rsid w:val="7EC65EC0"/>
    <w:rsid w:val="7F01514B"/>
    <w:rsid w:val="7F160BF6"/>
    <w:rsid w:val="7F203621"/>
    <w:rsid w:val="7F567244"/>
    <w:rsid w:val="7F792F33"/>
    <w:rsid w:val="7F7B6CAB"/>
    <w:rsid w:val="7F863357"/>
    <w:rsid w:val="7F950187"/>
    <w:rsid w:val="7FA73F44"/>
    <w:rsid w:val="7FAA3619"/>
    <w:rsid w:val="7FBD5515"/>
    <w:rsid w:val="7FD338B1"/>
    <w:rsid w:val="7FDE455C"/>
    <w:rsid w:val="7FE65FC0"/>
    <w:rsid w:val="7FF25FB5"/>
    <w:rsid w:val="7FFA0518"/>
    <w:rsid w:val="9FFAB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7">
    <w:name w:val="heading 5"/>
    <w:basedOn w:val="1"/>
    <w:next w:val="8"/>
    <w:link w:val="64"/>
    <w:qFormat/>
    <w:uiPriority w:val="0"/>
    <w:pPr>
      <w:keepNext/>
      <w:keepLines/>
      <w:spacing w:before="280" w:after="290" w:line="376" w:lineRule="auto"/>
      <w:outlineLvl w:val="4"/>
    </w:pPr>
    <w:rPr>
      <w:b/>
      <w:sz w:val="28"/>
    </w:rPr>
  </w:style>
  <w:style w:type="paragraph" w:styleId="9">
    <w:name w:val="heading 6"/>
    <w:basedOn w:val="1"/>
    <w:next w:val="8"/>
    <w:link w:val="65"/>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66"/>
    <w:qFormat/>
    <w:uiPriority w:val="0"/>
    <w:pPr>
      <w:keepNext/>
      <w:keepLines/>
      <w:spacing w:before="240" w:after="64" w:line="320" w:lineRule="auto"/>
      <w:outlineLvl w:val="6"/>
    </w:pPr>
    <w:rPr>
      <w:b/>
      <w:sz w:val="24"/>
    </w:rPr>
  </w:style>
  <w:style w:type="paragraph" w:styleId="11">
    <w:name w:val="heading 8"/>
    <w:basedOn w:val="1"/>
    <w:next w:val="8"/>
    <w:link w:val="67"/>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68"/>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99"/>
    <w:pPr>
      <w:spacing w:line="380" w:lineRule="exact"/>
    </w:pPr>
    <w:rPr>
      <w:kern w:val="0"/>
      <w:sz w:val="24"/>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table of authorities"/>
    <w:basedOn w:val="1"/>
    <w:next w:val="1"/>
    <w:unhideWhenUsed/>
    <w:qFormat/>
    <w:uiPriority w:val="99"/>
    <w:pPr>
      <w:ind w:left="420" w:leftChars="2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pPr>
    <w:rPr>
      <w:rFonts w:ascii="Arial" w:hAnsi="Arial" w:eastAsia="黑体" w:cs="Arial"/>
      <w:sz w:val="20"/>
      <w:szCs w:val="20"/>
    </w:rPr>
  </w:style>
  <w:style w:type="paragraph" w:styleId="17">
    <w:name w:val="Document Map"/>
    <w:basedOn w:val="1"/>
    <w:link w:val="72"/>
    <w:unhideWhenUsed/>
    <w:qFormat/>
    <w:uiPriority w:val="0"/>
    <w:pPr>
      <w:shd w:val="clear" w:color="auto" w:fill="000080"/>
    </w:pPr>
    <w:rPr>
      <w:rFonts w:hint="eastAsia" w:ascii="宋体" w:hAnsi="宋体"/>
      <w:kern w:val="0"/>
      <w:sz w:val="20"/>
      <w:szCs w:val="20"/>
    </w:rPr>
  </w:style>
  <w:style w:type="paragraph" w:styleId="18">
    <w:name w:val="annotation text"/>
    <w:basedOn w:val="1"/>
    <w:link w:val="69"/>
    <w:unhideWhenUsed/>
    <w:qFormat/>
    <w:uiPriority w:val="0"/>
    <w:pPr>
      <w:jc w:val="left"/>
    </w:pPr>
  </w:style>
  <w:style w:type="paragraph" w:styleId="19">
    <w:name w:val="Body Text 3"/>
    <w:basedOn w:val="1"/>
    <w:link w:val="73"/>
    <w:qFormat/>
    <w:uiPriority w:val="0"/>
    <w:pPr>
      <w:spacing w:line="500" w:lineRule="exact"/>
    </w:pPr>
    <w:rPr>
      <w:b/>
      <w:bCs/>
      <w:kern w:val="0"/>
      <w:sz w:val="24"/>
    </w:rPr>
  </w:style>
  <w:style w:type="paragraph" w:styleId="20">
    <w:name w:val="Body Text Indent"/>
    <w:basedOn w:val="1"/>
    <w:link w:val="74"/>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26"/>
    <w:link w:val="75"/>
    <w:qFormat/>
    <w:uiPriority w:val="0"/>
    <w:rPr>
      <w:rFonts w:ascii="宋体" w:hAnsi="Courier New"/>
      <w:kern w:val="0"/>
      <w:sz w:val="20"/>
      <w:szCs w:val="21"/>
    </w:rPr>
  </w:style>
  <w:style w:type="paragraph" w:customStyle="1" w:styleId="26">
    <w:name w:val="Default"/>
    <w:next w:val="27"/>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paragraph" w:customStyle="1" w:styleId="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76"/>
    <w:qFormat/>
    <w:uiPriority w:val="0"/>
    <w:pPr>
      <w:ind w:left="100" w:leftChars="2500"/>
    </w:pPr>
    <w:rPr>
      <w:rFonts w:ascii="宋体" w:hAnsi="Courier New"/>
      <w:kern w:val="0"/>
      <w:sz w:val="20"/>
      <w:szCs w:val="21"/>
    </w:rPr>
  </w:style>
  <w:style w:type="paragraph" w:styleId="30">
    <w:name w:val="Body Text Indent 2"/>
    <w:basedOn w:val="1"/>
    <w:link w:val="60"/>
    <w:qFormat/>
    <w:uiPriority w:val="99"/>
    <w:pPr>
      <w:ind w:firstLine="630"/>
    </w:pPr>
    <w:rPr>
      <w:kern w:val="0"/>
      <w:sz w:val="32"/>
      <w:szCs w:val="20"/>
    </w:rPr>
  </w:style>
  <w:style w:type="paragraph" w:styleId="31">
    <w:name w:val="endnote text"/>
    <w:basedOn w:val="1"/>
    <w:link w:val="77"/>
    <w:unhideWhenUsed/>
    <w:qFormat/>
    <w:uiPriority w:val="99"/>
    <w:pPr>
      <w:snapToGrid w:val="0"/>
      <w:jc w:val="left"/>
    </w:pPr>
  </w:style>
  <w:style w:type="paragraph" w:styleId="32">
    <w:name w:val="Balloon Text"/>
    <w:basedOn w:val="1"/>
    <w:link w:val="78"/>
    <w:semiHidden/>
    <w:qFormat/>
    <w:uiPriority w:val="0"/>
    <w:rPr>
      <w:kern w:val="0"/>
      <w:sz w:val="18"/>
      <w:szCs w:val="18"/>
    </w:rPr>
  </w:style>
  <w:style w:type="paragraph" w:styleId="33">
    <w:name w:val="footer"/>
    <w:basedOn w:val="1"/>
    <w:link w:val="79"/>
    <w:unhideWhenUsed/>
    <w:qFormat/>
    <w:uiPriority w:val="99"/>
    <w:pPr>
      <w:tabs>
        <w:tab w:val="center" w:pos="4153"/>
        <w:tab w:val="right" w:pos="8306"/>
      </w:tabs>
      <w:snapToGrid w:val="0"/>
      <w:jc w:val="left"/>
    </w:pPr>
    <w:rPr>
      <w:kern w:val="0"/>
      <w:sz w:val="18"/>
      <w:szCs w:val="18"/>
    </w:rPr>
  </w:style>
  <w:style w:type="paragraph" w:styleId="34">
    <w:name w:val="header"/>
    <w:basedOn w:val="1"/>
    <w:link w:val="80"/>
    <w:unhideWhenUsed/>
    <w:qFormat/>
    <w:uiPriority w:val="99"/>
    <w:pPr>
      <w:pBdr>
        <w:bottom w:val="single" w:color="auto" w:sz="6" w:space="1"/>
      </w:pBdr>
      <w:tabs>
        <w:tab w:val="center" w:pos="0"/>
        <w:tab w:val="lef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footnote text"/>
    <w:basedOn w:val="1"/>
    <w:link w:val="81"/>
    <w:unhideWhenUsed/>
    <w:qFormat/>
    <w:uiPriority w:val="99"/>
    <w:pPr>
      <w:snapToGrid w:val="0"/>
      <w:jc w:val="left"/>
    </w:pPr>
    <w:rPr>
      <w:sz w:val="18"/>
      <w:szCs w:val="1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82"/>
    <w:qFormat/>
    <w:uiPriority w:val="0"/>
    <w:pPr>
      <w:spacing w:after="120"/>
      <w:ind w:left="420" w:leftChars="200"/>
    </w:pPr>
    <w:rPr>
      <w:kern w:val="0"/>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83"/>
    <w:qFormat/>
    <w:uiPriority w:val="0"/>
    <w:pPr>
      <w:spacing w:after="120" w:line="480" w:lineRule="auto"/>
    </w:pPr>
    <w:rPr>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semiHidden/>
    <w:qFormat/>
    <w:uiPriority w:val="0"/>
    <w:pPr>
      <w:spacing w:line="400" w:lineRule="exact"/>
      <w:ind w:firstLine="420" w:firstLineChars="200"/>
    </w:pPr>
    <w:rPr>
      <w:rFonts w:ascii="宋体" w:hAnsi="Courier New"/>
      <w:b/>
      <w:szCs w:val="20"/>
    </w:rPr>
  </w:style>
  <w:style w:type="paragraph" w:styleId="46">
    <w:name w:val="Title"/>
    <w:basedOn w:val="1"/>
    <w:next w:val="1"/>
    <w:link w:val="84"/>
    <w:qFormat/>
    <w:uiPriority w:val="10"/>
    <w:pPr>
      <w:spacing w:before="240" w:after="60"/>
      <w:jc w:val="center"/>
      <w:outlineLvl w:val="0"/>
    </w:pPr>
    <w:rPr>
      <w:rFonts w:ascii="Cambria" w:hAnsi="Cambria"/>
      <w:b/>
      <w:bCs/>
      <w:sz w:val="32"/>
      <w:szCs w:val="32"/>
    </w:rPr>
  </w:style>
  <w:style w:type="paragraph" w:styleId="47">
    <w:name w:val="annotation subject"/>
    <w:basedOn w:val="18"/>
    <w:next w:val="18"/>
    <w:link w:val="70"/>
    <w:unhideWhenUsed/>
    <w:qFormat/>
    <w:uiPriority w:val="99"/>
    <w:rPr>
      <w:b/>
      <w:bCs/>
    </w:rPr>
  </w:style>
  <w:style w:type="paragraph" w:styleId="48">
    <w:name w:val="Body Text First Indent"/>
    <w:basedOn w:val="2"/>
    <w:qFormat/>
    <w:uiPriority w:val="0"/>
    <w:pPr>
      <w:spacing w:after="120" w:line="240" w:lineRule="auto"/>
      <w:ind w:firstLine="420" w:firstLineChars="100"/>
    </w:pPr>
    <w:rPr>
      <w:sz w:val="21"/>
    </w:rPr>
  </w:style>
  <w:style w:type="paragraph" w:styleId="49">
    <w:name w:val="Body Text First Indent 2"/>
    <w:basedOn w:val="20"/>
    <w:qFormat/>
    <w:uiPriority w:val="0"/>
    <w:pPr>
      <w:ind w:firstLine="420" w:firstLineChars="200"/>
    </w:p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endnote reference"/>
    <w:unhideWhenUsed/>
    <w:qFormat/>
    <w:uiPriority w:val="99"/>
    <w:rPr>
      <w:vertAlign w:val="superscript"/>
    </w:rPr>
  </w:style>
  <w:style w:type="character" w:styleId="54">
    <w:name w:val="page number"/>
    <w:qFormat/>
    <w:uiPriority w:val="0"/>
  </w:style>
  <w:style w:type="character" w:styleId="55">
    <w:name w:val="FollowedHyperlink"/>
    <w:qFormat/>
    <w:uiPriority w:val="99"/>
    <w:rPr>
      <w:color w:val="000000"/>
      <w:u w:val="none"/>
    </w:rPr>
  </w:style>
  <w:style w:type="character" w:styleId="56">
    <w:name w:val="Hyperlink"/>
    <w:qFormat/>
    <w:uiPriority w:val="99"/>
    <w:rPr>
      <w:color w:val="000000"/>
      <w:u w:val="none"/>
    </w:rPr>
  </w:style>
  <w:style w:type="character" w:styleId="57">
    <w:name w:val="annotation reference"/>
    <w:unhideWhenUsed/>
    <w:qFormat/>
    <w:uiPriority w:val="0"/>
    <w:rPr>
      <w:sz w:val="21"/>
      <w:szCs w:val="21"/>
    </w:rPr>
  </w:style>
  <w:style w:type="character" w:styleId="58">
    <w:name w:val="footnote reference"/>
    <w:unhideWhenUsed/>
    <w:qFormat/>
    <w:uiPriority w:val="99"/>
    <w:rPr>
      <w:vertAlign w:val="superscript"/>
    </w:rPr>
  </w:style>
  <w:style w:type="paragraph" w:customStyle="1" w:styleId="59">
    <w:name w:val="Title1"/>
    <w:basedOn w:val="1"/>
    <w:next w:val="1"/>
    <w:qFormat/>
    <w:uiPriority w:val="0"/>
    <w:pPr>
      <w:jc w:val="center"/>
      <w:outlineLvl w:val="0"/>
    </w:pPr>
    <w:rPr>
      <w:rFonts w:ascii="Calibri Light" w:hAnsi="Calibri Light" w:eastAsia="Arial Unicode MS"/>
      <w:b/>
    </w:rPr>
  </w:style>
  <w:style w:type="character" w:customStyle="1" w:styleId="60">
    <w:name w:val="正文文本缩进 2 Char"/>
    <w:link w:val="30"/>
    <w:qFormat/>
    <w:uiPriority w:val="99"/>
    <w:rPr>
      <w:rFonts w:ascii="Times New Roman" w:hAnsi="Times New Roman" w:eastAsia="宋体" w:cs="Times New Roman"/>
      <w:sz w:val="32"/>
      <w:szCs w:val="20"/>
    </w:rPr>
  </w:style>
  <w:style w:type="character" w:customStyle="1" w:styleId="61">
    <w:name w:val="标题 1 Char"/>
    <w:link w:val="3"/>
    <w:qFormat/>
    <w:uiPriority w:val="0"/>
    <w:rPr>
      <w:rFonts w:ascii="Times New Roman" w:hAnsi="Times New Roman" w:eastAsia="宋体" w:cs="Times New Roman"/>
      <w:b/>
      <w:bCs/>
      <w:kern w:val="44"/>
      <w:sz w:val="44"/>
      <w:szCs w:val="44"/>
    </w:rPr>
  </w:style>
  <w:style w:type="character" w:customStyle="1" w:styleId="62">
    <w:name w:val="标题 2 Char"/>
    <w:link w:val="4"/>
    <w:qFormat/>
    <w:uiPriority w:val="0"/>
    <w:rPr>
      <w:rFonts w:ascii="Arial" w:hAnsi="Arial" w:eastAsia="黑体" w:cs="Times New Roman"/>
      <w:b/>
      <w:bCs/>
      <w:sz w:val="32"/>
      <w:szCs w:val="32"/>
    </w:rPr>
  </w:style>
  <w:style w:type="character" w:customStyle="1" w:styleId="63">
    <w:name w:val="标题 3 Char"/>
    <w:link w:val="5"/>
    <w:qFormat/>
    <w:uiPriority w:val="0"/>
    <w:rPr>
      <w:rFonts w:ascii="Times New Roman" w:hAnsi="Times New Roman" w:eastAsia="宋体" w:cs="Times New Roman"/>
      <w:b/>
      <w:bCs/>
      <w:sz w:val="32"/>
      <w:szCs w:val="32"/>
    </w:rPr>
  </w:style>
  <w:style w:type="character" w:customStyle="1" w:styleId="64">
    <w:name w:val="标题 5 Char1"/>
    <w:link w:val="7"/>
    <w:qFormat/>
    <w:uiPriority w:val="0"/>
    <w:rPr>
      <w:b/>
      <w:kern w:val="2"/>
      <w:sz w:val="28"/>
      <w:szCs w:val="24"/>
    </w:rPr>
  </w:style>
  <w:style w:type="character" w:customStyle="1" w:styleId="65">
    <w:name w:val="标题 6 Char"/>
    <w:link w:val="9"/>
    <w:qFormat/>
    <w:uiPriority w:val="0"/>
    <w:rPr>
      <w:rFonts w:ascii="Arial" w:hAnsi="Arial" w:eastAsia="黑体"/>
      <w:b/>
      <w:kern w:val="2"/>
      <w:sz w:val="24"/>
      <w:szCs w:val="24"/>
    </w:rPr>
  </w:style>
  <w:style w:type="character" w:customStyle="1" w:styleId="66">
    <w:name w:val="标题 7 Char"/>
    <w:link w:val="10"/>
    <w:qFormat/>
    <w:uiPriority w:val="0"/>
    <w:rPr>
      <w:b/>
      <w:kern w:val="2"/>
      <w:sz w:val="24"/>
      <w:szCs w:val="24"/>
    </w:rPr>
  </w:style>
  <w:style w:type="character" w:customStyle="1" w:styleId="67">
    <w:name w:val="标题 8 Char"/>
    <w:link w:val="11"/>
    <w:qFormat/>
    <w:uiPriority w:val="0"/>
    <w:rPr>
      <w:rFonts w:ascii="Arial" w:hAnsi="Arial" w:eastAsia="黑体"/>
      <w:kern w:val="2"/>
      <w:sz w:val="24"/>
      <w:szCs w:val="24"/>
    </w:rPr>
  </w:style>
  <w:style w:type="character" w:customStyle="1" w:styleId="68">
    <w:name w:val="标题 9 Char"/>
    <w:link w:val="12"/>
    <w:qFormat/>
    <w:uiPriority w:val="0"/>
    <w:rPr>
      <w:rFonts w:ascii="Arial" w:hAnsi="Arial" w:eastAsia="黑体"/>
      <w:kern w:val="2"/>
      <w:sz w:val="21"/>
      <w:szCs w:val="24"/>
    </w:rPr>
  </w:style>
  <w:style w:type="character" w:customStyle="1" w:styleId="69">
    <w:name w:val="批注文字 Char2"/>
    <w:link w:val="18"/>
    <w:qFormat/>
    <w:uiPriority w:val="0"/>
    <w:rPr>
      <w:rFonts w:ascii="Times New Roman" w:hAnsi="Times New Roman"/>
      <w:kern w:val="2"/>
      <w:sz w:val="21"/>
      <w:szCs w:val="24"/>
    </w:rPr>
  </w:style>
  <w:style w:type="character" w:customStyle="1" w:styleId="70">
    <w:name w:val="批注主题 Char"/>
    <w:link w:val="47"/>
    <w:semiHidden/>
    <w:qFormat/>
    <w:uiPriority w:val="99"/>
    <w:rPr>
      <w:rFonts w:ascii="Times New Roman" w:hAnsi="Times New Roman"/>
      <w:b/>
      <w:bCs/>
      <w:kern w:val="2"/>
      <w:sz w:val="21"/>
      <w:szCs w:val="24"/>
    </w:rPr>
  </w:style>
  <w:style w:type="character" w:customStyle="1" w:styleId="71">
    <w:name w:val="正文文本 Char"/>
    <w:link w:val="2"/>
    <w:qFormat/>
    <w:uiPriority w:val="99"/>
    <w:rPr>
      <w:rFonts w:ascii="Times New Roman" w:hAnsi="Times New Roman" w:eastAsia="宋体" w:cs="Times New Roman"/>
      <w:sz w:val="24"/>
      <w:szCs w:val="24"/>
    </w:rPr>
  </w:style>
  <w:style w:type="character" w:customStyle="1" w:styleId="72">
    <w:name w:val="文档结构图 Char"/>
    <w:link w:val="17"/>
    <w:qFormat/>
    <w:uiPriority w:val="0"/>
    <w:rPr>
      <w:rFonts w:hint="eastAsia" w:ascii="宋体" w:hAnsi="宋体" w:eastAsia="宋体" w:cs="宋体"/>
    </w:rPr>
  </w:style>
  <w:style w:type="character" w:customStyle="1" w:styleId="73">
    <w:name w:val="正文文本 3 Char"/>
    <w:link w:val="19"/>
    <w:qFormat/>
    <w:uiPriority w:val="0"/>
    <w:rPr>
      <w:rFonts w:ascii="Times New Roman" w:hAnsi="Times New Roman" w:eastAsia="宋体" w:cs="Times New Roman"/>
      <w:b/>
      <w:bCs/>
      <w:sz w:val="24"/>
      <w:szCs w:val="24"/>
    </w:rPr>
  </w:style>
  <w:style w:type="character" w:customStyle="1" w:styleId="74">
    <w:name w:val="正文文本缩进 Char"/>
    <w:link w:val="20"/>
    <w:qFormat/>
    <w:uiPriority w:val="0"/>
    <w:rPr>
      <w:rFonts w:ascii="仿宋_GB2312" w:hAnsi="Times New Roman" w:eastAsia="仿宋_GB2312" w:cs="Times New Roman"/>
      <w:sz w:val="32"/>
      <w:szCs w:val="20"/>
    </w:rPr>
  </w:style>
  <w:style w:type="character" w:customStyle="1" w:styleId="75">
    <w:name w:val="纯文本 Char1"/>
    <w:link w:val="25"/>
    <w:qFormat/>
    <w:uiPriority w:val="0"/>
    <w:rPr>
      <w:rFonts w:ascii="宋体" w:hAnsi="Courier New" w:eastAsia="宋体" w:cs="Courier New"/>
      <w:szCs w:val="21"/>
    </w:rPr>
  </w:style>
  <w:style w:type="character" w:customStyle="1" w:styleId="76">
    <w:name w:val="日期 Char"/>
    <w:link w:val="29"/>
    <w:qFormat/>
    <w:uiPriority w:val="0"/>
    <w:rPr>
      <w:rFonts w:ascii="宋体" w:hAnsi="Courier New" w:eastAsia="宋体" w:cs="Courier New"/>
      <w:szCs w:val="21"/>
    </w:rPr>
  </w:style>
  <w:style w:type="character" w:customStyle="1" w:styleId="77">
    <w:name w:val="尾注文本 Char"/>
    <w:link w:val="31"/>
    <w:semiHidden/>
    <w:qFormat/>
    <w:uiPriority w:val="99"/>
    <w:rPr>
      <w:rFonts w:ascii="Times New Roman" w:hAnsi="Times New Roman"/>
      <w:kern w:val="2"/>
      <w:sz w:val="21"/>
      <w:szCs w:val="24"/>
    </w:rPr>
  </w:style>
  <w:style w:type="character" w:customStyle="1" w:styleId="78">
    <w:name w:val="批注框文本 Char"/>
    <w:link w:val="32"/>
    <w:semiHidden/>
    <w:qFormat/>
    <w:uiPriority w:val="0"/>
    <w:rPr>
      <w:rFonts w:ascii="Times New Roman" w:hAnsi="Times New Roman" w:eastAsia="宋体" w:cs="Times New Roman"/>
      <w:sz w:val="18"/>
      <w:szCs w:val="18"/>
    </w:rPr>
  </w:style>
  <w:style w:type="character" w:customStyle="1" w:styleId="79">
    <w:name w:val="页脚 Char"/>
    <w:link w:val="33"/>
    <w:qFormat/>
    <w:uiPriority w:val="99"/>
    <w:rPr>
      <w:sz w:val="18"/>
      <w:szCs w:val="18"/>
    </w:rPr>
  </w:style>
  <w:style w:type="character" w:customStyle="1" w:styleId="80">
    <w:name w:val="页眉 Char"/>
    <w:link w:val="34"/>
    <w:qFormat/>
    <w:uiPriority w:val="99"/>
    <w:rPr>
      <w:rFonts w:ascii="Times New Roman" w:hAnsi="Times New Roman"/>
      <w:kern w:val="2"/>
      <w:sz w:val="18"/>
      <w:szCs w:val="18"/>
    </w:rPr>
  </w:style>
  <w:style w:type="character" w:customStyle="1" w:styleId="81">
    <w:name w:val="脚注文本 Char"/>
    <w:link w:val="38"/>
    <w:semiHidden/>
    <w:qFormat/>
    <w:uiPriority w:val="99"/>
    <w:rPr>
      <w:rFonts w:ascii="Times New Roman" w:hAnsi="Times New Roman"/>
      <w:kern w:val="2"/>
      <w:sz w:val="18"/>
      <w:szCs w:val="18"/>
    </w:rPr>
  </w:style>
  <w:style w:type="character" w:customStyle="1" w:styleId="82">
    <w:name w:val="正文文本缩进 3 Char"/>
    <w:link w:val="40"/>
    <w:qFormat/>
    <w:uiPriority w:val="0"/>
    <w:rPr>
      <w:rFonts w:ascii="Times New Roman" w:hAnsi="Times New Roman" w:eastAsia="宋体" w:cs="Times New Roman"/>
      <w:sz w:val="16"/>
      <w:szCs w:val="16"/>
    </w:rPr>
  </w:style>
  <w:style w:type="character" w:customStyle="1" w:styleId="83">
    <w:name w:val="正文文本 2 Char"/>
    <w:link w:val="43"/>
    <w:qFormat/>
    <w:uiPriority w:val="0"/>
    <w:rPr>
      <w:rFonts w:ascii="Times New Roman" w:hAnsi="Times New Roman" w:eastAsia="宋体" w:cs="Times New Roman"/>
      <w:szCs w:val="24"/>
    </w:rPr>
  </w:style>
  <w:style w:type="character" w:customStyle="1" w:styleId="84">
    <w:name w:val="标题 Char"/>
    <w:link w:val="46"/>
    <w:qFormat/>
    <w:uiPriority w:val="10"/>
    <w:rPr>
      <w:rFonts w:ascii="Cambria" w:hAnsi="Cambria" w:cs="Times New Roman"/>
      <w:b/>
      <w:bCs/>
      <w:kern w:val="2"/>
      <w:sz w:val="32"/>
      <w:szCs w:val="32"/>
    </w:rPr>
  </w:style>
  <w:style w:type="character" w:customStyle="1" w:styleId="85">
    <w:name w:val="批注文字 Char1"/>
    <w:qFormat/>
    <w:locked/>
    <w:uiPriority w:val="0"/>
    <w:rPr>
      <w:rFonts w:ascii="Times New Roman" w:hAnsi="Times New Roman"/>
      <w:kern w:val="2"/>
      <w:sz w:val="21"/>
      <w:szCs w:val="24"/>
    </w:rPr>
  </w:style>
  <w:style w:type="character" w:customStyle="1" w:styleId="86">
    <w:name w:val="case31"/>
    <w:qFormat/>
    <w:uiPriority w:val="0"/>
    <w:rPr>
      <w:rFonts w:hint="default"/>
      <w:sz w:val="21"/>
      <w:szCs w:val="21"/>
    </w:rPr>
  </w:style>
  <w:style w:type="character" w:customStyle="1" w:styleId="87">
    <w:name w:val="批注文字 Char"/>
    <w:qFormat/>
    <w:uiPriority w:val="0"/>
    <w:rPr>
      <w:rFonts w:ascii="Times New Roman" w:hAnsi="Times New Roman"/>
      <w:kern w:val="2"/>
      <w:sz w:val="21"/>
      <w:szCs w:val="24"/>
    </w:rPr>
  </w:style>
  <w:style w:type="character" w:customStyle="1" w:styleId="88">
    <w:name w:val="纯文本 Char"/>
    <w:qFormat/>
    <w:uiPriority w:val="0"/>
    <w:rPr>
      <w:rFonts w:ascii="宋体" w:hAnsi="Courier New" w:eastAsia="宋体"/>
      <w:kern w:val="2"/>
      <w:sz w:val="21"/>
      <w:lang w:val="en-US" w:eastAsia="zh-CN" w:bidi="ar-SA"/>
    </w:rPr>
  </w:style>
  <w:style w:type="character" w:customStyle="1" w:styleId="89">
    <w:name w:val="纯文本 字符1"/>
    <w:qFormat/>
    <w:uiPriority w:val="0"/>
    <w:rPr>
      <w:rFonts w:ascii="宋体" w:hAnsi="Courier New"/>
    </w:rPr>
  </w:style>
  <w:style w:type="character" w:customStyle="1" w:styleId="90">
    <w:name w:val="批注文字 字符1"/>
    <w:qFormat/>
    <w:uiPriority w:val="0"/>
    <w:rPr>
      <w:rFonts w:ascii="Times New Roman" w:hAnsi="Times New Roman"/>
      <w:kern w:val="2"/>
      <w:sz w:val="21"/>
      <w:szCs w:val="24"/>
    </w:rPr>
  </w:style>
  <w:style w:type="character" w:customStyle="1" w:styleId="91">
    <w:name w:val="正文文本 Char1"/>
    <w:semiHidden/>
    <w:qFormat/>
    <w:locked/>
    <w:uiPriority w:val="99"/>
    <w:rPr>
      <w:sz w:val="24"/>
      <w:szCs w:val="24"/>
    </w:rPr>
  </w:style>
  <w:style w:type="character" w:customStyle="1" w:styleId="92">
    <w:name w:val="apple-style-span"/>
    <w:qFormat/>
    <w:uiPriority w:val="0"/>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character" w:customStyle="1" w:styleId="95">
    <w:name w:val="标题 5 Char"/>
    <w:qFormat/>
    <w:uiPriority w:val="9"/>
    <w:rPr>
      <w:b/>
      <w:kern w:val="2"/>
      <w:sz w:val="28"/>
      <w:szCs w:val="24"/>
    </w:rPr>
  </w:style>
  <w:style w:type="character" w:customStyle="1" w:styleId="96">
    <w:name w:val="批注文字 字符"/>
    <w:qFormat/>
    <w:uiPriority w:val="0"/>
    <w:rPr>
      <w:rFonts w:ascii="Times New Roman" w:hAnsi="Times New Roman"/>
      <w:kern w:val="2"/>
      <w:sz w:val="21"/>
      <w:szCs w:val="24"/>
    </w:rPr>
  </w:style>
  <w:style w:type="character" w:customStyle="1" w:styleId="97">
    <w:name w:val="标题 1 字符"/>
    <w:qFormat/>
    <w:uiPriority w:val="9"/>
    <w:rPr>
      <w:rFonts w:ascii="Times New Roman" w:hAnsi="Times New Roman" w:eastAsia="宋体" w:cs="Times New Roman"/>
      <w:b/>
      <w:bCs/>
      <w:kern w:val="44"/>
      <w:sz w:val="44"/>
      <w:szCs w:val="44"/>
    </w:rPr>
  </w:style>
  <w:style w:type="character" w:customStyle="1" w:styleId="98">
    <w:name w:val="纯文本 字符"/>
    <w:qFormat/>
    <w:uiPriority w:val="0"/>
    <w:rPr>
      <w:rFonts w:ascii="宋体" w:hAnsi="Courier New" w:eastAsia="宋体" w:cs="Courier New"/>
      <w:szCs w:val="21"/>
    </w:rPr>
  </w:style>
  <w:style w:type="character" w:customStyle="1" w:styleId="99">
    <w:name w:val="headline-content4"/>
    <w:qFormat/>
    <w:uiPriority w:val="0"/>
  </w:style>
  <w:style w:type="character" w:customStyle="1" w:styleId="10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1">
    <w:name w:val="正文文本缩进 字符"/>
    <w:qFormat/>
    <w:uiPriority w:val="0"/>
    <w:rPr>
      <w:rFonts w:ascii="仿宋_GB2312" w:hAnsi="Times New Roman" w:eastAsia="仿宋_GB2312" w:cs="Times New Roman"/>
      <w:sz w:val="32"/>
      <w:szCs w:val="20"/>
    </w:rPr>
  </w:style>
  <w:style w:type="paragraph" w:customStyle="1" w:styleId="102">
    <w:name w:val="Char1"/>
    <w:basedOn w:val="1"/>
    <w:qFormat/>
    <w:uiPriority w:val="0"/>
    <w:rPr>
      <w:szCs w:val="21"/>
    </w:rPr>
  </w:style>
  <w:style w:type="paragraph" w:styleId="103">
    <w:name w:val="List Paragraph"/>
    <w:basedOn w:val="1"/>
    <w:qFormat/>
    <w:uiPriority w:val="34"/>
    <w:pPr>
      <w:ind w:firstLine="420" w:firstLineChars="200"/>
    </w:pPr>
  </w:style>
  <w:style w:type="paragraph" w:customStyle="1" w:styleId="10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样式"/>
    <w:qFormat/>
    <w:uiPriority w:val="0"/>
    <w:pPr>
      <w:widowControl w:val="0"/>
      <w:autoSpaceDE w:val="0"/>
      <w:autoSpaceDN w:val="0"/>
      <w:adjustRightInd w:val="0"/>
      <w:spacing w:after="160" w:line="278" w:lineRule="auto"/>
      <w:jc w:val="center"/>
    </w:pPr>
    <w:rPr>
      <w:rFonts w:ascii="宋体" w:hAnsi="宋体" w:eastAsia="宋体" w:cs="宋体"/>
      <w:sz w:val="24"/>
      <w:szCs w:val="24"/>
      <w:lang w:val="en-US" w:eastAsia="zh-CN" w:bidi="ar-SA"/>
    </w:rPr>
  </w:style>
  <w:style w:type="paragraph" w:customStyle="1" w:styleId="107">
    <w:name w:val="纯文本1"/>
    <w:basedOn w:val="1"/>
    <w:qFormat/>
    <w:uiPriority w:val="0"/>
    <w:rPr>
      <w:rFonts w:ascii="宋体" w:hAnsi="Courier New" w:cs="Century"/>
      <w:szCs w:val="21"/>
    </w:rPr>
  </w:style>
  <w:style w:type="paragraph" w:customStyle="1" w:styleId="108">
    <w:name w:val="Table Paragraph"/>
    <w:basedOn w:val="1"/>
    <w:qFormat/>
    <w:uiPriority w:val="1"/>
    <w:pPr>
      <w:jc w:val="left"/>
    </w:pPr>
    <w:rPr>
      <w:rFonts w:ascii="Calibri" w:hAnsi="Calibri"/>
      <w:kern w:val="0"/>
      <w:sz w:val="22"/>
      <w:szCs w:val="22"/>
      <w:lang w:eastAsia="en-US"/>
    </w:rPr>
  </w:style>
  <w:style w:type="paragraph" w:customStyle="1" w:styleId="10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0">
    <w:name w:val="表格"/>
    <w:basedOn w:val="1"/>
    <w:qFormat/>
    <w:uiPriority w:val="0"/>
    <w:pPr>
      <w:spacing w:line="400" w:lineRule="exact"/>
    </w:pPr>
    <w:rPr>
      <w:sz w:val="24"/>
    </w:rPr>
  </w:style>
  <w:style w:type="paragraph" w:customStyle="1" w:styleId="111">
    <w:name w:val="样式 首行缩进:  2 字符"/>
    <w:basedOn w:val="1"/>
    <w:qFormat/>
    <w:uiPriority w:val="0"/>
    <w:pPr>
      <w:spacing w:line="400" w:lineRule="exact"/>
      <w:ind w:firstLine="200" w:firstLineChars="200"/>
    </w:pPr>
    <w:rPr>
      <w:rFonts w:cs="宋体"/>
      <w:sz w:val="24"/>
    </w:rPr>
  </w:style>
  <w:style w:type="paragraph" w:customStyle="1" w:styleId="11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4">
    <w:name w:val="正文首行缩进两字符"/>
    <w:basedOn w:val="1"/>
    <w:qFormat/>
    <w:uiPriority w:val="0"/>
    <w:pPr>
      <w:spacing w:line="360" w:lineRule="auto"/>
      <w:ind w:firstLine="200" w:firstLineChars="200"/>
    </w:pPr>
  </w:style>
  <w:style w:type="paragraph" w:customStyle="1" w:styleId="115">
    <w:name w:val="正文段"/>
    <w:basedOn w:val="1"/>
    <w:qFormat/>
    <w:uiPriority w:val="0"/>
    <w:pPr>
      <w:widowControl/>
      <w:snapToGrid w:val="0"/>
      <w:spacing w:afterLines="50"/>
      <w:ind w:firstLine="200" w:firstLineChars="200"/>
    </w:pPr>
    <w:rPr>
      <w:kern w:val="0"/>
      <w:sz w:val="24"/>
      <w:szCs w:val="20"/>
    </w:rPr>
  </w:style>
  <w:style w:type="table" w:customStyle="1" w:styleId="116">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7">
    <w:name w:val="页脚 字符"/>
    <w:qFormat/>
    <w:uiPriority w:val="99"/>
  </w:style>
  <w:style w:type="character" w:customStyle="1" w:styleId="118">
    <w:name w:val="标题 1 Char1"/>
    <w:qFormat/>
    <w:uiPriority w:val="0"/>
    <w:rPr>
      <w:rFonts w:eastAsia="宋体"/>
      <w:b/>
      <w:bCs/>
      <w:kern w:val="44"/>
      <w:sz w:val="44"/>
      <w:szCs w:val="44"/>
      <w:lang w:val="en-US" w:eastAsia="zh-CN" w:bidi="ar-SA"/>
    </w:rPr>
  </w:style>
  <w:style w:type="character" w:customStyle="1" w:styleId="119">
    <w:name w:val="批注文字 字符2"/>
    <w:qFormat/>
    <w:uiPriority w:val="0"/>
    <w:rPr>
      <w:rFonts w:ascii="Times New Roman" w:hAnsi="Times New Roman"/>
      <w:kern w:val="2"/>
      <w:sz w:val="21"/>
      <w:szCs w:val="24"/>
    </w:rPr>
  </w:style>
  <w:style w:type="character" w:customStyle="1" w:styleId="120">
    <w:name w:val="bookmark-item"/>
    <w:basedOn w:val="52"/>
    <w:qFormat/>
    <w:uiPriority w:val="0"/>
  </w:style>
  <w:style w:type="character" w:customStyle="1" w:styleId="121">
    <w:name w:val="NormalCharacter"/>
    <w:qFormat/>
    <w:uiPriority w:val="0"/>
  </w:style>
  <w:style w:type="character" w:customStyle="1" w:styleId="122">
    <w:name w:val="font51"/>
    <w:basedOn w:val="52"/>
    <w:qFormat/>
    <w:uiPriority w:val="0"/>
    <w:rPr>
      <w:rFonts w:hint="eastAsia" w:ascii="仿宋" w:hAnsi="仿宋" w:eastAsia="仿宋" w:cs="仿宋"/>
      <w:b/>
      <w:bCs/>
      <w:color w:val="FF0000"/>
      <w:sz w:val="20"/>
      <w:szCs w:val="20"/>
      <w:u w:val="none"/>
    </w:rPr>
  </w:style>
  <w:style w:type="character" w:customStyle="1" w:styleId="123">
    <w:name w:val="font81"/>
    <w:basedOn w:val="52"/>
    <w:qFormat/>
    <w:uiPriority w:val="0"/>
    <w:rPr>
      <w:rFonts w:ascii="Malgun Gothic" w:hAnsi="Malgun Gothic" w:eastAsia="Malgun Gothic" w:cs="Malgun Gothic"/>
      <w:color w:val="000000"/>
      <w:sz w:val="20"/>
      <w:szCs w:val="20"/>
      <w:u w:val="none"/>
    </w:rPr>
  </w:style>
  <w:style w:type="character" w:customStyle="1" w:styleId="124">
    <w:name w:val="font31"/>
    <w:basedOn w:val="52"/>
    <w:qFormat/>
    <w:uiPriority w:val="0"/>
    <w:rPr>
      <w:rFonts w:hint="eastAsia" w:ascii="仿宋" w:hAnsi="仿宋" w:eastAsia="仿宋" w:cs="仿宋"/>
      <w:color w:val="000000"/>
      <w:sz w:val="20"/>
      <w:szCs w:val="20"/>
      <w:u w:val="none"/>
    </w:rPr>
  </w:style>
  <w:style w:type="character" w:customStyle="1" w:styleId="125">
    <w:name w:val="font91"/>
    <w:basedOn w:val="52"/>
    <w:qFormat/>
    <w:uiPriority w:val="0"/>
    <w:rPr>
      <w:rFonts w:hint="eastAsia" w:ascii="仿宋" w:hAnsi="仿宋" w:eastAsia="仿宋" w:cs="仿宋"/>
      <w:color w:val="000000"/>
      <w:sz w:val="20"/>
      <w:szCs w:val="20"/>
      <w:u w:val="none"/>
    </w:rPr>
  </w:style>
  <w:style w:type="character" w:customStyle="1" w:styleId="126">
    <w:name w:val="font112"/>
    <w:basedOn w:val="52"/>
    <w:qFormat/>
    <w:uiPriority w:val="0"/>
    <w:rPr>
      <w:rFonts w:hint="eastAsia" w:ascii="宋体" w:hAnsi="宋体" w:eastAsia="宋体" w:cs="宋体"/>
      <w:color w:val="000000"/>
      <w:sz w:val="20"/>
      <w:szCs w:val="20"/>
      <w:u w:val="none"/>
    </w:rPr>
  </w:style>
  <w:style w:type="character" w:customStyle="1" w:styleId="127">
    <w:name w:val="font121"/>
    <w:basedOn w:val="52"/>
    <w:qFormat/>
    <w:uiPriority w:val="0"/>
    <w:rPr>
      <w:rFonts w:ascii="Arial" w:hAnsi="Arial" w:cs="Arial"/>
      <w:color w:val="000000"/>
      <w:sz w:val="20"/>
      <w:szCs w:val="20"/>
      <w:u w:val="none"/>
    </w:rPr>
  </w:style>
  <w:style w:type="character" w:customStyle="1" w:styleId="128">
    <w:name w:val="font131"/>
    <w:basedOn w:val="52"/>
    <w:qFormat/>
    <w:uiPriority w:val="0"/>
    <w:rPr>
      <w:rFonts w:ascii="Wingdings 2" w:hAnsi="Wingdings 2" w:eastAsia="Wingdings 2" w:cs="Wingdings 2"/>
      <w:color w:val="000000"/>
      <w:sz w:val="20"/>
      <w:szCs w:val="20"/>
      <w:u w:val="none"/>
    </w:rPr>
  </w:style>
  <w:style w:type="paragraph" w:customStyle="1" w:styleId="129">
    <w:name w:val="正文文本 (2)"/>
    <w:basedOn w:val="1"/>
    <w:qFormat/>
    <w:uiPriority w:val="0"/>
    <w:pPr>
      <w:spacing w:after="440"/>
      <w:ind w:firstLine="160"/>
    </w:pPr>
    <w:rPr>
      <w:rFonts w:ascii="宋体" w:hAnsi="宋体" w:cs="宋体"/>
      <w:b/>
      <w:bCs/>
      <w:sz w:val="30"/>
      <w:szCs w:val="30"/>
      <w:lang w:val="zh-CN" w:bidi="zh-CN"/>
    </w:rPr>
  </w:style>
  <w:style w:type="paragraph" w:customStyle="1" w:styleId="130">
    <w:name w:val="标题 #3"/>
    <w:basedOn w:val="1"/>
    <w:qFormat/>
    <w:uiPriority w:val="0"/>
    <w:pPr>
      <w:spacing w:after="320"/>
      <w:outlineLvl w:val="2"/>
    </w:pPr>
    <w:rPr>
      <w:rFonts w:ascii="宋体" w:hAnsi="宋体" w:cs="宋体"/>
      <w:b/>
      <w:bCs/>
      <w:sz w:val="30"/>
      <w:szCs w:val="30"/>
      <w:lang w:val="zh-CN" w:bidi="zh-CN"/>
    </w:rPr>
  </w:style>
  <w:style w:type="paragraph" w:customStyle="1" w:styleId="131">
    <w:name w:val="正文文本1"/>
    <w:basedOn w:val="1"/>
    <w:qFormat/>
    <w:uiPriority w:val="0"/>
    <w:pPr>
      <w:ind w:firstLine="480" w:firstLineChars="200"/>
    </w:pPr>
    <w:rPr>
      <w:rFonts w:ascii="宋体" w:hAnsi="宋体" w:cs="宋体"/>
      <w:sz w:val="20"/>
      <w:szCs w:val="20"/>
      <w:lang w:val="zh-CN" w:bidi="zh-CN"/>
    </w:rPr>
  </w:style>
  <w:style w:type="paragraph" w:styleId="132">
    <w:name w:val="No Spacing"/>
    <w:qFormat/>
    <w:uiPriority w:val="0"/>
    <w:rPr>
      <w:rFonts w:ascii="Calibri" w:hAnsi="Calibri" w:eastAsia="宋体" w:cs="Times New Roman"/>
      <w:sz w:val="22"/>
      <w:szCs w:val="22"/>
      <w:lang w:val="en-US" w:eastAsia="zh-CN" w:bidi="ar-SA"/>
    </w:rPr>
  </w:style>
  <w:style w:type="character" w:customStyle="1" w:styleId="133">
    <w:name w:val="font21"/>
    <w:basedOn w:val="52"/>
    <w:qFormat/>
    <w:uiPriority w:val="0"/>
    <w:rPr>
      <w:rFonts w:hint="eastAsia" w:ascii="宋体" w:hAnsi="宋体" w:eastAsia="宋体" w:cs="宋体"/>
      <w:color w:val="000000"/>
      <w:sz w:val="22"/>
      <w:szCs w:val="22"/>
      <w:u w:val="none"/>
    </w:rPr>
  </w:style>
  <w:style w:type="character" w:customStyle="1" w:styleId="134">
    <w:name w:val="font01"/>
    <w:basedOn w:val="52"/>
    <w:qFormat/>
    <w:uiPriority w:val="0"/>
    <w:rPr>
      <w:rFonts w:hint="eastAsia" w:ascii="宋体" w:hAnsi="宋体" w:eastAsia="宋体" w:cs="宋体"/>
      <w:color w:val="FF0000"/>
      <w:sz w:val="22"/>
      <w:szCs w:val="22"/>
      <w:u w:val="none"/>
    </w:rPr>
  </w:style>
  <w:style w:type="paragraph" w:customStyle="1" w:styleId="135">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36">
    <w:name w:val="font5"/>
    <w:basedOn w:val="1"/>
    <w:qFormat/>
    <w:uiPriority w:val="0"/>
    <w:pPr>
      <w:widowControl/>
      <w:spacing w:before="100" w:beforeAutospacing="1" w:after="100" w:afterAutospacing="1" w:line="240" w:lineRule="auto"/>
      <w:jc w:val="left"/>
    </w:pPr>
    <w:rPr>
      <w:rFonts w:ascii="宋体" w:hAnsi="宋体" w:cs="宋体"/>
      <w:b/>
      <w:bCs/>
      <w:kern w:val="0"/>
      <w:sz w:val="22"/>
      <w:szCs w:val="22"/>
    </w:rPr>
  </w:style>
  <w:style w:type="paragraph" w:customStyle="1" w:styleId="137">
    <w:name w:val="font6"/>
    <w:basedOn w:val="1"/>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38">
    <w:name w:val="font7"/>
    <w:basedOn w:val="1"/>
    <w:qFormat/>
    <w:uiPriority w:val="0"/>
    <w:pPr>
      <w:widowControl/>
      <w:spacing w:before="100" w:beforeAutospacing="1" w:after="100" w:afterAutospacing="1" w:line="240" w:lineRule="auto"/>
      <w:jc w:val="left"/>
    </w:pPr>
    <w:rPr>
      <w:rFonts w:ascii="宋体" w:hAnsi="宋体" w:cs="宋体"/>
      <w:color w:val="FF0000"/>
      <w:kern w:val="0"/>
      <w:sz w:val="22"/>
      <w:szCs w:val="22"/>
    </w:rPr>
  </w:style>
  <w:style w:type="paragraph" w:customStyle="1" w:styleId="139">
    <w:name w:val="font8"/>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40">
    <w:name w:val="font9"/>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41">
    <w:name w:val="font10"/>
    <w:basedOn w:val="1"/>
    <w:qFormat/>
    <w:uiPriority w:val="0"/>
    <w:pPr>
      <w:widowControl/>
      <w:spacing w:before="100" w:beforeAutospacing="1" w:after="100" w:afterAutospacing="1" w:line="240" w:lineRule="auto"/>
      <w:jc w:val="left"/>
    </w:pPr>
    <w:rPr>
      <w:rFonts w:ascii="Calibri" w:hAnsi="Calibri" w:cs="Calibri"/>
      <w:kern w:val="0"/>
      <w:sz w:val="22"/>
      <w:szCs w:val="22"/>
    </w:rPr>
  </w:style>
  <w:style w:type="paragraph" w:customStyle="1" w:styleId="1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5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5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6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6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6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kern w:val="0"/>
      <w:sz w:val="24"/>
    </w:rPr>
  </w:style>
  <w:style w:type="paragraph" w:customStyle="1" w:styleId="17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7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7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7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75">
    <w:name w:val="xl104"/>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76">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7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jc w:val="left"/>
    </w:pPr>
    <w:rPr>
      <w:rFonts w:ascii="宋体" w:hAnsi="宋体" w:cs="宋体"/>
      <w:kern w:val="0"/>
      <w:sz w:val="24"/>
    </w:rPr>
  </w:style>
  <w:style w:type="paragraph" w:customStyle="1" w:styleId="17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79">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80">
    <w:name w:val="xl109"/>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81">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82">
    <w:name w:val="font11"/>
    <w:basedOn w:val="1"/>
    <w:qFormat/>
    <w:uiPriority w:val="0"/>
    <w:pPr>
      <w:widowControl/>
      <w:spacing w:before="100" w:beforeAutospacing="1" w:after="100" w:afterAutospacing="1" w:line="240" w:lineRule="auto"/>
      <w:jc w:val="left"/>
    </w:pPr>
    <w:rPr>
      <w:rFonts w:ascii="Calibri" w:hAnsi="Calibri" w:cs="Calibri"/>
      <w:color w:val="000000"/>
      <w:kern w:val="0"/>
      <w:sz w:val="20"/>
      <w:szCs w:val="20"/>
    </w:rPr>
  </w:style>
  <w:style w:type="paragraph" w:customStyle="1" w:styleId="1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8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FF0000"/>
      <w:kern w:val="0"/>
      <w:sz w:val="24"/>
    </w:rPr>
  </w:style>
  <w:style w:type="paragraph" w:customStyle="1" w:styleId="18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18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4"/>
    </w:rPr>
  </w:style>
  <w:style w:type="paragraph" w:customStyle="1" w:styleId="189">
    <w:name w:val="xl11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190">
    <w:name w:val="font12"/>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91">
    <w:name w:val="font13"/>
    <w:basedOn w:val="1"/>
    <w:qFormat/>
    <w:uiPriority w:val="0"/>
    <w:pPr>
      <w:widowControl/>
      <w:spacing w:before="100" w:beforeAutospacing="1" w:after="100" w:afterAutospacing="1" w:line="240" w:lineRule="auto"/>
      <w:jc w:val="left"/>
    </w:pPr>
    <w:rPr>
      <w:rFonts w:ascii="微软雅黑" w:hAnsi="微软雅黑" w:eastAsia="微软雅黑" w:cs="宋体"/>
      <w:kern w:val="0"/>
      <w:sz w:val="20"/>
      <w:szCs w:val="20"/>
    </w:rPr>
  </w:style>
  <w:style w:type="paragraph" w:customStyle="1" w:styleId="192">
    <w:name w:val="font14"/>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32"/>
      <w:szCs w:val="32"/>
    </w:rPr>
  </w:style>
  <w:style w:type="paragraph" w:customStyle="1" w:styleId="193">
    <w:name w:val="font15"/>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0"/>
      <w:szCs w:val="20"/>
    </w:rPr>
  </w:style>
  <w:style w:type="paragraph" w:customStyle="1" w:styleId="194">
    <w:name w:val="xl11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5">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6">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7">
    <w:name w:val="xl119"/>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8">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9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FF0000"/>
      <w:kern w:val="0"/>
      <w:sz w:val="24"/>
    </w:rPr>
  </w:style>
  <w:style w:type="paragraph" w:customStyle="1" w:styleId="20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FF0000"/>
      <w:kern w:val="0"/>
      <w:sz w:val="24"/>
    </w:rPr>
  </w:style>
  <w:style w:type="paragraph" w:customStyle="1" w:styleId="201">
    <w:name w:val="xl12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20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20"/>
      <w:szCs w:val="20"/>
    </w:rPr>
  </w:style>
  <w:style w:type="paragraph" w:customStyle="1" w:styleId="20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AA5D-C3F2-4294-AC73-270FCD09EFD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250</Pages>
  <Words>11658</Words>
  <Characters>12293</Characters>
  <Lines>1487</Lines>
  <Paragraphs>418</Paragraphs>
  <TotalTime>54</TotalTime>
  <ScaleCrop>false</ScaleCrop>
  <LinksUpToDate>false</LinksUpToDate>
  <CharactersWithSpaces>12477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2022-02-18T15:10:00Z</dcterms:created>
  <dc:creator>广西国泰招标</dc:creator>
  <cp:lastModifiedBy>勤勉小蜜蜂</cp:lastModifiedBy>
  <cp:lastPrinted>2022-09-07T11:32:00Z</cp:lastPrinted>
  <dcterms:modified xsi:type="dcterms:W3CDTF">2025-07-01T10:38:45Z</dcterms:modified>
  <dc:title>公开招标采购文件范本</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B525D74524AF46A0B4F0CD32B5FC6FAE_13</vt:lpwstr>
  </property>
  <property fmtid="{D5CDD505-2E9C-101B-9397-08002B2CF9AE}" pid="4" name="KSOTemplateDocerSaveRecord">
    <vt:lpwstr>eyJoZGlkIjoiMDA2MWUxNGIwYjE0YjcyMjcyZDM3YWZlZGFhZWE0ZDgiLCJ1c2VySWQiOiIyMDMyNTU0OTkifQ==</vt:lpwstr>
  </property>
</Properties>
</file>