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952F0">
      <w:pPr>
        <w:spacing w:line="360" w:lineRule="auto"/>
        <w:jc w:val="center"/>
        <w:rPr>
          <w:rFonts w:ascii="宋体" w:hAnsi="宋体" w:cs="宋体"/>
          <w:b/>
          <w:color w:val="auto"/>
          <w:sz w:val="24"/>
          <w:highlight w:val="none"/>
        </w:rPr>
      </w:pPr>
    </w:p>
    <w:p w14:paraId="2F95B246">
      <w:pPr>
        <w:spacing w:line="360" w:lineRule="auto"/>
        <w:jc w:val="center"/>
        <w:rPr>
          <w:rFonts w:ascii="宋体" w:hAnsi="宋体" w:cs="宋体"/>
          <w:b/>
          <w:color w:val="auto"/>
          <w:sz w:val="24"/>
          <w:highlight w:val="none"/>
        </w:rPr>
      </w:pPr>
    </w:p>
    <w:p w14:paraId="594DFB93">
      <w:pPr>
        <w:adjustRightInd/>
        <w:spacing w:line="360" w:lineRule="auto"/>
        <w:jc w:val="center"/>
        <w:rPr>
          <w:rFonts w:ascii="宋体" w:hAnsi="宋体" w:cs="宋体"/>
          <w:b/>
          <w:color w:val="auto"/>
          <w:sz w:val="44"/>
          <w:szCs w:val="44"/>
          <w:highlight w:val="none"/>
        </w:rPr>
      </w:pPr>
    </w:p>
    <w:p w14:paraId="3A9D4592">
      <w:pPr>
        <w:spacing w:line="360" w:lineRule="auto"/>
        <w:jc w:val="center"/>
        <w:rPr>
          <w:rFonts w:ascii="宋体" w:hAnsi="宋体" w:cs="宋体"/>
          <w:b/>
          <w:color w:val="auto"/>
          <w:sz w:val="44"/>
          <w:szCs w:val="44"/>
          <w:highlight w:val="none"/>
        </w:rPr>
      </w:pPr>
    </w:p>
    <w:p w14:paraId="78BA58C3">
      <w:pPr>
        <w:adjustRightInd/>
        <w:spacing w:line="360" w:lineRule="auto"/>
        <w:jc w:val="center"/>
        <w:rPr>
          <w:rFonts w:ascii="宋体" w:hAnsi="宋体" w:cs="宋体"/>
          <w:b/>
          <w:color w:val="auto"/>
          <w:sz w:val="48"/>
          <w:szCs w:val="48"/>
          <w:highlight w:val="none"/>
        </w:rPr>
      </w:pPr>
    </w:p>
    <w:p w14:paraId="16F52221">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北海市长期护理保险承办服务项目</w:t>
      </w:r>
    </w:p>
    <w:p w14:paraId="347A031A">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w:t>
      </w:r>
    </w:p>
    <w:p w14:paraId="35DADF42">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53599DDB">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hAnsi="宋体" w:cs="宋体"/>
          <w:b/>
          <w:color w:val="auto"/>
          <w:sz w:val="28"/>
          <w:szCs w:val="28"/>
          <w:highlight w:val="none"/>
          <w:lang w:eastAsia="zh-CN"/>
        </w:rPr>
        <w:t>BHZC2025-G3-990013-CGZX</w:t>
      </w:r>
      <w:r>
        <w:rPr>
          <w:rFonts w:hint="eastAsia" w:ascii="宋体" w:hAnsi="宋体" w:cs="宋体"/>
          <w:color w:val="auto"/>
          <w:sz w:val="30"/>
          <w:szCs w:val="30"/>
          <w:highlight w:val="none"/>
        </w:rPr>
        <w:t>）</w:t>
      </w:r>
    </w:p>
    <w:p w14:paraId="6CD2A683">
      <w:pPr>
        <w:adjustRightInd/>
        <w:spacing w:line="360" w:lineRule="auto"/>
        <w:rPr>
          <w:rFonts w:ascii="宋体" w:hAnsi="宋体" w:cs="宋体"/>
          <w:color w:val="auto"/>
          <w:sz w:val="28"/>
          <w:szCs w:val="20"/>
          <w:highlight w:val="none"/>
        </w:rPr>
      </w:pPr>
    </w:p>
    <w:p w14:paraId="1A1B1AAF">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A3C3C62">
      <w:pPr>
        <w:spacing w:line="360" w:lineRule="auto"/>
        <w:jc w:val="center"/>
        <w:rPr>
          <w:rFonts w:hint="eastAsia" w:ascii="宋体" w:hAnsi="宋体" w:cs="宋体"/>
          <w:b/>
          <w:color w:val="auto"/>
          <w:sz w:val="44"/>
          <w:szCs w:val="44"/>
          <w:highlight w:val="none"/>
        </w:rPr>
      </w:pPr>
    </w:p>
    <w:p w14:paraId="20C60DF4">
      <w:pPr>
        <w:spacing w:line="360" w:lineRule="auto"/>
        <w:jc w:val="center"/>
        <w:rPr>
          <w:rFonts w:hint="eastAsia" w:ascii="宋体" w:hAnsi="宋体" w:cs="宋体"/>
          <w:b/>
          <w:color w:val="auto"/>
          <w:sz w:val="44"/>
          <w:szCs w:val="44"/>
          <w:highlight w:val="none"/>
        </w:rPr>
      </w:pPr>
    </w:p>
    <w:p w14:paraId="47E1BE4B">
      <w:pPr>
        <w:spacing w:line="360" w:lineRule="auto"/>
        <w:jc w:val="center"/>
        <w:rPr>
          <w:rFonts w:hint="eastAsia" w:ascii="宋体" w:hAnsi="宋体" w:cs="宋体"/>
          <w:b/>
          <w:color w:val="auto"/>
          <w:sz w:val="44"/>
          <w:szCs w:val="44"/>
          <w:highlight w:val="none"/>
        </w:rPr>
      </w:pPr>
    </w:p>
    <w:p w14:paraId="4EF4B62F">
      <w:pPr>
        <w:spacing w:line="360" w:lineRule="auto"/>
        <w:jc w:val="center"/>
        <w:rPr>
          <w:rFonts w:hint="eastAsia" w:ascii="宋体" w:hAnsi="宋体" w:cs="宋体"/>
          <w:b/>
          <w:color w:val="auto"/>
          <w:sz w:val="44"/>
          <w:szCs w:val="44"/>
          <w:highlight w:val="none"/>
        </w:rPr>
      </w:pPr>
    </w:p>
    <w:p w14:paraId="7C078B37">
      <w:pPr>
        <w:spacing w:line="360" w:lineRule="auto"/>
        <w:jc w:val="center"/>
        <w:rPr>
          <w:rFonts w:ascii="宋体" w:hAnsi="宋体" w:cs="宋体"/>
          <w:b/>
          <w:color w:val="auto"/>
          <w:sz w:val="44"/>
          <w:szCs w:val="44"/>
          <w:highlight w:val="none"/>
        </w:rPr>
      </w:pPr>
    </w:p>
    <w:p w14:paraId="414570CD">
      <w:pPr>
        <w:spacing w:line="360" w:lineRule="auto"/>
        <w:jc w:val="center"/>
        <w:rPr>
          <w:rFonts w:ascii="宋体" w:hAnsi="宋体" w:cs="宋体"/>
          <w:color w:val="auto"/>
          <w:sz w:val="24"/>
          <w:highlight w:val="none"/>
        </w:rPr>
      </w:pPr>
    </w:p>
    <w:p w14:paraId="38AA7FBE">
      <w:pPr>
        <w:spacing w:line="360" w:lineRule="auto"/>
        <w:rPr>
          <w:rFonts w:ascii="宋体" w:hAnsi="宋体" w:cs="宋体"/>
          <w:color w:val="auto"/>
          <w:sz w:val="32"/>
          <w:szCs w:val="32"/>
          <w:highlight w:val="none"/>
        </w:rPr>
      </w:pPr>
    </w:p>
    <w:p w14:paraId="5862A348">
      <w:pPr>
        <w:snapToGrid w:val="0"/>
        <w:spacing w:line="360" w:lineRule="auto"/>
        <w:jc w:val="center"/>
        <w:outlineLvl w:val="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北海市医疗保障事业管理中心</w:t>
      </w:r>
    </w:p>
    <w:p w14:paraId="2634DA35">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北海市政府采购中心</w:t>
      </w:r>
    </w:p>
    <w:p w14:paraId="7BC4C7E2">
      <w:pPr>
        <w:snapToGrid w:val="0"/>
        <w:spacing w:line="360" w:lineRule="auto"/>
        <w:jc w:val="center"/>
        <w:rPr>
          <w:rFonts w:ascii="宋体" w:hAnsi="宋体" w:cs="宋体"/>
          <w:bCs/>
          <w:color w:val="FF0000"/>
          <w:sz w:val="32"/>
          <w:szCs w:val="32"/>
          <w:highlight w:val="none"/>
        </w:rPr>
      </w:pPr>
      <w:r>
        <w:rPr>
          <w:rFonts w:hint="eastAsia" w:ascii="宋体" w:hAnsi="宋体" w:cs="宋体"/>
          <w:bCs/>
          <w:color w:val="FF0000"/>
          <w:sz w:val="32"/>
          <w:szCs w:val="32"/>
          <w:highlight w:val="none"/>
        </w:rPr>
        <w:t>二〇二</w:t>
      </w:r>
      <w:r>
        <w:rPr>
          <w:rFonts w:hint="eastAsia" w:ascii="宋体" w:hAnsi="宋体" w:cs="宋体"/>
          <w:bCs/>
          <w:color w:val="FF0000"/>
          <w:sz w:val="32"/>
          <w:szCs w:val="32"/>
          <w:highlight w:val="none"/>
          <w:lang w:eastAsia="zh-CN"/>
        </w:rPr>
        <w:t>五</w:t>
      </w:r>
      <w:r>
        <w:rPr>
          <w:rFonts w:hint="eastAsia" w:ascii="宋体" w:hAnsi="宋体" w:cs="宋体"/>
          <w:bCs/>
          <w:color w:val="FF0000"/>
          <w:sz w:val="32"/>
          <w:szCs w:val="32"/>
          <w:highlight w:val="none"/>
        </w:rPr>
        <w:t>年</w:t>
      </w:r>
      <w:r>
        <w:rPr>
          <w:rFonts w:hint="eastAsia" w:ascii="宋体" w:hAnsi="宋体" w:cs="宋体"/>
          <w:bCs/>
          <w:color w:val="FF0000"/>
          <w:sz w:val="32"/>
          <w:szCs w:val="32"/>
          <w:highlight w:val="none"/>
          <w:lang w:val="en-US" w:eastAsia="zh-CN"/>
        </w:rPr>
        <w:t xml:space="preserve"> </w:t>
      </w:r>
      <w:r>
        <w:rPr>
          <w:rFonts w:hint="eastAsia" w:ascii="宋体" w:hAnsi="宋体" w:cs="宋体"/>
          <w:bCs/>
          <w:color w:val="FF0000"/>
          <w:sz w:val="32"/>
          <w:szCs w:val="32"/>
          <w:highlight w:val="none"/>
        </w:rPr>
        <w:t>月</w:t>
      </w:r>
      <w:r>
        <w:rPr>
          <w:rFonts w:hint="eastAsia" w:ascii="宋体" w:hAnsi="宋体" w:cs="宋体"/>
          <w:bCs/>
          <w:color w:val="FF0000"/>
          <w:sz w:val="32"/>
          <w:szCs w:val="32"/>
          <w:highlight w:val="none"/>
          <w:lang w:val="en-US" w:eastAsia="zh-CN"/>
        </w:rPr>
        <w:t xml:space="preserve"> </w:t>
      </w:r>
      <w:r>
        <w:rPr>
          <w:rFonts w:hint="eastAsia" w:ascii="宋体" w:hAnsi="宋体" w:cs="宋体"/>
          <w:bCs/>
          <w:color w:val="FF0000"/>
          <w:sz w:val="32"/>
          <w:szCs w:val="32"/>
          <w:highlight w:val="none"/>
        </w:rPr>
        <w:t>日</w:t>
      </w:r>
    </w:p>
    <w:p w14:paraId="6A593462">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19EC177">
      <w:pPr>
        <w:spacing w:line="360" w:lineRule="auto"/>
        <w:jc w:val="center"/>
        <w:rPr>
          <w:rFonts w:ascii="宋体" w:hAnsi="宋体" w:cs="宋体"/>
          <w:color w:val="auto"/>
          <w:sz w:val="24"/>
          <w:highlight w:val="none"/>
        </w:rPr>
      </w:pPr>
    </w:p>
    <w:p w14:paraId="78E0533B">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D91CDEC">
      <w:pPr>
        <w:spacing w:line="360" w:lineRule="auto"/>
        <w:rPr>
          <w:rFonts w:ascii="宋体" w:hAnsi="宋体" w:cs="宋体"/>
          <w:color w:val="auto"/>
          <w:sz w:val="32"/>
          <w:szCs w:val="32"/>
          <w:highlight w:val="none"/>
        </w:rPr>
      </w:pPr>
    </w:p>
    <w:p w14:paraId="2AFDF84B">
      <w:pPr>
        <w:spacing w:line="360" w:lineRule="auto"/>
        <w:rPr>
          <w:rFonts w:ascii="宋体" w:hAnsi="宋体" w:cs="宋体"/>
          <w:color w:val="auto"/>
          <w:sz w:val="32"/>
          <w:szCs w:val="32"/>
          <w:highlight w:val="none"/>
        </w:rPr>
      </w:pPr>
    </w:p>
    <w:sdt>
      <w:sdtPr>
        <w:rPr>
          <w:rFonts w:ascii="宋体" w:hAnsi="宋体" w:eastAsia="宋体" w:cs="Times New Roman"/>
          <w:color w:val="auto"/>
          <w:kern w:val="2"/>
          <w:sz w:val="21"/>
          <w:szCs w:val="24"/>
          <w:highlight w:val="none"/>
          <w:lang w:val="en-US" w:eastAsia="zh-CN" w:bidi="ar-SA"/>
        </w:rPr>
        <w:id w:val="147468403"/>
        <w15:color w:val="DBDBDB"/>
        <w:docPartObj>
          <w:docPartGallery w:val="Table of Contents"/>
          <w:docPartUnique/>
        </w:docPartObj>
      </w:sdtPr>
      <w:sdtEndPr>
        <w:rPr>
          <w:rFonts w:ascii="宋体" w:hAnsi="宋体" w:eastAsia="宋体" w:cs="宋体"/>
          <w:color w:val="auto"/>
          <w:kern w:val="2"/>
          <w:sz w:val="21"/>
          <w:szCs w:val="32"/>
          <w:highlight w:val="none"/>
          <w:lang w:val="en-US" w:eastAsia="zh-CN" w:bidi="ar-SA"/>
        </w:rPr>
      </w:sdtEndPr>
      <w:sdtContent>
        <w:p w14:paraId="229F0ED5">
          <w:pPr>
            <w:spacing w:before="0" w:beforeLines="0" w:after="0" w:afterLines="0" w:line="240" w:lineRule="auto"/>
            <w:ind w:left="0" w:leftChars="0" w:right="0" w:rightChars="0" w:firstLine="0" w:firstLineChars="0"/>
            <w:jc w:val="center"/>
            <w:rPr>
              <w:color w:val="auto"/>
              <w:highlight w:val="none"/>
            </w:rPr>
          </w:pPr>
          <w:bookmarkStart w:id="1" w:name="_Hlt91233176"/>
          <w:bookmarkEnd w:id="1"/>
          <w:bookmarkStart w:id="2" w:name="_Toc91899869"/>
        </w:p>
        <w:p w14:paraId="28FA9260">
          <w:pPr>
            <w:pStyle w:val="963"/>
            <w:keepNext w:val="0"/>
            <w:keepLines w:val="0"/>
            <w:pageBreakBefore w:val="0"/>
            <w:tabs>
              <w:tab w:val="right" w:leader="dot" w:pos="9639"/>
            </w:tabs>
            <w:kinsoku/>
            <w:wordWrap/>
            <w:overflowPunct/>
            <w:topLinePunct w:val="0"/>
            <w:autoSpaceDE/>
            <w:autoSpaceDN/>
            <w:bidi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_Toc7567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lang w:val="en-US" w:eastAsia="zh-CN" w:bidi="ar-SA"/>
            </w:rPr>
            <w:t>第一部分</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_Toc7567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ABA9642">
          <w:pPr>
            <w:pStyle w:val="963"/>
            <w:keepNext w:val="0"/>
            <w:keepLines w:val="0"/>
            <w:pageBreakBefore w:val="0"/>
            <w:tabs>
              <w:tab w:val="right" w:leader="dot" w:pos="9639"/>
            </w:tabs>
            <w:kinsoku/>
            <w:wordWrap/>
            <w:overflowPunct/>
            <w:topLinePunct w:val="0"/>
            <w:autoSpaceDE/>
            <w:autoSpaceDN/>
            <w:bidi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_Toc30780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第二部分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_Toc30780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21448EE">
          <w:pPr>
            <w:pStyle w:val="963"/>
            <w:keepNext w:val="0"/>
            <w:keepLines w:val="0"/>
            <w:pageBreakBefore w:val="0"/>
            <w:tabs>
              <w:tab w:val="right" w:leader="dot" w:pos="9639"/>
            </w:tabs>
            <w:kinsoku/>
            <w:wordWrap/>
            <w:overflowPunct/>
            <w:topLinePunct w:val="0"/>
            <w:autoSpaceDE/>
            <w:autoSpaceDN/>
            <w:bidi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_Toc7196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第三部分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_Toc7196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B1E708C">
          <w:pPr>
            <w:pStyle w:val="963"/>
            <w:keepNext w:val="0"/>
            <w:keepLines w:val="0"/>
            <w:pageBreakBefore w:val="0"/>
            <w:tabs>
              <w:tab w:val="right" w:leader="dot" w:pos="9639"/>
            </w:tabs>
            <w:kinsoku/>
            <w:wordWrap/>
            <w:overflowPunct/>
            <w:topLinePunct w:val="0"/>
            <w:autoSpaceDE/>
            <w:autoSpaceDN/>
            <w:bidi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_Toc18806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第四部分  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_Toc18806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DAF49D9">
          <w:pPr>
            <w:pStyle w:val="963"/>
            <w:keepNext w:val="0"/>
            <w:keepLines w:val="0"/>
            <w:pageBreakBefore w:val="0"/>
            <w:tabs>
              <w:tab w:val="right" w:leader="dot" w:pos="9639"/>
            </w:tabs>
            <w:kinsoku/>
            <w:wordWrap/>
            <w:overflowPunct/>
            <w:topLinePunct w:val="0"/>
            <w:autoSpaceDE/>
            <w:autoSpaceDN/>
            <w:bidi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_Toc703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第五部分  拟签订的合同文本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_Toc703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6D6C081">
          <w:pPr>
            <w:pStyle w:val="963"/>
            <w:keepNext w:val="0"/>
            <w:keepLines w:val="0"/>
            <w:pageBreakBefore w:val="0"/>
            <w:tabs>
              <w:tab w:val="right" w:leader="dot" w:pos="9639"/>
            </w:tabs>
            <w:kinsoku/>
            <w:wordWrap/>
            <w:overflowPunct/>
            <w:topLinePunct w:val="0"/>
            <w:autoSpaceDE/>
            <w:autoSpaceDN/>
            <w:bidi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_Toc29013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第六部分  应提交的有关格式范例</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_Toc29013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84E6CE0">
          <w:pPr>
            <w:keepNext w:val="0"/>
            <w:keepLines w:val="0"/>
            <w:pageBreakBefore w:val="0"/>
            <w:kinsoku/>
            <w:wordWrap/>
            <w:overflowPunct/>
            <w:topLinePunct w:val="0"/>
            <w:autoSpaceDE/>
            <w:autoSpaceDN/>
            <w:bidi w:val="0"/>
            <w:snapToGrid/>
            <w:spacing w:line="360" w:lineRule="auto"/>
            <w:ind w:firstLine="641" w:firstLineChars="229"/>
            <w:textAlignment w:val="auto"/>
            <w:rPr>
              <w:rFonts w:ascii="宋体" w:hAnsi="宋体" w:eastAsia="宋体" w:cs="宋体"/>
              <w:color w:val="auto"/>
              <w:kern w:val="2"/>
              <w:sz w:val="21"/>
              <w:szCs w:val="32"/>
              <w:highlight w:val="none"/>
              <w:lang w:val="en-US" w:eastAsia="zh-CN" w:bidi="ar-SA"/>
            </w:rPr>
          </w:pPr>
          <w:r>
            <w:rPr>
              <w:rFonts w:hint="eastAsia" w:ascii="宋体" w:hAnsi="宋体" w:eastAsia="宋体" w:cs="宋体"/>
              <w:color w:val="auto"/>
              <w:sz w:val="28"/>
              <w:szCs w:val="28"/>
              <w:highlight w:val="none"/>
            </w:rPr>
            <w:fldChar w:fldCharType="end"/>
          </w:r>
        </w:p>
      </w:sdtContent>
    </w:sdt>
    <w:p w14:paraId="408EC8ED">
      <w:pPr>
        <w:spacing w:line="360" w:lineRule="auto"/>
        <w:ind w:firstLine="480" w:firstLineChars="229"/>
        <w:rPr>
          <w:rFonts w:ascii="宋体" w:hAnsi="宋体" w:eastAsia="宋体" w:cs="宋体"/>
          <w:color w:val="auto"/>
          <w:kern w:val="2"/>
          <w:sz w:val="21"/>
          <w:szCs w:val="32"/>
          <w:highlight w:val="none"/>
          <w:lang w:val="en-US" w:eastAsia="zh-CN" w:bidi="ar-SA"/>
        </w:rPr>
      </w:pPr>
    </w:p>
    <w:p w14:paraId="0C8DBE1F">
      <w:pPr>
        <w:spacing w:line="360" w:lineRule="auto"/>
        <w:ind w:firstLine="549" w:firstLineChars="229"/>
        <w:rPr>
          <w:rFonts w:ascii="宋体" w:hAnsi="宋体" w:cs="宋体"/>
          <w:color w:val="auto"/>
          <w:sz w:val="24"/>
          <w:highlight w:val="none"/>
        </w:rPr>
      </w:pPr>
    </w:p>
    <w:p w14:paraId="20693951">
      <w:pPr>
        <w:spacing w:line="360" w:lineRule="auto"/>
        <w:ind w:firstLine="549" w:firstLineChars="229"/>
        <w:rPr>
          <w:rFonts w:ascii="宋体" w:hAnsi="宋体" w:cs="宋体"/>
          <w:color w:val="auto"/>
          <w:sz w:val="24"/>
          <w:highlight w:val="none"/>
        </w:rPr>
      </w:pPr>
    </w:p>
    <w:p w14:paraId="6DEE0BF5">
      <w:pPr>
        <w:spacing w:line="360" w:lineRule="auto"/>
        <w:ind w:firstLine="549" w:firstLineChars="229"/>
        <w:rPr>
          <w:rFonts w:ascii="宋体" w:hAnsi="宋体" w:cs="宋体"/>
          <w:color w:val="auto"/>
          <w:sz w:val="24"/>
          <w:highlight w:val="none"/>
        </w:rPr>
      </w:pPr>
    </w:p>
    <w:p w14:paraId="5DF2B4F0">
      <w:pPr>
        <w:spacing w:line="360" w:lineRule="auto"/>
        <w:ind w:firstLine="549" w:firstLineChars="229"/>
        <w:rPr>
          <w:rFonts w:ascii="宋体" w:hAnsi="宋体" w:cs="宋体"/>
          <w:color w:val="auto"/>
          <w:sz w:val="24"/>
          <w:highlight w:val="none"/>
        </w:rPr>
      </w:pPr>
    </w:p>
    <w:p w14:paraId="340DCB1C">
      <w:pPr>
        <w:spacing w:line="360" w:lineRule="auto"/>
        <w:ind w:firstLine="549" w:firstLineChars="229"/>
        <w:rPr>
          <w:rFonts w:ascii="宋体" w:hAnsi="宋体" w:cs="宋体"/>
          <w:color w:val="auto"/>
          <w:sz w:val="24"/>
          <w:highlight w:val="none"/>
        </w:rPr>
      </w:pPr>
    </w:p>
    <w:p w14:paraId="02A6A51C">
      <w:pPr>
        <w:spacing w:line="360" w:lineRule="auto"/>
        <w:ind w:firstLine="549" w:firstLineChars="229"/>
        <w:rPr>
          <w:rFonts w:ascii="宋体" w:hAnsi="宋体" w:cs="宋体"/>
          <w:color w:val="auto"/>
          <w:sz w:val="24"/>
          <w:highlight w:val="none"/>
        </w:rPr>
      </w:pPr>
    </w:p>
    <w:p w14:paraId="71BB57E4">
      <w:pPr>
        <w:spacing w:line="360" w:lineRule="auto"/>
        <w:ind w:firstLine="549" w:firstLineChars="229"/>
        <w:rPr>
          <w:rFonts w:ascii="宋体" w:hAnsi="宋体" w:cs="宋体"/>
          <w:color w:val="auto"/>
          <w:sz w:val="24"/>
          <w:highlight w:val="none"/>
        </w:rPr>
      </w:pPr>
    </w:p>
    <w:p w14:paraId="2E26CCA6">
      <w:pPr>
        <w:spacing w:line="360" w:lineRule="auto"/>
        <w:ind w:firstLine="549" w:firstLineChars="229"/>
        <w:rPr>
          <w:rFonts w:ascii="宋体" w:hAnsi="宋体" w:cs="宋体"/>
          <w:color w:val="auto"/>
          <w:sz w:val="24"/>
          <w:highlight w:val="none"/>
        </w:rPr>
      </w:pPr>
    </w:p>
    <w:p w14:paraId="51FD295D">
      <w:pPr>
        <w:spacing w:line="360" w:lineRule="auto"/>
        <w:ind w:firstLine="549" w:firstLineChars="229"/>
        <w:rPr>
          <w:rFonts w:ascii="宋体" w:hAnsi="宋体" w:cs="宋体"/>
          <w:color w:val="auto"/>
          <w:sz w:val="24"/>
          <w:highlight w:val="none"/>
        </w:rPr>
      </w:pPr>
    </w:p>
    <w:p w14:paraId="566D346D">
      <w:pPr>
        <w:spacing w:line="360" w:lineRule="auto"/>
        <w:ind w:firstLine="549" w:firstLineChars="229"/>
        <w:rPr>
          <w:rFonts w:ascii="宋体" w:hAnsi="宋体" w:cs="宋体"/>
          <w:color w:val="auto"/>
          <w:sz w:val="24"/>
          <w:highlight w:val="none"/>
        </w:rPr>
      </w:pPr>
    </w:p>
    <w:p w14:paraId="14D35D65">
      <w:pPr>
        <w:spacing w:line="360" w:lineRule="auto"/>
        <w:ind w:firstLine="549" w:firstLineChars="229"/>
        <w:rPr>
          <w:rFonts w:ascii="宋体" w:hAnsi="宋体" w:cs="宋体"/>
          <w:color w:val="auto"/>
          <w:sz w:val="24"/>
          <w:highlight w:val="none"/>
        </w:rPr>
      </w:pPr>
    </w:p>
    <w:p w14:paraId="554537FC">
      <w:pPr>
        <w:spacing w:line="360" w:lineRule="auto"/>
        <w:rPr>
          <w:rFonts w:ascii="宋体" w:hAnsi="宋体" w:cs="宋体"/>
          <w:color w:val="auto"/>
          <w:sz w:val="24"/>
          <w:highlight w:val="none"/>
        </w:rPr>
      </w:pPr>
    </w:p>
    <w:bookmarkEnd w:id="2"/>
    <w:p w14:paraId="72EC734F">
      <w:pPr>
        <w:adjustRightInd/>
        <w:spacing w:line="360" w:lineRule="auto"/>
        <w:jc w:val="center"/>
        <w:outlineLvl w:val="9"/>
        <w:rPr>
          <w:rFonts w:hint="eastAsia" w:ascii="宋体" w:hAnsi="宋体" w:cs="宋体"/>
          <w:b/>
          <w:color w:val="auto"/>
          <w:sz w:val="36"/>
          <w:szCs w:val="20"/>
          <w:highlight w:val="none"/>
        </w:rPr>
        <w:sectPr>
          <w:headerReference r:id="rId4" w:type="first"/>
          <w:headerReference r:id="rId3" w:type="default"/>
          <w:pgSz w:w="11906" w:h="16838"/>
          <w:pgMar w:top="1134" w:right="1134" w:bottom="1134" w:left="1134" w:header="851" w:footer="907" w:gutter="0"/>
          <w:cols w:space="720" w:num="1"/>
          <w:titlePg/>
          <w:docGrid w:type="lines" w:linePitch="312" w:charSpace="0"/>
        </w:sectPr>
      </w:pPr>
      <w:bookmarkStart w:id="3" w:name="_Hlt74707423"/>
      <w:bookmarkEnd w:id="3"/>
      <w:bookmarkStart w:id="4" w:name="_Hlt74728647"/>
      <w:bookmarkEnd w:id="4"/>
      <w:bookmarkStart w:id="5" w:name="_Hlt74729822"/>
      <w:bookmarkEnd w:id="5"/>
      <w:bookmarkStart w:id="6" w:name="_Hlt74649545"/>
      <w:bookmarkEnd w:id="6"/>
      <w:bookmarkStart w:id="7" w:name="_Toc176185119"/>
      <w:bookmarkStart w:id="8" w:name="_Toc176343848"/>
      <w:bookmarkStart w:id="9" w:name="第二部分"/>
      <w:bookmarkStart w:id="10" w:name="_Toc91899870"/>
      <w:bookmarkStart w:id="11" w:name="_Toc91899871"/>
    </w:p>
    <w:p w14:paraId="13FA16C2">
      <w:pPr>
        <w:numPr>
          <w:ilvl w:val="0"/>
          <w:numId w:val="0"/>
        </w:numPr>
        <w:adjustRightInd/>
        <w:spacing w:line="360" w:lineRule="auto"/>
        <w:jc w:val="center"/>
        <w:outlineLvl w:val="0"/>
        <w:rPr>
          <w:rFonts w:hint="eastAsia" w:ascii="宋体" w:hAnsi="宋体" w:cs="宋体"/>
          <w:b/>
          <w:color w:val="auto"/>
          <w:sz w:val="36"/>
          <w:szCs w:val="20"/>
          <w:highlight w:val="none"/>
        </w:rPr>
      </w:pPr>
      <w:bookmarkStart w:id="12" w:name="_Toc7567"/>
      <w:r>
        <w:rPr>
          <w:rFonts w:hint="eastAsia" w:ascii="宋体" w:hAnsi="宋体" w:eastAsia="宋体" w:cs="宋体"/>
          <w:b/>
          <w:color w:val="auto"/>
          <w:kern w:val="2"/>
          <w:sz w:val="36"/>
          <w:szCs w:val="20"/>
          <w:highlight w:val="none"/>
          <w:lang w:val="en-US" w:eastAsia="zh-CN" w:bidi="ar-SA"/>
        </w:rPr>
        <w:t>第一部分</w:t>
      </w:r>
      <w:r>
        <w:rPr>
          <w:rFonts w:hint="eastAsia" w:ascii="宋体" w:hAnsi="宋体" w:cs="宋体"/>
          <w:b/>
          <w:color w:val="auto"/>
          <w:sz w:val="36"/>
          <w:szCs w:val="20"/>
          <w:highlight w:val="none"/>
        </w:rPr>
        <w:t xml:space="preserve"> 招标公告</w:t>
      </w:r>
      <w:bookmarkEnd w:id="7"/>
      <w:bookmarkEnd w:id="8"/>
      <w:bookmarkEnd w:id="12"/>
    </w:p>
    <w:p w14:paraId="3E4F64AE">
      <w:pPr>
        <w:pStyle w:val="40"/>
        <w:numPr>
          <w:ilvl w:val="0"/>
          <w:numId w:val="0"/>
        </w:numPr>
        <w:jc w:val="center"/>
        <w:rPr>
          <w:rFonts w:hint="eastAsia" w:ascii="宋体" w:hAnsi="宋体" w:eastAsia="宋体" w:cs="宋体"/>
          <w:b/>
          <w:color w:val="auto"/>
          <w:kern w:val="2"/>
          <w:sz w:val="36"/>
          <w:szCs w:val="20"/>
          <w:highlight w:val="none"/>
          <w:lang w:val="en-US" w:eastAsia="zh-CN" w:bidi="ar-SA"/>
        </w:rPr>
      </w:pPr>
      <w:r>
        <w:rPr>
          <w:rFonts w:hint="eastAsia" w:ascii="宋体" w:hAnsi="宋体" w:eastAsia="宋体" w:cs="宋体"/>
          <w:b/>
          <w:color w:val="auto"/>
          <w:kern w:val="2"/>
          <w:sz w:val="36"/>
          <w:szCs w:val="20"/>
          <w:highlight w:val="none"/>
          <w:lang w:val="en-US" w:eastAsia="zh-CN" w:bidi="ar-SA"/>
        </w:rPr>
        <w:t>北海市政府采购中心关于</w:t>
      </w:r>
      <w:r>
        <w:rPr>
          <w:rFonts w:hint="eastAsia" w:ascii="宋体" w:hAnsi="宋体" w:cs="宋体"/>
          <w:b/>
          <w:color w:val="auto"/>
          <w:kern w:val="2"/>
          <w:sz w:val="36"/>
          <w:szCs w:val="20"/>
          <w:highlight w:val="none"/>
          <w:lang w:val="en-US" w:eastAsia="zh-CN" w:bidi="ar-SA"/>
        </w:rPr>
        <w:t>北海市医疗保障事业管理中心北海市长期护理保险承办服务项目</w:t>
      </w:r>
      <w:r>
        <w:rPr>
          <w:rFonts w:hint="eastAsia" w:ascii="宋体" w:hAnsi="宋体" w:eastAsia="宋体" w:cs="宋体"/>
          <w:b/>
          <w:color w:val="auto"/>
          <w:kern w:val="2"/>
          <w:sz w:val="36"/>
          <w:szCs w:val="20"/>
          <w:highlight w:val="none"/>
          <w:lang w:val="en-US" w:eastAsia="zh-CN" w:bidi="ar-SA"/>
        </w:rPr>
        <w:t>(</w:t>
      </w:r>
      <w:r>
        <w:rPr>
          <w:rFonts w:hint="eastAsia" w:ascii="宋体" w:hAnsi="宋体" w:cs="宋体"/>
          <w:b/>
          <w:color w:val="auto"/>
          <w:kern w:val="2"/>
          <w:sz w:val="36"/>
          <w:szCs w:val="20"/>
          <w:highlight w:val="none"/>
          <w:lang w:val="en-US" w:eastAsia="zh-CN" w:bidi="ar-SA"/>
        </w:rPr>
        <w:t>BHZC2025-G3-990013-CGZX</w:t>
      </w:r>
      <w:r>
        <w:rPr>
          <w:rFonts w:hint="eastAsia" w:ascii="宋体" w:hAnsi="宋体" w:eastAsia="宋体" w:cs="宋体"/>
          <w:b/>
          <w:color w:val="auto"/>
          <w:kern w:val="2"/>
          <w:sz w:val="36"/>
          <w:szCs w:val="20"/>
          <w:highlight w:val="none"/>
          <w:lang w:val="en-US" w:eastAsia="zh-CN" w:bidi="ar-SA"/>
        </w:rPr>
        <w:t>)公开招标公告</w:t>
      </w:r>
    </w:p>
    <w:p w14:paraId="70366670">
      <w:pPr>
        <w:pStyle w:val="40"/>
        <w:numPr>
          <w:ilvl w:val="0"/>
          <w:numId w:val="0"/>
        </w:numPr>
        <w:jc w:val="center"/>
        <w:rPr>
          <w:rFonts w:hint="eastAsia" w:ascii="宋体" w:hAnsi="宋体" w:eastAsia="宋体" w:cs="宋体"/>
          <w:b/>
          <w:color w:val="auto"/>
          <w:kern w:val="2"/>
          <w:sz w:val="36"/>
          <w:szCs w:val="20"/>
          <w:highlight w:val="none"/>
          <w:lang w:val="en-US" w:eastAsia="zh-CN" w:bidi="ar-SA"/>
        </w:rPr>
      </w:pPr>
    </w:p>
    <w:p w14:paraId="31A9B48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552DAF6">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北海市长期护理保险承办服务项目</w:t>
      </w:r>
      <w:r>
        <w:rPr>
          <w:rFonts w:hint="eastAsia" w:asciiTheme="minorEastAsia" w:hAnsiTheme="minorEastAsia" w:eastAsiaTheme="minorEastAsia"/>
          <w:color w:val="auto"/>
          <w:sz w:val="24"/>
          <w:highlight w:val="none"/>
        </w:rPr>
        <w:t>招标项目的潜在投标人应在</w:t>
      </w:r>
      <w:r>
        <w:rPr>
          <w:rFonts w:hint="eastAsia" w:ascii="宋体" w:hAnsi="宋体" w:cs="宋体"/>
          <w:color w:val="auto"/>
          <w:sz w:val="24"/>
          <w:highlight w:val="none"/>
        </w:rPr>
        <w:t>广西政府采购云平台（https://www.gcy.zfcg.gxzf.gov.cn/）</w:t>
      </w:r>
      <w:r>
        <w:rPr>
          <w:rFonts w:asciiTheme="minorEastAsia" w:hAnsiTheme="minorEastAsia" w:eastAsiaTheme="minorEastAsia"/>
          <w:color w:val="auto"/>
          <w:sz w:val="24"/>
          <w:highlight w:val="none"/>
        </w:rPr>
        <w:t>获取（下载）招标文件，并于</w:t>
      </w:r>
      <w:r>
        <w:rPr>
          <w:rFonts w:hint="eastAsia" w:asciiTheme="minorEastAsia" w:hAnsiTheme="minorEastAsia" w:eastAsiaTheme="minorEastAsia"/>
          <w:color w:val="FF0000"/>
          <w:sz w:val="24"/>
          <w:highlight w:val="none"/>
        </w:rPr>
        <w:t>2025年</w:t>
      </w:r>
      <w:r>
        <w:rPr>
          <w:rFonts w:hint="eastAsia" w:asciiTheme="minorEastAsia" w:hAnsiTheme="minorEastAsia" w:eastAsiaTheme="minorEastAsia"/>
          <w:color w:val="FF0000"/>
          <w:sz w:val="24"/>
          <w:highlight w:val="none"/>
          <w:lang w:val="en-US" w:eastAsia="zh-CN"/>
        </w:rPr>
        <w:t xml:space="preserve"> </w:t>
      </w:r>
      <w:r>
        <w:rPr>
          <w:rFonts w:hint="eastAsia" w:asciiTheme="minorEastAsia" w:hAnsiTheme="minorEastAsia" w:eastAsiaTheme="minorEastAsia"/>
          <w:color w:val="FF0000"/>
          <w:sz w:val="24"/>
          <w:highlight w:val="none"/>
        </w:rPr>
        <w:t>月</w:t>
      </w:r>
      <w:r>
        <w:rPr>
          <w:rFonts w:hint="eastAsia" w:asciiTheme="minorEastAsia" w:hAnsiTheme="minorEastAsia" w:eastAsiaTheme="minorEastAsia"/>
          <w:color w:val="FF0000"/>
          <w:sz w:val="24"/>
          <w:highlight w:val="none"/>
          <w:lang w:val="en-US" w:eastAsia="zh-CN"/>
        </w:rPr>
        <w:t xml:space="preserve"> </w:t>
      </w:r>
      <w:r>
        <w:rPr>
          <w:rFonts w:hint="eastAsia" w:asciiTheme="minorEastAsia" w:hAnsiTheme="minorEastAsia" w:eastAsiaTheme="minorEastAsia"/>
          <w:color w:val="FF0000"/>
          <w:sz w:val="24"/>
          <w:highlight w:val="none"/>
        </w:rPr>
        <w:t>日9点0分00秒</w:t>
      </w:r>
      <w:r>
        <w:rPr>
          <w:rFonts w:hint="eastAsia" w:asciiTheme="minorEastAsia" w:hAnsiTheme="minorEastAsia" w:eastAsiaTheme="minorEastAsia"/>
          <w:bCs/>
          <w:color w:val="FF0000"/>
          <w:sz w:val="24"/>
          <w:highlight w:val="none"/>
        </w:rPr>
        <w:t>（</w:t>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3AC9DDF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7233961">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项目编号：</w:t>
      </w:r>
      <w:r>
        <w:rPr>
          <w:rFonts w:hint="eastAsia" w:ascii="宋体" w:hAnsi="宋体" w:cs="宋体"/>
          <w:color w:val="auto"/>
          <w:sz w:val="24"/>
          <w:highlight w:val="none"/>
          <w:lang w:eastAsia="zh-CN"/>
        </w:rPr>
        <w:t>BHZC2025-G3-990013-CGZX</w:t>
      </w:r>
    </w:p>
    <w:p w14:paraId="1B0031B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项目名称：</w:t>
      </w:r>
      <w:r>
        <w:rPr>
          <w:rFonts w:hint="eastAsia" w:ascii="宋体" w:hAnsi="宋体" w:cs="宋体"/>
          <w:color w:val="auto"/>
          <w:sz w:val="24"/>
          <w:highlight w:val="none"/>
          <w:lang w:eastAsia="zh-CN"/>
        </w:rPr>
        <w:t>北海市长期护理保险承办服务项目</w:t>
      </w:r>
    </w:p>
    <w:p w14:paraId="77E3F94B">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预算金额（元）： </w:t>
      </w:r>
      <w:r>
        <w:rPr>
          <w:rFonts w:hint="eastAsia" w:ascii="宋体" w:hAnsi="宋体" w:cs="宋体"/>
          <w:color w:val="auto"/>
          <w:sz w:val="24"/>
          <w:highlight w:val="none"/>
          <w:lang w:val="en-US" w:eastAsia="zh-CN"/>
        </w:rPr>
        <w:t>40</w:t>
      </w:r>
      <w:r>
        <w:rPr>
          <w:rFonts w:ascii="宋体" w:hAnsi="宋体" w:cs="宋体"/>
          <w:color w:val="auto"/>
          <w:sz w:val="24"/>
          <w:highlight w:val="none"/>
        </w:rPr>
        <w:t>0000</w:t>
      </w:r>
      <w:r>
        <w:rPr>
          <w:rFonts w:hint="eastAsia" w:ascii="宋体" w:hAnsi="宋体" w:cs="宋体"/>
          <w:color w:val="auto"/>
          <w:sz w:val="24"/>
          <w:highlight w:val="none"/>
          <w:lang w:val="en-US" w:eastAsia="zh-CN"/>
        </w:rPr>
        <w:t>0</w:t>
      </w:r>
    </w:p>
    <w:p w14:paraId="7983B3C9">
      <w:pPr>
        <w:spacing w:line="360" w:lineRule="auto"/>
        <w:ind w:firstLine="480"/>
        <w:rPr>
          <w:rFonts w:ascii="宋体" w:hAnsi="宋体" w:cs="宋体"/>
          <w:color w:val="auto"/>
          <w:sz w:val="24"/>
          <w:highlight w:val="none"/>
        </w:rPr>
      </w:pPr>
      <w:r>
        <w:rPr>
          <w:rFonts w:hint="eastAsia" w:ascii="宋体" w:hAnsi="宋体" w:cs="宋体"/>
          <w:color w:val="auto"/>
          <w:sz w:val="24"/>
          <w:highlight w:val="none"/>
          <w:lang w:eastAsia="zh-CN"/>
        </w:rPr>
        <w:t>采购需求</w:t>
      </w:r>
      <w:r>
        <w:rPr>
          <w:rFonts w:hint="eastAsia" w:ascii="宋体" w:hAnsi="宋体" w:cs="宋体"/>
          <w:color w:val="auto"/>
          <w:sz w:val="24"/>
          <w:highlight w:val="none"/>
        </w:rPr>
        <w:t>：</w:t>
      </w:r>
    </w:p>
    <w:p w14:paraId="307A2228">
      <w:pPr>
        <w:pStyle w:val="5"/>
        <w:spacing w:line="360" w:lineRule="auto"/>
        <w:ind w:firstLine="480"/>
        <w:rPr>
          <w:rFonts w:hint="eastAsia" w:hAnsi="宋体" w:cs="宋体"/>
          <w:color w:val="auto"/>
          <w:kern w:val="0"/>
          <w:sz w:val="24"/>
          <w:highlight w:val="none"/>
        </w:rPr>
      </w:pPr>
    </w:p>
    <w:p w14:paraId="4E79630C">
      <w:pPr>
        <w:pStyle w:val="5"/>
        <w:spacing w:line="360" w:lineRule="auto"/>
        <w:ind w:firstLine="480"/>
        <w:rPr>
          <w:rFonts w:hint="eastAsia" w:hAnsi="宋体" w:eastAsia="宋体" w:cs="宋体"/>
          <w:color w:val="auto"/>
          <w:kern w:val="0"/>
          <w:sz w:val="24"/>
          <w:highlight w:val="none"/>
          <w:lang w:eastAsia="zh-CN"/>
        </w:rPr>
      </w:pPr>
      <w:r>
        <w:rPr>
          <w:rFonts w:hint="eastAsia" w:hAnsi="宋体" w:cs="宋体"/>
          <w:color w:val="auto"/>
          <w:kern w:val="0"/>
          <w:sz w:val="24"/>
          <w:highlight w:val="none"/>
        </w:rPr>
        <w:t>标项</w:t>
      </w:r>
      <w:r>
        <w:rPr>
          <w:rFonts w:hint="eastAsia" w:hAnsi="宋体" w:cs="宋体"/>
          <w:color w:val="auto"/>
          <w:kern w:val="0"/>
          <w:sz w:val="24"/>
          <w:highlight w:val="none"/>
          <w:lang w:val="en-US" w:eastAsia="zh-CN"/>
        </w:rPr>
        <w:t>1</w:t>
      </w:r>
    </w:p>
    <w:p w14:paraId="19577663">
      <w:pPr>
        <w:pStyle w:val="5"/>
        <w:spacing w:line="360" w:lineRule="auto"/>
        <w:ind w:firstLine="480"/>
        <w:rPr>
          <w:rFonts w:hint="eastAsia" w:hAnsi="宋体" w:eastAsia="宋体" w:cs="宋体"/>
          <w:color w:val="auto"/>
          <w:kern w:val="0"/>
          <w:sz w:val="24"/>
          <w:highlight w:val="none"/>
          <w:lang w:eastAsia="zh-CN"/>
        </w:rPr>
      </w:pPr>
      <w:r>
        <w:rPr>
          <w:rFonts w:hint="eastAsia" w:hAnsi="宋体" w:cs="宋体"/>
          <w:color w:val="auto"/>
          <w:kern w:val="0"/>
          <w:sz w:val="24"/>
          <w:highlight w:val="none"/>
        </w:rPr>
        <w:t>标项名称:A分标-第一承办片区（市本级、海城区、银海区、铁山港区、涠洲岛旅游区）</w:t>
      </w:r>
    </w:p>
    <w:p w14:paraId="1CB5D0F3">
      <w:pPr>
        <w:pStyle w:val="5"/>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数量:1批</w:t>
      </w:r>
    </w:p>
    <w:p w14:paraId="47BCC5FE">
      <w:pPr>
        <w:pStyle w:val="5"/>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 xml:space="preserve">预算金额（元）: </w:t>
      </w:r>
      <w:r>
        <w:rPr>
          <w:rFonts w:hint="eastAsia" w:hAnsi="宋体" w:cs="宋体"/>
          <w:color w:val="auto"/>
          <w:kern w:val="0"/>
          <w:sz w:val="24"/>
          <w:highlight w:val="none"/>
          <w:lang w:val="en-US" w:eastAsia="zh-CN"/>
        </w:rPr>
        <w:t>200</w:t>
      </w:r>
      <w:r>
        <w:rPr>
          <w:rFonts w:hint="eastAsia" w:hAnsi="宋体" w:cs="宋体"/>
          <w:color w:val="auto"/>
          <w:kern w:val="0"/>
          <w:sz w:val="24"/>
          <w:highlight w:val="none"/>
          <w:lang w:eastAsia="zh-CN"/>
        </w:rPr>
        <w:t>0000.00</w:t>
      </w:r>
      <w:r>
        <w:rPr>
          <w:rFonts w:hint="eastAsia" w:hAnsi="宋体" w:cs="宋体"/>
          <w:color w:val="auto"/>
          <w:kern w:val="0"/>
          <w:sz w:val="24"/>
          <w:highlight w:val="none"/>
        </w:rPr>
        <w:t>元</w:t>
      </w:r>
    </w:p>
    <w:p w14:paraId="2AE0B54F">
      <w:pPr>
        <w:pStyle w:val="5"/>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简要规格描述或项目基本概况介绍、用途：承办2025-2026年度北海市长期护理保险委托经办服务，提供与围绕参保人员享受长期护理保险待遇密切相关的承办服务。详见招标文件。</w:t>
      </w:r>
    </w:p>
    <w:p w14:paraId="35B2F9EC">
      <w:pPr>
        <w:pStyle w:val="5"/>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最高限价（如有）：/</w:t>
      </w:r>
    </w:p>
    <w:p w14:paraId="7EAB2D9F">
      <w:pPr>
        <w:pStyle w:val="5"/>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合同履约期限：</w:t>
      </w:r>
      <w:r>
        <w:rPr>
          <w:rFonts w:hint="eastAsia" w:hAnsi="宋体" w:cs="宋体"/>
          <w:color w:val="auto"/>
          <w:kern w:val="0"/>
          <w:sz w:val="24"/>
          <w:highlight w:val="none"/>
          <w:lang w:val="en-US" w:eastAsia="zh-CN"/>
        </w:rPr>
        <w:t>自2025年6月1日起至2026年12月31日止</w:t>
      </w:r>
      <w:r>
        <w:rPr>
          <w:rFonts w:hint="eastAsia" w:hAnsi="宋体" w:cs="宋体"/>
          <w:color w:val="auto"/>
          <w:kern w:val="0"/>
          <w:sz w:val="24"/>
          <w:highlight w:val="none"/>
        </w:rPr>
        <w:t>。</w:t>
      </w:r>
    </w:p>
    <w:p w14:paraId="39C855CE">
      <w:pPr>
        <w:pStyle w:val="5"/>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本标项（否）接受联合体投标</w:t>
      </w:r>
    </w:p>
    <w:p w14:paraId="41518032">
      <w:pPr>
        <w:pStyle w:val="5"/>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备注：</w:t>
      </w:r>
    </w:p>
    <w:p w14:paraId="4D7BF8CB">
      <w:pPr>
        <w:pStyle w:val="5"/>
        <w:spacing w:line="360" w:lineRule="auto"/>
        <w:ind w:firstLine="480"/>
        <w:rPr>
          <w:rFonts w:hint="eastAsia" w:hAnsi="宋体" w:cs="宋体"/>
          <w:color w:val="auto"/>
          <w:kern w:val="0"/>
          <w:sz w:val="24"/>
          <w:highlight w:val="none"/>
        </w:rPr>
      </w:pPr>
    </w:p>
    <w:p w14:paraId="574CB242">
      <w:pPr>
        <w:pStyle w:val="5"/>
        <w:spacing w:line="360" w:lineRule="auto"/>
        <w:ind w:firstLine="480"/>
        <w:rPr>
          <w:rFonts w:hint="eastAsia" w:hAnsi="宋体" w:eastAsia="宋体" w:cs="宋体"/>
          <w:color w:val="auto"/>
          <w:kern w:val="0"/>
          <w:sz w:val="24"/>
          <w:highlight w:val="none"/>
          <w:lang w:eastAsia="zh-CN"/>
        </w:rPr>
      </w:pPr>
      <w:r>
        <w:rPr>
          <w:rFonts w:hint="eastAsia" w:hAnsi="宋体" w:cs="宋体"/>
          <w:color w:val="auto"/>
          <w:kern w:val="0"/>
          <w:sz w:val="24"/>
          <w:highlight w:val="none"/>
        </w:rPr>
        <w:t>标项</w:t>
      </w:r>
      <w:r>
        <w:rPr>
          <w:rFonts w:hint="eastAsia" w:hAnsi="宋体" w:cs="宋体"/>
          <w:color w:val="auto"/>
          <w:kern w:val="0"/>
          <w:sz w:val="24"/>
          <w:highlight w:val="none"/>
          <w:lang w:val="en-US" w:eastAsia="zh-CN"/>
        </w:rPr>
        <w:t>2</w:t>
      </w:r>
    </w:p>
    <w:p w14:paraId="3E2FD8BB">
      <w:pPr>
        <w:pStyle w:val="5"/>
        <w:spacing w:line="360" w:lineRule="auto"/>
        <w:ind w:firstLine="480"/>
        <w:rPr>
          <w:rFonts w:hint="eastAsia" w:hAnsi="宋体" w:eastAsia="宋体" w:cs="宋体"/>
          <w:color w:val="auto"/>
          <w:kern w:val="0"/>
          <w:sz w:val="24"/>
          <w:highlight w:val="none"/>
          <w:lang w:eastAsia="zh-CN"/>
        </w:rPr>
      </w:pPr>
      <w:r>
        <w:rPr>
          <w:rFonts w:hint="eastAsia" w:hAnsi="宋体" w:cs="宋体"/>
          <w:color w:val="auto"/>
          <w:kern w:val="0"/>
          <w:sz w:val="24"/>
          <w:highlight w:val="none"/>
        </w:rPr>
        <w:t>标项名称:B分标-第二承办片区（合浦县）</w:t>
      </w:r>
    </w:p>
    <w:p w14:paraId="241F8D71">
      <w:pPr>
        <w:pStyle w:val="5"/>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数量:1批</w:t>
      </w:r>
    </w:p>
    <w:p w14:paraId="7861C66C">
      <w:pPr>
        <w:pStyle w:val="5"/>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 xml:space="preserve">预算金额（元）: </w:t>
      </w:r>
      <w:r>
        <w:rPr>
          <w:rFonts w:hint="eastAsia" w:hAnsi="宋体" w:cs="宋体"/>
          <w:color w:val="auto"/>
          <w:kern w:val="0"/>
          <w:sz w:val="24"/>
          <w:highlight w:val="none"/>
          <w:lang w:val="en-US" w:eastAsia="zh-CN"/>
        </w:rPr>
        <w:t>20</w:t>
      </w:r>
      <w:r>
        <w:rPr>
          <w:rFonts w:hint="eastAsia" w:hAnsi="宋体" w:cs="宋体"/>
          <w:color w:val="auto"/>
          <w:kern w:val="0"/>
          <w:sz w:val="24"/>
          <w:highlight w:val="none"/>
          <w:lang w:eastAsia="zh-CN"/>
        </w:rPr>
        <w:t>0000</w:t>
      </w:r>
      <w:r>
        <w:rPr>
          <w:rFonts w:hint="eastAsia" w:hAnsi="宋体" w:cs="宋体"/>
          <w:color w:val="auto"/>
          <w:kern w:val="0"/>
          <w:sz w:val="24"/>
          <w:highlight w:val="none"/>
          <w:lang w:val="en-US" w:eastAsia="zh-CN"/>
        </w:rPr>
        <w:t>0</w:t>
      </w:r>
      <w:r>
        <w:rPr>
          <w:rFonts w:hint="eastAsia" w:hAnsi="宋体" w:cs="宋体"/>
          <w:color w:val="auto"/>
          <w:kern w:val="0"/>
          <w:sz w:val="24"/>
          <w:highlight w:val="none"/>
          <w:lang w:eastAsia="zh-CN"/>
        </w:rPr>
        <w:t>.00</w:t>
      </w:r>
      <w:r>
        <w:rPr>
          <w:rFonts w:hint="eastAsia" w:hAnsi="宋体" w:cs="宋体"/>
          <w:color w:val="auto"/>
          <w:kern w:val="0"/>
          <w:sz w:val="24"/>
          <w:highlight w:val="none"/>
        </w:rPr>
        <w:t>元</w:t>
      </w:r>
    </w:p>
    <w:p w14:paraId="7326BEC1">
      <w:pPr>
        <w:pStyle w:val="5"/>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简要规格描述或项目基本概况介绍、用途：承办2025-2026年度北海市长期护理保险委托经办服务，提供与围绕参保人员享受长期护理保险待遇密切相关的承办服务。详见招标文件。</w:t>
      </w:r>
    </w:p>
    <w:p w14:paraId="4BB154E8">
      <w:pPr>
        <w:pStyle w:val="5"/>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最高限价（如有）：/</w:t>
      </w:r>
    </w:p>
    <w:p w14:paraId="004E2267">
      <w:pPr>
        <w:pStyle w:val="5"/>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合同履约期限：</w:t>
      </w:r>
      <w:r>
        <w:rPr>
          <w:rFonts w:hint="eastAsia" w:hAnsi="宋体" w:cs="宋体"/>
          <w:color w:val="auto"/>
          <w:kern w:val="0"/>
          <w:sz w:val="24"/>
          <w:highlight w:val="none"/>
          <w:lang w:val="en-US" w:eastAsia="zh-CN"/>
        </w:rPr>
        <w:t>自2025年6月1日起至2026年12月31日止</w:t>
      </w:r>
      <w:r>
        <w:rPr>
          <w:rFonts w:hint="eastAsia" w:hAnsi="宋体" w:cs="宋体"/>
          <w:color w:val="auto"/>
          <w:kern w:val="0"/>
          <w:sz w:val="24"/>
          <w:highlight w:val="none"/>
        </w:rPr>
        <w:t>。</w:t>
      </w:r>
    </w:p>
    <w:p w14:paraId="0A2F0DA9">
      <w:pPr>
        <w:pStyle w:val="5"/>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本标项（否）接受联合体投标</w:t>
      </w:r>
    </w:p>
    <w:p w14:paraId="4188CF22">
      <w:pPr>
        <w:pStyle w:val="5"/>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备注：</w:t>
      </w:r>
    </w:p>
    <w:p w14:paraId="1F90CC64">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3" w:name="_Hlk101132948"/>
      <w:r>
        <w:rPr>
          <w:rFonts w:hint="eastAsia" w:ascii="宋体" w:hAnsi="宋体" w:cs="宋体"/>
          <w:b/>
          <w:color w:val="auto"/>
          <w:sz w:val="24"/>
          <w:highlight w:val="none"/>
        </w:rPr>
        <w:t>申请人的资格要求</w:t>
      </w:r>
      <w:bookmarkEnd w:id="13"/>
      <w:r>
        <w:rPr>
          <w:rFonts w:hint="eastAsia" w:ascii="宋体" w:hAnsi="宋体" w:cs="宋体"/>
          <w:b/>
          <w:color w:val="auto"/>
          <w:sz w:val="24"/>
          <w:highlight w:val="none"/>
        </w:rPr>
        <w:t>：</w:t>
      </w:r>
    </w:p>
    <w:p w14:paraId="3F975AE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777B6C2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2.落实政府采购政策需满足的资格要求：无；</w:t>
      </w:r>
    </w:p>
    <w:p w14:paraId="07AF92B9">
      <w:pPr>
        <w:pStyle w:val="5"/>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3.本项目的特定资格要求：</w:t>
      </w:r>
      <w:r>
        <w:rPr>
          <w:rFonts w:hint="eastAsia" w:hAnsi="宋体" w:cs="宋体"/>
          <w:color w:val="auto"/>
          <w:sz w:val="24"/>
          <w:highlight w:val="none"/>
          <w:lang w:eastAsia="zh-CN"/>
        </w:rPr>
        <w:t>无。</w:t>
      </w:r>
    </w:p>
    <w:p w14:paraId="34160BA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0ECBF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FF0000"/>
          <w:sz w:val="24"/>
          <w:highlight w:val="none"/>
          <w:u w:val="single"/>
        </w:rPr>
        <w:t>202</w:t>
      </w:r>
      <w:r>
        <w:rPr>
          <w:rFonts w:hint="eastAsia" w:ascii="宋体" w:hAnsi="宋体" w:cs="宋体"/>
          <w:color w:val="FF0000"/>
          <w:sz w:val="24"/>
          <w:highlight w:val="none"/>
          <w:u w:val="single"/>
          <w:lang w:val="en-US" w:eastAsia="zh-CN"/>
        </w:rPr>
        <w:t>5</w:t>
      </w:r>
      <w:r>
        <w:rPr>
          <w:rFonts w:hint="eastAsia" w:ascii="宋体" w:hAnsi="宋体" w:cs="宋体"/>
          <w:color w:val="FF0000"/>
          <w:sz w:val="24"/>
          <w:highlight w:val="none"/>
          <w:u w:val="single"/>
        </w:rPr>
        <w:t>年</w:t>
      </w:r>
      <w:r>
        <w:rPr>
          <w:rFonts w:hint="eastAsia" w:ascii="宋体" w:hAnsi="宋体" w:cs="宋体"/>
          <w:color w:val="FF0000"/>
          <w:sz w:val="24"/>
          <w:highlight w:val="none"/>
          <w:u w:val="single"/>
          <w:lang w:val="en-US" w:eastAsia="zh-CN"/>
        </w:rPr>
        <w:t xml:space="preserve"> </w:t>
      </w:r>
      <w:r>
        <w:rPr>
          <w:rFonts w:hint="eastAsia" w:ascii="宋体" w:hAnsi="宋体" w:cs="宋体"/>
          <w:color w:val="FF0000"/>
          <w:sz w:val="24"/>
          <w:highlight w:val="none"/>
          <w:u w:val="single"/>
        </w:rPr>
        <w:t>月</w:t>
      </w:r>
      <w:r>
        <w:rPr>
          <w:rFonts w:hint="eastAsia" w:ascii="宋体" w:hAnsi="宋体" w:cs="宋体"/>
          <w:color w:val="FF0000"/>
          <w:sz w:val="24"/>
          <w:highlight w:val="none"/>
          <w:u w:val="single"/>
          <w:lang w:val="en-US" w:eastAsia="zh-CN"/>
        </w:rPr>
        <w:t xml:space="preserve"> </w:t>
      </w:r>
      <w:r>
        <w:rPr>
          <w:rFonts w:hint="eastAsia" w:ascii="宋体" w:hAnsi="宋体" w:cs="宋体"/>
          <w:color w:val="FF0000"/>
          <w:sz w:val="24"/>
          <w:highlight w:val="none"/>
          <w:u w:val="single"/>
        </w:rPr>
        <w:t>日</w:t>
      </w:r>
      <w:r>
        <w:rPr>
          <w:rFonts w:hint="eastAsia" w:ascii="宋体" w:hAnsi="宋体" w:cs="宋体"/>
          <w:color w:val="FF0000"/>
          <w:sz w:val="24"/>
          <w:highlight w:val="none"/>
        </w:rPr>
        <w:t>至</w:t>
      </w:r>
      <w:r>
        <w:rPr>
          <w:rFonts w:hint="eastAsia" w:ascii="宋体" w:hAnsi="宋体" w:cs="宋体"/>
          <w:color w:val="FF0000"/>
          <w:sz w:val="24"/>
          <w:highlight w:val="none"/>
          <w:u w:val="single"/>
        </w:rPr>
        <w:t>202</w:t>
      </w:r>
      <w:r>
        <w:rPr>
          <w:rFonts w:hint="eastAsia" w:ascii="宋体" w:hAnsi="宋体" w:cs="宋体"/>
          <w:color w:val="FF0000"/>
          <w:sz w:val="24"/>
          <w:highlight w:val="none"/>
          <w:u w:val="single"/>
          <w:lang w:val="en-US" w:eastAsia="zh-CN"/>
        </w:rPr>
        <w:t>5</w:t>
      </w:r>
      <w:r>
        <w:rPr>
          <w:rFonts w:hint="eastAsia" w:ascii="宋体" w:hAnsi="宋体" w:cs="宋体"/>
          <w:color w:val="FF0000"/>
          <w:sz w:val="24"/>
          <w:highlight w:val="none"/>
          <w:u w:val="single"/>
        </w:rPr>
        <w:t>年</w:t>
      </w:r>
      <w:r>
        <w:rPr>
          <w:rFonts w:hint="eastAsia" w:ascii="宋体" w:hAnsi="宋体" w:cs="宋体"/>
          <w:color w:val="FF0000"/>
          <w:sz w:val="24"/>
          <w:highlight w:val="none"/>
          <w:u w:val="single"/>
          <w:lang w:val="en-US" w:eastAsia="zh-CN"/>
        </w:rPr>
        <w:t xml:space="preserve"> </w:t>
      </w:r>
      <w:r>
        <w:rPr>
          <w:rFonts w:hint="eastAsia" w:ascii="宋体" w:hAnsi="宋体" w:cs="宋体"/>
          <w:color w:val="FF0000"/>
          <w:sz w:val="24"/>
          <w:highlight w:val="none"/>
          <w:u w:val="single"/>
        </w:rPr>
        <w:t>月</w:t>
      </w:r>
      <w:r>
        <w:rPr>
          <w:rFonts w:hint="eastAsia" w:ascii="宋体" w:hAnsi="宋体" w:cs="宋体"/>
          <w:color w:val="FF0000"/>
          <w:sz w:val="24"/>
          <w:highlight w:val="none"/>
          <w:u w:val="single"/>
          <w:lang w:val="en-US" w:eastAsia="zh-CN"/>
        </w:rPr>
        <w:t xml:space="preserve"> </w:t>
      </w:r>
      <w:r>
        <w:rPr>
          <w:rFonts w:hint="eastAsia" w:ascii="宋体" w:hAnsi="宋体" w:cs="宋体"/>
          <w:color w:val="FF0000"/>
          <w:sz w:val="24"/>
          <w:highlight w:val="none"/>
          <w:u w:val="single"/>
        </w:rPr>
        <w:t>日</w:t>
      </w:r>
      <w:r>
        <w:rPr>
          <w:rFonts w:hint="eastAsia" w:ascii="宋体" w:hAnsi="宋体" w:cs="宋体"/>
          <w:color w:val="FF0000"/>
          <w:sz w:val="24"/>
          <w:highlight w:val="none"/>
        </w:rPr>
        <w:t>，</w:t>
      </w:r>
      <w:r>
        <w:rPr>
          <w:rFonts w:hint="eastAsia" w:ascii="宋体" w:hAnsi="宋体" w:cs="宋体"/>
          <w:color w:val="auto"/>
          <w:sz w:val="24"/>
          <w:highlight w:val="none"/>
        </w:rPr>
        <w:t>每天上午00:00至12:00 ，下午12:00至23:59（北京时间，法定节假日除外）</w:t>
      </w:r>
    </w:p>
    <w:p w14:paraId="173782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地点（网址）：广西政府采购云平台（https://www.gcy.zfcg.gxzf.gov.cn/） </w:t>
      </w:r>
    </w:p>
    <w:p w14:paraId="100F15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方式：供应商登录广西政府采购云平台（https://www.gcy.zfcg.gxzf.gov.cn/）在线申请获取采购文件（进入“项目采购”应用，在获取采购文件菜单中选择项目，申请获取采购文件）。 </w:t>
      </w:r>
    </w:p>
    <w:p w14:paraId="55ACD8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售价（元）：0 </w:t>
      </w:r>
      <w:r>
        <w:rPr>
          <w:rFonts w:hint="eastAsia" w:ascii="宋体" w:hAnsi="宋体" w:cs="宋体"/>
          <w:color w:val="auto"/>
          <w:sz w:val="24"/>
          <w:highlight w:val="none"/>
        </w:rPr>
        <w:tab/>
      </w:r>
    </w:p>
    <w:p w14:paraId="48651509">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9C451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提交投标文件截止时间</w:t>
      </w:r>
      <w:r>
        <w:rPr>
          <w:rFonts w:hint="eastAsia" w:ascii="宋体" w:hAnsi="宋体" w:cs="宋体"/>
          <w:color w:val="FF0000"/>
          <w:sz w:val="24"/>
          <w:highlight w:val="none"/>
        </w:rPr>
        <w:t>：</w:t>
      </w:r>
      <w:r>
        <w:rPr>
          <w:rFonts w:hint="eastAsia" w:ascii="宋体" w:hAnsi="宋体" w:cs="宋体"/>
          <w:color w:val="FF0000"/>
          <w:sz w:val="24"/>
          <w:highlight w:val="none"/>
          <w:u w:val="single"/>
        </w:rPr>
        <w:t xml:space="preserve"> 2025年</w:t>
      </w:r>
      <w:r>
        <w:rPr>
          <w:rFonts w:hint="eastAsia" w:ascii="宋体" w:hAnsi="宋体" w:cs="宋体"/>
          <w:color w:val="FF0000"/>
          <w:sz w:val="24"/>
          <w:highlight w:val="none"/>
          <w:u w:val="single"/>
          <w:lang w:val="en-US" w:eastAsia="zh-CN"/>
        </w:rPr>
        <w:t xml:space="preserve"> </w:t>
      </w:r>
      <w:r>
        <w:rPr>
          <w:rFonts w:hint="eastAsia" w:ascii="宋体" w:hAnsi="宋体" w:cs="宋体"/>
          <w:color w:val="FF0000"/>
          <w:sz w:val="24"/>
          <w:highlight w:val="none"/>
          <w:u w:val="single"/>
        </w:rPr>
        <w:t>月</w:t>
      </w:r>
      <w:r>
        <w:rPr>
          <w:rFonts w:hint="eastAsia" w:ascii="宋体" w:hAnsi="宋体" w:cs="宋体"/>
          <w:color w:val="FF0000"/>
          <w:sz w:val="24"/>
          <w:highlight w:val="none"/>
          <w:u w:val="single"/>
          <w:lang w:val="en-US" w:eastAsia="zh-CN"/>
        </w:rPr>
        <w:t xml:space="preserve"> </w:t>
      </w:r>
      <w:r>
        <w:rPr>
          <w:rFonts w:hint="eastAsia" w:ascii="宋体" w:hAnsi="宋体" w:cs="宋体"/>
          <w:color w:val="FF0000"/>
          <w:sz w:val="24"/>
          <w:highlight w:val="none"/>
          <w:u w:val="single"/>
        </w:rPr>
        <w:t>日9点0分00秒</w:t>
      </w:r>
      <w:r>
        <w:rPr>
          <w:rFonts w:hint="eastAsia" w:ascii="宋体" w:hAnsi="宋体" w:cs="宋体"/>
          <w:color w:val="auto"/>
          <w:sz w:val="24"/>
          <w:highlight w:val="none"/>
        </w:rPr>
        <w:t>（北京时间）</w:t>
      </w:r>
    </w:p>
    <w:p w14:paraId="036CE5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投标地点（网址）：广西政府采购云平台（https://www.gcy.zfcg.gxzf.gov.cn/） </w:t>
      </w:r>
    </w:p>
    <w:p w14:paraId="771BED26">
      <w:pPr>
        <w:spacing w:line="360" w:lineRule="auto"/>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开标时间：</w:t>
      </w:r>
      <w:r>
        <w:rPr>
          <w:rFonts w:hint="eastAsia" w:ascii="宋体" w:hAnsi="宋体" w:cs="宋体"/>
          <w:color w:val="FF0000"/>
          <w:sz w:val="24"/>
          <w:highlight w:val="none"/>
          <w:u w:val="single"/>
        </w:rPr>
        <w:t>2025年</w:t>
      </w:r>
      <w:r>
        <w:rPr>
          <w:rFonts w:hint="eastAsia" w:ascii="宋体" w:hAnsi="宋体" w:cs="宋体"/>
          <w:color w:val="FF0000"/>
          <w:sz w:val="24"/>
          <w:highlight w:val="none"/>
          <w:u w:val="single"/>
          <w:lang w:val="en-US" w:eastAsia="zh-CN"/>
        </w:rPr>
        <w:t xml:space="preserve"> </w:t>
      </w:r>
      <w:r>
        <w:rPr>
          <w:rFonts w:hint="eastAsia" w:ascii="宋体" w:hAnsi="宋体" w:cs="宋体"/>
          <w:color w:val="FF0000"/>
          <w:sz w:val="24"/>
          <w:highlight w:val="none"/>
          <w:u w:val="single"/>
        </w:rPr>
        <w:t>月</w:t>
      </w:r>
      <w:r>
        <w:rPr>
          <w:rFonts w:hint="eastAsia" w:ascii="宋体" w:hAnsi="宋体" w:cs="宋体"/>
          <w:color w:val="FF0000"/>
          <w:sz w:val="24"/>
          <w:highlight w:val="none"/>
          <w:u w:val="single"/>
          <w:lang w:val="en-US" w:eastAsia="zh-CN"/>
        </w:rPr>
        <w:t xml:space="preserve"> </w:t>
      </w:r>
      <w:r>
        <w:rPr>
          <w:rFonts w:hint="eastAsia" w:ascii="宋体" w:hAnsi="宋体" w:cs="宋体"/>
          <w:color w:val="FF0000"/>
          <w:sz w:val="24"/>
          <w:highlight w:val="none"/>
          <w:u w:val="single"/>
        </w:rPr>
        <w:t>日9点0分00秒</w:t>
      </w:r>
    </w:p>
    <w:p w14:paraId="203C62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开标地点（网址）：广西政府采购云平台（https://www.gcy.zfcg.gxzf.gov.cn/）</w:t>
      </w:r>
    </w:p>
    <w:p w14:paraId="0E4799B1">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2B5863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144E6BB">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08828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1.本项目不收取投标保证金。</w:t>
      </w:r>
    </w:p>
    <w:p w14:paraId="7A156C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2.本项目需要落实的政府采购政策：</w:t>
      </w:r>
    </w:p>
    <w:p w14:paraId="0F5EE5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（1）落实强制采购节能产品、鼓励节能政策：对国家公布的节能产品政府采购品目清单中属于强制采购的产品，予以强制采购。属于非强制采购的产品，在技术、服务等指标同等条件下，予以优先采购。</w:t>
      </w:r>
    </w:p>
    <w:p w14:paraId="5EA1FC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（2）鼓励环保政策：在性能、技术、服务等指标同等条件下，优先采购国家公布的属于环境标志产品政府采购品目清单中产品。</w:t>
      </w:r>
    </w:p>
    <w:p w14:paraId="2395BE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（3）扶持中小企业政策：评审时小型和微型企业产品的价格给予20%的扣除。监狱企业、残疾人福利性单位视同小型和微型企业，其产品在评审时给予相同的价格扣除。</w:t>
      </w:r>
    </w:p>
    <w:p w14:paraId="3BEEA0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3.网上公告媒体查询：中国政府采购网、广西政府采购网、全国公共资源交易平台（广西•北海）、北海市政府采购监管网、北海市人民政府网-北海市政府采购中心网站。</w:t>
      </w:r>
    </w:p>
    <w:p w14:paraId="579C35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各供应商通过新平台（广西政府采购云平台）参与政府采购项目投标需下载使用新版客户端（广西政府采购云平台客户端），新版客户端下载路径：广西政府采购网（访问地址http://zfcg.gxzf.gov.cn/）—办事服务—下载专区。原在政采云平台注册的临时供应商需在新平台启用后重新注册登记。</w:t>
      </w:r>
    </w:p>
    <w:p w14:paraId="3403A3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5.本项目通过广西政府采购云平台实行在线投标响应（电子投标），为确保网上操作合法、有效和安全，</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应当在投标截止时间前完成在“广西政府采购云平台”的身份认证，确保在电子投标过程中能够对相关数据电文进行加密和使用电子签章。使用“广西政府采购云平台客户端”需要提前申领CA数字证书，申领流程请供应商自行前往“广西政府采购网”，依次进入“办事服务-下载专区-CA证书申请操作指南”或者登录广西政府采购云平台，依次进入“服务中心-入驻与配置”中查看CA数字证书办理操作流程。如在操作过程中遇到问题或者需要技术支持，请致电客服热线：95763。</w:t>
      </w:r>
    </w:p>
    <w:p w14:paraId="01BDA4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6.广西政府采购云平台与政采云平台操作流程一致，首次登录新平台账号密码与政采云账号密码一致，新旧平台数据相互独立，后续修改新平台密码不会影响政采云平台密码。</w:t>
      </w:r>
    </w:p>
    <w:p w14:paraId="2E70EA43">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62C93D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1.采购人信息</w:t>
      </w:r>
    </w:p>
    <w:p w14:paraId="6206F8A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北海市医疗保障事业管理中心</w:t>
      </w:r>
    </w:p>
    <w:p w14:paraId="1EDDCE7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地    址：北海市北海大道177号市政务服务中心一楼</w:t>
      </w:r>
    </w:p>
    <w:p w14:paraId="4DC571D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项目联系人：韩金朋  </w:t>
      </w:r>
    </w:p>
    <w:p w14:paraId="451E5FF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项目联系方式：0779-2250891</w:t>
      </w:r>
    </w:p>
    <w:p w14:paraId="5268D05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2.采购代理机构信息            </w:t>
      </w:r>
    </w:p>
    <w:p w14:paraId="628BEB5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名    称：北海市政府采购中心             </w:t>
      </w:r>
    </w:p>
    <w:p w14:paraId="30D42F9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szCs w:val="24"/>
          <w:highlight w:val="none"/>
        </w:rPr>
        <w:t>北海市海城区陈文村北路7号市直机关第三办公区2号楼一层</w:t>
      </w:r>
      <w:r>
        <w:rPr>
          <w:rFonts w:hint="eastAsia" w:ascii="宋体" w:hAnsi="宋体" w:cs="宋体"/>
          <w:color w:val="auto"/>
          <w:sz w:val="24"/>
          <w:highlight w:val="none"/>
        </w:rPr>
        <w:t xml:space="preserve">          </w:t>
      </w:r>
    </w:p>
    <w:p w14:paraId="214F421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欧呈东</w:t>
      </w:r>
      <w:r>
        <w:rPr>
          <w:rFonts w:hint="eastAsia" w:ascii="宋体" w:hAnsi="宋体" w:cs="宋体"/>
          <w:color w:val="auto"/>
          <w:sz w:val="24"/>
          <w:highlight w:val="none"/>
        </w:rPr>
        <w:t xml:space="preserve">             </w:t>
      </w:r>
    </w:p>
    <w:p w14:paraId="6FD5981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0"/>
        <w:rPr>
          <w:rFonts w:ascii="宋体" w:hAnsi="宋体" w:cs="宋体"/>
          <w:color w:val="auto"/>
          <w:sz w:val="24"/>
          <w:highlight w:val="none"/>
        </w:rPr>
      </w:pPr>
      <w:bookmarkStart w:id="14" w:name="_Toc6543"/>
      <w:r>
        <w:rPr>
          <w:rFonts w:hint="eastAsia" w:ascii="宋体" w:hAnsi="宋体" w:cs="宋体"/>
          <w:color w:val="auto"/>
          <w:sz w:val="24"/>
          <w:highlight w:val="none"/>
        </w:rPr>
        <w:t>项目联系方式(询问)：</w:t>
      </w:r>
      <w:r>
        <w:rPr>
          <w:rFonts w:hint="eastAsia" w:ascii="宋体" w:hAnsi="宋体" w:eastAsia="宋体" w:cs="宋体"/>
          <w:color w:val="auto"/>
          <w:sz w:val="24"/>
          <w:szCs w:val="24"/>
          <w:highlight w:val="none"/>
          <w:lang w:eastAsia="zh-CN"/>
        </w:rPr>
        <w:t>0779-3071101</w:t>
      </w:r>
      <w:bookmarkEnd w:id="14"/>
    </w:p>
    <w:p w14:paraId="20056F38">
      <w:pPr>
        <w:spacing w:line="360" w:lineRule="auto"/>
        <w:rPr>
          <w:rFonts w:ascii="宋体" w:hAnsi="宋体" w:cs="宋体"/>
          <w:color w:val="auto"/>
          <w:sz w:val="24"/>
          <w:highlight w:val="none"/>
        </w:rPr>
      </w:pPr>
    </w:p>
    <w:p w14:paraId="30F641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广西政府采购云平台（https://www.gcy.zfcg.gxzf.gov.cn/），点击右侧咨询小采，获取采小蜜智能服务管家帮助，或拨打广西政府采购云平台服务热线95763获取热线服务帮助。</w:t>
      </w:r>
    </w:p>
    <w:p w14:paraId="7A8C3320">
      <w:pPr>
        <w:spacing w:line="360" w:lineRule="auto"/>
        <w:ind w:firstLine="480" w:firstLineChars="200"/>
        <w:rPr>
          <w:rFonts w:ascii="宋体" w:hAnsi="宋体" w:cs="宋体"/>
          <w:color w:val="auto"/>
          <w:sz w:val="24"/>
          <w:highlight w:val="none"/>
        </w:rPr>
      </w:pPr>
    </w:p>
    <w:p w14:paraId="5AFD424B">
      <w:pPr>
        <w:pStyle w:val="32"/>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0F8638E3">
      <w:pPr>
        <w:pStyle w:val="82"/>
        <w:rPr>
          <w:snapToGrid w:val="0"/>
          <w:color w:val="auto"/>
          <w:highlight w:val="none"/>
        </w:rPr>
      </w:pPr>
      <w:r>
        <w:rPr>
          <w:color w:val="auto"/>
          <w:highlight w:val="none"/>
        </w:rPr>
        <w:br w:type="page"/>
      </w:r>
    </w:p>
    <w:p w14:paraId="24DF5D02">
      <w:pPr>
        <w:adjustRightInd/>
        <w:spacing w:line="360" w:lineRule="auto"/>
        <w:jc w:val="center"/>
        <w:outlineLvl w:val="0"/>
        <w:rPr>
          <w:rFonts w:ascii="宋体" w:hAnsi="宋体" w:cs="宋体"/>
          <w:b/>
          <w:color w:val="auto"/>
          <w:sz w:val="36"/>
          <w:szCs w:val="20"/>
          <w:highlight w:val="none"/>
        </w:rPr>
      </w:pPr>
      <w:bookmarkStart w:id="15" w:name="_Toc30780"/>
      <w:bookmarkStart w:id="16" w:name="_Toc176343849"/>
      <w:bookmarkStart w:id="17" w:name="_Toc176185120"/>
      <w:r>
        <w:rPr>
          <w:rFonts w:hint="eastAsia" w:ascii="宋体" w:hAnsi="宋体" w:cs="宋体"/>
          <w:b/>
          <w:color w:val="auto"/>
          <w:sz w:val="36"/>
          <w:szCs w:val="20"/>
          <w:highlight w:val="none"/>
        </w:rPr>
        <w:t>第二部分</w:t>
      </w:r>
      <w:bookmarkEnd w:id="9"/>
      <w:r>
        <w:rPr>
          <w:rFonts w:hint="eastAsia" w:ascii="宋体" w:hAnsi="宋体" w:cs="宋体"/>
          <w:b/>
          <w:color w:val="auto"/>
          <w:sz w:val="36"/>
          <w:szCs w:val="20"/>
          <w:highlight w:val="none"/>
        </w:rPr>
        <w:t xml:space="preserve">  投标人须知</w:t>
      </w:r>
      <w:bookmarkEnd w:id="10"/>
      <w:bookmarkEnd w:id="15"/>
      <w:bookmarkEnd w:id="16"/>
      <w:bookmarkEnd w:id="17"/>
    </w:p>
    <w:p w14:paraId="26464A44">
      <w:pPr>
        <w:adjustRightInd/>
        <w:spacing w:line="360" w:lineRule="auto"/>
        <w:ind w:firstLine="3845" w:firstLineChars="1197"/>
        <w:outlineLvl w:val="1"/>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105"/>
      </w:tblGrid>
      <w:tr w14:paraId="7E2B61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C37FCA3">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7B66337">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7105" w:type="dxa"/>
            <w:tcBorders>
              <w:top w:val="single" w:color="000000" w:sz="8" w:space="0"/>
              <w:left w:val="single" w:color="000000" w:sz="2" w:space="0"/>
              <w:bottom w:val="single" w:color="000000" w:sz="8" w:space="0"/>
              <w:right w:val="single" w:color="000000" w:sz="8" w:space="0"/>
            </w:tcBorders>
            <w:vAlign w:val="center"/>
          </w:tcPr>
          <w:p w14:paraId="7440B279">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14:paraId="266DB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FC4B76">
            <w:pPr>
              <w:snapToGrid w:val="0"/>
              <w:spacing w:line="360" w:lineRule="auto"/>
              <w:jc w:val="center"/>
              <w:rPr>
                <w:rFonts w:ascii="宋体" w:hAnsi="宋体" w:cs="宋体"/>
                <w:color w:val="000000" w:themeColor="text1"/>
                <w:sz w:val="24"/>
                <w14:textFill>
                  <w14:solidFill>
                    <w14:schemeClr w14:val="tx1"/>
                  </w14:solidFill>
                </w14:textFill>
              </w:rPr>
            </w:pPr>
          </w:p>
          <w:p w14:paraId="157A16D4">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7CCFEC3">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w:t>
            </w:r>
          </w:p>
        </w:tc>
        <w:tc>
          <w:tcPr>
            <w:tcW w:w="7105" w:type="dxa"/>
            <w:tcBorders>
              <w:top w:val="single" w:color="000000" w:sz="8" w:space="0"/>
              <w:left w:val="single" w:color="000000" w:sz="2" w:space="0"/>
              <w:bottom w:val="single" w:color="000000" w:sz="8" w:space="0"/>
              <w:right w:val="single" w:color="000000" w:sz="8" w:space="0"/>
            </w:tcBorders>
            <w:vAlign w:val="center"/>
          </w:tcPr>
          <w:p w14:paraId="065C5B4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服务类。</w:t>
            </w:r>
          </w:p>
        </w:tc>
      </w:tr>
      <w:tr w14:paraId="5DDDE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26755A">
            <w:pPr>
              <w:snapToGrid w:val="0"/>
              <w:spacing w:line="360" w:lineRule="auto"/>
              <w:jc w:val="center"/>
              <w:rPr>
                <w:rFonts w:ascii="宋体" w:hAnsi="宋体" w:cs="宋体"/>
                <w:color w:val="000000" w:themeColor="text1"/>
                <w:sz w:val="24"/>
                <w14:textFill>
                  <w14:solidFill>
                    <w14:schemeClr w14:val="tx1"/>
                  </w14:solidFill>
                </w14:textFill>
              </w:rPr>
            </w:pPr>
          </w:p>
          <w:p w14:paraId="33F9A0AE">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F50CB0B">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7105" w:type="dxa"/>
            <w:tcBorders>
              <w:top w:val="single" w:color="000000" w:sz="8" w:space="0"/>
              <w:left w:val="single" w:color="000000" w:sz="2" w:space="0"/>
              <w:bottom w:val="single" w:color="000000" w:sz="8" w:space="0"/>
              <w:right w:val="single" w:color="000000" w:sz="8" w:space="0"/>
            </w:tcBorders>
            <w:vAlign w:val="center"/>
          </w:tcPr>
          <w:p w14:paraId="7C13B8FA">
            <w:pPr>
              <w:snapToGrid w:val="0"/>
              <w:spacing w:line="360" w:lineRule="auto"/>
              <w:rPr>
                <w:rFonts w:ascii="宋体" w:hAnsi="宋体" w:eastAsia="宋体" w:cs="宋体"/>
                <w:color w:val="000000" w:themeColor="text1"/>
                <w:lang w:val="en-US"/>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（1）标的：</w:t>
            </w:r>
            <w:r>
              <w:rPr>
                <w:rFonts w:hint="eastAsia" w:ascii="宋体" w:hAnsi="宋体" w:cs="宋体"/>
                <w:color w:val="000000" w:themeColor="text1"/>
                <w:kern w:val="0"/>
                <w:sz w:val="24"/>
                <w:u w:val="single"/>
                <w14:textFill>
                  <w14:solidFill>
                    <w14:schemeClr w14:val="tx1"/>
                  </w14:solidFill>
                </w14:textFill>
              </w:rPr>
              <w:t xml:space="preserve"> 北海市长期护理保险承办服务项目 </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lang w:val="en-US" w:eastAsia="zh-CN"/>
                <w14:textFill>
                  <w14:solidFill>
                    <w14:schemeClr w14:val="tx1"/>
                  </w14:solidFill>
                </w14:textFill>
              </w:rPr>
              <w:t xml:space="preserve"> 保险业</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行业；</w:t>
            </w:r>
          </w:p>
        </w:tc>
      </w:tr>
      <w:tr w14:paraId="7F340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6C6B656">
            <w:pPr>
              <w:snapToGrid w:val="0"/>
              <w:spacing w:line="360" w:lineRule="auto"/>
              <w:jc w:val="center"/>
              <w:rPr>
                <w:rFonts w:ascii="宋体" w:hAnsi="宋体" w:cs="宋体"/>
                <w:color w:val="000000" w:themeColor="text1"/>
                <w:sz w:val="24"/>
                <w14:textFill>
                  <w14:solidFill>
                    <w14:schemeClr w14:val="tx1"/>
                  </w14:solidFill>
                </w14:textFill>
              </w:rPr>
            </w:pPr>
          </w:p>
          <w:p w14:paraId="1040CE7D">
            <w:pPr>
              <w:snapToGrid w:val="0"/>
              <w:spacing w:line="360" w:lineRule="auto"/>
              <w:jc w:val="center"/>
              <w:rPr>
                <w:rFonts w:ascii="宋体" w:hAnsi="宋体" w:cs="宋体"/>
                <w:color w:val="000000" w:themeColor="text1"/>
                <w:sz w:val="24"/>
                <w14:textFill>
                  <w14:solidFill>
                    <w14:schemeClr w14:val="tx1"/>
                  </w14:solidFill>
                </w14:textFill>
              </w:rPr>
            </w:pPr>
          </w:p>
          <w:p w14:paraId="3E28DE8B">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7AC23C6">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是否允许采购进口产品</w:t>
            </w:r>
          </w:p>
        </w:tc>
        <w:tc>
          <w:tcPr>
            <w:tcW w:w="7105" w:type="dxa"/>
            <w:tcBorders>
              <w:top w:val="single" w:color="000000" w:sz="8" w:space="0"/>
              <w:left w:val="single" w:color="000000" w:sz="2" w:space="0"/>
              <w:bottom w:val="single" w:color="000000" w:sz="8" w:space="0"/>
              <w:right w:val="single" w:color="000000" w:sz="8" w:space="0"/>
            </w:tcBorders>
            <w:vAlign w:val="center"/>
          </w:tcPr>
          <w:p w14:paraId="0331F53B">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本项目不允许采购进口产品。</w:t>
            </w:r>
          </w:p>
          <w:p w14:paraId="0D666972">
            <w:pPr>
              <w:spacing w:line="360" w:lineRule="auto"/>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w:t>
            </w:r>
          </w:p>
        </w:tc>
      </w:tr>
      <w:tr w14:paraId="623E3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143820">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CC60BB1">
            <w:pPr>
              <w:snapToGrid w:val="0"/>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7105" w:type="dxa"/>
            <w:tcBorders>
              <w:top w:val="single" w:color="000000" w:sz="8" w:space="0"/>
              <w:left w:val="single" w:color="000000" w:sz="2" w:space="0"/>
              <w:bottom w:val="single" w:color="000000" w:sz="8" w:space="0"/>
              <w:right w:val="single" w:color="000000" w:sz="8" w:space="0"/>
            </w:tcBorders>
            <w:vAlign w:val="center"/>
          </w:tcPr>
          <w:p w14:paraId="0A2AAA69">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71326"/>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A</w:t>
            </w:r>
            <w:r>
              <w:rPr>
                <w:rFonts w:hint="eastAsia" w:ascii="宋体" w:hAnsi="宋体" w:cs="宋体"/>
                <w:color w:val="000000" w:themeColor="text1"/>
                <w:sz w:val="24"/>
                <w14:textFill>
                  <w14:solidFill>
                    <w14:schemeClr w14:val="tx1"/>
                  </w14:solidFill>
                </w14:textFill>
              </w:rPr>
              <w:t>同意将非主体、非关键性的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工作分包。</w:t>
            </w:r>
            <w:sdt>
              <w:sdtPr>
                <w:rPr>
                  <w:rFonts w:hint="eastAsia" w:ascii="宋体" w:hAnsi="宋体" w:cs="宋体"/>
                  <w:color w:val="000000" w:themeColor="text1"/>
                  <w:kern w:val="0"/>
                  <w:sz w:val="24"/>
                  <w14:textFill>
                    <w14:solidFill>
                      <w14:schemeClr w14:val="tx1"/>
                    </w14:solidFill>
                  </w14:textFill>
                </w:rPr>
                <w:id w:val="14747144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 xml:space="preserve"> B</w:t>
            </w:r>
            <w:r>
              <w:rPr>
                <w:rFonts w:hint="eastAsia" w:ascii="宋体" w:hAnsi="宋体" w:cs="宋体"/>
                <w:color w:val="000000" w:themeColor="text1"/>
                <w:sz w:val="24"/>
                <w14:textFill>
                  <w14:solidFill>
                    <w14:schemeClr w14:val="tx1"/>
                  </w14:solidFill>
                </w14:textFill>
              </w:rPr>
              <w:t>不同意分包。</w:t>
            </w:r>
          </w:p>
          <w:p w14:paraId="6B5B285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注：不得限制大中型企业向小微企业合理分包。</w:t>
            </w:r>
          </w:p>
        </w:tc>
      </w:tr>
      <w:tr w14:paraId="7B57C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351D1E">
            <w:pPr>
              <w:snapToGrid w:val="0"/>
              <w:spacing w:line="360" w:lineRule="auto"/>
              <w:jc w:val="center"/>
              <w:rPr>
                <w:rFonts w:ascii="宋体" w:hAnsi="宋体" w:cs="宋体"/>
                <w:color w:val="000000" w:themeColor="text1"/>
                <w:sz w:val="24"/>
                <w14:textFill>
                  <w14:solidFill>
                    <w14:schemeClr w14:val="tx1"/>
                  </w14:solidFill>
                </w14:textFill>
              </w:rPr>
            </w:pPr>
          </w:p>
          <w:p w14:paraId="56F7CBDC">
            <w:pPr>
              <w:snapToGrid w:val="0"/>
              <w:spacing w:line="360" w:lineRule="auto"/>
              <w:jc w:val="center"/>
              <w:rPr>
                <w:rFonts w:ascii="宋体" w:hAnsi="宋体" w:cs="宋体"/>
                <w:color w:val="000000" w:themeColor="text1"/>
                <w:sz w:val="24"/>
                <w14:textFill>
                  <w14:solidFill>
                    <w14:schemeClr w14:val="tx1"/>
                  </w14:solidFill>
                </w14:textFill>
              </w:rPr>
            </w:pPr>
          </w:p>
          <w:p w14:paraId="4D714C92">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F8D92ED">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开标前答疑会或现场考察</w:t>
            </w:r>
          </w:p>
        </w:tc>
        <w:tc>
          <w:tcPr>
            <w:tcW w:w="7105" w:type="dxa"/>
            <w:tcBorders>
              <w:top w:val="single" w:color="000000" w:sz="8" w:space="0"/>
              <w:left w:val="single" w:color="000000" w:sz="2" w:space="0"/>
              <w:bottom w:val="single" w:color="000000" w:sz="8" w:space="0"/>
              <w:right w:val="single" w:color="000000" w:sz="8" w:space="0"/>
            </w:tcBorders>
            <w:vAlign w:val="center"/>
          </w:tcPr>
          <w:p w14:paraId="4F506EA0">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79812"/>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79D5F29C">
            <w:pPr>
              <w:spacing w:line="360" w:lineRule="auto"/>
              <w:rPr>
                <w:rFonts w:ascii="宋体" w:hAnsi="宋体" w:cs="宋体"/>
                <w:color w:val="000000" w:themeColor="text1"/>
                <w:sz w:val="24"/>
                <w:szCs w:val="20"/>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65859"/>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r>
              <w:rPr>
                <w:rFonts w:hint="eastAsia" w:ascii="宋体" w:hAnsi="宋体" w:cs="宋体"/>
                <w:color w:val="000000" w:themeColor="text1"/>
                <w:sz w:val="24"/>
                <w14:textFill>
                  <w14:solidFill>
                    <w14:schemeClr w14:val="tx1"/>
                  </w14:solidFill>
                </w14:textFill>
              </w:rPr>
              <w:t>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，联系方式：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szCs w:val="20"/>
                <w14:textFill>
                  <w14:solidFill>
                    <w14:schemeClr w14:val="tx1"/>
                  </w14:solidFill>
                </w14:textFill>
              </w:rPr>
              <w:t>。</w:t>
            </w:r>
          </w:p>
        </w:tc>
      </w:tr>
      <w:tr w14:paraId="79797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803DC24">
            <w:pPr>
              <w:snapToGrid w:val="0"/>
              <w:spacing w:line="360" w:lineRule="auto"/>
              <w:jc w:val="center"/>
              <w:rPr>
                <w:rFonts w:ascii="宋体" w:hAnsi="宋体" w:cs="宋体"/>
                <w:color w:val="000000" w:themeColor="text1"/>
                <w:sz w:val="24"/>
                <w14:textFill>
                  <w14:solidFill>
                    <w14:schemeClr w14:val="tx1"/>
                  </w14:solidFill>
                </w14:textFill>
              </w:rPr>
            </w:pPr>
          </w:p>
          <w:p w14:paraId="24086C94">
            <w:pPr>
              <w:snapToGrid w:val="0"/>
              <w:spacing w:line="360" w:lineRule="auto"/>
              <w:jc w:val="center"/>
              <w:rPr>
                <w:rFonts w:ascii="宋体" w:hAnsi="宋体" w:cs="宋体"/>
                <w:color w:val="000000" w:themeColor="text1"/>
                <w:sz w:val="24"/>
                <w14:textFill>
                  <w14:solidFill>
                    <w14:schemeClr w14:val="tx1"/>
                  </w14:solidFill>
                </w14:textFill>
              </w:rPr>
            </w:pPr>
          </w:p>
          <w:p w14:paraId="10881AFB">
            <w:pPr>
              <w:snapToGrid w:val="0"/>
              <w:spacing w:line="360" w:lineRule="auto"/>
              <w:jc w:val="center"/>
              <w:rPr>
                <w:rFonts w:ascii="宋体" w:hAnsi="宋体" w:cs="宋体"/>
                <w:color w:val="000000" w:themeColor="text1"/>
                <w:sz w:val="24"/>
                <w14:textFill>
                  <w14:solidFill>
                    <w14:schemeClr w14:val="tx1"/>
                  </w14:solidFill>
                </w14:textFill>
              </w:rPr>
            </w:pPr>
          </w:p>
          <w:p w14:paraId="2C93C1F5">
            <w:pPr>
              <w:snapToGrid w:val="0"/>
              <w:spacing w:line="360" w:lineRule="auto"/>
              <w:jc w:val="center"/>
              <w:rPr>
                <w:rFonts w:ascii="宋体" w:hAnsi="宋体" w:cs="宋体"/>
                <w:color w:val="000000" w:themeColor="text1"/>
                <w:sz w:val="24"/>
                <w14:textFill>
                  <w14:solidFill>
                    <w14:schemeClr w14:val="tx1"/>
                  </w14:solidFill>
                </w14:textFill>
              </w:rPr>
            </w:pPr>
          </w:p>
          <w:p w14:paraId="089717D8">
            <w:pPr>
              <w:snapToGrid w:val="0"/>
              <w:spacing w:line="360" w:lineRule="auto"/>
              <w:jc w:val="center"/>
              <w:rPr>
                <w:rFonts w:ascii="宋体" w:hAnsi="宋体" w:cs="宋体"/>
                <w:color w:val="000000" w:themeColor="text1"/>
                <w:sz w:val="24"/>
                <w14:textFill>
                  <w14:solidFill>
                    <w14:schemeClr w14:val="tx1"/>
                  </w14:solidFill>
                </w14:textFill>
              </w:rPr>
            </w:pPr>
          </w:p>
          <w:p w14:paraId="427F51C3">
            <w:pPr>
              <w:snapToGrid w:val="0"/>
              <w:spacing w:line="360" w:lineRule="auto"/>
              <w:jc w:val="center"/>
              <w:rPr>
                <w:rFonts w:ascii="宋体" w:hAnsi="宋体" w:cs="宋体"/>
                <w:color w:val="000000" w:themeColor="text1"/>
                <w:sz w:val="24"/>
                <w14:textFill>
                  <w14:solidFill>
                    <w14:schemeClr w14:val="tx1"/>
                  </w14:solidFill>
                </w14:textFill>
              </w:rPr>
            </w:pPr>
          </w:p>
          <w:p w14:paraId="4C04BCD6">
            <w:pPr>
              <w:snapToGrid w:val="0"/>
              <w:spacing w:line="360" w:lineRule="auto"/>
              <w:jc w:val="center"/>
              <w:rPr>
                <w:rFonts w:ascii="宋体" w:hAnsi="宋体" w:cs="宋体"/>
                <w:color w:val="000000" w:themeColor="text1"/>
                <w:sz w:val="24"/>
                <w14:textFill>
                  <w14:solidFill>
                    <w14:schemeClr w14:val="tx1"/>
                  </w14:solidFill>
                </w14:textFill>
              </w:rPr>
            </w:pPr>
          </w:p>
          <w:p w14:paraId="28A4C76D">
            <w:pPr>
              <w:snapToGrid w:val="0"/>
              <w:spacing w:line="360" w:lineRule="auto"/>
              <w:jc w:val="center"/>
              <w:rPr>
                <w:rFonts w:ascii="宋体" w:hAnsi="宋体" w:cs="宋体"/>
                <w:color w:val="000000" w:themeColor="text1"/>
                <w:sz w:val="24"/>
                <w14:textFill>
                  <w14:solidFill>
                    <w14:schemeClr w14:val="tx1"/>
                  </w14:solidFill>
                </w14:textFill>
              </w:rPr>
            </w:pPr>
          </w:p>
          <w:p w14:paraId="60988129">
            <w:pPr>
              <w:snapToGrid w:val="0"/>
              <w:spacing w:line="360" w:lineRule="auto"/>
              <w:jc w:val="center"/>
              <w:rPr>
                <w:rFonts w:ascii="宋体" w:hAnsi="宋体" w:cs="宋体"/>
                <w:color w:val="000000" w:themeColor="text1"/>
                <w:sz w:val="24"/>
                <w14:textFill>
                  <w14:solidFill>
                    <w14:schemeClr w14:val="tx1"/>
                  </w14:solidFill>
                </w14:textFill>
              </w:rPr>
            </w:pPr>
          </w:p>
          <w:p w14:paraId="467FAE77">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43B6053">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7105" w:type="dxa"/>
            <w:tcBorders>
              <w:top w:val="single" w:color="000000" w:sz="8" w:space="0"/>
              <w:left w:val="single" w:color="000000" w:sz="2" w:space="0"/>
              <w:bottom w:val="single" w:color="000000" w:sz="8" w:space="0"/>
              <w:right w:val="single" w:color="000000" w:sz="8" w:space="0"/>
            </w:tcBorders>
            <w:vAlign w:val="center"/>
          </w:tcPr>
          <w:p w14:paraId="629EFD70">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77010"/>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不要求提供。</w:t>
            </w:r>
          </w:p>
          <w:p w14:paraId="273AB263">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78416"/>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B要求提供，</w:t>
            </w:r>
          </w:p>
          <w:p w14:paraId="0CE1E2DC">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snapToGrid w:val="0"/>
                <w:color w:val="000000" w:themeColor="text1"/>
                <w:kern w:val="28"/>
                <w:sz w:val="24"/>
                <w14:textFill>
                  <w14:solidFill>
                    <w14:schemeClr w14:val="tx1"/>
                  </w14:solidFill>
                </w14:textFill>
              </w:rPr>
              <w:t>样品：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63AFE64A">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snapToGrid w:val="0"/>
                <w:color w:val="000000" w:themeColor="text1"/>
                <w:kern w:val="28"/>
                <w:sz w:val="24"/>
                <w14:textFill>
                  <w14:solidFill>
                    <w14:schemeClr w14:val="tx1"/>
                  </w14:solidFill>
                </w14:textFill>
              </w:rPr>
              <w:t>样品制作的标准和要求：</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3213AB8E">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（3）样品的评审方法以及评审标准</w:t>
            </w:r>
            <w:r>
              <w:rPr>
                <w:rFonts w:hint="eastAsia" w:ascii="宋体" w:hAnsi="宋体" w:cs="宋体"/>
                <w:snapToGrid w:val="0"/>
                <w:color w:val="000000" w:themeColor="text1"/>
                <w:kern w:val="28"/>
                <w:sz w:val="24"/>
                <w14:textFill>
                  <w14:solidFill>
                    <w14:schemeClr w14:val="tx1"/>
                  </w14:solidFill>
                </w14:textFill>
              </w:rPr>
              <w:t>：详见</w:t>
            </w:r>
            <w:r>
              <w:rPr>
                <w:rFonts w:hint="eastAsia" w:ascii="宋体" w:hAnsi="宋体" w:cs="宋体"/>
                <w:color w:val="000000" w:themeColor="text1"/>
                <w:sz w:val="24"/>
                <w:u w:val="single"/>
                <w14:textFill>
                  <w14:solidFill>
                    <w14:schemeClr w14:val="tx1"/>
                  </w14:solidFill>
                </w14:textFill>
              </w:rPr>
              <w:t>评标办法</w:t>
            </w:r>
            <w:r>
              <w:rPr>
                <w:rFonts w:hint="eastAsia" w:ascii="宋体" w:hAnsi="宋体" w:cs="宋体"/>
                <w:color w:val="000000" w:themeColor="text1"/>
                <w:kern w:val="0"/>
                <w:sz w:val="24"/>
                <w14:textFill>
                  <w14:solidFill>
                    <w14:schemeClr w14:val="tx1"/>
                  </w14:solidFill>
                </w14:textFill>
              </w:rPr>
              <w:t>；</w:t>
            </w:r>
          </w:p>
          <w:p w14:paraId="6C3D5A32">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（4）是否需要随样品提交检测报告：</w:t>
            </w:r>
            <w:sdt>
              <w:sdtPr>
                <w:rPr>
                  <w:rFonts w:hint="eastAsia" w:ascii="宋体" w:hAnsi="宋体" w:cs="宋体"/>
                  <w:color w:val="000000" w:themeColor="text1"/>
                  <w:kern w:val="0"/>
                  <w:sz w:val="24"/>
                  <w14:textFill>
                    <w14:solidFill>
                      <w14:schemeClr w14:val="tx1"/>
                    </w14:solidFill>
                  </w14:textFill>
                </w:rPr>
                <w:id w:val="147459489"/>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否；</w:t>
            </w:r>
            <w:sdt>
              <w:sdtPr>
                <w:rPr>
                  <w:rFonts w:hint="eastAsia" w:ascii="宋体" w:hAnsi="宋体" w:cs="宋体"/>
                  <w:color w:val="000000" w:themeColor="text1"/>
                  <w:kern w:val="0"/>
                  <w:sz w:val="24"/>
                  <w14:textFill>
                    <w14:solidFill>
                      <w14:schemeClr w14:val="tx1"/>
                    </w14:solidFill>
                  </w14:textFill>
                </w:rPr>
                <w:id w:val="147471009"/>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是，检测机构的要求</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；检测内容</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6490D13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（5）提供样品的时间：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；联系人</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28"/>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。请投标人在上述时间内提供样品并按规定位置安装完毕。超过截止时间的，采购人或采购代理机构将不予接收，并将清场并封闭样品现场。</w:t>
            </w:r>
          </w:p>
          <w:p w14:paraId="4198B3B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3A88C9E">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（7）制作、运输、安装和保管样品所发生的一切费用由投标人自理。</w:t>
            </w:r>
          </w:p>
        </w:tc>
      </w:tr>
      <w:tr w14:paraId="08C0C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458ECD0">
            <w:pPr>
              <w:snapToGrid w:val="0"/>
              <w:spacing w:line="360" w:lineRule="auto"/>
              <w:jc w:val="center"/>
              <w:rPr>
                <w:rFonts w:ascii="宋体" w:hAnsi="宋体" w:cs="宋体"/>
                <w:color w:val="000000" w:themeColor="text1"/>
                <w:sz w:val="24"/>
                <w14:textFill>
                  <w14:solidFill>
                    <w14:schemeClr w14:val="tx1"/>
                  </w14:solidFill>
                </w14:textFill>
              </w:rPr>
            </w:pPr>
          </w:p>
          <w:p w14:paraId="77463D03">
            <w:pPr>
              <w:snapToGrid w:val="0"/>
              <w:spacing w:line="360" w:lineRule="auto"/>
              <w:jc w:val="center"/>
              <w:rPr>
                <w:rFonts w:ascii="宋体" w:hAnsi="宋体" w:cs="宋体"/>
                <w:color w:val="000000" w:themeColor="text1"/>
                <w:sz w:val="24"/>
                <w14:textFill>
                  <w14:solidFill>
                    <w14:schemeClr w14:val="tx1"/>
                  </w14:solidFill>
                </w14:textFill>
              </w:rPr>
            </w:pPr>
          </w:p>
          <w:p w14:paraId="219E77DC">
            <w:pPr>
              <w:snapToGrid w:val="0"/>
              <w:spacing w:line="360" w:lineRule="auto"/>
              <w:jc w:val="center"/>
              <w:rPr>
                <w:rFonts w:ascii="宋体" w:hAnsi="宋体" w:cs="宋体"/>
                <w:color w:val="000000" w:themeColor="text1"/>
                <w:sz w:val="24"/>
                <w14:textFill>
                  <w14:solidFill>
                    <w14:schemeClr w14:val="tx1"/>
                  </w14:solidFill>
                </w14:textFill>
              </w:rPr>
            </w:pPr>
          </w:p>
          <w:p w14:paraId="3ABCAB3D">
            <w:pPr>
              <w:snapToGrid w:val="0"/>
              <w:spacing w:line="360" w:lineRule="auto"/>
              <w:jc w:val="center"/>
              <w:rPr>
                <w:rFonts w:ascii="宋体" w:hAnsi="宋体" w:cs="宋体"/>
                <w:color w:val="000000" w:themeColor="text1"/>
                <w:sz w:val="24"/>
                <w14:textFill>
                  <w14:solidFill>
                    <w14:schemeClr w14:val="tx1"/>
                  </w14:solidFill>
                </w14:textFill>
              </w:rPr>
            </w:pPr>
          </w:p>
          <w:p w14:paraId="0D3E0A57">
            <w:pPr>
              <w:snapToGrid w:val="0"/>
              <w:spacing w:line="360" w:lineRule="auto"/>
              <w:jc w:val="center"/>
              <w:rPr>
                <w:rFonts w:ascii="宋体" w:hAnsi="宋体" w:cs="宋体"/>
                <w:color w:val="000000" w:themeColor="text1"/>
                <w:sz w:val="24"/>
                <w14:textFill>
                  <w14:solidFill>
                    <w14:schemeClr w14:val="tx1"/>
                  </w14:solidFill>
                </w14:textFill>
              </w:rPr>
            </w:pPr>
          </w:p>
          <w:p w14:paraId="5DEB0F3A">
            <w:pPr>
              <w:snapToGrid w:val="0"/>
              <w:spacing w:line="360" w:lineRule="auto"/>
              <w:jc w:val="center"/>
              <w:rPr>
                <w:rFonts w:ascii="宋体" w:hAnsi="宋体" w:cs="宋体"/>
                <w:color w:val="000000" w:themeColor="text1"/>
                <w:sz w:val="24"/>
                <w14:textFill>
                  <w14:solidFill>
                    <w14:schemeClr w14:val="tx1"/>
                  </w14:solidFill>
                </w14:textFill>
              </w:rPr>
            </w:pPr>
          </w:p>
          <w:p w14:paraId="622C23D5">
            <w:pPr>
              <w:snapToGrid w:val="0"/>
              <w:spacing w:line="360" w:lineRule="auto"/>
              <w:jc w:val="center"/>
              <w:rPr>
                <w:rFonts w:ascii="宋体" w:hAnsi="宋体" w:cs="宋体"/>
                <w:color w:val="000000" w:themeColor="text1"/>
                <w:sz w:val="24"/>
                <w14:textFill>
                  <w14:solidFill>
                    <w14:schemeClr w14:val="tx1"/>
                  </w14:solidFill>
                </w14:textFill>
              </w:rPr>
            </w:pPr>
          </w:p>
          <w:p w14:paraId="260EFA52">
            <w:pPr>
              <w:snapToGrid w:val="0"/>
              <w:spacing w:line="360" w:lineRule="auto"/>
              <w:jc w:val="center"/>
              <w:rPr>
                <w:rFonts w:ascii="宋体" w:hAnsi="宋体" w:cs="宋体"/>
                <w:color w:val="000000" w:themeColor="text1"/>
                <w:sz w:val="24"/>
                <w14:textFill>
                  <w14:solidFill>
                    <w14:schemeClr w14:val="tx1"/>
                  </w14:solidFill>
                </w14:textFill>
              </w:rPr>
            </w:pPr>
          </w:p>
          <w:p w14:paraId="0039AFF5">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A3EDB6D">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方案讲解演示</w:t>
            </w:r>
          </w:p>
        </w:tc>
        <w:tc>
          <w:tcPr>
            <w:tcW w:w="7105" w:type="dxa"/>
            <w:tcBorders>
              <w:top w:val="single" w:color="000000" w:sz="8" w:space="0"/>
              <w:left w:val="single" w:color="000000" w:sz="2" w:space="0"/>
              <w:bottom w:val="single" w:color="000000" w:sz="8" w:space="0"/>
              <w:right w:val="single" w:color="000000" w:sz="8" w:space="0"/>
            </w:tcBorders>
            <w:vAlign w:val="center"/>
          </w:tcPr>
          <w:p w14:paraId="39BA1409">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63582"/>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06FA435B">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51899"/>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p>
          <w:p w14:paraId="471B9DC2">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u w:val="single"/>
                <w14:textFill>
                  <w14:solidFill>
                    <w14:schemeClr w14:val="tx1"/>
                  </w14:solidFill>
                </w14:textFill>
              </w:rPr>
              <w:t>20（编制时可根据项目情况进行调整）</w:t>
            </w:r>
            <w:r>
              <w:rPr>
                <w:rFonts w:hint="eastAsia" w:ascii="宋体" w:hAnsi="宋体" w:cs="宋体"/>
                <w:color w:val="000000" w:themeColor="text1"/>
                <w:kern w:val="0"/>
                <w:sz w:val="24"/>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u w:val="single"/>
                <w14:textFill>
                  <w14:solidFill>
                    <w14:schemeClr w14:val="tx1"/>
                  </w14:solidFill>
                </w14:textFill>
              </w:rPr>
              <w:t>3（编制时可根据项目情况进行调整）</w:t>
            </w:r>
            <w:r>
              <w:rPr>
                <w:rFonts w:hint="eastAsia" w:ascii="宋体" w:hAnsi="宋体" w:cs="宋体"/>
                <w:color w:val="000000" w:themeColor="text1"/>
                <w:kern w:val="0"/>
                <w:sz w:val="24"/>
                <w14:textFill>
                  <w14:solidFill>
                    <w14:schemeClr w14:val="tx1"/>
                  </w14:solidFill>
                </w14:textFill>
              </w:rPr>
              <w:t>人。讲解演示结束后按要求解答评标委员会提问。</w:t>
            </w:r>
          </w:p>
          <w:p w14:paraId="54040110">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（2）方案讲解演示可选择以下其中一种方式：</w:t>
            </w:r>
          </w:p>
          <w:p w14:paraId="25A6710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方式一：广西政府采购云平台在线讲解演示。广西政府采购云平台在线讲解需投标人根据广西政府采购云平台操作要求做好准备工作，提前完善软硬件配置环境。</w:t>
            </w:r>
          </w:p>
          <w:p w14:paraId="3ABB921C">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方式二：评审现场讲解演示。现场讲解地点为</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，讲解演示所用电脑等设备由投标人自备。现场讲解演示人员进场时提供讲解人员名单（加盖公章或授权代表签名）及身份证明，否则不得讲解演示。</w:t>
            </w:r>
          </w:p>
          <w:p w14:paraId="448EC498">
            <w:pPr>
              <w:snapToGrid w:val="0"/>
              <w:spacing w:line="360" w:lineRule="auto"/>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注：因投标人自身原因导致无法演示或者演示效果不理想的，责任自负。因平台原因导致本项目方案讲解演示环节无法顺利开展，按照相关规定执行。</w:t>
            </w:r>
          </w:p>
        </w:tc>
      </w:tr>
      <w:tr w14:paraId="33A26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5FD34D48">
            <w:pPr>
              <w:snapToGrid w:val="0"/>
              <w:spacing w:line="360" w:lineRule="auto"/>
              <w:jc w:val="center"/>
              <w:rPr>
                <w:rFonts w:ascii="宋体" w:hAnsi="宋体" w:cs="宋体"/>
                <w:color w:val="000000" w:themeColor="text1"/>
                <w:sz w:val="24"/>
                <w14:textFill>
                  <w14:solidFill>
                    <w14:schemeClr w14:val="tx1"/>
                  </w14:solidFill>
                </w14:textFill>
              </w:rPr>
            </w:pPr>
          </w:p>
          <w:p w14:paraId="065C0FD3">
            <w:pPr>
              <w:snapToGrid w:val="0"/>
              <w:spacing w:line="360" w:lineRule="auto"/>
              <w:jc w:val="center"/>
              <w:rPr>
                <w:rFonts w:ascii="宋体" w:hAnsi="宋体" w:cs="宋体"/>
                <w:color w:val="000000" w:themeColor="text1"/>
                <w:sz w:val="24"/>
                <w14:textFill>
                  <w14:solidFill>
                    <w14:schemeClr w14:val="tx1"/>
                  </w14:solidFill>
                </w14:textFill>
              </w:rPr>
            </w:pPr>
          </w:p>
          <w:p w14:paraId="3FE0C4B1">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2A2C5A73">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投标人应当提供的资格、资信证明文件</w:t>
            </w:r>
          </w:p>
        </w:tc>
        <w:tc>
          <w:tcPr>
            <w:tcW w:w="7105" w:type="dxa"/>
            <w:tcBorders>
              <w:top w:val="single" w:color="000000" w:sz="8" w:space="0"/>
              <w:left w:val="single" w:color="000000" w:sz="2" w:space="0"/>
              <w:bottom w:val="single" w:color="auto" w:sz="4" w:space="0"/>
              <w:right w:val="single" w:color="000000" w:sz="8" w:space="0"/>
            </w:tcBorders>
            <w:vAlign w:val="center"/>
          </w:tcPr>
          <w:p w14:paraId="01DE44C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（1）资格证明文件：见招标文件第二部分11.1。</w:t>
            </w:r>
          </w:p>
          <w:p w14:paraId="2710E859">
            <w:pPr>
              <w:spacing w:line="360" w:lineRule="auto"/>
              <w:rPr>
                <w:rFonts w:ascii="宋体" w:hAnsi="宋体" w:cs="宋体"/>
                <w:snapToGrid w:val="0"/>
                <w:color w:val="000000" w:themeColor="text1"/>
                <w:kern w:val="0"/>
                <w:szCs w:val="2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投标人未提供有效的资格证明文件的，视为投标人不具备招标文件中规定的资格要求，投标无效。</w:t>
            </w:r>
          </w:p>
        </w:tc>
      </w:tr>
      <w:tr w14:paraId="6E6C12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4" w:hRule="atLeast"/>
          <w:tblHeader/>
        </w:trPr>
        <w:tc>
          <w:tcPr>
            <w:tcW w:w="629" w:type="dxa"/>
            <w:vMerge w:val="continue"/>
            <w:tcBorders>
              <w:left w:val="single" w:color="auto" w:sz="4" w:space="0"/>
              <w:bottom w:val="single" w:color="auto" w:sz="4" w:space="0"/>
              <w:right w:val="single" w:color="auto" w:sz="4" w:space="0"/>
            </w:tcBorders>
          </w:tcPr>
          <w:p w14:paraId="4BA152BB">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30855560">
            <w:pPr>
              <w:snapToGrid w:val="0"/>
              <w:spacing w:line="360" w:lineRule="auto"/>
              <w:jc w:val="center"/>
              <w:rPr>
                <w:rFonts w:ascii="宋体" w:hAnsi="宋体" w:cs="宋体"/>
                <w:b/>
                <w:color w:val="000000" w:themeColor="text1"/>
                <w:sz w:val="24"/>
                <w14:textFill>
                  <w14:solidFill>
                    <w14:schemeClr w14:val="tx1"/>
                  </w14:solidFill>
                </w14:textFill>
              </w:rPr>
            </w:pPr>
          </w:p>
        </w:tc>
        <w:tc>
          <w:tcPr>
            <w:tcW w:w="7105" w:type="dxa"/>
            <w:tcBorders>
              <w:top w:val="single" w:color="auto" w:sz="4" w:space="0"/>
              <w:left w:val="single" w:color="000000" w:sz="2" w:space="0"/>
              <w:bottom w:val="single" w:color="000000" w:sz="8" w:space="0"/>
              <w:right w:val="single" w:color="000000" w:sz="8" w:space="0"/>
            </w:tcBorders>
            <w:vAlign w:val="center"/>
          </w:tcPr>
          <w:p w14:paraId="0A2BB36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（2）资信证明文件：根据招标文件第四部分评标标准提供。</w:t>
            </w:r>
          </w:p>
        </w:tc>
      </w:tr>
      <w:tr w14:paraId="6565C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4C7BECD">
            <w:pPr>
              <w:snapToGrid w:val="0"/>
              <w:spacing w:line="360" w:lineRule="auto"/>
              <w:jc w:val="center"/>
              <w:rPr>
                <w:rFonts w:ascii="宋体" w:hAnsi="宋体" w:cs="宋体"/>
                <w:color w:val="000000" w:themeColor="text1"/>
                <w:sz w:val="24"/>
                <w14:textFill>
                  <w14:solidFill>
                    <w14:schemeClr w14:val="tx1"/>
                  </w14:solidFill>
                </w14:textFill>
              </w:rPr>
            </w:pPr>
          </w:p>
          <w:p w14:paraId="6396D0F4">
            <w:pPr>
              <w:snapToGrid w:val="0"/>
              <w:spacing w:line="360" w:lineRule="auto"/>
              <w:jc w:val="center"/>
              <w:rPr>
                <w:rFonts w:ascii="宋体" w:hAnsi="宋体" w:cs="宋体"/>
                <w:color w:val="000000" w:themeColor="text1"/>
                <w:sz w:val="24"/>
                <w14:textFill>
                  <w14:solidFill>
                    <w14:schemeClr w14:val="tx1"/>
                  </w14:solidFill>
                </w14:textFill>
              </w:rPr>
            </w:pPr>
          </w:p>
          <w:p w14:paraId="59FA8483">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7093551">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节能产品、环境标志产品</w:t>
            </w:r>
          </w:p>
        </w:tc>
        <w:tc>
          <w:tcPr>
            <w:tcW w:w="7105" w:type="dxa"/>
            <w:tcBorders>
              <w:top w:val="single" w:color="000000" w:sz="8" w:space="0"/>
              <w:left w:val="single" w:color="000000" w:sz="2" w:space="0"/>
              <w:bottom w:val="single" w:color="000000" w:sz="8" w:space="0"/>
              <w:right w:val="single" w:color="000000" w:sz="8" w:space="0"/>
            </w:tcBorders>
            <w:vAlign w:val="center"/>
          </w:tcPr>
          <w:p w14:paraId="2E9626A5">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7C44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91C1294">
            <w:pPr>
              <w:snapToGrid w:val="0"/>
              <w:spacing w:line="360" w:lineRule="auto"/>
              <w:jc w:val="center"/>
              <w:rPr>
                <w:rFonts w:ascii="宋体" w:hAnsi="宋体" w:cs="宋体"/>
                <w:color w:val="000000" w:themeColor="text1"/>
                <w:sz w:val="24"/>
                <w14:textFill>
                  <w14:solidFill>
                    <w14:schemeClr w14:val="tx1"/>
                  </w14:solidFill>
                </w14:textFill>
              </w:rPr>
            </w:pPr>
          </w:p>
          <w:p w14:paraId="664BF2FD">
            <w:pPr>
              <w:snapToGrid w:val="0"/>
              <w:spacing w:line="360" w:lineRule="auto"/>
              <w:jc w:val="center"/>
              <w:rPr>
                <w:rFonts w:ascii="宋体" w:hAnsi="宋体" w:cs="宋体"/>
                <w:color w:val="000000" w:themeColor="text1"/>
                <w:sz w:val="24"/>
                <w14:textFill>
                  <w14:solidFill>
                    <w14:schemeClr w14:val="tx1"/>
                  </w14:solidFill>
                </w14:textFill>
              </w:rPr>
            </w:pPr>
          </w:p>
          <w:p w14:paraId="7147A208">
            <w:pPr>
              <w:snapToGrid w:val="0"/>
              <w:spacing w:line="360" w:lineRule="auto"/>
              <w:jc w:val="center"/>
              <w:rPr>
                <w:rFonts w:ascii="宋体" w:hAnsi="宋体" w:cs="宋体"/>
                <w:color w:val="000000" w:themeColor="text1"/>
                <w:sz w:val="24"/>
                <w14:textFill>
                  <w14:solidFill>
                    <w14:schemeClr w14:val="tx1"/>
                  </w14:solidFill>
                </w14:textFill>
              </w:rPr>
            </w:pPr>
          </w:p>
          <w:p w14:paraId="772EE380">
            <w:pPr>
              <w:snapToGrid w:val="0"/>
              <w:spacing w:line="360" w:lineRule="auto"/>
              <w:jc w:val="center"/>
              <w:rPr>
                <w:rFonts w:ascii="宋体" w:hAnsi="宋体" w:cs="宋体"/>
                <w:color w:val="000000" w:themeColor="text1"/>
                <w:sz w:val="24"/>
                <w14:textFill>
                  <w14:solidFill>
                    <w14:schemeClr w14:val="tx1"/>
                  </w14:solidFill>
                </w14:textFill>
              </w:rPr>
            </w:pPr>
          </w:p>
          <w:p w14:paraId="78AC8DE9">
            <w:pPr>
              <w:snapToGrid w:val="0"/>
              <w:spacing w:line="360" w:lineRule="auto"/>
              <w:jc w:val="center"/>
              <w:rPr>
                <w:rFonts w:ascii="宋体" w:hAnsi="宋体" w:cs="宋体"/>
                <w:color w:val="000000" w:themeColor="text1"/>
                <w:sz w:val="24"/>
                <w14:textFill>
                  <w14:solidFill>
                    <w14:schemeClr w14:val="tx1"/>
                  </w14:solidFill>
                </w14:textFill>
              </w:rPr>
            </w:pPr>
          </w:p>
          <w:p w14:paraId="54F32FB1">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7BFB147">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报价要求</w:t>
            </w:r>
          </w:p>
        </w:tc>
        <w:tc>
          <w:tcPr>
            <w:tcW w:w="7105" w:type="dxa"/>
            <w:tcBorders>
              <w:top w:val="single" w:color="000000" w:sz="8" w:space="0"/>
              <w:left w:val="single" w:color="000000" w:sz="2" w:space="0"/>
              <w:bottom w:val="single" w:color="000000" w:sz="8" w:space="0"/>
              <w:right w:val="single" w:color="000000" w:sz="8" w:space="0"/>
            </w:tcBorders>
            <w:vAlign w:val="center"/>
          </w:tcPr>
          <w:p w14:paraId="6D6203F9">
            <w:pPr>
              <w:snapToGrid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有关本项目实施所需的所有费用（含税费）均计入报价。</w:t>
            </w:r>
            <w:r>
              <w:rPr>
                <w:rFonts w:hint="eastAsia" w:ascii="宋体" w:hAnsi="宋体" w:cs="宋体"/>
                <w:bCs/>
                <w:color w:val="000000" w:themeColor="text1"/>
                <w:kern w:val="0"/>
                <w:sz w:val="24"/>
                <w:lang w:val="zh-CN"/>
                <w14:textFill>
                  <w14:solidFill>
                    <w14:schemeClr w14:val="tx1"/>
                  </w14:solidFill>
                </w14:textFill>
              </w:rPr>
              <w:t>投标文件</w:t>
            </w:r>
            <w:r>
              <w:rPr>
                <w:rFonts w:hint="eastAsia" w:ascii="宋体" w:hAnsi="宋体" w:cs="宋体"/>
                <w:bCs/>
                <w:color w:val="000000" w:themeColor="text1"/>
                <w:sz w:val="24"/>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lang w:val="zh-CN"/>
                <w14:textFill>
                  <w14:solidFill>
                    <w14:schemeClr w14:val="tx1"/>
                  </w14:solidFill>
                </w14:textFill>
              </w:rPr>
              <w:t>投标文件中价格全部采用人民币报价。招标文件未列明，而投标人认为必需的费用也需列入报价。提醒：验收时检测费用由采购人承担，不包含在投标总价中。</w:t>
            </w:r>
          </w:p>
          <w:p w14:paraId="70B1012F">
            <w:pPr>
              <w:snapToGrid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投标报价出现下列情形的，投标无效：</w:t>
            </w:r>
          </w:p>
          <w:p w14:paraId="270E3ED0">
            <w:pPr>
              <w:snapToGrid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投标文件出现不是唯一的、有选择性投标报价的；</w:t>
            </w:r>
          </w:p>
          <w:p w14:paraId="5C44095E">
            <w:pPr>
              <w:snapToGrid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投标报价超过招标文件中规定的预算金额或者最高限价的;</w:t>
            </w:r>
          </w:p>
          <w:p w14:paraId="623B722B">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color w:val="000000" w:themeColor="text1"/>
                <w:sz w:val="24"/>
                <w:szCs w:val="21"/>
                <w14:textFill>
                  <w14:solidFill>
                    <w14:schemeClr w14:val="tx1"/>
                  </w14:solidFill>
                </w14:textFill>
              </w:rPr>
              <w:t>;</w:t>
            </w:r>
          </w:p>
          <w:p w14:paraId="5F569BC7">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投标人对根据修正原则修正后的报价不确认的</w:t>
            </w:r>
            <w:r>
              <w:rPr>
                <w:rFonts w:hint="eastAsia" w:ascii="宋体" w:hAnsi="宋体" w:cs="宋体"/>
                <w:color w:val="000000" w:themeColor="text1"/>
                <w:sz w:val="24"/>
                <w14:textFill>
                  <w14:solidFill>
                    <w14:schemeClr w14:val="tx1"/>
                  </w14:solidFill>
                </w14:textFill>
              </w:rPr>
              <w:t>。</w:t>
            </w:r>
          </w:p>
        </w:tc>
      </w:tr>
      <w:tr w14:paraId="27215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2F9FAD27">
            <w:pPr>
              <w:snapToGrid w:val="0"/>
              <w:spacing w:line="360" w:lineRule="auto"/>
              <w:jc w:val="center"/>
              <w:rPr>
                <w:rFonts w:ascii="宋体" w:hAnsi="宋体" w:cs="宋体"/>
                <w:color w:val="000000" w:themeColor="text1"/>
                <w:sz w:val="24"/>
                <w14:textFill>
                  <w14:solidFill>
                    <w14:schemeClr w14:val="tx1"/>
                  </w14:solidFill>
                </w14:textFill>
              </w:rPr>
            </w:pPr>
          </w:p>
          <w:p w14:paraId="02F0F517">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71A7AD32">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中小企业信用融资</w:t>
            </w:r>
          </w:p>
        </w:tc>
        <w:tc>
          <w:tcPr>
            <w:tcW w:w="7105" w:type="dxa"/>
            <w:tcBorders>
              <w:top w:val="single" w:color="000000" w:sz="8" w:space="0"/>
              <w:left w:val="single" w:color="000000" w:sz="2" w:space="0"/>
              <w:right w:val="single" w:color="000000" w:sz="8" w:space="0"/>
            </w:tcBorders>
            <w:vAlign w:val="center"/>
          </w:tcPr>
          <w:p w14:paraId="2D0CB815">
            <w:pPr>
              <w:spacing w:line="36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68B1CD0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供应商中标后也可在“广西政府采购云”平台申请政采贷：操作路径：登录广西政府采购云平台-金融服务中心-【融资服务】，可在热门申请中选择产品直接申请。</w:t>
            </w:r>
          </w:p>
        </w:tc>
      </w:tr>
      <w:tr w14:paraId="648CD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3CD016F6">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EC8761D">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备份投标文件送达地点和签收人员 </w:t>
            </w:r>
          </w:p>
        </w:tc>
        <w:tc>
          <w:tcPr>
            <w:tcW w:w="7105" w:type="dxa"/>
            <w:tcBorders>
              <w:top w:val="single" w:color="000000" w:sz="8" w:space="0"/>
              <w:left w:val="single" w:color="000000" w:sz="2" w:space="0"/>
              <w:bottom w:val="single" w:color="000000" w:sz="8" w:space="0"/>
              <w:right w:val="single" w:color="000000" w:sz="8" w:space="0"/>
            </w:tcBorders>
            <w:vAlign w:val="center"/>
          </w:tcPr>
          <w:p w14:paraId="752AA4B1">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62900"/>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不接受。</w:t>
            </w:r>
          </w:p>
          <w:p w14:paraId="3A2AC1F4">
            <w:pPr>
              <w:pStyle w:val="32"/>
              <w:spacing w:line="360" w:lineRule="auto"/>
              <w:rPr>
                <w:rFonts w:hAnsi="宋体" w:cs="宋体"/>
                <w:color w:val="000000" w:themeColor="text1"/>
                <w:kern w:val="28"/>
                <w:sz w:val="24"/>
                <w14:textFill>
                  <w14:solidFill>
                    <w14:schemeClr w14:val="tx1"/>
                  </w14:solidFill>
                </w14:textFill>
              </w:rPr>
            </w:pPr>
            <w:sdt>
              <w:sdtPr>
                <w:rPr>
                  <w:rFonts w:hint="eastAsia" w:hAnsi="宋体" w:cs="宋体"/>
                  <w:color w:val="000000" w:themeColor="text1"/>
                  <w:kern w:val="0"/>
                  <w:sz w:val="24"/>
                  <w14:textFill>
                    <w14:solidFill>
                      <w14:schemeClr w14:val="tx1"/>
                    </w14:solidFill>
                  </w14:textFill>
                </w:rPr>
                <w:id w:val="147470254"/>
                <w14:checkbox>
                  <w14:checked w14:val="0"/>
                  <w14:checkedState w14:val="00FE" w14:font="Wingdings"/>
                  <w14:uncheckedState w14:val="2610" w14:font="MS Gothic"/>
                </w14:checkbox>
              </w:sdtPr>
              <w:sdtEndPr>
                <w:rPr>
                  <w:rFonts w:hint="eastAsia" w:hAnsi="宋体" w:cs="宋体"/>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hAnsi="宋体" w:cs="宋体"/>
                <w:color w:val="000000" w:themeColor="text1"/>
                <w:kern w:val="0"/>
                <w:sz w:val="24"/>
                <w14:textFill>
                  <w14:solidFill>
                    <w14:schemeClr w14:val="tx1"/>
                  </w14:solidFill>
                </w14:textFill>
              </w:rPr>
              <w:t>B</w:t>
            </w:r>
            <w:r>
              <w:rPr>
                <w:rFonts w:hint="eastAsia" w:hAnsi="宋体" w:cs="宋体"/>
                <w:color w:val="000000" w:themeColor="text1"/>
                <w:sz w:val="24"/>
                <w14:textFill>
                  <w14:solidFill>
                    <w14:schemeClr w14:val="tx1"/>
                  </w14:solidFill>
                </w14:textFill>
              </w:rPr>
              <w:t>接受</w:t>
            </w:r>
            <w:r>
              <w:rPr>
                <w:rFonts w:hint="eastAsia" w:hAnsi="宋体" w:cs="宋体"/>
                <w:color w:val="000000" w:themeColor="text1"/>
                <w:kern w:val="0"/>
                <w:sz w:val="24"/>
                <w14:textFill>
                  <w14:solidFill>
                    <w14:schemeClr w14:val="tx1"/>
                  </w14:solidFill>
                </w14:textFill>
              </w:rPr>
              <w:t>：</w:t>
            </w:r>
            <w:r>
              <w:rPr>
                <w:rFonts w:hint="eastAsia" w:hAnsi="宋体" w:cs="宋体"/>
                <w:color w:val="000000" w:themeColor="text1"/>
                <w:kern w:val="28"/>
                <w:sz w:val="24"/>
                <w14:textFill>
                  <w14:solidFill>
                    <w14:schemeClr w14:val="tx1"/>
                  </w14:solidFill>
                </w14:textFill>
              </w:rPr>
              <w:t>备份投标文件送达地点：</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kern w:val="28"/>
                <w:sz w:val="24"/>
                <w14:textFill>
                  <w14:solidFill>
                    <w14:schemeClr w14:val="tx1"/>
                  </w14:solidFill>
                </w14:textFill>
              </w:rPr>
              <w:t>；备份投标文件签收人员联系电话：</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w:t>
            </w:r>
            <w:r>
              <w:rPr>
                <w:rFonts w:hint="eastAsia" w:hAnsi="宋体" w:cs="宋体"/>
                <w:b/>
                <w:color w:val="000000" w:themeColor="text1"/>
                <w:sz w:val="24"/>
                <w14:textFill>
                  <w14:solidFill>
                    <w14:schemeClr w14:val="tx1"/>
                  </w14:solidFill>
                </w14:textFill>
              </w:rPr>
              <w:t>采购人、采购代理机构不强制或变相强制投标人提交备份投标文件。</w:t>
            </w:r>
          </w:p>
        </w:tc>
      </w:tr>
      <w:tr w14:paraId="4B172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4ADE7F7C">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1843" w:type="dxa"/>
            <w:vMerge w:val="restart"/>
            <w:tcBorders>
              <w:top w:val="single" w:color="000000" w:sz="8" w:space="0"/>
              <w:left w:val="single" w:color="000000" w:sz="2" w:space="0"/>
              <w:right w:val="single" w:color="000000" w:sz="8" w:space="0"/>
            </w:tcBorders>
            <w:vAlign w:val="center"/>
          </w:tcPr>
          <w:p w14:paraId="5EEE073E">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特别说明</w:t>
            </w:r>
          </w:p>
        </w:tc>
        <w:tc>
          <w:tcPr>
            <w:tcW w:w="7105" w:type="dxa"/>
            <w:tcBorders>
              <w:top w:val="single" w:color="000000" w:sz="8" w:space="0"/>
              <w:left w:val="single" w:color="000000" w:sz="2" w:space="0"/>
              <w:bottom w:val="single" w:color="000000" w:sz="8" w:space="0"/>
              <w:right w:val="single" w:color="000000" w:sz="8" w:space="0"/>
            </w:tcBorders>
            <w:vAlign w:val="center"/>
          </w:tcPr>
          <w:p w14:paraId="5B993562">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w:t>
            </w:r>
          </w:p>
        </w:tc>
      </w:tr>
      <w:tr w14:paraId="173A3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2B17814A">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Merge w:val="continue"/>
            <w:tcBorders>
              <w:left w:val="single" w:color="000000" w:sz="2" w:space="0"/>
              <w:bottom w:val="single" w:color="auto" w:sz="4" w:space="0"/>
              <w:right w:val="single" w:color="000000" w:sz="8" w:space="0"/>
            </w:tcBorders>
            <w:vAlign w:val="center"/>
          </w:tcPr>
          <w:p w14:paraId="0249E772">
            <w:pPr>
              <w:snapToGrid w:val="0"/>
              <w:spacing w:line="360" w:lineRule="auto"/>
              <w:jc w:val="center"/>
              <w:rPr>
                <w:rFonts w:ascii="宋体" w:hAnsi="宋体" w:cs="宋体"/>
                <w:b/>
                <w:color w:val="000000" w:themeColor="text1"/>
                <w:sz w:val="24"/>
                <w14:textFill>
                  <w14:solidFill>
                    <w14:schemeClr w14:val="tx1"/>
                  </w14:solidFill>
                </w14:textFill>
              </w:rPr>
            </w:pPr>
          </w:p>
        </w:tc>
        <w:tc>
          <w:tcPr>
            <w:tcW w:w="7105" w:type="dxa"/>
            <w:tcBorders>
              <w:top w:val="single" w:color="000000" w:sz="8" w:space="0"/>
              <w:left w:val="single" w:color="000000" w:sz="2" w:space="0"/>
              <w:bottom w:val="single" w:color="auto" w:sz="4" w:space="0"/>
              <w:right w:val="single" w:color="000000" w:sz="8" w:space="0"/>
            </w:tcBorders>
            <w:vAlign w:val="center"/>
          </w:tcPr>
          <w:p w14:paraId="50FA7365">
            <w:pPr>
              <w:spacing w:line="360" w:lineRule="auto"/>
              <w:rPr>
                <w:rFonts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ascii="宋体" w:hAnsi="宋体" w:cs="宋体"/>
                <w:snapToGrid w:val="0"/>
                <w:color w:val="000000" w:themeColor="text1"/>
                <w:kern w:val="28"/>
                <w:sz w:val="24"/>
                <w14:textFill>
                  <w14:solidFill>
                    <w14:schemeClr w14:val="tx1"/>
                  </w14:solidFill>
                </w14:textFill>
              </w:rPr>
              <w:t>联合体投标的，联合体各方均需按招标文件第四部分评标标准要求提供资信证明文件，否则视为不符合相关要求。</w:t>
            </w:r>
          </w:p>
          <w:p w14:paraId="099DB504">
            <w:pPr>
              <w:spacing w:line="360" w:lineRule="auto"/>
              <w:rPr>
                <w:rFonts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hint="eastAsia" w:ascii="MS Gothic" w:hAnsi="MS Gothic" w:eastAsia="MS Gothic" w:cs="Arial"/>
                    <w:color w:val="000000" w:themeColor="text1"/>
                    <w:kern w:val="0"/>
                    <w:sz w:val="24"/>
                    <w14:textFill>
                      <w14:solidFill>
                        <w14:schemeClr w14:val="tx1"/>
                      </w14:solidFill>
                    </w14:textFill>
                  </w:rPr>
                  <w:t>☐</w:t>
                </w:r>
              </w:sdtContent>
            </w:sdt>
            <w:r>
              <w:rPr>
                <w:rFonts w:hint="eastAsia" w:ascii="宋体" w:hAnsi="宋体" w:cs="宋体"/>
                <w:snapToGrid w:val="0"/>
                <w:color w:val="000000" w:themeColor="text1"/>
                <w:kern w:val="28"/>
                <w:sz w:val="24"/>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204F3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4A4CBF7">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1843" w:type="dxa"/>
            <w:tcBorders>
              <w:top w:val="single" w:color="auto" w:sz="4" w:space="0"/>
              <w:left w:val="single" w:color="auto" w:sz="4" w:space="0"/>
              <w:bottom w:val="single" w:color="auto" w:sz="4" w:space="0"/>
              <w:right w:val="single" w:color="auto" w:sz="4" w:space="0"/>
            </w:tcBorders>
            <w:vAlign w:val="center"/>
          </w:tcPr>
          <w:p w14:paraId="7300EDAA">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解释权</w:t>
            </w:r>
          </w:p>
        </w:tc>
        <w:tc>
          <w:tcPr>
            <w:tcW w:w="7105" w:type="dxa"/>
            <w:tcBorders>
              <w:top w:val="single" w:color="auto" w:sz="4" w:space="0"/>
              <w:left w:val="single" w:color="auto" w:sz="4" w:space="0"/>
              <w:bottom w:val="single" w:color="auto" w:sz="4" w:space="0"/>
              <w:right w:val="single" w:color="auto" w:sz="4" w:space="0"/>
            </w:tcBorders>
            <w:vAlign w:val="center"/>
          </w:tcPr>
          <w:p w14:paraId="1F89D842">
            <w:pPr>
              <w:spacing w:line="360" w:lineRule="auto"/>
              <w:rPr>
                <w:rFonts w:cs="Arial" w:asciiTheme="minorEastAsia" w:hAnsiTheme="minorEastAsia" w:eastAsiaTheme="minorEastAsia"/>
                <w:color w:val="000000" w:themeColor="text1"/>
                <w:kern w:val="0"/>
                <w:sz w:val="24"/>
                <w14:textFill>
                  <w14:solidFill>
                    <w14:schemeClr w14:val="tx1"/>
                  </w14:solidFill>
                </w14:textFill>
              </w:rPr>
            </w:pPr>
            <w:r>
              <w:rPr>
                <w:rFonts w:hint="eastAsia" w:cs="Arial" w:asciiTheme="minorEastAsia" w:hAnsiTheme="minorEastAsia" w:eastAsiaTheme="minorEastAsia"/>
                <w:color w:val="000000" w:themeColor="text1"/>
                <w:kern w:val="0"/>
                <w:sz w:val="24"/>
                <w14:textFill>
                  <w14:solidFill>
                    <w14:schemeClr w14:val="tx1"/>
                  </w14:solidFill>
                </w14:textFill>
              </w:rPr>
              <w:t>本招标文件解释权属采购人及代理机构。</w:t>
            </w:r>
          </w:p>
        </w:tc>
      </w:tr>
    </w:tbl>
    <w:p w14:paraId="794E893B">
      <w:pPr>
        <w:snapToGrid w:val="0"/>
        <w:spacing w:line="360" w:lineRule="auto"/>
        <w:jc w:val="center"/>
        <w:rPr>
          <w:rFonts w:ascii="宋体" w:hAnsi="宋体" w:cs="宋体"/>
          <w:b/>
          <w:color w:val="auto"/>
          <w:sz w:val="32"/>
          <w:szCs w:val="20"/>
          <w:highlight w:val="none"/>
        </w:rPr>
      </w:pPr>
    </w:p>
    <w:bookmarkEnd w:id="11"/>
    <w:p w14:paraId="2FD7CCD0">
      <w:pPr>
        <w:adjustRightInd/>
        <w:spacing w:line="360" w:lineRule="auto"/>
        <w:ind w:firstLine="3845" w:firstLineChars="1197"/>
        <w:outlineLvl w:val="1"/>
        <w:rPr>
          <w:rFonts w:ascii="宋体" w:hAnsi="宋体" w:cs="宋体"/>
          <w:b/>
          <w:color w:val="auto"/>
          <w:sz w:val="32"/>
          <w:szCs w:val="20"/>
          <w:highlight w:val="none"/>
        </w:rPr>
      </w:pPr>
      <w:bookmarkStart w:id="18" w:name="第三部分"/>
      <w:bookmarkStart w:id="19" w:name="_Toc164416483"/>
      <w:r>
        <w:rPr>
          <w:rFonts w:hint="eastAsia" w:ascii="宋体" w:hAnsi="宋体" w:cs="宋体"/>
          <w:b/>
          <w:color w:val="auto"/>
          <w:sz w:val="32"/>
          <w:szCs w:val="20"/>
          <w:highlight w:val="none"/>
        </w:rPr>
        <w:t>一、总则</w:t>
      </w:r>
    </w:p>
    <w:p w14:paraId="52AD18BB">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1. 适用范围</w:t>
      </w:r>
    </w:p>
    <w:p w14:paraId="4A6880D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D4DE2CC">
      <w:pPr>
        <w:adjustRightInd/>
        <w:spacing w:line="360" w:lineRule="auto"/>
        <w:rPr>
          <w:rFonts w:ascii="宋体" w:hAnsi="宋体" w:cs="宋体"/>
          <w:b/>
          <w:color w:val="auto"/>
          <w:sz w:val="24"/>
          <w:highlight w:val="none"/>
        </w:rPr>
      </w:pPr>
      <w:r>
        <w:rPr>
          <w:rFonts w:hint="eastAsia" w:ascii="宋体" w:hAnsi="宋体" w:cs="宋体"/>
          <w:b/>
          <w:color w:val="auto"/>
          <w:sz w:val="24"/>
          <w:highlight w:val="none"/>
        </w:rPr>
        <w:t>2.定义</w:t>
      </w:r>
    </w:p>
    <w:p w14:paraId="236494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17C2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64BF91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C631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“法定代表人（负责人）”系指法人企业的法定负责人，或其他组织为法律、行政法规规定代表单位行使职权的主要负责人，或自然人本人。</w:t>
      </w:r>
    </w:p>
    <w:p w14:paraId="500497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0110B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CA签章。</w:t>
      </w:r>
    </w:p>
    <w:p w14:paraId="014A6F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2.6“电子交易平台”系指本项目政府采购活动所依托的广西政府采购云平台（https://www.gcy.zfcg.gxzf.gov.cn/）。</w:t>
      </w:r>
    </w:p>
    <w:p w14:paraId="08C99C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宋体" w:hAnsi="宋体" w:cs="宋体"/>
          <w:color w:val="auto"/>
          <w:kern w:val="0"/>
          <w:sz w:val="24"/>
          <w:highlight w:val="none"/>
        </w:rPr>
        <w:sym w:font="Wingdings" w:char="F0FE"/>
      </w:r>
      <w:r>
        <w:rPr>
          <w:rFonts w:ascii="宋体" w:hAnsi="宋体" w:cs="宋体"/>
          <w:color w:val="auto"/>
          <w:kern w:val="0"/>
          <w:sz w:val="24"/>
          <w:highlight w:val="none"/>
        </w:rPr>
        <w:t>”</w:t>
      </w:r>
      <w:r>
        <w:rPr>
          <w:rFonts w:hint="eastAsia" w:ascii="宋体" w:hAnsi="宋体" w:cs="宋体"/>
          <w:color w:val="auto"/>
          <w:sz w:val="24"/>
          <w:highlight w:val="none"/>
        </w:rPr>
        <w:t>系指适用本项目的要求，“</w:t>
      </w:r>
      <w:r>
        <w:rPr>
          <w:rFonts w:hint="eastAsia" w:ascii="宋体" w:hAnsi="宋体" w:cs="宋体"/>
          <w:color w:val="auto"/>
          <w:kern w:val="0"/>
          <w:sz w:val="24"/>
          <w:highlight w:val="none"/>
        </w:rPr>
        <w:t>□</w:t>
      </w:r>
      <w:r>
        <w:rPr>
          <w:rFonts w:ascii="宋体" w:hAnsi="宋体" w:cs="宋体"/>
          <w:color w:val="auto"/>
          <w:kern w:val="0"/>
          <w:sz w:val="24"/>
          <w:highlight w:val="none"/>
        </w:rPr>
        <w:t>”</w:t>
      </w:r>
      <w:r>
        <w:rPr>
          <w:rFonts w:hint="eastAsia" w:ascii="宋体" w:hAnsi="宋体" w:cs="宋体"/>
          <w:color w:val="auto"/>
          <w:sz w:val="24"/>
          <w:highlight w:val="none"/>
        </w:rPr>
        <w:t>系指不适用本项目的要求。</w:t>
      </w:r>
    </w:p>
    <w:p w14:paraId="0ED45997">
      <w:pPr>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E1A42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31B19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00867D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5B3BEA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79B56C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0"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C7291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20"/>
    </w:p>
    <w:p w14:paraId="6EAFD5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60D18B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05854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E7FD207">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53A4DA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EF166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3.3.3对于未预留份额专门面向中小企业采购的政府采购项目，以及预留份额政府采购项目中的非预留部分标项，对小型和微型企业的投标报价给予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%的扣除，用扣除后的价格参与评审。接受大中型企业与小微企业组成联合体或者允许大中型企业向一家或者多家小微企业分包的政府采购项目，对于</w:t>
      </w:r>
      <w:bookmarkStart w:id="21" w:name="_Hlk101132181"/>
      <w:r>
        <w:rPr>
          <w:rFonts w:hint="eastAsia" w:ascii="宋体" w:hAnsi="宋体" w:cs="宋体"/>
          <w:color w:val="auto"/>
          <w:sz w:val="24"/>
          <w:highlight w:val="none"/>
        </w:rPr>
        <w:t>联合协议或者分包意向协议约定小微企业的合同份额占到合同总金额30%以上的</w:t>
      </w:r>
      <w:bookmarkEnd w:id="21"/>
      <w:r>
        <w:rPr>
          <w:rFonts w:hint="eastAsia" w:ascii="宋体" w:hAnsi="宋体" w:cs="宋体"/>
          <w:color w:val="auto"/>
          <w:sz w:val="24"/>
          <w:highlight w:val="none"/>
        </w:rPr>
        <w:t>，对联合体或者大中型企业的报价给予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3D5494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E1164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A4292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C6D6B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E5C23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145BB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6295A2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4D23ED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w:t>
      </w:r>
    </w:p>
    <w:p w14:paraId="3E373E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32F62CAE">
      <w:pPr>
        <w:pStyle w:val="82"/>
        <w:rPr>
          <w:bCs/>
          <w:color w:val="auto"/>
          <w:highlight w:val="none"/>
        </w:rPr>
      </w:pPr>
      <w:r>
        <w:rPr>
          <w:rFonts w:hint="eastAsia"/>
          <w:color w:val="auto"/>
          <w:highlight w:val="none"/>
        </w:rPr>
        <w:t>3.6平等对待符合条件的破产重整企业</w:t>
      </w:r>
    </w:p>
    <w:p w14:paraId="618F25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平等对待符合条件的破产重整企业，切实保障企业公平竞争，平等维护企业的合法利益。</w:t>
      </w:r>
    </w:p>
    <w:p w14:paraId="058C6978">
      <w:pPr>
        <w:spacing w:line="360" w:lineRule="auto"/>
        <w:ind w:firstLine="482" w:firstLineChars="200"/>
        <w:rPr>
          <w:rFonts w:asciiTheme="minorEastAsia" w:hAnsiTheme="minorEastAsia" w:eastAsiaTheme="minorEastAsia"/>
          <w:b/>
          <w:color w:val="auto"/>
          <w:highlight w:val="none"/>
        </w:rPr>
      </w:pPr>
      <w:r>
        <w:rPr>
          <w:rFonts w:hint="eastAsia" w:ascii="宋体" w:hAnsi="宋体"/>
          <w:b/>
          <w:color w:val="auto"/>
          <w:sz w:val="24"/>
          <w:highlight w:val="none"/>
        </w:rPr>
        <w:t>4. 询问、质疑、投诉</w:t>
      </w:r>
    </w:p>
    <w:p w14:paraId="689A094C">
      <w:pPr>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4.1在线询问、质疑、投诉</w:t>
      </w:r>
    </w:p>
    <w:p w14:paraId="79B2414E">
      <w:pPr>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20CC055C">
      <w:pPr>
        <w:pStyle w:val="82"/>
        <w:rPr>
          <w:color w:val="auto"/>
          <w:highlight w:val="none"/>
        </w:rPr>
      </w:pPr>
      <w:r>
        <w:rPr>
          <w:rFonts w:hint="eastAsia"/>
          <w:color w:val="auto"/>
          <w:highlight w:val="none"/>
        </w:rPr>
        <w:t>询问联系部门：北海市政府采购中心采购</w:t>
      </w:r>
      <w:r>
        <w:rPr>
          <w:rFonts w:hint="eastAsia"/>
          <w:color w:val="auto"/>
          <w:highlight w:val="none"/>
          <w:lang w:eastAsia="zh-CN"/>
        </w:rPr>
        <w:t>一</w:t>
      </w:r>
      <w:r>
        <w:rPr>
          <w:rFonts w:hint="eastAsia"/>
          <w:color w:val="auto"/>
          <w:highlight w:val="none"/>
        </w:rPr>
        <w:t>科   联系电话：</w:t>
      </w:r>
      <w:r>
        <w:rPr>
          <w:rFonts w:hint="eastAsia"/>
          <w:color w:val="auto"/>
          <w:highlight w:val="none"/>
          <w:lang w:eastAsia="zh-CN"/>
        </w:rPr>
        <w:t>0779-3071101</w:t>
      </w:r>
      <w:r>
        <w:rPr>
          <w:rFonts w:hint="eastAsia"/>
          <w:color w:val="auto"/>
          <w:highlight w:val="none"/>
        </w:rPr>
        <w:t xml:space="preserve">  地址：</w:t>
      </w:r>
      <w:r>
        <w:rPr>
          <w:rFonts w:hint="eastAsia" w:cs="宋体"/>
          <w:color w:val="auto"/>
          <w:highlight w:val="none"/>
        </w:rPr>
        <w:t>北海市海城区陈文村北路7号市直机关第三办公区</w:t>
      </w:r>
    </w:p>
    <w:p w14:paraId="3C9DCCCB">
      <w:pPr>
        <w:pStyle w:val="82"/>
        <w:rPr>
          <w:color w:val="auto"/>
          <w:highlight w:val="none"/>
        </w:rPr>
      </w:pPr>
      <w:r>
        <w:rPr>
          <w:rFonts w:hint="eastAsia"/>
          <w:color w:val="auto"/>
          <w:highlight w:val="none"/>
        </w:rPr>
        <w:t>质疑联系部门：北海市政府采购中心监督科   联系电话：</w:t>
      </w:r>
      <w:r>
        <w:rPr>
          <w:color w:val="auto"/>
          <w:highlight w:val="none"/>
        </w:rPr>
        <w:t>0779-3960826</w:t>
      </w:r>
      <w:r>
        <w:rPr>
          <w:rFonts w:hint="eastAsia"/>
          <w:color w:val="auto"/>
          <w:highlight w:val="none"/>
        </w:rPr>
        <w:t xml:space="preserve">    地址：</w:t>
      </w:r>
      <w:r>
        <w:rPr>
          <w:rFonts w:hint="eastAsia" w:cs="宋体"/>
          <w:color w:val="auto"/>
          <w:highlight w:val="none"/>
        </w:rPr>
        <w:t>北海市海城区陈文村北路7号市直机关第三办公区</w:t>
      </w:r>
    </w:p>
    <w:p w14:paraId="307E94F0">
      <w:pPr>
        <w:pStyle w:val="82"/>
        <w:rPr>
          <w:color w:val="auto"/>
          <w:highlight w:val="none"/>
        </w:rPr>
      </w:pPr>
      <w:r>
        <w:rPr>
          <w:rFonts w:hint="eastAsia"/>
          <w:color w:val="auto"/>
          <w:highlight w:val="none"/>
        </w:rPr>
        <w:t>投诉联系部门：北海市财政局        联系电话：</w:t>
      </w:r>
      <w:r>
        <w:rPr>
          <w:color w:val="auto"/>
          <w:highlight w:val="none"/>
        </w:rPr>
        <w:t>0779-3063975</w:t>
      </w:r>
      <w:r>
        <w:rPr>
          <w:rFonts w:hint="eastAsia"/>
          <w:color w:val="auto"/>
          <w:highlight w:val="none"/>
        </w:rPr>
        <w:t xml:space="preserve">       </w:t>
      </w:r>
    </w:p>
    <w:p w14:paraId="70DFE301">
      <w:pPr>
        <w:pStyle w:val="82"/>
        <w:ind w:firstLine="0"/>
        <w:rPr>
          <w:color w:val="auto"/>
          <w:highlight w:val="none"/>
        </w:rPr>
      </w:pPr>
      <w:r>
        <w:rPr>
          <w:rFonts w:hint="eastAsia"/>
          <w:color w:val="auto"/>
          <w:highlight w:val="none"/>
        </w:rPr>
        <w:t xml:space="preserve">  地址：北海市海城区北部湾西路</w:t>
      </w:r>
      <w:r>
        <w:rPr>
          <w:color w:val="auto"/>
          <w:highlight w:val="none"/>
        </w:rPr>
        <w:t>19</w:t>
      </w:r>
      <w:r>
        <w:rPr>
          <w:rFonts w:hint="eastAsia"/>
          <w:color w:val="auto"/>
          <w:highlight w:val="none"/>
        </w:rPr>
        <w:t>号</w:t>
      </w:r>
      <w:r>
        <w:rPr>
          <w:rFonts w:ascii="MS Mincho" w:hAnsi="MS Mincho" w:cs="MS Mincho"/>
          <w:color w:val="auto"/>
          <w:highlight w:val="none"/>
        </w:rPr>
        <w:t>‌</w:t>
      </w:r>
    </w:p>
    <w:p w14:paraId="31D8E5C1">
      <w:pPr>
        <w:pStyle w:val="886"/>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4.2供应商询问</w:t>
      </w:r>
    </w:p>
    <w:p w14:paraId="5791C5DB">
      <w:pPr>
        <w:pStyle w:val="886"/>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8B8DEF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300F8B80">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33E5F005">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59ECA8B">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8BEA768">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19896FA">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ACA81A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74C9037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561CFFAA">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75CAF58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5176CB2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1468391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880686A">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269EA24">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178C45A5">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6DA1A9D2">
      <w:pPr>
        <w:pStyle w:val="886"/>
        <w:shd w:val="clear" w:color="auto" w:fill="FFFFFF"/>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229A25B4">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4.3.6根据采购人与采购代理机构签订的采购委托协议，质疑答复责任主体如下：</w:t>
      </w:r>
      <w:r>
        <w:rPr>
          <w:rFonts w:asciiTheme="minorEastAsia" w:hAnsiTheme="minorEastAsia" w:eastAsiaTheme="minorEastAsia"/>
          <w:color w:val="auto"/>
          <w:sz w:val="24"/>
          <w:highlight w:val="none"/>
        </w:rPr>
        <w:t xml:space="preserve"> </w:t>
      </w:r>
    </w:p>
    <w:p w14:paraId="766C118B">
      <w:pPr>
        <w:widowControl/>
        <w:adjustRightInd/>
        <w:spacing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51BC6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gridSpan w:val="2"/>
            <w:tcBorders>
              <w:top w:val="single" w:color="auto" w:sz="4" w:space="0"/>
              <w:left w:val="single" w:color="auto" w:sz="4" w:space="0"/>
              <w:bottom w:val="single" w:color="auto" w:sz="4" w:space="0"/>
              <w:right w:val="single" w:color="auto" w:sz="4" w:space="0"/>
            </w:tcBorders>
            <w:vAlign w:val="center"/>
          </w:tcPr>
          <w:p w14:paraId="6D0538AB">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tcBorders>
              <w:top w:val="single" w:color="auto" w:sz="4" w:space="0"/>
              <w:left w:val="single" w:color="auto" w:sz="4" w:space="0"/>
              <w:bottom w:val="single" w:color="auto" w:sz="4" w:space="0"/>
              <w:right w:val="single" w:color="auto" w:sz="4" w:space="0"/>
            </w:tcBorders>
            <w:vAlign w:val="center"/>
          </w:tcPr>
          <w:p w14:paraId="759C3D31">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6A99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35BE48CA">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678DCCFF">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6A935EB8">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37744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CC55B60">
            <w:pPr>
              <w:widowControl/>
              <w:adjustRightInd/>
              <w:spacing w:line="360" w:lineRule="auto"/>
              <w:jc w:val="left"/>
              <w:rPr>
                <w:rFonts w:asciiTheme="minorEastAsia" w:hAnsiTheme="minorEastAsia" w:eastAsiaTheme="minorEastAsia"/>
                <w:color w:val="auto"/>
                <w:sz w:val="24"/>
                <w:szCs w:val="20"/>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14:paraId="593E92D8">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61EB008D">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4B26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28920E77">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68C643F9">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2DDD4B27">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588D7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D61D020">
            <w:pPr>
              <w:widowControl/>
              <w:adjustRightInd/>
              <w:spacing w:line="360" w:lineRule="auto"/>
              <w:jc w:val="left"/>
              <w:rPr>
                <w:rFonts w:asciiTheme="minorEastAsia" w:hAnsiTheme="minorEastAsia" w:eastAsiaTheme="minorEastAsia"/>
                <w:color w:val="auto"/>
                <w:sz w:val="24"/>
                <w:szCs w:val="20"/>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14:paraId="2438376C">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2947E4F2">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5F0B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Borders>
              <w:top w:val="single" w:color="auto" w:sz="4" w:space="0"/>
              <w:left w:val="single" w:color="auto" w:sz="4" w:space="0"/>
              <w:bottom w:val="single" w:color="auto" w:sz="4" w:space="0"/>
              <w:right w:val="single" w:color="auto" w:sz="4" w:space="0"/>
            </w:tcBorders>
            <w:vAlign w:val="center"/>
          </w:tcPr>
          <w:p w14:paraId="6ED3A60A">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605E82B2">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42E47951">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4A96FDF0">
      <w:pPr>
        <w:pStyle w:val="886"/>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注：</w:t>
      </w:r>
      <w:r>
        <w:rPr>
          <w:rFonts w:hint="eastAsia" w:asciiTheme="minorEastAsia" w:hAnsiTheme="minorEastAsia" w:eastAsiaTheme="minorEastAsia"/>
          <w:color w:val="auto"/>
          <w:highlight w:val="none"/>
        </w:rPr>
        <w:t>采购人或代理机构应当协助质疑答复责任主体及时答复</w:t>
      </w:r>
      <w:r>
        <w:rPr>
          <w:rFonts w:hint="eastAsia"/>
          <w:color w:val="auto"/>
          <w:highlight w:val="none"/>
        </w:rPr>
        <w:t>供应商的书面质疑。</w:t>
      </w:r>
    </w:p>
    <w:p w14:paraId="611AD157">
      <w:pPr>
        <w:pStyle w:val="886"/>
        <w:shd w:val="clear" w:color="auto" w:fill="FFFFFF"/>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.7询问或者质疑事项可能影响采购结果的，采购人应当暂停签订合同，已经签订合同的，应当中止履行合同。</w:t>
      </w:r>
    </w:p>
    <w:p w14:paraId="3A98AB36">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7DF1ED2">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4779C822">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77E7E43">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5066245C">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4.4.4 以联合体形式参加政府采购活动的，其投诉应当由组成联合体的所有供应商共同提出。</w:t>
      </w:r>
    </w:p>
    <w:p w14:paraId="6DB2352A">
      <w:pPr>
        <w:adjustRightInd/>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0804E74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15825FF">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6162B0F">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5.1.1招标公告；</w:t>
      </w:r>
    </w:p>
    <w:p w14:paraId="0C5AAE4B">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5.1.2投标人须知；</w:t>
      </w:r>
    </w:p>
    <w:p w14:paraId="7DA4D38A">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5.1.3采购需求；</w:t>
      </w:r>
    </w:p>
    <w:p w14:paraId="431D8BFB">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5.1.4评标办法；</w:t>
      </w:r>
    </w:p>
    <w:p w14:paraId="0EC6A7A7">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5.1.5拟签订的合同文本；</w:t>
      </w:r>
    </w:p>
    <w:p w14:paraId="6FEC5BA6">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57065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38A84A2">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31880FE">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3ED20960">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3E9986A">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3D89C8EF">
      <w:pPr>
        <w:adjustRightInd/>
        <w:spacing w:line="360" w:lineRule="auto"/>
        <w:jc w:val="center"/>
        <w:outlineLvl w:val="1"/>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0DBD0B1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41CA37A1">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502DF4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36B9F394">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71C827A">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239240FC">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本项目不收取投标保证金。</w:t>
      </w:r>
    </w:p>
    <w:p w14:paraId="34587A4D">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1A6BD32A">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0378FB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34E413D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61051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8BC13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22" w:name="_Hlk101259339"/>
      <w:r>
        <w:rPr>
          <w:rFonts w:hint="eastAsia" w:ascii="宋体" w:hAnsi="宋体" w:cs="宋体"/>
          <w:snapToGrid w:val="0"/>
          <w:color w:val="auto"/>
          <w:kern w:val="28"/>
          <w:sz w:val="24"/>
          <w:szCs w:val="20"/>
          <w:highlight w:val="none"/>
        </w:rPr>
        <w:t>联合协议</w:t>
      </w:r>
      <w:bookmarkEnd w:id="22"/>
      <w:r>
        <w:rPr>
          <w:rFonts w:hint="eastAsia" w:ascii="宋体" w:hAnsi="宋体" w:cs="宋体"/>
          <w:snapToGrid w:val="0"/>
          <w:color w:val="auto"/>
          <w:kern w:val="28"/>
          <w:sz w:val="24"/>
          <w:szCs w:val="20"/>
          <w:highlight w:val="none"/>
        </w:rPr>
        <w:t>（如果有)；</w:t>
      </w:r>
    </w:p>
    <w:p w14:paraId="52C5DF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FB9072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124A5AF">
      <w:pPr>
        <w:snapToGrid w:val="0"/>
        <w:spacing w:line="360" w:lineRule="auto"/>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11.</w:t>
      </w:r>
      <w:r>
        <w:rPr>
          <w:rFonts w:hint="eastAsia" w:ascii="宋体" w:hAnsi="宋体" w:cs="宋体"/>
          <w:b/>
          <w:color w:val="auto"/>
          <w:sz w:val="24"/>
          <w:highlight w:val="none"/>
        </w:rPr>
        <w:t>2</w:t>
      </w:r>
      <w:r>
        <w:rPr>
          <w:rFonts w:hint="eastAsia" w:ascii="宋体" w:hAnsi="宋体" w:cs="宋体"/>
          <w:b/>
          <w:color w:val="auto"/>
          <w:sz w:val="24"/>
          <w:highlight w:val="none"/>
          <w:lang w:val="zh-CN"/>
        </w:rPr>
        <w:t xml:space="preserve">  </w:t>
      </w:r>
      <w:r>
        <w:rPr>
          <w:rFonts w:hint="eastAsia" w:ascii="宋体" w:hAnsi="宋体" w:cs="宋体"/>
          <w:b/>
          <w:color w:val="auto"/>
          <w:sz w:val="24"/>
          <w:highlight w:val="none"/>
        </w:rPr>
        <w:t>商务技术</w:t>
      </w:r>
      <w:r>
        <w:rPr>
          <w:rFonts w:hint="eastAsia" w:ascii="宋体" w:hAnsi="宋体" w:cs="宋体"/>
          <w:b/>
          <w:color w:val="auto"/>
          <w:sz w:val="24"/>
          <w:highlight w:val="none"/>
          <w:lang w:val="zh-CN"/>
        </w:rPr>
        <w:t>文件：</w:t>
      </w:r>
    </w:p>
    <w:p w14:paraId="0C6457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62631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3283FD3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C7778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DAF91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E647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9D2F3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2D95DEA">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422090E">
      <w:pPr>
        <w:pStyle w:val="82"/>
        <w:rPr>
          <w:color w:val="auto"/>
          <w:highlight w:val="none"/>
        </w:rPr>
      </w:pPr>
      <w:r>
        <w:rPr>
          <w:rFonts w:hint="eastAsia"/>
          <w:color w:val="auto"/>
          <w:highlight w:val="none"/>
        </w:rPr>
        <w:t>▲11.2.9承诺函。</w:t>
      </w:r>
    </w:p>
    <w:p w14:paraId="66406627">
      <w:pPr>
        <w:snapToGrid w:val="0"/>
        <w:spacing w:line="360" w:lineRule="auto"/>
        <w:ind w:firstLine="482" w:firstLineChars="200"/>
        <w:rPr>
          <w:rFonts w:ascii="宋体" w:hAnsi="宋体" w:cs="宋体"/>
          <w:color w:val="auto"/>
          <w:sz w:val="24"/>
          <w:highlight w:val="none"/>
          <w:u w:val="single"/>
          <w:lang w:val="zh-CN"/>
        </w:rPr>
      </w:pPr>
      <w:r>
        <w:rPr>
          <w:rFonts w:hint="eastAsia" w:ascii="宋体" w:hAnsi="宋体" w:cs="宋体"/>
          <w:b/>
          <w:color w:val="auto"/>
          <w:kern w:val="0"/>
          <w:sz w:val="24"/>
          <w:highlight w:val="none"/>
          <w:lang w:val="zh-CN"/>
        </w:rPr>
        <w:t>11.</w:t>
      </w:r>
      <w:r>
        <w:rPr>
          <w:rFonts w:hint="eastAsia" w:ascii="宋体" w:hAnsi="宋体" w:cs="宋体"/>
          <w:b/>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18888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▲11.3.1开标一览表（报价表）；</w:t>
      </w:r>
    </w:p>
    <w:p w14:paraId="49B170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11.3.2中小企业声明函。</w:t>
      </w:r>
    </w:p>
    <w:p w14:paraId="51D6456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4724C50">
      <w:pPr>
        <w:spacing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0706777E">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2F7B9AF">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532735D">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广西政府采购云平台电子交易客户端”，并按照招标文件和电子交易平台的要求编制并加密投标文件。投标人未按规定加密的投标文件，电子交易平台将拒收并提示。</w:t>
      </w:r>
    </w:p>
    <w:p w14:paraId="17C3F21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12.3使用“广西政府采购云平台电子交易客户端”需要提前申领CA数字证书，申领流程请自行前往“</w:t>
      </w:r>
      <w:r>
        <w:rPr>
          <w:rFonts w:hint="eastAsia" w:ascii="宋体" w:hAnsi="宋体" w:cs="宋体"/>
          <w:color w:val="auto"/>
          <w:sz w:val="24"/>
          <w:highlight w:val="none"/>
        </w:rPr>
        <w:t>广西政府采购网（http://zfcg.gxzf.gov.cn/）—办事服务—下载专区</w:t>
      </w:r>
      <w:r>
        <w:rPr>
          <w:rFonts w:hint="eastAsia" w:ascii="宋体" w:hAnsi="宋体" w:cs="宋体"/>
          <w:color w:val="auto"/>
          <w:kern w:val="0"/>
          <w:sz w:val="24"/>
          <w:highlight w:val="none"/>
          <w:lang w:val="zh-CN"/>
        </w:rPr>
        <w:t>”进行查阅。</w:t>
      </w:r>
    </w:p>
    <w:p w14:paraId="4561658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03402B3F">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469FC20">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13.2为确保网上操作合法、有效和安全，投标人应当在投标截止时间前完成在“广西政府采购云平台”的身份认证，确保在电子投标过程中能够对相关数据电文进行加密和使用电子签名。</w:t>
      </w:r>
    </w:p>
    <w:p w14:paraId="21218A8D">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13.3招标文件对投标文件签署、盖章的要求适用于电子签名、CA签章以及招标文件明确允许的其他方式。</w:t>
      </w:r>
    </w:p>
    <w:p w14:paraId="0218CF61">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1C18DEF">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D3D9F64">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135B4A0">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ED5D2A2">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4BBBFAF">
      <w:pPr>
        <w:pStyle w:val="32"/>
        <w:spacing w:line="360" w:lineRule="auto"/>
        <w:ind w:firstLine="477" w:firstLineChars="199"/>
        <w:rPr>
          <w:rFonts w:hAnsi="宋体" w:cs="宋体"/>
          <w:b/>
          <w:color w:val="auto"/>
          <w:sz w:val="24"/>
          <w:szCs w:val="24"/>
          <w:highlight w:val="none"/>
        </w:rPr>
      </w:pPr>
      <w:r>
        <w:rPr>
          <w:rFonts w:hint="eastAsia" w:hAnsi="宋体" w:cs="宋体"/>
          <w:color w:val="auto"/>
          <w:sz w:val="24"/>
          <w:szCs w:val="24"/>
          <w:highlight w:val="none"/>
        </w:rPr>
        <w:t>本项目为全流程电子化项目，不接收备份文件。</w:t>
      </w:r>
    </w:p>
    <w:p w14:paraId="4B27AD38">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C6C5F22">
      <w:pPr>
        <w:pStyle w:val="24"/>
        <w:spacing w:line="360" w:lineRule="auto"/>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1DF84C26">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0602A053">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17.1投标有效期为从提交投标文件的截止之日起60天。▲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33BEEFB7">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695EEB1">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70B56E5">
      <w:pPr>
        <w:pStyle w:val="128"/>
        <w:spacing w:before="0"/>
        <w:ind w:firstLine="643"/>
        <w:rPr>
          <w:rFonts w:ascii="宋体" w:hAnsi="宋体" w:cs="宋体"/>
          <w:b/>
          <w:color w:val="auto"/>
          <w:sz w:val="32"/>
          <w:highlight w:val="none"/>
        </w:rPr>
      </w:pPr>
    </w:p>
    <w:p w14:paraId="657EB14E">
      <w:pPr>
        <w:pStyle w:val="128"/>
        <w:spacing w:before="0"/>
        <w:ind w:firstLine="1928" w:firstLineChars="600"/>
        <w:outlineLvl w:val="1"/>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D4B9D8C">
      <w:pPr>
        <w:pStyle w:val="554"/>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38AA24A0">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09BACF7A">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67A3D2E3">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3DE5F10">
      <w:pPr>
        <w:widowControl/>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175E55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187C6EBE">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3D770B5">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0432A3D1">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226D4749">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49A69C75">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highlight w:val="none"/>
        </w:rPr>
        <w:t>采购人或采购代理机构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7596679C">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80EC5EF">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8933C73">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2F744D2">
      <w:pPr>
        <w:pStyle w:val="128"/>
        <w:spacing w:before="0"/>
        <w:ind w:firstLine="0" w:firstLineChars="0"/>
        <w:rPr>
          <w:rFonts w:ascii="宋体" w:hAnsi="宋体" w:cs="宋体"/>
          <w:color w:val="auto"/>
          <w:kern w:val="0"/>
          <w:szCs w:val="24"/>
          <w:highlight w:val="none"/>
        </w:rPr>
      </w:pPr>
    </w:p>
    <w:p w14:paraId="3784C8CD">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7AA5F97B">
      <w:pPr>
        <w:spacing w:line="360" w:lineRule="auto"/>
        <w:rPr>
          <w:rFonts w:ascii="宋体" w:hAnsi="宋体" w:cs="宋体"/>
          <w:b/>
          <w:color w:val="auto"/>
          <w:sz w:val="24"/>
          <w:highlight w:val="none"/>
        </w:rPr>
      </w:pPr>
      <w:bookmarkStart w:id="23" w:name="_Toc91899903"/>
      <w:r>
        <w:rPr>
          <w:rFonts w:hint="eastAsia" w:ascii="宋体" w:hAnsi="宋体" w:cs="宋体"/>
          <w:b/>
          <w:color w:val="auto"/>
          <w:sz w:val="24"/>
          <w:highlight w:val="none"/>
        </w:rPr>
        <w:t>21.评标</w:t>
      </w:r>
    </w:p>
    <w:p w14:paraId="49E7C5BC">
      <w:pPr>
        <w:pStyle w:val="82"/>
        <w:rPr>
          <w:color w:val="auto"/>
          <w:highlight w:val="none"/>
        </w:rPr>
      </w:pPr>
      <w:r>
        <w:rPr>
          <w:rFonts w:hint="eastAsia"/>
          <w:color w:val="auto"/>
          <w:highlight w:val="none"/>
        </w:rPr>
        <w:t>21.1本招标采购项目的评标委员会由采购人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p>
    <w:p w14:paraId="4FC7C749">
      <w:pPr>
        <w:pStyle w:val="82"/>
        <w:rPr>
          <w:rFonts w:cs="宋体"/>
          <w:b/>
          <w:color w:val="auto"/>
          <w:highlight w:val="none"/>
        </w:rPr>
      </w:pPr>
      <w:r>
        <w:rPr>
          <w:rFonts w:hint="eastAsia" w:cs="宋体"/>
          <w:b/>
          <w:color w:val="auto"/>
          <w:highlight w:val="none"/>
        </w:rPr>
        <w:t>21.2</w:t>
      </w:r>
      <w:r>
        <w:rPr>
          <w:rFonts w:hint="eastAsia" w:cs="宋体"/>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b/>
          <w:color w:val="auto"/>
          <w:highlight w:val="none"/>
        </w:rPr>
        <w:t>详见招标文件第四部分评标办法。</w:t>
      </w:r>
    </w:p>
    <w:p w14:paraId="6B499600">
      <w:pPr>
        <w:pStyle w:val="82"/>
        <w:rPr>
          <w:color w:val="auto"/>
          <w:highlight w:val="none"/>
        </w:rPr>
      </w:pPr>
    </w:p>
    <w:p w14:paraId="075B9242">
      <w:pPr>
        <w:spacing w:line="360" w:lineRule="auto"/>
        <w:rPr>
          <w:rFonts w:ascii="宋体" w:hAnsi="宋体" w:cs="宋体"/>
          <w:b/>
          <w:color w:val="auto"/>
          <w:sz w:val="24"/>
          <w:highlight w:val="none"/>
        </w:rPr>
      </w:pPr>
    </w:p>
    <w:p w14:paraId="5D09E03F">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5C95D446">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26CCD24">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中标通知书和中标结果公告应当在规定时间内同时发出。</w:t>
      </w:r>
    </w:p>
    <w:p w14:paraId="0000270E">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A2EA2A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06112CD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评审专家抽取规则、未中标情况说明、中标公告期限以及评审专家名单。项目采购采用最低评标价法的，公告中标结果时应当同时公告因落实政府采购政策等原因进行价格扣除后中标供应商和未中标供应商的评审报价及排名；项目采购采用综合评分法的，公告中标结果时应当同时公告中标供应商和未中标供应商的评审总得分及排名。鼓励发布中标结果公告时加大评审过程公开力度，但发布内容不得涉及国家秘密和商业秘密。</w:t>
      </w:r>
    </w:p>
    <w:p w14:paraId="76E91012">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2041B9A">
      <w:pPr>
        <w:snapToGrid w:val="0"/>
        <w:spacing w:line="360" w:lineRule="auto"/>
        <w:ind w:left="120" w:leftChars="57" w:firstLine="482" w:firstLineChars="150"/>
        <w:jc w:val="center"/>
        <w:rPr>
          <w:rFonts w:ascii="宋体" w:hAnsi="宋体" w:cs="宋体"/>
          <w:b/>
          <w:color w:val="auto"/>
          <w:sz w:val="32"/>
          <w:highlight w:val="none"/>
        </w:rPr>
      </w:pPr>
    </w:p>
    <w:p w14:paraId="7CE4E2B7">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七、合同授予</w:t>
      </w:r>
    </w:p>
    <w:p w14:paraId="20DBDDC8">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67064AE">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2E39776F">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采购人与中标供应商应当自中标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7573B331">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2596DC5">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620B53F">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25.4中标供应商拒绝与采购人签订合同的，采购人可以按照评审报告推荐的中标候选人名单排序，确定下一候选人为中标供应商，也可以重新开展政府采购活动。</w:t>
      </w:r>
    </w:p>
    <w:p w14:paraId="35D3FA88">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E1434FD">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25.6政采贷</w:t>
      </w:r>
    </w:p>
    <w:p w14:paraId="78A3E6EC">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5F82B827">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一）融资申请。有融资需求的供应商取得《中标通知书》后，在签订采购合同前，向贷款金融机构递交融资申请表。中标供应商可以根据贷款需求等实际情况选择是否需要北海市小微企业融资担保有限公司提供担保增信，如需要提供担保增信则同时向北海市小微企业融资担保有限公司递交融资申请表。</w:t>
      </w:r>
    </w:p>
    <w:p w14:paraId="1C7FC0EB">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2C35B808">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22DB04D6">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（四）贷款发放。贷款金融机构根据贷款协议向供应商发放贷款。</w:t>
      </w:r>
    </w:p>
    <w:p w14:paraId="00890E4E">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（五）按期还款。供应商获得贷款后应自觉履行政府采购合同，合同履行完毕后，采购单位根据合同约定时间和账户信息，严格按照财政资金管理的相关规定，及时将资金支付到采购合同收款账户。</w:t>
      </w:r>
    </w:p>
    <w:p w14:paraId="5146B87A">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（六）业务终止。贷款偿清后，贷款金融机构或北海市小微企业融资担保有限公司及时办理应收账款质押注销登记，业务终止。</w:t>
      </w:r>
    </w:p>
    <w:p w14:paraId="39E7E065">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注：相关合作银行的具体操作流程详见北海市政府采购中心首页“政采贷”板块。</w:t>
      </w:r>
    </w:p>
    <w:p w14:paraId="541CBA15">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对于列入《政府采购信用白名单》的供应商，在获取“政采贷”流水贷产品时给予更高的授信额度，在申请“政采贷”合同贷产品时，可享受较低的贷款利率，同时信用白名单供应商获得信贷时长进一步缩短。</w:t>
      </w:r>
    </w:p>
    <w:p w14:paraId="5CC57F09">
      <w:pPr>
        <w:autoSpaceDE w:val="0"/>
        <w:autoSpaceDN w:val="0"/>
        <w:adjustRightInd/>
        <w:snapToGrid w:val="0"/>
        <w:spacing w:line="360" w:lineRule="auto"/>
        <w:ind w:firstLine="480" w:firstLineChars="200"/>
        <w:textAlignment w:val="bottom"/>
        <w:rPr>
          <w:rFonts w:ascii="宋体" w:hAnsi="宋体" w:cs="宋体"/>
          <w:color w:val="auto"/>
          <w:sz w:val="24"/>
          <w:szCs w:val="20"/>
          <w:highlight w:val="none"/>
        </w:rPr>
      </w:pPr>
      <w:r>
        <w:rPr>
          <w:rFonts w:hint="eastAsia" w:ascii="宋体" w:hAnsi="宋体" w:cs="宋体"/>
          <w:color w:val="auto"/>
          <w:sz w:val="24"/>
          <w:szCs w:val="20"/>
          <w:highlight w:val="none"/>
        </w:rPr>
        <w:t>供应商中标后可在“广西政府采购云”平台申请政采贷：操作路径：登录广西政府采购云平台-金融服务中心-【融资服务】，可在热门申请中选择产品直接申请。详见如下：</w:t>
      </w:r>
    </w:p>
    <w:p w14:paraId="4668093B">
      <w:pPr>
        <w:pStyle w:val="82"/>
        <w:rPr>
          <w:color w:val="auto"/>
          <w:highlight w:val="none"/>
        </w:rPr>
      </w:pPr>
      <w:r>
        <w:rPr>
          <w:rFonts w:hint="eastAsia"/>
          <w:color w:val="auto"/>
          <w:highlight w:val="none"/>
        </w:rPr>
        <w:t>1.有贷款需求的供应商可以访问“广西政府采购云平台-金融服务-融资服务”栏目办理有关业务（链接：</w:t>
      </w:r>
      <w:r>
        <w:rPr>
          <w:color w:val="auto"/>
          <w:highlight w:val="none"/>
        </w:rPr>
        <w:fldChar w:fldCharType="begin"/>
      </w:r>
      <w:r>
        <w:rPr>
          <w:color w:val="auto"/>
          <w:highlight w:val="none"/>
        </w:rPr>
        <w:instrText xml:space="preserve"> HYPERLINK "https://jinrong.gcy.zfcg.gxzf.gov.cn/finance/loan/gx" </w:instrText>
      </w:r>
      <w:r>
        <w:rPr>
          <w:color w:val="auto"/>
          <w:highlight w:val="none"/>
        </w:rPr>
        <w:fldChar w:fldCharType="separate"/>
      </w:r>
      <w:r>
        <w:rPr>
          <w:rStyle w:val="76"/>
          <w:rFonts w:ascii="宋体" w:hAnsi="宋体" w:eastAsia="宋体" w:cs="Times New Roman"/>
          <w:snapToGrid/>
          <w:color w:val="auto"/>
          <w:sz w:val="24"/>
          <w:szCs w:val="20"/>
          <w:highlight w:val="none"/>
        </w:rPr>
        <w:t>https://jinrong.gcy.zfcg.gxzf.gov.cn/finance/loan/gx</w:t>
      </w:r>
      <w:r>
        <w:rPr>
          <w:rStyle w:val="76"/>
          <w:rFonts w:ascii="宋体" w:hAnsi="宋体" w:eastAsia="宋体" w:cs="Times New Roman"/>
          <w:snapToGrid/>
          <w:color w:val="auto"/>
          <w:sz w:val="24"/>
          <w:szCs w:val="20"/>
          <w:highlight w:val="none"/>
        </w:rPr>
        <w:fldChar w:fldCharType="end"/>
      </w:r>
      <w:r>
        <w:rPr>
          <w:rFonts w:hint="eastAsia"/>
          <w:color w:val="auto"/>
          <w:highlight w:val="none"/>
        </w:rPr>
        <w:t>）</w:t>
      </w:r>
    </w:p>
    <w:p w14:paraId="14BBAD6D">
      <w:pPr>
        <w:pStyle w:val="82"/>
        <w:rPr>
          <w:color w:val="auto"/>
          <w:highlight w:val="none"/>
        </w:rPr>
      </w:pPr>
      <w:r>
        <w:rPr>
          <w:rFonts w:hint="eastAsia"/>
          <w:color w:val="auto"/>
          <w:highlight w:val="none"/>
        </w:rPr>
        <w:t>2.合作银行咨询办理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0AB8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2A37E16">
            <w:pPr>
              <w:pStyle w:val="82"/>
              <w:ind w:firstLine="0"/>
              <w:jc w:val="center"/>
              <w:rPr>
                <w:color w:val="auto"/>
                <w:highlight w:val="none"/>
              </w:rPr>
            </w:pPr>
            <w:r>
              <w:rPr>
                <w:rFonts w:hint="eastAsia"/>
                <w:color w:val="auto"/>
                <w:highlight w:val="none"/>
              </w:rPr>
              <w:t>银行名称</w:t>
            </w:r>
          </w:p>
        </w:tc>
        <w:tc>
          <w:tcPr>
            <w:tcW w:w="1134" w:type="dxa"/>
            <w:vAlign w:val="center"/>
          </w:tcPr>
          <w:p w14:paraId="2E2C4C49">
            <w:pPr>
              <w:pStyle w:val="82"/>
              <w:ind w:firstLine="0"/>
              <w:jc w:val="center"/>
              <w:rPr>
                <w:color w:val="auto"/>
                <w:highlight w:val="none"/>
              </w:rPr>
            </w:pPr>
            <w:r>
              <w:rPr>
                <w:rFonts w:hint="eastAsia"/>
                <w:color w:val="auto"/>
                <w:highlight w:val="none"/>
              </w:rPr>
              <w:t>联系电话</w:t>
            </w:r>
          </w:p>
        </w:tc>
        <w:tc>
          <w:tcPr>
            <w:tcW w:w="1701" w:type="dxa"/>
            <w:vAlign w:val="center"/>
          </w:tcPr>
          <w:p w14:paraId="1BB2FBED">
            <w:pPr>
              <w:pStyle w:val="82"/>
              <w:ind w:firstLine="0"/>
              <w:jc w:val="center"/>
              <w:rPr>
                <w:color w:val="auto"/>
                <w:highlight w:val="none"/>
              </w:rPr>
            </w:pPr>
            <w:r>
              <w:rPr>
                <w:rFonts w:hint="eastAsia"/>
                <w:color w:val="auto"/>
                <w:highlight w:val="none"/>
              </w:rPr>
              <w:t>最高授信金额</w:t>
            </w:r>
          </w:p>
        </w:tc>
        <w:tc>
          <w:tcPr>
            <w:tcW w:w="993" w:type="dxa"/>
            <w:vAlign w:val="center"/>
          </w:tcPr>
          <w:p w14:paraId="1BF40834">
            <w:pPr>
              <w:pStyle w:val="82"/>
              <w:ind w:firstLine="0"/>
              <w:jc w:val="center"/>
              <w:rPr>
                <w:color w:val="auto"/>
                <w:highlight w:val="none"/>
              </w:rPr>
            </w:pPr>
            <w:r>
              <w:rPr>
                <w:rFonts w:hint="eastAsia"/>
                <w:color w:val="auto"/>
                <w:highlight w:val="none"/>
              </w:rPr>
              <w:t>最长授信期限</w:t>
            </w:r>
          </w:p>
        </w:tc>
        <w:tc>
          <w:tcPr>
            <w:tcW w:w="850" w:type="dxa"/>
            <w:vAlign w:val="center"/>
          </w:tcPr>
          <w:p w14:paraId="6AFA331F">
            <w:pPr>
              <w:pStyle w:val="82"/>
              <w:ind w:firstLine="0"/>
              <w:jc w:val="center"/>
              <w:rPr>
                <w:color w:val="auto"/>
                <w:highlight w:val="none"/>
              </w:rPr>
            </w:pPr>
            <w:r>
              <w:rPr>
                <w:rFonts w:hint="eastAsia"/>
                <w:color w:val="auto"/>
                <w:highlight w:val="none"/>
              </w:rPr>
              <w:t>最低利率</w:t>
            </w:r>
          </w:p>
        </w:tc>
        <w:tc>
          <w:tcPr>
            <w:tcW w:w="3366" w:type="dxa"/>
            <w:vAlign w:val="center"/>
          </w:tcPr>
          <w:p w14:paraId="5E7F5D75">
            <w:pPr>
              <w:pStyle w:val="82"/>
              <w:ind w:firstLine="0"/>
              <w:jc w:val="center"/>
              <w:rPr>
                <w:color w:val="auto"/>
                <w:highlight w:val="none"/>
              </w:rPr>
            </w:pPr>
            <w:r>
              <w:rPr>
                <w:rFonts w:hint="eastAsia"/>
                <w:color w:val="auto"/>
                <w:highlight w:val="none"/>
              </w:rPr>
              <w:t>流程简介</w:t>
            </w:r>
          </w:p>
        </w:tc>
      </w:tr>
      <w:tr w14:paraId="43BD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CF1EA17">
            <w:pPr>
              <w:pStyle w:val="82"/>
              <w:ind w:firstLine="0"/>
              <w:jc w:val="center"/>
              <w:rPr>
                <w:color w:val="auto"/>
                <w:highlight w:val="none"/>
              </w:rPr>
            </w:pPr>
            <w:r>
              <w:rPr>
                <w:rFonts w:hint="eastAsia"/>
                <w:color w:val="auto"/>
                <w:highlight w:val="none"/>
              </w:rPr>
              <w:t>建设银行</w:t>
            </w:r>
          </w:p>
        </w:tc>
        <w:tc>
          <w:tcPr>
            <w:tcW w:w="1134" w:type="dxa"/>
            <w:vAlign w:val="center"/>
          </w:tcPr>
          <w:p w14:paraId="3E371D0B">
            <w:pPr>
              <w:pStyle w:val="82"/>
              <w:ind w:firstLine="0"/>
              <w:jc w:val="center"/>
              <w:rPr>
                <w:color w:val="auto"/>
                <w:highlight w:val="none"/>
              </w:rPr>
            </w:pPr>
            <w:r>
              <w:rPr>
                <w:rFonts w:hint="eastAsia"/>
                <w:color w:val="auto"/>
                <w:highlight w:val="none"/>
              </w:rPr>
              <w:t>13077729988</w:t>
            </w:r>
          </w:p>
        </w:tc>
        <w:tc>
          <w:tcPr>
            <w:tcW w:w="1701" w:type="dxa"/>
            <w:vAlign w:val="center"/>
          </w:tcPr>
          <w:p w14:paraId="70487966">
            <w:pPr>
              <w:pStyle w:val="82"/>
              <w:ind w:firstLine="0"/>
              <w:rPr>
                <w:color w:val="auto"/>
                <w:highlight w:val="none"/>
              </w:rPr>
            </w:pPr>
            <w:r>
              <w:rPr>
                <w:rFonts w:hint="eastAsia"/>
                <w:color w:val="auto"/>
                <w:highlight w:val="none"/>
              </w:rPr>
              <w:t>最高3千万</w:t>
            </w:r>
          </w:p>
        </w:tc>
        <w:tc>
          <w:tcPr>
            <w:tcW w:w="993" w:type="dxa"/>
            <w:vAlign w:val="center"/>
          </w:tcPr>
          <w:p w14:paraId="7E67A506">
            <w:pPr>
              <w:pStyle w:val="82"/>
              <w:ind w:firstLine="0"/>
              <w:jc w:val="center"/>
              <w:rPr>
                <w:color w:val="auto"/>
                <w:highlight w:val="none"/>
              </w:rPr>
            </w:pPr>
            <w:r>
              <w:rPr>
                <w:rFonts w:hint="eastAsia"/>
                <w:color w:val="auto"/>
                <w:highlight w:val="none"/>
              </w:rPr>
              <w:t>1年</w:t>
            </w:r>
          </w:p>
        </w:tc>
        <w:tc>
          <w:tcPr>
            <w:tcW w:w="850" w:type="dxa"/>
            <w:vAlign w:val="center"/>
          </w:tcPr>
          <w:p w14:paraId="41B2A605">
            <w:pPr>
              <w:pStyle w:val="82"/>
              <w:ind w:firstLine="0"/>
              <w:jc w:val="center"/>
              <w:rPr>
                <w:color w:val="auto"/>
                <w:highlight w:val="none"/>
              </w:rPr>
            </w:pPr>
            <w:r>
              <w:rPr>
                <w:rFonts w:hint="eastAsia"/>
                <w:color w:val="auto"/>
                <w:highlight w:val="none"/>
              </w:rPr>
              <w:t>4%</w:t>
            </w:r>
          </w:p>
        </w:tc>
        <w:tc>
          <w:tcPr>
            <w:tcW w:w="3366" w:type="dxa"/>
            <w:vAlign w:val="center"/>
          </w:tcPr>
          <w:p w14:paraId="4F789921">
            <w:pPr>
              <w:pStyle w:val="82"/>
              <w:ind w:firstLine="0"/>
              <w:rPr>
                <w:color w:val="auto"/>
                <w:highlight w:val="none"/>
              </w:rPr>
            </w:pPr>
            <w:r>
              <w:rPr>
                <w:rFonts w:hint="eastAsia"/>
                <w:color w:val="auto"/>
                <w:highlight w:val="none"/>
              </w:rPr>
              <w:t>开设账号，线下提供申请材料，进入贷款审批流程，贷款审批通过后可自主用款，银行官方网银可自主还款。</w:t>
            </w:r>
          </w:p>
        </w:tc>
      </w:tr>
      <w:tr w14:paraId="3E384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1E042B5">
            <w:pPr>
              <w:pStyle w:val="82"/>
              <w:ind w:firstLine="0"/>
              <w:jc w:val="center"/>
              <w:rPr>
                <w:color w:val="auto"/>
                <w:highlight w:val="none"/>
              </w:rPr>
            </w:pPr>
            <w:r>
              <w:rPr>
                <w:rFonts w:hint="eastAsia"/>
                <w:color w:val="auto"/>
                <w:highlight w:val="none"/>
              </w:rPr>
              <w:t>中国银行</w:t>
            </w:r>
          </w:p>
        </w:tc>
        <w:tc>
          <w:tcPr>
            <w:tcW w:w="1134" w:type="dxa"/>
            <w:vAlign w:val="center"/>
          </w:tcPr>
          <w:p w14:paraId="4EC6FD8A">
            <w:pPr>
              <w:pStyle w:val="82"/>
              <w:ind w:firstLine="0"/>
              <w:jc w:val="center"/>
              <w:rPr>
                <w:color w:val="auto"/>
                <w:highlight w:val="none"/>
              </w:rPr>
            </w:pPr>
            <w:r>
              <w:rPr>
                <w:rFonts w:hint="eastAsia"/>
                <w:color w:val="auto"/>
                <w:highlight w:val="none"/>
              </w:rPr>
              <w:t>0779-3997084</w:t>
            </w:r>
          </w:p>
        </w:tc>
        <w:tc>
          <w:tcPr>
            <w:tcW w:w="1701" w:type="dxa"/>
            <w:vAlign w:val="center"/>
          </w:tcPr>
          <w:p w14:paraId="2C65EE02">
            <w:pPr>
              <w:pStyle w:val="82"/>
              <w:ind w:firstLine="0"/>
              <w:rPr>
                <w:color w:val="auto"/>
                <w:highlight w:val="none"/>
              </w:rPr>
            </w:pPr>
            <w:r>
              <w:rPr>
                <w:rFonts w:hint="eastAsia"/>
                <w:color w:val="auto"/>
                <w:highlight w:val="none"/>
              </w:rPr>
              <w:t>最高1千万</w:t>
            </w:r>
          </w:p>
        </w:tc>
        <w:tc>
          <w:tcPr>
            <w:tcW w:w="993" w:type="dxa"/>
            <w:vAlign w:val="center"/>
          </w:tcPr>
          <w:p w14:paraId="0D114B4C">
            <w:pPr>
              <w:pStyle w:val="82"/>
              <w:ind w:firstLine="0"/>
              <w:jc w:val="center"/>
              <w:rPr>
                <w:color w:val="auto"/>
                <w:highlight w:val="none"/>
              </w:rPr>
            </w:pPr>
            <w:r>
              <w:rPr>
                <w:rFonts w:hint="eastAsia"/>
                <w:color w:val="auto"/>
                <w:highlight w:val="none"/>
              </w:rPr>
              <w:t>3年</w:t>
            </w:r>
          </w:p>
        </w:tc>
        <w:tc>
          <w:tcPr>
            <w:tcW w:w="850" w:type="dxa"/>
            <w:vAlign w:val="center"/>
          </w:tcPr>
          <w:p w14:paraId="57760F9A">
            <w:pPr>
              <w:pStyle w:val="82"/>
              <w:ind w:firstLine="0"/>
              <w:jc w:val="center"/>
              <w:rPr>
                <w:color w:val="auto"/>
                <w:highlight w:val="none"/>
              </w:rPr>
            </w:pPr>
            <w:r>
              <w:rPr>
                <w:rFonts w:hint="eastAsia"/>
                <w:color w:val="auto"/>
                <w:highlight w:val="none"/>
              </w:rPr>
              <w:t>1.93%</w:t>
            </w:r>
          </w:p>
        </w:tc>
        <w:tc>
          <w:tcPr>
            <w:tcW w:w="3366" w:type="dxa"/>
            <w:vAlign w:val="center"/>
          </w:tcPr>
          <w:p w14:paraId="23FC42F9">
            <w:pPr>
              <w:pStyle w:val="82"/>
              <w:ind w:firstLine="0"/>
              <w:rPr>
                <w:color w:val="auto"/>
                <w:highlight w:val="none"/>
              </w:rPr>
            </w:pPr>
            <w:r>
              <w:rPr>
                <w:rFonts w:hint="eastAsia"/>
                <w:color w:val="auto"/>
                <w:highlight w:val="none"/>
              </w:rPr>
              <w:t>在银行开户，线上申请，上传所需材料，等待审批，审批通过后可直接在手机银行提款。</w:t>
            </w:r>
          </w:p>
        </w:tc>
      </w:tr>
      <w:tr w14:paraId="0B62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7F32D86">
            <w:pPr>
              <w:pStyle w:val="82"/>
              <w:ind w:firstLine="0"/>
              <w:jc w:val="center"/>
              <w:rPr>
                <w:color w:val="auto"/>
                <w:highlight w:val="none"/>
              </w:rPr>
            </w:pPr>
            <w:r>
              <w:rPr>
                <w:rFonts w:hint="eastAsia"/>
                <w:color w:val="auto"/>
                <w:highlight w:val="none"/>
              </w:rPr>
              <w:t>兴业银行</w:t>
            </w:r>
          </w:p>
        </w:tc>
        <w:tc>
          <w:tcPr>
            <w:tcW w:w="1134" w:type="dxa"/>
            <w:vAlign w:val="center"/>
          </w:tcPr>
          <w:p w14:paraId="6FEB719E">
            <w:pPr>
              <w:pStyle w:val="82"/>
              <w:ind w:firstLine="0"/>
              <w:jc w:val="center"/>
              <w:rPr>
                <w:color w:val="auto"/>
                <w:highlight w:val="none"/>
              </w:rPr>
            </w:pPr>
            <w:r>
              <w:rPr>
                <w:rFonts w:hint="eastAsia"/>
                <w:color w:val="auto"/>
                <w:highlight w:val="none"/>
              </w:rPr>
              <w:t>0779-3158330</w:t>
            </w:r>
          </w:p>
        </w:tc>
        <w:tc>
          <w:tcPr>
            <w:tcW w:w="1701" w:type="dxa"/>
            <w:vAlign w:val="center"/>
          </w:tcPr>
          <w:p w14:paraId="1E03C8AC">
            <w:pPr>
              <w:pStyle w:val="82"/>
              <w:ind w:firstLine="0"/>
              <w:rPr>
                <w:color w:val="auto"/>
                <w:highlight w:val="none"/>
              </w:rPr>
            </w:pPr>
            <w:r>
              <w:rPr>
                <w:rFonts w:hint="eastAsia"/>
                <w:color w:val="auto"/>
                <w:highlight w:val="none"/>
              </w:rPr>
              <w:t>最高1千万（单笔提款金额达合同金额70%）</w:t>
            </w:r>
          </w:p>
        </w:tc>
        <w:tc>
          <w:tcPr>
            <w:tcW w:w="993" w:type="dxa"/>
            <w:vAlign w:val="center"/>
          </w:tcPr>
          <w:p w14:paraId="2EE019E7">
            <w:pPr>
              <w:pStyle w:val="82"/>
              <w:ind w:firstLine="0"/>
              <w:jc w:val="center"/>
              <w:rPr>
                <w:color w:val="auto"/>
                <w:highlight w:val="none"/>
              </w:rPr>
            </w:pPr>
            <w:r>
              <w:rPr>
                <w:rFonts w:hint="eastAsia"/>
                <w:color w:val="auto"/>
                <w:highlight w:val="none"/>
              </w:rPr>
              <w:t>1年</w:t>
            </w:r>
          </w:p>
        </w:tc>
        <w:tc>
          <w:tcPr>
            <w:tcW w:w="850" w:type="dxa"/>
            <w:vAlign w:val="center"/>
          </w:tcPr>
          <w:p w14:paraId="63D83C56">
            <w:pPr>
              <w:pStyle w:val="82"/>
              <w:ind w:firstLine="0"/>
              <w:jc w:val="center"/>
              <w:rPr>
                <w:color w:val="auto"/>
                <w:highlight w:val="none"/>
              </w:rPr>
            </w:pPr>
            <w:r>
              <w:rPr>
                <w:rFonts w:hint="eastAsia"/>
                <w:color w:val="auto"/>
                <w:highlight w:val="none"/>
              </w:rPr>
              <w:t>3.70%</w:t>
            </w:r>
          </w:p>
        </w:tc>
        <w:tc>
          <w:tcPr>
            <w:tcW w:w="3366" w:type="dxa"/>
            <w:vAlign w:val="center"/>
          </w:tcPr>
          <w:p w14:paraId="039462AD">
            <w:pPr>
              <w:pStyle w:val="82"/>
              <w:ind w:firstLine="0"/>
              <w:rPr>
                <w:color w:val="auto"/>
                <w:highlight w:val="none"/>
              </w:rPr>
            </w:pPr>
            <w:r>
              <w:rPr>
                <w:rFonts w:hint="eastAsia"/>
                <w:color w:val="auto"/>
                <w:highlight w:val="none"/>
              </w:rPr>
              <w:t>全流程线上，初次申请开立账户，提供营业执照、采购合同、信用材料等，申请复审，签订合同，提交单笔贷款使用需求，贷款到账后受托使用。</w:t>
            </w:r>
          </w:p>
        </w:tc>
      </w:tr>
      <w:tr w14:paraId="507E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C06F111">
            <w:pPr>
              <w:pStyle w:val="82"/>
              <w:ind w:firstLine="0"/>
              <w:jc w:val="center"/>
              <w:rPr>
                <w:color w:val="auto"/>
                <w:highlight w:val="none"/>
              </w:rPr>
            </w:pPr>
            <w:r>
              <w:rPr>
                <w:rFonts w:hint="eastAsia"/>
                <w:color w:val="auto"/>
                <w:highlight w:val="none"/>
              </w:rPr>
              <w:t>工商银行</w:t>
            </w:r>
          </w:p>
        </w:tc>
        <w:tc>
          <w:tcPr>
            <w:tcW w:w="1134" w:type="dxa"/>
            <w:vAlign w:val="center"/>
          </w:tcPr>
          <w:p w14:paraId="0D0B62C5">
            <w:pPr>
              <w:pStyle w:val="82"/>
              <w:ind w:firstLine="0"/>
              <w:jc w:val="center"/>
              <w:rPr>
                <w:color w:val="auto"/>
                <w:highlight w:val="none"/>
              </w:rPr>
            </w:pPr>
            <w:r>
              <w:rPr>
                <w:rFonts w:hint="eastAsia"/>
                <w:color w:val="auto"/>
                <w:highlight w:val="none"/>
              </w:rPr>
              <w:t>0779-3050645</w:t>
            </w:r>
          </w:p>
        </w:tc>
        <w:tc>
          <w:tcPr>
            <w:tcW w:w="1701" w:type="dxa"/>
            <w:vAlign w:val="center"/>
          </w:tcPr>
          <w:p w14:paraId="64F0ACD1">
            <w:pPr>
              <w:pStyle w:val="82"/>
              <w:ind w:firstLine="0"/>
              <w:rPr>
                <w:color w:val="auto"/>
                <w:highlight w:val="none"/>
              </w:rPr>
            </w:pPr>
            <w:r>
              <w:rPr>
                <w:rFonts w:hint="eastAsia"/>
                <w:color w:val="auto"/>
                <w:highlight w:val="none"/>
              </w:rPr>
              <w:t>最高1千万且不超过合同金额70%</w:t>
            </w:r>
          </w:p>
        </w:tc>
        <w:tc>
          <w:tcPr>
            <w:tcW w:w="993" w:type="dxa"/>
            <w:vAlign w:val="center"/>
          </w:tcPr>
          <w:p w14:paraId="28C67DA5">
            <w:pPr>
              <w:pStyle w:val="82"/>
              <w:ind w:firstLine="0"/>
              <w:jc w:val="center"/>
              <w:rPr>
                <w:color w:val="auto"/>
                <w:highlight w:val="none"/>
              </w:rPr>
            </w:pPr>
            <w:r>
              <w:rPr>
                <w:rFonts w:hint="eastAsia"/>
                <w:color w:val="auto"/>
                <w:highlight w:val="none"/>
              </w:rPr>
              <w:t>货物类1年</w:t>
            </w:r>
          </w:p>
          <w:p w14:paraId="03BF268B">
            <w:pPr>
              <w:pStyle w:val="82"/>
              <w:ind w:firstLine="0"/>
              <w:jc w:val="center"/>
              <w:rPr>
                <w:color w:val="auto"/>
                <w:highlight w:val="none"/>
              </w:rPr>
            </w:pPr>
            <w:r>
              <w:rPr>
                <w:rFonts w:hint="eastAsia"/>
                <w:color w:val="auto"/>
                <w:highlight w:val="none"/>
              </w:rPr>
              <w:t>服务类3年</w:t>
            </w:r>
          </w:p>
          <w:p w14:paraId="3EFD85F7">
            <w:pPr>
              <w:pStyle w:val="82"/>
              <w:ind w:firstLine="0"/>
              <w:jc w:val="center"/>
              <w:rPr>
                <w:color w:val="auto"/>
                <w:highlight w:val="none"/>
              </w:rPr>
            </w:pPr>
            <w:r>
              <w:rPr>
                <w:rFonts w:hint="eastAsia"/>
                <w:color w:val="auto"/>
                <w:highlight w:val="none"/>
              </w:rPr>
              <w:t>工程类5年</w:t>
            </w:r>
          </w:p>
        </w:tc>
        <w:tc>
          <w:tcPr>
            <w:tcW w:w="850" w:type="dxa"/>
            <w:vAlign w:val="center"/>
          </w:tcPr>
          <w:p w14:paraId="5A1C608F">
            <w:pPr>
              <w:pStyle w:val="82"/>
              <w:ind w:firstLine="0"/>
              <w:jc w:val="center"/>
              <w:rPr>
                <w:color w:val="auto"/>
                <w:highlight w:val="none"/>
              </w:rPr>
            </w:pPr>
            <w:r>
              <w:rPr>
                <w:rFonts w:hint="eastAsia"/>
                <w:color w:val="auto"/>
                <w:highlight w:val="none"/>
              </w:rPr>
              <w:t>3.45%</w:t>
            </w:r>
          </w:p>
        </w:tc>
        <w:tc>
          <w:tcPr>
            <w:tcW w:w="3366" w:type="dxa"/>
            <w:vAlign w:val="center"/>
          </w:tcPr>
          <w:p w14:paraId="6B49F7CB">
            <w:pPr>
              <w:pStyle w:val="82"/>
              <w:ind w:firstLine="0"/>
              <w:rPr>
                <w:color w:val="auto"/>
                <w:highlight w:val="none"/>
              </w:rPr>
            </w:pPr>
            <w:r>
              <w:rPr>
                <w:rFonts w:hint="eastAsia"/>
                <w:color w:val="auto"/>
                <w:highlight w:val="none"/>
              </w:rPr>
              <w:t>为中征系统白名单企业，提供相关要求材料，内部审批后放款自主借还。</w:t>
            </w:r>
          </w:p>
        </w:tc>
      </w:tr>
      <w:tr w14:paraId="4F93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F298A89">
            <w:pPr>
              <w:pStyle w:val="82"/>
              <w:ind w:firstLine="0"/>
              <w:jc w:val="center"/>
              <w:rPr>
                <w:color w:val="auto"/>
                <w:highlight w:val="none"/>
              </w:rPr>
            </w:pPr>
            <w:r>
              <w:rPr>
                <w:rFonts w:hint="eastAsia"/>
                <w:color w:val="auto"/>
                <w:highlight w:val="none"/>
              </w:rPr>
              <w:t>国民村镇银行</w:t>
            </w:r>
          </w:p>
        </w:tc>
        <w:tc>
          <w:tcPr>
            <w:tcW w:w="1134" w:type="dxa"/>
            <w:vAlign w:val="center"/>
          </w:tcPr>
          <w:p w14:paraId="751A9050">
            <w:pPr>
              <w:pStyle w:val="82"/>
              <w:ind w:firstLine="0"/>
              <w:jc w:val="center"/>
              <w:rPr>
                <w:color w:val="auto"/>
                <w:highlight w:val="none"/>
              </w:rPr>
            </w:pPr>
            <w:r>
              <w:rPr>
                <w:rFonts w:hint="eastAsia"/>
                <w:color w:val="auto"/>
                <w:highlight w:val="none"/>
              </w:rPr>
              <w:t>0779-2668801</w:t>
            </w:r>
          </w:p>
        </w:tc>
        <w:tc>
          <w:tcPr>
            <w:tcW w:w="1701" w:type="dxa"/>
            <w:vAlign w:val="center"/>
          </w:tcPr>
          <w:p w14:paraId="49B18E10">
            <w:pPr>
              <w:pStyle w:val="82"/>
              <w:ind w:firstLine="0"/>
              <w:rPr>
                <w:color w:val="auto"/>
                <w:highlight w:val="none"/>
              </w:rPr>
            </w:pPr>
            <w:r>
              <w:rPr>
                <w:rFonts w:hint="eastAsia"/>
                <w:color w:val="auto"/>
                <w:highlight w:val="none"/>
              </w:rPr>
              <w:t>最高500万</w:t>
            </w:r>
          </w:p>
        </w:tc>
        <w:tc>
          <w:tcPr>
            <w:tcW w:w="993" w:type="dxa"/>
            <w:vAlign w:val="center"/>
          </w:tcPr>
          <w:p w14:paraId="341A0BC3">
            <w:pPr>
              <w:pStyle w:val="82"/>
              <w:ind w:firstLine="0"/>
              <w:jc w:val="center"/>
              <w:rPr>
                <w:color w:val="auto"/>
                <w:highlight w:val="none"/>
              </w:rPr>
            </w:pPr>
            <w:r>
              <w:rPr>
                <w:rFonts w:hint="eastAsia"/>
                <w:color w:val="auto"/>
                <w:highlight w:val="none"/>
              </w:rPr>
              <w:t>5年</w:t>
            </w:r>
          </w:p>
        </w:tc>
        <w:tc>
          <w:tcPr>
            <w:tcW w:w="850" w:type="dxa"/>
            <w:vAlign w:val="center"/>
          </w:tcPr>
          <w:p w14:paraId="34E1A4DC">
            <w:pPr>
              <w:pStyle w:val="82"/>
              <w:ind w:firstLine="0"/>
              <w:jc w:val="center"/>
              <w:rPr>
                <w:color w:val="auto"/>
                <w:highlight w:val="none"/>
              </w:rPr>
            </w:pPr>
            <w:r>
              <w:rPr>
                <w:rFonts w:hint="eastAsia"/>
                <w:color w:val="auto"/>
                <w:highlight w:val="none"/>
              </w:rPr>
              <w:t>2.80%</w:t>
            </w:r>
          </w:p>
        </w:tc>
        <w:tc>
          <w:tcPr>
            <w:tcW w:w="3366" w:type="dxa"/>
            <w:vAlign w:val="center"/>
          </w:tcPr>
          <w:p w14:paraId="3B2F59F1">
            <w:pPr>
              <w:pStyle w:val="82"/>
              <w:ind w:firstLine="0"/>
              <w:rPr>
                <w:color w:val="auto"/>
                <w:highlight w:val="none"/>
              </w:rPr>
            </w:pPr>
            <w:r>
              <w:rPr>
                <w:rFonts w:hint="eastAsia"/>
                <w:color w:val="auto"/>
                <w:highlight w:val="none"/>
              </w:rPr>
              <w:t>银行开户，线下申请并提供材料，信用良好企业最快1天获批即可提款</w:t>
            </w:r>
          </w:p>
        </w:tc>
      </w:tr>
      <w:tr w14:paraId="5B30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635250C">
            <w:pPr>
              <w:pStyle w:val="82"/>
              <w:ind w:firstLine="0"/>
              <w:jc w:val="center"/>
              <w:rPr>
                <w:color w:val="auto"/>
                <w:highlight w:val="none"/>
              </w:rPr>
            </w:pPr>
            <w:r>
              <w:rPr>
                <w:rFonts w:hint="eastAsia"/>
                <w:color w:val="auto"/>
                <w:highlight w:val="none"/>
              </w:rPr>
              <w:t>桂林银行</w:t>
            </w:r>
          </w:p>
        </w:tc>
        <w:tc>
          <w:tcPr>
            <w:tcW w:w="1134" w:type="dxa"/>
            <w:vAlign w:val="center"/>
          </w:tcPr>
          <w:p w14:paraId="5B2B5E9E">
            <w:pPr>
              <w:pStyle w:val="82"/>
              <w:ind w:firstLine="0"/>
              <w:jc w:val="center"/>
              <w:rPr>
                <w:color w:val="auto"/>
                <w:highlight w:val="none"/>
              </w:rPr>
            </w:pPr>
            <w:r>
              <w:rPr>
                <w:rFonts w:hint="eastAsia"/>
                <w:color w:val="auto"/>
                <w:highlight w:val="none"/>
              </w:rPr>
              <w:t>18577993959</w:t>
            </w:r>
          </w:p>
        </w:tc>
        <w:tc>
          <w:tcPr>
            <w:tcW w:w="1701" w:type="dxa"/>
            <w:vAlign w:val="center"/>
          </w:tcPr>
          <w:p w14:paraId="6B435948">
            <w:pPr>
              <w:pStyle w:val="82"/>
              <w:ind w:firstLine="0"/>
              <w:rPr>
                <w:color w:val="auto"/>
                <w:highlight w:val="none"/>
              </w:rPr>
            </w:pPr>
            <w:r>
              <w:rPr>
                <w:rFonts w:hint="eastAsia"/>
                <w:color w:val="auto"/>
                <w:highlight w:val="none"/>
              </w:rPr>
              <w:t>最高1千万</w:t>
            </w:r>
          </w:p>
        </w:tc>
        <w:tc>
          <w:tcPr>
            <w:tcW w:w="993" w:type="dxa"/>
            <w:vAlign w:val="center"/>
          </w:tcPr>
          <w:p w14:paraId="3BB15E38">
            <w:pPr>
              <w:pStyle w:val="82"/>
              <w:ind w:firstLine="0"/>
              <w:jc w:val="center"/>
              <w:rPr>
                <w:color w:val="auto"/>
                <w:highlight w:val="none"/>
              </w:rPr>
            </w:pPr>
            <w:r>
              <w:rPr>
                <w:rFonts w:hint="eastAsia"/>
                <w:color w:val="auto"/>
                <w:highlight w:val="none"/>
              </w:rPr>
              <w:t>1年</w:t>
            </w:r>
          </w:p>
        </w:tc>
        <w:tc>
          <w:tcPr>
            <w:tcW w:w="850" w:type="dxa"/>
            <w:vAlign w:val="center"/>
          </w:tcPr>
          <w:p w14:paraId="778108B4">
            <w:pPr>
              <w:pStyle w:val="82"/>
              <w:ind w:firstLine="0"/>
              <w:jc w:val="center"/>
              <w:rPr>
                <w:color w:val="auto"/>
                <w:highlight w:val="none"/>
              </w:rPr>
            </w:pPr>
            <w:r>
              <w:rPr>
                <w:rFonts w:hint="eastAsia"/>
                <w:color w:val="auto"/>
                <w:highlight w:val="none"/>
              </w:rPr>
              <w:t>3.45%</w:t>
            </w:r>
          </w:p>
        </w:tc>
        <w:tc>
          <w:tcPr>
            <w:tcW w:w="3366" w:type="dxa"/>
            <w:vAlign w:val="center"/>
          </w:tcPr>
          <w:p w14:paraId="5543D80F">
            <w:pPr>
              <w:pStyle w:val="82"/>
              <w:ind w:firstLine="0"/>
              <w:rPr>
                <w:color w:val="auto"/>
                <w:highlight w:val="none"/>
              </w:rPr>
            </w:pPr>
            <w:r>
              <w:rPr>
                <w:rFonts w:hint="eastAsia"/>
                <w:color w:val="auto"/>
                <w:highlight w:val="none"/>
              </w:rPr>
              <w:t>线下申请，材料齐全最快1周内即可放款。</w:t>
            </w:r>
          </w:p>
        </w:tc>
      </w:tr>
      <w:tr w14:paraId="6A19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29E3BD8">
            <w:pPr>
              <w:pStyle w:val="82"/>
              <w:ind w:firstLine="0"/>
              <w:jc w:val="center"/>
              <w:rPr>
                <w:color w:val="auto"/>
                <w:highlight w:val="none"/>
              </w:rPr>
            </w:pPr>
            <w:r>
              <w:rPr>
                <w:rFonts w:hint="eastAsia"/>
                <w:color w:val="auto"/>
                <w:highlight w:val="none"/>
              </w:rPr>
              <w:t>中小微商务服务公司</w:t>
            </w:r>
          </w:p>
        </w:tc>
        <w:tc>
          <w:tcPr>
            <w:tcW w:w="1134" w:type="dxa"/>
            <w:vAlign w:val="center"/>
          </w:tcPr>
          <w:p w14:paraId="566A4C7F">
            <w:pPr>
              <w:pStyle w:val="82"/>
              <w:ind w:firstLine="0"/>
              <w:jc w:val="center"/>
              <w:rPr>
                <w:color w:val="auto"/>
                <w:highlight w:val="none"/>
              </w:rPr>
            </w:pPr>
            <w:r>
              <w:rPr>
                <w:rFonts w:hint="eastAsia"/>
                <w:color w:val="auto"/>
                <w:highlight w:val="none"/>
              </w:rPr>
              <w:t>19907799988</w:t>
            </w:r>
          </w:p>
        </w:tc>
        <w:tc>
          <w:tcPr>
            <w:tcW w:w="1701" w:type="dxa"/>
            <w:vAlign w:val="center"/>
          </w:tcPr>
          <w:p w14:paraId="49D78FFC">
            <w:pPr>
              <w:pStyle w:val="82"/>
              <w:ind w:firstLine="0"/>
              <w:rPr>
                <w:color w:val="auto"/>
                <w:highlight w:val="none"/>
              </w:rPr>
            </w:pPr>
          </w:p>
        </w:tc>
        <w:tc>
          <w:tcPr>
            <w:tcW w:w="993" w:type="dxa"/>
            <w:vAlign w:val="center"/>
          </w:tcPr>
          <w:p w14:paraId="333FF23F">
            <w:pPr>
              <w:pStyle w:val="82"/>
              <w:ind w:firstLine="0"/>
              <w:jc w:val="center"/>
              <w:rPr>
                <w:color w:val="auto"/>
                <w:highlight w:val="none"/>
              </w:rPr>
            </w:pPr>
          </w:p>
        </w:tc>
        <w:tc>
          <w:tcPr>
            <w:tcW w:w="850" w:type="dxa"/>
            <w:vAlign w:val="center"/>
          </w:tcPr>
          <w:p w14:paraId="7F8BB0AB">
            <w:pPr>
              <w:pStyle w:val="82"/>
              <w:ind w:firstLine="0"/>
              <w:jc w:val="center"/>
              <w:rPr>
                <w:color w:val="auto"/>
                <w:highlight w:val="none"/>
              </w:rPr>
            </w:pPr>
          </w:p>
        </w:tc>
        <w:tc>
          <w:tcPr>
            <w:tcW w:w="3366" w:type="dxa"/>
            <w:vAlign w:val="center"/>
          </w:tcPr>
          <w:p w14:paraId="6E23D339">
            <w:pPr>
              <w:pStyle w:val="82"/>
              <w:ind w:firstLine="0"/>
              <w:rPr>
                <w:color w:val="auto"/>
                <w:highlight w:val="none"/>
              </w:rPr>
            </w:pPr>
            <w:r>
              <w:rPr>
                <w:rFonts w:hint="eastAsia"/>
                <w:color w:val="auto"/>
                <w:highlight w:val="none"/>
              </w:rPr>
              <w:t>具体业务可电话咨询。</w:t>
            </w:r>
          </w:p>
        </w:tc>
      </w:tr>
    </w:tbl>
    <w:p w14:paraId="7FC4B79A">
      <w:pPr>
        <w:pStyle w:val="82"/>
        <w:rPr>
          <w:color w:val="auto"/>
          <w:highlight w:val="none"/>
        </w:rPr>
      </w:pPr>
      <w:r>
        <w:rPr>
          <w:rFonts w:hint="eastAsia"/>
          <w:color w:val="auto"/>
          <w:highlight w:val="none"/>
        </w:rPr>
        <w:t>注：表中联系电话、授信金额、授信期限、最低利率等信息可能动态更新，仅供参考，具体以办理时相关银行公布的为准。</w:t>
      </w:r>
    </w:p>
    <w:p w14:paraId="56A3A96D">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1024A2D9">
      <w:pPr>
        <w:pStyle w:val="24"/>
        <w:spacing w:line="360" w:lineRule="auto"/>
        <w:ind w:left="315" w:leftChars="150" w:firstLine="120" w:firstLineChars="50"/>
        <w:rPr>
          <w:rFonts w:cs="宋体"/>
          <w:color w:val="auto"/>
          <w:highlight w:val="none"/>
        </w:rPr>
      </w:pPr>
      <w:r>
        <w:rPr>
          <w:rFonts w:cs="宋体"/>
          <w:color w:val="auto"/>
          <w:kern w:val="28"/>
          <w:highlight w:val="none"/>
        </w:rPr>
        <w:t>本项目不收取</w:t>
      </w:r>
      <w:r>
        <w:rPr>
          <w:rFonts w:hint="eastAsia" w:cs="宋体"/>
          <w:color w:val="auto"/>
          <w:kern w:val="28"/>
          <w:highlight w:val="none"/>
        </w:rPr>
        <w:t>。</w:t>
      </w:r>
    </w:p>
    <w:p w14:paraId="12FF4D07">
      <w:pPr>
        <w:pStyle w:val="24"/>
        <w:spacing w:line="360" w:lineRule="auto"/>
        <w:ind w:left="479" w:hanging="479" w:hangingChars="199"/>
        <w:rPr>
          <w:rFonts w:cs="宋体"/>
          <w:b/>
          <w:color w:val="auto"/>
          <w:highlight w:val="none"/>
        </w:rPr>
      </w:pPr>
      <w:r>
        <w:rPr>
          <w:rFonts w:cs="宋体"/>
          <w:b/>
          <w:color w:val="auto"/>
          <w:highlight w:val="none"/>
        </w:rPr>
        <w:t>27.预付款</w:t>
      </w:r>
    </w:p>
    <w:p w14:paraId="5A8553AD">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详见第三部分 采购需求。</w:t>
      </w:r>
    </w:p>
    <w:p w14:paraId="73002261">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供应商可登录广西政府采购云平台前台大厅选择金融服务</w:t>
      </w:r>
      <w:r>
        <w:rPr>
          <w:rFonts w:ascii="宋体" w:hAnsi="宋体"/>
          <w:color w:val="auto"/>
          <w:sz w:val="24"/>
          <w:highlight w:val="none"/>
        </w:rPr>
        <w:t xml:space="preserve">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/保函受理—确认保单—支付保费—成功出单。广西政府采购云平台</w:t>
      </w:r>
      <w:r>
        <w:rPr>
          <w:rFonts w:hint="eastAsia" w:ascii="宋体" w:hAnsi="宋体"/>
          <w:color w:val="auto"/>
          <w:sz w:val="24"/>
          <w:highlight w:val="none"/>
        </w:rPr>
        <w:t>金融专线</w:t>
      </w:r>
      <w:r>
        <w:rPr>
          <w:rFonts w:ascii="宋体" w:hAnsi="宋体"/>
          <w:color w:val="auto"/>
          <w:sz w:val="24"/>
          <w:highlight w:val="none"/>
        </w:rPr>
        <w:t>400-903-9583。</w:t>
      </w:r>
    </w:p>
    <w:p w14:paraId="719117C9">
      <w:pPr>
        <w:snapToGrid w:val="0"/>
        <w:spacing w:line="360" w:lineRule="auto"/>
        <w:ind w:firstLine="3357" w:firstLineChars="1045"/>
        <w:rPr>
          <w:rFonts w:ascii="宋体" w:hAnsi="宋体" w:cs="宋体"/>
          <w:b/>
          <w:color w:val="auto"/>
          <w:sz w:val="32"/>
          <w:highlight w:val="none"/>
        </w:rPr>
      </w:pPr>
    </w:p>
    <w:p w14:paraId="388669C2">
      <w:pPr>
        <w:snapToGrid w:val="0"/>
        <w:spacing w:line="360" w:lineRule="auto"/>
        <w:ind w:firstLine="3357" w:firstLineChars="1045"/>
        <w:outlineLvl w:val="1"/>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EEA4F6C">
      <w:pPr>
        <w:pStyle w:val="128"/>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490B3B1E">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54EFF57">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0AA9A29">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9A6AF88">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28AAA97">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D1901AC">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92FE6DE">
      <w:pPr>
        <w:tabs>
          <w:tab w:val="left" w:pos="0"/>
        </w:tabs>
        <w:spacing w:line="360" w:lineRule="auto"/>
        <w:ind w:firstLine="480"/>
        <w:rPr>
          <w:rFonts w:ascii="宋体" w:hAnsi="宋体" w:cs="宋体"/>
          <w:color w:val="auto"/>
          <w:sz w:val="24"/>
          <w:highlight w:val="none"/>
        </w:rPr>
      </w:pPr>
    </w:p>
    <w:p w14:paraId="484D75B4">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九、验收</w:t>
      </w:r>
    </w:p>
    <w:p w14:paraId="2D198F57">
      <w:pPr>
        <w:pStyle w:val="24"/>
        <w:spacing w:line="360" w:lineRule="auto"/>
        <w:ind w:firstLine="0" w:firstLineChars="0"/>
        <w:rPr>
          <w:rFonts w:cs="宋体"/>
          <w:b/>
          <w:color w:val="auto"/>
          <w:highlight w:val="none"/>
        </w:rPr>
      </w:pPr>
      <w:r>
        <w:rPr>
          <w:rFonts w:hint="eastAsia" w:cs="宋体"/>
          <w:b/>
          <w:color w:val="auto"/>
          <w:highlight w:val="none"/>
        </w:rPr>
        <w:t>30.验收</w:t>
      </w:r>
    </w:p>
    <w:p w14:paraId="6DBFA4F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A13AFE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13BC62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63BDBDD">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3"/>
    <w:p w14:paraId="604E8CDF">
      <w:pPr>
        <w:tabs>
          <w:tab w:val="left" w:pos="0"/>
        </w:tabs>
        <w:spacing w:line="360" w:lineRule="auto"/>
        <w:ind w:firstLine="480"/>
        <w:rPr>
          <w:rFonts w:ascii="宋体" w:hAnsi="宋体" w:cs="宋体"/>
          <w:color w:val="auto"/>
          <w:kern w:val="0"/>
          <w:sz w:val="24"/>
          <w:highlight w:val="none"/>
        </w:rPr>
      </w:pPr>
      <w:bookmarkStart w:id="24" w:name="_Hlt75236011"/>
      <w:bookmarkEnd w:id="24"/>
      <w:bookmarkStart w:id="25" w:name="_Hlt68057669"/>
      <w:bookmarkEnd w:id="25"/>
      <w:bookmarkStart w:id="26" w:name="_Hlt74714665"/>
      <w:bookmarkEnd w:id="26"/>
      <w:bookmarkStart w:id="27" w:name="_Hlt75236290"/>
      <w:bookmarkEnd w:id="27"/>
      <w:bookmarkStart w:id="28" w:name="_Hlt68403820"/>
      <w:bookmarkEnd w:id="28"/>
      <w:bookmarkStart w:id="29" w:name="_Hlt74707468"/>
      <w:bookmarkEnd w:id="29"/>
      <w:bookmarkStart w:id="30" w:name="_Hlt68073093"/>
      <w:bookmarkEnd w:id="30"/>
      <w:bookmarkStart w:id="31" w:name="_Hlt68072990"/>
      <w:bookmarkEnd w:id="31"/>
      <w:bookmarkStart w:id="32" w:name="_Hlt74730295"/>
      <w:bookmarkEnd w:id="32"/>
      <w:bookmarkStart w:id="33" w:name="_Hlt68072998"/>
      <w:bookmarkEnd w:id="33"/>
      <w:bookmarkStart w:id="34" w:name="_Hlt74729768"/>
      <w:bookmarkEnd w:id="34"/>
      <w:bookmarkStart w:id="35" w:name="_Hlt75236101"/>
      <w:bookmarkEnd w:id="35"/>
    </w:p>
    <w:bookmarkEnd w:id="18"/>
    <w:bookmarkEnd w:id="19"/>
    <w:p w14:paraId="62EB3838">
      <w:pPr>
        <w:spacing w:line="360" w:lineRule="auto"/>
        <w:jc w:val="center"/>
        <w:rPr>
          <w:rFonts w:ascii="宋体" w:hAnsi="宋体" w:cs="宋体"/>
          <w:b/>
          <w:color w:val="auto"/>
          <w:sz w:val="32"/>
          <w:highlight w:val="none"/>
        </w:rPr>
      </w:pPr>
      <w:bookmarkStart w:id="36" w:name="_Toc176185121"/>
      <w:bookmarkStart w:id="37" w:name="_Toc176343850"/>
      <w:bookmarkStart w:id="38" w:name="第四部分"/>
    </w:p>
    <w:p w14:paraId="0C6524E6">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643B7B63">
      <w:pPr>
        <w:spacing w:line="360" w:lineRule="auto"/>
        <w:jc w:val="center"/>
        <w:outlineLvl w:val="0"/>
        <w:rPr>
          <w:rFonts w:hint="eastAsia" w:ascii="宋体" w:hAnsi="宋体" w:eastAsia="宋体" w:cs="宋体"/>
          <w:b/>
          <w:color w:val="auto"/>
          <w:sz w:val="36"/>
          <w:szCs w:val="36"/>
          <w:highlight w:val="none"/>
          <w:lang w:eastAsia="zh-CN"/>
        </w:rPr>
      </w:pPr>
      <w:bookmarkStart w:id="39" w:name="_Toc7196"/>
      <w:r>
        <w:rPr>
          <w:rFonts w:hint="eastAsia" w:ascii="宋体" w:hAnsi="宋体" w:cs="宋体"/>
          <w:b/>
          <w:color w:val="auto"/>
          <w:sz w:val="36"/>
          <w:szCs w:val="36"/>
          <w:highlight w:val="none"/>
        </w:rPr>
        <w:t>第三部分  采购需求</w:t>
      </w:r>
      <w:bookmarkEnd w:id="36"/>
      <w:bookmarkEnd w:id="37"/>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A分标</w:t>
      </w:r>
      <w:r>
        <w:rPr>
          <w:rFonts w:hint="eastAsia" w:ascii="宋体" w:hAnsi="宋体" w:cs="宋体"/>
          <w:b/>
          <w:color w:val="auto"/>
          <w:sz w:val="36"/>
          <w:szCs w:val="36"/>
          <w:highlight w:val="none"/>
          <w:lang w:eastAsia="zh-CN"/>
        </w:rPr>
        <w:t>）</w:t>
      </w:r>
      <w:bookmarkEnd w:id="39"/>
    </w:p>
    <w:p w14:paraId="7E847DDC">
      <w:pPr>
        <w:spacing w:line="320" w:lineRule="exact"/>
        <w:ind w:firstLine="482" w:firstLineChars="200"/>
        <w:rPr>
          <w:rFonts w:ascii="宋体" w:hAnsi="宋体" w:cs="宋体"/>
          <w:bCs/>
          <w:color w:val="auto"/>
          <w:sz w:val="22"/>
          <w:szCs w:val="22"/>
          <w:highlight w:val="none"/>
        </w:rPr>
      </w:pPr>
      <w:r>
        <w:rPr>
          <w:rFonts w:hint="eastAsia" w:asciiTheme="minorEastAsia" w:hAnsiTheme="minorEastAsia" w:eastAsiaTheme="minorEastAsia"/>
          <w:b/>
          <w:bCs/>
          <w:color w:val="auto"/>
          <w:sz w:val="24"/>
          <w:highlight w:val="none"/>
          <w:u w:val="single"/>
        </w:rPr>
        <w:t>注：“▲” 系指实质性要求条款， “※”系指磋商过程中可能实质性变动的内容</w:t>
      </w:r>
      <w:r>
        <w:rPr>
          <w:rFonts w:hint="eastAsia" w:asciiTheme="minorEastAsia" w:hAnsiTheme="minorEastAsia" w:eastAsiaTheme="minorEastAsia"/>
          <w:b/>
          <w:bCs/>
          <w:color w:val="auto"/>
          <w:sz w:val="24"/>
          <w:highlight w:val="none"/>
          <w:u w:val="single"/>
          <w:lang w:eastAsia="zh-CN"/>
        </w:rPr>
        <w:t>（如有请提供）</w:t>
      </w:r>
      <w:r>
        <w:rPr>
          <w:rFonts w:hint="eastAsia" w:asciiTheme="minorEastAsia" w:hAnsiTheme="minorEastAsia" w:eastAsiaTheme="minorEastAsia"/>
          <w:b/>
          <w:bCs/>
          <w:color w:val="auto"/>
          <w:sz w:val="24"/>
          <w:highlight w:val="none"/>
          <w:u w:val="single"/>
        </w:rPr>
        <w:t>。</w:t>
      </w:r>
    </w:p>
    <w:tbl>
      <w:tblPr>
        <w:tblStyle w:val="62"/>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43"/>
        <w:gridCol w:w="2414"/>
        <w:gridCol w:w="540"/>
        <w:gridCol w:w="555"/>
        <w:gridCol w:w="1770"/>
        <w:gridCol w:w="1791"/>
      </w:tblGrid>
      <w:tr w14:paraId="226B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688" w:type="dxa"/>
            <w:gridSpan w:val="7"/>
            <w:noWrap w:val="0"/>
            <w:vAlign w:val="center"/>
          </w:tcPr>
          <w:p w14:paraId="1536CCBB">
            <w:pPr>
              <w:widowControl/>
              <w:adjustRightInd/>
              <w:jc w:val="center"/>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b/>
                <w:color w:val="auto"/>
                <w:kern w:val="0"/>
                <w:sz w:val="24"/>
                <w:highlight w:val="none"/>
              </w:rPr>
              <w:t>技术参数要求表</w:t>
            </w:r>
          </w:p>
        </w:tc>
      </w:tr>
      <w:tr w14:paraId="0E57D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5" w:type="dxa"/>
            <w:noWrap w:val="0"/>
            <w:vAlign w:val="center"/>
          </w:tcPr>
          <w:p w14:paraId="29F3599A">
            <w:pPr>
              <w:widowControl/>
              <w:adjustRightInd/>
              <w:jc w:val="center"/>
              <w:rPr>
                <w:rFonts w:ascii="宋体" w:hAnsi="宋体"/>
                <w:b/>
                <w:color w:val="auto"/>
                <w:szCs w:val="21"/>
                <w:highlight w:val="none"/>
              </w:rPr>
            </w:pPr>
            <w:r>
              <w:rPr>
                <w:rFonts w:hint="eastAsia" w:cs="宋体" w:asciiTheme="minorEastAsia" w:hAnsiTheme="minorEastAsia" w:eastAsiaTheme="minorEastAsia"/>
                <w:color w:val="000000" w:themeColor="text1"/>
                <w:kern w:val="0"/>
                <w:sz w:val="24"/>
                <w14:textFill>
                  <w14:solidFill>
                    <w14:schemeClr w14:val="tx1"/>
                  </w14:solidFill>
                </w14:textFill>
              </w:rPr>
              <w:t>序号</w:t>
            </w:r>
          </w:p>
        </w:tc>
        <w:tc>
          <w:tcPr>
            <w:tcW w:w="1943" w:type="dxa"/>
            <w:noWrap w:val="0"/>
            <w:vAlign w:val="center"/>
          </w:tcPr>
          <w:p w14:paraId="0554F026">
            <w:pPr>
              <w:widowControl/>
              <w:adjustRightInd/>
              <w:jc w:val="center"/>
              <w:rPr>
                <w:rFonts w:ascii="宋体" w:hAnsi="宋体"/>
                <w:b/>
                <w:color w:val="auto"/>
                <w:szCs w:val="21"/>
                <w:highlight w:val="none"/>
              </w:rPr>
            </w:pPr>
            <w:r>
              <w:rPr>
                <w:rFonts w:hint="eastAsia" w:cs="宋体" w:asciiTheme="minorEastAsia" w:hAnsiTheme="minorEastAsia" w:eastAsiaTheme="minorEastAsia"/>
                <w:color w:val="000000" w:themeColor="text1"/>
                <w:kern w:val="0"/>
                <w:sz w:val="24"/>
                <w14:textFill>
                  <w14:solidFill>
                    <w14:schemeClr w14:val="tx1"/>
                  </w14:solidFill>
                </w14:textFill>
              </w:rPr>
              <w:t>品名</w:t>
            </w:r>
          </w:p>
        </w:tc>
        <w:tc>
          <w:tcPr>
            <w:tcW w:w="2414" w:type="dxa"/>
            <w:noWrap w:val="0"/>
            <w:vAlign w:val="center"/>
          </w:tcPr>
          <w:p w14:paraId="7A22ACD0">
            <w:pPr>
              <w:widowControl/>
              <w:adjustRightInd/>
              <w:jc w:val="center"/>
              <w:rPr>
                <w:rFonts w:ascii="宋体" w:hAnsi="宋体"/>
                <w:b/>
                <w:color w:val="auto"/>
                <w:szCs w:val="21"/>
                <w:highlight w:val="none"/>
              </w:rPr>
            </w:pPr>
            <w:r>
              <w:rPr>
                <w:rFonts w:hint="eastAsia" w:cs="宋体" w:asciiTheme="minorEastAsia" w:hAnsiTheme="minorEastAsia" w:eastAsiaTheme="minorEastAsia"/>
                <w:color w:val="000000" w:themeColor="text1"/>
                <w:kern w:val="0"/>
                <w:sz w:val="24"/>
                <w14:textFill>
                  <w14:solidFill>
                    <w14:schemeClr w14:val="tx1"/>
                  </w14:solidFill>
                </w14:textFill>
              </w:rPr>
              <w:t>服务内容</w:t>
            </w:r>
          </w:p>
        </w:tc>
        <w:tc>
          <w:tcPr>
            <w:tcW w:w="540" w:type="dxa"/>
            <w:noWrap w:val="0"/>
            <w:vAlign w:val="center"/>
          </w:tcPr>
          <w:p w14:paraId="1F048245">
            <w:pPr>
              <w:widowControl/>
              <w:adjustRightInd/>
              <w:jc w:val="center"/>
              <w:rPr>
                <w:rFonts w:ascii="宋体" w:hAnsi="宋体"/>
                <w:b/>
                <w:color w:val="auto"/>
                <w:szCs w:val="21"/>
                <w:highlight w:val="none"/>
              </w:rPr>
            </w:pPr>
            <w:r>
              <w:rPr>
                <w:rFonts w:hint="eastAsia" w:cs="宋体" w:asciiTheme="minorEastAsia" w:hAnsiTheme="minorEastAsia" w:eastAsiaTheme="minorEastAsia"/>
                <w:color w:val="000000" w:themeColor="text1"/>
                <w:kern w:val="0"/>
                <w:sz w:val="24"/>
                <w14:textFill>
                  <w14:solidFill>
                    <w14:schemeClr w14:val="tx1"/>
                  </w14:solidFill>
                </w14:textFill>
              </w:rPr>
              <w:t>单位</w:t>
            </w:r>
          </w:p>
        </w:tc>
        <w:tc>
          <w:tcPr>
            <w:tcW w:w="555" w:type="dxa"/>
            <w:noWrap w:val="0"/>
            <w:vAlign w:val="center"/>
          </w:tcPr>
          <w:p w14:paraId="6A914F07">
            <w:pPr>
              <w:widowControl/>
              <w:adjustRightInd/>
              <w:jc w:val="center"/>
              <w:rPr>
                <w:rFonts w:ascii="宋体" w:hAnsi="宋体"/>
                <w:b/>
                <w:color w:val="auto"/>
                <w:szCs w:val="21"/>
                <w:highlight w:val="none"/>
              </w:rPr>
            </w:pPr>
            <w:r>
              <w:rPr>
                <w:rFonts w:hint="eastAsia" w:cs="宋体" w:asciiTheme="minorEastAsia" w:hAnsiTheme="minorEastAsia" w:eastAsiaTheme="minorEastAsia"/>
                <w:color w:val="000000" w:themeColor="text1"/>
                <w:kern w:val="0"/>
                <w:sz w:val="24"/>
                <w14:textFill>
                  <w14:solidFill>
                    <w14:schemeClr w14:val="tx1"/>
                  </w14:solidFill>
                </w14:textFill>
              </w:rPr>
              <w:t>数量</w:t>
            </w:r>
          </w:p>
        </w:tc>
        <w:tc>
          <w:tcPr>
            <w:tcW w:w="1770" w:type="dxa"/>
            <w:noWrap w:val="0"/>
            <w:vAlign w:val="center"/>
          </w:tcPr>
          <w:p w14:paraId="2BF156AA">
            <w:pPr>
              <w:widowControl/>
              <w:adjustRightInd/>
              <w:jc w:val="center"/>
              <w:rPr>
                <w:rFonts w:hint="eastAsia" w:ascii="宋体" w:hAnsi="宋体"/>
                <w:b/>
                <w:color w:val="auto"/>
                <w:szCs w:val="21"/>
                <w:highlight w:val="none"/>
              </w:rPr>
            </w:pPr>
            <w:r>
              <w:rPr>
                <w:rFonts w:hint="eastAsia" w:cs="宋体" w:asciiTheme="minorEastAsia" w:hAnsiTheme="minorEastAsia" w:eastAsiaTheme="minorEastAsia"/>
                <w:color w:val="000000" w:themeColor="text1"/>
                <w:kern w:val="0"/>
                <w:sz w:val="24"/>
                <w14:textFill>
                  <w14:solidFill>
                    <w14:schemeClr w14:val="tx1"/>
                  </w14:solidFill>
                </w14:textFill>
              </w:rPr>
              <w:t>服务要求</w:t>
            </w:r>
          </w:p>
        </w:tc>
        <w:tc>
          <w:tcPr>
            <w:tcW w:w="1791" w:type="dxa"/>
            <w:noWrap w:val="0"/>
            <w:vAlign w:val="center"/>
          </w:tcPr>
          <w:p w14:paraId="3ACFACF7">
            <w:pPr>
              <w:widowControl/>
              <w:adjustRightInd/>
              <w:jc w:val="center"/>
              <w:rPr>
                <w:rFonts w:hint="eastAsia" w:ascii="宋体" w:hAnsi="宋体"/>
                <w:b/>
                <w:color w:val="auto"/>
                <w:szCs w:val="21"/>
                <w:highlight w:val="none"/>
              </w:rPr>
            </w:pPr>
            <w:r>
              <w:rPr>
                <w:rFonts w:hint="eastAsia" w:cs="宋体" w:asciiTheme="minorEastAsia" w:hAnsiTheme="minorEastAsia" w:eastAsiaTheme="minorEastAsia"/>
                <w:color w:val="000000" w:themeColor="text1"/>
                <w:kern w:val="0"/>
                <w:sz w:val="24"/>
                <w14:textFill>
                  <w14:solidFill>
                    <w14:schemeClr w14:val="tx1"/>
                  </w14:solidFill>
                </w14:textFill>
              </w:rPr>
              <w:t>服务标准</w:t>
            </w:r>
          </w:p>
        </w:tc>
      </w:tr>
      <w:tr w14:paraId="0CDC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75" w:type="dxa"/>
            <w:noWrap w:val="0"/>
            <w:vAlign w:val="center"/>
          </w:tcPr>
          <w:p w14:paraId="189EEB3B">
            <w:pPr>
              <w:spacing w:line="36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p>
        </w:tc>
        <w:tc>
          <w:tcPr>
            <w:tcW w:w="1943" w:type="dxa"/>
            <w:noWrap w:val="0"/>
            <w:vAlign w:val="center"/>
          </w:tcPr>
          <w:p w14:paraId="62E151A0">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A分标-第一承办片区（市本级、海城区、银海区、铁山港区、涠洲岛旅游区）</w:t>
            </w:r>
          </w:p>
        </w:tc>
        <w:tc>
          <w:tcPr>
            <w:tcW w:w="2414" w:type="dxa"/>
            <w:noWrap w:val="0"/>
            <w:vAlign w:val="center"/>
          </w:tcPr>
          <w:p w14:paraId="38DED6CC">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承办2025-2026年度北海市长期护理保险委托经办服务，提供与围绕参保人员享受长期护理保险待遇密切相关的承办服务</w:t>
            </w:r>
          </w:p>
        </w:tc>
        <w:tc>
          <w:tcPr>
            <w:tcW w:w="540" w:type="dxa"/>
            <w:noWrap w:val="0"/>
            <w:vAlign w:val="center"/>
          </w:tcPr>
          <w:p w14:paraId="4EDE4A4E">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项</w:t>
            </w:r>
          </w:p>
        </w:tc>
        <w:tc>
          <w:tcPr>
            <w:tcW w:w="555" w:type="dxa"/>
            <w:noWrap w:val="0"/>
            <w:vAlign w:val="center"/>
          </w:tcPr>
          <w:p w14:paraId="355B9A1D">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w:t>
            </w:r>
          </w:p>
        </w:tc>
        <w:tc>
          <w:tcPr>
            <w:tcW w:w="1770" w:type="dxa"/>
            <w:noWrap w:val="0"/>
            <w:vAlign w:val="center"/>
          </w:tcPr>
          <w:p w14:paraId="1D77F838">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商务技术要求表</w:t>
            </w:r>
          </w:p>
        </w:tc>
        <w:tc>
          <w:tcPr>
            <w:tcW w:w="1791" w:type="dxa"/>
            <w:noWrap w:val="0"/>
            <w:vAlign w:val="center"/>
          </w:tcPr>
          <w:p w14:paraId="160B9570">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商务技术要求表</w:t>
            </w:r>
          </w:p>
        </w:tc>
      </w:tr>
      <w:tr w14:paraId="3F431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688" w:type="dxa"/>
            <w:gridSpan w:val="7"/>
            <w:noWrap w:val="0"/>
            <w:vAlign w:val="center"/>
          </w:tcPr>
          <w:p w14:paraId="411D5D05">
            <w:pPr>
              <w:widowControl/>
              <w:adjustRightInd/>
              <w:jc w:val="center"/>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b/>
                <w:bCs/>
                <w:color w:val="auto"/>
                <w:kern w:val="0"/>
                <w:sz w:val="24"/>
                <w:highlight w:val="none"/>
                <w:lang w:bidi="ar"/>
              </w:rPr>
              <w:t>商务</w:t>
            </w:r>
            <w:r>
              <w:rPr>
                <w:rFonts w:hint="eastAsia" w:cs="宋体" w:asciiTheme="minorEastAsia" w:hAnsiTheme="minorEastAsia" w:eastAsiaTheme="minorEastAsia"/>
                <w:b/>
                <w:bCs/>
                <w:color w:val="auto"/>
                <w:kern w:val="0"/>
                <w:sz w:val="24"/>
                <w:highlight w:val="none"/>
                <w:lang w:eastAsia="zh-CN" w:bidi="ar"/>
              </w:rPr>
              <w:t>技术</w:t>
            </w:r>
            <w:r>
              <w:rPr>
                <w:rFonts w:hint="eastAsia" w:cs="宋体" w:asciiTheme="minorEastAsia" w:hAnsiTheme="minorEastAsia" w:eastAsiaTheme="minorEastAsia"/>
                <w:b/>
                <w:bCs/>
                <w:color w:val="auto"/>
                <w:kern w:val="0"/>
                <w:sz w:val="24"/>
                <w:highlight w:val="none"/>
                <w:lang w:bidi="ar"/>
              </w:rPr>
              <w:t>要求表</w:t>
            </w:r>
          </w:p>
        </w:tc>
      </w:tr>
      <w:tr w14:paraId="425F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9688" w:type="dxa"/>
            <w:gridSpan w:val="7"/>
            <w:shd w:val="clear" w:color="auto" w:fill="FFFFFF"/>
            <w:noWrap w:val="0"/>
            <w:vAlign w:val="center"/>
          </w:tcPr>
          <w:p w14:paraId="58EBD00E">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▲一、服务内容包含但不限于以下内容</w:t>
            </w:r>
          </w:p>
          <w:p w14:paraId="606C6E31">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在确保基金安全和监管有效的前提下，采购人与中标人签订采购合同委托其参与北海市长期护理保险经办工作，中标人严格按照我市长期护理保险制度有关规定及合同约定开展各项工作。具体包括:</w:t>
            </w:r>
          </w:p>
          <w:p w14:paraId="4155802A">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（一）长期护理保险政策宣传与咨询、投诉举报线索受理;</w:t>
            </w:r>
          </w:p>
          <w:p w14:paraId="1A55344E">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（二）配合开展申请受理及材料审核工作;</w:t>
            </w:r>
          </w:p>
          <w:p w14:paraId="65E70D05">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（三）组织失能评估和护理需求评估工作。安排长护专员监督现场评估实施，并结合护理服务建议，与定点长护服务机构和参保人员或其监护人、委托代理人沟通协调，形成护理服务计划；</w:t>
            </w:r>
          </w:p>
          <w:p w14:paraId="7D768EAD">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（四）协助开展失能评估机构和长护服务机构定点申请受理、材料初审、综合审核以及失能评估费用、护理服务费用初审等事务性工作;</w:t>
            </w:r>
          </w:p>
          <w:p w14:paraId="4CF5C166">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（五）协助做好定点评估机构和定点长护服务机构日常检查、评估结论及参保人员失能状态和服务质量检查等工作;</w:t>
            </w:r>
          </w:p>
          <w:p w14:paraId="1A44234D">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（六）协助开展异议复评、重新评估等工作;</w:t>
            </w:r>
          </w:p>
          <w:p w14:paraId="2D7BEACC">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（七）协助做好信息系统运用和档案管理工作;</w:t>
            </w:r>
          </w:p>
          <w:p w14:paraId="7D685103">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（八）协助做好相关业务培训;</w:t>
            </w:r>
          </w:p>
          <w:p w14:paraId="29507C5D">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（九）实施长期护理保险制度所必须的其他工作。</w:t>
            </w:r>
          </w:p>
          <w:p w14:paraId="2583C65C">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▲二、技术及服务要求</w:t>
            </w:r>
          </w:p>
          <w:p w14:paraId="24313778">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（一）总体要求</w:t>
            </w:r>
          </w:p>
          <w:p w14:paraId="76B191B7">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中标人按《北海市人民政府关于建立北海市长期护理保险制度的实施意见》(北政发〔2024〕17号)、《北海市医疗保障局 北海市人力资源和社会保障局 北海市财政局 北海市卫生健康委员会 北海市民政局 国家税务总局北海市税务局 北海市残疾人联合会关于印发&lt;北海市长期护理保险实施细则&gt;的通知》(北医保发〔2024〕15号)等相关配套政策文件要求，在医保部门指导下提供长期护理保险承办服务，并接受医保部门考核、服务群众监督。</w:t>
            </w:r>
          </w:p>
          <w:p w14:paraId="73D46718">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（二）服务队伍建设</w:t>
            </w:r>
          </w:p>
          <w:p w14:paraId="2974E367">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1.服务场所要求</w:t>
            </w:r>
          </w:p>
          <w:p w14:paraId="4E58B336">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中标人要在承办片区内设置专门的服务办公场所，用于开展内部综合管理及长期护理保险承办服务等工作。</w:t>
            </w:r>
          </w:p>
          <w:p w14:paraId="518E3649">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2.管理制度制定</w:t>
            </w:r>
          </w:p>
          <w:p w14:paraId="06F1F688">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中标人应成立长期护理保险的专门管理机构，建立长期护理保险服务工作制度、长期护理保险信息安全管理制度、内控管理制度、人员管理与培训等相关管理制度，并送采购人备案。</w:t>
            </w:r>
          </w:p>
          <w:p w14:paraId="5C8C1013">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3.服务人员配置</w:t>
            </w:r>
          </w:p>
          <w:p w14:paraId="1F031234">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为长期护理保险承办服务工作建立一支专业的服务队伍。要求为承办片区配备与长期护理保险承办服务工作量相适应的工作人员数量，每个承办片区配备的工作人员不低于30名，由采购人统一调配使用和管理。其中，具有护理、康复及医药等专业资质的人员数量占比不低于50%。</w:t>
            </w:r>
          </w:p>
          <w:p w14:paraId="30C83E23">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4.办公设施配备</w:t>
            </w:r>
          </w:p>
          <w:p w14:paraId="441B03FC">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中标人应配备开展各项业务(包括失能评估以及业务经办等）所需的办公设施设备用品，包括但不限于工作车辆、电脑、打印机、复印机、扫描仪、耗材、移动智能监控设备、办公桌椅、工作服装等。</w:t>
            </w:r>
          </w:p>
          <w:p w14:paraId="71B03662">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5.保密要求</w:t>
            </w:r>
          </w:p>
          <w:p w14:paraId="2EACBA7B">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中标人对相关信息、数据、资料承担保密责任，不得用于其他用途，不得向第三方交换和泄露，不得利用经办之便推销或者变相推销其他商业保险产品。</w:t>
            </w:r>
          </w:p>
          <w:p w14:paraId="17947935">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（三）具体服务要求</w:t>
            </w:r>
          </w:p>
          <w:p w14:paraId="2F95743F">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 xml:space="preserve"> 1.政策宣传和咨询</w:t>
            </w:r>
          </w:p>
          <w:p w14:paraId="45AFA98D">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制定宣传工作方案，并在采购人的领导下协助做好长期护理保险政策宣传工作，每年大型宣传活动不少于6次，其中，每两个月不少于1次，扩大长期护理保险政策、经办、改革成效在社会的知晓度，做好制度正向宣传、咨询引导和舆情处理工作。</w:t>
            </w:r>
          </w:p>
          <w:p w14:paraId="01176208">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2.组织失能评估</w:t>
            </w:r>
          </w:p>
          <w:p w14:paraId="5F205FAD">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建立失能评估管理机制，按照自评、申请、受理、前置调查、评估、结论公示、异议复评、每年例行复评等程序开展失能评估工作，根据采购人业务需要，按需组织评估，并协助做好组织长期护理保险评估人员参与失能评估工作。评估评审费用需按照《北海市人民政府关于建立北海市长期护理保险制度的实施意见》(北政发〔2024〕17号)、《北海市长期护理保险实施细则》(北医保发〔2024〕15号)要求据实申报并支付。确保符合条件的重度失能人员按规定享受长期护理保险待遇。</w:t>
            </w:r>
          </w:p>
          <w:p w14:paraId="5433EDEC">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3.定点护理服务机构管理</w:t>
            </w:r>
          </w:p>
          <w:p w14:paraId="1D5F7F58">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建立定点护理服务机构日常管理机制，在采购人的领导下，配合承办片区相应市、县（区）医保经办机构，做好定点护理服务机构的评估、日常管理、监督检查、协议考核、月度费用结算、护理纠纷、投诉信访和违约处理工作。</w:t>
            </w:r>
          </w:p>
          <w:p w14:paraId="3EB973B1">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4.月度费用结算</w:t>
            </w:r>
          </w:p>
          <w:p w14:paraId="65E8ADC5">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从长期护理保险运行的第二个月起，在每月10日前将上月用以支付长期护理保险待遇的费用明细报表向市级医疗保障经办机构申报，市级医疗保障经办机构在收到报表后的5个工作日内完成审核结算，并将上月符合规定的长期护理保险护理费用拨付给长期护理保险承办机构，长期护理保险承办机构在每月20日前负责与定点护理服务机构直接结算。</w:t>
            </w:r>
          </w:p>
          <w:p w14:paraId="798D0FCE">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5.人员培训及考核</w:t>
            </w:r>
          </w:p>
          <w:p w14:paraId="72D0BE14">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中标人应在采购人的领导下协助做好对评估人员、护理人员的岗前培训以及考核工作，每月按需集中组织护理人员岗前培训工作。</w:t>
            </w:r>
          </w:p>
          <w:p w14:paraId="6E049AFE">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6.稽核巡查</w:t>
            </w:r>
          </w:p>
          <w:p w14:paraId="28571AD9">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协助做好稽核巡查工作，根据情况，中标人应每月开展至少1次上门稽核巡查工作，稽核的主要内容包括重度失能人员生存状态、护理环境是否改善、实际护理人员是否相符、护理任务是否完成、家属的满意度评价等。每月上门稽核巡查覆盖率不低于全市重度失能人员数量的10%，全年上门稽核巡查覆盖率达 100%以上。</w:t>
            </w:r>
          </w:p>
          <w:p w14:paraId="16FF2A8A">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7.护理服务监管</w:t>
            </w:r>
          </w:p>
          <w:p w14:paraId="06CB5410">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建立护理管理机制，结合定点服务协议等有关规定，对定点护理服务机构、居家护理服务人员实行服务监管，“线上+线下”双线联动，通过移动稽核技术对居家和协议定点护理服务机构服务情况进行监督，线下每月对协议定点护理服务机构上门稽核监管护理服务，规范服务行为，提升服务质量和水平。</w:t>
            </w:r>
          </w:p>
          <w:p w14:paraId="4E518DA4">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8.信息系统建设</w:t>
            </w:r>
          </w:p>
          <w:p w14:paraId="2A13EA6F">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北海市长期护理保险系统统一使用广西医保信息平台的长期护理保险功能模块。结合实际情况，中标人应具备信息系统建设的组织及协调能力，无偿配合医保经办机构、信息系统按我市差异需求优化的承建商做好我市长期护理保险信息系统的建设和维护（涉及的系统建设费用，由中标人从承办服务费用中支出，预计不超过50万元，由2个中标人按项目成交价格总额各自的占比对应承担）。中标人应建立信息系统运维管理机制、异常数据筛查机制，严格按照采购人提供的医保信息平台长期护理保险信息系统操作规范及业务经办流程，受理和办理长期护理保险各项业务。</w:t>
            </w:r>
          </w:p>
          <w:p w14:paraId="1EFAFE4C">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9.内控管理</w:t>
            </w:r>
          </w:p>
          <w:p w14:paraId="0AB4BCE8">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中标人应成立长期护理保险的专门管理团队，建立长期护理保险服务工作制度、人员管理与培训等相关管理制度，并报送采购人备案。</w:t>
            </w:r>
          </w:p>
          <w:p w14:paraId="6D25872A">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10.时间要求</w:t>
            </w:r>
          </w:p>
          <w:p w14:paraId="21A4226C">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中标人应于合同生效后安排项目负责人及主要专职人员到位开展工作；应于合同生效后20天内确保本项目全体工作人员及办公设备设施到位。</w:t>
            </w:r>
          </w:p>
          <w:p w14:paraId="5F64EB32">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11.自我评价机制</w:t>
            </w:r>
          </w:p>
          <w:p w14:paraId="4330EE63">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建立自我评价机制，定期进行运行分析、风险评估、风险预测，对业务承办过程中出现的各种问题和可能出现的风险进行分析汇总并从专业角度提出合理化意见，于每季度结束后15个工作日内向采购人提交长期护理保险运行报告。</w:t>
            </w:r>
          </w:p>
          <w:p w14:paraId="39793130">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12.支持研究工作</w:t>
            </w:r>
          </w:p>
          <w:p w14:paraId="21FBA722">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根据采购人工作需要，结合国家、自治区、北海市失能等级评估标准，开放所属总公司拥有版权的失能等级评估标准和服务评价标准研究成果的使用相关授权，参与或支持相关科研机构开展失能评估标准研究和长期护理保险护理服务质量评价标准研究工作。</w:t>
            </w:r>
          </w:p>
          <w:p w14:paraId="0C63C61F">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13.规范承办服务费使用</w:t>
            </w:r>
          </w:p>
          <w:p w14:paraId="351CAB74">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承诺规范承办服务费的使用，建立长期护理保险承办费用的预决算制度，专款专用，单独核算，不与中标人其他资金混用。除由本次采购项目所指的长期护理保险基金拨付的承办服务费用外，由中标人或其所属总公司投入的其他资金，由中标人自行管理。</w:t>
            </w:r>
          </w:p>
          <w:p w14:paraId="7F2549E9">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14.合同约定的其他事项及中标人投标时承诺的其他服务。</w:t>
            </w:r>
          </w:p>
          <w:p w14:paraId="0761F8DA">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三、对投标人的要求</w:t>
            </w:r>
          </w:p>
          <w:p w14:paraId="3C75DDFE">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（一）投标人应当具备充分的长期护理保险业务承办服务能力，适应国家、自治区、我市长期护理保险政策及经办管理要求。</w:t>
            </w:r>
          </w:p>
          <w:p w14:paraId="45247BF2">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（二）本项目不接受联合体投标。</w:t>
            </w:r>
            <w:bookmarkStart w:id="532" w:name="_GoBack"/>
            <w:bookmarkEnd w:id="532"/>
          </w:p>
          <w:p w14:paraId="681F3B3F">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四、商务要求</w:t>
            </w:r>
          </w:p>
          <w:p w14:paraId="09DDF47E">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▲（一）合同签订日期</w:t>
            </w:r>
            <w:r>
              <w:rPr>
                <w:rFonts w:hint="eastAsia" w:cs="宋体" w:asciiTheme="minorEastAsia" w:hAnsiTheme="minorEastAsia" w:eastAsiaTheme="minorEastAsia"/>
                <w:color w:val="auto"/>
                <w:kern w:val="0"/>
                <w:sz w:val="24"/>
                <w:szCs w:val="24"/>
                <w:highlight w:val="none"/>
                <w:lang w:val="en-US" w:eastAsia="zh-CN" w:bidi="ar"/>
              </w:rPr>
              <w:t>：自中标通知书发出之日起15日内</w:t>
            </w:r>
          </w:p>
          <w:p w14:paraId="3734CFEF">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（二）提交服务成果时间</w:t>
            </w:r>
            <w:r>
              <w:rPr>
                <w:rFonts w:hint="eastAsia" w:cs="宋体" w:asciiTheme="minorEastAsia" w:hAnsiTheme="minorEastAsia" w:eastAsiaTheme="minorEastAsia"/>
                <w:color w:val="auto"/>
                <w:kern w:val="0"/>
                <w:sz w:val="24"/>
                <w:szCs w:val="24"/>
                <w:highlight w:val="none"/>
                <w:lang w:val="en-US" w:eastAsia="zh-CN" w:bidi="ar"/>
              </w:rPr>
              <w:t>：自2025年6月1日起至2026年12月31日止</w:t>
            </w:r>
          </w:p>
          <w:p w14:paraId="32AD7F1E">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（三）提交服务成果地点</w:t>
            </w:r>
            <w:r>
              <w:rPr>
                <w:rFonts w:hint="eastAsia" w:cs="宋体" w:asciiTheme="minorEastAsia" w:hAnsiTheme="minorEastAsia" w:eastAsiaTheme="minorEastAsia"/>
                <w:color w:val="auto"/>
                <w:kern w:val="0"/>
                <w:sz w:val="24"/>
                <w:szCs w:val="24"/>
                <w:highlight w:val="none"/>
                <w:lang w:val="en-US" w:eastAsia="zh-CN" w:bidi="ar"/>
              </w:rPr>
              <w:t>：广西北海市</w:t>
            </w:r>
          </w:p>
          <w:p w14:paraId="10DEE080">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▲（四）付款时间和方式</w:t>
            </w:r>
            <w:r>
              <w:rPr>
                <w:rFonts w:hint="eastAsia" w:cs="宋体" w:asciiTheme="minorEastAsia" w:hAnsiTheme="minorEastAsia" w:eastAsiaTheme="minorEastAsia"/>
                <w:color w:val="auto"/>
                <w:kern w:val="0"/>
                <w:sz w:val="24"/>
                <w:szCs w:val="24"/>
                <w:highlight w:val="none"/>
                <w:lang w:val="en-US" w:eastAsia="zh-CN" w:bidi="ar"/>
              </w:rPr>
              <w:t>：本项目无预付款，长期护理保险承办服务费用采用按季度拨付及年度清算方式，合同期内的长期护理保险承办服务费用95%按季度进行拨付，剩余的5%作为履约考核款，采购人严格按照考核办法对中标人进行考核，考核结束后30个工作日内根据考核结果与中标人进行年度清算。</w:t>
            </w:r>
          </w:p>
          <w:p w14:paraId="5C6C70AE">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具体为:2025年6月1日至2025年12月31日分二次按季度拨付资金。2026年1月1日至2026年12月31日，分四次按季度划拨。年度考核后拨付清算资金。</w:t>
            </w:r>
          </w:p>
          <w:p w14:paraId="35A4A787">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1.2025年6月1日至2025年12月31日划拨资金</w:t>
            </w:r>
          </w:p>
          <w:p w14:paraId="5ED713E2">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第一次季度拨付资金=（A分标中标响应的费率×2025年6月1日至2025年8月31日全市职工长期护理保险保费总额）×95%×二分之一，中标人先开具发票提供至采购人，采购人自收到财政拨款的5个工作日内划拨至中标人。</w:t>
            </w:r>
          </w:p>
          <w:p w14:paraId="108027D9">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第二次季度拨付资金=（A分标中标响应的费率×2025年9月1日至2025年12月31日全市职工长期护理保险保费总额）×95%×二分之一，中标人先开具发票提供至采购人，采购人自收到财政拨款的5个工作日内划拨至中标人。</w:t>
            </w:r>
          </w:p>
          <w:p w14:paraId="44CB5502">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2.2026年1月1日至2026年12月31日划拨资金</w:t>
            </w:r>
          </w:p>
          <w:p w14:paraId="4332F7AB">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第一次季度拨付资金=〔A分标中标响应的费率×（2025年9月1日至2025年12月31日全市缴纳2026年度居民长期护理保险保费总额的四分之一+2026年1月1日至3月31日全市职工长期护理保险保费总额）〕×95%×二分之一，中标人先开具发票提供至采购人，采购人自收到财政拨款的5个工作日内划拨至中标人。</w:t>
            </w:r>
          </w:p>
          <w:p w14:paraId="15B820EA">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第二次季度拨付资金=〔A分标中标响应的费率×（2025年9月1日至2025年12月31日全市缴纳2026年度居民长期护理保险保费总额的四分之一+2026年4月1日至6月30日全市职工长期护理保险保费总额）〕×95%×二分之一，中标人先开具发票提供至采购人，采购人自收到财政拨款的5个工作日内划拨至中标人。</w:t>
            </w:r>
          </w:p>
          <w:p w14:paraId="744F0B7B">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第三次季度拨付资金=〔A分标中标响应的费率×（2025年9月1日至2025年12月31日全市缴纳2026年度居民长期护理保险保费总额的四分之一+2026年7月1日至9月30日全市职工长期护理保险保费总额）〕×95%×二分之一，中标人先开具发票提供至采购人，采购人自收到财政拨款的5个工作日内划拨至中标人。</w:t>
            </w:r>
          </w:p>
          <w:p w14:paraId="6560D521">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第四次季度拨付资金=〔A分标中标响应的费率×（2025年9月1日至2025年12月31日全市缴纳2026年度居民长期护理保险保费总额的四分之一+2026年1月1日至12月31日全市缴纳2026年度居民长期护理保险保费总额+2026年9月1日至12月31日全市职工医疗长期护理保险保费总额）〕×95%×二分之一，中标人先开具发票提供至采购人，采购人自收到财政拨款的5个工作日内划拨至中标人。</w:t>
            </w:r>
          </w:p>
          <w:p w14:paraId="613BEB51">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3.年度清算资金</w:t>
            </w:r>
          </w:p>
          <w:p w14:paraId="60EBF84E">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采购人根据长期护理保险资金，结合北海市长期护理保险委托承办考核办法（具体由采购人另行制定）等文件以及考核结果，于2027年3月31日前确定年度清算资金。</w:t>
            </w:r>
          </w:p>
          <w:p w14:paraId="020EB2A6">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年度清算资金=(合同年度实际承办服务费-合同年度季度拨付资金总额)×考核结果比例</w:t>
            </w:r>
          </w:p>
          <w:p w14:paraId="6146FD4F">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（五）售后服务要求</w:t>
            </w:r>
          </w:p>
          <w:p w14:paraId="689E66BF">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▲1.质量保证期1年7个月(自2025年6月1日起计)。</w:t>
            </w:r>
          </w:p>
          <w:p w14:paraId="775E6F0C">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2.接到采购人处理问题通知后，中标人必须2小时内安排相关工作人员到达采购人指定现场。</w:t>
            </w:r>
          </w:p>
          <w:p w14:paraId="25E2197B">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（六）其他要求</w:t>
            </w:r>
          </w:p>
          <w:p w14:paraId="3F558085">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▲1.报价必须含以下部分，包括:</w:t>
            </w:r>
          </w:p>
          <w:p w14:paraId="4B61A89D">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（1）服务的价格;</w:t>
            </w:r>
          </w:p>
          <w:p w14:paraId="64D725BD">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（2）必要的保险费用和各项税金；</w:t>
            </w:r>
          </w:p>
          <w:p w14:paraId="1253BD33">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2.本项目长期护理保险承办机构的承办服务费=全市长期护理保险保费总额×4%(以中标人实际响应的费率为准)，其中，A分标为不高于北海市当年长期护理保险实际征缴保费总额二分之一的4%(以中标人实际响应的费率为准)，B分标为不高于北海市当年长期护理保险实际征缴保费总额二分之一的4%(以中标人实际响应的费率为准)。</w:t>
            </w:r>
          </w:p>
          <w:p w14:paraId="11040CFB">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3.根据本项目的服务要求，投标人在投标技术文件中提供服务方案，包括总体承办服务方案、组织失能评估工作方案、长期护理保险服务管理方案、稽核巡查及基金监管方案、系统建设及信息化服务方案、宣传与培训方案、综合配置方案等内容。</w:t>
            </w:r>
          </w:p>
          <w:p w14:paraId="3B7CDE29">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4.投标人为本项目提供的所有服务符合现行的国家相关强制性标准、行业标准。</w:t>
            </w:r>
          </w:p>
          <w:p w14:paraId="07518171">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五、考核评估及违约规定</w:t>
            </w:r>
          </w:p>
          <w:p w14:paraId="058BD458">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采购人根据《北海市人民政府关于建立北海市长期护理保险制度的实施意见》(北政发〔2024〕17号)、《北海市长期护理保险实施细则》(北医保发〔2024〕15号)等要求，制定绩效考核指标并按照有关规定对中标人的服务行为和服务质量进行绩效综合考核，绩效考核结果与长期护理保险承办服务费用的清算及中标人的退出机制挂钩。</w:t>
            </w:r>
          </w:p>
          <w:p w14:paraId="795402A3">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六、中标人退出约束</w:t>
            </w:r>
          </w:p>
          <w:p w14:paraId="3A8E22E2">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合同生效后，除法律法规规定外，中标人不得单方面解除合同、中途退出，否则采购人不予拨付长期护理保险委托业务剩余服务期对应的承办服务费，对于已拨付的承办服务费，中标人需退还给采购人。</w:t>
            </w:r>
          </w:p>
          <w:p w14:paraId="582B7931">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七、合同终止机制</w:t>
            </w:r>
          </w:p>
          <w:p w14:paraId="7C1271E7">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履行合同期间如本市或上位长期护理保险政策有重大调整，影响到合同履行的，采购人可根据情况单方面终止合同，无须承担违约责任。</w:t>
            </w:r>
          </w:p>
          <w:p w14:paraId="49C2ACC6">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有下列情形之一的，经采购人核查情况属实的，并报市政府采购监督部门后终止合同，长期护理保险委托业务剩余服务期对应的委托费用不予支付，违规费用予以追回，且中标人须按长期护理保险委托业务剩余服务期对应的委托费用赔偿：</w:t>
            </w:r>
          </w:p>
          <w:p w14:paraId="403511B2">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（一）套取、骗取长期护理保险基金的;</w:t>
            </w:r>
          </w:p>
          <w:p w14:paraId="7C8A874F">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（二）泄露参保人员个人信息或将参保人员个人信息用于其它用途，造成较大社会影响的;</w:t>
            </w:r>
          </w:p>
          <w:p w14:paraId="5910373A">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（三）在合同履行过程中，中标人被吊销相关经营资质，或被处以重大行政处罚，严重影响本合同的正常履行的;</w:t>
            </w:r>
          </w:p>
          <w:p w14:paraId="6F02D17B">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（四）其他造成严重后果或重大影响的情形。</w:t>
            </w:r>
          </w:p>
          <w:p w14:paraId="02A2690B">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本合同一经签订，双方不得擅自变更、中止或终止，法律法规另有规定或本合同另有约定的除外。中标人如擅自转让其应履行的合同义务，采购人有权解除合同并要求中标人按承办服务费总额的10%支付违约金。</w:t>
            </w:r>
          </w:p>
        </w:tc>
      </w:tr>
    </w:tbl>
    <w:p w14:paraId="74422750">
      <w:pPr>
        <w:spacing w:line="320" w:lineRule="exact"/>
        <w:ind w:firstLine="440" w:firstLineChars="200"/>
        <w:rPr>
          <w:rFonts w:ascii="宋体" w:hAnsi="宋体" w:cs="宋体"/>
          <w:bCs/>
          <w:color w:val="auto"/>
          <w:sz w:val="22"/>
          <w:szCs w:val="22"/>
          <w:highlight w:val="none"/>
        </w:rPr>
      </w:pPr>
    </w:p>
    <w:p w14:paraId="3B2E5D35">
      <w:pPr>
        <w:tabs>
          <w:tab w:val="left" w:pos="432"/>
        </w:tabs>
        <w:rPr>
          <w:color w:val="auto"/>
          <w:highlight w:val="none"/>
        </w:rPr>
      </w:pPr>
    </w:p>
    <w:p w14:paraId="62D6DA92">
      <w:pPr>
        <w:rPr>
          <w:color w:val="auto"/>
          <w:highlight w:val="none"/>
        </w:rPr>
      </w:pPr>
    </w:p>
    <w:p w14:paraId="1341C4B1">
      <w:pPr>
        <w:tabs>
          <w:tab w:val="left" w:pos="432"/>
        </w:tabs>
        <w:rPr>
          <w:color w:val="auto"/>
          <w:highlight w:val="none"/>
        </w:rPr>
      </w:pPr>
    </w:p>
    <w:p w14:paraId="15906AAA">
      <w:pPr>
        <w:rPr>
          <w:rFonts w:hint="eastAsia" w:ascii="宋体" w:hAnsi="宋体" w:cs="宋体"/>
          <w:b/>
          <w:color w:val="auto"/>
          <w:sz w:val="36"/>
          <w:szCs w:val="36"/>
          <w:highlight w:val="none"/>
        </w:rPr>
      </w:pPr>
      <w:bookmarkStart w:id="40" w:name="_Toc176343851"/>
      <w:bookmarkStart w:id="41" w:name="_Toc176185122"/>
      <w:r>
        <w:rPr>
          <w:rFonts w:hint="eastAsia" w:ascii="宋体" w:hAnsi="宋体" w:cs="宋体"/>
          <w:b/>
          <w:color w:val="auto"/>
          <w:sz w:val="36"/>
          <w:szCs w:val="36"/>
          <w:highlight w:val="none"/>
        </w:rPr>
        <w:br w:type="page"/>
      </w:r>
    </w:p>
    <w:p w14:paraId="5A1B0FD8">
      <w:pPr>
        <w:jc w:val="center"/>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采购需求</w:t>
      </w: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B分标</w:t>
      </w:r>
      <w:r>
        <w:rPr>
          <w:rFonts w:hint="eastAsia" w:ascii="宋体" w:hAnsi="宋体" w:cs="宋体"/>
          <w:b/>
          <w:color w:val="auto"/>
          <w:sz w:val="36"/>
          <w:szCs w:val="36"/>
          <w:highlight w:val="none"/>
          <w:lang w:eastAsia="zh-CN"/>
        </w:rPr>
        <w:t>）</w:t>
      </w:r>
    </w:p>
    <w:p w14:paraId="36233E38">
      <w:pPr>
        <w:spacing w:line="320" w:lineRule="exact"/>
        <w:ind w:firstLine="482" w:firstLineChars="200"/>
        <w:rPr>
          <w:rFonts w:ascii="宋体" w:hAnsi="宋体" w:cs="宋体"/>
          <w:bCs/>
          <w:color w:val="auto"/>
          <w:sz w:val="22"/>
          <w:szCs w:val="22"/>
          <w:highlight w:val="none"/>
        </w:rPr>
      </w:pPr>
      <w:r>
        <w:rPr>
          <w:rFonts w:hint="eastAsia" w:asciiTheme="minorEastAsia" w:hAnsiTheme="minorEastAsia" w:eastAsiaTheme="minorEastAsia"/>
          <w:b/>
          <w:bCs/>
          <w:color w:val="auto"/>
          <w:sz w:val="24"/>
          <w:highlight w:val="none"/>
          <w:u w:val="single"/>
        </w:rPr>
        <w:t>注：“▲” 系指实质性要求条款， “※”系指磋商过程中可能实质性变动的内容</w:t>
      </w:r>
      <w:r>
        <w:rPr>
          <w:rFonts w:hint="eastAsia" w:asciiTheme="minorEastAsia" w:hAnsiTheme="minorEastAsia" w:eastAsiaTheme="minorEastAsia"/>
          <w:b/>
          <w:bCs/>
          <w:color w:val="auto"/>
          <w:sz w:val="24"/>
          <w:highlight w:val="none"/>
          <w:u w:val="single"/>
          <w:lang w:eastAsia="zh-CN"/>
        </w:rPr>
        <w:t>（如有请提供）</w:t>
      </w:r>
      <w:r>
        <w:rPr>
          <w:rFonts w:hint="eastAsia" w:asciiTheme="minorEastAsia" w:hAnsiTheme="minorEastAsia" w:eastAsiaTheme="minorEastAsia"/>
          <w:b/>
          <w:bCs/>
          <w:color w:val="auto"/>
          <w:sz w:val="24"/>
          <w:highlight w:val="none"/>
          <w:u w:val="single"/>
        </w:rPr>
        <w:t>。</w:t>
      </w:r>
    </w:p>
    <w:tbl>
      <w:tblPr>
        <w:tblStyle w:val="62"/>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43"/>
        <w:gridCol w:w="2130"/>
        <w:gridCol w:w="450"/>
        <w:gridCol w:w="525"/>
        <w:gridCol w:w="2047"/>
        <w:gridCol w:w="1918"/>
      </w:tblGrid>
      <w:tr w14:paraId="2D81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688" w:type="dxa"/>
            <w:gridSpan w:val="7"/>
            <w:noWrap w:val="0"/>
            <w:vAlign w:val="center"/>
          </w:tcPr>
          <w:p w14:paraId="0A38F6C4">
            <w:pPr>
              <w:widowControl/>
              <w:adjustRightInd/>
              <w:jc w:val="center"/>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b/>
                <w:color w:val="auto"/>
                <w:kern w:val="0"/>
                <w:sz w:val="24"/>
                <w:highlight w:val="none"/>
              </w:rPr>
              <w:t>技术参数要求表</w:t>
            </w:r>
          </w:p>
        </w:tc>
      </w:tr>
      <w:tr w14:paraId="03A15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5" w:type="dxa"/>
            <w:noWrap w:val="0"/>
            <w:vAlign w:val="center"/>
          </w:tcPr>
          <w:p w14:paraId="4FBB1CFB">
            <w:pPr>
              <w:widowControl/>
              <w:adjustRightInd/>
              <w:jc w:val="center"/>
              <w:rPr>
                <w:rFonts w:ascii="宋体" w:hAnsi="宋体"/>
                <w:b/>
                <w:color w:val="auto"/>
                <w:szCs w:val="21"/>
                <w:highlight w:val="none"/>
              </w:rPr>
            </w:pPr>
            <w:r>
              <w:rPr>
                <w:rFonts w:hint="eastAsia" w:cs="宋体" w:asciiTheme="minorEastAsia" w:hAnsiTheme="minorEastAsia" w:eastAsiaTheme="minorEastAsia"/>
                <w:color w:val="000000" w:themeColor="text1"/>
                <w:kern w:val="0"/>
                <w:sz w:val="24"/>
                <w14:textFill>
                  <w14:solidFill>
                    <w14:schemeClr w14:val="tx1"/>
                  </w14:solidFill>
                </w14:textFill>
              </w:rPr>
              <w:t>序号</w:t>
            </w:r>
          </w:p>
        </w:tc>
        <w:tc>
          <w:tcPr>
            <w:tcW w:w="1943" w:type="dxa"/>
            <w:noWrap w:val="0"/>
            <w:vAlign w:val="center"/>
          </w:tcPr>
          <w:p w14:paraId="334508AD">
            <w:pPr>
              <w:widowControl/>
              <w:adjustRightInd/>
              <w:jc w:val="center"/>
              <w:rPr>
                <w:rFonts w:ascii="宋体" w:hAnsi="宋体"/>
                <w:b/>
                <w:color w:val="auto"/>
                <w:szCs w:val="21"/>
                <w:highlight w:val="none"/>
              </w:rPr>
            </w:pPr>
            <w:r>
              <w:rPr>
                <w:rFonts w:hint="eastAsia" w:cs="宋体" w:asciiTheme="minorEastAsia" w:hAnsiTheme="minorEastAsia" w:eastAsiaTheme="minorEastAsia"/>
                <w:color w:val="000000" w:themeColor="text1"/>
                <w:kern w:val="0"/>
                <w:sz w:val="24"/>
                <w14:textFill>
                  <w14:solidFill>
                    <w14:schemeClr w14:val="tx1"/>
                  </w14:solidFill>
                </w14:textFill>
              </w:rPr>
              <w:t>品名</w:t>
            </w:r>
          </w:p>
        </w:tc>
        <w:tc>
          <w:tcPr>
            <w:tcW w:w="2130" w:type="dxa"/>
            <w:noWrap w:val="0"/>
            <w:vAlign w:val="center"/>
          </w:tcPr>
          <w:p w14:paraId="6DCA6719">
            <w:pPr>
              <w:widowControl/>
              <w:adjustRightInd/>
              <w:jc w:val="center"/>
              <w:rPr>
                <w:rFonts w:ascii="宋体" w:hAnsi="宋体"/>
                <w:b/>
                <w:color w:val="auto"/>
                <w:szCs w:val="21"/>
                <w:highlight w:val="none"/>
              </w:rPr>
            </w:pPr>
            <w:r>
              <w:rPr>
                <w:rFonts w:hint="eastAsia" w:cs="宋体" w:asciiTheme="minorEastAsia" w:hAnsiTheme="minorEastAsia" w:eastAsiaTheme="minorEastAsia"/>
                <w:color w:val="000000" w:themeColor="text1"/>
                <w:kern w:val="0"/>
                <w:sz w:val="24"/>
                <w14:textFill>
                  <w14:solidFill>
                    <w14:schemeClr w14:val="tx1"/>
                  </w14:solidFill>
                </w14:textFill>
              </w:rPr>
              <w:t>服务内容</w:t>
            </w:r>
          </w:p>
        </w:tc>
        <w:tc>
          <w:tcPr>
            <w:tcW w:w="450" w:type="dxa"/>
            <w:noWrap w:val="0"/>
            <w:vAlign w:val="center"/>
          </w:tcPr>
          <w:p w14:paraId="37AF4BEF">
            <w:pPr>
              <w:widowControl/>
              <w:adjustRightInd/>
              <w:jc w:val="center"/>
              <w:rPr>
                <w:rFonts w:ascii="宋体" w:hAnsi="宋体"/>
                <w:b/>
                <w:color w:val="auto"/>
                <w:szCs w:val="21"/>
                <w:highlight w:val="none"/>
              </w:rPr>
            </w:pPr>
            <w:r>
              <w:rPr>
                <w:rFonts w:hint="eastAsia" w:cs="宋体" w:asciiTheme="minorEastAsia" w:hAnsiTheme="minorEastAsia" w:eastAsiaTheme="minorEastAsia"/>
                <w:color w:val="000000" w:themeColor="text1"/>
                <w:kern w:val="0"/>
                <w:sz w:val="24"/>
                <w14:textFill>
                  <w14:solidFill>
                    <w14:schemeClr w14:val="tx1"/>
                  </w14:solidFill>
                </w14:textFill>
              </w:rPr>
              <w:t>单位</w:t>
            </w:r>
          </w:p>
        </w:tc>
        <w:tc>
          <w:tcPr>
            <w:tcW w:w="525" w:type="dxa"/>
            <w:noWrap w:val="0"/>
            <w:vAlign w:val="center"/>
          </w:tcPr>
          <w:p w14:paraId="581B0AC7">
            <w:pPr>
              <w:widowControl/>
              <w:adjustRightInd/>
              <w:jc w:val="center"/>
              <w:rPr>
                <w:rFonts w:ascii="宋体" w:hAnsi="宋体"/>
                <w:b/>
                <w:color w:val="auto"/>
                <w:szCs w:val="21"/>
                <w:highlight w:val="none"/>
              </w:rPr>
            </w:pPr>
            <w:r>
              <w:rPr>
                <w:rFonts w:hint="eastAsia" w:cs="宋体" w:asciiTheme="minorEastAsia" w:hAnsiTheme="minorEastAsia" w:eastAsiaTheme="minorEastAsia"/>
                <w:color w:val="000000" w:themeColor="text1"/>
                <w:kern w:val="0"/>
                <w:sz w:val="24"/>
                <w14:textFill>
                  <w14:solidFill>
                    <w14:schemeClr w14:val="tx1"/>
                  </w14:solidFill>
                </w14:textFill>
              </w:rPr>
              <w:t>数量</w:t>
            </w:r>
          </w:p>
        </w:tc>
        <w:tc>
          <w:tcPr>
            <w:tcW w:w="2047" w:type="dxa"/>
            <w:noWrap w:val="0"/>
            <w:vAlign w:val="center"/>
          </w:tcPr>
          <w:p w14:paraId="2EC7E509">
            <w:pPr>
              <w:widowControl/>
              <w:adjustRightInd/>
              <w:jc w:val="center"/>
              <w:rPr>
                <w:rFonts w:hint="eastAsia" w:ascii="宋体" w:hAnsi="宋体"/>
                <w:b/>
                <w:color w:val="auto"/>
                <w:szCs w:val="21"/>
                <w:highlight w:val="none"/>
              </w:rPr>
            </w:pPr>
            <w:r>
              <w:rPr>
                <w:rFonts w:hint="eastAsia" w:cs="宋体" w:asciiTheme="minorEastAsia" w:hAnsiTheme="minorEastAsia" w:eastAsiaTheme="minorEastAsia"/>
                <w:color w:val="000000" w:themeColor="text1"/>
                <w:kern w:val="0"/>
                <w:sz w:val="24"/>
                <w14:textFill>
                  <w14:solidFill>
                    <w14:schemeClr w14:val="tx1"/>
                  </w14:solidFill>
                </w14:textFill>
              </w:rPr>
              <w:t>服务要求</w:t>
            </w:r>
          </w:p>
        </w:tc>
        <w:tc>
          <w:tcPr>
            <w:tcW w:w="1918" w:type="dxa"/>
            <w:noWrap w:val="0"/>
            <w:vAlign w:val="center"/>
          </w:tcPr>
          <w:p w14:paraId="030E935D">
            <w:pPr>
              <w:widowControl/>
              <w:adjustRightInd/>
              <w:jc w:val="center"/>
              <w:rPr>
                <w:rFonts w:hint="eastAsia" w:ascii="宋体" w:hAnsi="宋体"/>
                <w:b/>
                <w:color w:val="auto"/>
                <w:szCs w:val="21"/>
                <w:highlight w:val="none"/>
              </w:rPr>
            </w:pPr>
            <w:r>
              <w:rPr>
                <w:rFonts w:hint="eastAsia" w:cs="宋体" w:asciiTheme="minorEastAsia" w:hAnsiTheme="minorEastAsia" w:eastAsiaTheme="minorEastAsia"/>
                <w:color w:val="000000" w:themeColor="text1"/>
                <w:kern w:val="0"/>
                <w:sz w:val="24"/>
                <w14:textFill>
                  <w14:solidFill>
                    <w14:schemeClr w14:val="tx1"/>
                  </w14:solidFill>
                </w14:textFill>
              </w:rPr>
              <w:t>服务标准</w:t>
            </w:r>
          </w:p>
        </w:tc>
      </w:tr>
      <w:tr w14:paraId="3A48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75" w:type="dxa"/>
            <w:noWrap w:val="0"/>
            <w:vAlign w:val="center"/>
          </w:tcPr>
          <w:p w14:paraId="55C2464C">
            <w:pPr>
              <w:spacing w:line="36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p>
        </w:tc>
        <w:tc>
          <w:tcPr>
            <w:tcW w:w="1943" w:type="dxa"/>
            <w:noWrap w:val="0"/>
            <w:vAlign w:val="center"/>
          </w:tcPr>
          <w:p w14:paraId="69AB007D">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B分标-第二承办片区（合浦县）</w:t>
            </w:r>
          </w:p>
        </w:tc>
        <w:tc>
          <w:tcPr>
            <w:tcW w:w="2130" w:type="dxa"/>
            <w:noWrap w:val="0"/>
            <w:vAlign w:val="center"/>
          </w:tcPr>
          <w:p w14:paraId="4DB4C42C">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承办2025-2026年度北海市长期护理保险委托经办服务，提供与围绕参保人员享受长期护理保险待遇密切相关的承办服务</w:t>
            </w:r>
          </w:p>
        </w:tc>
        <w:tc>
          <w:tcPr>
            <w:tcW w:w="450" w:type="dxa"/>
            <w:noWrap w:val="0"/>
            <w:vAlign w:val="center"/>
          </w:tcPr>
          <w:p w14:paraId="0D0E2A1E">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项</w:t>
            </w:r>
          </w:p>
        </w:tc>
        <w:tc>
          <w:tcPr>
            <w:tcW w:w="525" w:type="dxa"/>
            <w:noWrap w:val="0"/>
            <w:vAlign w:val="center"/>
          </w:tcPr>
          <w:p w14:paraId="326991BF">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w:t>
            </w:r>
          </w:p>
        </w:tc>
        <w:tc>
          <w:tcPr>
            <w:tcW w:w="2047" w:type="dxa"/>
            <w:noWrap w:val="0"/>
            <w:vAlign w:val="center"/>
          </w:tcPr>
          <w:p w14:paraId="46A1F804">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商务技术要求表</w:t>
            </w:r>
          </w:p>
        </w:tc>
        <w:tc>
          <w:tcPr>
            <w:tcW w:w="1918" w:type="dxa"/>
            <w:noWrap w:val="0"/>
            <w:vAlign w:val="center"/>
          </w:tcPr>
          <w:p w14:paraId="503A41C7">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商务技术要求表</w:t>
            </w:r>
          </w:p>
        </w:tc>
      </w:tr>
      <w:tr w14:paraId="1DA0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688" w:type="dxa"/>
            <w:gridSpan w:val="7"/>
            <w:noWrap w:val="0"/>
            <w:vAlign w:val="center"/>
          </w:tcPr>
          <w:p w14:paraId="257ABD7E">
            <w:pPr>
              <w:widowControl/>
              <w:adjustRightInd/>
              <w:jc w:val="center"/>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b/>
                <w:bCs/>
                <w:color w:val="auto"/>
                <w:kern w:val="0"/>
                <w:sz w:val="24"/>
                <w:highlight w:val="none"/>
                <w:lang w:bidi="ar"/>
              </w:rPr>
              <w:t>商务</w:t>
            </w:r>
            <w:r>
              <w:rPr>
                <w:rFonts w:hint="eastAsia" w:cs="宋体" w:asciiTheme="minorEastAsia" w:hAnsiTheme="minorEastAsia" w:eastAsiaTheme="minorEastAsia"/>
                <w:b/>
                <w:bCs/>
                <w:color w:val="auto"/>
                <w:kern w:val="0"/>
                <w:sz w:val="24"/>
                <w:highlight w:val="none"/>
                <w:lang w:eastAsia="zh-CN" w:bidi="ar"/>
              </w:rPr>
              <w:t>技术</w:t>
            </w:r>
            <w:r>
              <w:rPr>
                <w:rFonts w:hint="eastAsia" w:cs="宋体" w:asciiTheme="minorEastAsia" w:hAnsiTheme="minorEastAsia" w:eastAsiaTheme="minorEastAsia"/>
                <w:b/>
                <w:bCs/>
                <w:color w:val="auto"/>
                <w:kern w:val="0"/>
                <w:sz w:val="24"/>
                <w:highlight w:val="none"/>
                <w:lang w:bidi="ar"/>
              </w:rPr>
              <w:t>要求表</w:t>
            </w:r>
          </w:p>
        </w:tc>
      </w:tr>
      <w:tr w14:paraId="7BB4D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9688" w:type="dxa"/>
            <w:gridSpan w:val="7"/>
            <w:shd w:val="clear" w:color="auto" w:fill="FFFFFF"/>
            <w:noWrap w:val="0"/>
            <w:vAlign w:val="center"/>
          </w:tcPr>
          <w:p w14:paraId="4E11D5B8">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▲一、服务内容包含但不限于以下内容</w:t>
            </w:r>
          </w:p>
          <w:p w14:paraId="6D24E3EB">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在确保基金安全和监管有效的前提下，采购人与中标人签订采购合同委托其参与北海市长期护理保险经办工作，中标人严格按照我市长期护理保险制度有关规定及合同约定开展各项工作。具体包括:</w:t>
            </w:r>
          </w:p>
          <w:p w14:paraId="50A09435">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（一）长期护理保险政策宣传与咨询、投诉举报线索受理;</w:t>
            </w:r>
          </w:p>
          <w:p w14:paraId="2A54CC4E">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（二）配合开展申请受理及材料审核工作;</w:t>
            </w:r>
          </w:p>
          <w:p w14:paraId="39485DE2">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（三）组织失能评估和护理需求评估工作。安排长护专员监督现场评估实施，并结合护理服务建议，与定点长护服务机构和参保人员或其监护人、委托代理人沟通协调，形成护理服务计划；</w:t>
            </w:r>
          </w:p>
          <w:p w14:paraId="2B735F09">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（四）协助开展失能评估机构和长护服务机构定点申请受理、材料初审、综合审核以及失能评估费用、护理服务费用初审等事务性工作;</w:t>
            </w:r>
          </w:p>
          <w:p w14:paraId="6BC91DB6">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（五）协助做好定点评估机构和定点长护服务机构日常检查、评估结论及参保人员失能状态和服务质量检查等工作;</w:t>
            </w:r>
          </w:p>
          <w:p w14:paraId="0EF8AC11">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（六）协助开展异议复评、重新评估等工作;</w:t>
            </w:r>
          </w:p>
          <w:p w14:paraId="27975669">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（七）协助做好信息系统运用和档案管理工作;</w:t>
            </w:r>
          </w:p>
          <w:p w14:paraId="0F3A6D8A">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（八）协助做好相关业务培训;</w:t>
            </w:r>
          </w:p>
          <w:p w14:paraId="6AFB105E">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（九）实施长期护理保险制度所必须的其他工作。</w:t>
            </w:r>
          </w:p>
          <w:p w14:paraId="65E5F2FB">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▲二、技术及服务要求</w:t>
            </w:r>
          </w:p>
          <w:p w14:paraId="263A207C">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（一）总体要求</w:t>
            </w:r>
          </w:p>
          <w:p w14:paraId="4912F4E3">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中标人按《北海市人民政府关于建立北海市长期护理保险制度的实施意见》(北政发〔2024〕17号)、《北海市医疗保障局 北海市人力资源和社会保障局 北海市财政局 北海市卫生健康委员会 北海市民政局 国家税务总局北海市税务局 北海市残疾人联合会关于印发&lt;北海市长期护理保险实施细则&gt;的通知》(北医保发〔2024〕15号)等相关配套政策文件要求，在医保部门指导下提供长期护理保险承办服务，并接受医保部门考核、服务群众监督。</w:t>
            </w:r>
          </w:p>
          <w:p w14:paraId="761440F7">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（二）服务队伍建设</w:t>
            </w:r>
          </w:p>
          <w:p w14:paraId="249C8106">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1.服务场所要求</w:t>
            </w:r>
          </w:p>
          <w:p w14:paraId="064C105E">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中标人要在承办片区内设置专门的服务办公场所，用于开展内部综合管理及长期护理保险承办服务等工作。</w:t>
            </w:r>
          </w:p>
          <w:p w14:paraId="11AF1181">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2.管理制度制定</w:t>
            </w:r>
          </w:p>
          <w:p w14:paraId="191FA646">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中标人应成立长期护理保险的专门管理机构，建立长期护理保险服务工作制度、长期护理保险信息安全管理制度、内控管理制度、人员管理与培训等相关管理制度，并送采购人备案。</w:t>
            </w:r>
          </w:p>
          <w:p w14:paraId="2FCA02EB">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3.服务人员配置</w:t>
            </w:r>
          </w:p>
          <w:p w14:paraId="1CDABA2E">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为长期护理保险承办服务工作建立一支专业的服务队伍。要求为承办片区配备与长期护理保险承办服务工作量相适应的工作人员数量，每个承办片区配备的工作人员不低于30名，由采购人统一调配使用和管理。其中，具有护理、康复及医药等专业资质的人员数量占比不低于50%。</w:t>
            </w:r>
          </w:p>
          <w:p w14:paraId="750F3BD7">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4.办公设施配备</w:t>
            </w:r>
          </w:p>
          <w:p w14:paraId="757796A5">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中标人应配备开展各项业务(包括失能评估以及业务经办等）所需的办公设施设备用品，包括但不限于工作车辆、电脑、打印机、复印机、扫描仪、耗材、移动智能监控设备、办公桌椅、工作服装等。</w:t>
            </w:r>
          </w:p>
          <w:p w14:paraId="298BA1AE">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5.保密要求</w:t>
            </w:r>
          </w:p>
          <w:p w14:paraId="6178E56B">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中标人对相关信息、数据、资料承担保密责任，不得用于其他用途，不得向第三方交换和泄露，不得利用经办之便推销或者变相推销其他商业保险产品。</w:t>
            </w:r>
          </w:p>
          <w:p w14:paraId="262E894F">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（三）具体服务要求</w:t>
            </w:r>
          </w:p>
          <w:p w14:paraId="39C0B4D5">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 xml:space="preserve"> 1.政策宣传和咨询</w:t>
            </w:r>
          </w:p>
          <w:p w14:paraId="473184AB">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制定宣传工作方案，并在采购人的领导下协助做好长期护理保险政策宣传工作，每年大型宣传活动不少于6次，其中，每两个月不少于1次，扩大长期护理保险政策、经办、改革成效在社会的知晓度，做好制度正向宣传、咨询引导和舆情处理工作。</w:t>
            </w:r>
          </w:p>
          <w:p w14:paraId="65945F94">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2.组织失能评估</w:t>
            </w:r>
          </w:p>
          <w:p w14:paraId="0CD54660">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建立失能评估管理机制，按照自评、申请、受理、前置调查、评估、结论公示、异议复评、每年例行复评等程序开展失能评估工作，根据采购人业务需要，按需组织评估，并协助做好组织长期护理保险评估人员参与失能评估工作。评估评审费用需按照《北海市人民政府关于建立北海市长期护理保险制度的实施意见》(北政发〔2024〕17号)、《北海市长期护理保险实施细则》(北医保发〔2024〕15号)要求据实申报并支付。确保符合条件的重度失能人员按规定享受长期护理保险待遇。</w:t>
            </w:r>
          </w:p>
          <w:p w14:paraId="03F55AC8">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3.定点护理服务机构管理</w:t>
            </w:r>
          </w:p>
          <w:p w14:paraId="04E3D125">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建立定点护理服务机构日常管理机制，在采购人的领导下，配合承办片区相应市、县（区）医保经办机构，做好定点护理服务机构的评估、日常管理、监督检查、协议考核、月度费用结算、护理纠纷、投诉信访和违约处理工作。</w:t>
            </w:r>
          </w:p>
          <w:p w14:paraId="4B935465">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4.月度费用结算</w:t>
            </w:r>
          </w:p>
          <w:p w14:paraId="330276F3">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从长期护理保险运行的第二个月起，在每月10日前将上月用以支付长期护理保险待遇的费用明细报表向市级医疗保障经办机构申报，市级医疗保障经办机构在收到报表后的5个工作日内完成审核结算，并将上月符合规定的长期护理保险护理费用拨付给长期护理保险承办机构，长期护理保险承办机构在每月20日前负责与定点护理服务机构直接结算。</w:t>
            </w:r>
          </w:p>
          <w:p w14:paraId="641584DD">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5.人员培训及考核</w:t>
            </w:r>
          </w:p>
          <w:p w14:paraId="58A7F9B8">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中标人应在采购人的领导下协助做好对评估人员、护理人员的岗前培训以及考核工作，每月按需集中组织护理人员岗前培训工作。</w:t>
            </w:r>
          </w:p>
          <w:p w14:paraId="40B0B575">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6.稽核巡查</w:t>
            </w:r>
          </w:p>
          <w:p w14:paraId="08F02D5C">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协助做好稽核巡查工作，根据情况，中标人应每月开展至少1次上门稽核巡查工作，稽核的主要内容包括重度失能人员生存状态、护理环境是否改善、实际护理人员是否相符、护理任务是否完成、家属的满意度评价等。每月上门稽核巡查覆盖率不低于全市重度失能人员数量的10%，全年上门稽核巡查覆盖率达 100%以上。</w:t>
            </w:r>
          </w:p>
          <w:p w14:paraId="6E0D6C38">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7.护理服务监管</w:t>
            </w:r>
          </w:p>
          <w:p w14:paraId="5E6897BF">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建立护理管理机制，结合定点服务协议等有关规定，对定点护理服务机构、居家护理服务人员实行服务监管，“线上+线下”双线联动，通过移动稽核技术对居家和协议定点护理服务机构服务情况进行监督，线下每月对协议定点护理服务机构上门稽核监管护理服务，规范服务行为，提升服务质量和水平。</w:t>
            </w:r>
          </w:p>
          <w:p w14:paraId="5FF20A6D">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8.信息系统建设</w:t>
            </w:r>
          </w:p>
          <w:p w14:paraId="5EACEFA5">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北海市长期护理保险系统统一使用广西医保信息平台的长期护理保险功能模块。结合实际情况，中标人应具备信息系统建设的组织及协调能力，无偿配合医保经办机构、信息系统按我市差异需求优化的承建商做好我市长期护理保险信息系统的建设和维护（涉及的系统建设费用，由中标人从承办服务费用中支出，预计不超过50万元，由2个中标人按项目成交价格总额各自的占比对应承担）。中标人应建立信息系统运维管理机制、异常数据筛查机制，严格按照采购人提供的医保信息平台长期护理保险信息系统操作规范及业务经办流程，受理和办理长期护理保险各项业务。</w:t>
            </w:r>
          </w:p>
          <w:p w14:paraId="3C3DFCC4">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9.内控管理</w:t>
            </w:r>
          </w:p>
          <w:p w14:paraId="06E4C7B5">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中标人应成立长期护理保险的专门管理团队，建立长期护理保险服务工作制度、人员管理与培训等相关管理制度，并报送采购人备案。</w:t>
            </w:r>
          </w:p>
          <w:p w14:paraId="7010C45B">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10.时间要求</w:t>
            </w:r>
          </w:p>
          <w:p w14:paraId="0BF49349">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中标人应于合同生效后安排项目负责人及主要专职人员到位开展工作；应于合同生效后20天内确保本项目全体工作人员及办公设备设施到位。</w:t>
            </w:r>
          </w:p>
          <w:p w14:paraId="0AEE79D6">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11.自我评价机制</w:t>
            </w:r>
          </w:p>
          <w:p w14:paraId="12E6E71F">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建立自我评价机制，定期进行运行分析、风险评估、风险预测，对业务承办过程中出现的各种问题和可能出现的风险进行分析汇总并从专业角度提出合理化意见，于每季度结束后15个工作日内向采购人提交长期护理保险运行报告。</w:t>
            </w:r>
          </w:p>
          <w:p w14:paraId="2DA4D680">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12.支持研究工作</w:t>
            </w:r>
          </w:p>
          <w:p w14:paraId="314C7423">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根据采购人工作需要，结合国家、自治区、北海市失能等级评估标准，开放所属总公司拥有版权的失能等级评估标准和服务评价标准研究成果的使用相关授权，参与或支持相关科研机构开展失能评估标准研究和长期护理保险护理服务质量评价标准研究工作。</w:t>
            </w:r>
          </w:p>
          <w:p w14:paraId="74A8564D">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13.规范承办服务费使用</w:t>
            </w:r>
          </w:p>
          <w:p w14:paraId="4F073C0D">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应承诺规范承办服务费的使用，建立长期护理保险承办费用的预决算制度，专款专用，单独核算，不与中标人其他资金混用。除由本次采购项目所指的长期护理保险基金拨付的承办服务费用外，由中标人或其所属总公司投入的其他资金，由中标人自行管理。</w:t>
            </w:r>
          </w:p>
          <w:p w14:paraId="6D29141D">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14.合同约定的其他事项及中标人投标时承诺的其他服务。</w:t>
            </w:r>
          </w:p>
          <w:p w14:paraId="1A9F502D">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三、对投标人的要求</w:t>
            </w:r>
          </w:p>
          <w:p w14:paraId="6F08A149">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（一）投标人应当具备充分的长期护理保险业务承办服务能力，适应国家、自治区、我市长期护理保险政策及经办管理要求。</w:t>
            </w:r>
          </w:p>
          <w:p w14:paraId="3890AC8F">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（二）本项目不接受联合体投标。</w:t>
            </w:r>
          </w:p>
          <w:p w14:paraId="1A084BD1">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四、商务要求</w:t>
            </w:r>
          </w:p>
          <w:p w14:paraId="6F27CAB1">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▲（一）合同签订日期</w:t>
            </w:r>
            <w:r>
              <w:rPr>
                <w:rFonts w:hint="eastAsia" w:cs="宋体" w:asciiTheme="minorEastAsia" w:hAnsiTheme="minorEastAsia" w:eastAsiaTheme="minorEastAsia"/>
                <w:color w:val="auto"/>
                <w:kern w:val="0"/>
                <w:sz w:val="24"/>
                <w:szCs w:val="24"/>
                <w:highlight w:val="none"/>
                <w:lang w:val="en-US" w:eastAsia="zh-CN" w:bidi="ar"/>
              </w:rPr>
              <w:t>：自中标通知书发出之日起15日内</w:t>
            </w:r>
          </w:p>
          <w:p w14:paraId="37F82367">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（二）提交服务成果时间</w:t>
            </w:r>
            <w:r>
              <w:rPr>
                <w:rFonts w:hint="eastAsia" w:cs="宋体" w:asciiTheme="minorEastAsia" w:hAnsiTheme="minorEastAsia" w:eastAsiaTheme="minorEastAsia"/>
                <w:color w:val="auto"/>
                <w:kern w:val="0"/>
                <w:sz w:val="24"/>
                <w:szCs w:val="24"/>
                <w:highlight w:val="none"/>
                <w:lang w:val="en-US" w:eastAsia="zh-CN" w:bidi="ar"/>
              </w:rPr>
              <w:t>：自2025年6月1日起至2026年12月31日止</w:t>
            </w:r>
          </w:p>
          <w:p w14:paraId="6584A3AC">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（三）提交服务成果地点</w:t>
            </w:r>
            <w:r>
              <w:rPr>
                <w:rFonts w:hint="eastAsia" w:cs="宋体" w:asciiTheme="minorEastAsia" w:hAnsiTheme="minorEastAsia" w:eastAsiaTheme="minorEastAsia"/>
                <w:color w:val="auto"/>
                <w:kern w:val="0"/>
                <w:sz w:val="24"/>
                <w:szCs w:val="24"/>
                <w:highlight w:val="none"/>
                <w:lang w:val="en-US" w:eastAsia="zh-CN" w:bidi="ar"/>
              </w:rPr>
              <w:t>：广西北海市</w:t>
            </w:r>
          </w:p>
          <w:p w14:paraId="01999279">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▲（四）付款时间和方式</w:t>
            </w:r>
            <w:r>
              <w:rPr>
                <w:rFonts w:hint="eastAsia" w:cs="宋体" w:asciiTheme="minorEastAsia" w:hAnsiTheme="minorEastAsia" w:eastAsiaTheme="minorEastAsia"/>
                <w:color w:val="auto"/>
                <w:kern w:val="0"/>
                <w:sz w:val="24"/>
                <w:szCs w:val="24"/>
                <w:highlight w:val="none"/>
                <w:lang w:val="en-US" w:eastAsia="zh-CN" w:bidi="ar"/>
              </w:rPr>
              <w:t>：本项目无预付款，长期护理保险承办服务费用采用按季度拨付及年度清算方式，合同期内的长期护理保险承办服务费用95%按季度进行拨付，剩余的5%作为履约考核款，采购人严格按照考核办法对中标人进行考核，考核结束后30个工作日内根据考核结果与中标人进行年度清算。</w:t>
            </w:r>
          </w:p>
          <w:p w14:paraId="186CE9A2">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具体为:2025年6月1日至2025年12月31日分二次按季度拨付资金。2026年1月1日至2026年12月31日，分四次按季度划拨。年度考核后拨付清算资金。</w:t>
            </w:r>
          </w:p>
          <w:p w14:paraId="5FC1AA74">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1.2025年6月1日至2025年12月31日划拨资金</w:t>
            </w:r>
          </w:p>
          <w:p w14:paraId="1481CB88">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第一次季度拨付资金=（B分标中标响应的费率×2025年6月1日至2025年8月31日全市职工长期护理保险保费总额）×95%×二分之一，中标人先开具发票提供至采购人，采购人自收到财政拨款的5个工作日内划拨至中标人。</w:t>
            </w:r>
          </w:p>
          <w:p w14:paraId="76C01989">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第二次季度拨付资金=（B分标中标响应的费率×2025年9月1日至2025年12月31日全市职工长期护理保险保费总额）×95%×二分之一，中标人先开具发票提供至采购人，采购人自收到财政拨款的5个工作日内划拨至中标人。</w:t>
            </w:r>
          </w:p>
          <w:p w14:paraId="47DDECB5">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2.2026年1月1日至2026年12月31日划拨资金</w:t>
            </w:r>
          </w:p>
          <w:p w14:paraId="61C19232">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第一次季度拨付资金=〔B分标中标响应的费率×（2025年9月1日至2025年12月31日全市缴纳2026年度居民长期护理保险保费总额的四分之一+2026年1月1日至3月31日全市职工长期护理保险保费总额）〕×95%×二分之一，中标人先开具发票提供至采购人，采购人自收到财政拨款的5个工作日内划拨至中标人。</w:t>
            </w:r>
          </w:p>
          <w:p w14:paraId="11B286A1">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第二次季度拨付资金=〔B分标中标响应的费率×（2025年9月1日至2025年12月31日全市缴纳2026年度居民长期护理保险保费总额的四分之一+2026年4月1日至6月30日全市职工长期护理保险保费总额）〕×95%×二分之一，中标人先开具发票提供至采购人，采购人自收到财政拨款的5个工作日内划拨至中标人。</w:t>
            </w:r>
          </w:p>
          <w:p w14:paraId="76AC256A">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第三次季度拨付资金=〔B分标中标响应的费率×（2025年9月1日至2025年12月31日全市缴纳2026年度居民长期护理保险保费总额的四分之一+2026年7月1日至9月30日全市职工长期护理保险保费总额）〕×95%×二分之一，中标人先开具发票提供至采购人，采购人自收到财政拨款的5个工作日内划拨至中标人。</w:t>
            </w:r>
          </w:p>
          <w:p w14:paraId="5C82F47E">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第四次季度拨付资金=〔B分标中标响应的费率×（2025年9月1日至2025年12月31日全市缴纳2026年度居民长期护理保险保费总额的四分之一+2026年1月1日至12月31日全市缴纳2026年度居民长期护理保险保费总额+2026年9月1日至12月31日全市职工医疗长期护理保险保费总额）〕×95%×二分之一，中标人先开具发票提供至采购人，采购人自收到财政拨款的5个工作日内划拨至中标人。</w:t>
            </w:r>
          </w:p>
          <w:p w14:paraId="22243C10">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3.年度清算资金</w:t>
            </w:r>
          </w:p>
          <w:p w14:paraId="528B525B">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采购人根据长期护理保险资金，结合北海市长期护理保险委托承办考核办法（具体由采购人另行制定）等文件以及考核结果，于2027年3月31日前确定年度清算资金。</w:t>
            </w:r>
          </w:p>
          <w:p w14:paraId="12DE73EE">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年度清算资金=(合同年度实际承办服务费-合同年度季度拨付资金总额）×考核结果比例</w:t>
            </w:r>
          </w:p>
          <w:p w14:paraId="6C1ED001">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（五）售后服务要求</w:t>
            </w:r>
          </w:p>
          <w:p w14:paraId="76250A38">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▲1.质量保证期1年7个月(自2025年6月1日起计)。</w:t>
            </w:r>
          </w:p>
          <w:p w14:paraId="0F985E2E">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2.接到采购人处理问题通知后，中标人必须2小时内安排相关工作人员到达采购人指定现场。</w:t>
            </w:r>
          </w:p>
          <w:p w14:paraId="76370570">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（六）其他要求</w:t>
            </w:r>
          </w:p>
          <w:p w14:paraId="7605AFC9">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▲1.报价必须含以下部分，包括:</w:t>
            </w:r>
          </w:p>
          <w:p w14:paraId="3CD4EC99">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（1）服务的价格;</w:t>
            </w:r>
          </w:p>
          <w:p w14:paraId="2A5AF925">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（2）必要的保险费用和各项税金；</w:t>
            </w:r>
          </w:p>
          <w:p w14:paraId="03810E5E">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2.本项目长期护理保险承办机构的承办服务费=全市长期护理保险保费总额×4%(以中标人实际响应的费率为准)，其中，A分标为不高于北海市当年长期护理保险实际征缴保费总额二分之一的4%(以中标人实际响应的费率为准)，B分标为不高于北海市当年长期护理保险实际征缴保费总额二分之一的4%(以中标人实际响应的费率为准)。</w:t>
            </w:r>
          </w:p>
          <w:p w14:paraId="366F9531">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3.根据本项目的服务要求，投标人在投标技术文件中提供服务方案，包括总体承办服务方案、组织失能评估工作方案、长期护理保险服务管理方案、稽核巡查及基金监管方案、系统建设及信息化服务方案、宣传与培训方案、综合配置方案等内容。</w:t>
            </w:r>
          </w:p>
          <w:p w14:paraId="193927DD">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4.投标人为本项目提供的所有服务符合现行的国家相关强制性标准、行业标准。</w:t>
            </w:r>
          </w:p>
          <w:p w14:paraId="51A1E3BA">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五、考核评估及违约规定</w:t>
            </w:r>
          </w:p>
          <w:p w14:paraId="7DF25CD9">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采购人根据《北海市人民政府关于建立北海市长期护理保险制度的实施意见》(北政发〔2024〕17号)、《北海市长期护理保险实施细则》(北医保发〔2024〕15号)等要求，制定绩效考核指标并按照有关规定对中标人的服务行为和服务质量进行绩效综合考核，绩效考核结果与长期护理保险承办服务费用的清算及中标人的退出机制挂钩。</w:t>
            </w:r>
          </w:p>
          <w:p w14:paraId="2C48D8A4">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六、中标人退出约束</w:t>
            </w:r>
          </w:p>
          <w:p w14:paraId="467AFCBC">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合同生效后，除法律法规规定外，中标人不得单方面解除合同、中途退出，否则采购人不予拨付长期护理保险委托业务剩余服务期对应的承办服务费，对于已拨付的承办服务费，中标人需退还给采购人。</w:t>
            </w:r>
          </w:p>
          <w:p w14:paraId="7129E789">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center"/>
              <w:rPr>
                <w:rFonts w:hint="eastAsia" w:cs="宋体" w:asciiTheme="minorEastAsia" w:hAnsiTheme="minorEastAsia" w:eastAsiaTheme="minorEastAsia"/>
                <w:b/>
                <w:bCs/>
                <w:color w:val="auto"/>
                <w:kern w:val="0"/>
                <w:sz w:val="24"/>
                <w:szCs w:val="24"/>
                <w:highlight w:val="none"/>
                <w:lang w:val="en-US" w:eastAsia="zh-CN" w:bidi="ar"/>
              </w:rPr>
            </w:pPr>
            <w:r>
              <w:rPr>
                <w:rFonts w:hint="eastAsia" w:cs="宋体" w:asciiTheme="minorEastAsia" w:hAnsiTheme="minorEastAsia" w:eastAsiaTheme="minorEastAsia"/>
                <w:b/>
                <w:bCs/>
                <w:color w:val="auto"/>
                <w:kern w:val="0"/>
                <w:sz w:val="24"/>
                <w:szCs w:val="24"/>
                <w:highlight w:val="none"/>
                <w:lang w:val="en-US" w:eastAsia="zh-CN" w:bidi="ar"/>
              </w:rPr>
              <w:t>七、合同终止机制</w:t>
            </w:r>
          </w:p>
          <w:p w14:paraId="02507778">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履行合同期间如本市或上位长期护理保险政策有重大调整，影响到合同履行的，采购人可根据情况单方面终止合同，无须承担违约责任。</w:t>
            </w:r>
          </w:p>
          <w:p w14:paraId="06073C18">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中标人有下列情形之一的，经采购人核查情况属实的，并报市政府采购监督部门后终止合同，长期护理保险委托业务剩余服务期对应的委托费用不予支付，违规费用予以追回，且中标人须按长期护理保险委托业务剩余服务期对应的委托费用赔偿：</w:t>
            </w:r>
          </w:p>
          <w:p w14:paraId="1D395DCA">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（一）套取、骗取长期护理保险基金的;</w:t>
            </w:r>
          </w:p>
          <w:p w14:paraId="72FE2E1D">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（二）泄露参保人员个人信息或将参保人员个人信息用于其它用途，造成较大社会影响的;</w:t>
            </w:r>
          </w:p>
          <w:p w14:paraId="771E401E">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（三）在合同履行过程中，中标人被吊销相关经营资质，或被处以重大行政处罚，严重影响本合同的正常履行的;</w:t>
            </w:r>
          </w:p>
          <w:p w14:paraId="7BAAA0C0">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（四）其他造成严重后果或重大影响的情形。</w:t>
            </w:r>
          </w:p>
          <w:p w14:paraId="4CF3A868">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cs="宋体" w:asciiTheme="minorEastAsia" w:hAnsiTheme="minorEastAsia" w:eastAsiaTheme="minorEastAsia"/>
                <w:color w:val="auto"/>
                <w:kern w:val="0"/>
                <w:sz w:val="24"/>
                <w:szCs w:val="24"/>
                <w:highlight w:val="none"/>
                <w:lang w:val="en-US" w:eastAsia="zh-CN" w:bidi="ar"/>
              </w:rPr>
            </w:pPr>
            <w:r>
              <w:rPr>
                <w:rFonts w:hint="eastAsia" w:cs="宋体" w:asciiTheme="minorEastAsia" w:hAnsiTheme="minorEastAsia" w:eastAsiaTheme="minorEastAsia"/>
                <w:color w:val="auto"/>
                <w:kern w:val="0"/>
                <w:sz w:val="24"/>
                <w:szCs w:val="24"/>
                <w:highlight w:val="none"/>
                <w:lang w:val="en-US" w:eastAsia="zh-CN" w:bidi="ar"/>
              </w:rPr>
              <w:t>本合同一经签订，双方不得擅自变更、中止或终止，法律法规另有规定或本合同另有约定的除外。中标人如擅自转让其应履行的合同义务，采购人有权解除合同并要求中标人按承办服务费总额的10%支付违约金。</w:t>
            </w:r>
          </w:p>
        </w:tc>
      </w:tr>
    </w:tbl>
    <w:p w14:paraId="7EB49D15">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1332AB7C">
      <w:pPr>
        <w:spacing w:line="360" w:lineRule="auto"/>
        <w:jc w:val="center"/>
        <w:outlineLvl w:val="0"/>
        <w:rPr>
          <w:rFonts w:hint="eastAsia" w:ascii="宋体" w:hAnsi="宋体" w:eastAsia="宋体" w:cs="宋体"/>
          <w:b/>
          <w:color w:val="auto"/>
          <w:sz w:val="36"/>
          <w:szCs w:val="36"/>
          <w:highlight w:val="none"/>
          <w:lang w:eastAsia="zh-CN"/>
        </w:rPr>
      </w:pPr>
      <w:bookmarkStart w:id="42" w:name="_Toc18806"/>
      <w:r>
        <w:rPr>
          <w:rFonts w:hint="eastAsia" w:ascii="宋体" w:hAnsi="宋体" w:cs="宋体"/>
          <w:b/>
          <w:color w:val="auto"/>
          <w:sz w:val="36"/>
          <w:szCs w:val="36"/>
          <w:highlight w:val="none"/>
        </w:rPr>
        <w:t xml:space="preserve">第四部分  </w:t>
      </w:r>
      <w:bookmarkStart w:id="43" w:name="_Toc184312136"/>
      <w:bookmarkEnd w:id="43"/>
      <w:bookmarkStart w:id="44" w:name="_Toc184308053"/>
      <w:bookmarkEnd w:id="44"/>
      <w:bookmarkStart w:id="45" w:name="_Toc184308088"/>
      <w:bookmarkEnd w:id="45"/>
      <w:bookmarkStart w:id="46" w:name="_Toc184308078"/>
      <w:bookmarkEnd w:id="46"/>
      <w:bookmarkStart w:id="47" w:name="_Toc184313297"/>
      <w:bookmarkEnd w:id="47"/>
      <w:bookmarkStart w:id="48" w:name="_Toc184313289"/>
      <w:bookmarkEnd w:id="48"/>
      <w:bookmarkStart w:id="49" w:name="_Toc184312135"/>
      <w:bookmarkEnd w:id="49"/>
      <w:bookmarkStart w:id="50" w:name="_Toc184308076"/>
      <w:bookmarkEnd w:id="50"/>
      <w:bookmarkStart w:id="51" w:name="_Toc184308077"/>
      <w:bookmarkEnd w:id="51"/>
      <w:bookmarkStart w:id="52" w:name="_Toc184313305"/>
      <w:bookmarkEnd w:id="52"/>
      <w:bookmarkStart w:id="53" w:name="_Toc184308091"/>
      <w:bookmarkEnd w:id="53"/>
      <w:bookmarkStart w:id="54" w:name="_Toc184313252"/>
      <w:bookmarkEnd w:id="54"/>
      <w:bookmarkStart w:id="55" w:name="_Toc184314480"/>
      <w:bookmarkEnd w:id="55"/>
      <w:bookmarkStart w:id="56" w:name="_Toc184314462"/>
      <w:bookmarkEnd w:id="56"/>
      <w:bookmarkStart w:id="57" w:name="_Toc184308071"/>
      <w:bookmarkEnd w:id="57"/>
      <w:bookmarkStart w:id="58" w:name="_Toc184312075"/>
      <w:bookmarkEnd w:id="58"/>
      <w:bookmarkStart w:id="59" w:name="_Toc184313258"/>
      <w:bookmarkEnd w:id="59"/>
      <w:bookmarkStart w:id="60" w:name="_Toc184313279"/>
      <w:bookmarkEnd w:id="60"/>
      <w:bookmarkStart w:id="61" w:name="_Toc184314432"/>
      <w:bookmarkEnd w:id="61"/>
      <w:bookmarkStart w:id="62" w:name="_Toc184314457"/>
      <w:bookmarkEnd w:id="62"/>
      <w:bookmarkStart w:id="63" w:name="_Toc184313250"/>
      <w:bookmarkEnd w:id="63"/>
      <w:bookmarkStart w:id="64" w:name="_Toc184312111"/>
      <w:bookmarkEnd w:id="64"/>
      <w:bookmarkStart w:id="65" w:name="_Toc184314470"/>
      <w:bookmarkEnd w:id="65"/>
      <w:bookmarkStart w:id="66" w:name="_Toc184313238"/>
      <w:bookmarkEnd w:id="66"/>
      <w:bookmarkStart w:id="67" w:name="_Toc184310342"/>
      <w:bookmarkEnd w:id="67"/>
      <w:bookmarkStart w:id="68" w:name="_Toc184313264"/>
      <w:bookmarkEnd w:id="68"/>
      <w:bookmarkStart w:id="69" w:name="_Toc184312072"/>
      <w:bookmarkEnd w:id="69"/>
      <w:bookmarkStart w:id="70" w:name="_Toc184313274"/>
      <w:bookmarkEnd w:id="70"/>
      <w:bookmarkStart w:id="71" w:name="_Toc184313281"/>
      <w:bookmarkEnd w:id="71"/>
      <w:bookmarkStart w:id="72" w:name="_Toc184314447"/>
      <w:bookmarkEnd w:id="72"/>
      <w:bookmarkStart w:id="73" w:name="_Toc184308080"/>
      <w:bookmarkEnd w:id="73"/>
      <w:bookmarkStart w:id="74" w:name="_Toc184314421"/>
      <w:bookmarkEnd w:id="74"/>
      <w:bookmarkStart w:id="75" w:name="_Toc184313271"/>
      <w:bookmarkEnd w:id="75"/>
      <w:bookmarkStart w:id="76" w:name="_Toc184312092"/>
      <w:bookmarkEnd w:id="76"/>
      <w:bookmarkStart w:id="77" w:name="_Toc184308097"/>
      <w:bookmarkEnd w:id="77"/>
      <w:bookmarkStart w:id="78" w:name="_Toc184312078"/>
      <w:bookmarkEnd w:id="78"/>
      <w:bookmarkStart w:id="79" w:name="_Toc184312069"/>
      <w:bookmarkEnd w:id="79"/>
      <w:bookmarkStart w:id="80" w:name="_Toc184308106"/>
      <w:bookmarkEnd w:id="80"/>
      <w:bookmarkStart w:id="81" w:name="_Toc184310337"/>
      <w:bookmarkEnd w:id="81"/>
      <w:bookmarkStart w:id="82" w:name="_Toc184312125"/>
      <w:bookmarkEnd w:id="82"/>
      <w:bookmarkStart w:id="83" w:name="_Toc184312130"/>
      <w:bookmarkEnd w:id="83"/>
      <w:bookmarkStart w:id="84" w:name="_Toc184314443"/>
      <w:bookmarkEnd w:id="84"/>
      <w:bookmarkStart w:id="85" w:name="_Toc184314427"/>
      <w:bookmarkEnd w:id="85"/>
      <w:bookmarkStart w:id="86" w:name="_Toc184313295"/>
      <w:bookmarkEnd w:id="86"/>
      <w:bookmarkStart w:id="87" w:name="_Toc184308103"/>
      <w:bookmarkEnd w:id="87"/>
      <w:bookmarkStart w:id="88" w:name="_Toc184308074"/>
      <w:bookmarkEnd w:id="88"/>
      <w:bookmarkStart w:id="89" w:name="_Toc184313263"/>
      <w:bookmarkEnd w:id="89"/>
      <w:bookmarkStart w:id="90" w:name="_Toc184313299"/>
      <w:bookmarkEnd w:id="90"/>
      <w:bookmarkStart w:id="91" w:name="_Toc184312077"/>
      <w:bookmarkEnd w:id="91"/>
      <w:bookmarkStart w:id="92" w:name="_Toc184314418"/>
      <w:bookmarkEnd w:id="92"/>
      <w:bookmarkStart w:id="93" w:name="_Toc184310303"/>
      <w:bookmarkEnd w:id="93"/>
      <w:bookmarkStart w:id="94" w:name="_Toc184310285"/>
      <w:bookmarkEnd w:id="94"/>
      <w:bookmarkStart w:id="95" w:name="_Toc184310311"/>
      <w:bookmarkEnd w:id="95"/>
      <w:bookmarkStart w:id="96" w:name="_Toc184312095"/>
      <w:bookmarkEnd w:id="96"/>
      <w:bookmarkStart w:id="97" w:name="_Toc184313309"/>
      <w:bookmarkEnd w:id="97"/>
      <w:bookmarkStart w:id="98" w:name="_Toc184310324"/>
      <w:bookmarkEnd w:id="98"/>
      <w:bookmarkStart w:id="99" w:name="_Toc184308069"/>
      <w:bookmarkEnd w:id="99"/>
      <w:bookmarkStart w:id="100" w:name="_Toc184312123"/>
      <w:bookmarkEnd w:id="100"/>
      <w:bookmarkStart w:id="101" w:name="_Toc184308059"/>
      <w:bookmarkEnd w:id="101"/>
      <w:bookmarkStart w:id="102" w:name="_Toc184310275"/>
      <w:bookmarkEnd w:id="102"/>
      <w:bookmarkStart w:id="103" w:name="_Toc184313302"/>
      <w:bookmarkEnd w:id="103"/>
      <w:bookmarkStart w:id="104" w:name="_Toc184308107"/>
      <w:bookmarkEnd w:id="104"/>
      <w:bookmarkStart w:id="105" w:name="_Toc184312137"/>
      <w:bookmarkEnd w:id="105"/>
      <w:bookmarkStart w:id="106" w:name="_Toc184314425"/>
      <w:bookmarkEnd w:id="106"/>
      <w:bookmarkStart w:id="107" w:name="_Toc184308089"/>
      <w:bookmarkEnd w:id="107"/>
      <w:bookmarkStart w:id="108" w:name="_Toc184313275"/>
      <w:bookmarkEnd w:id="108"/>
      <w:bookmarkStart w:id="109" w:name="_Toc184313260"/>
      <w:bookmarkEnd w:id="109"/>
      <w:bookmarkStart w:id="110" w:name="_Toc184308102"/>
      <w:bookmarkEnd w:id="110"/>
      <w:bookmarkStart w:id="111" w:name="_Toc184314411"/>
      <w:bookmarkEnd w:id="111"/>
      <w:bookmarkStart w:id="112" w:name="_Toc184308070"/>
      <w:bookmarkEnd w:id="112"/>
      <w:bookmarkStart w:id="113" w:name="_Toc184314438"/>
      <w:bookmarkEnd w:id="113"/>
      <w:bookmarkStart w:id="114" w:name="_Toc184308052"/>
      <w:bookmarkEnd w:id="114"/>
      <w:bookmarkStart w:id="115" w:name="_Toc184314437"/>
      <w:bookmarkEnd w:id="115"/>
      <w:bookmarkStart w:id="116" w:name="_Toc184313257"/>
      <w:bookmarkEnd w:id="116"/>
      <w:bookmarkStart w:id="117" w:name="_Toc184314433"/>
      <w:bookmarkEnd w:id="117"/>
      <w:bookmarkStart w:id="118" w:name="_Toc184308098"/>
      <w:bookmarkEnd w:id="118"/>
      <w:bookmarkStart w:id="119" w:name="_Toc184314440"/>
      <w:bookmarkEnd w:id="119"/>
      <w:bookmarkStart w:id="120" w:name="_Toc184308099"/>
      <w:bookmarkEnd w:id="120"/>
      <w:bookmarkStart w:id="121" w:name="_Toc184313287"/>
      <w:bookmarkEnd w:id="121"/>
      <w:bookmarkStart w:id="122" w:name="_Toc184313269"/>
      <w:bookmarkEnd w:id="122"/>
      <w:bookmarkStart w:id="123" w:name="_Toc184312124"/>
      <w:bookmarkEnd w:id="123"/>
      <w:bookmarkStart w:id="124" w:name="_Toc184313259"/>
      <w:bookmarkEnd w:id="124"/>
      <w:bookmarkStart w:id="125" w:name="_Toc184312113"/>
      <w:bookmarkEnd w:id="125"/>
      <w:bookmarkStart w:id="126" w:name="_Toc184314465"/>
      <w:bookmarkEnd w:id="126"/>
      <w:bookmarkStart w:id="127" w:name="_Toc184314469"/>
      <w:bookmarkEnd w:id="127"/>
      <w:bookmarkStart w:id="128" w:name="_Toc184313290"/>
      <w:bookmarkEnd w:id="128"/>
      <w:bookmarkStart w:id="129" w:name="_Toc184312067"/>
      <w:bookmarkEnd w:id="129"/>
      <w:bookmarkStart w:id="130" w:name="_Toc184310336"/>
      <w:bookmarkEnd w:id="130"/>
      <w:bookmarkStart w:id="131" w:name="_Toc184314428"/>
      <w:bookmarkEnd w:id="131"/>
      <w:bookmarkStart w:id="132" w:name="_Toc184313303"/>
      <w:bookmarkEnd w:id="132"/>
      <w:bookmarkStart w:id="133" w:name="_Toc184310339"/>
      <w:bookmarkEnd w:id="133"/>
      <w:bookmarkStart w:id="134" w:name="_Toc184313247"/>
      <w:bookmarkEnd w:id="134"/>
      <w:bookmarkStart w:id="135" w:name="_Toc184314431"/>
      <w:bookmarkEnd w:id="135"/>
      <w:bookmarkStart w:id="136" w:name="_Toc184312121"/>
      <w:bookmarkEnd w:id="136"/>
      <w:bookmarkStart w:id="137" w:name="_Toc184310309"/>
      <w:bookmarkEnd w:id="137"/>
      <w:bookmarkStart w:id="138" w:name="_Toc184314477"/>
      <w:bookmarkEnd w:id="138"/>
      <w:bookmarkStart w:id="139" w:name="_Toc184310320"/>
      <w:bookmarkEnd w:id="139"/>
      <w:bookmarkStart w:id="140" w:name="_Toc184310278"/>
      <w:bookmarkEnd w:id="140"/>
      <w:bookmarkStart w:id="141" w:name="_Toc184312128"/>
      <w:bookmarkEnd w:id="141"/>
      <w:bookmarkStart w:id="142" w:name="_Toc184310322"/>
      <w:bookmarkEnd w:id="142"/>
      <w:bookmarkStart w:id="143" w:name="_Toc184312096"/>
      <w:bookmarkEnd w:id="143"/>
      <w:bookmarkStart w:id="144" w:name="_Toc184312126"/>
      <w:bookmarkEnd w:id="144"/>
      <w:bookmarkStart w:id="145" w:name="_Toc184313267"/>
      <w:bookmarkEnd w:id="145"/>
      <w:bookmarkStart w:id="146" w:name="_Toc184312114"/>
      <w:bookmarkEnd w:id="146"/>
      <w:bookmarkStart w:id="147" w:name="_Toc184313288"/>
      <w:bookmarkEnd w:id="147"/>
      <w:bookmarkStart w:id="148" w:name="_Toc184314429"/>
      <w:bookmarkEnd w:id="148"/>
      <w:bookmarkStart w:id="149" w:name="_Toc184313284"/>
      <w:bookmarkEnd w:id="149"/>
      <w:bookmarkStart w:id="150" w:name="_Toc184312084"/>
      <w:bookmarkEnd w:id="150"/>
      <w:bookmarkStart w:id="151" w:name="_Toc184308084"/>
      <w:bookmarkEnd w:id="151"/>
      <w:bookmarkStart w:id="152" w:name="_Toc184313239"/>
      <w:bookmarkEnd w:id="152"/>
      <w:bookmarkStart w:id="153" w:name="_Toc184310341"/>
      <w:bookmarkEnd w:id="153"/>
      <w:bookmarkStart w:id="154" w:name="_Toc184310317"/>
      <w:bookmarkEnd w:id="154"/>
      <w:bookmarkStart w:id="155" w:name="_Toc184313301"/>
      <w:bookmarkEnd w:id="155"/>
      <w:bookmarkStart w:id="156" w:name="_Toc184310297"/>
      <w:bookmarkEnd w:id="156"/>
      <w:bookmarkStart w:id="157" w:name="_Toc184308042"/>
      <w:bookmarkEnd w:id="157"/>
      <w:bookmarkStart w:id="158" w:name="_Toc184312104"/>
      <w:bookmarkEnd w:id="158"/>
      <w:bookmarkStart w:id="159" w:name="_Toc184313294"/>
      <w:bookmarkEnd w:id="159"/>
      <w:bookmarkStart w:id="160" w:name="_Toc184314442"/>
      <w:bookmarkEnd w:id="160"/>
      <w:bookmarkStart w:id="161" w:name="_Toc184308100"/>
      <w:bookmarkEnd w:id="161"/>
      <w:bookmarkStart w:id="162" w:name="_Toc184312087"/>
      <w:bookmarkEnd w:id="162"/>
      <w:bookmarkStart w:id="163" w:name="_Toc184312094"/>
      <w:bookmarkEnd w:id="163"/>
      <w:bookmarkStart w:id="164" w:name="_Toc184308046"/>
      <w:bookmarkEnd w:id="164"/>
      <w:bookmarkStart w:id="165" w:name="_Toc184312082"/>
      <w:bookmarkEnd w:id="165"/>
      <w:bookmarkStart w:id="166" w:name="_Toc184308093"/>
      <w:bookmarkEnd w:id="166"/>
      <w:bookmarkStart w:id="167" w:name="_Toc184314467"/>
      <w:bookmarkEnd w:id="167"/>
      <w:bookmarkStart w:id="168" w:name="_Toc184314473"/>
      <w:bookmarkEnd w:id="168"/>
      <w:bookmarkStart w:id="169" w:name="_Toc184310293"/>
      <w:bookmarkEnd w:id="169"/>
      <w:bookmarkStart w:id="170" w:name="_Toc184310334"/>
      <w:bookmarkEnd w:id="170"/>
      <w:bookmarkStart w:id="171" w:name="_Toc184313253"/>
      <w:bookmarkEnd w:id="171"/>
      <w:bookmarkStart w:id="172" w:name="_Toc184308073"/>
      <w:bookmarkEnd w:id="172"/>
      <w:bookmarkStart w:id="173" w:name="_Toc184313256"/>
      <w:bookmarkEnd w:id="173"/>
      <w:bookmarkStart w:id="174" w:name="_Toc184313243"/>
      <w:bookmarkEnd w:id="174"/>
      <w:bookmarkStart w:id="175" w:name="_Toc184310340"/>
      <w:bookmarkEnd w:id="175"/>
      <w:bookmarkStart w:id="176" w:name="_Toc184312071"/>
      <w:bookmarkEnd w:id="176"/>
      <w:bookmarkStart w:id="177" w:name="_Toc184310332"/>
      <w:bookmarkEnd w:id="177"/>
      <w:bookmarkStart w:id="178" w:name="_Toc184314466"/>
      <w:bookmarkEnd w:id="178"/>
      <w:bookmarkStart w:id="179" w:name="_Toc184313249"/>
      <w:bookmarkEnd w:id="179"/>
      <w:bookmarkStart w:id="180" w:name="_Toc184314449"/>
      <w:bookmarkEnd w:id="180"/>
      <w:bookmarkStart w:id="181" w:name="_Toc184308075"/>
      <w:bookmarkEnd w:id="181"/>
      <w:bookmarkStart w:id="182" w:name="_Toc184310272"/>
      <w:bookmarkEnd w:id="182"/>
      <w:bookmarkStart w:id="183" w:name="_Toc184310310"/>
      <w:bookmarkEnd w:id="183"/>
      <w:bookmarkStart w:id="184" w:name="_Toc184310281"/>
      <w:bookmarkEnd w:id="184"/>
      <w:bookmarkStart w:id="185" w:name="_Toc184308082"/>
      <w:bookmarkEnd w:id="185"/>
      <w:bookmarkStart w:id="186" w:name="_Toc184310308"/>
      <w:bookmarkEnd w:id="186"/>
      <w:bookmarkStart w:id="187" w:name="_Toc184308072"/>
      <w:bookmarkEnd w:id="187"/>
      <w:bookmarkStart w:id="188" w:name="_Toc184308055"/>
      <w:bookmarkEnd w:id="188"/>
      <w:bookmarkStart w:id="189" w:name="_Toc184308049"/>
      <w:bookmarkEnd w:id="189"/>
      <w:bookmarkStart w:id="190" w:name="_Toc184308061"/>
      <w:bookmarkEnd w:id="190"/>
      <w:bookmarkStart w:id="191" w:name="_Toc184312089"/>
      <w:bookmarkEnd w:id="191"/>
      <w:bookmarkStart w:id="192" w:name="_Toc184312076"/>
      <w:bookmarkEnd w:id="192"/>
      <w:bookmarkStart w:id="193" w:name="_Toc184310319"/>
      <w:bookmarkEnd w:id="193"/>
      <w:bookmarkStart w:id="194" w:name="_Toc184310288"/>
      <w:bookmarkEnd w:id="194"/>
      <w:bookmarkStart w:id="195" w:name="_Toc184308090"/>
      <w:bookmarkEnd w:id="195"/>
      <w:bookmarkStart w:id="196" w:name="_Toc184313276"/>
      <w:bookmarkEnd w:id="196"/>
      <w:bookmarkStart w:id="197" w:name="_Toc184314445"/>
      <w:bookmarkEnd w:id="197"/>
      <w:bookmarkStart w:id="198" w:name="_Toc184314450"/>
      <w:bookmarkEnd w:id="198"/>
      <w:bookmarkStart w:id="199" w:name="_Toc184314423"/>
      <w:bookmarkEnd w:id="199"/>
      <w:bookmarkStart w:id="200" w:name="_Toc184310327"/>
      <w:bookmarkEnd w:id="200"/>
      <w:bookmarkStart w:id="201" w:name="_Toc184310290"/>
      <w:bookmarkEnd w:id="201"/>
      <w:bookmarkStart w:id="202" w:name="_Toc184312118"/>
      <w:bookmarkEnd w:id="202"/>
      <w:bookmarkStart w:id="203" w:name="_Toc184310323"/>
      <w:bookmarkEnd w:id="203"/>
      <w:bookmarkStart w:id="204" w:name="_Toc184308079"/>
      <w:bookmarkEnd w:id="204"/>
      <w:bookmarkStart w:id="205" w:name="_Toc184308063"/>
      <w:bookmarkEnd w:id="205"/>
      <w:bookmarkStart w:id="206" w:name="_Toc184308085"/>
      <w:bookmarkEnd w:id="206"/>
      <w:bookmarkStart w:id="207" w:name="_Toc184314478"/>
      <w:bookmarkEnd w:id="207"/>
      <w:bookmarkStart w:id="208" w:name="_Toc184310273"/>
      <w:bookmarkEnd w:id="208"/>
      <w:bookmarkStart w:id="209" w:name="_Toc184314460"/>
      <w:bookmarkEnd w:id="209"/>
      <w:bookmarkStart w:id="210" w:name="_Toc184308066"/>
      <w:bookmarkEnd w:id="210"/>
      <w:bookmarkStart w:id="211" w:name="_Toc184314419"/>
      <w:bookmarkEnd w:id="211"/>
      <w:bookmarkStart w:id="212" w:name="_Toc184308041"/>
      <w:bookmarkEnd w:id="212"/>
      <w:bookmarkStart w:id="213" w:name="_Toc184313308"/>
      <w:bookmarkEnd w:id="213"/>
      <w:bookmarkStart w:id="214" w:name="_Toc184312091"/>
      <w:bookmarkEnd w:id="214"/>
      <w:bookmarkStart w:id="215" w:name="_Toc184312086"/>
      <w:bookmarkEnd w:id="215"/>
      <w:bookmarkStart w:id="216" w:name="_Toc184314476"/>
      <w:bookmarkEnd w:id="216"/>
      <w:bookmarkStart w:id="217" w:name="_Toc184308108"/>
      <w:bookmarkEnd w:id="217"/>
      <w:bookmarkStart w:id="218" w:name="_Toc184310307"/>
      <w:bookmarkEnd w:id="218"/>
      <w:bookmarkStart w:id="219" w:name="_Toc184314430"/>
      <w:bookmarkEnd w:id="219"/>
      <w:bookmarkStart w:id="220" w:name="_Toc184314482"/>
      <w:bookmarkEnd w:id="220"/>
      <w:bookmarkStart w:id="221" w:name="_Toc184310333"/>
      <w:bookmarkEnd w:id="221"/>
      <w:bookmarkStart w:id="222" w:name="_Toc184310330"/>
      <w:bookmarkEnd w:id="222"/>
      <w:bookmarkStart w:id="223" w:name="_Toc184312100"/>
      <w:bookmarkEnd w:id="223"/>
      <w:bookmarkStart w:id="224" w:name="_Toc184313242"/>
      <w:bookmarkEnd w:id="224"/>
      <w:bookmarkStart w:id="225" w:name="_Toc184310274"/>
      <w:bookmarkEnd w:id="225"/>
      <w:bookmarkStart w:id="226" w:name="_Toc184308038"/>
      <w:bookmarkEnd w:id="226"/>
      <w:bookmarkStart w:id="227" w:name="_Toc184314413"/>
      <w:bookmarkEnd w:id="227"/>
      <w:bookmarkStart w:id="228" w:name="_Toc184308040"/>
      <w:bookmarkEnd w:id="228"/>
      <w:bookmarkStart w:id="229" w:name="_Toc184313266"/>
      <w:bookmarkEnd w:id="229"/>
      <w:bookmarkStart w:id="230" w:name="_Toc184310298"/>
      <w:bookmarkEnd w:id="230"/>
      <w:bookmarkStart w:id="231" w:name="_Toc184308051"/>
      <w:bookmarkEnd w:id="231"/>
      <w:bookmarkStart w:id="232" w:name="_Toc184310301"/>
      <w:bookmarkEnd w:id="232"/>
      <w:bookmarkStart w:id="233" w:name="_Toc184314424"/>
      <w:bookmarkEnd w:id="233"/>
      <w:bookmarkStart w:id="234" w:name="_Toc184314452"/>
      <w:bookmarkEnd w:id="234"/>
      <w:bookmarkStart w:id="235" w:name="_Toc184312122"/>
      <w:bookmarkEnd w:id="235"/>
      <w:bookmarkStart w:id="236" w:name="_Toc184313300"/>
      <w:bookmarkEnd w:id="236"/>
      <w:bookmarkStart w:id="237" w:name="_Toc184312109"/>
      <w:bookmarkEnd w:id="237"/>
      <w:bookmarkStart w:id="238" w:name="_Toc184308058"/>
      <w:bookmarkEnd w:id="238"/>
      <w:bookmarkStart w:id="239" w:name="_Toc184314417"/>
      <w:bookmarkEnd w:id="239"/>
      <w:bookmarkStart w:id="240" w:name="_Toc184310286"/>
      <w:bookmarkEnd w:id="240"/>
      <w:bookmarkStart w:id="241" w:name="_Toc184312088"/>
      <w:bookmarkEnd w:id="241"/>
      <w:bookmarkStart w:id="242" w:name="_Toc184308104"/>
      <w:bookmarkEnd w:id="242"/>
      <w:bookmarkStart w:id="243" w:name="_Toc184310315"/>
      <w:bookmarkEnd w:id="243"/>
      <w:bookmarkStart w:id="244" w:name="_Toc184313296"/>
      <w:bookmarkEnd w:id="244"/>
      <w:bookmarkStart w:id="245" w:name="_Toc184312073"/>
      <w:bookmarkEnd w:id="245"/>
      <w:bookmarkStart w:id="246" w:name="_Toc184310304"/>
      <w:bookmarkEnd w:id="246"/>
      <w:bookmarkStart w:id="247" w:name="_Toc184314463"/>
      <w:bookmarkEnd w:id="247"/>
      <w:bookmarkStart w:id="248" w:name="_Toc184313282"/>
      <w:bookmarkEnd w:id="248"/>
      <w:bookmarkStart w:id="249" w:name="_Toc184310318"/>
      <w:bookmarkEnd w:id="249"/>
      <w:bookmarkStart w:id="250" w:name="_Toc184312110"/>
      <w:bookmarkEnd w:id="250"/>
      <w:bookmarkStart w:id="251" w:name="_Toc184314444"/>
      <w:bookmarkEnd w:id="251"/>
      <w:bookmarkStart w:id="252" w:name="_Toc184313251"/>
      <w:bookmarkEnd w:id="252"/>
      <w:bookmarkStart w:id="253" w:name="_Toc184313270"/>
      <w:bookmarkEnd w:id="253"/>
      <w:bookmarkStart w:id="254" w:name="_Toc184314426"/>
      <w:bookmarkEnd w:id="254"/>
      <w:bookmarkStart w:id="255" w:name="_Toc184308081"/>
      <w:bookmarkEnd w:id="255"/>
      <w:bookmarkStart w:id="256" w:name="_Toc184314436"/>
      <w:bookmarkEnd w:id="256"/>
      <w:bookmarkStart w:id="257" w:name="_Toc184310302"/>
      <w:bookmarkEnd w:id="257"/>
      <w:bookmarkStart w:id="258" w:name="_Toc184312074"/>
      <w:bookmarkEnd w:id="258"/>
      <w:bookmarkStart w:id="259" w:name="_Toc184310316"/>
      <w:bookmarkEnd w:id="259"/>
      <w:bookmarkStart w:id="260" w:name="_Toc184310326"/>
      <w:bookmarkEnd w:id="260"/>
      <w:bookmarkStart w:id="261" w:name="_Toc184308039"/>
      <w:bookmarkEnd w:id="261"/>
      <w:bookmarkStart w:id="262" w:name="_Toc184310300"/>
      <w:bookmarkEnd w:id="262"/>
      <w:bookmarkStart w:id="263" w:name="_Toc184313265"/>
      <w:bookmarkEnd w:id="263"/>
      <w:bookmarkStart w:id="264" w:name="_Toc184312083"/>
      <w:bookmarkEnd w:id="264"/>
      <w:bookmarkStart w:id="265" w:name="_Toc184310313"/>
      <w:bookmarkEnd w:id="265"/>
      <w:bookmarkStart w:id="266" w:name="_Toc184314422"/>
      <w:bookmarkEnd w:id="266"/>
      <w:bookmarkStart w:id="267" w:name="_Toc184312131"/>
      <w:bookmarkEnd w:id="267"/>
      <w:bookmarkStart w:id="268" w:name="_Toc184313285"/>
      <w:bookmarkEnd w:id="268"/>
      <w:bookmarkStart w:id="269" w:name="_Toc184312138"/>
      <w:bookmarkEnd w:id="269"/>
      <w:bookmarkStart w:id="270" w:name="_Toc184310276"/>
      <w:bookmarkEnd w:id="270"/>
      <w:bookmarkStart w:id="271" w:name="_Toc184308037"/>
      <w:bookmarkEnd w:id="271"/>
      <w:bookmarkStart w:id="272" w:name="_Toc184308043"/>
      <w:bookmarkEnd w:id="272"/>
      <w:bookmarkStart w:id="273" w:name="_Toc184314464"/>
      <w:bookmarkEnd w:id="273"/>
      <w:bookmarkStart w:id="274" w:name="_Toc184310292"/>
      <w:bookmarkEnd w:id="274"/>
      <w:bookmarkStart w:id="275" w:name="_Toc184312132"/>
      <w:bookmarkEnd w:id="275"/>
      <w:bookmarkStart w:id="276" w:name="_Toc184310321"/>
      <w:bookmarkEnd w:id="276"/>
      <w:bookmarkStart w:id="277" w:name="_Toc184312106"/>
      <w:bookmarkEnd w:id="277"/>
      <w:bookmarkStart w:id="278" w:name="_Toc184314414"/>
      <w:bookmarkEnd w:id="278"/>
      <w:bookmarkStart w:id="279" w:name="_Toc184312098"/>
      <w:bookmarkEnd w:id="279"/>
      <w:bookmarkStart w:id="280" w:name="_Toc184308048"/>
      <w:bookmarkEnd w:id="280"/>
      <w:bookmarkStart w:id="281" w:name="_Toc184312099"/>
      <w:bookmarkEnd w:id="281"/>
      <w:bookmarkStart w:id="282" w:name="_Toc184310294"/>
      <w:bookmarkEnd w:id="282"/>
      <w:bookmarkStart w:id="283" w:name="_Toc184314420"/>
      <w:bookmarkEnd w:id="283"/>
      <w:bookmarkStart w:id="284" w:name="_Toc184312139"/>
      <w:bookmarkEnd w:id="284"/>
      <w:bookmarkStart w:id="285" w:name="_Toc184312085"/>
      <w:bookmarkEnd w:id="285"/>
      <w:bookmarkStart w:id="286" w:name="_Toc184313306"/>
      <w:bookmarkEnd w:id="286"/>
      <w:bookmarkStart w:id="287" w:name="_Toc184314453"/>
      <w:bookmarkEnd w:id="287"/>
      <w:bookmarkStart w:id="288" w:name="_Toc184308092"/>
      <w:bookmarkEnd w:id="288"/>
      <w:bookmarkStart w:id="289" w:name="_Toc184313278"/>
      <w:bookmarkEnd w:id="289"/>
      <w:bookmarkStart w:id="290" w:name="_Toc184312107"/>
      <w:bookmarkEnd w:id="290"/>
      <w:bookmarkStart w:id="291" w:name="_Toc184308050"/>
      <w:bookmarkEnd w:id="291"/>
      <w:bookmarkStart w:id="292" w:name="_Toc184310335"/>
      <w:bookmarkEnd w:id="292"/>
      <w:bookmarkStart w:id="293" w:name="_Toc184313307"/>
      <w:bookmarkEnd w:id="293"/>
      <w:bookmarkStart w:id="294" w:name="_Toc184312102"/>
      <w:bookmarkEnd w:id="294"/>
      <w:bookmarkStart w:id="295" w:name="_Toc184313286"/>
      <w:bookmarkEnd w:id="295"/>
      <w:bookmarkStart w:id="296" w:name="_Toc184313291"/>
      <w:bookmarkEnd w:id="296"/>
      <w:bookmarkStart w:id="297" w:name="_Toc184313298"/>
      <w:bookmarkEnd w:id="297"/>
      <w:bookmarkStart w:id="298" w:name="_Toc184314454"/>
      <w:bookmarkEnd w:id="298"/>
      <w:bookmarkStart w:id="299" w:name="_Toc184313244"/>
      <w:bookmarkEnd w:id="299"/>
      <w:bookmarkStart w:id="300" w:name="_Toc184308062"/>
      <w:bookmarkEnd w:id="300"/>
      <w:bookmarkStart w:id="301" w:name="_Toc184314446"/>
      <w:bookmarkEnd w:id="301"/>
      <w:bookmarkStart w:id="302" w:name="_Toc184308105"/>
      <w:bookmarkEnd w:id="302"/>
      <w:bookmarkStart w:id="303" w:name="_Toc184314471"/>
      <w:bookmarkEnd w:id="303"/>
      <w:bookmarkStart w:id="304" w:name="_Toc184310344"/>
      <w:bookmarkEnd w:id="304"/>
      <w:bookmarkStart w:id="305" w:name="_Toc184312117"/>
      <w:bookmarkEnd w:id="305"/>
      <w:bookmarkStart w:id="306" w:name="_Toc184314472"/>
      <w:bookmarkEnd w:id="306"/>
      <w:bookmarkStart w:id="307" w:name="_Toc184313248"/>
      <w:bookmarkEnd w:id="307"/>
      <w:bookmarkStart w:id="308" w:name="_Toc184313255"/>
      <w:bookmarkEnd w:id="308"/>
      <w:bookmarkStart w:id="309" w:name="_Toc184310280"/>
      <w:bookmarkEnd w:id="309"/>
      <w:bookmarkStart w:id="310" w:name="_Toc184312093"/>
      <w:bookmarkEnd w:id="310"/>
      <w:bookmarkStart w:id="311" w:name="_Toc184308054"/>
      <w:bookmarkEnd w:id="311"/>
      <w:bookmarkStart w:id="312" w:name="_Toc184310289"/>
      <w:bookmarkEnd w:id="312"/>
      <w:bookmarkStart w:id="313" w:name="_Toc184313272"/>
      <w:bookmarkEnd w:id="313"/>
      <w:bookmarkStart w:id="314" w:name="_Toc184310305"/>
      <w:bookmarkEnd w:id="314"/>
      <w:bookmarkStart w:id="315" w:name="_Toc184313277"/>
      <w:bookmarkEnd w:id="315"/>
      <w:bookmarkStart w:id="316" w:name="_Toc184313280"/>
      <w:bookmarkEnd w:id="316"/>
      <w:bookmarkStart w:id="317" w:name="_Toc184310325"/>
      <w:bookmarkEnd w:id="317"/>
      <w:bookmarkStart w:id="318" w:name="_Toc184314459"/>
      <w:bookmarkEnd w:id="318"/>
      <w:bookmarkStart w:id="319" w:name="_Toc184310291"/>
      <w:bookmarkEnd w:id="319"/>
      <w:bookmarkStart w:id="320" w:name="_Toc184312105"/>
      <w:bookmarkEnd w:id="320"/>
      <w:bookmarkStart w:id="321" w:name="_Toc184310296"/>
      <w:bookmarkEnd w:id="321"/>
      <w:bookmarkStart w:id="322" w:name="_Toc184313273"/>
      <w:bookmarkEnd w:id="322"/>
      <w:bookmarkStart w:id="323" w:name="_Toc184312068"/>
      <w:bookmarkEnd w:id="323"/>
      <w:bookmarkStart w:id="324" w:name="_Toc184310329"/>
      <w:bookmarkEnd w:id="324"/>
      <w:bookmarkStart w:id="325" w:name="_Toc184312081"/>
      <w:bookmarkEnd w:id="325"/>
      <w:bookmarkStart w:id="326" w:name="_Toc184308101"/>
      <w:bookmarkEnd w:id="326"/>
      <w:bookmarkStart w:id="327" w:name="_Toc184314474"/>
      <w:bookmarkEnd w:id="327"/>
      <w:bookmarkStart w:id="328" w:name="_Toc184313245"/>
      <w:bookmarkEnd w:id="328"/>
      <w:bookmarkStart w:id="329" w:name="_Toc184310279"/>
      <w:bookmarkEnd w:id="329"/>
      <w:bookmarkStart w:id="330" w:name="_Toc184310284"/>
      <w:bookmarkEnd w:id="330"/>
      <w:bookmarkStart w:id="331" w:name="_Toc184312112"/>
      <w:bookmarkEnd w:id="331"/>
      <w:bookmarkStart w:id="332" w:name="_Toc184313261"/>
      <w:bookmarkEnd w:id="332"/>
      <w:bookmarkStart w:id="333" w:name="_Toc184308095"/>
      <w:bookmarkEnd w:id="333"/>
      <w:bookmarkStart w:id="334" w:name="_Toc184308047"/>
      <w:bookmarkEnd w:id="334"/>
      <w:bookmarkStart w:id="335" w:name="_Toc184310343"/>
      <w:bookmarkEnd w:id="335"/>
      <w:bookmarkStart w:id="336" w:name="_Toc184308060"/>
      <w:bookmarkEnd w:id="336"/>
      <w:bookmarkStart w:id="337" w:name="_Toc184308094"/>
      <w:bookmarkEnd w:id="337"/>
      <w:bookmarkStart w:id="338" w:name="_Toc184312080"/>
      <w:bookmarkEnd w:id="338"/>
      <w:bookmarkStart w:id="339" w:name="_Toc184314455"/>
      <w:bookmarkEnd w:id="339"/>
      <w:bookmarkStart w:id="340" w:name="_Toc184312108"/>
      <w:bookmarkEnd w:id="340"/>
      <w:bookmarkStart w:id="341" w:name="_Toc184314448"/>
      <w:bookmarkEnd w:id="341"/>
      <w:bookmarkStart w:id="342" w:name="_Toc184308067"/>
      <w:bookmarkEnd w:id="342"/>
      <w:bookmarkStart w:id="343" w:name="_Toc184312103"/>
      <w:bookmarkEnd w:id="343"/>
      <w:bookmarkStart w:id="344" w:name="_Toc184308036"/>
      <w:bookmarkEnd w:id="344"/>
      <w:bookmarkStart w:id="345" w:name="_Toc184314456"/>
      <w:bookmarkEnd w:id="345"/>
      <w:bookmarkStart w:id="346" w:name="_Toc184310331"/>
      <w:bookmarkEnd w:id="346"/>
      <w:bookmarkStart w:id="347" w:name="_Toc184312127"/>
      <w:bookmarkEnd w:id="347"/>
      <w:bookmarkStart w:id="348" w:name="_Toc184313292"/>
      <w:bookmarkEnd w:id="348"/>
      <w:bookmarkStart w:id="349" w:name="_Toc184313254"/>
      <w:bookmarkEnd w:id="349"/>
      <w:bookmarkStart w:id="350" w:name="_Toc184313304"/>
      <w:bookmarkEnd w:id="350"/>
      <w:bookmarkStart w:id="351" w:name="_Toc184313262"/>
      <w:bookmarkEnd w:id="351"/>
      <w:bookmarkStart w:id="352" w:name="_Toc184310283"/>
      <w:bookmarkEnd w:id="352"/>
      <w:bookmarkStart w:id="353" w:name="_Toc184313268"/>
      <w:bookmarkEnd w:id="353"/>
      <w:bookmarkStart w:id="354" w:name="_Toc184308083"/>
      <w:bookmarkEnd w:id="354"/>
      <w:bookmarkStart w:id="355" w:name="_Toc184308065"/>
      <w:bookmarkEnd w:id="355"/>
      <w:bookmarkStart w:id="356" w:name="_Toc184314435"/>
      <w:bookmarkEnd w:id="356"/>
      <w:bookmarkStart w:id="357" w:name="_Toc184310314"/>
      <w:bookmarkEnd w:id="357"/>
      <w:bookmarkStart w:id="358" w:name="_Toc184308056"/>
      <w:bookmarkEnd w:id="358"/>
      <w:bookmarkStart w:id="359" w:name="_Toc184314481"/>
      <w:bookmarkEnd w:id="359"/>
      <w:bookmarkStart w:id="360" w:name="_Toc184312119"/>
      <w:bookmarkEnd w:id="360"/>
      <w:bookmarkStart w:id="361" w:name="_Toc184310277"/>
      <w:bookmarkEnd w:id="361"/>
      <w:bookmarkStart w:id="362" w:name="_Toc184314451"/>
      <w:bookmarkEnd w:id="362"/>
      <w:bookmarkStart w:id="363" w:name="_Toc184310328"/>
      <w:bookmarkEnd w:id="363"/>
      <w:bookmarkStart w:id="364" w:name="_Toc184312115"/>
      <w:bookmarkEnd w:id="364"/>
      <w:bookmarkStart w:id="365" w:name="_Toc184312129"/>
      <w:bookmarkEnd w:id="365"/>
      <w:bookmarkStart w:id="366" w:name="_Toc184314475"/>
      <w:bookmarkEnd w:id="366"/>
      <w:bookmarkStart w:id="367" w:name="_Toc184314415"/>
      <w:bookmarkEnd w:id="367"/>
      <w:bookmarkStart w:id="368" w:name="_Toc184314410"/>
      <w:bookmarkEnd w:id="368"/>
      <w:bookmarkStart w:id="369" w:name="_Toc184312116"/>
      <w:bookmarkEnd w:id="369"/>
      <w:bookmarkStart w:id="370" w:name="_Toc184314439"/>
      <w:bookmarkEnd w:id="370"/>
      <w:bookmarkStart w:id="371" w:name="_Toc184312134"/>
      <w:bookmarkEnd w:id="371"/>
      <w:bookmarkStart w:id="372" w:name="_Toc184314468"/>
      <w:bookmarkEnd w:id="372"/>
      <w:bookmarkStart w:id="373" w:name="_Toc184314458"/>
      <w:bookmarkEnd w:id="373"/>
      <w:bookmarkStart w:id="374" w:name="_Toc184308045"/>
      <w:bookmarkEnd w:id="374"/>
      <w:bookmarkStart w:id="375" w:name="_Toc184312070"/>
      <w:bookmarkEnd w:id="375"/>
      <w:bookmarkStart w:id="376" w:name="_Toc184313240"/>
      <w:bookmarkEnd w:id="376"/>
      <w:bookmarkStart w:id="377" w:name="_Toc184310306"/>
      <w:bookmarkEnd w:id="377"/>
      <w:bookmarkStart w:id="378" w:name="_Toc184313283"/>
      <w:bookmarkEnd w:id="378"/>
      <w:bookmarkStart w:id="379" w:name="_Toc184312097"/>
      <w:bookmarkEnd w:id="379"/>
      <w:bookmarkStart w:id="380" w:name="_Toc184308064"/>
      <w:bookmarkEnd w:id="380"/>
      <w:bookmarkStart w:id="381" w:name="_Toc184314416"/>
      <w:bookmarkEnd w:id="381"/>
      <w:bookmarkStart w:id="382" w:name="_Toc184312120"/>
      <w:bookmarkEnd w:id="382"/>
      <w:bookmarkStart w:id="383" w:name="_Toc184313310"/>
      <w:bookmarkEnd w:id="383"/>
      <w:bookmarkStart w:id="384" w:name="_Toc184313241"/>
      <w:bookmarkEnd w:id="384"/>
      <w:bookmarkStart w:id="385" w:name="_Toc184310287"/>
      <w:bookmarkEnd w:id="385"/>
      <w:bookmarkStart w:id="386" w:name="_Toc184312079"/>
      <w:bookmarkEnd w:id="386"/>
      <w:bookmarkStart w:id="387" w:name="_Toc184313293"/>
      <w:bookmarkEnd w:id="387"/>
      <w:bookmarkStart w:id="388" w:name="_Toc184314461"/>
      <w:bookmarkEnd w:id="388"/>
      <w:bookmarkStart w:id="389" w:name="_Toc184312133"/>
      <w:bookmarkEnd w:id="389"/>
      <w:bookmarkStart w:id="390" w:name="_Toc184314479"/>
      <w:bookmarkEnd w:id="390"/>
      <w:bookmarkStart w:id="391" w:name="_Toc184310282"/>
      <w:bookmarkEnd w:id="391"/>
      <w:bookmarkStart w:id="392" w:name="_Toc184308057"/>
      <w:bookmarkEnd w:id="392"/>
      <w:bookmarkStart w:id="393" w:name="_Toc184308044"/>
      <w:bookmarkEnd w:id="393"/>
      <w:bookmarkStart w:id="394" w:name="_Toc184308096"/>
      <w:bookmarkEnd w:id="394"/>
      <w:bookmarkStart w:id="395" w:name="_Toc184312090"/>
      <w:bookmarkEnd w:id="395"/>
      <w:bookmarkStart w:id="396" w:name="_Toc184308087"/>
      <w:bookmarkEnd w:id="396"/>
      <w:bookmarkStart w:id="397" w:name="_Toc184310312"/>
      <w:bookmarkEnd w:id="397"/>
      <w:bookmarkStart w:id="398" w:name="_Toc184314412"/>
      <w:bookmarkEnd w:id="398"/>
      <w:bookmarkStart w:id="399" w:name="_Toc184312101"/>
      <w:bookmarkEnd w:id="399"/>
      <w:bookmarkStart w:id="400" w:name="_Toc184308086"/>
      <w:bookmarkEnd w:id="400"/>
      <w:bookmarkStart w:id="401" w:name="_Toc184310338"/>
      <w:bookmarkEnd w:id="401"/>
      <w:bookmarkStart w:id="402" w:name="_Toc184314441"/>
      <w:bookmarkEnd w:id="402"/>
      <w:bookmarkStart w:id="403" w:name="_Toc184310299"/>
      <w:bookmarkEnd w:id="403"/>
      <w:bookmarkStart w:id="404" w:name="_Toc184314434"/>
      <w:bookmarkEnd w:id="404"/>
      <w:bookmarkStart w:id="405" w:name="_Toc184313246"/>
      <w:bookmarkEnd w:id="405"/>
      <w:bookmarkStart w:id="406" w:name="_Toc184310295"/>
      <w:bookmarkEnd w:id="406"/>
      <w:bookmarkStart w:id="407" w:name="_Toc184308068"/>
      <w:bookmarkEnd w:id="407"/>
      <w:r>
        <w:rPr>
          <w:rFonts w:hint="eastAsia" w:ascii="宋体" w:hAnsi="宋体" w:cs="宋体"/>
          <w:b/>
          <w:color w:val="auto"/>
          <w:sz w:val="36"/>
          <w:szCs w:val="36"/>
          <w:highlight w:val="none"/>
        </w:rPr>
        <w:t>评标办法</w:t>
      </w:r>
      <w:bookmarkEnd w:id="40"/>
      <w:bookmarkEnd w:id="41"/>
      <w:bookmarkEnd w:id="42"/>
      <w:r>
        <w:rPr>
          <w:rFonts w:hint="eastAsia" w:ascii="宋体" w:hAnsi="宋体" w:cs="宋体"/>
          <w:b/>
          <w:color w:val="auto"/>
          <w:sz w:val="36"/>
          <w:szCs w:val="36"/>
          <w:highlight w:val="none"/>
          <w:lang w:eastAsia="zh-CN"/>
        </w:rPr>
        <w:t>（</w:t>
      </w:r>
      <w:r>
        <w:rPr>
          <w:rFonts w:hint="default" w:ascii="宋体" w:hAnsi="宋体" w:cs="宋体"/>
          <w:b/>
          <w:color w:val="auto"/>
          <w:sz w:val="36"/>
          <w:szCs w:val="36"/>
          <w:highlight w:val="none"/>
          <w:lang w:eastAsia="zh-CN"/>
        </w:rPr>
        <w:t>A分标、B分标</w:t>
      </w:r>
      <w:r>
        <w:rPr>
          <w:rFonts w:hint="eastAsia" w:ascii="宋体" w:hAnsi="宋体" w:cs="宋体"/>
          <w:b/>
          <w:color w:val="auto"/>
          <w:sz w:val="36"/>
          <w:szCs w:val="36"/>
          <w:highlight w:val="none"/>
          <w:lang w:val="en-US" w:eastAsia="zh-CN"/>
        </w:rPr>
        <w:t>均适用</w:t>
      </w:r>
      <w:r>
        <w:rPr>
          <w:rFonts w:hint="eastAsia" w:ascii="宋体" w:hAnsi="宋体" w:cs="宋体"/>
          <w:b/>
          <w:color w:val="auto"/>
          <w:sz w:val="36"/>
          <w:szCs w:val="36"/>
          <w:highlight w:val="none"/>
          <w:lang w:eastAsia="zh-CN"/>
        </w:rPr>
        <w:t>）</w:t>
      </w:r>
    </w:p>
    <w:p w14:paraId="69D00233">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4992" w:type="pct"/>
        <w:tblInd w:w="0" w:type="dxa"/>
        <w:tblLayout w:type="fixed"/>
        <w:tblCellMar>
          <w:top w:w="0" w:type="dxa"/>
          <w:left w:w="108" w:type="dxa"/>
          <w:bottom w:w="0" w:type="dxa"/>
          <w:right w:w="108" w:type="dxa"/>
        </w:tblCellMar>
      </w:tblPr>
      <w:tblGrid>
        <w:gridCol w:w="976"/>
        <w:gridCol w:w="1236"/>
        <w:gridCol w:w="6545"/>
        <w:gridCol w:w="1081"/>
      </w:tblGrid>
      <w:tr w14:paraId="1F16B895">
        <w:tblPrEx>
          <w:tblCellMar>
            <w:top w:w="0" w:type="dxa"/>
            <w:left w:w="108" w:type="dxa"/>
            <w:bottom w:w="0" w:type="dxa"/>
            <w:right w:w="108" w:type="dxa"/>
          </w:tblCellMar>
        </w:tblPrEx>
        <w:trPr>
          <w:trHeight w:val="580"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582A4">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636CA">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评审因素</w:t>
            </w:r>
          </w:p>
        </w:tc>
        <w:tc>
          <w:tcPr>
            <w:tcW w:w="3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046EA">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评分标准说明</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A717E">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分值</w:t>
            </w:r>
          </w:p>
        </w:tc>
      </w:tr>
      <w:tr w14:paraId="578A04F8">
        <w:tblPrEx>
          <w:tblCellMar>
            <w:top w:w="0" w:type="dxa"/>
            <w:left w:w="108" w:type="dxa"/>
            <w:bottom w:w="0" w:type="dxa"/>
            <w:right w:w="108" w:type="dxa"/>
          </w:tblCellMar>
        </w:tblPrEx>
        <w:trPr>
          <w:trHeight w:val="540" w:hRule="atLeast"/>
        </w:trPr>
        <w:tc>
          <w:tcPr>
            <w:tcW w:w="44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7C417E">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一、价格部分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6BCEA">
            <w:pPr>
              <w:widowControl/>
              <w:jc w:val="center"/>
              <w:textAlignment w:val="center"/>
              <w:rPr>
                <w:b/>
                <w:bCs/>
                <w:color w:val="auto"/>
                <w:szCs w:val="21"/>
                <w:highlight w:val="none"/>
              </w:rPr>
            </w:pPr>
            <w:r>
              <w:rPr>
                <w:rFonts w:hint="eastAsia"/>
                <w:b/>
                <w:bCs/>
                <w:color w:val="auto"/>
                <w:kern w:val="0"/>
                <w:szCs w:val="21"/>
                <w:highlight w:val="none"/>
                <w:lang w:val="en-US" w:eastAsia="zh-CN" w:bidi="ar"/>
              </w:rPr>
              <w:t>10</w:t>
            </w:r>
            <w:r>
              <w:rPr>
                <w:rFonts w:hint="eastAsia" w:ascii="宋体" w:hAnsi="宋体" w:cs="宋体"/>
                <w:b/>
                <w:bCs/>
                <w:color w:val="auto"/>
                <w:kern w:val="0"/>
                <w:szCs w:val="21"/>
                <w:highlight w:val="none"/>
                <w:lang w:bidi="ar"/>
              </w:rPr>
              <w:t>分</w:t>
            </w:r>
          </w:p>
        </w:tc>
      </w:tr>
      <w:tr w14:paraId="018865D0">
        <w:tblPrEx>
          <w:tblCellMar>
            <w:top w:w="0" w:type="dxa"/>
            <w:left w:w="108" w:type="dxa"/>
            <w:bottom w:w="0" w:type="dxa"/>
            <w:right w:w="108" w:type="dxa"/>
          </w:tblCellMar>
        </w:tblPrEx>
        <w:trPr>
          <w:trHeight w:val="90"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C4941">
            <w:pPr>
              <w:widowControl/>
              <w:jc w:val="center"/>
              <w:textAlignment w:val="center"/>
              <w:rPr>
                <w:b/>
                <w:bCs/>
                <w:color w:val="auto"/>
                <w:szCs w:val="21"/>
                <w:highlight w:val="none"/>
              </w:rPr>
            </w:pPr>
            <w:r>
              <w:rPr>
                <w:b/>
                <w:bCs/>
                <w:color w:val="auto"/>
                <w:kern w:val="0"/>
                <w:szCs w:val="21"/>
                <w:highlight w:val="none"/>
                <w:lang w:bidi="ar"/>
              </w:rPr>
              <w:t>1</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E4310">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价格分</w:t>
            </w:r>
          </w:p>
        </w:tc>
        <w:tc>
          <w:tcPr>
            <w:tcW w:w="3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38596">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（1）评标报价为投标人的投标报价进行政策性扣除后的价格，评标报价只是作为评标时使用。最终中标人的中标金额等于投标报价。</w:t>
            </w:r>
          </w:p>
          <w:p w14:paraId="7451308C">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（2）按照《政府采购促进中小企业发展管理办法》（财库〔2020〕46号）、《广西壮族自治区财政厅关于贯彻落实政府采购支持中小企业发展政策的通知》（桂财采〔2022〕31 号）的规定，在其投标文件中提供《中小企业声明函》，且其提供的货物全部由符合政策要求的小型、微型企业制造，即货物由小型、微型企业生产且使用该小型、微型企业商号或者注册商标，对其投标价格给予20%的扣除。</w:t>
            </w:r>
          </w:p>
          <w:p w14:paraId="130A5DDE">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014A7343">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4957791">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（5）政策性扣除计算方法。</w:t>
            </w:r>
          </w:p>
          <w:p w14:paraId="4936B254">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投标人被评定为监狱企业或者残疾人福利性单位或者其提供的货物全部由符合政策要求的小型、微型企业制造，即货物由小型、微型企业生产且使用该小型、微型企业商号或者注册商标的，该投标人的投标报价给予 20% 的扣除，扣除后的价格为评标报价，即评标报价=投标报价×（1-20%）。</w:t>
            </w:r>
          </w:p>
          <w:p w14:paraId="7F7B6638">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除上述情况外，评标价＝投标报价。</w:t>
            </w:r>
          </w:p>
          <w:p w14:paraId="792603EC">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（6）满足招标文件要求且评标报价最低的评标报价为评标基准价，基准价报价得分为</w:t>
            </w:r>
            <w:r>
              <w:rPr>
                <w:rFonts w:hint="eastAsia" w:ascii="宋体" w:hAnsi="宋体" w:cs="宋体"/>
                <w:color w:val="auto"/>
                <w:kern w:val="0"/>
                <w:szCs w:val="21"/>
                <w:highlight w:val="none"/>
                <w:lang w:val="en-US" w:eastAsia="zh-CN" w:bidi="ar"/>
              </w:rPr>
              <w:t>10</w:t>
            </w:r>
            <w:r>
              <w:rPr>
                <w:rFonts w:hint="eastAsia" w:ascii="宋体" w:hAnsi="宋体" w:cs="宋体"/>
                <w:color w:val="auto"/>
                <w:kern w:val="0"/>
                <w:szCs w:val="21"/>
                <w:highlight w:val="none"/>
                <w:lang w:bidi="ar"/>
              </w:rPr>
              <w:t>分；</w:t>
            </w:r>
          </w:p>
          <w:p w14:paraId="2EDD8B1E">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（7）价格分计算公式：</w:t>
            </w:r>
          </w:p>
          <w:p w14:paraId="7F39580E">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某投标人价格分 = 投标人最低评标价（金额）/某投标人评标价（金额）×</w:t>
            </w:r>
            <w:r>
              <w:rPr>
                <w:rFonts w:hint="eastAsia" w:ascii="宋体" w:hAnsi="宋体" w:cs="宋体"/>
                <w:color w:val="auto"/>
                <w:kern w:val="0"/>
                <w:szCs w:val="21"/>
                <w:highlight w:val="none"/>
                <w:lang w:val="en-US" w:eastAsia="zh-CN" w:bidi="ar"/>
              </w:rPr>
              <w:t>10</w:t>
            </w:r>
            <w:r>
              <w:rPr>
                <w:rFonts w:hint="eastAsia" w:ascii="宋体" w:hAnsi="宋体" w:cs="宋体"/>
                <w:color w:val="auto"/>
                <w:kern w:val="0"/>
                <w:szCs w:val="21"/>
                <w:highlight w:val="none"/>
                <w:lang w:bidi="ar"/>
              </w:rPr>
              <w:t>分</w:t>
            </w:r>
          </w:p>
          <w:p w14:paraId="548F5DB0">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（8）报价要求</w:t>
            </w:r>
          </w:p>
          <w:p w14:paraId="688B6F53">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BADA8">
            <w:pPr>
              <w:widowControl/>
              <w:jc w:val="center"/>
              <w:textAlignment w:val="center"/>
              <w:rPr>
                <w:color w:val="auto"/>
                <w:szCs w:val="21"/>
                <w:highlight w:val="none"/>
              </w:rPr>
            </w:pPr>
            <w:r>
              <w:rPr>
                <w:rFonts w:hint="eastAsia"/>
                <w:b/>
                <w:bCs/>
                <w:color w:val="auto"/>
                <w:kern w:val="0"/>
                <w:szCs w:val="21"/>
                <w:highlight w:val="none"/>
                <w:lang w:val="en-US" w:eastAsia="zh-CN" w:bidi="ar"/>
              </w:rPr>
              <w:t>1</w:t>
            </w:r>
            <w:r>
              <w:rPr>
                <w:b/>
                <w:bCs/>
                <w:color w:val="auto"/>
                <w:kern w:val="0"/>
                <w:szCs w:val="21"/>
                <w:highlight w:val="none"/>
                <w:lang w:bidi="ar"/>
              </w:rPr>
              <w:t>0</w:t>
            </w:r>
            <w:r>
              <w:rPr>
                <w:rFonts w:hint="eastAsia"/>
                <w:b/>
                <w:bCs/>
                <w:color w:val="auto"/>
                <w:kern w:val="0"/>
                <w:szCs w:val="21"/>
                <w:highlight w:val="none"/>
                <w:lang w:bidi="ar"/>
              </w:rPr>
              <w:t>分</w:t>
            </w:r>
          </w:p>
        </w:tc>
      </w:tr>
      <w:tr w14:paraId="2FD36972">
        <w:tblPrEx>
          <w:tblCellMar>
            <w:top w:w="0" w:type="dxa"/>
            <w:left w:w="108" w:type="dxa"/>
            <w:bottom w:w="0" w:type="dxa"/>
            <w:right w:w="108" w:type="dxa"/>
          </w:tblCellMar>
        </w:tblPrEx>
        <w:trPr>
          <w:trHeight w:val="780" w:hRule="atLeast"/>
        </w:trPr>
        <w:tc>
          <w:tcPr>
            <w:tcW w:w="44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38FA7E">
            <w:pPr>
              <w:widowControl/>
              <w:jc w:val="center"/>
              <w:textAlignment w:val="center"/>
              <w:rPr>
                <w:rFonts w:hint="default" w:eastAsia="宋体"/>
                <w:b w:val="0"/>
                <w:bCs w:val="0"/>
                <w:color w:val="auto"/>
                <w:szCs w:val="21"/>
                <w:highlight w:val="none"/>
                <w:lang w:val="en-US" w:eastAsia="zh-CN"/>
              </w:rPr>
            </w:pPr>
            <w:r>
              <w:rPr>
                <w:rFonts w:hint="eastAsia" w:ascii="宋体" w:hAnsi="宋体" w:cs="宋体"/>
                <w:b/>
                <w:bCs/>
                <w:color w:val="auto"/>
                <w:kern w:val="0"/>
                <w:szCs w:val="21"/>
                <w:highlight w:val="none"/>
                <w:lang w:bidi="ar"/>
              </w:rPr>
              <w:t>二、技术分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BCFF3">
            <w:pPr>
              <w:widowControl/>
              <w:jc w:val="center"/>
              <w:textAlignment w:val="center"/>
              <w:rPr>
                <w:rFonts w:hint="default" w:ascii="宋体" w:hAnsi="宋体" w:eastAsia="宋体" w:cs="宋体"/>
                <w:b/>
                <w:bCs/>
                <w:color w:val="auto"/>
                <w:kern w:val="0"/>
                <w:szCs w:val="21"/>
                <w:highlight w:val="none"/>
                <w:lang w:val="en-US" w:eastAsia="zh-CN" w:bidi="ar"/>
              </w:rPr>
            </w:pPr>
            <w:r>
              <w:rPr>
                <w:rFonts w:hint="eastAsia" w:ascii="宋体" w:hAnsi="宋体" w:cs="宋体"/>
                <w:b/>
                <w:bCs/>
                <w:color w:val="auto"/>
                <w:kern w:val="0"/>
                <w:szCs w:val="21"/>
                <w:highlight w:val="none"/>
                <w:lang w:val="en-US" w:eastAsia="zh-CN" w:bidi="ar"/>
              </w:rPr>
              <w:t>70分</w:t>
            </w:r>
          </w:p>
        </w:tc>
      </w:tr>
      <w:tr w14:paraId="28B200F0">
        <w:tblPrEx>
          <w:tblCellMar>
            <w:top w:w="0" w:type="dxa"/>
            <w:left w:w="108" w:type="dxa"/>
            <w:bottom w:w="0" w:type="dxa"/>
            <w:right w:w="108" w:type="dxa"/>
          </w:tblCellMar>
        </w:tblPrEx>
        <w:trPr>
          <w:trHeight w:val="1593"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13E6E">
            <w:pPr>
              <w:widowControl/>
              <w:jc w:val="center"/>
              <w:textAlignment w:val="center"/>
              <w:rPr>
                <w:b/>
                <w:bCs/>
                <w:color w:val="auto"/>
                <w:szCs w:val="21"/>
                <w:highlight w:val="none"/>
              </w:rPr>
            </w:pPr>
            <w:r>
              <w:rPr>
                <w:b/>
                <w:bCs/>
                <w:color w:val="auto"/>
                <w:kern w:val="0"/>
                <w:szCs w:val="21"/>
                <w:highlight w:val="none"/>
                <w:lang w:bidi="ar"/>
              </w:rPr>
              <w:t>1</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5D5E5">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lang w:val="en-US" w:eastAsia="zh-CN"/>
              </w:rPr>
              <w:t>整体服务</w:t>
            </w:r>
          </w:p>
          <w:p w14:paraId="0343EA8E">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lang w:val="en-US" w:eastAsia="zh-CN"/>
              </w:rPr>
              <w:t>方案</w:t>
            </w:r>
          </w:p>
        </w:tc>
        <w:tc>
          <w:tcPr>
            <w:tcW w:w="3326" w:type="pct"/>
            <w:tcBorders>
              <w:top w:val="single" w:color="000000" w:sz="4" w:space="0"/>
              <w:left w:val="single" w:color="000000" w:sz="4" w:space="0"/>
              <w:bottom w:val="single" w:color="000000" w:sz="4" w:space="0"/>
              <w:right w:val="single" w:color="000000" w:sz="4" w:space="0"/>
            </w:tcBorders>
            <w:shd w:val="clear" w:color="auto" w:fill="auto"/>
            <w:vAlign w:val="top"/>
          </w:tcPr>
          <w:p w14:paraId="399856CC">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right="0" w:righ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对总体</w:t>
            </w:r>
            <w:r>
              <w:rPr>
                <w:rFonts w:hint="eastAsia" w:ascii="宋体" w:hAnsi="宋体" w:cs="宋体"/>
                <w:color w:val="auto"/>
                <w:szCs w:val="21"/>
                <w:highlight w:val="none"/>
                <w:lang w:eastAsia="zh-CN"/>
              </w:rPr>
              <w:t>承办</w:t>
            </w:r>
            <w:r>
              <w:rPr>
                <w:rFonts w:hint="eastAsia" w:ascii="宋体" w:hAnsi="宋体" w:cs="宋体"/>
                <w:color w:val="auto"/>
                <w:szCs w:val="21"/>
                <w:highlight w:val="none"/>
              </w:rPr>
              <w:t>服务方案进行响应：</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提供的总体</w:t>
            </w:r>
            <w:r>
              <w:rPr>
                <w:rFonts w:hint="eastAsia" w:ascii="宋体" w:hAnsi="宋体" w:cs="宋体"/>
                <w:color w:val="auto"/>
                <w:szCs w:val="21"/>
                <w:highlight w:val="none"/>
                <w:lang w:eastAsia="zh-CN"/>
              </w:rPr>
              <w:t>承办</w:t>
            </w:r>
            <w:r>
              <w:rPr>
                <w:rFonts w:hint="eastAsia" w:ascii="宋体" w:hAnsi="宋体" w:cs="宋体"/>
                <w:color w:val="auto"/>
                <w:szCs w:val="21"/>
                <w:highlight w:val="none"/>
              </w:rPr>
              <w:t>服务方案，包括提出我市长期护理保险经办工作的总体目标、阶段性重点工作计划、难点问题和解决方案，提出</w:t>
            </w:r>
            <w:r>
              <w:rPr>
                <w:rFonts w:hint="eastAsia" w:ascii="宋体" w:hAnsi="宋体" w:cs="宋体"/>
                <w:color w:val="auto"/>
                <w:szCs w:val="21"/>
                <w:highlight w:val="none"/>
                <w:lang w:eastAsia="zh-CN"/>
              </w:rPr>
              <w:t>如何打造“北海长护”示范点的新构思</w:t>
            </w:r>
            <w:r>
              <w:rPr>
                <w:rFonts w:hint="eastAsia" w:ascii="宋体" w:hAnsi="宋体" w:cs="宋体"/>
                <w:color w:val="auto"/>
                <w:szCs w:val="21"/>
                <w:highlight w:val="none"/>
              </w:rPr>
              <w:t>等4方面内容。方案中每响应一项</w:t>
            </w:r>
            <w:r>
              <w:rPr>
                <w:rFonts w:hint="eastAsia" w:ascii="宋体" w:hAnsi="宋体" w:cs="宋体"/>
                <w:color w:val="auto"/>
                <w:szCs w:val="21"/>
                <w:highlight w:val="none"/>
                <w:lang w:eastAsia="zh-CN"/>
              </w:rPr>
              <w:t>内</w:t>
            </w:r>
            <w:r>
              <w:rPr>
                <w:rFonts w:hint="eastAsia" w:ascii="宋体" w:hAnsi="宋体" w:cs="宋体"/>
                <w:color w:val="auto"/>
                <w:szCs w:val="21"/>
                <w:highlight w:val="none"/>
              </w:rPr>
              <w:t>容</w:t>
            </w:r>
            <w:r>
              <w:rPr>
                <w:rFonts w:hint="eastAsia" w:ascii="宋体" w:hAnsi="宋体" w:cs="宋体"/>
                <w:color w:val="auto"/>
                <w:szCs w:val="21"/>
                <w:highlight w:val="none"/>
                <w:lang w:val="en-US" w:eastAsia="zh-CN"/>
              </w:rPr>
              <w:t>且符合国家医保局指导意见得1分</w:t>
            </w:r>
            <w:r>
              <w:rPr>
                <w:rFonts w:hint="eastAsia" w:ascii="宋体" w:hAnsi="宋体" w:cs="宋体"/>
                <w:color w:val="auto"/>
                <w:szCs w:val="21"/>
                <w:highlight w:val="none"/>
              </w:rPr>
              <w:t>，</w:t>
            </w:r>
            <w:r>
              <w:rPr>
                <w:rFonts w:hint="eastAsia" w:ascii="宋体" w:hAnsi="宋体" w:cs="宋体"/>
                <w:color w:val="auto"/>
                <w:szCs w:val="21"/>
                <w:highlight w:val="none"/>
                <w:lang w:eastAsia="zh-CN"/>
              </w:rPr>
              <w:t>总分</w:t>
            </w:r>
            <w:r>
              <w:rPr>
                <w:rFonts w:hint="eastAsia" w:ascii="宋体" w:hAnsi="宋体" w:cs="宋体"/>
                <w:color w:val="auto"/>
                <w:szCs w:val="21"/>
                <w:highlight w:val="none"/>
                <w:lang w:val="en-US" w:eastAsia="zh-CN"/>
              </w:rPr>
              <w:t>4分</w:t>
            </w:r>
            <w:r>
              <w:rPr>
                <w:rFonts w:hint="eastAsia" w:ascii="宋体" w:hAnsi="宋体" w:cs="宋体"/>
                <w:color w:val="auto"/>
                <w:szCs w:val="21"/>
                <w:highlight w:val="none"/>
              </w:rPr>
              <w:t>。</w:t>
            </w:r>
          </w:p>
          <w:p w14:paraId="7AF9B365">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right="0" w:righ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总体服务方案评价</w:t>
            </w:r>
            <w:r>
              <w:rPr>
                <w:rFonts w:hint="eastAsia" w:ascii="宋体" w:hAnsi="宋体" w:cs="宋体"/>
                <w:color w:val="auto"/>
                <w:szCs w:val="21"/>
                <w:highlight w:val="none"/>
                <w:lang w:eastAsia="zh-CN"/>
              </w:rPr>
              <w:t>得</w:t>
            </w:r>
            <w:r>
              <w:rPr>
                <w:rFonts w:hint="eastAsia" w:ascii="宋体" w:hAnsi="宋体" w:cs="宋体"/>
                <w:color w:val="auto"/>
                <w:szCs w:val="21"/>
                <w:highlight w:val="none"/>
                <w:lang w:val="en-US" w:eastAsia="zh-CN"/>
              </w:rPr>
              <w:t>分</w:t>
            </w:r>
            <w:r>
              <w:rPr>
                <w:rFonts w:hint="eastAsia" w:ascii="宋体" w:hAnsi="宋体" w:cs="宋体"/>
                <w:color w:val="auto"/>
                <w:szCs w:val="21"/>
                <w:highlight w:val="none"/>
              </w:rPr>
              <w:t>：在上述要求的基础上，根据总体服务方案优劣评分，方案编制内容完整、考虑周全，被评为认为对采购人服务项目有利实施的承诺和措施的，方案评为优秀的</w:t>
            </w:r>
            <w:r>
              <w:rPr>
                <w:rFonts w:hint="eastAsia" w:ascii="宋体" w:hAnsi="宋体" w:cs="宋体"/>
                <w:color w:val="auto"/>
                <w:szCs w:val="21"/>
                <w:highlight w:val="none"/>
                <w:lang w:val="en-US" w:eastAsia="zh-CN"/>
              </w:rPr>
              <w:t>得6分，评为良好的得5分，评为中等的得4分，评为差的得3分。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74ED2">
            <w:pPr>
              <w:widowControl/>
              <w:jc w:val="center"/>
              <w:textAlignment w:val="center"/>
              <w:rPr>
                <w:rFonts w:ascii="宋体" w:hAnsi="宋体" w:cs="宋体"/>
                <w:b w:val="0"/>
                <w:bCs w:val="0"/>
                <w:color w:val="auto"/>
                <w:szCs w:val="21"/>
                <w:highlight w:val="none"/>
              </w:rPr>
            </w:pPr>
            <w:r>
              <w:rPr>
                <w:rFonts w:hint="eastAsia"/>
                <w:b/>
                <w:bCs/>
                <w:color w:val="auto"/>
                <w:szCs w:val="21"/>
                <w:highlight w:val="none"/>
                <w:lang w:val="en-US" w:eastAsia="zh-CN"/>
              </w:rPr>
              <w:t>10分</w:t>
            </w:r>
          </w:p>
        </w:tc>
      </w:tr>
      <w:tr w14:paraId="0AEDD73F">
        <w:tblPrEx>
          <w:tblCellMar>
            <w:top w:w="0" w:type="dxa"/>
            <w:left w:w="108" w:type="dxa"/>
            <w:bottom w:w="0" w:type="dxa"/>
            <w:right w:w="108" w:type="dxa"/>
          </w:tblCellMar>
        </w:tblPrEx>
        <w:trPr>
          <w:trHeight w:val="1593"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6DC9D">
            <w:pPr>
              <w:widowControl/>
              <w:jc w:val="center"/>
              <w:textAlignment w:val="center"/>
              <w:rPr>
                <w:rFonts w:hint="eastAsia" w:eastAsia="宋体"/>
                <w:b/>
                <w:bCs/>
                <w:color w:val="auto"/>
                <w:kern w:val="0"/>
                <w:szCs w:val="21"/>
                <w:highlight w:val="none"/>
                <w:lang w:val="en-US" w:eastAsia="zh-CN" w:bidi="ar"/>
              </w:rPr>
            </w:pPr>
            <w:r>
              <w:rPr>
                <w:rFonts w:hint="eastAsia"/>
                <w:b/>
                <w:bCs/>
                <w:color w:val="auto"/>
                <w:kern w:val="0"/>
                <w:szCs w:val="21"/>
                <w:highlight w:val="none"/>
                <w:lang w:val="en-US" w:eastAsia="zh-CN" w:bidi="ar"/>
              </w:rPr>
              <w:t>2</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4346C">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组织失能评估工作方案</w:t>
            </w:r>
          </w:p>
        </w:tc>
        <w:tc>
          <w:tcPr>
            <w:tcW w:w="3326" w:type="pct"/>
            <w:tcBorders>
              <w:top w:val="single" w:color="000000" w:sz="4" w:space="0"/>
              <w:left w:val="single" w:color="000000" w:sz="4" w:space="0"/>
              <w:bottom w:val="single" w:color="000000" w:sz="4" w:space="0"/>
              <w:right w:val="single" w:color="000000" w:sz="4" w:space="0"/>
            </w:tcBorders>
            <w:shd w:val="clear" w:color="auto" w:fill="auto"/>
            <w:vAlign w:val="top"/>
          </w:tcPr>
          <w:p w14:paraId="6CAA7904">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right="0" w:righ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对组织失能评估工作方案响应：</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组织失能评估工作的具体方案，包括</w:t>
            </w:r>
            <w:r>
              <w:rPr>
                <w:rFonts w:hint="eastAsia" w:ascii="宋体" w:hAnsi="宋体" w:cs="宋体"/>
                <w:color w:val="auto"/>
                <w:szCs w:val="21"/>
                <w:highlight w:val="none"/>
                <w:lang w:eastAsia="zh-CN"/>
              </w:rPr>
              <w:t>评估目标、评估队伍、评估机构管理、评估人员培训计划、评估内容、评估流程、评估费用结算、评估档案、护理服务计划</w:t>
            </w:r>
            <w:r>
              <w:rPr>
                <w:rFonts w:hint="eastAsia" w:ascii="宋体" w:hAnsi="宋体" w:cs="宋体"/>
                <w:color w:val="auto"/>
                <w:szCs w:val="21"/>
                <w:highlight w:val="none"/>
              </w:rPr>
              <w:t>等</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个方面内容。方案中每响应一方面内容</w:t>
            </w:r>
            <w:r>
              <w:rPr>
                <w:rFonts w:hint="eastAsia" w:ascii="宋体" w:hAnsi="宋体" w:cs="宋体"/>
                <w:color w:val="auto"/>
                <w:szCs w:val="21"/>
                <w:highlight w:val="none"/>
                <w:lang w:val="en-US" w:eastAsia="zh-CN"/>
              </w:rPr>
              <w:t>且符合实际操作</w:t>
            </w:r>
            <w:r>
              <w:rPr>
                <w:rFonts w:hint="eastAsia" w:ascii="宋体" w:hAnsi="宋体" w:cs="宋体"/>
                <w:color w:val="auto"/>
                <w:szCs w:val="21"/>
                <w:highlight w:val="none"/>
                <w:lang w:eastAsia="zh-CN"/>
              </w:rPr>
              <w:t>得</w:t>
            </w:r>
            <w:r>
              <w:rPr>
                <w:rFonts w:hint="eastAsia" w:ascii="宋体" w:hAnsi="宋体" w:cs="宋体"/>
                <w:color w:val="auto"/>
                <w:szCs w:val="21"/>
                <w:highlight w:val="none"/>
                <w:lang w:val="en-US" w:eastAsia="zh-CN"/>
              </w:rPr>
              <w:t>0.5分</w:t>
            </w:r>
            <w:r>
              <w:rPr>
                <w:rFonts w:hint="eastAsia" w:ascii="宋体" w:hAnsi="宋体" w:cs="宋体"/>
                <w:color w:val="auto"/>
                <w:szCs w:val="21"/>
                <w:highlight w:val="none"/>
              </w:rPr>
              <w:t>，</w:t>
            </w:r>
            <w:r>
              <w:rPr>
                <w:rFonts w:hint="eastAsia" w:ascii="宋体" w:hAnsi="宋体" w:cs="宋体"/>
                <w:color w:val="auto"/>
                <w:szCs w:val="21"/>
                <w:highlight w:val="none"/>
                <w:lang w:eastAsia="zh-CN"/>
              </w:rPr>
              <w:t>总得分</w:t>
            </w:r>
            <w:r>
              <w:rPr>
                <w:rFonts w:hint="eastAsia" w:ascii="宋体" w:hAnsi="宋体" w:cs="宋体"/>
                <w:color w:val="auto"/>
                <w:szCs w:val="21"/>
                <w:highlight w:val="none"/>
                <w:lang w:val="en-US" w:eastAsia="zh-CN"/>
              </w:rPr>
              <w:t>4.5分</w:t>
            </w:r>
            <w:r>
              <w:rPr>
                <w:rFonts w:hint="eastAsia" w:ascii="宋体" w:hAnsi="宋体" w:cs="宋体"/>
                <w:color w:val="auto"/>
                <w:szCs w:val="21"/>
                <w:highlight w:val="none"/>
              </w:rPr>
              <w:t>；</w:t>
            </w:r>
          </w:p>
          <w:p w14:paraId="4987DCEA">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right="0" w:righ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组织失能评估工作方案评价</w:t>
            </w:r>
            <w:r>
              <w:rPr>
                <w:rFonts w:hint="eastAsia" w:ascii="宋体" w:hAnsi="宋体" w:cs="宋体"/>
                <w:color w:val="auto"/>
                <w:szCs w:val="21"/>
                <w:highlight w:val="none"/>
                <w:lang w:eastAsia="zh-CN"/>
              </w:rPr>
              <w:t>得</w:t>
            </w:r>
            <w:r>
              <w:rPr>
                <w:rFonts w:hint="eastAsia" w:ascii="宋体" w:hAnsi="宋体" w:cs="宋体"/>
                <w:color w:val="auto"/>
                <w:szCs w:val="21"/>
                <w:highlight w:val="none"/>
                <w:lang w:val="en-US" w:eastAsia="zh-CN"/>
              </w:rPr>
              <w:t>分</w:t>
            </w:r>
            <w:r>
              <w:rPr>
                <w:rFonts w:hint="eastAsia" w:ascii="宋体" w:hAnsi="宋体" w:cs="宋体"/>
                <w:color w:val="auto"/>
                <w:szCs w:val="21"/>
                <w:highlight w:val="none"/>
              </w:rPr>
              <w:t>：评审专家根据</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失能评估方案优劣评分，方案编制内容完整、考虑周全，被评为认为对采购人服务项目有利实施的承诺和措施的，方案评为优秀的</w:t>
            </w:r>
            <w:r>
              <w:rPr>
                <w:rFonts w:hint="eastAsia" w:ascii="宋体" w:hAnsi="宋体" w:cs="宋体"/>
                <w:color w:val="auto"/>
                <w:szCs w:val="21"/>
                <w:highlight w:val="none"/>
                <w:lang w:eastAsia="zh-CN"/>
              </w:rPr>
              <w:t>得</w:t>
            </w:r>
            <w:r>
              <w:rPr>
                <w:rFonts w:hint="eastAsia" w:ascii="宋体" w:hAnsi="宋体" w:cs="宋体"/>
                <w:color w:val="auto"/>
                <w:szCs w:val="21"/>
                <w:highlight w:val="none"/>
                <w:lang w:val="en-US" w:eastAsia="zh-CN"/>
              </w:rPr>
              <w:t>5.5分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评为良好的得4.5分，评为中等的得3.5分，评为差的得2.5分。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965FE">
            <w:pPr>
              <w:widowControl/>
              <w:jc w:val="center"/>
              <w:textAlignment w:val="center"/>
              <w:rPr>
                <w:rFonts w:hint="eastAsia" w:ascii="宋体" w:hAnsi="宋体" w:cs="宋体"/>
                <w:b w:val="0"/>
                <w:bCs w:val="0"/>
                <w:color w:val="auto"/>
                <w:kern w:val="0"/>
                <w:szCs w:val="21"/>
                <w:highlight w:val="none"/>
                <w:lang w:val="en-US" w:eastAsia="zh-CN" w:bidi="ar"/>
              </w:rPr>
            </w:pPr>
            <w:r>
              <w:rPr>
                <w:rFonts w:hint="eastAsia"/>
                <w:b/>
                <w:bCs/>
                <w:color w:val="auto"/>
                <w:szCs w:val="21"/>
                <w:highlight w:val="none"/>
                <w:lang w:val="en-US" w:eastAsia="zh-CN"/>
              </w:rPr>
              <w:t>10分</w:t>
            </w:r>
          </w:p>
        </w:tc>
      </w:tr>
      <w:tr w14:paraId="0B56A039">
        <w:tblPrEx>
          <w:tblCellMar>
            <w:top w:w="0" w:type="dxa"/>
            <w:left w:w="108" w:type="dxa"/>
            <w:bottom w:w="0" w:type="dxa"/>
            <w:right w:w="108" w:type="dxa"/>
          </w:tblCellMar>
        </w:tblPrEx>
        <w:trPr>
          <w:trHeight w:val="1593"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0DB07">
            <w:pPr>
              <w:widowControl/>
              <w:jc w:val="center"/>
              <w:textAlignment w:val="center"/>
              <w:rPr>
                <w:rFonts w:hint="default"/>
                <w:b/>
                <w:bCs/>
                <w:color w:val="auto"/>
                <w:kern w:val="0"/>
                <w:szCs w:val="21"/>
                <w:highlight w:val="none"/>
                <w:lang w:val="en-US" w:eastAsia="zh-CN" w:bidi="ar"/>
              </w:rPr>
            </w:pPr>
            <w:r>
              <w:rPr>
                <w:rFonts w:hint="eastAsia"/>
                <w:b/>
                <w:bCs/>
                <w:color w:val="auto"/>
                <w:kern w:val="0"/>
                <w:szCs w:val="21"/>
                <w:highlight w:val="none"/>
                <w:lang w:val="en-US" w:eastAsia="zh-CN" w:bidi="ar"/>
              </w:rPr>
              <w:t>3</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B19BE">
            <w:pPr>
              <w:spacing w:line="360" w:lineRule="auto"/>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长期护理保险服务管理方案</w:t>
            </w:r>
          </w:p>
        </w:tc>
        <w:tc>
          <w:tcPr>
            <w:tcW w:w="3326" w:type="pct"/>
            <w:tcBorders>
              <w:top w:val="single" w:color="000000" w:sz="4" w:space="0"/>
              <w:left w:val="single" w:color="000000" w:sz="4" w:space="0"/>
              <w:bottom w:val="single" w:color="000000" w:sz="4" w:space="0"/>
              <w:right w:val="single" w:color="000000" w:sz="4" w:space="0"/>
            </w:tcBorders>
            <w:shd w:val="clear" w:color="auto" w:fill="auto"/>
            <w:vAlign w:val="top"/>
          </w:tcPr>
          <w:p w14:paraId="01856254">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right="0" w:rightChars="0"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投标人的护理服务方案，包括定点服务机构管理、实名制管理和服务质量管理三个部分：</w:t>
            </w:r>
            <w:r>
              <w:rPr>
                <w:rFonts w:hint="eastAsia" w:ascii="宋体" w:hAnsi="宋体" w:cs="宋体"/>
                <w:color w:val="auto"/>
                <w:szCs w:val="21"/>
                <w:highlight w:val="none"/>
                <w:lang w:val="en-US" w:eastAsia="zh-CN"/>
              </w:rPr>
              <w:br w:type="textWrapping"/>
            </w:r>
            <w:r>
              <w:rPr>
                <w:rFonts w:hint="eastAsia" w:ascii="宋体" w:hAnsi="宋体" w:cs="宋体"/>
                <w:color w:val="auto"/>
                <w:szCs w:val="21"/>
                <w:highlight w:val="none"/>
                <w:lang w:val="en-US" w:eastAsia="zh-CN"/>
              </w:rPr>
              <w:t xml:space="preserve">    1.协助定点护理服务机构管理，包括定点服务机构准入、日常管理和提升、定点服务机构绩效考核等3个方面的内容；</w:t>
            </w:r>
            <w:r>
              <w:rPr>
                <w:rFonts w:hint="eastAsia" w:ascii="宋体" w:hAnsi="宋体" w:cs="宋体"/>
                <w:color w:val="auto"/>
                <w:szCs w:val="21"/>
                <w:highlight w:val="none"/>
                <w:lang w:val="en-US" w:eastAsia="zh-CN"/>
              </w:rPr>
              <w:br w:type="textWrapping"/>
            </w:r>
            <w:r>
              <w:rPr>
                <w:rFonts w:hint="eastAsia" w:ascii="宋体" w:hAnsi="宋体" w:cs="宋体"/>
                <w:color w:val="auto"/>
                <w:szCs w:val="21"/>
                <w:highlight w:val="none"/>
                <w:lang w:val="en-US" w:eastAsia="zh-CN"/>
              </w:rPr>
              <w:t xml:space="preserve">    2.护理服务人员管理，包括护理人员实名制管理、亲属照料人员实名制管理、服务对象实名制管理等3个方面的内容；</w:t>
            </w:r>
            <w:r>
              <w:rPr>
                <w:rFonts w:hint="eastAsia" w:ascii="宋体" w:hAnsi="宋体" w:cs="宋体"/>
                <w:color w:val="auto"/>
                <w:szCs w:val="21"/>
                <w:highlight w:val="none"/>
                <w:lang w:val="en-US" w:eastAsia="zh-CN"/>
              </w:rPr>
              <w:br w:type="textWrapping"/>
            </w:r>
            <w:r>
              <w:rPr>
                <w:rFonts w:hint="eastAsia" w:ascii="宋体" w:hAnsi="宋体" w:cs="宋体"/>
                <w:color w:val="auto"/>
                <w:szCs w:val="21"/>
                <w:highlight w:val="none"/>
                <w:lang w:val="en-US" w:eastAsia="zh-CN"/>
              </w:rPr>
              <w:t xml:space="preserve">    3.服务质量管理，包括服务质量管理的追踪回访、服务满意度调查等2个方面的内容。</w:t>
            </w:r>
            <w:r>
              <w:rPr>
                <w:rFonts w:hint="eastAsia" w:ascii="宋体" w:hAnsi="宋体" w:cs="宋体"/>
                <w:color w:val="auto"/>
                <w:szCs w:val="21"/>
                <w:highlight w:val="none"/>
                <w:lang w:val="en-US" w:eastAsia="zh-CN"/>
              </w:rPr>
              <w:br w:type="textWrapping"/>
            </w:r>
            <w:r>
              <w:rPr>
                <w:rFonts w:hint="eastAsia" w:ascii="宋体" w:hAnsi="宋体" w:cs="宋体"/>
                <w:color w:val="auto"/>
                <w:szCs w:val="21"/>
                <w:highlight w:val="none"/>
                <w:lang w:val="en-US" w:eastAsia="zh-CN"/>
              </w:rPr>
              <w:t xml:space="preserve">   1) 投标人对长期护理保险服务管理方案响应：上述方案中每响应一部分内容得1分，总得分3分。</w:t>
            </w:r>
          </w:p>
          <w:p w14:paraId="0D3CE99B">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right="0" w:rightChars="0"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2)具有农村地区集中照护模式经验得2分。</w:t>
            </w:r>
          </w:p>
          <w:p w14:paraId="6618C4E7">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right="0" w:rightChars="0"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 长期护理保险服务管理方案评价得分：评审专家根据投标人长期护理保险服务管理方案优劣评分，根据服务管理方案全面性、科学性、可行性的，方案被评为优的得5分，评为良好的得4分，评为中等的得3分，评为差的得2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90034">
            <w:pPr>
              <w:widowControl/>
              <w:jc w:val="center"/>
              <w:textAlignment w:val="center"/>
              <w:rPr>
                <w:rFonts w:hint="eastAsia" w:ascii="宋体" w:hAnsi="宋体" w:cs="宋体"/>
                <w:b w:val="0"/>
                <w:bCs w:val="0"/>
                <w:color w:val="auto"/>
                <w:kern w:val="0"/>
                <w:szCs w:val="21"/>
                <w:highlight w:val="none"/>
                <w:lang w:val="en-US" w:eastAsia="zh-CN" w:bidi="ar"/>
              </w:rPr>
            </w:pPr>
            <w:r>
              <w:rPr>
                <w:rFonts w:hint="eastAsia"/>
                <w:b/>
                <w:bCs/>
                <w:color w:val="auto"/>
                <w:szCs w:val="21"/>
                <w:highlight w:val="none"/>
                <w:lang w:val="en-US" w:eastAsia="zh-CN"/>
              </w:rPr>
              <w:t>10分</w:t>
            </w:r>
          </w:p>
        </w:tc>
      </w:tr>
      <w:tr w14:paraId="1F452D8C">
        <w:tblPrEx>
          <w:tblCellMar>
            <w:top w:w="0" w:type="dxa"/>
            <w:left w:w="108" w:type="dxa"/>
            <w:bottom w:w="0" w:type="dxa"/>
            <w:right w:w="108" w:type="dxa"/>
          </w:tblCellMar>
        </w:tblPrEx>
        <w:trPr>
          <w:trHeight w:val="1593"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EE178">
            <w:pPr>
              <w:widowControl/>
              <w:jc w:val="center"/>
              <w:textAlignment w:val="center"/>
              <w:rPr>
                <w:rFonts w:hint="default"/>
                <w:b/>
                <w:bCs/>
                <w:color w:val="auto"/>
                <w:kern w:val="0"/>
                <w:szCs w:val="21"/>
                <w:highlight w:val="none"/>
                <w:lang w:val="en-US" w:eastAsia="zh-CN" w:bidi="ar"/>
              </w:rPr>
            </w:pPr>
            <w:r>
              <w:rPr>
                <w:rFonts w:hint="eastAsia"/>
                <w:b/>
                <w:bCs/>
                <w:color w:val="auto"/>
                <w:kern w:val="0"/>
                <w:szCs w:val="21"/>
                <w:highlight w:val="none"/>
                <w:lang w:val="en-US" w:eastAsia="zh-CN" w:bidi="ar"/>
              </w:rPr>
              <w:t>4</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52DA2">
            <w:pPr>
              <w:spacing w:line="360" w:lineRule="auto"/>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稽核巡查及基金监管方案</w:t>
            </w:r>
          </w:p>
        </w:tc>
        <w:tc>
          <w:tcPr>
            <w:tcW w:w="3326" w:type="pct"/>
            <w:tcBorders>
              <w:top w:val="single" w:color="000000" w:sz="4" w:space="0"/>
              <w:left w:val="single" w:color="000000" w:sz="4" w:space="0"/>
              <w:bottom w:val="single" w:color="000000" w:sz="4" w:space="0"/>
              <w:right w:val="single" w:color="000000" w:sz="4" w:space="0"/>
            </w:tcBorders>
            <w:shd w:val="clear" w:color="auto" w:fill="auto"/>
            <w:vAlign w:val="top"/>
          </w:tcPr>
          <w:p w14:paraId="33109286">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right="0" w:rightChars="0"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 投标人对稽核巡查方案响应：投标人的监督稽核方案，包括总体监督稽核巡查计划及措施、定点机构稽核、护理人员监督稽核、待遇享受对象监督稽核和长期护理保险费用结算和基金管理方案等五个方面内容，充分体现适应自治区内异地稽核的需要，方案中每响应一方面内容，得1分，总得分5分。</w:t>
            </w:r>
          </w:p>
          <w:p w14:paraId="0D81E701">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right="0" w:rightChars="0"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2）在上述要求的基础上，总体监督稽核计划满足全年度定点机构稽核比例达100%，每季度待遇享受对象稽核比例达到50%,得2分；</w:t>
            </w:r>
          </w:p>
          <w:p w14:paraId="3F258FA7">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right="0" w:rightChars="0"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3）投标人成立稽核检查队伍，配置具备录音、录像等功能的执法记录仪以及移动智能监控设备开展日常巡查。得2分</w:t>
            </w:r>
          </w:p>
          <w:p w14:paraId="759315CF">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right="0" w:rightChars="0"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4）对费用审核、费用结算、数据结报、基金内控等四方面对长期护理保险费用结算和基金管理进行响应。得4分。</w:t>
            </w:r>
          </w:p>
          <w:p w14:paraId="1BB8AF3A">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right="0" w:rightChars="0"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5）稽核巡查及基金监管方案评价得分：评审专家根据投标人稽核巡查及基金监管方案优劣评分，根据方案全面性、科学性、可行性，方案被评为优的得5分，评为良好的得4分，评为中等的得3分，评为差的得2分。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8EDDD">
            <w:pPr>
              <w:widowControl/>
              <w:jc w:val="center"/>
              <w:textAlignment w:val="center"/>
              <w:rPr>
                <w:rFonts w:hint="eastAsia" w:ascii="宋体" w:hAnsi="宋体" w:cs="宋体"/>
                <w:b w:val="0"/>
                <w:bCs w:val="0"/>
                <w:color w:val="auto"/>
                <w:kern w:val="0"/>
                <w:szCs w:val="21"/>
                <w:highlight w:val="none"/>
                <w:lang w:val="en-US" w:eastAsia="zh-CN" w:bidi="ar"/>
              </w:rPr>
            </w:pPr>
            <w:r>
              <w:rPr>
                <w:rFonts w:hint="eastAsia"/>
                <w:b/>
                <w:bCs/>
                <w:color w:val="auto"/>
                <w:szCs w:val="21"/>
                <w:highlight w:val="none"/>
                <w:lang w:val="en-US" w:eastAsia="zh-CN"/>
              </w:rPr>
              <w:t>18分</w:t>
            </w:r>
          </w:p>
        </w:tc>
      </w:tr>
      <w:tr w14:paraId="5E18E1EC">
        <w:tblPrEx>
          <w:tblCellMar>
            <w:top w:w="0" w:type="dxa"/>
            <w:left w:w="108" w:type="dxa"/>
            <w:bottom w:w="0" w:type="dxa"/>
            <w:right w:w="108" w:type="dxa"/>
          </w:tblCellMar>
        </w:tblPrEx>
        <w:trPr>
          <w:trHeight w:val="1593"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F79FE">
            <w:pPr>
              <w:widowControl/>
              <w:jc w:val="center"/>
              <w:textAlignment w:val="center"/>
              <w:rPr>
                <w:rFonts w:hint="default"/>
                <w:b/>
                <w:bCs/>
                <w:color w:val="auto"/>
                <w:kern w:val="0"/>
                <w:szCs w:val="21"/>
                <w:highlight w:val="none"/>
                <w:lang w:val="en-US" w:eastAsia="zh-CN" w:bidi="ar"/>
              </w:rPr>
            </w:pPr>
            <w:r>
              <w:rPr>
                <w:rFonts w:hint="eastAsia"/>
                <w:b/>
                <w:bCs/>
                <w:color w:val="auto"/>
                <w:kern w:val="0"/>
                <w:szCs w:val="21"/>
                <w:highlight w:val="none"/>
                <w:lang w:val="en-US" w:eastAsia="zh-CN" w:bidi="ar"/>
              </w:rPr>
              <w:t>5</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CA5CE">
            <w:pPr>
              <w:spacing w:line="360" w:lineRule="auto"/>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系统建设及信息化服务方案</w:t>
            </w:r>
          </w:p>
        </w:tc>
        <w:tc>
          <w:tcPr>
            <w:tcW w:w="3326" w:type="pct"/>
            <w:tcBorders>
              <w:top w:val="single" w:color="000000" w:sz="4" w:space="0"/>
              <w:left w:val="single" w:color="000000" w:sz="4" w:space="0"/>
              <w:bottom w:val="single" w:color="000000" w:sz="4" w:space="0"/>
              <w:right w:val="single" w:color="000000" w:sz="4" w:space="0"/>
            </w:tcBorders>
            <w:shd w:val="clear" w:color="auto" w:fill="auto"/>
            <w:vAlign w:val="top"/>
          </w:tcPr>
          <w:p w14:paraId="02660A5A">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right="0" w:rightChars="0"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投标人对信息系统管理方案响应：投标人信息系统管理方案包括信息系统使用管理、信息上传、信息经办管理及信息安全等四个方面。其中信息系统使用管理要包含：建立信息系统 运维管理机制、建立异常数据筛查机制、按照国家医保信息平台长期护理保险系统规范要求进行操作、具备信息系统建设的组织及协调能力。方案中响应信息上传、信息经办及信息安全各得1分，响应信息系统使用管理得2分，总得分5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BBE77">
            <w:pPr>
              <w:widowControl/>
              <w:jc w:val="center"/>
              <w:textAlignment w:val="center"/>
              <w:rPr>
                <w:rFonts w:hint="default"/>
                <w:b/>
                <w:bCs/>
                <w:color w:val="auto"/>
                <w:szCs w:val="21"/>
                <w:highlight w:val="none"/>
                <w:lang w:val="en-US" w:eastAsia="zh-CN"/>
              </w:rPr>
            </w:pPr>
            <w:r>
              <w:rPr>
                <w:rFonts w:hint="eastAsia"/>
                <w:b/>
                <w:bCs/>
                <w:color w:val="auto"/>
                <w:szCs w:val="21"/>
                <w:highlight w:val="none"/>
                <w:lang w:val="en-US" w:eastAsia="zh-CN"/>
              </w:rPr>
              <w:t>5分</w:t>
            </w:r>
          </w:p>
        </w:tc>
      </w:tr>
      <w:tr w14:paraId="3F10CCF7">
        <w:tblPrEx>
          <w:tblCellMar>
            <w:top w:w="0" w:type="dxa"/>
            <w:left w:w="108" w:type="dxa"/>
            <w:bottom w:w="0" w:type="dxa"/>
            <w:right w:w="108" w:type="dxa"/>
          </w:tblCellMar>
        </w:tblPrEx>
        <w:trPr>
          <w:trHeight w:val="533"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378B6">
            <w:pPr>
              <w:widowControl/>
              <w:jc w:val="center"/>
              <w:textAlignment w:val="center"/>
              <w:rPr>
                <w:rFonts w:hint="default"/>
                <w:b/>
                <w:bCs/>
                <w:color w:val="auto"/>
                <w:kern w:val="0"/>
                <w:szCs w:val="21"/>
                <w:highlight w:val="none"/>
                <w:lang w:val="en-US" w:eastAsia="zh-CN" w:bidi="ar"/>
              </w:rPr>
            </w:pPr>
            <w:r>
              <w:rPr>
                <w:rFonts w:hint="eastAsia"/>
                <w:b/>
                <w:bCs/>
                <w:color w:val="auto"/>
                <w:kern w:val="0"/>
                <w:szCs w:val="21"/>
                <w:highlight w:val="none"/>
                <w:lang w:val="en-US" w:eastAsia="zh-CN" w:bidi="ar"/>
              </w:rPr>
              <w:t>6</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15260">
            <w:pPr>
              <w:spacing w:line="360" w:lineRule="auto"/>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宣传与培训方案</w:t>
            </w:r>
          </w:p>
        </w:tc>
        <w:tc>
          <w:tcPr>
            <w:tcW w:w="3326" w:type="pct"/>
            <w:tcBorders>
              <w:top w:val="single" w:color="000000" w:sz="4" w:space="0"/>
              <w:left w:val="single" w:color="000000" w:sz="4" w:space="0"/>
              <w:bottom w:val="single" w:color="000000" w:sz="4" w:space="0"/>
              <w:right w:val="single" w:color="000000" w:sz="4" w:space="0"/>
            </w:tcBorders>
            <w:shd w:val="clear" w:color="auto" w:fill="auto"/>
            <w:vAlign w:val="top"/>
          </w:tcPr>
          <w:p w14:paraId="6429CB90">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right="0" w:rightChars="0"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 投标人对宣传与培训方案响应：投标人的宣传与培训方案包括总体思路、宣传目标、宣传人群、宣传内容、宣传方式、咨询支持及宣传保障等7个方面内容得1分，若有1个方面内容未响应，该项不得分。</w:t>
            </w:r>
          </w:p>
          <w:p w14:paraId="1BED7B27">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right="0" w:rightChars="0"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宣传与培训方案评价得分：评审专家根据宣传与培训方案优劣评分，方案编制内容完整、考虑周全，对采购人服务项目有利实施的承诺和措施的，方案被评为优秀的得4分，评为良好的得3分，评为中等的得2分，评为差的得1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19C56">
            <w:pPr>
              <w:widowControl/>
              <w:jc w:val="center"/>
              <w:textAlignment w:val="center"/>
              <w:rPr>
                <w:rFonts w:hint="default"/>
                <w:b/>
                <w:bCs/>
                <w:color w:val="auto"/>
                <w:szCs w:val="21"/>
                <w:highlight w:val="none"/>
                <w:lang w:val="en-US" w:eastAsia="zh-CN"/>
              </w:rPr>
            </w:pPr>
            <w:r>
              <w:rPr>
                <w:rFonts w:hint="eastAsia"/>
                <w:b/>
                <w:bCs/>
                <w:color w:val="auto"/>
                <w:szCs w:val="21"/>
                <w:highlight w:val="none"/>
                <w:lang w:val="en-US" w:eastAsia="zh-CN"/>
              </w:rPr>
              <w:t>5分</w:t>
            </w:r>
          </w:p>
        </w:tc>
      </w:tr>
      <w:tr w14:paraId="2AAEBA75">
        <w:tblPrEx>
          <w:tblCellMar>
            <w:top w:w="0" w:type="dxa"/>
            <w:left w:w="108" w:type="dxa"/>
            <w:bottom w:w="0" w:type="dxa"/>
            <w:right w:w="108" w:type="dxa"/>
          </w:tblCellMar>
        </w:tblPrEx>
        <w:trPr>
          <w:trHeight w:val="533"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2B663">
            <w:pPr>
              <w:widowControl/>
              <w:jc w:val="center"/>
              <w:textAlignment w:val="center"/>
              <w:rPr>
                <w:rFonts w:hint="default"/>
                <w:b/>
                <w:bCs/>
                <w:color w:val="auto"/>
                <w:kern w:val="0"/>
                <w:szCs w:val="21"/>
                <w:highlight w:val="none"/>
                <w:lang w:val="en-US" w:eastAsia="zh-CN" w:bidi="ar"/>
              </w:rPr>
            </w:pPr>
            <w:r>
              <w:rPr>
                <w:rFonts w:hint="eastAsia"/>
                <w:b/>
                <w:bCs/>
                <w:color w:val="auto"/>
                <w:kern w:val="0"/>
                <w:szCs w:val="21"/>
                <w:highlight w:val="none"/>
                <w:lang w:val="en-US" w:eastAsia="zh-CN" w:bidi="ar"/>
              </w:rPr>
              <w:t>7</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B625C">
            <w:pPr>
              <w:spacing w:line="360" w:lineRule="auto"/>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综合配置方案</w:t>
            </w:r>
          </w:p>
        </w:tc>
        <w:tc>
          <w:tcPr>
            <w:tcW w:w="3326" w:type="pct"/>
            <w:tcBorders>
              <w:top w:val="single" w:color="000000" w:sz="4" w:space="0"/>
              <w:left w:val="single" w:color="000000" w:sz="4" w:space="0"/>
              <w:bottom w:val="single" w:color="000000" w:sz="4" w:space="0"/>
              <w:right w:val="single" w:color="000000" w:sz="4" w:space="0"/>
            </w:tcBorders>
            <w:shd w:val="clear" w:color="auto" w:fill="auto"/>
            <w:vAlign w:val="top"/>
          </w:tcPr>
          <w:p w14:paraId="074111F4">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right="0" w:rightChars="0"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 综合配置方案响应：投标人的办公场所和设施设备方案，包括职场建设，设备配备、车辆配备、人员配备等4方面内容，方案中每响应一方面内容，得1分，总得分4分。</w:t>
            </w:r>
          </w:p>
          <w:p w14:paraId="48DBBB1C">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right="0" w:rightChars="0"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综合配置方案评价得分：评审专家根据综合配置方案优劣评分，方案编制内容完整、考虑周全，对采购人服务项目有利实施的承诺和措施的，方案被评为优秀的得4分，评为良好的得3分，评为中等的得2分，评为差的得1分。</w:t>
            </w:r>
          </w:p>
          <w:p w14:paraId="7409DD88">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right="0" w:rightChars="0"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3）人员投入承诺：在上述要求的基础上，承诺承办片区储备专职经办人员数不少于30人，医学、护理学、康复学等相关专业人数不少于50%的，得4分。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FE998">
            <w:pPr>
              <w:widowControl/>
              <w:jc w:val="center"/>
              <w:textAlignment w:val="center"/>
              <w:rPr>
                <w:rFonts w:hint="default"/>
                <w:b/>
                <w:bCs/>
                <w:color w:val="auto"/>
                <w:szCs w:val="21"/>
                <w:highlight w:val="none"/>
                <w:lang w:val="en-US" w:eastAsia="zh-CN"/>
              </w:rPr>
            </w:pPr>
            <w:r>
              <w:rPr>
                <w:rFonts w:hint="eastAsia"/>
                <w:b/>
                <w:bCs/>
                <w:color w:val="auto"/>
                <w:szCs w:val="21"/>
                <w:highlight w:val="none"/>
                <w:lang w:val="en-US" w:eastAsia="zh-CN"/>
              </w:rPr>
              <w:t>12分</w:t>
            </w:r>
          </w:p>
        </w:tc>
      </w:tr>
      <w:tr w14:paraId="38548901">
        <w:tblPrEx>
          <w:tblCellMar>
            <w:top w:w="0" w:type="dxa"/>
            <w:left w:w="108" w:type="dxa"/>
            <w:bottom w:w="0" w:type="dxa"/>
            <w:right w:w="108" w:type="dxa"/>
          </w:tblCellMar>
        </w:tblPrEx>
        <w:trPr>
          <w:trHeight w:val="820" w:hRule="atLeast"/>
        </w:trPr>
        <w:tc>
          <w:tcPr>
            <w:tcW w:w="44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D07706">
            <w:pPr>
              <w:widowControl/>
              <w:jc w:val="center"/>
              <w:textAlignment w:val="center"/>
              <w:rPr>
                <w:rFonts w:hint="default" w:eastAsia="宋体"/>
                <w:b w:val="0"/>
                <w:bCs w:val="0"/>
                <w:color w:val="auto"/>
                <w:szCs w:val="21"/>
                <w:highlight w:val="none"/>
                <w:lang w:val="en-US" w:eastAsia="zh-CN"/>
              </w:rPr>
            </w:pPr>
            <w:r>
              <w:rPr>
                <w:rFonts w:hint="eastAsia" w:ascii="宋体" w:hAnsi="宋体" w:cs="宋体"/>
                <w:b/>
                <w:bCs/>
                <w:color w:val="auto"/>
                <w:kern w:val="0"/>
                <w:szCs w:val="21"/>
                <w:highlight w:val="none"/>
                <w:lang w:bidi="ar"/>
              </w:rPr>
              <w:t>三、</w:t>
            </w:r>
            <w:r>
              <w:rPr>
                <w:rFonts w:hint="eastAsia" w:ascii="宋体" w:hAnsi="宋体" w:cs="宋体"/>
                <w:b/>
                <w:bCs/>
                <w:color w:val="auto"/>
                <w:kern w:val="0"/>
                <w:szCs w:val="21"/>
                <w:highlight w:val="none"/>
                <w:lang w:eastAsia="zh-CN" w:bidi="ar"/>
              </w:rPr>
              <w:t>商务</w:t>
            </w:r>
            <w:r>
              <w:rPr>
                <w:rFonts w:hint="eastAsia" w:ascii="宋体" w:hAnsi="宋体" w:cs="宋体"/>
                <w:b/>
                <w:bCs/>
                <w:color w:val="auto"/>
                <w:kern w:val="0"/>
                <w:szCs w:val="21"/>
                <w:highlight w:val="none"/>
                <w:lang w:bidi="ar"/>
              </w:rPr>
              <w:t>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4498F">
            <w:pPr>
              <w:widowControl/>
              <w:jc w:val="center"/>
              <w:textAlignment w:val="center"/>
              <w:rPr>
                <w:rFonts w:hint="default" w:ascii="宋体" w:hAnsi="宋体" w:eastAsia="宋体" w:cs="宋体"/>
                <w:b/>
                <w:bCs/>
                <w:color w:val="auto"/>
                <w:kern w:val="0"/>
                <w:szCs w:val="21"/>
                <w:highlight w:val="none"/>
                <w:lang w:val="en-US" w:eastAsia="zh-CN" w:bidi="ar"/>
              </w:rPr>
            </w:pPr>
            <w:r>
              <w:rPr>
                <w:rFonts w:hint="eastAsia" w:ascii="宋体" w:hAnsi="宋体" w:cs="宋体"/>
                <w:b/>
                <w:bCs/>
                <w:color w:val="auto"/>
                <w:kern w:val="0"/>
                <w:szCs w:val="21"/>
                <w:highlight w:val="none"/>
                <w:lang w:val="en-US" w:eastAsia="zh-CN" w:bidi="ar"/>
              </w:rPr>
              <w:t>20分</w:t>
            </w:r>
          </w:p>
        </w:tc>
      </w:tr>
      <w:tr w14:paraId="13F3D9E0">
        <w:tblPrEx>
          <w:tblCellMar>
            <w:top w:w="0" w:type="dxa"/>
            <w:left w:w="108" w:type="dxa"/>
            <w:bottom w:w="0" w:type="dxa"/>
            <w:right w:w="108" w:type="dxa"/>
          </w:tblCellMar>
        </w:tblPrEx>
        <w:trPr>
          <w:trHeight w:val="1280"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5DD32">
            <w:pPr>
              <w:widowControl/>
              <w:jc w:val="center"/>
              <w:textAlignment w:val="center"/>
              <w:rPr>
                <w:b/>
                <w:bCs/>
                <w:color w:val="auto"/>
                <w:szCs w:val="21"/>
                <w:highlight w:val="none"/>
              </w:rPr>
            </w:pPr>
            <w:r>
              <w:rPr>
                <w:b/>
                <w:bCs/>
                <w:color w:val="auto"/>
                <w:kern w:val="0"/>
                <w:szCs w:val="21"/>
                <w:highlight w:val="none"/>
                <w:lang w:bidi="ar"/>
              </w:rPr>
              <w:t>1</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E7CD2">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偿付能力</w:t>
            </w:r>
          </w:p>
        </w:tc>
        <w:tc>
          <w:tcPr>
            <w:tcW w:w="3326" w:type="pct"/>
            <w:tcBorders>
              <w:top w:val="single" w:color="000000" w:sz="4" w:space="0"/>
              <w:left w:val="single" w:color="000000" w:sz="4" w:space="0"/>
              <w:bottom w:val="single" w:color="000000" w:sz="4" w:space="0"/>
              <w:right w:val="single" w:color="000000" w:sz="4" w:space="0"/>
            </w:tcBorders>
            <w:shd w:val="clear" w:color="auto" w:fill="auto"/>
            <w:vAlign w:val="top"/>
          </w:tcPr>
          <w:p w14:paraId="41BEEFD2">
            <w:pPr>
              <w:adjustRightInd w:val="0"/>
              <w:snapToGrid w:val="0"/>
              <w:spacing w:line="400" w:lineRule="exact"/>
              <w:ind w:right="105" w:rightChars="50"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lang w:val="en-US" w:eastAsia="zh-CN"/>
              </w:rPr>
              <w:t>2024</w:t>
            </w:r>
            <w:r>
              <w:rPr>
                <w:rFonts w:hint="eastAsia" w:ascii="宋体" w:hAnsi="宋体" w:cs="宋体"/>
                <w:color w:val="auto"/>
                <w:szCs w:val="21"/>
                <w:highlight w:val="none"/>
              </w:rPr>
              <w:t>年第</w:t>
            </w:r>
            <w:r>
              <w:rPr>
                <w:rFonts w:hint="eastAsia" w:ascii="宋体" w:hAnsi="宋体" w:cs="宋体"/>
                <w:color w:val="auto"/>
                <w:szCs w:val="21"/>
                <w:highlight w:val="none"/>
                <w:lang w:eastAsia="zh-CN"/>
              </w:rPr>
              <w:t>四</w:t>
            </w:r>
            <w:r>
              <w:rPr>
                <w:rFonts w:hint="eastAsia" w:ascii="宋体" w:hAnsi="宋体" w:cs="宋体"/>
                <w:color w:val="auto"/>
                <w:szCs w:val="21"/>
                <w:highlight w:val="none"/>
              </w:rPr>
              <w:t>季度末公司综合偿付能力达到150%的，</w:t>
            </w:r>
            <w:r>
              <w:rPr>
                <w:rFonts w:hint="eastAsia" w:ascii="宋体" w:hAnsi="宋体" w:cs="宋体"/>
                <w:color w:val="auto"/>
                <w:szCs w:val="21"/>
                <w:highlight w:val="none"/>
                <w:lang w:eastAsia="zh-CN"/>
              </w:rPr>
              <w:t>得</w:t>
            </w:r>
            <w:r>
              <w:rPr>
                <w:rFonts w:hint="eastAsia" w:ascii="宋体" w:hAnsi="宋体" w:cs="宋体"/>
                <w:color w:val="auto"/>
                <w:szCs w:val="21"/>
                <w:highlight w:val="none"/>
                <w:lang w:val="en-US" w:eastAsia="zh-CN"/>
              </w:rPr>
              <w:t>1分</w:t>
            </w:r>
            <w:r>
              <w:rPr>
                <w:rFonts w:hint="eastAsia" w:ascii="宋体" w:hAnsi="宋体" w:cs="宋体"/>
                <w:color w:val="auto"/>
                <w:szCs w:val="21"/>
                <w:highlight w:val="none"/>
              </w:rPr>
              <w:t>；偿付能力充足率每增加1个百分点，最多加</w:t>
            </w:r>
            <w:r>
              <w:rPr>
                <w:rFonts w:hint="eastAsia" w:ascii="宋体" w:hAnsi="宋体" w:cs="宋体"/>
                <w:color w:val="auto"/>
                <w:szCs w:val="21"/>
                <w:highlight w:val="none"/>
                <w:lang w:val="en-US" w:eastAsia="zh-CN"/>
              </w:rPr>
              <w:t>4分</w:t>
            </w:r>
            <w:r>
              <w:rPr>
                <w:rFonts w:hint="eastAsia" w:ascii="宋体" w:hAnsi="宋体" w:cs="宋体"/>
                <w:color w:val="auto"/>
                <w:szCs w:val="21"/>
                <w:highlight w:val="none"/>
              </w:rPr>
              <w:t>，</w:t>
            </w:r>
            <w:r>
              <w:rPr>
                <w:rFonts w:hint="eastAsia" w:ascii="宋体" w:hAnsi="宋体" w:cs="宋体"/>
                <w:color w:val="auto"/>
                <w:szCs w:val="21"/>
                <w:highlight w:val="none"/>
                <w:lang w:eastAsia="zh-CN"/>
              </w:rPr>
              <w:t>总得分5分</w:t>
            </w:r>
            <w:r>
              <w:rPr>
                <w:rFonts w:hint="eastAsia" w:ascii="宋体" w:hAnsi="宋体" w:cs="宋体"/>
                <w:color w:val="auto"/>
                <w:szCs w:val="21"/>
                <w:highlight w:val="none"/>
              </w:rPr>
              <w:t>；低于150%得0分。（需提供</w:t>
            </w:r>
            <w:r>
              <w:rPr>
                <w:rFonts w:hint="eastAsia" w:ascii="宋体" w:hAnsi="宋体" w:cs="宋体"/>
                <w:color w:val="auto"/>
                <w:szCs w:val="21"/>
                <w:highlight w:val="none"/>
                <w:lang w:eastAsia="zh-CN"/>
              </w:rPr>
              <w:t>相关的偿付能力报告并加盖公章</w:t>
            </w:r>
            <w:r>
              <w:rPr>
                <w:rFonts w:hint="eastAsia" w:ascii="宋体" w:hAnsi="宋体" w:cs="宋体"/>
                <w:color w:val="auto"/>
                <w:szCs w:val="21"/>
                <w:highlight w:val="none"/>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0D903">
            <w:pPr>
              <w:widowControl/>
              <w:jc w:val="center"/>
              <w:textAlignment w:val="center"/>
              <w:rPr>
                <w:rFonts w:hint="eastAsia" w:eastAsia="宋体"/>
                <w:b w:val="0"/>
                <w:bCs w:val="0"/>
                <w:color w:val="auto"/>
                <w:szCs w:val="21"/>
                <w:highlight w:val="none"/>
                <w:lang w:val="en-US" w:eastAsia="zh-CN"/>
              </w:rPr>
            </w:pPr>
            <w:r>
              <w:rPr>
                <w:rFonts w:hint="eastAsia"/>
                <w:b/>
                <w:bCs/>
                <w:color w:val="auto"/>
                <w:szCs w:val="21"/>
                <w:highlight w:val="none"/>
                <w:lang w:val="en-US" w:eastAsia="zh-CN"/>
              </w:rPr>
              <w:t>5分</w:t>
            </w:r>
          </w:p>
        </w:tc>
      </w:tr>
      <w:tr w14:paraId="22D9962B">
        <w:tblPrEx>
          <w:tblCellMar>
            <w:top w:w="0" w:type="dxa"/>
            <w:left w:w="108" w:type="dxa"/>
            <w:bottom w:w="0" w:type="dxa"/>
            <w:right w:w="108" w:type="dxa"/>
          </w:tblCellMar>
        </w:tblPrEx>
        <w:trPr>
          <w:trHeight w:val="2280"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191D9">
            <w:pPr>
              <w:widowControl/>
              <w:jc w:val="center"/>
              <w:textAlignment w:val="center"/>
              <w:rPr>
                <w:b/>
                <w:bCs/>
                <w:color w:val="auto"/>
                <w:szCs w:val="21"/>
                <w:highlight w:val="none"/>
              </w:rPr>
            </w:pPr>
            <w:r>
              <w:rPr>
                <w:b/>
                <w:bCs/>
                <w:color w:val="auto"/>
                <w:kern w:val="0"/>
                <w:szCs w:val="21"/>
                <w:highlight w:val="none"/>
                <w:lang w:bidi="ar"/>
              </w:rPr>
              <w:t>2</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C7B88">
            <w:pPr>
              <w:adjustRightInd w:val="0"/>
              <w:snapToGrid w:val="0"/>
              <w:spacing w:line="410" w:lineRule="exact"/>
              <w:jc w:val="center"/>
              <w:rPr>
                <w:rFonts w:ascii="宋体" w:hAnsi="宋体" w:cs="宋体"/>
                <w:b/>
                <w:bCs/>
                <w:color w:val="auto"/>
                <w:szCs w:val="21"/>
                <w:highlight w:val="none"/>
              </w:rPr>
            </w:pPr>
            <w:r>
              <w:rPr>
                <w:rFonts w:hint="eastAsia" w:ascii="宋体" w:hAnsi="宋体" w:cs="宋体"/>
                <w:b/>
                <w:bCs/>
                <w:color w:val="auto"/>
                <w:szCs w:val="21"/>
                <w:highlight w:val="none"/>
              </w:rPr>
              <w:t>社商合作经验</w:t>
            </w:r>
          </w:p>
        </w:tc>
        <w:tc>
          <w:tcPr>
            <w:tcW w:w="3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11788">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或其所属总公司（或所在区域分公司、集团公司）自2018年以来在全国范围内开展城乡居民大病保险、</w:t>
            </w:r>
            <w:r>
              <w:rPr>
                <w:rFonts w:hint="eastAsia" w:ascii="宋体" w:hAnsi="宋体" w:cs="宋体"/>
                <w:color w:val="auto"/>
                <w:szCs w:val="21"/>
                <w:highlight w:val="none"/>
                <w:lang w:eastAsia="zh-CN"/>
              </w:rPr>
              <w:t>惠民保</w:t>
            </w:r>
            <w:r>
              <w:rPr>
                <w:rFonts w:hint="eastAsia" w:ascii="宋体" w:hAnsi="宋体" w:cs="宋体"/>
                <w:color w:val="auto"/>
                <w:szCs w:val="21"/>
                <w:highlight w:val="none"/>
              </w:rPr>
              <w:t>、长期护理保险、</w:t>
            </w:r>
            <w:r>
              <w:rPr>
                <w:rFonts w:hint="eastAsia" w:ascii="宋体" w:hAnsi="宋体" w:cs="宋体"/>
                <w:color w:val="auto"/>
                <w:szCs w:val="21"/>
                <w:highlight w:val="none"/>
                <w:lang w:eastAsia="zh-CN"/>
              </w:rPr>
              <w:t>医疗救助、</w:t>
            </w:r>
            <w:r>
              <w:rPr>
                <w:rFonts w:hint="eastAsia" w:ascii="宋体" w:hAnsi="宋体" w:cs="宋体"/>
                <w:color w:val="auto"/>
                <w:szCs w:val="21"/>
                <w:highlight w:val="none"/>
              </w:rPr>
              <w:t>医保基金监管等与医保部门合作的项目，有一个项目的得</w:t>
            </w:r>
            <w:r>
              <w:rPr>
                <w:rFonts w:hint="eastAsia" w:ascii="宋体" w:hAnsi="宋体" w:cs="宋体"/>
                <w:color w:val="auto"/>
                <w:szCs w:val="21"/>
                <w:highlight w:val="none"/>
                <w:lang w:val="en-US" w:eastAsia="zh-CN"/>
              </w:rPr>
              <w:t>1分</w:t>
            </w:r>
            <w:r>
              <w:rPr>
                <w:rFonts w:hint="eastAsia" w:ascii="宋体" w:hAnsi="宋体" w:cs="宋体"/>
                <w:color w:val="auto"/>
                <w:szCs w:val="21"/>
                <w:highlight w:val="none"/>
              </w:rPr>
              <w:t>，两个及以上的得</w:t>
            </w:r>
            <w:r>
              <w:rPr>
                <w:rFonts w:hint="eastAsia" w:ascii="宋体" w:hAnsi="宋体" w:cs="宋体"/>
                <w:color w:val="auto"/>
                <w:szCs w:val="21"/>
                <w:highlight w:val="none"/>
                <w:lang w:val="en-US" w:eastAsia="zh-CN"/>
              </w:rPr>
              <w:t>3分</w:t>
            </w:r>
            <w:r>
              <w:rPr>
                <w:rFonts w:hint="eastAsia" w:ascii="宋体" w:hAnsi="宋体" w:cs="宋体"/>
                <w:color w:val="auto"/>
                <w:szCs w:val="21"/>
                <w:highlight w:val="none"/>
              </w:rPr>
              <w:t>；没有合作项目不得分。（需提供项目合同（协议）的复印件）</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48F41">
            <w:pPr>
              <w:widowControl/>
              <w:jc w:val="center"/>
              <w:textAlignment w:val="center"/>
              <w:rPr>
                <w:rFonts w:hint="default" w:eastAsia="宋体"/>
                <w:b w:val="0"/>
                <w:bCs w:val="0"/>
                <w:color w:val="auto"/>
                <w:szCs w:val="21"/>
                <w:highlight w:val="none"/>
                <w:lang w:val="en-US" w:eastAsia="zh-CN"/>
              </w:rPr>
            </w:pPr>
            <w:r>
              <w:rPr>
                <w:rFonts w:hint="eastAsia"/>
                <w:b/>
                <w:bCs/>
                <w:color w:val="auto"/>
                <w:szCs w:val="21"/>
                <w:highlight w:val="none"/>
                <w:lang w:val="en-US" w:eastAsia="zh-CN"/>
              </w:rPr>
              <w:t>3分</w:t>
            </w:r>
          </w:p>
        </w:tc>
      </w:tr>
      <w:tr w14:paraId="6E33E927">
        <w:tblPrEx>
          <w:tblCellMar>
            <w:top w:w="0" w:type="dxa"/>
            <w:left w:w="108" w:type="dxa"/>
            <w:bottom w:w="0" w:type="dxa"/>
            <w:right w:w="108" w:type="dxa"/>
          </w:tblCellMar>
        </w:tblPrEx>
        <w:trPr>
          <w:trHeight w:val="1609"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12F4C">
            <w:pPr>
              <w:widowControl/>
              <w:jc w:val="center"/>
              <w:textAlignment w:val="center"/>
              <w:rPr>
                <w:rFonts w:hint="default" w:eastAsia="宋体"/>
                <w:b/>
                <w:bCs/>
                <w:color w:val="auto"/>
                <w:szCs w:val="21"/>
                <w:highlight w:val="none"/>
                <w:lang w:val="en-US" w:eastAsia="zh-CN"/>
              </w:rPr>
            </w:pPr>
            <w:r>
              <w:rPr>
                <w:rFonts w:hint="eastAsia"/>
                <w:b/>
                <w:bCs/>
                <w:color w:val="auto"/>
                <w:szCs w:val="21"/>
                <w:highlight w:val="none"/>
                <w:lang w:val="en-US" w:eastAsia="zh-CN"/>
              </w:rPr>
              <w:t>3</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1FD5C">
            <w:pPr>
              <w:adjustRightInd w:val="0"/>
              <w:snapToGrid w:val="0"/>
              <w:spacing w:line="410" w:lineRule="exact"/>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长期护理保险经办业务承办经验</w:t>
            </w:r>
          </w:p>
        </w:tc>
        <w:tc>
          <w:tcPr>
            <w:tcW w:w="3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2B782">
            <w:pPr>
              <w:adjustRightInd w:val="0"/>
              <w:snapToGrid w:val="0"/>
              <w:spacing w:line="40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及其所属总公司（或总公司下属分支机构）2018年1月1日以来参与全国范围内承办长期护理（照护）保险项目个数，</w:t>
            </w:r>
            <w:r>
              <w:rPr>
                <w:rFonts w:hint="eastAsia" w:ascii="宋体" w:hAnsi="宋体" w:cs="宋体"/>
                <w:color w:val="auto"/>
                <w:szCs w:val="21"/>
                <w:highlight w:val="none"/>
                <w:lang w:eastAsia="zh-CN"/>
              </w:rPr>
              <w:t>每参与</w:t>
            </w:r>
            <w:r>
              <w:rPr>
                <w:rFonts w:hint="eastAsia" w:ascii="宋体" w:hAnsi="宋体" w:cs="宋体"/>
                <w:color w:val="auto"/>
                <w:szCs w:val="21"/>
                <w:highlight w:val="none"/>
                <w:lang w:val="en-US" w:eastAsia="zh-CN"/>
              </w:rPr>
              <w:t>1个得1分，5个及</w:t>
            </w:r>
            <w:r>
              <w:rPr>
                <w:rFonts w:hint="eastAsia" w:ascii="宋体" w:hAnsi="宋体" w:cs="宋体"/>
                <w:color w:val="auto"/>
                <w:szCs w:val="21"/>
                <w:highlight w:val="none"/>
              </w:rPr>
              <w:t>以上得</w:t>
            </w:r>
            <w:r>
              <w:rPr>
                <w:rFonts w:hint="eastAsia" w:ascii="宋体" w:hAnsi="宋体" w:cs="宋体"/>
                <w:color w:val="auto"/>
                <w:szCs w:val="21"/>
                <w:highlight w:val="none"/>
                <w:lang w:val="en-US" w:eastAsia="zh-CN"/>
              </w:rPr>
              <w:t>5分</w:t>
            </w:r>
            <w:r>
              <w:rPr>
                <w:rFonts w:hint="eastAsia" w:ascii="宋体" w:hAnsi="宋体" w:cs="宋体"/>
                <w:color w:val="auto"/>
                <w:szCs w:val="21"/>
                <w:highlight w:val="none"/>
              </w:rPr>
              <w:t>；没有项目不得分。（同一个设区市下不同区县的项目视为一个项目；同一个项目下签订的不同年份的协议视为同一个项目协议</w:t>
            </w:r>
            <w:r>
              <w:rPr>
                <w:rFonts w:hint="eastAsia" w:ascii="宋体" w:hAnsi="宋体" w:cs="宋体"/>
                <w:color w:val="auto"/>
                <w:szCs w:val="21"/>
                <w:highlight w:val="none"/>
                <w:lang w:eastAsia="zh-CN"/>
              </w:rPr>
              <w:t>，</w:t>
            </w:r>
            <w:r>
              <w:rPr>
                <w:rFonts w:hint="eastAsia" w:ascii="宋体" w:hAnsi="宋体" w:cs="宋体"/>
                <w:color w:val="auto"/>
                <w:szCs w:val="21"/>
                <w:highlight w:val="none"/>
              </w:rPr>
              <w:t>需提供项目中标通知书或合同、协议等相关证明材料的复印件）</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0F879">
            <w:pPr>
              <w:widowControl/>
              <w:jc w:val="center"/>
              <w:textAlignment w:val="center"/>
              <w:rPr>
                <w:rFonts w:hint="default" w:eastAsia="宋体"/>
                <w:b w:val="0"/>
                <w:bCs w:val="0"/>
                <w:color w:val="auto"/>
                <w:szCs w:val="21"/>
                <w:highlight w:val="none"/>
                <w:lang w:val="en-US" w:eastAsia="zh-CN"/>
              </w:rPr>
            </w:pPr>
            <w:r>
              <w:rPr>
                <w:rFonts w:hint="eastAsia"/>
                <w:b/>
                <w:bCs/>
                <w:color w:val="auto"/>
                <w:szCs w:val="21"/>
                <w:highlight w:val="none"/>
                <w:lang w:val="en-US" w:eastAsia="zh-CN"/>
              </w:rPr>
              <w:t>5分</w:t>
            </w:r>
          </w:p>
        </w:tc>
      </w:tr>
      <w:tr w14:paraId="13E9D8EC">
        <w:tblPrEx>
          <w:tblCellMar>
            <w:top w:w="0" w:type="dxa"/>
            <w:left w:w="108" w:type="dxa"/>
            <w:bottom w:w="0" w:type="dxa"/>
            <w:right w:w="108" w:type="dxa"/>
          </w:tblCellMar>
        </w:tblPrEx>
        <w:trPr>
          <w:trHeight w:val="804"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AF12F">
            <w:pPr>
              <w:widowControl/>
              <w:jc w:val="center"/>
              <w:textAlignment w:val="center"/>
              <w:rPr>
                <w:rFonts w:hint="default"/>
                <w:b/>
                <w:bCs/>
                <w:color w:val="auto"/>
                <w:szCs w:val="21"/>
                <w:highlight w:val="none"/>
                <w:lang w:val="en-US" w:eastAsia="zh-CN"/>
              </w:rPr>
            </w:pPr>
            <w:r>
              <w:rPr>
                <w:rFonts w:hint="eastAsia"/>
                <w:b/>
                <w:bCs/>
                <w:color w:val="auto"/>
                <w:szCs w:val="21"/>
                <w:highlight w:val="none"/>
                <w:lang w:val="en-US" w:eastAsia="zh-CN"/>
              </w:rPr>
              <w:t>4</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3B47A">
            <w:pPr>
              <w:adjustRightInd w:val="0"/>
              <w:snapToGrid w:val="0"/>
              <w:spacing w:line="410" w:lineRule="exact"/>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服务网点设置情况</w:t>
            </w:r>
          </w:p>
        </w:tc>
        <w:tc>
          <w:tcPr>
            <w:tcW w:w="3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CDF2A">
            <w:pPr>
              <w:adjustRightInd w:val="0"/>
              <w:snapToGrid w:val="0"/>
              <w:spacing w:line="400" w:lineRule="exact"/>
              <w:ind w:firstLine="411" w:firstLineChars="196"/>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1）投标人承诺配合在北海市医保部门设立的经办服务点同步设立长期护理保险经办服务窗口，按照医保部门的统一管理合署办公，得</w:t>
            </w:r>
            <w:r>
              <w:rPr>
                <w:rFonts w:hint="eastAsia" w:ascii="宋体" w:hAnsi="宋体" w:cs="宋体"/>
                <w:color w:val="auto"/>
                <w:szCs w:val="21"/>
                <w:highlight w:val="none"/>
                <w:lang w:val="en-US" w:eastAsia="zh-CN"/>
              </w:rPr>
              <w:t>2分</w:t>
            </w:r>
            <w:r>
              <w:rPr>
                <w:rFonts w:hint="eastAsia" w:ascii="宋体" w:hAnsi="宋体" w:cs="宋体"/>
                <w:color w:val="auto"/>
                <w:szCs w:val="21"/>
                <w:highlight w:val="none"/>
                <w:lang w:eastAsia="zh-CN"/>
              </w:rPr>
              <w:t>；</w:t>
            </w:r>
          </w:p>
          <w:p w14:paraId="497E5DC4">
            <w:pPr>
              <w:adjustRightInd w:val="0"/>
              <w:snapToGrid w:val="0"/>
              <w:spacing w:line="400" w:lineRule="exact"/>
              <w:ind w:firstLine="411" w:firstLineChars="196"/>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2）在上述要求的基础上，投标人在我市所辖行政区域内（城区、县区）设立分支机构（中心支公司、支公司、营销服务部）或集团共享机构的，每个得0.</w:t>
            </w:r>
            <w:r>
              <w:rPr>
                <w:rFonts w:hint="eastAsia" w:ascii="宋体" w:hAnsi="宋体" w:cs="宋体"/>
                <w:color w:val="auto"/>
                <w:szCs w:val="21"/>
                <w:highlight w:val="none"/>
                <w:lang w:val="en-US" w:eastAsia="zh-CN"/>
              </w:rPr>
              <w:t>2分</w:t>
            </w:r>
            <w:r>
              <w:rPr>
                <w:rFonts w:hint="eastAsia" w:ascii="宋体" w:hAnsi="宋体" w:cs="宋体"/>
                <w:color w:val="auto"/>
                <w:szCs w:val="21"/>
                <w:highlight w:val="none"/>
                <w:lang w:eastAsia="zh-CN"/>
              </w:rPr>
              <w:t>，最高得</w:t>
            </w:r>
            <w:r>
              <w:rPr>
                <w:rFonts w:hint="eastAsia" w:ascii="宋体" w:hAnsi="宋体" w:cs="宋体"/>
                <w:color w:val="auto"/>
                <w:szCs w:val="21"/>
                <w:highlight w:val="none"/>
                <w:lang w:val="en-US" w:eastAsia="zh-CN"/>
              </w:rPr>
              <w:t>1分</w:t>
            </w:r>
            <w:r>
              <w:rPr>
                <w:rFonts w:hint="eastAsia" w:ascii="宋体" w:hAnsi="宋体" w:cs="宋体"/>
                <w:color w:val="auto"/>
                <w:szCs w:val="21"/>
                <w:highlight w:val="none"/>
                <w:lang w:eastAsia="zh-CN"/>
              </w:rPr>
              <w:t>。（1.需提供书面承诺函，并加盖投标人公章。2.需提供各网点营业执照副本的复印件或扫描件并加盖投标人公章，不提供不得分；使用集团共享网点的，需提供集团共享网点的书面证明文件）</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AEEA1">
            <w:pPr>
              <w:widowControl/>
              <w:jc w:val="center"/>
              <w:textAlignment w:val="center"/>
              <w:rPr>
                <w:rFonts w:hint="default"/>
                <w:b/>
                <w:bCs/>
                <w:color w:val="auto"/>
                <w:szCs w:val="21"/>
                <w:highlight w:val="none"/>
                <w:lang w:val="en-US" w:eastAsia="zh-CN"/>
              </w:rPr>
            </w:pPr>
            <w:r>
              <w:rPr>
                <w:rFonts w:hint="eastAsia"/>
                <w:b/>
                <w:bCs/>
                <w:color w:val="auto"/>
                <w:szCs w:val="21"/>
                <w:highlight w:val="none"/>
                <w:lang w:val="en-US" w:eastAsia="zh-CN"/>
              </w:rPr>
              <w:t>3分</w:t>
            </w:r>
          </w:p>
        </w:tc>
      </w:tr>
      <w:tr w14:paraId="295809E7">
        <w:tblPrEx>
          <w:tblCellMar>
            <w:top w:w="0" w:type="dxa"/>
            <w:left w:w="108" w:type="dxa"/>
            <w:bottom w:w="0" w:type="dxa"/>
            <w:right w:w="108" w:type="dxa"/>
          </w:tblCellMar>
        </w:tblPrEx>
        <w:trPr>
          <w:trHeight w:val="1609"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56C5B">
            <w:pPr>
              <w:widowControl/>
              <w:jc w:val="center"/>
              <w:textAlignment w:val="center"/>
              <w:rPr>
                <w:rFonts w:hint="default"/>
                <w:b/>
                <w:bCs/>
                <w:color w:val="auto"/>
                <w:szCs w:val="21"/>
                <w:highlight w:val="none"/>
                <w:lang w:val="en-US" w:eastAsia="zh-CN"/>
              </w:rPr>
            </w:pPr>
            <w:r>
              <w:rPr>
                <w:rFonts w:hint="eastAsia"/>
                <w:b/>
                <w:bCs/>
                <w:color w:val="auto"/>
                <w:szCs w:val="21"/>
                <w:highlight w:val="none"/>
                <w:lang w:val="en-US" w:eastAsia="zh-CN"/>
              </w:rPr>
              <w:t>5</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FB72B">
            <w:pPr>
              <w:adjustRightInd w:val="0"/>
              <w:snapToGrid w:val="0"/>
              <w:spacing w:line="410" w:lineRule="exact"/>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保险服务投诉情况</w:t>
            </w:r>
          </w:p>
        </w:tc>
        <w:tc>
          <w:tcPr>
            <w:tcW w:w="3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343AD">
            <w:pPr>
              <w:adjustRightInd w:val="0"/>
              <w:snapToGrid w:val="0"/>
              <w:spacing w:line="400" w:lineRule="exact"/>
              <w:ind w:firstLine="411" w:firstLineChars="196"/>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根据投标人所属总公司在国家金融监督管理总局公布的《关于</w:t>
            </w:r>
            <w:r>
              <w:rPr>
                <w:rFonts w:hint="eastAsia" w:ascii="宋体" w:hAnsi="宋体" w:cs="宋体"/>
                <w:color w:val="auto"/>
                <w:szCs w:val="21"/>
                <w:highlight w:val="none"/>
                <w:lang w:val="en-US" w:eastAsia="zh-CN"/>
              </w:rPr>
              <w:t>2024</w:t>
            </w:r>
            <w:r>
              <w:rPr>
                <w:rFonts w:hint="eastAsia" w:ascii="宋体" w:hAnsi="宋体" w:cs="宋体"/>
                <w:color w:val="auto"/>
                <w:szCs w:val="21"/>
                <w:highlight w:val="none"/>
                <w:lang w:eastAsia="zh-CN"/>
              </w:rPr>
              <w:t>年保险消费投诉情况的通报》万张保单投诉量（件/万张）指标评分，万张保单投诉量（件/万张）≤0.15，得</w:t>
            </w:r>
            <w:r>
              <w:rPr>
                <w:rFonts w:hint="eastAsia" w:ascii="宋体" w:hAnsi="宋体" w:cs="宋体"/>
                <w:color w:val="auto"/>
                <w:szCs w:val="21"/>
                <w:highlight w:val="none"/>
                <w:lang w:val="en-US" w:eastAsia="zh-CN"/>
              </w:rPr>
              <w:t>1分</w:t>
            </w:r>
            <w:r>
              <w:rPr>
                <w:rFonts w:hint="eastAsia" w:ascii="宋体" w:hAnsi="宋体" w:cs="宋体"/>
                <w:color w:val="auto"/>
                <w:szCs w:val="21"/>
                <w:highlight w:val="none"/>
                <w:lang w:eastAsia="zh-CN"/>
              </w:rPr>
              <w:t>；每增加0.01个百分点扣0.1分，扣完为止。（需提供国家金融监督管理总局官网截图并打印网站相关表格，否则此项不得分）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AF412">
            <w:pPr>
              <w:widowControl/>
              <w:jc w:val="center"/>
              <w:textAlignment w:val="center"/>
              <w:rPr>
                <w:rFonts w:hint="default"/>
                <w:b/>
                <w:bCs/>
                <w:color w:val="auto"/>
                <w:szCs w:val="21"/>
                <w:highlight w:val="none"/>
                <w:lang w:val="en-US" w:eastAsia="zh-CN"/>
              </w:rPr>
            </w:pPr>
            <w:r>
              <w:rPr>
                <w:rFonts w:hint="eastAsia"/>
                <w:b/>
                <w:bCs/>
                <w:color w:val="auto"/>
                <w:szCs w:val="21"/>
                <w:highlight w:val="none"/>
                <w:lang w:val="en-US" w:eastAsia="zh-CN"/>
              </w:rPr>
              <w:t>1分</w:t>
            </w:r>
          </w:p>
        </w:tc>
      </w:tr>
      <w:tr w14:paraId="0C2CB5B7">
        <w:tblPrEx>
          <w:tblCellMar>
            <w:top w:w="0" w:type="dxa"/>
            <w:left w:w="108" w:type="dxa"/>
            <w:bottom w:w="0" w:type="dxa"/>
            <w:right w:w="108" w:type="dxa"/>
          </w:tblCellMar>
        </w:tblPrEx>
        <w:trPr>
          <w:trHeight w:val="1609"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83B89">
            <w:pPr>
              <w:widowControl/>
              <w:jc w:val="center"/>
              <w:textAlignment w:val="center"/>
              <w:rPr>
                <w:rFonts w:hint="default"/>
                <w:b/>
                <w:bCs/>
                <w:color w:val="auto"/>
                <w:szCs w:val="21"/>
                <w:highlight w:val="none"/>
                <w:lang w:val="en-US" w:eastAsia="zh-CN"/>
              </w:rPr>
            </w:pPr>
            <w:r>
              <w:rPr>
                <w:rFonts w:hint="eastAsia"/>
                <w:b/>
                <w:bCs/>
                <w:color w:val="auto"/>
                <w:szCs w:val="21"/>
                <w:highlight w:val="none"/>
                <w:lang w:val="en-US" w:eastAsia="zh-CN"/>
              </w:rPr>
              <w:t>6</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17EDE">
            <w:pPr>
              <w:adjustRightInd w:val="0"/>
              <w:snapToGrid w:val="0"/>
              <w:spacing w:line="410" w:lineRule="exact"/>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保险经营违规处罚情况</w:t>
            </w:r>
          </w:p>
        </w:tc>
        <w:tc>
          <w:tcPr>
            <w:tcW w:w="3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304AB">
            <w:pPr>
              <w:adjustRightInd w:val="0"/>
              <w:snapToGrid w:val="0"/>
              <w:spacing w:line="400" w:lineRule="exact"/>
              <w:ind w:firstLine="411" w:firstLineChars="196"/>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投标人（含省级分公司及区内所属各地市分支机构）</w:t>
            </w:r>
            <w:r>
              <w:rPr>
                <w:rFonts w:hint="eastAsia" w:ascii="宋体" w:hAnsi="宋体" w:cs="宋体"/>
                <w:color w:val="auto"/>
                <w:szCs w:val="21"/>
                <w:highlight w:val="none"/>
                <w:lang w:val="en-US" w:eastAsia="zh-CN"/>
              </w:rPr>
              <w:t>2022</w:t>
            </w:r>
            <w:r>
              <w:rPr>
                <w:rFonts w:hint="eastAsia" w:ascii="宋体" w:hAnsi="宋体" w:cs="宋体"/>
                <w:color w:val="auto"/>
                <w:szCs w:val="21"/>
                <w:highlight w:val="none"/>
                <w:lang w:eastAsia="zh-CN"/>
              </w:rPr>
              <w:t>年1月1日以来在全国范围内未被银保监部门（含原保监局）书面通报或处罚的得</w:t>
            </w:r>
            <w:r>
              <w:rPr>
                <w:rFonts w:hint="eastAsia" w:ascii="宋体" w:hAnsi="宋体" w:cs="宋体"/>
                <w:color w:val="auto"/>
                <w:szCs w:val="21"/>
                <w:highlight w:val="none"/>
                <w:lang w:val="en-US" w:eastAsia="zh-CN"/>
              </w:rPr>
              <w:t>3分</w:t>
            </w:r>
            <w:r>
              <w:rPr>
                <w:rFonts w:hint="eastAsia" w:ascii="宋体" w:hAnsi="宋体" w:cs="宋体"/>
                <w:color w:val="auto"/>
                <w:szCs w:val="21"/>
                <w:highlight w:val="none"/>
                <w:lang w:eastAsia="zh-CN"/>
              </w:rPr>
              <w:t>；有1个违规处罚的扣</w:t>
            </w:r>
            <w:r>
              <w:rPr>
                <w:rFonts w:hint="eastAsia" w:ascii="宋体" w:hAnsi="宋体" w:cs="宋体"/>
                <w:color w:val="auto"/>
                <w:szCs w:val="21"/>
                <w:highlight w:val="none"/>
                <w:lang w:val="en-US" w:eastAsia="zh-CN"/>
              </w:rPr>
              <w:t>0.5分</w:t>
            </w:r>
            <w:r>
              <w:rPr>
                <w:rFonts w:hint="eastAsia" w:ascii="宋体" w:hAnsi="宋体" w:cs="宋体"/>
                <w:color w:val="auto"/>
                <w:szCs w:val="21"/>
                <w:highlight w:val="none"/>
                <w:lang w:eastAsia="zh-CN"/>
              </w:rPr>
              <w:t>，扣完为止。</w:t>
            </w:r>
          </w:p>
          <w:p w14:paraId="68A55FF4">
            <w:pPr>
              <w:adjustRightInd w:val="0"/>
              <w:snapToGrid w:val="0"/>
              <w:spacing w:line="400" w:lineRule="exact"/>
              <w:ind w:firstLine="411" w:firstLineChars="196"/>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投标人根据实际情况主动提供</w:t>
            </w:r>
            <w:r>
              <w:rPr>
                <w:rFonts w:hint="eastAsia" w:ascii="宋体" w:hAnsi="宋体" w:cs="宋体"/>
                <w:color w:val="auto"/>
                <w:szCs w:val="21"/>
                <w:highlight w:val="none"/>
                <w:lang w:val="en-US" w:eastAsia="zh-CN"/>
              </w:rPr>
              <w:t>2022</w:t>
            </w:r>
            <w:r>
              <w:rPr>
                <w:rFonts w:hint="eastAsia" w:ascii="宋体" w:hAnsi="宋体" w:cs="宋体"/>
                <w:color w:val="auto"/>
                <w:szCs w:val="21"/>
                <w:highlight w:val="none"/>
                <w:lang w:eastAsia="zh-CN"/>
              </w:rPr>
              <w:t>年1月1日以来有无受到银保监部门（机构改革前为保监部门）处罚的承诺（说明）书，如存在受通报处罚情况的应提供投标人受处罚情况查询记录并截图加盖公章。</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07D96">
            <w:pPr>
              <w:widowControl/>
              <w:jc w:val="center"/>
              <w:textAlignment w:val="center"/>
              <w:rPr>
                <w:rFonts w:hint="default"/>
                <w:b/>
                <w:bCs/>
                <w:color w:val="auto"/>
                <w:szCs w:val="21"/>
                <w:highlight w:val="none"/>
                <w:lang w:val="en-US" w:eastAsia="zh-CN"/>
              </w:rPr>
            </w:pPr>
            <w:r>
              <w:rPr>
                <w:rFonts w:hint="eastAsia"/>
                <w:b/>
                <w:bCs/>
                <w:color w:val="auto"/>
                <w:szCs w:val="21"/>
                <w:highlight w:val="none"/>
                <w:lang w:val="en-US" w:eastAsia="zh-CN"/>
              </w:rPr>
              <w:t>3分</w:t>
            </w:r>
          </w:p>
        </w:tc>
      </w:tr>
      <w:tr w14:paraId="57912BCE">
        <w:tblPrEx>
          <w:tblCellMar>
            <w:top w:w="0" w:type="dxa"/>
            <w:left w:w="108" w:type="dxa"/>
            <w:bottom w:w="0" w:type="dxa"/>
            <w:right w:w="108" w:type="dxa"/>
          </w:tblCellMar>
        </w:tblPrEx>
        <w:trPr>
          <w:trHeight w:val="860" w:hRule="atLeast"/>
        </w:trPr>
        <w:tc>
          <w:tcPr>
            <w:tcW w:w="44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210CF4">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 xml:space="preserve">总得分 </w:t>
            </w:r>
            <w:r>
              <w:rPr>
                <w:b/>
                <w:bCs/>
                <w:color w:val="auto"/>
                <w:kern w:val="0"/>
                <w:szCs w:val="21"/>
                <w:highlight w:val="none"/>
                <w:lang w:bidi="ar"/>
              </w:rPr>
              <w:t xml:space="preserve">= </w:t>
            </w:r>
            <w:r>
              <w:rPr>
                <w:rFonts w:hint="eastAsia" w:ascii="宋体" w:hAnsi="宋体" w:cs="宋体"/>
                <w:b/>
                <w:bCs/>
                <w:color w:val="auto"/>
                <w:kern w:val="0"/>
                <w:szCs w:val="21"/>
                <w:highlight w:val="none"/>
                <w:lang w:bidi="ar"/>
              </w:rPr>
              <w:t xml:space="preserve">一 </w:t>
            </w:r>
            <w:r>
              <w:rPr>
                <w:b/>
                <w:bCs/>
                <w:color w:val="auto"/>
                <w:kern w:val="0"/>
                <w:szCs w:val="21"/>
                <w:highlight w:val="none"/>
                <w:lang w:bidi="ar"/>
              </w:rPr>
              <w:t>+</w:t>
            </w:r>
            <w:r>
              <w:rPr>
                <w:rFonts w:hint="eastAsia"/>
                <w:b/>
                <w:bCs/>
                <w:color w:val="auto"/>
                <w:kern w:val="0"/>
                <w:szCs w:val="21"/>
                <w:highlight w:val="none"/>
                <w:lang w:bidi="ar"/>
              </w:rPr>
              <w:t xml:space="preserve"> </w:t>
            </w:r>
            <w:r>
              <w:rPr>
                <w:rFonts w:hint="eastAsia" w:ascii="宋体" w:hAnsi="宋体" w:cs="宋体"/>
                <w:b/>
                <w:bCs/>
                <w:color w:val="auto"/>
                <w:kern w:val="0"/>
                <w:szCs w:val="21"/>
                <w:highlight w:val="none"/>
                <w:lang w:bidi="ar"/>
              </w:rPr>
              <w:t xml:space="preserve">二 </w:t>
            </w:r>
            <w:r>
              <w:rPr>
                <w:b/>
                <w:bCs/>
                <w:color w:val="auto"/>
                <w:kern w:val="0"/>
                <w:szCs w:val="21"/>
                <w:highlight w:val="none"/>
                <w:lang w:bidi="ar"/>
              </w:rPr>
              <w:t>+</w:t>
            </w:r>
            <w:r>
              <w:rPr>
                <w:rFonts w:hint="eastAsia"/>
                <w:b/>
                <w:bCs/>
                <w:color w:val="auto"/>
                <w:kern w:val="0"/>
                <w:szCs w:val="21"/>
                <w:highlight w:val="none"/>
                <w:lang w:bidi="ar"/>
              </w:rPr>
              <w:t xml:space="preserve"> </w:t>
            </w:r>
            <w:r>
              <w:rPr>
                <w:rFonts w:hint="eastAsia" w:ascii="宋体" w:hAnsi="宋体" w:cs="宋体"/>
                <w:b/>
                <w:bCs/>
                <w:color w:val="auto"/>
                <w:kern w:val="0"/>
                <w:szCs w:val="21"/>
                <w:highlight w:val="none"/>
                <w:lang w:bidi="ar"/>
              </w:rPr>
              <w:t xml:space="preserve">三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DCBDC">
            <w:pPr>
              <w:widowControl/>
              <w:jc w:val="center"/>
              <w:textAlignment w:val="center"/>
              <w:rPr>
                <w:b/>
                <w:bCs/>
                <w:color w:val="auto"/>
                <w:szCs w:val="21"/>
                <w:highlight w:val="none"/>
              </w:rPr>
            </w:pPr>
            <w:r>
              <w:rPr>
                <w:b/>
                <w:bCs/>
                <w:color w:val="auto"/>
                <w:kern w:val="0"/>
                <w:szCs w:val="21"/>
                <w:highlight w:val="none"/>
                <w:lang w:bidi="ar"/>
              </w:rPr>
              <w:t>100</w:t>
            </w:r>
            <w:r>
              <w:rPr>
                <w:rFonts w:hint="eastAsia" w:ascii="宋体" w:hAnsi="宋体" w:cs="宋体"/>
                <w:b/>
                <w:bCs/>
                <w:color w:val="auto"/>
                <w:kern w:val="0"/>
                <w:szCs w:val="21"/>
                <w:highlight w:val="none"/>
                <w:lang w:bidi="ar"/>
              </w:rPr>
              <w:t>分</w:t>
            </w:r>
          </w:p>
        </w:tc>
      </w:tr>
    </w:tbl>
    <w:p w14:paraId="00506BD8">
      <w:pPr>
        <w:tabs>
          <w:tab w:val="left" w:pos="432"/>
        </w:tabs>
        <w:jc w:val="center"/>
        <w:rPr>
          <w:color w:val="auto"/>
          <w:highlight w:val="none"/>
        </w:rPr>
      </w:pPr>
    </w:p>
    <w:p w14:paraId="5265760C">
      <w:pPr>
        <w:tabs>
          <w:tab w:val="left" w:pos="432"/>
        </w:tabs>
        <w:jc w:val="center"/>
        <w:rPr>
          <w:color w:val="auto"/>
          <w:highlight w:val="none"/>
        </w:rPr>
      </w:pPr>
    </w:p>
    <w:p w14:paraId="4743564E">
      <w:pPr>
        <w:snapToGrid w:val="0"/>
        <w:spacing w:line="360" w:lineRule="auto"/>
        <w:ind w:firstLine="400" w:firstLineChars="200"/>
        <w:rPr>
          <w:rFonts w:ascii="宋体" w:hAnsi="宋体" w:cs="宋体"/>
          <w:color w:val="auto"/>
          <w:sz w:val="24"/>
          <w:highlight w:val="none"/>
        </w:rPr>
      </w:pPr>
      <w:r>
        <w:rPr>
          <w:rFonts w:hint="eastAsia" w:ascii="宋体" w:hAnsi="宋体" w:cs="宋体"/>
          <w:color w:val="auto"/>
          <w:sz w:val="20"/>
          <w:szCs w:val="20"/>
          <w:highlight w:val="none"/>
          <w:shd w:val="clear" w:color="auto" w:fill="FFFFFF"/>
        </w:rPr>
        <w:t> </w:t>
      </w:r>
      <w:r>
        <w:rPr>
          <w:rFonts w:hint="eastAsia" w:cs="仿宋_GB2312" w:asciiTheme="minorEastAsia" w:hAnsiTheme="minorEastAsia" w:eastAsiaTheme="minorEastAsia"/>
          <w:bCs/>
          <w:color w:val="auto"/>
          <w:sz w:val="24"/>
          <w:highlight w:val="none"/>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p>
    <w:p w14:paraId="5F79D11D">
      <w:pPr>
        <w:adjustRightInd/>
        <w:spacing w:line="360" w:lineRule="auto"/>
        <w:outlineLvl w:val="1"/>
        <w:rPr>
          <w:rFonts w:ascii="宋体" w:hAnsi="宋体" w:cs="宋体"/>
          <w:b/>
          <w:color w:val="auto"/>
          <w:sz w:val="32"/>
          <w:highlight w:val="none"/>
        </w:rPr>
      </w:pPr>
      <w:r>
        <w:rPr>
          <w:rFonts w:hint="eastAsia" w:ascii="宋体" w:hAnsi="宋体" w:cs="宋体"/>
          <w:b/>
          <w:color w:val="auto"/>
          <w:sz w:val="32"/>
          <w:highlight w:val="none"/>
        </w:rPr>
        <w:t>一、评标方法</w:t>
      </w:r>
    </w:p>
    <w:p w14:paraId="3838F73A">
      <w:pPr>
        <w:adjustRightInd/>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1.本项目采用的评标方法:</w:t>
      </w:r>
    </w:p>
    <w:p w14:paraId="6DECB9B8">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A</w:t>
      </w:r>
      <w:r>
        <w:rPr>
          <w:rFonts w:hint="eastAsia" w:ascii="宋体" w:hAnsi="宋体" w:cs="宋体"/>
          <w:b/>
          <w:color w:val="auto"/>
          <w:kern w:val="0"/>
          <w:sz w:val="24"/>
          <w:highlight w:val="none"/>
        </w:rPr>
        <w:t>综合评分法</w:t>
      </w:r>
      <w:r>
        <w:rPr>
          <w:rFonts w:hint="eastAsia" w:ascii="宋体" w:hAnsi="宋体" w:cs="宋体"/>
          <w:color w:val="auto"/>
          <w:sz w:val="24"/>
          <w:highlight w:val="none"/>
        </w:rPr>
        <w:t>。</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35C38CB">
      <w:pPr>
        <w:adjustRightInd/>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B最低评标价法</w:t>
      </w:r>
      <w:r>
        <w:rPr>
          <w:rFonts w:hint="eastAsia" w:ascii="宋体" w:hAnsi="宋体" w:cs="宋体"/>
          <w:b/>
          <w:color w:val="auto"/>
          <w:kern w:val="0"/>
          <w:sz w:val="24"/>
          <w:highlight w:val="none"/>
        </w:rPr>
        <w:t>。</w:t>
      </w:r>
      <w:r>
        <w:rPr>
          <w:rFonts w:hint="eastAsia" w:ascii="宋体" w:hAnsi="宋体" w:cs="宋体"/>
          <w:color w:val="auto"/>
          <w:kern w:val="0"/>
          <w:sz w:val="24"/>
          <w:highlight w:val="none"/>
        </w:rPr>
        <w:t>最低评标价法，是指投标文件满足招标文件全部实质性要求，且投标报价最低的投标人为中标候选人的评标方法。</w:t>
      </w:r>
    </w:p>
    <w:p w14:paraId="74C95750">
      <w:pPr>
        <w:adjustRightInd/>
        <w:spacing w:line="360" w:lineRule="auto"/>
        <w:outlineLvl w:val="1"/>
        <w:rPr>
          <w:rFonts w:ascii="宋体" w:hAnsi="宋体" w:cs="宋体"/>
          <w:color w:val="auto"/>
          <w:kern w:val="0"/>
          <w:sz w:val="24"/>
          <w:highlight w:val="none"/>
        </w:rPr>
      </w:pPr>
      <w:r>
        <w:rPr>
          <w:rFonts w:hint="eastAsia" w:ascii="宋体" w:hAnsi="宋体" w:cs="宋体"/>
          <w:b/>
          <w:color w:val="auto"/>
          <w:sz w:val="32"/>
          <w:highlight w:val="none"/>
        </w:rPr>
        <w:t>二、评标标准</w:t>
      </w:r>
    </w:p>
    <w:p w14:paraId="7773CB9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sz w:val="24"/>
          <w:highlight w:val="none"/>
        </w:rPr>
        <w:t>采用综合评分法的，评标标准</w:t>
      </w:r>
      <w:r>
        <w:rPr>
          <w:rFonts w:hint="eastAsia" w:ascii="宋体" w:hAnsi="宋体" w:cs="宋体"/>
          <w:color w:val="auto"/>
          <w:kern w:val="0"/>
          <w:sz w:val="24"/>
          <w:highlight w:val="none"/>
        </w:rPr>
        <w:t>见评标办法前附表。采用最低评标价法评标时，除了算术修正和落实政府采购政策需进行的价格扣除外，不能对投标人的投标价格进行任何调整。</w:t>
      </w:r>
    </w:p>
    <w:p w14:paraId="6EBAD0BA">
      <w:pPr>
        <w:spacing w:line="360" w:lineRule="auto"/>
        <w:outlineLvl w:val="1"/>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55624D5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C84FD4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52E2E8E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采用综合评分法时，评标委员会各成员应当独立对每个投标人的商务和技术文件进行评价，并汇总商务技术得分情况。</w:t>
      </w:r>
    </w:p>
    <w:p w14:paraId="214DC01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E96DC7B">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B38FEFB">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2E3840B">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A7A9006">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8DF7EF2">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70B5F81">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763A35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1EE7EC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59779F4">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B3550F9">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3.4.5对于未预留份额专门面向中小企业采购的政府采购项目，以及预留份额政府采购项目中的非预留部分标项，对小型和微型企业的投标报价给予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B8DD845">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3.5排序与推荐。</w:t>
      </w:r>
    </w:p>
    <w:p w14:paraId="72260ACF">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3.5.1</w:t>
      </w:r>
      <w:r>
        <w:rPr>
          <w:rFonts w:hint="eastAsia" w:ascii="宋体" w:hAnsi="宋体" w:cs="宋体"/>
          <w:color w:val="auto"/>
          <w:kern w:val="0"/>
          <w:sz w:val="24"/>
          <w:highlight w:val="none"/>
        </w:rPr>
        <w:t>采用综合评分法的，评标结果按评审后得分由高到低顺序排列。得分相同的，按投标报价由低到高顺序排列。得分相同且投标报价相同的，按技术指标优劣顺序排列。投标文件满足招标文件全部实质性要求，且按照评审因素的量化指标评审得分最高的投标人为排名第一的中标候选人。</w:t>
      </w:r>
    </w:p>
    <w:p w14:paraId="293E140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4637E6A">
      <w:pPr>
        <w:pStyle w:val="82"/>
        <w:rPr>
          <w:rFonts w:cs="宋体"/>
          <w:color w:val="auto"/>
          <w:highlight w:val="none"/>
        </w:rPr>
      </w:pPr>
      <w:r>
        <w:rPr>
          <w:rFonts w:hint="eastAsia" w:cs="宋体"/>
          <w:color w:val="auto"/>
          <w:highlight w:val="none"/>
        </w:rPr>
        <w:t>3.5.2采用最低评标价法的，评标结果按投标报价由低到高顺序排列。评标价相同时，由评标委员会根据投标文件中技术、服务、合同条款及其它实质性要求等情况，按照择优选择的原则，集体讨论确定排序，并按确定排序由优到劣的原则推荐中标候选人。投标文件满足招标文件全部实质性要求且投标报价最低的投标人为排名第一的中标候选人。</w:t>
      </w:r>
    </w:p>
    <w:p w14:paraId="0B322FCE">
      <w:pPr>
        <w:pStyle w:val="82"/>
        <w:rPr>
          <w:color w:val="auto"/>
          <w:highlight w:val="none"/>
        </w:rPr>
      </w:pPr>
      <w:r>
        <w:rPr>
          <w:rFonts w:hint="eastAsia" w:cs="宋体"/>
          <w:color w:val="auto"/>
          <w:highlight w:val="none"/>
        </w:rPr>
        <w:t>多家投标人提供相同品牌产品（单一产品采购项目中的该产品或者非单一产品采购项目的核心产品）且通过资格审查、符合性审查的不同投标人参加同一合同项下投标的，按一家投标人计算，评审后报价最低的同品牌投标人获得中标人推荐资格；报价相同的，由采购人或者采购人委托评标委员会按照招标文件规定的方式确定一个投标人获得中标人推荐资格，招标文件未规定的采取随机抽取方式确定，其他同品牌投标人不作为中标候选人。</w:t>
      </w:r>
    </w:p>
    <w:p w14:paraId="263CBA5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46D52DC">
      <w:pPr>
        <w:widowControl/>
        <w:shd w:val="clear" w:color="auto" w:fill="FFFFFF"/>
        <w:adjustRightInd/>
        <w:spacing w:line="360" w:lineRule="auto"/>
        <w:jc w:val="left"/>
        <w:outlineLvl w:val="1"/>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12B7EAC8">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82ADBA1">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B653C4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44227E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D5A179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672D07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35DD1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BF91E32">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7FF36E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7C49102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0EC4CB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2D232A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06BC4C8D">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3D8F181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2A1ACE13">
      <w:pPr>
        <w:pStyle w:val="82"/>
        <w:rPr>
          <w:b/>
          <w:bCs/>
          <w:color w:val="auto"/>
          <w:highlight w:val="none"/>
        </w:rPr>
      </w:pPr>
      <w:r>
        <w:rPr>
          <w:rFonts w:hint="eastAsia"/>
          <w:color w:val="auto"/>
          <w:highlight w:val="none"/>
        </w:rPr>
        <w:t>4.2.13 投标文件不满足招标文件采购需求中技术参数及性能配置要求的；</w:t>
      </w:r>
    </w:p>
    <w:p w14:paraId="0B2882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153A5D12">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C8E5D3D">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57B578EB">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5849A207">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5B27BC50">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637A512E">
      <w:pPr>
        <w:pStyle w:val="24"/>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0F0E551A">
      <w:pPr>
        <w:pStyle w:val="24"/>
        <w:snapToGrid w:val="0"/>
        <w:spacing w:line="360" w:lineRule="auto"/>
        <w:ind w:firstLine="482"/>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1DBB6B7">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19AB341">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EB3A3B8">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01CA06D">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B135B43">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EDD2F7">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3A43397">
      <w:pPr>
        <w:pStyle w:val="82"/>
        <w:ind w:firstLine="0"/>
        <w:rPr>
          <w:b/>
          <w:color w:val="auto"/>
          <w:sz w:val="32"/>
          <w:szCs w:val="32"/>
          <w:highlight w:val="none"/>
        </w:rPr>
      </w:pPr>
      <w:r>
        <w:rPr>
          <w:rFonts w:hint="eastAsia"/>
          <w:b/>
          <w:color w:val="auto"/>
          <w:sz w:val="32"/>
          <w:szCs w:val="32"/>
          <w:highlight w:val="none"/>
        </w:rPr>
        <w:t>五、评审过程的保密与录像</w:t>
      </w:r>
    </w:p>
    <w:p w14:paraId="29A1F7C1">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8.1.保密。</w:t>
      </w:r>
      <w:r>
        <w:rPr>
          <w:rFonts w:hint="eastAsia" w:cs="仿宋_GB2312" w:asciiTheme="minorEastAsia" w:hAnsiTheme="minorEastAsia" w:eastAsiaTheme="minorEastAsia"/>
          <w:color w:val="auto"/>
          <w:sz w:val="24"/>
          <w:highlight w:val="none"/>
        </w:rPr>
        <w:t>评审活动在严格保密的情况下进行。评审过程中凡是与投标文件评审和比较、中标供应商推荐等评审有关的情况，以及涉及国家秘密和商业秘密等信息，评标委员会成员、采购人和采购代理机构工作人员、相关监督人员等与评审有关的人员应当予以保密。</w:t>
      </w:r>
    </w:p>
    <w:p w14:paraId="5C6EA583">
      <w:pPr>
        <w:pStyle w:val="24"/>
        <w:snapToGrid w:val="0"/>
        <w:spacing w:line="360" w:lineRule="auto"/>
        <w:ind w:firstLine="482"/>
        <w:rPr>
          <w:rFonts w:cs="宋体"/>
          <w:color w:val="auto"/>
          <w:highlight w:val="none"/>
        </w:rPr>
      </w:pPr>
      <w:r>
        <w:rPr>
          <w:rFonts w:hint="eastAsia" w:cs="仿宋_GB2312" w:asciiTheme="minorEastAsia" w:hAnsiTheme="minorEastAsia" w:eastAsiaTheme="minorEastAsia"/>
          <w:b/>
          <w:color w:val="auto"/>
          <w:highlight w:val="none"/>
        </w:rPr>
        <w:t>8.2.录音录像。</w:t>
      </w:r>
      <w:r>
        <w:rPr>
          <w:rFonts w:hint="eastAsia" w:cs="仿宋_GB2312" w:asciiTheme="minorEastAsia" w:hAnsiTheme="minorEastAsia" w:eastAsiaTheme="minorEastAsia"/>
          <w:color w:val="auto"/>
          <w:highlight w:val="none"/>
        </w:rPr>
        <w:t>采购代理机构对评审工作现场进行全过程录音录像，录音录像资料作为采购项目文件随其他文件一并存档。</w:t>
      </w:r>
    </w:p>
    <w:bookmarkEnd w:id="38"/>
    <w:p w14:paraId="3CBB25D7">
      <w:pPr>
        <w:spacing w:line="360" w:lineRule="auto"/>
        <w:ind w:left="720" w:leftChars="343" w:firstLine="1084" w:firstLineChars="300"/>
        <w:rPr>
          <w:rFonts w:ascii="宋体" w:hAnsi="宋体" w:cs="宋体"/>
          <w:b/>
          <w:color w:val="auto"/>
          <w:sz w:val="36"/>
          <w:szCs w:val="36"/>
          <w:highlight w:val="none"/>
        </w:rPr>
      </w:pPr>
      <w:bookmarkStart w:id="408" w:name="第五部分"/>
      <w:bookmarkStart w:id="409" w:name="_Toc86217003"/>
    </w:p>
    <w:p w14:paraId="574365EF">
      <w:pPr>
        <w:spacing w:line="360" w:lineRule="auto"/>
        <w:ind w:left="720" w:leftChars="343" w:firstLine="1084" w:firstLineChars="30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ACEF30A">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51B440CC">
      <w:pPr>
        <w:spacing w:line="360" w:lineRule="auto"/>
        <w:jc w:val="center"/>
        <w:outlineLvl w:val="0"/>
        <w:rPr>
          <w:rFonts w:ascii="宋体" w:hAnsi="宋体" w:cs="宋体"/>
          <w:b/>
          <w:color w:val="auto"/>
          <w:sz w:val="36"/>
          <w:szCs w:val="36"/>
          <w:highlight w:val="none"/>
        </w:rPr>
      </w:pPr>
      <w:bookmarkStart w:id="410" w:name="_Toc176185125"/>
      <w:bookmarkStart w:id="411" w:name="_Toc176343852"/>
      <w:bookmarkStart w:id="412" w:name="_Toc703"/>
      <w:r>
        <w:rPr>
          <w:rFonts w:hint="eastAsia" w:ascii="宋体" w:hAnsi="宋体" w:cs="宋体"/>
          <w:b/>
          <w:color w:val="auto"/>
          <w:sz w:val="36"/>
          <w:szCs w:val="36"/>
          <w:highlight w:val="none"/>
        </w:rPr>
        <w:t>第五部分  拟签订的合同文本</w:t>
      </w:r>
      <w:bookmarkEnd w:id="410"/>
      <w:bookmarkEnd w:id="411"/>
      <w:bookmarkEnd w:id="412"/>
    </w:p>
    <w:p w14:paraId="2F82FC15">
      <w:pPr>
        <w:adjustRightInd/>
        <w:spacing w:line="600" w:lineRule="exact"/>
        <w:ind w:firstLine="1044"/>
        <w:rPr>
          <w:rFonts w:ascii="宋体" w:hAnsi="宋体" w:cs="宋体"/>
          <w:b/>
          <w:color w:val="auto"/>
          <w:kern w:val="0"/>
          <w:sz w:val="52"/>
          <w:szCs w:val="52"/>
          <w:highlight w:val="none"/>
        </w:rPr>
      </w:pPr>
    </w:p>
    <w:p w14:paraId="5182BC59">
      <w:pPr>
        <w:adjustRightInd/>
        <w:jc w:val="center"/>
        <w:rPr>
          <w:rFonts w:ascii="宋体" w:hAnsi="宋体" w:cs="宋体"/>
          <w:b/>
          <w:bCs/>
          <w:color w:val="auto"/>
          <w:spacing w:val="-20"/>
          <w:kern w:val="44"/>
          <w:sz w:val="48"/>
          <w:szCs w:val="48"/>
          <w:highlight w:val="none"/>
        </w:rPr>
      </w:pPr>
      <w:bookmarkStart w:id="413" w:name="_Toc3995"/>
    </w:p>
    <w:p w14:paraId="22F8F596">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14:paraId="16533F36">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（服务类）</w:t>
      </w:r>
    </w:p>
    <w:p w14:paraId="512F8349">
      <w:pPr>
        <w:pStyle w:val="699"/>
        <w:ind w:firstLine="2843" w:firstLineChars="1180"/>
        <w:rPr>
          <w:rFonts w:ascii="宋体" w:hAnsi="宋体" w:cs="宋体"/>
          <w:b/>
          <w:color w:val="000000" w:themeColor="text1"/>
          <w:szCs w:val="24"/>
          <w:highlight w:val="none"/>
          <w14:textFill>
            <w14:solidFill>
              <w14:schemeClr w14:val="tx1"/>
            </w14:solidFill>
          </w14:textFill>
        </w:rPr>
      </w:pPr>
    </w:p>
    <w:p w14:paraId="535EE88F">
      <w:pPr>
        <w:pStyle w:val="24"/>
        <w:spacing w:after="120"/>
        <w:rPr>
          <w:color w:val="000000" w:themeColor="text1"/>
          <w:highlight w:val="none"/>
          <w14:textFill>
            <w14:solidFill>
              <w14:schemeClr w14:val="tx1"/>
            </w14:solidFill>
          </w14:textFill>
        </w:rPr>
      </w:pPr>
    </w:p>
    <w:p w14:paraId="1A5999A1">
      <w:pPr>
        <w:pStyle w:val="24"/>
        <w:spacing w:after="120"/>
        <w:rPr>
          <w:color w:val="000000" w:themeColor="text1"/>
          <w:highlight w:val="none"/>
          <w14:textFill>
            <w14:solidFill>
              <w14:schemeClr w14:val="tx1"/>
            </w14:solidFill>
          </w14:textFill>
        </w:rPr>
      </w:pPr>
    </w:p>
    <w:p w14:paraId="40CE10CD">
      <w:pPr>
        <w:adjustRightInd/>
        <w:spacing w:line="360" w:lineRule="auto"/>
        <w:ind w:left="1680" w:leftChars="800"/>
        <w:rPr>
          <w:color w:val="000000" w:themeColor="text1"/>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项目名称：</w:t>
      </w:r>
      <w:r>
        <w:rPr>
          <w:color w:val="000000" w:themeColor="text1"/>
          <w:sz w:val="32"/>
          <w:szCs w:val="32"/>
          <w:highlight w:val="none"/>
          <w:u w:val="single"/>
          <w14:textFill>
            <w14:solidFill>
              <w14:schemeClr w14:val="tx1"/>
            </w14:solidFill>
          </w14:textFill>
        </w:rPr>
        <w:t xml:space="preserve">                             </w:t>
      </w:r>
    </w:p>
    <w:p w14:paraId="3F912E8E">
      <w:pPr>
        <w:adjustRightInd/>
        <w:spacing w:line="360" w:lineRule="auto"/>
        <w:ind w:left="1680" w:leftChars="800"/>
        <w:rPr>
          <w:color w:val="000000" w:themeColor="text1"/>
          <w:sz w:val="32"/>
          <w:szCs w:val="32"/>
          <w:highlight w:val="none"/>
          <w:u w:val="single"/>
          <w14:textFill>
            <w14:solidFill>
              <w14:schemeClr w14:val="tx1"/>
            </w14:solidFill>
          </w14:textFill>
        </w:rPr>
      </w:pPr>
      <w:r>
        <w:rPr>
          <w:rFonts w:hint="eastAsia"/>
          <w:color w:val="000000" w:themeColor="text1"/>
          <w:sz w:val="32"/>
          <w:szCs w:val="32"/>
          <w:highlight w:val="none"/>
          <w14:textFill>
            <w14:solidFill>
              <w14:schemeClr w14:val="tx1"/>
            </w14:solidFill>
          </w14:textFill>
        </w:rPr>
        <w:t>合同编号：</w:t>
      </w:r>
      <w:r>
        <w:rPr>
          <w:color w:val="000000" w:themeColor="text1"/>
          <w:sz w:val="32"/>
          <w:szCs w:val="32"/>
          <w:highlight w:val="none"/>
          <w:u w:val="single"/>
          <w14:textFill>
            <w14:solidFill>
              <w14:schemeClr w14:val="tx1"/>
            </w14:solidFill>
          </w14:textFill>
        </w:rPr>
        <w:t xml:space="preserve">                             </w:t>
      </w:r>
    </w:p>
    <w:p w14:paraId="19541BC9">
      <w:pPr>
        <w:adjustRightInd/>
        <w:spacing w:line="360" w:lineRule="auto"/>
        <w:ind w:left="1680" w:leftChars="8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甲</w:t>
      </w:r>
      <w:r>
        <w:rPr>
          <w:color w:val="000000" w:themeColor="text1"/>
          <w:sz w:val="32"/>
          <w:szCs w:val="32"/>
          <w:highlight w:val="none"/>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方：</w:t>
      </w:r>
      <w:r>
        <w:rPr>
          <w:color w:val="000000" w:themeColor="text1"/>
          <w:sz w:val="32"/>
          <w:szCs w:val="32"/>
          <w:highlight w:val="none"/>
          <w:u w:val="single"/>
          <w14:textFill>
            <w14:solidFill>
              <w14:schemeClr w14:val="tx1"/>
            </w14:solidFill>
          </w14:textFill>
        </w:rPr>
        <w:t xml:space="preserve">                             </w:t>
      </w:r>
    </w:p>
    <w:p w14:paraId="38D306AB">
      <w:pPr>
        <w:adjustRightInd/>
        <w:spacing w:line="360" w:lineRule="auto"/>
        <w:ind w:left="1680" w:leftChars="800"/>
        <w:rPr>
          <w:color w:val="000000" w:themeColor="text1"/>
          <w:sz w:val="32"/>
          <w:szCs w:val="32"/>
          <w:highlight w:val="none"/>
          <w:u w:val="single"/>
          <w14:textFill>
            <w14:solidFill>
              <w14:schemeClr w14:val="tx1"/>
            </w14:solidFill>
          </w14:textFill>
        </w:rPr>
      </w:pPr>
      <w:r>
        <w:rPr>
          <w:rFonts w:hint="eastAsia"/>
          <w:color w:val="000000" w:themeColor="text1"/>
          <w:sz w:val="32"/>
          <w:szCs w:val="32"/>
          <w:highlight w:val="none"/>
          <w14:textFill>
            <w14:solidFill>
              <w14:schemeClr w14:val="tx1"/>
            </w14:solidFill>
          </w14:textFill>
        </w:rPr>
        <w:t>乙</w:t>
      </w:r>
      <w:r>
        <w:rPr>
          <w:color w:val="000000" w:themeColor="text1"/>
          <w:sz w:val="32"/>
          <w:szCs w:val="32"/>
          <w:highlight w:val="none"/>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方：</w:t>
      </w:r>
      <w:r>
        <w:rPr>
          <w:color w:val="000000" w:themeColor="text1"/>
          <w:sz w:val="32"/>
          <w:szCs w:val="32"/>
          <w:highlight w:val="none"/>
          <w:u w:val="single"/>
          <w14:textFill>
            <w14:solidFill>
              <w14:schemeClr w14:val="tx1"/>
            </w14:solidFill>
          </w14:textFill>
        </w:rPr>
        <w:t xml:space="preserve">                             </w:t>
      </w:r>
    </w:p>
    <w:p w14:paraId="2C43FDAB">
      <w:pPr>
        <w:pStyle w:val="82"/>
        <w:rPr>
          <w:color w:val="000000" w:themeColor="text1"/>
          <w:highlight w:val="none"/>
          <w14:textFill>
            <w14:solidFill>
              <w14:schemeClr w14:val="tx1"/>
            </w14:solidFill>
          </w14:textFill>
        </w:rPr>
      </w:pPr>
    </w:p>
    <w:p w14:paraId="6F889B89">
      <w:pPr>
        <w:pStyle w:val="82"/>
        <w:rPr>
          <w:color w:val="000000" w:themeColor="text1"/>
          <w:highlight w:val="none"/>
          <w14:textFill>
            <w14:solidFill>
              <w14:schemeClr w14:val="tx1"/>
            </w14:solidFill>
          </w14:textFill>
        </w:rPr>
      </w:pPr>
    </w:p>
    <w:p w14:paraId="38D6D047">
      <w:pPr>
        <w:pStyle w:val="82"/>
        <w:rPr>
          <w:color w:val="000000" w:themeColor="text1"/>
          <w:highlight w:val="none"/>
          <w14:textFill>
            <w14:solidFill>
              <w14:schemeClr w14:val="tx1"/>
            </w14:solidFill>
          </w14:textFill>
        </w:rPr>
      </w:pPr>
    </w:p>
    <w:p w14:paraId="2EDD24AE">
      <w:pPr>
        <w:pStyle w:val="82"/>
        <w:rPr>
          <w:color w:val="000000" w:themeColor="text1"/>
          <w:highlight w:val="none"/>
          <w14:textFill>
            <w14:solidFill>
              <w14:schemeClr w14:val="tx1"/>
            </w14:solidFill>
          </w14:textFill>
        </w:rPr>
      </w:pPr>
    </w:p>
    <w:p w14:paraId="23FE6F42">
      <w:pPr>
        <w:pStyle w:val="82"/>
        <w:rPr>
          <w:color w:val="000000" w:themeColor="text1"/>
          <w:highlight w:val="none"/>
          <w14:textFill>
            <w14:solidFill>
              <w14:schemeClr w14:val="tx1"/>
            </w14:solidFill>
          </w14:textFill>
        </w:rPr>
      </w:pPr>
    </w:p>
    <w:p w14:paraId="3D2FD740">
      <w:pPr>
        <w:pStyle w:val="82"/>
        <w:rPr>
          <w:color w:val="000000" w:themeColor="text1"/>
          <w:highlight w:val="none"/>
          <w14:textFill>
            <w14:solidFill>
              <w14:schemeClr w14:val="tx1"/>
            </w14:solidFill>
          </w14:textFill>
        </w:rPr>
      </w:pPr>
    </w:p>
    <w:p w14:paraId="28163BF3">
      <w:pPr>
        <w:pStyle w:val="82"/>
        <w:rPr>
          <w:color w:val="000000" w:themeColor="text1"/>
          <w:highlight w:val="none"/>
          <w14:textFill>
            <w14:solidFill>
              <w14:schemeClr w14:val="tx1"/>
            </w14:solidFill>
          </w14:textFill>
        </w:rPr>
      </w:pPr>
    </w:p>
    <w:p w14:paraId="7DA61C09">
      <w:pPr>
        <w:pStyle w:val="82"/>
        <w:rPr>
          <w:color w:val="000000" w:themeColor="text1"/>
          <w:highlight w:val="none"/>
          <w14:textFill>
            <w14:solidFill>
              <w14:schemeClr w14:val="tx1"/>
            </w14:solidFill>
          </w14:textFill>
        </w:rPr>
      </w:pPr>
    </w:p>
    <w:p w14:paraId="783169DE">
      <w:pPr>
        <w:pStyle w:val="82"/>
        <w:rPr>
          <w:color w:val="000000" w:themeColor="text1"/>
          <w:highlight w:val="none"/>
          <w14:textFill>
            <w14:solidFill>
              <w14:schemeClr w14:val="tx1"/>
            </w14:solidFill>
          </w14:textFill>
        </w:rPr>
      </w:pPr>
    </w:p>
    <w:p w14:paraId="6A6B2D0F">
      <w:pPr>
        <w:pStyle w:val="82"/>
        <w:rPr>
          <w:color w:val="000000" w:themeColor="text1"/>
          <w:highlight w:val="none"/>
          <w14:textFill>
            <w14:solidFill>
              <w14:schemeClr w14:val="tx1"/>
            </w14:solidFill>
          </w14:textFill>
        </w:rPr>
      </w:pPr>
    </w:p>
    <w:p w14:paraId="5B6218FD">
      <w:pPr>
        <w:rPr>
          <w:rFonts w:hint="eastAsia" w:ascii="宋体" w:hAnsi="宋体"/>
          <w:b/>
          <w:color w:val="000000" w:themeColor="text1"/>
          <w:sz w:val="24"/>
          <w:highlight w:val="none"/>
          <w14:textFill>
            <w14:solidFill>
              <w14:schemeClr w14:val="tx1"/>
            </w14:solidFill>
          </w14:textFill>
        </w:rPr>
      </w:pPr>
      <w:bookmarkStart w:id="414" w:name="_Toc22209"/>
      <w:r>
        <w:rPr>
          <w:rFonts w:hint="eastAsia" w:ascii="宋体" w:hAnsi="宋体"/>
          <w:b/>
          <w:color w:val="000000" w:themeColor="text1"/>
          <w:sz w:val="24"/>
          <w:highlight w:val="none"/>
          <w14:textFill>
            <w14:solidFill>
              <w14:schemeClr w14:val="tx1"/>
            </w14:solidFill>
          </w14:textFill>
        </w:rPr>
        <w:br w:type="page"/>
      </w:r>
    </w:p>
    <w:p w14:paraId="6381C543">
      <w:pPr>
        <w:spacing w:line="360" w:lineRule="auto"/>
        <w:jc w:val="center"/>
        <w:outlineLvl w:val="1"/>
        <w:rPr>
          <w:rFonts w:ascii="宋体" w:hAnsi="宋体" w:cs="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第一节 政府采购合同协议书</w:t>
      </w:r>
      <w:bookmarkEnd w:id="414"/>
    </w:p>
    <w:p w14:paraId="1C7EF69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年</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月</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（采购人）</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以</w:t>
      </w:r>
      <w:r>
        <w:rPr>
          <w:rFonts w:ascii="宋体" w:hAnsi="宋体"/>
          <w:color w:val="000000" w:themeColor="text1"/>
          <w:sz w:val="24"/>
          <w:highlight w:val="none"/>
          <w:u w:val="single"/>
          <w14:textFill>
            <w14:solidFill>
              <w14:schemeClr w14:val="tx1"/>
            </w14:solidFill>
          </w14:textFill>
        </w:rPr>
        <w:t xml:space="preserve">   （政府采购方式）  </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（项目名称）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项目进行了采购。经</w:t>
      </w:r>
      <w:r>
        <w:rPr>
          <w:rFonts w:ascii="宋体" w:hAnsi="宋体"/>
          <w:color w:val="000000" w:themeColor="text1"/>
          <w:sz w:val="24"/>
          <w:highlight w:val="none"/>
          <w:u w:val="single"/>
          <w14:textFill>
            <w14:solidFill>
              <w14:schemeClr w14:val="tx1"/>
            </w14:solidFill>
          </w14:textFill>
        </w:rPr>
        <w:t xml:space="preserve">   （相关评定主体名称）   </w:t>
      </w:r>
      <w:r>
        <w:rPr>
          <w:rFonts w:hint="eastAsia" w:ascii="宋体" w:hAnsi="宋体"/>
          <w:color w:val="000000" w:themeColor="text1"/>
          <w:sz w:val="24"/>
          <w:highlight w:val="none"/>
          <w14:textFill>
            <w14:solidFill>
              <w14:schemeClr w14:val="tx1"/>
            </w14:solidFill>
          </w14:textFill>
        </w:rPr>
        <w:t>评定，</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成交</w:t>
      </w:r>
      <w:r>
        <w:rPr>
          <w:rFonts w:ascii="宋体" w:hAnsi="宋体"/>
          <w:color w:val="000000" w:themeColor="text1"/>
          <w:sz w:val="24"/>
          <w:highlight w:val="none"/>
          <w:u w:val="single"/>
          <w14:textFill>
            <w14:solidFill>
              <w14:schemeClr w14:val="tx1"/>
            </w14:solidFill>
          </w14:textFill>
        </w:rPr>
        <w:t xml:space="preserve">供应商名称） </w:t>
      </w:r>
      <w:r>
        <w:rPr>
          <w:rFonts w:hint="eastAsia" w:ascii="宋体" w:hAnsi="宋体"/>
          <w:color w:val="000000" w:themeColor="text1"/>
          <w:sz w:val="24"/>
          <w:highlight w:val="none"/>
          <w14:textFill>
            <w14:solidFill>
              <w14:schemeClr w14:val="tx1"/>
            </w14:solidFill>
          </w14:textFill>
        </w:rPr>
        <w:t>为该项目</w:t>
      </w:r>
      <w:r>
        <w:rPr>
          <w:rFonts w:hint="eastAsia" w:ascii="宋体" w:hAnsi="宋体" w:cs="宋体"/>
          <w:color w:val="000000" w:themeColor="text1"/>
          <w:sz w:val="24"/>
          <w:highlight w:val="none"/>
          <w14:textFill>
            <w14:solidFill>
              <w14:schemeClr w14:val="tx1"/>
            </w14:solidFill>
          </w14:textFill>
        </w:rPr>
        <w:t>成交供应商</w:t>
      </w:r>
      <w:r>
        <w:rPr>
          <w:rFonts w:hint="eastAsia" w:ascii="宋体" w:hAnsi="宋体"/>
          <w:color w:val="000000" w:themeColor="text1"/>
          <w:sz w:val="24"/>
          <w:highlight w:val="none"/>
          <w14:textFill>
            <w14:solidFill>
              <w14:schemeClr w14:val="tx1"/>
            </w14:solidFill>
          </w14:textFill>
        </w:rPr>
        <w:t>。现于</w:t>
      </w:r>
      <w:r>
        <w:rPr>
          <w:rFonts w:hint="eastAsia" w:ascii="宋体" w:hAnsi="宋体" w:cs="宋体"/>
          <w:color w:val="000000" w:themeColor="text1"/>
          <w:sz w:val="24"/>
          <w:highlight w:val="none"/>
          <w14:textFill>
            <w14:solidFill>
              <w14:schemeClr w14:val="tx1"/>
            </w14:solidFill>
          </w14:textFill>
        </w:rPr>
        <w:t>成交通知书</w:t>
      </w:r>
      <w:r>
        <w:rPr>
          <w:rFonts w:hint="eastAsia" w:ascii="宋体" w:hAnsi="宋体"/>
          <w:color w:val="000000" w:themeColor="text1"/>
          <w:sz w:val="24"/>
          <w:highlight w:val="none"/>
          <w14:textFill>
            <w14:solidFill>
              <w14:schemeClr w14:val="tx1"/>
            </w14:solidFill>
          </w14:textFill>
        </w:rPr>
        <w:t>发出之日起</w:t>
      </w:r>
      <w:r>
        <w:rPr>
          <w:rFonts w:hint="eastAsia" w:ascii="宋体" w:hAnsi="宋体"/>
          <w:color w:val="000000" w:themeColor="text1"/>
          <w:sz w:val="24"/>
          <w:highlight w:val="none"/>
          <w:u w:val="singl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个工作日内，按照采购文件确定的事项签订本合同。</w:t>
      </w:r>
    </w:p>
    <w:p w14:paraId="538A8B4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highlight w:val="none"/>
          <w:u w:val="single"/>
          <w14:textFill>
            <w14:solidFill>
              <w14:schemeClr w14:val="tx1"/>
            </w14:solidFill>
          </w14:textFill>
        </w:rPr>
        <w:t xml:space="preserve">   （采购人）   </w:t>
      </w:r>
      <w:r>
        <w:rPr>
          <w:rFonts w:ascii="宋体" w:hAnsi="宋体"/>
          <w:color w:val="000000" w:themeColor="text1"/>
          <w:sz w:val="24"/>
          <w:highlight w:val="none"/>
          <w:lang w:val="zh-CN"/>
          <w14:textFill>
            <w14:solidFill>
              <w14:schemeClr w14:val="tx1"/>
            </w14:solidFill>
          </w14:textFill>
        </w:rPr>
        <w:t>(以下简称：甲方)和</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成交</w:t>
      </w:r>
      <w:r>
        <w:rPr>
          <w:rFonts w:ascii="宋体" w:hAnsi="宋体"/>
          <w:color w:val="000000" w:themeColor="text1"/>
          <w:sz w:val="24"/>
          <w:highlight w:val="none"/>
          <w:u w:val="single"/>
          <w14:textFill>
            <w14:solidFill>
              <w14:schemeClr w14:val="tx1"/>
            </w14:solidFill>
          </w14:textFill>
        </w:rPr>
        <w:t xml:space="preserve">标供应商名称）   </w:t>
      </w:r>
      <w:r>
        <w:rPr>
          <w:rFonts w:ascii="宋体" w:hAnsi="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olor w:val="000000" w:themeColor="text1"/>
          <w:sz w:val="24"/>
          <w:highlight w:val="none"/>
          <w14:textFill>
            <w14:solidFill>
              <w14:schemeClr w14:val="tx1"/>
            </w14:solidFill>
          </w14:textFill>
        </w:rPr>
        <w:t>条款，以兹共同遵守、全面履行。</w:t>
      </w:r>
    </w:p>
    <w:p w14:paraId="439F414C">
      <w:pPr>
        <w:spacing w:line="360" w:lineRule="auto"/>
        <w:ind w:firstLine="482" w:firstLineChars="200"/>
        <w:rPr>
          <w:rFonts w:ascii="宋体" w:hAnsi="宋体"/>
          <w:color w:val="000000" w:themeColor="text1"/>
          <w:sz w:val="24"/>
          <w:highlight w:val="none"/>
          <w14:textFill>
            <w14:solidFill>
              <w14:schemeClr w14:val="tx1"/>
            </w14:solidFill>
          </w14:textFill>
        </w:rPr>
      </w:pPr>
      <w:bookmarkStart w:id="415" w:name="_Toc28855"/>
      <w:bookmarkStart w:id="416" w:name="_Toc22967"/>
      <w:bookmarkStart w:id="417" w:name="_Toc15367"/>
      <w:bookmarkStart w:id="418" w:name="_Toc20421"/>
      <w:bookmarkStart w:id="419" w:name="_Toc19273"/>
      <w:r>
        <w:rPr>
          <w:rFonts w:ascii="宋体" w:hAnsi="宋体"/>
          <w:b/>
          <w:color w:val="000000" w:themeColor="text1"/>
          <w:sz w:val="24"/>
          <w:highlight w:val="none"/>
          <w14:textFill>
            <w14:solidFill>
              <w14:schemeClr w14:val="tx1"/>
            </w14:solidFill>
          </w14:textFill>
        </w:rPr>
        <w:t xml:space="preserve">1.1 </w:t>
      </w:r>
      <w:r>
        <w:rPr>
          <w:rFonts w:hint="eastAsia" w:ascii="宋体" w:hAnsi="宋体"/>
          <w:b/>
          <w:color w:val="000000" w:themeColor="text1"/>
          <w:sz w:val="24"/>
          <w:highlight w:val="none"/>
          <w14:textFill>
            <w14:solidFill>
              <w14:schemeClr w14:val="tx1"/>
            </w14:solidFill>
          </w14:textFill>
        </w:rPr>
        <w:t>合同组成部分</w:t>
      </w:r>
      <w:bookmarkEnd w:id="415"/>
      <w:bookmarkEnd w:id="416"/>
      <w:bookmarkEnd w:id="417"/>
      <w:bookmarkEnd w:id="418"/>
      <w:bookmarkEnd w:id="419"/>
    </w:p>
    <w:p w14:paraId="337C5C4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C54DF2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1.1.1 </w:t>
      </w:r>
      <w:r>
        <w:rPr>
          <w:rFonts w:hint="eastAsia" w:ascii="宋体" w:hAnsi="宋体"/>
          <w:color w:val="000000" w:themeColor="text1"/>
          <w:sz w:val="24"/>
          <w:highlight w:val="none"/>
          <w14:textFill>
            <w14:solidFill>
              <w14:schemeClr w14:val="tx1"/>
            </w14:solidFill>
          </w14:textFill>
        </w:rPr>
        <w:t>本合同及其补充合同、变更协议；</w:t>
      </w:r>
    </w:p>
    <w:p w14:paraId="110A0A2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1.1.2 </w:t>
      </w:r>
      <w:r>
        <w:rPr>
          <w:rFonts w:hint="eastAsia" w:ascii="宋体" w:hAnsi="宋体"/>
          <w:color w:val="000000" w:themeColor="text1"/>
          <w:sz w:val="24"/>
          <w:highlight w:val="none"/>
          <w14:textFill>
            <w14:solidFill>
              <w14:schemeClr w14:val="tx1"/>
            </w14:solidFill>
          </w14:textFill>
        </w:rPr>
        <w:t>中标或者成交通知书；</w:t>
      </w:r>
    </w:p>
    <w:p w14:paraId="78E52AE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1.1.3 </w:t>
      </w:r>
      <w:r>
        <w:rPr>
          <w:rFonts w:hint="eastAsia" w:ascii="宋体" w:hAnsi="宋体"/>
          <w:color w:val="000000" w:themeColor="text1"/>
          <w:sz w:val="24"/>
          <w:highlight w:val="none"/>
          <w14:textFill>
            <w14:solidFill>
              <w14:schemeClr w14:val="tx1"/>
            </w14:solidFill>
          </w14:textFill>
        </w:rPr>
        <w:t>投标或者响应文件（含澄清或者说明文件）；</w:t>
      </w:r>
    </w:p>
    <w:p w14:paraId="0C76F13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1.1.4 </w:t>
      </w:r>
      <w:r>
        <w:rPr>
          <w:rFonts w:hint="eastAsia" w:ascii="宋体" w:hAnsi="宋体"/>
          <w:color w:val="000000" w:themeColor="text1"/>
          <w:sz w:val="24"/>
          <w:highlight w:val="none"/>
          <w14:textFill>
            <w14:solidFill>
              <w14:schemeClr w14:val="tx1"/>
            </w14:solidFill>
          </w14:textFill>
        </w:rPr>
        <w:t>采购文件（含澄清或者修改文件）；</w:t>
      </w:r>
    </w:p>
    <w:p w14:paraId="780C277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1.1.5 </w:t>
      </w:r>
      <w:r>
        <w:rPr>
          <w:rFonts w:hint="eastAsia" w:ascii="宋体" w:hAnsi="宋体"/>
          <w:color w:val="000000" w:themeColor="text1"/>
          <w:sz w:val="24"/>
          <w:highlight w:val="none"/>
          <w14:textFill>
            <w14:solidFill>
              <w14:schemeClr w14:val="tx1"/>
            </w14:solidFill>
          </w14:textFill>
        </w:rPr>
        <w:t>其他相关采购文件。</w:t>
      </w:r>
    </w:p>
    <w:p w14:paraId="50C73684">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420" w:name="_Toc6311"/>
      <w:bookmarkStart w:id="421" w:name="_Toc22185"/>
      <w:bookmarkStart w:id="422" w:name="_Toc18585"/>
      <w:bookmarkStart w:id="423" w:name="_Toc2918"/>
      <w:bookmarkStart w:id="424" w:name="_Toc6773"/>
      <w:r>
        <w:rPr>
          <w:rFonts w:ascii="宋体" w:hAnsi="宋体"/>
          <w:b/>
          <w:color w:val="000000" w:themeColor="text1"/>
          <w:sz w:val="24"/>
          <w:highlight w:val="none"/>
          <w14:textFill>
            <w14:solidFill>
              <w14:schemeClr w14:val="tx1"/>
            </w14:solidFill>
          </w14:textFill>
        </w:rPr>
        <w:t xml:space="preserve">1.2 </w:t>
      </w:r>
      <w:r>
        <w:rPr>
          <w:rFonts w:hint="eastAsia" w:ascii="宋体" w:hAnsi="宋体"/>
          <w:b/>
          <w:color w:val="000000" w:themeColor="text1"/>
          <w:sz w:val="24"/>
          <w:highlight w:val="none"/>
          <w14:textFill>
            <w14:solidFill>
              <w14:schemeClr w14:val="tx1"/>
            </w14:solidFill>
          </w14:textFill>
        </w:rPr>
        <w:t>标的</w:t>
      </w:r>
      <w:bookmarkEnd w:id="420"/>
      <w:bookmarkEnd w:id="421"/>
      <w:bookmarkEnd w:id="422"/>
      <w:bookmarkEnd w:id="423"/>
      <w:bookmarkEnd w:id="424"/>
    </w:p>
    <w:p w14:paraId="33276377">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1.2.1 </w:t>
      </w:r>
      <w:r>
        <w:rPr>
          <w:rFonts w:hint="eastAsia" w:ascii="宋体" w:hAnsi="宋体"/>
          <w:color w:val="000000" w:themeColor="text1"/>
          <w:sz w:val="24"/>
          <w:highlight w:val="none"/>
          <w14:textFill>
            <w14:solidFill>
              <w14:schemeClr w14:val="tx1"/>
            </w14:solidFill>
          </w14:textFill>
        </w:rPr>
        <w:t>服务内容</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2866AC91">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1.2.2 </w:t>
      </w:r>
      <w:r>
        <w:rPr>
          <w:rFonts w:hint="eastAsia" w:ascii="宋体" w:hAnsi="宋体"/>
          <w:color w:val="000000" w:themeColor="text1"/>
          <w:sz w:val="24"/>
          <w:highlight w:val="none"/>
          <w14:textFill>
            <w14:solidFill>
              <w14:schemeClr w14:val="tx1"/>
            </w14:solidFill>
          </w14:textFill>
        </w:rPr>
        <w:t>服务标准</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73BF33A7">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1.2.3 </w:t>
      </w:r>
      <w:r>
        <w:rPr>
          <w:rFonts w:hint="eastAsia" w:ascii="宋体" w:hAnsi="宋体"/>
          <w:color w:val="000000" w:themeColor="text1"/>
          <w:sz w:val="24"/>
          <w:highlight w:val="none"/>
          <w14:textFill>
            <w14:solidFill>
              <w14:schemeClr w14:val="tx1"/>
            </w14:solidFill>
          </w14:textFill>
        </w:rPr>
        <w:t>技术保障：</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w:t>
      </w:r>
    </w:p>
    <w:p w14:paraId="0AD33F96">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1.2.4 服务人员组成：</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3BA7AB1A">
      <w:pPr>
        <w:pStyle w:val="957"/>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1.2.5合同</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否）涉及货物。若涉及货物的，则：</w:t>
      </w:r>
    </w:p>
    <w:p w14:paraId="17B6C1C7">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bookmarkStart w:id="425" w:name="_Toc21124"/>
      <w:bookmarkStart w:id="426" w:name="_Toc1386"/>
      <w:bookmarkStart w:id="427" w:name="_Toc5635"/>
      <w:bookmarkStart w:id="428" w:name="_Toc13918"/>
      <w:bookmarkStart w:id="429" w:name="_Toc4929"/>
      <w:r>
        <w:rPr>
          <w:rFonts w:hint="eastAsia" w:ascii="宋体" w:hAnsi="宋体" w:cs="宋体"/>
          <w:color w:val="000000" w:themeColor="text1"/>
          <w:sz w:val="24"/>
          <w:highlight w:val="none"/>
          <w14:textFill>
            <w14:solidFill>
              <w14:schemeClr w14:val="tx1"/>
            </w14:solidFill>
          </w14:textFill>
        </w:rPr>
        <w:t>1.2.5.1 货物名称、品牌、规格型号、花色：</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8E33FFE">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1.2.5.2 货物数量：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4183C579">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1.2.5.3 货物质量：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9BCC6F2">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1.3 价款</w:t>
      </w:r>
      <w:bookmarkEnd w:id="425"/>
      <w:bookmarkEnd w:id="426"/>
      <w:bookmarkEnd w:id="427"/>
      <w:bookmarkEnd w:id="428"/>
      <w:bookmarkEnd w:id="429"/>
    </w:p>
    <w:p w14:paraId="3DF92D7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本项目采用以下第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条款规定的计价方式计价。</w:t>
      </w:r>
    </w:p>
    <w:p w14:paraId="59EEC95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1.3.1总价合同，</w:t>
      </w:r>
      <w:r>
        <w:rPr>
          <w:rFonts w:ascii="宋体" w:hAnsi="宋体"/>
          <w:color w:val="000000" w:themeColor="text1"/>
          <w:sz w:val="24"/>
          <w:highlight w:val="none"/>
          <w14:textFill>
            <w14:solidFill>
              <w14:schemeClr w14:val="tx1"/>
            </w14:solidFill>
          </w14:textFill>
        </w:rPr>
        <w:t>本合同总价</w:t>
      </w:r>
      <w:r>
        <w:rPr>
          <w:rFonts w:hint="eastAsia" w:ascii="宋体" w:hAnsi="宋体"/>
          <w:color w:val="000000" w:themeColor="text1"/>
          <w:sz w:val="24"/>
          <w:highlight w:val="none"/>
          <w14:textFill>
            <w14:solidFill>
              <w14:schemeClr w14:val="tx1"/>
            </w14:solidFill>
          </w14:textFill>
        </w:rPr>
        <w:t>（含税）</w:t>
      </w:r>
      <w:r>
        <w:rPr>
          <w:rFonts w:ascii="宋体" w:hAnsi="宋体"/>
          <w:color w:val="000000" w:themeColor="text1"/>
          <w:sz w:val="24"/>
          <w:highlight w:val="none"/>
          <w14:textFill>
            <w14:solidFill>
              <w14:schemeClr w14:val="tx1"/>
            </w14:solidFill>
          </w14:textFill>
        </w:rPr>
        <w:t>为</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元人民币）</w:t>
      </w:r>
      <w:r>
        <w:rPr>
          <w:rFonts w:ascii="宋体" w:hAnsi="宋体"/>
          <w:color w:val="000000" w:themeColor="text1"/>
          <w:sz w:val="24"/>
          <w:highlight w:val="none"/>
          <w14:textFill>
            <w14:solidFill>
              <w14:schemeClr w14:val="tx1"/>
            </w14:solidFill>
          </w14:textFill>
        </w:rPr>
        <w:t>。</w:t>
      </w:r>
    </w:p>
    <w:p w14:paraId="25AA7C46">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0BB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BE62D77">
            <w:pPr>
              <w:pStyle w:val="317"/>
              <w:spacing w:line="360" w:lineRule="auto"/>
              <w:jc w:val="center"/>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序号</w:t>
            </w:r>
          </w:p>
        </w:tc>
        <w:tc>
          <w:tcPr>
            <w:tcW w:w="3402" w:type="dxa"/>
            <w:vAlign w:val="center"/>
          </w:tcPr>
          <w:p w14:paraId="65AA9E9A">
            <w:pPr>
              <w:pStyle w:val="317"/>
              <w:spacing w:line="360" w:lineRule="auto"/>
              <w:ind w:firstLine="200"/>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分项名称</w:t>
            </w:r>
          </w:p>
        </w:tc>
        <w:tc>
          <w:tcPr>
            <w:tcW w:w="2552" w:type="dxa"/>
            <w:vAlign w:val="center"/>
          </w:tcPr>
          <w:p w14:paraId="28ED2D89">
            <w:pPr>
              <w:pStyle w:val="317"/>
              <w:spacing w:line="360" w:lineRule="auto"/>
              <w:jc w:val="center"/>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分项价格</w:t>
            </w:r>
          </w:p>
        </w:tc>
      </w:tr>
      <w:tr w14:paraId="3756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4D2BC3A">
            <w:pPr>
              <w:pStyle w:val="317"/>
              <w:spacing w:line="360" w:lineRule="auto"/>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3234857B">
            <w:pPr>
              <w:pStyle w:val="317"/>
              <w:spacing w:line="360" w:lineRule="auto"/>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5FBBAA54">
            <w:pPr>
              <w:pStyle w:val="317"/>
              <w:spacing w:line="360" w:lineRule="auto"/>
              <w:ind w:firstLine="200"/>
              <w:jc w:val="center"/>
              <w:rPr>
                <w:rFonts w:hAnsi="宋体"/>
                <w:color w:val="000000" w:themeColor="text1"/>
                <w:sz w:val="24"/>
                <w:szCs w:val="24"/>
                <w:highlight w:val="none"/>
                <w14:textFill>
                  <w14:solidFill>
                    <w14:schemeClr w14:val="tx1"/>
                  </w14:solidFill>
                </w14:textFill>
              </w:rPr>
            </w:pPr>
          </w:p>
        </w:tc>
      </w:tr>
      <w:tr w14:paraId="1C7B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571E3E">
            <w:pPr>
              <w:pStyle w:val="317"/>
              <w:spacing w:line="360" w:lineRule="auto"/>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366FB09A">
            <w:pPr>
              <w:pStyle w:val="317"/>
              <w:spacing w:line="360" w:lineRule="auto"/>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07C912DE">
            <w:pPr>
              <w:pStyle w:val="317"/>
              <w:spacing w:line="360" w:lineRule="auto"/>
              <w:ind w:firstLine="200"/>
              <w:jc w:val="center"/>
              <w:rPr>
                <w:rFonts w:hAnsi="宋体"/>
                <w:color w:val="000000" w:themeColor="text1"/>
                <w:sz w:val="24"/>
                <w:szCs w:val="24"/>
                <w:highlight w:val="none"/>
                <w14:textFill>
                  <w14:solidFill>
                    <w14:schemeClr w14:val="tx1"/>
                  </w14:solidFill>
                </w14:textFill>
              </w:rPr>
            </w:pPr>
          </w:p>
        </w:tc>
      </w:tr>
      <w:tr w14:paraId="7D47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99F7020">
            <w:pPr>
              <w:pStyle w:val="317"/>
              <w:spacing w:line="360" w:lineRule="auto"/>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69071F55">
            <w:pPr>
              <w:pStyle w:val="317"/>
              <w:spacing w:line="360" w:lineRule="auto"/>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0FE86CB9">
            <w:pPr>
              <w:pStyle w:val="317"/>
              <w:spacing w:line="360" w:lineRule="auto"/>
              <w:ind w:firstLine="200"/>
              <w:jc w:val="center"/>
              <w:rPr>
                <w:rFonts w:hAnsi="宋体"/>
                <w:color w:val="000000" w:themeColor="text1"/>
                <w:sz w:val="24"/>
                <w:szCs w:val="24"/>
                <w:highlight w:val="none"/>
                <w14:textFill>
                  <w14:solidFill>
                    <w14:schemeClr w14:val="tx1"/>
                  </w14:solidFill>
                </w14:textFill>
              </w:rPr>
            </w:pPr>
          </w:p>
        </w:tc>
      </w:tr>
      <w:tr w14:paraId="7A12C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5C7CF55">
            <w:pPr>
              <w:pStyle w:val="317"/>
              <w:spacing w:line="360" w:lineRule="auto"/>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367DA3AB">
            <w:pPr>
              <w:pStyle w:val="317"/>
              <w:spacing w:line="360" w:lineRule="auto"/>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17D758E9">
            <w:pPr>
              <w:pStyle w:val="317"/>
              <w:spacing w:line="360" w:lineRule="auto"/>
              <w:ind w:firstLine="200"/>
              <w:jc w:val="center"/>
              <w:rPr>
                <w:rFonts w:hAnsi="宋体"/>
                <w:color w:val="000000" w:themeColor="text1"/>
                <w:sz w:val="24"/>
                <w:szCs w:val="24"/>
                <w:highlight w:val="none"/>
                <w14:textFill>
                  <w14:solidFill>
                    <w14:schemeClr w14:val="tx1"/>
                  </w14:solidFill>
                </w14:textFill>
              </w:rPr>
            </w:pPr>
          </w:p>
        </w:tc>
      </w:tr>
      <w:tr w14:paraId="4DB0A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44EB6CA">
            <w:pPr>
              <w:pStyle w:val="317"/>
              <w:spacing w:line="360" w:lineRule="auto"/>
              <w:ind w:firstLine="200"/>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总价</w:t>
            </w:r>
          </w:p>
        </w:tc>
        <w:tc>
          <w:tcPr>
            <w:tcW w:w="2552" w:type="dxa"/>
            <w:vAlign w:val="center"/>
          </w:tcPr>
          <w:p w14:paraId="46CFD032">
            <w:pPr>
              <w:pStyle w:val="317"/>
              <w:spacing w:line="360" w:lineRule="auto"/>
              <w:ind w:firstLine="200"/>
              <w:jc w:val="center"/>
              <w:rPr>
                <w:rFonts w:hAnsi="宋体"/>
                <w:color w:val="000000" w:themeColor="text1"/>
                <w:sz w:val="24"/>
                <w:szCs w:val="24"/>
                <w:highlight w:val="none"/>
                <w14:textFill>
                  <w14:solidFill>
                    <w14:schemeClr w14:val="tx1"/>
                  </w14:solidFill>
                </w14:textFill>
              </w:rPr>
            </w:pPr>
          </w:p>
        </w:tc>
      </w:tr>
    </w:tbl>
    <w:p w14:paraId="7B2FC7D2">
      <w:pPr>
        <w:spacing w:line="360" w:lineRule="auto"/>
        <w:ind w:firstLine="480" w:firstLineChars="200"/>
        <w:rPr>
          <w:rFonts w:ascii="宋体" w:hAnsi="宋体"/>
          <w:color w:val="000000" w:themeColor="text1"/>
          <w:sz w:val="24"/>
          <w:highlight w:val="none"/>
          <w14:textFill>
            <w14:solidFill>
              <w14:schemeClr w14:val="tx1"/>
            </w14:solidFill>
          </w14:textFill>
        </w:rPr>
      </w:pPr>
      <w:bookmarkStart w:id="430" w:name="_Toc3654"/>
      <w:bookmarkStart w:id="431" w:name="_Toc30506"/>
      <w:bookmarkStart w:id="432" w:name="_Toc14993"/>
      <w:bookmarkStart w:id="433" w:name="_Toc30158"/>
      <w:bookmarkStart w:id="434" w:name="_Toc26916"/>
      <w:r>
        <w:rPr>
          <w:rFonts w:hint="eastAsia" w:ascii="宋体" w:hAnsi="宋体"/>
          <w:bCs/>
          <w:color w:val="000000" w:themeColor="text1"/>
          <w:sz w:val="24"/>
          <w:highlight w:val="none"/>
          <w14:textFill>
            <w14:solidFill>
              <w14:schemeClr w14:val="tx1"/>
            </w14:solidFill>
          </w14:textFill>
        </w:rPr>
        <w:t>1.3.2单价合同，本合同单价（含税）标准为：</w:t>
      </w:r>
      <w:r>
        <w:rPr>
          <w:rFonts w:hint="eastAsia" w:ascii="宋体" w:hAnsi="宋体"/>
          <w:bCs/>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服务工作量的计量方式为：</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cs="宋体"/>
          <w:b/>
          <w:color w:val="000000" w:themeColor="text1"/>
          <w:sz w:val="24"/>
          <w:highlight w:val="none"/>
          <w:u w:val="single"/>
          <w14:textFill>
            <w14:solidFill>
              <w14:schemeClr w14:val="tx1"/>
            </w14:solidFill>
          </w14:textFill>
        </w:rPr>
        <w:t>合同专用条款</w:t>
      </w:r>
      <w:r>
        <w:rPr>
          <w:rFonts w:hint="eastAsia" w:ascii="宋体" w:hAnsi="宋体"/>
          <w:bCs/>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单价合同，在合同履行期间内，根据实际完成的工作量据实结算，但结算总价上限不得超过预算金额或者双方确定的金额￥</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元人民币）。</w:t>
      </w:r>
    </w:p>
    <w:p w14:paraId="2B5E05DA">
      <w:pPr>
        <w:pStyle w:val="8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1.3.3其他计价方式：                   。</w:t>
      </w:r>
    </w:p>
    <w:bookmarkEnd w:id="430"/>
    <w:bookmarkEnd w:id="431"/>
    <w:bookmarkEnd w:id="432"/>
    <w:bookmarkEnd w:id="433"/>
    <w:bookmarkEnd w:id="434"/>
    <w:p w14:paraId="0D07E69A">
      <w:pPr>
        <w:pStyle w:val="957"/>
        <w:spacing w:before="0" w:beforeAutospacing="0" w:after="0" w:afterAutospacing="0" w:line="360" w:lineRule="auto"/>
        <w:ind w:firstLine="480"/>
        <w:rPr>
          <w:b/>
          <w:color w:val="000000" w:themeColor="text1"/>
          <w:highlight w:val="none"/>
          <w14:textFill>
            <w14:solidFill>
              <w14:schemeClr w14:val="tx1"/>
            </w14:solidFill>
          </w14:textFill>
        </w:rPr>
      </w:pPr>
      <w:bookmarkStart w:id="435" w:name="_Toc22618"/>
      <w:bookmarkStart w:id="436" w:name="_Toc10340"/>
      <w:bookmarkStart w:id="437" w:name="_Toc1814"/>
      <w:bookmarkStart w:id="438" w:name="_Toc11108"/>
      <w:bookmarkStart w:id="439" w:name="_Toc31421"/>
      <w:bookmarkStart w:id="440" w:name="_Toc4760"/>
      <w:bookmarkStart w:id="441" w:name="_Toc8772"/>
      <w:bookmarkStart w:id="442" w:name="_Toc3625"/>
      <w:r>
        <w:rPr>
          <w:rFonts w:hint="eastAsia"/>
          <w:b/>
          <w:color w:val="000000" w:themeColor="text1"/>
          <w:highlight w:val="none"/>
          <w14:textFill>
            <w14:solidFill>
              <w14:schemeClr w14:val="tx1"/>
            </w14:solidFill>
          </w14:textFill>
        </w:rPr>
        <w:t>1.4履约保证金</w:t>
      </w:r>
    </w:p>
    <w:p w14:paraId="049B08ED">
      <w:pPr>
        <w:pStyle w:val="957"/>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否）需要支付履约保证金。若需要支付履约保证金的，则：</w:t>
      </w:r>
    </w:p>
    <w:p w14:paraId="786BA581">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27C79CDA">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1.4.2履约保证金支付方式详见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2883EF47">
      <w:pPr>
        <w:pStyle w:val="8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E70DCD3">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1.4.4甲方在项目验收结束后及时退还履约保证金。甲方在项目通过验收之日起</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highlight w:val="none"/>
          <w:u w:val="single"/>
          <w14:textFill>
            <w14:solidFill>
              <w14:schemeClr w14:val="tx1"/>
            </w14:solidFill>
          </w14:textFill>
        </w:rPr>
        <w:t xml:space="preserve">  0.05（可根据情况修改）  </w:t>
      </w:r>
      <w:r>
        <w:rPr>
          <w:rFonts w:hint="eastAsia" w:ascii="宋体" w:hAnsi="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cs="宋体"/>
          <w:color w:val="000000" w:themeColor="text1"/>
          <w:kern w:val="0"/>
          <w:sz w:val="24"/>
          <w:highlight w:val="none"/>
          <w:u w:val="single"/>
          <w14:textFill>
            <w14:solidFill>
              <w14:schemeClr w14:val="tx1"/>
            </w14:solidFill>
          </w14:textFill>
        </w:rPr>
        <w:t xml:space="preserve">  20  </w:t>
      </w:r>
      <w:r>
        <w:rPr>
          <w:rFonts w:hint="eastAsia" w:ascii="宋体" w:hAnsi="宋体" w:cs="宋体"/>
          <w:color w:val="000000" w:themeColor="text1"/>
          <w:kern w:val="0"/>
          <w:sz w:val="24"/>
          <w:highlight w:val="none"/>
          <w14:textFill>
            <w14:solidFill>
              <w14:schemeClr w14:val="tx1"/>
            </w14:solidFill>
          </w14:textFill>
        </w:rPr>
        <w:t xml:space="preserve"> %。</w:t>
      </w:r>
    </w:p>
    <w:p w14:paraId="19FEACEF">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w:t>
      </w:r>
      <w:bookmarkEnd w:id="435"/>
      <w:bookmarkEnd w:id="436"/>
      <w:bookmarkEnd w:id="437"/>
      <w:r>
        <w:rPr>
          <w:rFonts w:hint="eastAsia" w:ascii="宋体" w:hAnsi="宋体" w:cs="宋体"/>
          <w:b/>
          <w:color w:val="000000" w:themeColor="text1"/>
          <w:sz w:val="24"/>
          <w:highlight w:val="none"/>
          <w14:textFill>
            <w14:solidFill>
              <w14:schemeClr w14:val="tx1"/>
            </w14:solidFill>
          </w14:textFill>
        </w:rPr>
        <w:t>预付款</w:t>
      </w:r>
    </w:p>
    <w:p w14:paraId="52135CDB">
      <w:pPr>
        <w:pStyle w:val="957"/>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否）需要支付预付款。若需要支付预付款的，则：</w:t>
      </w:r>
    </w:p>
    <w:p w14:paraId="2094A732">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7484B668">
      <w:pPr>
        <w:pStyle w:val="957"/>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1.5.2预付款的扣回方式详见</w:t>
      </w:r>
      <w:r>
        <w:rPr>
          <w:rFonts w:hint="eastAsia"/>
          <w:color w:val="000000" w:themeColor="text1"/>
          <w:highlight w:val="none"/>
          <w:u w:val="single"/>
          <w14:textFill>
            <w14:solidFill>
              <w14:schemeClr w14:val="tx1"/>
            </w14:solidFill>
          </w14:textFill>
        </w:rPr>
        <w:t xml:space="preserve">    </w:t>
      </w:r>
      <w:r>
        <w:rPr>
          <w:rFonts w:hint="eastAsia"/>
          <w:b/>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69A629E4">
      <w:pPr>
        <w:pStyle w:val="957"/>
        <w:spacing w:before="0" w:beforeAutospacing="0" w:after="0" w:afterAutospacing="0" w:line="360" w:lineRule="auto"/>
        <w:ind w:firstLine="48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1.5.3预付款的担保措施详见</w:t>
      </w:r>
      <w:r>
        <w:rPr>
          <w:rFonts w:hint="eastAsia"/>
          <w:color w:val="000000" w:themeColor="text1"/>
          <w:highlight w:val="none"/>
          <w:u w:val="single"/>
          <w14:textFill>
            <w14:solidFill>
              <w14:schemeClr w14:val="tx1"/>
            </w14:solidFill>
          </w14:textFill>
        </w:rPr>
        <w:t xml:space="preserve">    </w:t>
      </w:r>
      <w:r>
        <w:rPr>
          <w:rFonts w:hint="eastAsia"/>
          <w:b/>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3FADC6EB">
      <w:pPr>
        <w:pStyle w:val="957"/>
        <w:spacing w:before="0" w:beforeAutospacing="0" w:after="0" w:afterAutospacing="0" w:line="360" w:lineRule="auto"/>
        <w:ind w:firstLine="48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1.6资金支付</w:t>
      </w:r>
    </w:p>
    <w:p w14:paraId="1D87C5D1">
      <w:pPr>
        <w:pStyle w:val="957"/>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653B03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1478D3E8">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7</w:t>
      </w:r>
      <w:r>
        <w:rPr>
          <w:rFonts w:ascii="宋体" w:hAnsi="宋体"/>
          <w:b/>
          <w:color w:val="000000" w:themeColor="text1"/>
          <w:sz w:val="24"/>
          <w:highlight w:val="none"/>
          <w14:textFill>
            <w14:solidFill>
              <w14:schemeClr w14:val="tx1"/>
            </w14:solidFill>
          </w14:textFill>
        </w:rPr>
        <w:t xml:space="preserve"> 履行期限</w:t>
      </w:r>
      <w:r>
        <w:rPr>
          <w:rFonts w:hint="eastAsia" w:ascii="宋体" w:hAnsi="宋体"/>
          <w:b/>
          <w:color w:val="000000" w:themeColor="text1"/>
          <w:sz w:val="24"/>
          <w:highlight w:val="none"/>
          <w14:textFill>
            <w14:solidFill>
              <w14:schemeClr w14:val="tx1"/>
            </w14:solidFill>
          </w14:textFill>
        </w:rPr>
        <w:t>、地点和方式</w:t>
      </w:r>
      <w:bookmarkEnd w:id="438"/>
      <w:bookmarkEnd w:id="439"/>
      <w:bookmarkEnd w:id="440"/>
      <w:bookmarkEnd w:id="441"/>
      <w:bookmarkEnd w:id="442"/>
    </w:p>
    <w:p w14:paraId="57B441CF">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.1 </w:t>
      </w:r>
      <w:r>
        <w:rPr>
          <w:rFonts w:hint="eastAsia" w:ascii="宋体" w:hAnsi="宋体"/>
          <w:color w:val="000000" w:themeColor="text1"/>
          <w:sz w:val="24"/>
          <w:highlight w:val="none"/>
          <w14:textFill>
            <w14:solidFill>
              <w14:schemeClr w14:val="tx1"/>
            </w14:solidFill>
          </w14:textFill>
        </w:rPr>
        <w:t>服务交付（实施）的时间（期限）</w:t>
      </w:r>
      <w:r>
        <w:rPr>
          <w:rFonts w:ascii="宋体" w:hAnsi="宋体"/>
          <w:color w:val="000000" w:themeColor="text1"/>
          <w:sz w:val="24"/>
          <w:highlight w:val="none"/>
          <w14:textFill>
            <w14:solidFill>
              <w14:schemeClr w14:val="tx1"/>
            </w14:solidFill>
          </w14:textFill>
        </w:rPr>
        <w:t>：</w:t>
      </w:r>
      <w:r>
        <w:rPr>
          <w:rFonts w:hint="eastAsia" w:ascii="宋体" w:hAnsi="宋体"/>
          <w:b/>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26AB289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.2 </w:t>
      </w:r>
      <w:r>
        <w:rPr>
          <w:rFonts w:hint="eastAsia" w:ascii="宋体" w:hAnsi="宋体"/>
          <w:color w:val="000000" w:themeColor="text1"/>
          <w:sz w:val="24"/>
          <w:highlight w:val="none"/>
          <w14:textFill>
            <w14:solidFill>
              <w14:schemeClr w14:val="tx1"/>
            </w14:solidFill>
          </w14:textFill>
        </w:rPr>
        <w:t>服</w:t>
      </w:r>
      <w:r>
        <w:rPr>
          <w:rFonts w:hint="eastAsia" w:ascii="宋体" w:hAnsi="宋体" w:cs="宋体"/>
          <w:color w:val="000000" w:themeColor="text1"/>
          <w:sz w:val="24"/>
          <w:highlight w:val="none"/>
          <w14:textFill>
            <w14:solidFill>
              <w14:schemeClr w14:val="tx1"/>
            </w14:solidFill>
          </w14:textFill>
        </w:rPr>
        <w:t>务交付（实施）的地点（地域范围）：</w:t>
      </w:r>
      <w:r>
        <w:rPr>
          <w:rFonts w:hint="eastAsia" w:ascii="宋体" w:hAnsi="宋体"/>
          <w:b/>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28FBBA3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.3 </w:t>
      </w:r>
      <w:r>
        <w:rPr>
          <w:rFonts w:hint="eastAsia" w:ascii="宋体" w:hAnsi="宋体"/>
          <w:color w:val="000000" w:themeColor="text1"/>
          <w:sz w:val="24"/>
          <w:highlight w:val="none"/>
          <w14:textFill>
            <w14:solidFill>
              <w14:schemeClr w14:val="tx1"/>
            </w14:solidFill>
          </w14:textFill>
        </w:rPr>
        <w:t>服务交付（实施）的方式：</w:t>
      </w:r>
      <w:r>
        <w:rPr>
          <w:rFonts w:hint="eastAsia" w:ascii="宋体" w:hAnsi="宋体"/>
          <w:b/>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5E8D57C4">
      <w:pPr>
        <w:spacing w:line="360" w:lineRule="auto"/>
        <w:ind w:firstLine="480" w:firstLineChars="200"/>
        <w:rPr>
          <w:rFonts w:ascii="宋体" w:hAnsi="宋体"/>
          <w:bCs/>
          <w:color w:val="000000" w:themeColor="text1"/>
          <w:sz w:val="24"/>
          <w:highlight w:val="none"/>
          <w14:textFill>
            <w14:solidFill>
              <w14:schemeClr w14:val="tx1"/>
            </w14:solidFill>
          </w14:textFill>
        </w:rPr>
      </w:pPr>
      <w:bookmarkStart w:id="443" w:name="_Toc3079"/>
      <w:bookmarkStart w:id="444" w:name="_Toc5698"/>
      <w:bookmarkStart w:id="445" w:name="_Toc2375"/>
      <w:bookmarkStart w:id="446" w:name="_Toc24662"/>
      <w:bookmarkStart w:id="447" w:name="_Toc8586"/>
      <w:r>
        <w:rPr>
          <w:rFonts w:hint="eastAsia" w:ascii="宋体" w:hAnsi="宋体"/>
          <w:bCs/>
          <w:color w:val="000000" w:themeColor="text1"/>
          <w:sz w:val="24"/>
          <w:highlight w:val="none"/>
          <w14:textFill>
            <w14:solidFill>
              <w14:schemeClr w14:val="tx1"/>
            </w14:solidFill>
          </w14:textFill>
        </w:rPr>
        <w:t>1.7.4若服务</w:t>
      </w:r>
      <w:r>
        <w:rPr>
          <w:rFonts w:hint="eastAsia"/>
          <w:bCs/>
          <w:color w:val="000000" w:themeColor="text1"/>
          <w:sz w:val="24"/>
          <w:highlight w:val="none"/>
          <w14:textFill>
            <w14:solidFill>
              <w14:schemeClr w14:val="tx1"/>
            </w14:solidFill>
          </w14:textFill>
        </w:rPr>
        <w:t>涉及货物的，则货物的：</w:t>
      </w:r>
    </w:p>
    <w:p w14:paraId="5253C1C9">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 交付期限：详见</w:t>
      </w:r>
      <w:r>
        <w:rPr>
          <w:rFonts w:hint="eastAsia" w:ascii="宋体" w:hAnsi="宋体" w:cs="宋体"/>
          <w:b/>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1C4F2AB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 交付地点：</w:t>
      </w:r>
      <w:r>
        <w:rPr>
          <w:rFonts w:hint="eastAsia" w:ascii="宋体" w:hAnsi="宋体" w:cs="宋体"/>
          <w:b/>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7D847F4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 交付方式：</w:t>
      </w:r>
      <w:r>
        <w:rPr>
          <w:rFonts w:hint="eastAsia" w:ascii="宋体" w:hAnsi="宋体" w:cs="宋体"/>
          <w:b/>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24F1D2E0">
      <w:pPr>
        <w:spacing w:line="360" w:lineRule="auto"/>
        <w:ind w:firstLine="482" w:firstLineChars="200"/>
        <w:rPr>
          <w:rFonts w:ascii="宋体" w:hAnsi="宋体"/>
          <w:color w:val="000000" w:themeColor="text1"/>
          <w:sz w:val="24"/>
          <w:highlight w:val="none"/>
          <w:u w:val="singl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8违约责任</w:t>
      </w:r>
      <w:bookmarkEnd w:id="443"/>
      <w:bookmarkEnd w:id="444"/>
      <w:bookmarkEnd w:id="445"/>
      <w:bookmarkEnd w:id="446"/>
      <w:bookmarkEnd w:id="447"/>
    </w:p>
    <w:p w14:paraId="578105D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.1 除不可抗力外，如果乙方没有按照本合同约定的期限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地点和方式</w:t>
      </w:r>
      <w:r>
        <w:rPr>
          <w:rFonts w:hint="eastAsia" w:ascii="宋体" w:hAnsi="宋体"/>
          <w:color w:val="000000" w:themeColor="text1"/>
          <w:sz w:val="24"/>
          <w:highlight w:val="none"/>
          <w14:textFill>
            <w14:solidFill>
              <w14:schemeClr w14:val="tx1"/>
            </w14:solidFill>
          </w14:textFill>
        </w:rPr>
        <w:t>交付服务成果或者实施服务</w:t>
      </w:r>
      <w:r>
        <w:rPr>
          <w:rFonts w:ascii="宋体" w:hAnsi="宋体"/>
          <w:color w:val="000000" w:themeColor="text1"/>
          <w:sz w:val="24"/>
          <w:highlight w:val="none"/>
          <w14:textFill>
            <w14:solidFill>
              <w14:schemeClr w14:val="tx1"/>
            </w14:solidFill>
          </w14:textFill>
        </w:rPr>
        <w:t>，那么甲方可要求乙方支付违约金</w:t>
      </w:r>
      <w:r>
        <w:rPr>
          <w:rFonts w:hint="eastAsia" w:ascii="宋体" w:hAnsi="宋体"/>
          <w:color w:val="000000" w:themeColor="text1"/>
          <w:sz w:val="24"/>
          <w:highlight w:val="none"/>
          <w14:textFill>
            <w14:solidFill>
              <w14:schemeClr w14:val="tx1"/>
            </w14:solidFill>
          </w14:textFill>
        </w:rPr>
        <w:t>，迟延履行</w:t>
      </w:r>
      <w:r>
        <w:rPr>
          <w:rFonts w:ascii="宋体" w:hAnsi="宋体"/>
          <w:color w:val="000000" w:themeColor="text1"/>
          <w:sz w:val="24"/>
          <w:highlight w:val="none"/>
          <w14:textFill>
            <w14:solidFill>
              <w14:schemeClr w14:val="tx1"/>
            </w14:solidFill>
          </w14:textFill>
        </w:rPr>
        <w:t>违约金按每迟延</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一日的应提供而未</w:t>
      </w:r>
      <w:r>
        <w:rPr>
          <w:rFonts w:hint="eastAsia" w:ascii="宋体" w:hAnsi="宋体"/>
          <w:color w:val="000000" w:themeColor="text1"/>
          <w:sz w:val="24"/>
          <w:highlight w:val="none"/>
          <w14:textFill>
            <w14:solidFill>
              <w14:schemeClr w14:val="tx1"/>
            </w14:solidFill>
          </w14:textFill>
        </w:rPr>
        <w:t>提供</w:t>
      </w:r>
      <w:r>
        <w:rPr>
          <w:rFonts w:ascii="宋体" w:hAnsi="宋体"/>
          <w:color w:val="000000" w:themeColor="text1"/>
          <w:sz w:val="24"/>
          <w:highlight w:val="none"/>
          <w14:textFill>
            <w14:solidFill>
              <w14:schemeClr w14:val="tx1"/>
            </w14:solidFill>
          </w14:textFill>
        </w:rPr>
        <w:t>服务价格的</w:t>
      </w:r>
      <w:r>
        <w:rPr>
          <w:rFonts w:hint="eastAsia" w:ascii="宋体" w:hAnsi="宋体"/>
          <w:color w:val="000000" w:themeColor="text1"/>
          <w:sz w:val="24"/>
          <w:highlight w:val="none"/>
          <w:u w:val="single"/>
          <w14:textFill>
            <w14:solidFill>
              <w14:schemeClr w14:val="tx1"/>
            </w14:solidFill>
          </w14:textFill>
        </w:rPr>
        <w:t>0.05</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%计算</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最高限额为</w:t>
      </w:r>
      <w:r>
        <w:rPr>
          <w:rFonts w:hint="eastAsia" w:ascii="宋体" w:hAnsi="宋体"/>
          <w:color w:val="000000" w:themeColor="text1"/>
          <w:sz w:val="24"/>
          <w:highlight w:val="none"/>
          <w14:textFill>
            <w14:solidFill>
              <w14:schemeClr w14:val="tx1"/>
            </w14:solidFill>
          </w14:textFill>
        </w:rPr>
        <w:t>本</w:t>
      </w:r>
      <w:r>
        <w:rPr>
          <w:rFonts w:ascii="宋体" w:hAnsi="宋体"/>
          <w:color w:val="000000" w:themeColor="text1"/>
          <w:sz w:val="24"/>
          <w:highlight w:val="none"/>
          <w14:textFill>
            <w14:solidFill>
              <w14:schemeClr w14:val="tx1"/>
            </w14:solidFill>
          </w14:textFill>
        </w:rPr>
        <w:t>合同总价的</w:t>
      </w:r>
      <w:r>
        <w:rPr>
          <w:rFonts w:ascii="宋体" w:hAnsi="宋体"/>
          <w:color w:val="000000" w:themeColor="text1"/>
          <w:sz w:val="24"/>
          <w:highlight w:val="none"/>
          <w:u w:val="single"/>
          <w14:textFill>
            <w14:solidFill>
              <w14:schemeClr w14:val="tx1"/>
            </w14:solidFill>
          </w14:textFill>
        </w:rPr>
        <w:t xml:space="preserve">  20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迟延</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的违约金计算数额达到前述最高限额之日起</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甲方有权在要求乙方支付违约金的同时</w:t>
      </w:r>
      <w:r>
        <w:rPr>
          <w:rFonts w:hint="eastAsia" w:ascii="宋体" w:hAnsi="宋体"/>
          <w:color w:val="000000" w:themeColor="text1"/>
          <w:sz w:val="24"/>
          <w:highlight w:val="none"/>
          <w14:textFill>
            <w14:solidFill>
              <w14:schemeClr w14:val="tx1"/>
            </w14:solidFill>
          </w14:textFill>
        </w:rPr>
        <w:t>，书面通知乙方</w:t>
      </w:r>
      <w:r>
        <w:rPr>
          <w:rFonts w:ascii="宋体" w:hAnsi="宋体"/>
          <w:color w:val="000000" w:themeColor="text1"/>
          <w:sz w:val="24"/>
          <w:highlight w:val="none"/>
          <w14:textFill>
            <w14:solidFill>
              <w14:schemeClr w14:val="tx1"/>
            </w14:solidFill>
          </w14:textFill>
        </w:rPr>
        <w:t>解除本合同</w:t>
      </w:r>
      <w:r>
        <w:rPr>
          <w:rFonts w:hint="eastAsia" w:ascii="宋体" w:hAnsi="宋体"/>
          <w:color w:val="000000" w:themeColor="text1"/>
          <w:sz w:val="24"/>
          <w:highlight w:val="none"/>
          <w14:textFill>
            <w14:solidFill>
              <w14:schemeClr w14:val="tx1"/>
            </w14:solidFill>
          </w14:textFill>
        </w:rPr>
        <w:t>；</w:t>
      </w:r>
    </w:p>
    <w:p w14:paraId="32E7A888">
      <w:pPr>
        <w:pStyle w:val="82"/>
        <w:rPr>
          <w:b/>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color w:val="000000" w:themeColor="text1"/>
          <w:highlight w:val="none"/>
          <w:u w:val="single"/>
          <w14:textFill>
            <w14:solidFill>
              <w14:schemeClr w14:val="tx1"/>
            </w14:solidFill>
          </w14:textFill>
        </w:rPr>
        <w:t xml:space="preserve">  0.0</w:t>
      </w:r>
      <w:r>
        <w:rPr>
          <w:rFonts w:hint="eastAsia"/>
          <w:color w:val="000000" w:themeColor="text1"/>
          <w:highlight w:val="none"/>
          <w14:textFill>
            <w14:solidFill>
              <w14:schemeClr w14:val="tx1"/>
            </w14:solidFill>
          </w14:textFill>
        </w:rPr>
        <w:t xml:space="preserve">5（可根据情况修改）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%计算，最高限额为本合同总价的</w:t>
      </w:r>
      <w:r>
        <w:rPr>
          <w:rFonts w:hint="eastAsia"/>
          <w:color w:val="000000" w:themeColor="text1"/>
          <w:highlight w:val="none"/>
          <w:u w:val="single"/>
          <w14:textFill>
            <w14:solidFill>
              <w14:schemeClr w14:val="tx1"/>
            </w14:solidFill>
          </w14:textFill>
        </w:rPr>
        <w:t xml:space="preserve">  20  </w:t>
      </w:r>
      <w:r>
        <w:rPr>
          <w:rFonts w:hint="eastAsia"/>
          <w:color w:val="000000" w:themeColor="text1"/>
          <w:highlight w:val="none"/>
          <w14:textFill>
            <w14:solidFill>
              <w14:schemeClr w14:val="tx1"/>
            </w14:solidFill>
          </w14:textFill>
        </w:rPr>
        <w:t>%；迟延交付货物的违约金计算数额达到前述最高限额之日起，甲方有权在要求乙方支付违约金的同时，书面通知乙方解除本合同；</w:t>
      </w:r>
    </w:p>
    <w:p w14:paraId="43B32D5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highlight w:val="none"/>
          <w:u w:val="single"/>
          <w14:textFill>
            <w14:solidFill>
              <w14:schemeClr w14:val="tx1"/>
            </w14:solidFill>
          </w14:textFill>
        </w:rPr>
        <w:t xml:space="preserve">   0.05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r>
        <w:rPr>
          <w:rFonts w:hint="eastAsia" w:ascii="宋体" w:hAnsi="宋体"/>
          <w:color w:val="000000" w:themeColor="text1"/>
          <w:sz w:val="24"/>
          <w:highlight w:val="none"/>
          <w14:textFill>
            <w14:solidFill>
              <w14:schemeClr w14:val="tx1"/>
            </w14:solidFill>
          </w14:textFill>
        </w:rPr>
        <w:t>；</w:t>
      </w:r>
    </w:p>
    <w:p w14:paraId="63259A2D">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448" w:name="_Toc18683"/>
      <w:bookmarkStart w:id="449" w:name="_Toc9497"/>
      <w:bookmarkStart w:id="450" w:name="_Toc26807"/>
      <w:bookmarkStart w:id="451" w:name="_Toc32454"/>
      <w:bookmarkStart w:id="452" w:name="_Toc30329"/>
      <w:r>
        <w:rPr>
          <w:rFonts w:hint="eastAsia" w:ascii="宋体" w:hAnsi="宋体" w:cs="宋体"/>
          <w:color w:val="000000" w:themeColor="text1"/>
          <w:sz w:val="24"/>
          <w:highlight w:val="none"/>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F08042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067544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14:paraId="20428D9E">
      <w:pPr>
        <w:spacing w:line="360" w:lineRule="auto"/>
        <w:ind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1.8.7违约责任</w:t>
      </w:r>
      <w:r>
        <w:rPr>
          <w:rFonts w:hint="eastAsia" w:ascii="宋体" w:hAnsi="宋体" w:cs="宋体"/>
          <w:b/>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另有约定的，从其约定。</w:t>
      </w:r>
    </w:p>
    <w:bookmarkEnd w:id="448"/>
    <w:bookmarkEnd w:id="449"/>
    <w:bookmarkEnd w:id="450"/>
    <w:bookmarkEnd w:id="451"/>
    <w:bookmarkEnd w:id="452"/>
    <w:p w14:paraId="30FC8F89">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1.9合同争议的解决</w:t>
      </w:r>
    </w:p>
    <w:p w14:paraId="34E19413">
      <w:pPr>
        <w:spacing w:line="360" w:lineRule="auto"/>
        <w:ind w:left="-61" w:leftChars="-29" w:right="-420" w:rightChars="-200"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条款规定的方式解决：</w:t>
      </w:r>
    </w:p>
    <w:p w14:paraId="2EC68247">
      <w:pPr>
        <w:spacing w:line="360" w:lineRule="auto"/>
        <w:ind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 将争议提交</w:t>
      </w:r>
      <w:r>
        <w:rPr>
          <w:rFonts w:hint="eastAsia" w:ascii="宋体" w:hAnsi="宋体" w:cs="宋体"/>
          <w:b/>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仲裁委员会依申请仲裁时其现行有效的仲裁规则裁决；</w:t>
      </w:r>
    </w:p>
    <w:p w14:paraId="6ADF3825">
      <w:pPr>
        <w:spacing w:line="360" w:lineRule="auto"/>
        <w:ind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向</w:t>
      </w:r>
      <w:r>
        <w:rPr>
          <w:rFonts w:hint="eastAsia" w:ascii="宋体" w:hAnsi="宋体" w:cs="宋体"/>
          <w:b/>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人民法院起诉。</w:t>
      </w:r>
    </w:p>
    <w:p w14:paraId="0C519EB3">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2.0 合同生效</w:t>
      </w:r>
    </w:p>
    <w:p w14:paraId="67422FC2">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14:paraId="2C370F59">
      <w:pPr>
        <w:autoSpaceDE w:val="0"/>
        <w:autoSpaceDN w:val="0"/>
        <w:spacing w:line="360" w:lineRule="auto"/>
        <w:rPr>
          <w:rFonts w:ascii="宋体" w:hAnsi="宋体"/>
          <w:color w:val="000000" w:themeColor="text1"/>
          <w:sz w:val="24"/>
          <w:highlight w:val="none"/>
          <w:lang w:val="zh-CN"/>
          <w14:textFill>
            <w14:solidFill>
              <w14:schemeClr w14:val="tx1"/>
            </w14:solidFill>
          </w14:textFill>
        </w:rPr>
      </w:pPr>
    </w:p>
    <w:tbl>
      <w:tblPr>
        <w:tblStyle w:val="6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86"/>
        <w:gridCol w:w="2789"/>
        <w:gridCol w:w="2288"/>
        <w:gridCol w:w="2447"/>
      </w:tblGrid>
      <w:tr w14:paraId="039DB8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14:paraId="57E38D2A">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甲方（采购人</w:t>
            </w:r>
            <w:r>
              <w:rPr>
                <w:rFonts w:hint="eastAsia" w:ascii="宋体" w:hAnsi="宋体"/>
                <w:color w:val="000000" w:themeColor="text1"/>
                <w:sz w:val="24"/>
                <w:highlight w:val="none"/>
                <w14:textFill>
                  <w14:solidFill>
                    <w14:schemeClr w14:val="tx1"/>
                  </w14:solidFill>
                </w14:textFill>
              </w:rPr>
              <w:t>、受采购人委托签订合同的单位或</w:t>
            </w:r>
            <w:r>
              <w:rPr>
                <w:rFonts w:hint="eastAsia" w:ascii="Calibri" w:hAnsi="Calibri"/>
                <w:color w:val="000000" w:themeColor="text1"/>
                <w:sz w:val="24"/>
                <w:highlight w:val="none"/>
                <w14:textFill>
                  <w14:solidFill>
                    <w14:schemeClr w14:val="tx1"/>
                  </w14:solidFill>
                </w14:textFill>
              </w:rPr>
              <w:t>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14:paraId="1711910B">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乙方（供应商）</w:t>
            </w:r>
          </w:p>
        </w:tc>
      </w:tr>
      <w:tr w14:paraId="495703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14:paraId="0023413C">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048300A4">
            <w:pPr>
              <w:snapToGrid w:val="0"/>
              <w:spacing w:line="360" w:lineRule="auto"/>
              <w:jc w:val="center"/>
              <w:rPr>
                <w:rFonts w:ascii="Calibri" w:hAnsi="Calibri"/>
                <w:color w:val="000000" w:themeColor="text1"/>
                <w:sz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77E5C530">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14:paraId="6E6480E1">
            <w:pPr>
              <w:snapToGrid w:val="0"/>
              <w:spacing w:line="360" w:lineRule="auto"/>
              <w:jc w:val="center"/>
              <w:rPr>
                <w:rFonts w:ascii="Calibri" w:hAnsi="Calibri"/>
                <w:color w:val="000000" w:themeColor="text1"/>
                <w:spacing w:val="20"/>
                <w:sz w:val="24"/>
                <w:highlight w:val="none"/>
                <w14:textFill>
                  <w14:solidFill>
                    <w14:schemeClr w14:val="tx1"/>
                  </w14:solidFill>
                </w14:textFill>
              </w:rPr>
            </w:pPr>
          </w:p>
        </w:tc>
      </w:tr>
      <w:tr w14:paraId="214579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14:paraId="3E4D40CC">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法定代表人</w:t>
            </w:r>
          </w:p>
          <w:p w14:paraId="7449CBB2">
            <w:pPr>
              <w:snapToGrid w:val="0"/>
              <w:spacing w:line="360" w:lineRule="auto"/>
              <w:ind w:firstLine="115" w:firstLineChars="48"/>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14:paraId="4B8ED849">
            <w:pPr>
              <w:snapToGrid w:val="0"/>
              <w:spacing w:line="360" w:lineRule="auto"/>
              <w:jc w:val="center"/>
              <w:rPr>
                <w:rFonts w:ascii="Calibri" w:hAnsi="Calibri"/>
                <w:color w:val="000000" w:themeColor="text1"/>
                <w:sz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5FCE562B">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法定代表人</w:t>
            </w:r>
          </w:p>
          <w:p w14:paraId="2B814667">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14:paraId="06B0CFAF">
            <w:pPr>
              <w:snapToGrid w:val="0"/>
              <w:spacing w:line="360" w:lineRule="auto"/>
              <w:jc w:val="center"/>
              <w:rPr>
                <w:rFonts w:ascii="Calibri" w:hAnsi="Calibri"/>
                <w:color w:val="000000" w:themeColor="text1"/>
                <w:sz w:val="24"/>
                <w:highlight w:val="none"/>
                <w14:textFill>
                  <w14:solidFill>
                    <w14:schemeClr w14:val="tx1"/>
                  </w14:solidFill>
                </w14:textFill>
              </w:rPr>
            </w:pPr>
          </w:p>
        </w:tc>
      </w:tr>
      <w:tr w14:paraId="1C1944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14:paraId="4847963B">
            <w:pPr>
              <w:widowControl/>
              <w:adjustRightInd/>
              <w:spacing w:line="360" w:lineRule="auto"/>
              <w:jc w:val="left"/>
              <w:rPr>
                <w:rFonts w:ascii="Calibri" w:hAnsi="Calibri"/>
                <w:color w:val="000000" w:themeColor="text1"/>
                <w:sz w:val="24"/>
                <w:highlight w:val="none"/>
                <w14:textFill>
                  <w14:solidFill>
                    <w14:schemeClr w14:val="tx1"/>
                  </w14:solidFill>
                </w14:textFill>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14:paraId="71143590">
            <w:pPr>
              <w:widowControl/>
              <w:adjustRightInd/>
              <w:spacing w:line="360" w:lineRule="auto"/>
              <w:jc w:val="left"/>
              <w:rPr>
                <w:rFonts w:ascii="Calibri" w:hAnsi="Calibri"/>
                <w:color w:val="000000" w:themeColor="text1"/>
                <w:sz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7E1C6EDB">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14:paraId="27F8D827">
            <w:pPr>
              <w:snapToGrid w:val="0"/>
              <w:spacing w:line="360" w:lineRule="auto"/>
              <w:jc w:val="center"/>
              <w:rPr>
                <w:rFonts w:ascii="Calibri" w:hAnsi="Calibri"/>
                <w:color w:val="000000" w:themeColor="text1"/>
                <w:spacing w:val="20"/>
                <w:sz w:val="24"/>
                <w:highlight w:val="none"/>
                <w14:textFill>
                  <w14:solidFill>
                    <w14:schemeClr w14:val="tx1"/>
                  </w14:solidFill>
                </w14:textFill>
              </w:rPr>
            </w:pPr>
          </w:p>
        </w:tc>
      </w:tr>
      <w:tr w14:paraId="569B73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857685D">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住</w:t>
            </w:r>
            <w:r>
              <w:rPr>
                <w:rFonts w:ascii="Calibri" w:hAnsi="Calibri"/>
                <w:color w:val="000000" w:themeColor="text1"/>
                <w:sz w:val="24"/>
                <w:highlight w:val="none"/>
                <w14:textFill>
                  <w14:solidFill>
                    <w14:schemeClr w14:val="tx1"/>
                  </w14:solidFill>
                </w14:textFill>
              </w:rPr>
              <w:t xml:space="preserve">  </w:t>
            </w:r>
            <w:r>
              <w:rPr>
                <w:rFonts w:hint="eastAsia" w:ascii="Calibri" w:hAnsi="Calibri"/>
                <w:color w:val="000000" w:themeColor="text1"/>
                <w:sz w:val="24"/>
                <w:highlight w:val="none"/>
                <w14:textFill>
                  <w14:solidFill>
                    <w14:schemeClr w14:val="tx1"/>
                  </w14:solidFill>
                </w14:textFill>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022B1968">
            <w:pPr>
              <w:snapToGrid w:val="0"/>
              <w:spacing w:line="360" w:lineRule="auto"/>
              <w:jc w:val="center"/>
              <w:rPr>
                <w:rFonts w:ascii="Calibri" w:hAnsi="Calibri"/>
                <w:color w:val="000000" w:themeColor="text1"/>
                <w:sz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36B01B3">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住</w:t>
            </w:r>
            <w:r>
              <w:rPr>
                <w:rFonts w:ascii="Calibri" w:hAnsi="Calibri"/>
                <w:color w:val="000000" w:themeColor="text1"/>
                <w:sz w:val="24"/>
                <w:highlight w:val="none"/>
                <w14:textFill>
                  <w14:solidFill>
                    <w14:schemeClr w14:val="tx1"/>
                  </w14:solidFill>
                </w14:textFill>
              </w:rPr>
              <w:t xml:space="preserve">  </w:t>
            </w:r>
            <w:r>
              <w:rPr>
                <w:rFonts w:hint="eastAsia" w:ascii="Calibri" w:hAnsi="Calibri"/>
                <w:color w:val="000000" w:themeColor="text1"/>
                <w:sz w:val="24"/>
                <w:highlight w:val="none"/>
                <w14:textFill>
                  <w14:solidFill>
                    <w14:schemeClr w14:val="tx1"/>
                  </w14:solidFill>
                </w14:textFill>
              </w:rPr>
              <w:t>所</w:t>
            </w:r>
          </w:p>
        </w:tc>
        <w:tc>
          <w:tcPr>
            <w:tcW w:w="1259" w:type="pct"/>
            <w:tcBorders>
              <w:top w:val="single" w:color="auto" w:sz="2" w:space="0"/>
              <w:left w:val="single" w:color="auto" w:sz="2" w:space="0"/>
              <w:bottom w:val="single" w:color="auto" w:sz="2" w:space="0"/>
              <w:right w:val="single" w:color="auto" w:sz="4" w:space="0"/>
            </w:tcBorders>
            <w:vAlign w:val="center"/>
          </w:tcPr>
          <w:p w14:paraId="60F46D53">
            <w:pPr>
              <w:snapToGrid w:val="0"/>
              <w:spacing w:line="360" w:lineRule="auto"/>
              <w:jc w:val="center"/>
              <w:rPr>
                <w:rFonts w:ascii="Calibri" w:hAnsi="Calibri"/>
                <w:color w:val="000000" w:themeColor="text1"/>
                <w:spacing w:val="20"/>
                <w:sz w:val="24"/>
                <w:highlight w:val="none"/>
                <w14:textFill>
                  <w14:solidFill>
                    <w14:schemeClr w14:val="tx1"/>
                  </w14:solidFill>
                </w14:textFill>
              </w:rPr>
            </w:pPr>
          </w:p>
        </w:tc>
      </w:tr>
      <w:tr w14:paraId="085692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A057288">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联</w:t>
            </w:r>
            <w:r>
              <w:rPr>
                <w:rFonts w:ascii="Calibri" w:hAnsi="Calibri"/>
                <w:color w:val="000000" w:themeColor="text1"/>
                <w:sz w:val="24"/>
                <w:highlight w:val="none"/>
                <w14:textFill>
                  <w14:solidFill>
                    <w14:schemeClr w14:val="tx1"/>
                  </w14:solidFill>
                </w14:textFill>
              </w:rPr>
              <w:t xml:space="preserve"> </w:t>
            </w:r>
            <w:r>
              <w:rPr>
                <w:rFonts w:hint="eastAsia" w:ascii="Calibri" w:hAnsi="Calibri"/>
                <w:color w:val="000000" w:themeColor="text1"/>
                <w:sz w:val="24"/>
                <w:highlight w:val="none"/>
                <w14:textFill>
                  <w14:solidFill>
                    <w14:schemeClr w14:val="tx1"/>
                  </w14:solidFill>
                </w14:textFill>
              </w:rPr>
              <w:t>系</w:t>
            </w:r>
            <w:r>
              <w:rPr>
                <w:rFonts w:ascii="Calibri" w:hAnsi="Calibri"/>
                <w:color w:val="000000" w:themeColor="text1"/>
                <w:sz w:val="24"/>
                <w:highlight w:val="none"/>
                <w14:textFill>
                  <w14:solidFill>
                    <w14:schemeClr w14:val="tx1"/>
                  </w14:solidFill>
                </w14:textFill>
              </w:rPr>
              <w:t xml:space="preserve"> </w:t>
            </w:r>
            <w:r>
              <w:rPr>
                <w:rFonts w:hint="eastAsia" w:ascii="Calibri" w:hAnsi="Calibri"/>
                <w:color w:val="000000" w:themeColor="text1"/>
                <w:sz w:val="24"/>
                <w:highlight w:val="none"/>
                <w14:textFill>
                  <w14:solidFill>
                    <w14:schemeClr w14:val="tx1"/>
                  </w14:solidFill>
                </w14:textFill>
              </w:rPr>
              <w:t>人</w:t>
            </w:r>
          </w:p>
        </w:tc>
        <w:tc>
          <w:tcPr>
            <w:tcW w:w="1436" w:type="pct"/>
            <w:tcBorders>
              <w:top w:val="single" w:color="auto" w:sz="2" w:space="0"/>
              <w:left w:val="single" w:color="auto" w:sz="2" w:space="0"/>
              <w:bottom w:val="single" w:color="auto" w:sz="2" w:space="0"/>
              <w:right w:val="single" w:color="auto" w:sz="2" w:space="0"/>
            </w:tcBorders>
            <w:vAlign w:val="center"/>
          </w:tcPr>
          <w:p w14:paraId="47D55628">
            <w:pPr>
              <w:snapToGrid w:val="0"/>
              <w:spacing w:line="360" w:lineRule="auto"/>
              <w:jc w:val="center"/>
              <w:rPr>
                <w:rFonts w:ascii="Calibri" w:hAnsi="Calibri"/>
                <w:color w:val="000000" w:themeColor="text1"/>
                <w:sz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2FE1E179">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联</w:t>
            </w:r>
            <w:r>
              <w:rPr>
                <w:rFonts w:ascii="Calibri" w:hAnsi="Calibri"/>
                <w:color w:val="000000" w:themeColor="text1"/>
                <w:sz w:val="24"/>
                <w:highlight w:val="none"/>
                <w14:textFill>
                  <w14:solidFill>
                    <w14:schemeClr w14:val="tx1"/>
                  </w14:solidFill>
                </w14:textFill>
              </w:rPr>
              <w:t xml:space="preserve"> </w:t>
            </w:r>
            <w:r>
              <w:rPr>
                <w:rFonts w:hint="eastAsia" w:ascii="Calibri" w:hAnsi="Calibri"/>
                <w:color w:val="000000" w:themeColor="text1"/>
                <w:sz w:val="24"/>
                <w:highlight w:val="none"/>
                <w14:textFill>
                  <w14:solidFill>
                    <w14:schemeClr w14:val="tx1"/>
                  </w14:solidFill>
                </w14:textFill>
              </w:rPr>
              <w:t>系</w:t>
            </w:r>
            <w:r>
              <w:rPr>
                <w:rFonts w:ascii="Calibri" w:hAnsi="Calibri"/>
                <w:color w:val="000000" w:themeColor="text1"/>
                <w:sz w:val="24"/>
                <w:highlight w:val="none"/>
                <w14:textFill>
                  <w14:solidFill>
                    <w14:schemeClr w14:val="tx1"/>
                  </w14:solidFill>
                </w14:textFill>
              </w:rPr>
              <w:t xml:space="preserve"> </w:t>
            </w:r>
            <w:r>
              <w:rPr>
                <w:rFonts w:hint="eastAsia" w:ascii="Calibri" w:hAnsi="Calibri"/>
                <w:color w:val="000000" w:themeColor="text1"/>
                <w:sz w:val="24"/>
                <w:highlight w:val="none"/>
                <w14:textFill>
                  <w14:solidFill>
                    <w14:schemeClr w14:val="tx1"/>
                  </w14:solidFill>
                </w14:textFill>
              </w:rPr>
              <w:t>人</w:t>
            </w:r>
          </w:p>
        </w:tc>
        <w:tc>
          <w:tcPr>
            <w:tcW w:w="1259" w:type="pct"/>
            <w:tcBorders>
              <w:top w:val="single" w:color="auto" w:sz="2" w:space="0"/>
              <w:left w:val="single" w:color="auto" w:sz="2" w:space="0"/>
              <w:bottom w:val="single" w:color="auto" w:sz="2" w:space="0"/>
              <w:right w:val="single" w:color="auto" w:sz="4" w:space="0"/>
            </w:tcBorders>
            <w:vAlign w:val="center"/>
          </w:tcPr>
          <w:p w14:paraId="07711350">
            <w:pPr>
              <w:snapToGrid w:val="0"/>
              <w:spacing w:line="360" w:lineRule="auto"/>
              <w:jc w:val="center"/>
              <w:rPr>
                <w:rFonts w:ascii="Calibri" w:hAnsi="Calibri"/>
                <w:color w:val="000000" w:themeColor="text1"/>
                <w:spacing w:val="20"/>
                <w:sz w:val="24"/>
                <w:highlight w:val="none"/>
                <w14:textFill>
                  <w14:solidFill>
                    <w14:schemeClr w14:val="tx1"/>
                  </w14:solidFill>
                </w14:textFill>
              </w:rPr>
            </w:pPr>
          </w:p>
        </w:tc>
      </w:tr>
      <w:tr w14:paraId="694240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B65BB67">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575BDA49">
            <w:pPr>
              <w:snapToGrid w:val="0"/>
              <w:spacing w:line="360" w:lineRule="auto"/>
              <w:jc w:val="center"/>
              <w:rPr>
                <w:rFonts w:ascii="Calibri" w:hAnsi="Calibri"/>
                <w:color w:val="000000" w:themeColor="text1"/>
                <w:sz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97DFB5C">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14:paraId="6141C9C3">
            <w:pPr>
              <w:snapToGrid w:val="0"/>
              <w:spacing w:line="360" w:lineRule="auto"/>
              <w:jc w:val="center"/>
              <w:rPr>
                <w:rFonts w:ascii="Calibri" w:hAnsi="Calibri"/>
                <w:color w:val="000000" w:themeColor="text1"/>
                <w:spacing w:val="20"/>
                <w:sz w:val="24"/>
                <w:highlight w:val="none"/>
                <w14:textFill>
                  <w14:solidFill>
                    <w14:schemeClr w14:val="tx1"/>
                  </w14:solidFill>
                </w14:textFill>
              </w:rPr>
            </w:pPr>
          </w:p>
        </w:tc>
      </w:tr>
      <w:tr w14:paraId="261C43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46DC703">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296DFAEC">
            <w:pPr>
              <w:snapToGrid w:val="0"/>
              <w:spacing w:line="360" w:lineRule="auto"/>
              <w:jc w:val="center"/>
              <w:rPr>
                <w:rFonts w:ascii="Calibri" w:hAnsi="Calibri"/>
                <w:color w:val="000000" w:themeColor="text1"/>
                <w:sz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10EDFDB0">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14:paraId="50BB763B">
            <w:pPr>
              <w:snapToGrid w:val="0"/>
              <w:spacing w:line="360" w:lineRule="auto"/>
              <w:jc w:val="center"/>
              <w:rPr>
                <w:rFonts w:ascii="Calibri" w:hAnsi="Calibri"/>
                <w:color w:val="000000" w:themeColor="text1"/>
                <w:spacing w:val="20"/>
                <w:sz w:val="24"/>
                <w:highlight w:val="none"/>
                <w14:textFill>
                  <w14:solidFill>
                    <w14:schemeClr w14:val="tx1"/>
                  </w14:solidFill>
                </w14:textFill>
              </w:rPr>
            </w:pPr>
          </w:p>
        </w:tc>
      </w:tr>
      <w:tr w14:paraId="424BFDD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4F049D1">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46E3A6C">
            <w:pPr>
              <w:snapToGrid w:val="0"/>
              <w:spacing w:line="360" w:lineRule="auto"/>
              <w:jc w:val="center"/>
              <w:rPr>
                <w:rFonts w:ascii="Calibri" w:hAnsi="Calibri"/>
                <w:color w:val="000000" w:themeColor="text1"/>
                <w:sz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21735DC2">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14:paraId="6B53B46F">
            <w:pPr>
              <w:snapToGrid w:val="0"/>
              <w:spacing w:line="360" w:lineRule="auto"/>
              <w:jc w:val="center"/>
              <w:rPr>
                <w:rFonts w:ascii="Calibri" w:hAnsi="Calibri"/>
                <w:color w:val="000000" w:themeColor="text1"/>
                <w:spacing w:val="20"/>
                <w:sz w:val="24"/>
                <w:highlight w:val="none"/>
                <w14:textFill>
                  <w14:solidFill>
                    <w14:schemeClr w14:val="tx1"/>
                  </w14:solidFill>
                </w14:textFill>
              </w:rPr>
            </w:pPr>
          </w:p>
        </w:tc>
      </w:tr>
      <w:tr w14:paraId="3A5BBA5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7C808906">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70BC84F7">
            <w:pPr>
              <w:snapToGrid w:val="0"/>
              <w:spacing w:line="360" w:lineRule="auto"/>
              <w:jc w:val="center"/>
              <w:rPr>
                <w:rFonts w:ascii="Calibri" w:hAnsi="Calibri"/>
                <w:color w:val="000000" w:themeColor="text1"/>
                <w:sz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0022449A">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14:paraId="6E9AF077">
            <w:pPr>
              <w:snapToGrid w:val="0"/>
              <w:spacing w:line="360" w:lineRule="auto"/>
              <w:jc w:val="center"/>
              <w:rPr>
                <w:rFonts w:ascii="Calibri" w:hAnsi="Calibri"/>
                <w:color w:val="000000" w:themeColor="text1"/>
                <w:spacing w:val="20"/>
                <w:sz w:val="24"/>
                <w:highlight w:val="none"/>
                <w14:textFill>
                  <w14:solidFill>
                    <w14:schemeClr w14:val="tx1"/>
                  </w14:solidFill>
                </w14:textFill>
              </w:rPr>
            </w:pPr>
          </w:p>
        </w:tc>
      </w:tr>
      <w:tr w14:paraId="742D54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5D51DB85">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2399C340">
            <w:pPr>
              <w:snapToGrid w:val="0"/>
              <w:spacing w:line="360" w:lineRule="auto"/>
              <w:jc w:val="center"/>
              <w:rPr>
                <w:rFonts w:ascii="Calibri" w:hAnsi="Calibri"/>
                <w:color w:val="000000" w:themeColor="text1"/>
                <w:sz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7B68E42">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14:paraId="1B2D2470">
            <w:pPr>
              <w:snapToGrid w:val="0"/>
              <w:spacing w:line="360" w:lineRule="auto"/>
              <w:jc w:val="center"/>
              <w:rPr>
                <w:rFonts w:ascii="Calibri" w:hAnsi="Calibri"/>
                <w:color w:val="000000" w:themeColor="text1"/>
                <w:spacing w:val="20"/>
                <w:sz w:val="24"/>
                <w:highlight w:val="none"/>
                <w14:textFill>
                  <w14:solidFill>
                    <w14:schemeClr w14:val="tx1"/>
                  </w14:solidFill>
                </w14:textFill>
              </w:rPr>
            </w:pPr>
          </w:p>
        </w:tc>
      </w:tr>
      <w:tr w14:paraId="6EEEBA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167F68B8">
            <w:pPr>
              <w:snapToGrid w:val="0"/>
              <w:spacing w:line="360" w:lineRule="auto"/>
              <w:jc w:val="center"/>
              <w:rPr>
                <w:rFonts w:ascii="Calibri" w:hAnsi="Calibri"/>
                <w:color w:val="000000" w:themeColor="text1"/>
                <w:sz w:val="24"/>
                <w:highlight w:val="none"/>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09481A08">
            <w:pPr>
              <w:snapToGrid w:val="0"/>
              <w:spacing w:line="360" w:lineRule="auto"/>
              <w:jc w:val="center"/>
              <w:rPr>
                <w:rFonts w:ascii="Calibri" w:hAnsi="Calibri"/>
                <w:color w:val="000000" w:themeColor="text1"/>
                <w:sz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2AD1AF12">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14:paraId="3AC22004">
            <w:pPr>
              <w:snapToGrid w:val="0"/>
              <w:spacing w:line="360" w:lineRule="auto"/>
              <w:jc w:val="center"/>
              <w:rPr>
                <w:rFonts w:ascii="Calibri" w:hAnsi="Calibri"/>
                <w:color w:val="000000" w:themeColor="text1"/>
                <w:spacing w:val="20"/>
                <w:sz w:val="24"/>
                <w:highlight w:val="none"/>
                <w14:textFill>
                  <w14:solidFill>
                    <w14:schemeClr w14:val="tx1"/>
                  </w14:solidFill>
                </w14:textFill>
              </w:rPr>
            </w:pPr>
          </w:p>
        </w:tc>
      </w:tr>
      <w:tr w14:paraId="20A1F81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B64C250">
            <w:pPr>
              <w:snapToGrid w:val="0"/>
              <w:spacing w:line="360" w:lineRule="auto"/>
              <w:jc w:val="center"/>
              <w:rPr>
                <w:rFonts w:ascii="Calibri" w:hAnsi="Calibri"/>
                <w:color w:val="000000" w:themeColor="text1"/>
                <w:sz w:val="24"/>
                <w:highlight w:val="none"/>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076D366C">
            <w:pPr>
              <w:snapToGrid w:val="0"/>
              <w:spacing w:line="360" w:lineRule="auto"/>
              <w:jc w:val="center"/>
              <w:rPr>
                <w:rFonts w:ascii="Calibri" w:hAnsi="Calibri"/>
                <w:color w:val="000000" w:themeColor="text1"/>
                <w:sz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37D742AD">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14:paraId="2A7D0FFD">
            <w:pPr>
              <w:snapToGrid w:val="0"/>
              <w:spacing w:line="360" w:lineRule="auto"/>
              <w:jc w:val="center"/>
              <w:rPr>
                <w:rFonts w:ascii="Calibri" w:hAnsi="Calibri"/>
                <w:color w:val="000000" w:themeColor="text1"/>
                <w:spacing w:val="20"/>
                <w:sz w:val="24"/>
                <w:highlight w:val="none"/>
                <w14:textFill>
                  <w14:solidFill>
                    <w14:schemeClr w14:val="tx1"/>
                  </w14:solidFill>
                </w14:textFill>
              </w:rPr>
            </w:pPr>
          </w:p>
        </w:tc>
      </w:tr>
      <w:tr w14:paraId="38CBB5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79FA1B4B">
            <w:pPr>
              <w:snapToGrid w:val="0"/>
              <w:spacing w:line="360" w:lineRule="auto"/>
              <w:jc w:val="center"/>
              <w:rPr>
                <w:rFonts w:ascii="Calibri" w:hAnsi="Calibri"/>
                <w:color w:val="000000" w:themeColor="text1"/>
                <w:sz w:val="24"/>
                <w:highlight w:val="none"/>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4E33E11B">
            <w:pPr>
              <w:snapToGrid w:val="0"/>
              <w:spacing w:line="360" w:lineRule="auto"/>
              <w:jc w:val="center"/>
              <w:rPr>
                <w:rFonts w:ascii="Calibri" w:hAnsi="Calibri"/>
                <w:color w:val="000000" w:themeColor="text1"/>
                <w:sz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130B810D">
            <w:pPr>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14:paraId="6F180B66">
            <w:pPr>
              <w:snapToGrid w:val="0"/>
              <w:spacing w:line="360" w:lineRule="auto"/>
              <w:jc w:val="center"/>
              <w:rPr>
                <w:rFonts w:ascii="Calibri" w:hAnsi="Calibri"/>
                <w:color w:val="000000" w:themeColor="text1"/>
                <w:spacing w:val="20"/>
                <w:sz w:val="24"/>
                <w:highlight w:val="none"/>
                <w14:textFill>
                  <w14:solidFill>
                    <w14:schemeClr w14:val="tx1"/>
                  </w14:solidFill>
                </w14:textFill>
              </w:rPr>
            </w:pPr>
          </w:p>
        </w:tc>
      </w:tr>
      <w:tr w14:paraId="53235B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14:paraId="1EC0ED57">
            <w:pPr>
              <w:snapToGrid w:val="0"/>
              <w:spacing w:line="360" w:lineRule="auto"/>
              <w:jc w:val="left"/>
              <w:rPr>
                <w:rFonts w:ascii="Calibri" w:hAnsi="Calibri"/>
                <w:color w:val="000000" w:themeColor="text1"/>
                <w:spacing w:val="2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注：涉及联合体或其他合同主体的信息应按上表格式加列。</w:t>
            </w:r>
          </w:p>
        </w:tc>
      </w:tr>
    </w:tbl>
    <w:p w14:paraId="11522299">
      <w:pPr>
        <w:widowControl/>
        <w:spacing w:line="360" w:lineRule="auto"/>
        <w:jc w:val="left"/>
        <w:rPr>
          <w:rFonts w:ascii="宋体" w:hAnsi="宋体"/>
          <w:b/>
          <w:color w:val="000000" w:themeColor="text1"/>
          <w:sz w:val="24"/>
          <w:highlight w:val="none"/>
          <w14:textFill>
            <w14:solidFill>
              <w14:schemeClr w14:val="tx1"/>
            </w14:solidFill>
          </w14:textFill>
        </w:rPr>
      </w:pPr>
    </w:p>
    <w:p w14:paraId="40EB49E1">
      <w:pPr>
        <w:pStyle w:val="699"/>
        <w:spacing w:after="0"/>
        <w:ind w:firstLine="482"/>
        <w:jc w:val="center"/>
        <w:outlineLvl w:val="1"/>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第二节</w:t>
      </w:r>
      <w:r>
        <w:rPr>
          <w:rFonts w:ascii="宋体" w:hAnsi="宋体"/>
          <w:b/>
          <w:color w:val="000000" w:themeColor="text1"/>
          <w:szCs w:val="24"/>
          <w:highlight w:val="none"/>
          <w14:textFill>
            <w14:solidFill>
              <w14:schemeClr w14:val="tx1"/>
            </w14:solidFill>
          </w14:textFill>
        </w:rPr>
        <w:t xml:space="preserve"> </w:t>
      </w:r>
      <w:r>
        <w:rPr>
          <w:rFonts w:hint="eastAsia" w:ascii="宋体" w:hAnsi="宋体"/>
          <w:b/>
          <w:color w:val="000000" w:themeColor="text1"/>
          <w:szCs w:val="24"/>
          <w:highlight w:val="none"/>
          <w14:textFill>
            <w14:solidFill>
              <w14:schemeClr w14:val="tx1"/>
            </w14:solidFill>
          </w14:textFill>
        </w:rPr>
        <w:t>合同一般条款</w:t>
      </w:r>
    </w:p>
    <w:p w14:paraId="00299B60">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453" w:name="_Toc25079"/>
      <w:bookmarkStart w:id="454" w:name="_Toc19680"/>
      <w:bookmarkStart w:id="455" w:name="_Toc31297"/>
      <w:bookmarkStart w:id="456" w:name="_Toc14021"/>
      <w:bookmarkStart w:id="457" w:name="_Toc5228"/>
      <w:r>
        <w:rPr>
          <w:rFonts w:ascii="宋体" w:hAnsi="宋体"/>
          <w:b/>
          <w:color w:val="000000" w:themeColor="text1"/>
          <w:sz w:val="24"/>
          <w:highlight w:val="none"/>
          <w14:textFill>
            <w14:solidFill>
              <w14:schemeClr w14:val="tx1"/>
            </w14:solidFill>
          </w14:textFill>
        </w:rPr>
        <w:t>2.1 定义</w:t>
      </w:r>
      <w:bookmarkEnd w:id="453"/>
      <w:bookmarkEnd w:id="454"/>
      <w:bookmarkEnd w:id="455"/>
      <w:bookmarkEnd w:id="456"/>
      <w:bookmarkEnd w:id="457"/>
    </w:p>
    <w:p w14:paraId="12B88B7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本合同中的下列</w:t>
      </w:r>
      <w:r>
        <w:rPr>
          <w:rFonts w:hint="eastAsia" w:ascii="宋体" w:hAnsi="宋体"/>
          <w:color w:val="000000" w:themeColor="text1"/>
          <w:sz w:val="24"/>
          <w:highlight w:val="none"/>
          <w14:textFill>
            <w14:solidFill>
              <w14:schemeClr w14:val="tx1"/>
            </w14:solidFill>
          </w14:textFill>
        </w:rPr>
        <w:t>词</w:t>
      </w:r>
      <w:r>
        <w:rPr>
          <w:rFonts w:ascii="宋体" w:hAnsi="宋体"/>
          <w:color w:val="000000" w:themeColor="text1"/>
          <w:sz w:val="24"/>
          <w:highlight w:val="none"/>
          <w14:textFill>
            <w14:solidFill>
              <w14:schemeClr w14:val="tx1"/>
            </w14:solidFill>
          </w14:textFill>
        </w:rPr>
        <w:t>语应</w:t>
      </w:r>
      <w:r>
        <w:rPr>
          <w:rFonts w:hint="eastAsia" w:ascii="宋体" w:hAnsi="宋体"/>
          <w:color w:val="000000" w:themeColor="text1"/>
          <w:sz w:val="24"/>
          <w:highlight w:val="none"/>
          <w14:textFill>
            <w14:solidFill>
              <w14:schemeClr w14:val="tx1"/>
            </w14:solidFill>
          </w14:textFill>
        </w:rPr>
        <w:t>按以下内容进行</w:t>
      </w:r>
      <w:r>
        <w:rPr>
          <w:rFonts w:ascii="宋体" w:hAnsi="宋体"/>
          <w:color w:val="000000" w:themeColor="text1"/>
          <w:sz w:val="24"/>
          <w:highlight w:val="none"/>
          <w14:textFill>
            <w14:solidFill>
              <w14:schemeClr w14:val="tx1"/>
            </w14:solidFill>
          </w14:textFill>
        </w:rPr>
        <w:t>解释：</w:t>
      </w:r>
    </w:p>
    <w:p w14:paraId="6DCCCF8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 “合同”系指采购人和</w:t>
      </w:r>
      <w:r>
        <w:rPr>
          <w:rFonts w:hint="eastAsia" w:ascii="宋体" w:hAnsi="宋体" w:cs="宋体"/>
          <w:color w:val="000000" w:themeColor="text1"/>
          <w:sz w:val="24"/>
          <w:highlight w:val="none"/>
          <w14:textFill>
            <w14:solidFill>
              <w14:schemeClr w14:val="tx1"/>
            </w14:solidFill>
          </w14:textFill>
        </w:rPr>
        <w:t>成交</w:t>
      </w:r>
      <w:r>
        <w:rPr>
          <w:rFonts w:ascii="宋体" w:hAnsi="宋体"/>
          <w:color w:val="000000" w:themeColor="text1"/>
          <w:sz w:val="24"/>
          <w:highlight w:val="none"/>
          <w14:textFill>
            <w14:solidFill>
              <w14:schemeClr w14:val="tx1"/>
            </w14:solidFill>
          </w14:textFill>
        </w:rPr>
        <w:t>供应商签订的载明双方当事人所达成的协议，并包括所有的附件、附录和构成合同的其他文件。</w:t>
      </w:r>
    </w:p>
    <w:p w14:paraId="262761C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2.1.2 “合同价”系指根据合同约定，</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供应商在完全履行合同义务后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采购人应支付给</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供应商的价格。</w:t>
      </w:r>
    </w:p>
    <w:p w14:paraId="35872AF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2.1.3 “</w:t>
      </w: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”系指</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根据合同约定应向采购人</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除货物和工程以外的其他政府采购对象，包括采购人自身需要的服务和向社会公众提供的公共服务。</w:t>
      </w:r>
    </w:p>
    <w:p w14:paraId="71EFDEE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 “</w:t>
      </w:r>
      <w:r>
        <w:rPr>
          <w:rFonts w:hint="eastAsia" w:ascii="宋体" w:hAnsi="宋体"/>
          <w:color w:val="000000" w:themeColor="text1"/>
          <w:sz w:val="24"/>
          <w:highlight w:val="none"/>
          <w14:textFill>
            <w14:solidFill>
              <w14:schemeClr w14:val="tx1"/>
            </w14:solidFill>
          </w14:textFill>
        </w:rPr>
        <w:t>甲方</w:t>
      </w:r>
      <w:r>
        <w:rPr>
          <w:rFonts w:ascii="宋体" w:hAnsi="宋体"/>
          <w:color w:val="000000" w:themeColor="text1"/>
          <w:sz w:val="24"/>
          <w:highlight w:val="none"/>
          <w14:textFill>
            <w14:solidFill>
              <w14:schemeClr w14:val="tx1"/>
            </w14:solidFill>
          </w14:textFill>
        </w:rPr>
        <w:t>”系指与</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签署合同的采购人</w:t>
      </w:r>
      <w:r>
        <w:rPr>
          <w:rFonts w:hint="eastAsia" w:ascii="宋体" w:hAnsi="宋体"/>
          <w:color w:val="000000" w:themeColor="text1"/>
          <w:sz w:val="24"/>
          <w:highlight w:val="none"/>
          <w14:textFill>
            <w14:solidFill>
              <w14:schemeClr w14:val="tx1"/>
            </w14:solidFill>
          </w14:textFill>
        </w:rPr>
        <w:t>；采购人委托采购代理机构代表其与乙方签订合同的，采购人的授权委托书作为合同附件。</w:t>
      </w:r>
    </w:p>
    <w:p w14:paraId="3540061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2.1.5 “乙方”系指根据合同约定提供服务的</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EE78AC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2.1.6 “现场”系指合同约定提供服务的地点。</w:t>
      </w:r>
    </w:p>
    <w:p w14:paraId="6635889F">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458" w:name="_Toc3769"/>
      <w:bookmarkStart w:id="459" w:name="_Toc23289"/>
      <w:bookmarkStart w:id="460" w:name="_Toc16752"/>
      <w:bookmarkStart w:id="461" w:name="_Toc19539"/>
      <w:bookmarkStart w:id="462" w:name="_Toc31402"/>
      <w:r>
        <w:rPr>
          <w:rFonts w:ascii="宋体" w:hAnsi="宋体"/>
          <w:b/>
          <w:color w:val="000000" w:themeColor="text1"/>
          <w:sz w:val="24"/>
          <w:highlight w:val="none"/>
          <w14:textFill>
            <w14:solidFill>
              <w14:schemeClr w14:val="tx1"/>
            </w14:solidFill>
          </w14:textFill>
        </w:rPr>
        <w:t>2.2 技术规范</w:t>
      </w:r>
      <w:bookmarkEnd w:id="458"/>
      <w:bookmarkEnd w:id="459"/>
      <w:bookmarkEnd w:id="460"/>
      <w:bookmarkEnd w:id="461"/>
      <w:bookmarkEnd w:id="462"/>
    </w:p>
    <w:p w14:paraId="5910C41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如果采购文件中没有技术规范的相应说明，那么应以国家有关部门最新颁布的相应标准</w:t>
      </w:r>
      <w:r>
        <w:rPr>
          <w:rFonts w:hint="eastAsia" w:ascii="宋体" w:hAnsi="宋体"/>
          <w:color w:val="000000" w:themeColor="text1"/>
          <w:sz w:val="24"/>
          <w:highlight w:val="none"/>
          <w14:textFill>
            <w14:solidFill>
              <w14:schemeClr w14:val="tx1"/>
            </w14:solidFill>
          </w14:textFill>
        </w:rPr>
        <w:t>和</w:t>
      </w:r>
      <w:r>
        <w:rPr>
          <w:rFonts w:ascii="宋体" w:hAnsi="宋体"/>
          <w:color w:val="000000" w:themeColor="text1"/>
          <w:sz w:val="24"/>
          <w:highlight w:val="none"/>
          <w14:textFill>
            <w14:solidFill>
              <w14:schemeClr w14:val="tx1"/>
            </w14:solidFill>
          </w14:textFill>
        </w:rPr>
        <w:t>规范为准。</w:t>
      </w:r>
    </w:p>
    <w:p w14:paraId="19A91DB9">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463" w:name="_Toc9161"/>
      <w:bookmarkStart w:id="464" w:name="_Toc13673"/>
      <w:bookmarkStart w:id="465" w:name="_Toc27945"/>
      <w:bookmarkStart w:id="466" w:name="_Toc12412"/>
      <w:bookmarkStart w:id="467" w:name="_Toc4133"/>
      <w:r>
        <w:rPr>
          <w:rFonts w:ascii="宋体" w:hAnsi="宋体"/>
          <w:b/>
          <w:color w:val="000000" w:themeColor="text1"/>
          <w:sz w:val="24"/>
          <w:highlight w:val="none"/>
          <w14:textFill>
            <w14:solidFill>
              <w14:schemeClr w14:val="tx1"/>
            </w14:solidFill>
          </w14:textFill>
        </w:rPr>
        <w:t>2.3 知识产权</w:t>
      </w:r>
      <w:bookmarkEnd w:id="463"/>
      <w:bookmarkEnd w:id="464"/>
      <w:bookmarkEnd w:id="465"/>
      <w:bookmarkEnd w:id="466"/>
      <w:bookmarkEnd w:id="467"/>
    </w:p>
    <w:p w14:paraId="536DD73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2.3.1 </w:t>
      </w:r>
      <w:r>
        <w:rPr>
          <w:rFonts w:hint="eastAsia" w:ascii="宋体" w:hAnsi="宋体"/>
          <w:color w:val="000000" w:themeColor="text1"/>
          <w:sz w:val="24"/>
          <w:highlight w:val="none"/>
          <w14:textFill>
            <w14:solidFill>
              <w14:schemeClr w14:val="tx1"/>
            </w14:solidFill>
          </w14:textFill>
        </w:rPr>
        <w:t>乙</w:t>
      </w:r>
      <w:r>
        <w:rPr>
          <w:rFonts w:ascii="宋体" w:hAnsi="宋体"/>
          <w:color w:val="000000" w:themeColor="text1"/>
          <w:sz w:val="24"/>
          <w:highlight w:val="none"/>
          <w14:textFill>
            <w14:solidFill>
              <w14:schemeClr w14:val="tx1"/>
            </w14:solidFill>
          </w14:textFill>
        </w:rPr>
        <w:t>方应保证</w:t>
      </w:r>
      <w:r>
        <w:rPr>
          <w:rFonts w:hint="eastAsia" w:ascii="宋体" w:hAnsi="宋体"/>
          <w:color w:val="000000" w:themeColor="text1"/>
          <w:sz w:val="24"/>
          <w:highlight w:val="none"/>
          <w14:textFill>
            <w14:solidFill>
              <w14:schemeClr w14:val="tx1"/>
            </w14:solidFill>
          </w14:textFill>
        </w:rPr>
        <w:t>其提供的服务</w:t>
      </w:r>
      <w:r>
        <w:rPr>
          <w:rFonts w:ascii="宋体" w:hAnsi="宋体"/>
          <w:color w:val="000000" w:themeColor="text1"/>
          <w:sz w:val="24"/>
          <w:highlight w:val="none"/>
          <w14:textFill>
            <w14:solidFill>
              <w14:schemeClr w14:val="tx1"/>
            </w14:solidFill>
          </w14:textFill>
        </w:rPr>
        <w:t>不受任何第三方提出的侵犯其著作权、商标权、专利权等知识产权方面的起诉</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如果任何第三方提出侵权</w:t>
      </w:r>
      <w:r>
        <w:rPr>
          <w:rFonts w:hint="eastAsia" w:ascii="宋体" w:hAnsi="宋体"/>
          <w:color w:val="000000" w:themeColor="text1"/>
          <w:sz w:val="24"/>
          <w:highlight w:val="none"/>
          <w14:textFill>
            <w14:solidFill>
              <w14:schemeClr w14:val="tx1"/>
            </w14:solidFill>
          </w14:textFill>
        </w:rPr>
        <w:t>指控</w:t>
      </w:r>
      <w:r>
        <w:rPr>
          <w:rFonts w:ascii="宋体" w:hAnsi="宋体"/>
          <w:color w:val="000000" w:themeColor="text1"/>
          <w:sz w:val="24"/>
          <w:highlight w:val="none"/>
          <w14:textFill>
            <w14:solidFill>
              <w14:schemeClr w14:val="tx1"/>
            </w14:solidFill>
          </w14:textFill>
        </w:rPr>
        <w:t>，那么乙方须与该第三方交涉并承担由此发生的一切责任、费用和赔偿</w:t>
      </w:r>
      <w:r>
        <w:rPr>
          <w:rFonts w:hint="eastAsia" w:ascii="宋体" w:hAnsi="宋体"/>
          <w:color w:val="000000" w:themeColor="text1"/>
          <w:sz w:val="24"/>
          <w:highlight w:val="none"/>
          <w14:textFill>
            <w14:solidFill>
              <w14:schemeClr w14:val="tx1"/>
            </w14:solidFill>
          </w14:textFill>
        </w:rPr>
        <w:t>，乙方还应及时澄清相关信息，使甲方声誉免受损害，甲方保留追责的权利。</w:t>
      </w:r>
    </w:p>
    <w:p w14:paraId="141378F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2.3.2 </w:t>
      </w:r>
      <w:r>
        <w:rPr>
          <w:rFonts w:hint="eastAsia" w:ascii="宋体" w:hAnsi="宋体"/>
          <w:color w:val="000000" w:themeColor="text1"/>
          <w:sz w:val="24"/>
          <w:highlight w:val="none"/>
          <w14:textFill>
            <w14:solidFill>
              <w14:schemeClr w14:val="tx1"/>
            </w14:solidFill>
          </w14:textFill>
        </w:rPr>
        <w:t>合同涉及技术成果的归属和收益的分成办法的，</w:t>
      </w:r>
      <w:r>
        <w:rPr>
          <w:rFonts w:ascii="宋体" w:hAnsi="宋体"/>
          <w:color w:val="000000" w:themeColor="text1"/>
          <w:sz w:val="24"/>
          <w:highlight w:val="none"/>
          <w14:textFill>
            <w14:solidFill>
              <w14:schemeClr w14:val="tx1"/>
            </w14:solidFill>
          </w14:textFill>
        </w:rPr>
        <w:t>详见</w:t>
      </w:r>
      <w:r>
        <w:rPr>
          <w:rFonts w:ascii="宋体" w:hAnsi="宋体"/>
          <w:b/>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14:paraId="537D21B8">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2.4 </w:t>
      </w:r>
      <w:r>
        <w:rPr>
          <w:rFonts w:hint="eastAsia" w:ascii="宋体" w:hAnsi="宋体"/>
          <w:b/>
          <w:color w:val="000000" w:themeColor="text1"/>
          <w:sz w:val="24"/>
          <w:highlight w:val="none"/>
          <w14:textFill>
            <w14:solidFill>
              <w14:schemeClr w14:val="tx1"/>
            </w14:solidFill>
          </w14:textFill>
        </w:rPr>
        <w:t>履约检查和问题反馈</w:t>
      </w:r>
    </w:p>
    <w:p w14:paraId="2950A37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2.4.1甲方</w:t>
      </w:r>
      <w:r>
        <w:rPr>
          <w:rFonts w:hint="eastAsia" w:ascii="宋体" w:hAnsi="宋体"/>
          <w:color w:val="000000" w:themeColor="text1"/>
          <w:sz w:val="24"/>
          <w:highlight w:val="none"/>
          <w14:textFill>
            <w14:solidFill>
              <w14:schemeClr w14:val="tx1"/>
            </w14:solidFill>
          </w14:textFill>
        </w:rPr>
        <w:t>有权</w:t>
      </w:r>
      <w:r>
        <w:rPr>
          <w:rFonts w:ascii="宋体" w:hAnsi="宋体"/>
          <w:color w:val="000000" w:themeColor="text1"/>
          <w:sz w:val="24"/>
          <w:highlight w:val="none"/>
          <w14:textFill>
            <w14:solidFill>
              <w14:schemeClr w14:val="tx1"/>
            </w14:solidFill>
          </w14:textFill>
        </w:rPr>
        <w:t>在其认为必要时</w:t>
      </w:r>
      <w:r>
        <w:rPr>
          <w:rFonts w:hint="eastAsia" w:ascii="宋体" w:hAnsi="宋体"/>
          <w:color w:val="000000" w:themeColor="text1"/>
          <w:sz w:val="24"/>
          <w:highlight w:val="none"/>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14:paraId="6261F14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2.4.2 </w:t>
      </w:r>
      <w:r>
        <w:rPr>
          <w:rFonts w:hint="eastAsia" w:ascii="宋体" w:hAnsi="宋体"/>
          <w:color w:val="000000" w:themeColor="text1"/>
          <w:sz w:val="24"/>
          <w:highlight w:val="none"/>
          <w14:textFill>
            <w14:solidFill>
              <w14:schemeClr w14:val="tx1"/>
            </w14:solidFill>
          </w14:textFill>
        </w:rPr>
        <w:t>合同履行期间，甲方有权将履行过程中出现的问题反馈给乙方，双方当事人应以书面形式约定需要完善和改进的内容。</w:t>
      </w:r>
    </w:p>
    <w:p w14:paraId="10BB93C7">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468" w:name="_Toc32670"/>
      <w:bookmarkStart w:id="469" w:name="_Toc31233"/>
      <w:bookmarkStart w:id="470" w:name="_Toc15447"/>
      <w:bookmarkStart w:id="471" w:name="_Toc26555"/>
      <w:bookmarkStart w:id="472" w:name="_Toc22011"/>
      <w:r>
        <w:rPr>
          <w:rFonts w:ascii="宋体" w:hAnsi="宋体"/>
          <w:b/>
          <w:color w:val="000000" w:themeColor="text1"/>
          <w:sz w:val="24"/>
          <w:highlight w:val="none"/>
          <w14:textFill>
            <w14:solidFill>
              <w14:schemeClr w14:val="tx1"/>
            </w14:solidFill>
          </w14:textFill>
        </w:rPr>
        <w:t>2.5 结算方式和付款条件</w:t>
      </w:r>
      <w:bookmarkEnd w:id="468"/>
      <w:bookmarkEnd w:id="469"/>
      <w:bookmarkEnd w:id="470"/>
      <w:bookmarkEnd w:id="471"/>
      <w:bookmarkEnd w:id="472"/>
    </w:p>
    <w:p w14:paraId="783C484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详见</w:t>
      </w:r>
      <w:r>
        <w:rPr>
          <w:rFonts w:ascii="宋体" w:hAnsi="宋体"/>
          <w:b/>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14:paraId="4FF08803">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473" w:name="_Toc16163"/>
      <w:bookmarkStart w:id="474" w:name="_Toc13154"/>
      <w:bookmarkStart w:id="475" w:name="_Toc30507"/>
      <w:bookmarkStart w:id="476" w:name="_Toc13467"/>
      <w:bookmarkStart w:id="477" w:name="_Toc18990"/>
      <w:r>
        <w:rPr>
          <w:rFonts w:ascii="宋体" w:hAnsi="宋体"/>
          <w:b/>
          <w:color w:val="000000" w:themeColor="text1"/>
          <w:sz w:val="24"/>
          <w:highlight w:val="none"/>
          <w14:textFill>
            <w14:solidFill>
              <w14:schemeClr w14:val="tx1"/>
            </w14:solidFill>
          </w14:textFill>
        </w:rPr>
        <w:t>2.6 技术资料和保密义务</w:t>
      </w:r>
      <w:bookmarkEnd w:id="473"/>
      <w:bookmarkEnd w:id="474"/>
      <w:bookmarkEnd w:id="475"/>
      <w:bookmarkEnd w:id="476"/>
      <w:bookmarkEnd w:id="477"/>
    </w:p>
    <w:p w14:paraId="304FB8D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41FFA48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2.6.2 </w:t>
      </w:r>
      <w:r>
        <w:rPr>
          <w:rFonts w:hint="eastAsia" w:ascii="宋体" w:hAnsi="宋体"/>
          <w:color w:val="000000" w:themeColor="text1"/>
          <w:sz w:val="24"/>
          <w:highlight w:val="none"/>
          <w14:textFill>
            <w14:solidFill>
              <w14:schemeClr w14:val="tx1"/>
            </w14:solidFill>
          </w14:textFill>
        </w:rPr>
        <w:t>乙方有义务妥善保管和保护由甲方提供的前款信息和资料等；</w:t>
      </w:r>
    </w:p>
    <w:p w14:paraId="3D6F884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2.6.3 </w:t>
      </w:r>
      <w:r>
        <w:rPr>
          <w:rFonts w:hint="eastAsia" w:ascii="宋体" w:hAnsi="宋体"/>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highlight w:val="none"/>
          <w14:textFill>
            <w14:solidFill>
              <w14:schemeClr w14:val="tx1"/>
            </w14:solidFill>
          </w14:textFill>
        </w:rPr>
        <w:t>技术情报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技术资料</w:t>
      </w:r>
      <w:r>
        <w:rPr>
          <w:rFonts w:hint="eastAsia" w:ascii="宋体" w:hAnsi="宋体"/>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w:t>
      </w:r>
    </w:p>
    <w:p w14:paraId="7B24F313">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478" w:name="_Toc19069"/>
      <w:r>
        <w:rPr>
          <w:rFonts w:ascii="宋体" w:hAnsi="宋体"/>
          <w:b/>
          <w:color w:val="000000" w:themeColor="text1"/>
          <w:sz w:val="24"/>
          <w:highlight w:val="none"/>
          <w14:textFill>
            <w14:solidFill>
              <w14:schemeClr w14:val="tx1"/>
            </w14:solidFill>
          </w14:textFill>
        </w:rPr>
        <w:t xml:space="preserve">2.7 </w:t>
      </w:r>
      <w:r>
        <w:rPr>
          <w:rFonts w:hint="eastAsia" w:ascii="宋体" w:hAnsi="宋体"/>
          <w:b/>
          <w:color w:val="000000" w:themeColor="text1"/>
          <w:sz w:val="24"/>
          <w:highlight w:val="none"/>
          <w14:textFill>
            <w14:solidFill>
              <w14:schemeClr w14:val="tx1"/>
            </w14:solidFill>
          </w14:textFill>
        </w:rPr>
        <w:t>质量保证</w:t>
      </w:r>
      <w:bookmarkEnd w:id="478"/>
    </w:p>
    <w:p w14:paraId="6ECBA3E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2.7.1 </w:t>
      </w:r>
      <w:r>
        <w:rPr>
          <w:rFonts w:hint="eastAsia" w:ascii="宋体" w:hAnsi="宋体"/>
          <w:color w:val="000000" w:themeColor="text1"/>
          <w:sz w:val="24"/>
          <w:highlight w:val="none"/>
          <w14:textFill>
            <w14:solidFill>
              <w14:schemeClr w14:val="tx1"/>
            </w14:solidFill>
          </w14:textFill>
        </w:rPr>
        <w:t>乙方应建立和完善履行合同的内部质量保证体系，并提供相关内部规章制度给甲方，以便甲方进行监督检查；</w:t>
      </w:r>
    </w:p>
    <w:p w14:paraId="5437C93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2.7.2 </w:t>
      </w:r>
      <w:r>
        <w:rPr>
          <w:rFonts w:hint="eastAsia" w:ascii="宋体" w:hAnsi="宋体"/>
          <w:color w:val="000000" w:themeColor="text1"/>
          <w:sz w:val="24"/>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14:paraId="7ABB3DDF">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479" w:name="_Toc22267"/>
      <w:r>
        <w:rPr>
          <w:rFonts w:ascii="宋体" w:hAnsi="宋体"/>
          <w:b/>
          <w:color w:val="000000" w:themeColor="text1"/>
          <w:sz w:val="24"/>
          <w:highlight w:val="none"/>
          <w14:textFill>
            <w14:solidFill>
              <w14:schemeClr w14:val="tx1"/>
            </w14:solidFill>
          </w14:textFill>
        </w:rPr>
        <w:t xml:space="preserve">2.8 </w:t>
      </w:r>
      <w:r>
        <w:rPr>
          <w:rFonts w:hint="eastAsia" w:ascii="宋体" w:hAnsi="宋体"/>
          <w:b/>
          <w:color w:val="000000" w:themeColor="text1"/>
          <w:sz w:val="24"/>
          <w:highlight w:val="none"/>
          <w14:textFill>
            <w14:solidFill>
              <w14:schemeClr w14:val="tx1"/>
            </w14:solidFill>
          </w14:textFill>
        </w:rPr>
        <w:t>延迟履行</w:t>
      </w:r>
      <w:bookmarkEnd w:id="479"/>
    </w:p>
    <w:p w14:paraId="659FBE9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甲乙双方签订合同后，乙方应按照合同约定履行合同义务，除不可抗力外，乙方不得延迟履行。</w:t>
      </w:r>
      <w:r>
        <w:rPr>
          <w:rFonts w:ascii="宋体" w:hAnsi="宋体"/>
          <w:color w:val="000000" w:themeColor="text1"/>
          <w:sz w:val="24"/>
          <w:highlight w:val="none"/>
          <w14:textFill>
            <w14:solidFill>
              <w14:schemeClr w14:val="tx1"/>
            </w14:solidFill>
          </w14:textFill>
        </w:rPr>
        <w:t>在合同履行过程中，如果</w:t>
      </w:r>
      <w:r>
        <w:rPr>
          <w:rFonts w:hint="eastAsia" w:ascii="宋体" w:hAnsi="宋体"/>
          <w:color w:val="000000" w:themeColor="text1"/>
          <w:sz w:val="24"/>
          <w:highlight w:val="none"/>
          <w14:textFill>
            <w14:solidFill>
              <w14:schemeClr w14:val="tx1"/>
            </w14:solidFill>
          </w14:textFill>
        </w:rPr>
        <w:t>因不可抗力，</w:t>
      </w:r>
      <w:r>
        <w:rPr>
          <w:rFonts w:ascii="宋体" w:hAnsi="宋体"/>
          <w:color w:val="000000" w:themeColor="text1"/>
          <w:sz w:val="24"/>
          <w:highlight w:val="none"/>
          <w14:textFill>
            <w14:solidFill>
              <w14:schemeClr w14:val="tx1"/>
            </w14:solidFill>
          </w14:textFill>
        </w:rPr>
        <w:t>乙方遇到不能按时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的情况，应及时以书面形式将不能按时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的理由、预期延误时间通知甲方</w:t>
      </w:r>
      <w:r>
        <w:rPr>
          <w:rFonts w:hint="eastAsia" w:ascii="宋体" w:hAnsi="宋体"/>
          <w:color w:val="000000" w:themeColor="text1"/>
          <w:sz w:val="24"/>
          <w:highlight w:val="none"/>
          <w14:textFill>
            <w14:solidFill>
              <w14:schemeClr w14:val="tx1"/>
            </w14:solidFill>
          </w14:textFill>
        </w:rPr>
        <w:t>；甲</w:t>
      </w:r>
      <w:r>
        <w:rPr>
          <w:rFonts w:ascii="宋体" w:hAnsi="宋体"/>
          <w:color w:val="000000" w:themeColor="text1"/>
          <w:sz w:val="24"/>
          <w:highlight w:val="none"/>
          <w14:textFill>
            <w14:solidFill>
              <w14:schemeClr w14:val="tx1"/>
            </w14:solidFill>
          </w14:textFill>
        </w:rPr>
        <w:t>方收到乙方通知后，认为其理由正当的，可以书面形式酌情同意乙方可以延长</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的具体时间。</w:t>
      </w:r>
    </w:p>
    <w:p w14:paraId="1EABB445">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480" w:name="_Toc10611"/>
      <w:r>
        <w:rPr>
          <w:rFonts w:ascii="宋体" w:hAnsi="宋体"/>
          <w:b/>
          <w:color w:val="000000" w:themeColor="text1"/>
          <w:sz w:val="24"/>
          <w:highlight w:val="none"/>
          <w14:textFill>
            <w14:solidFill>
              <w14:schemeClr w14:val="tx1"/>
            </w14:solidFill>
          </w14:textFill>
        </w:rPr>
        <w:t xml:space="preserve">2.9 </w:t>
      </w:r>
      <w:r>
        <w:rPr>
          <w:rFonts w:hint="eastAsia" w:ascii="宋体" w:hAnsi="宋体"/>
          <w:b/>
          <w:color w:val="000000" w:themeColor="text1"/>
          <w:sz w:val="24"/>
          <w:highlight w:val="none"/>
          <w14:textFill>
            <w14:solidFill>
              <w14:schemeClr w14:val="tx1"/>
            </w14:solidFill>
          </w14:textFill>
        </w:rPr>
        <w:t>合同变更</w:t>
      </w:r>
      <w:bookmarkEnd w:id="480"/>
    </w:p>
    <w:p w14:paraId="490E4C9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16415990">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481" w:name="_Toc10663"/>
      <w:bookmarkStart w:id="482" w:name="_Toc42"/>
      <w:bookmarkStart w:id="483" w:name="_Toc21830"/>
      <w:bookmarkStart w:id="484" w:name="_Toc23368"/>
      <w:bookmarkStart w:id="485" w:name="_Toc26689"/>
      <w:r>
        <w:rPr>
          <w:rFonts w:ascii="宋体" w:hAnsi="宋体"/>
          <w:b/>
          <w:color w:val="000000" w:themeColor="text1"/>
          <w:sz w:val="24"/>
          <w:highlight w:val="none"/>
          <w14:textFill>
            <w14:solidFill>
              <w14:schemeClr w14:val="tx1"/>
            </w14:solidFill>
          </w14:textFill>
        </w:rPr>
        <w:t>2.10 合同转让和分包</w:t>
      </w:r>
      <w:bookmarkEnd w:id="481"/>
      <w:bookmarkEnd w:id="482"/>
      <w:bookmarkEnd w:id="483"/>
      <w:bookmarkEnd w:id="484"/>
      <w:bookmarkEnd w:id="485"/>
    </w:p>
    <w:p w14:paraId="253D1B6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合同的权利义务依法不</w:t>
      </w:r>
      <w:r>
        <w:rPr>
          <w:rFonts w:hint="eastAsia" w:ascii="宋体" w:hAnsi="宋体"/>
          <w:color w:val="000000" w:themeColor="text1"/>
          <w:sz w:val="24"/>
          <w:highlight w:val="none"/>
          <w14:textFill>
            <w14:solidFill>
              <w14:schemeClr w14:val="tx1"/>
            </w14:solidFill>
          </w14:textFill>
        </w:rPr>
        <w:t>得</w:t>
      </w:r>
      <w:r>
        <w:rPr>
          <w:rFonts w:ascii="宋体" w:hAnsi="宋体"/>
          <w:color w:val="000000" w:themeColor="text1"/>
          <w:sz w:val="24"/>
          <w:highlight w:val="none"/>
          <w14:textFill>
            <w14:solidFill>
              <w14:schemeClr w14:val="tx1"/>
            </w14:solidFill>
          </w14:textFill>
        </w:rPr>
        <w:t>转让</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但经甲方</w:t>
      </w:r>
      <w:r>
        <w:rPr>
          <w:rFonts w:hint="eastAsia" w:ascii="宋体" w:hAnsi="宋体"/>
          <w:color w:val="000000" w:themeColor="text1"/>
          <w:sz w:val="24"/>
          <w:highlight w:val="none"/>
          <w14:textFill>
            <w14:solidFill>
              <w14:schemeClr w14:val="tx1"/>
            </w14:solidFill>
          </w14:textFill>
        </w:rPr>
        <w:t>同意，乙方可以依法采取分包方式履行合同，即：依法可以</w:t>
      </w:r>
      <w:r>
        <w:rPr>
          <w:rFonts w:ascii="宋体" w:hAnsi="宋体"/>
          <w:color w:val="000000" w:themeColor="text1"/>
          <w:sz w:val="24"/>
          <w:highlight w:val="none"/>
          <w14:textFill>
            <w14:solidFill>
              <w14:schemeClr w14:val="tx1"/>
            </w14:solidFill>
          </w14:textFill>
        </w:rPr>
        <w:t>将合同项下的部分非主体、非关键性工作分包给他人完成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接受分包的人应当具备相应的资格条件，并不得再次分包</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且乙方应就分包项目向甲方负责</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并</w:t>
      </w:r>
      <w:r>
        <w:rPr>
          <w:rFonts w:hint="eastAsia" w:ascii="宋体" w:hAnsi="宋体"/>
          <w:color w:val="000000" w:themeColor="text1"/>
          <w:sz w:val="24"/>
          <w:highlight w:val="none"/>
          <w14:textFill>
            <w14:solidFill>
              <w14:schemeClr w14:val="tx1"/>
            </w14:solidFill>
          </w14:textFill>
        </w:rPr>
        <w:t>与分包供应商就分包项目向甲方承担连带责任。</w:t>
      </w:r>
    </w:p>
    <w:p w14:paraId="430CB666">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486" w:name="_Toc4720"/>
      <w:bookmarkStart w:id="487" w:name="_Toc25571"/>
      <w:bookmarkStart w:id="488" w:name="_Toc14371"/>
      <w:bookmarkStart w:id="489" w:name="_Toc26633"/>
      <w:bookmarkStart w:id="490" w:name="_Toc32494"/>
      <w:r>
        <w:rPr>
          <w:rFonts w:ascii="宋体" w:hAnsi="宋体"/>
          <w:b/>
          <w:color w:val="000000" w:themeColor="text1"/>
          <w:sz w:val="24"/>
          <w:highlight w:val="none"/>
          <w14:textFill>
            <w14:solidFill>
              <w14:schemeClr w14:val="tx1"/>
            </w14:solidFill>
          </w14:textFill>
        </w:rPr>
        <w:t>2.11 不可抗力</w:t>
      </w:r>
      <w:bookmarkEnd w:id="486"/>
      <w:bookmarkEnd w:id="487"/>
      <w:bookmarkEnd w:id="488"/>
      <w:bookmarkEnd w:id="489"/>
      <w:bookmarkEnd w:id="490"/>
    </w:p>
    <w:p w14:paraId="6345B7F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宋体" w:hAnsi="宋体"/>
          <w:color w:val="000000" w:themeColor="text1"/>
          <w:sz w:val="24"/>
          <w:highlight w:val="none"/>
          <w14:textFill>
            <w14:solidFill>
              <w14:schemeClr w14:val="tx1"/>
            </w14:solidFill>
          </w14:textFill>
        </w:rPr>
        <w:t>；</w:t>
      </w:r>
    </w:p>
    <w:p w14:paraId="0554AB4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2.11.2 </w:t>
      </w:r>
      <w:r>
        <w:rPr>
          <w:rFonts w:hint="eastAsia" w:ascii="宋体" w:hAnsi="宋体"/>
          <w:color w:val="000000" w:themeColor="text1"/>
          <w:sz w:val="24"/>
          <w:highlight w:val="none"/>
          <w14:textFill>
            <w14:solidFill>
              <w14:schemeClr w14:val="tx1"/>
            </w14:solidFill>
          </w14:textFill>
        </w:rPr>
        <w:t>因不可抗力致使不能实现合同目的的，当事人可以解除合同；</w:t>
      </w:r>
    </w:p>
    <w:p w14:paraId="0DFE62C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2.11.3 </w:t>
      </w:r>
      <w:r>
        <w:rPr>
          <w:rFonts w:hint="eastAsia" w:ascii="宋体" w:hAnsi="宋体"/>
          <w:color w:val="000000" w:themeColor="text1"/>
          <w:sz w:val="24"/>
          <w:highlight w:val="none"/>
          <w14:textFill>
            <w14:solidFill>
              <w14:schemeClr w14:val="tx1"/>
            </w14:solidFill>
          </w14:textFill>
        </w:rPr>
        <w:t>因</w:t>
      </w:r>
      <w:r>
        <w:rPr>
          <w:rFonts w:ascii="宋体" w:hAnsi="宋体"/>
          <w:color w:val="000000" w:themeColor="text1"/>
          <w:sz w:val="24"/>
          <w:highlight w:val="none"/>
          <w14:textFill>
            <w14:solidFill>
              <w14:schemeClr w14:val="tx1"/>
            </w14:solidFill>
          </w14:textFill>
        </w:rPr>
        <w:t>不可抗力致使合同有变更必要的，双方当事人应在</w:t>
      </w:r>
      <w:r>
        <w:rPr>
          <w:rFonts w:ascii="宋体" w:hAnsi="宋体"/>
          <w:b/>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约定时间内以书面形式变更合同</w:t>
      </w:r>
      <w:r>
        <w:rPr>
          <w:rFonts w:hint="eastAsia" w:ascii="宋体" w:hAnsi="宋体"/>
          <w:color w:val="000000" w:themeColor="text1"/>
          <w:sz w:val="24"/>
          <w:highlight w:val="none"/>
          <w14:textFill>
            <w14:solidFill>
              <w14:schemeClr w14:val="tx1"/>
            </w14:solidFill>
          </w14:textFill>
        </w:rPr>
        <w:t>；</w:t>
      </w:r>
    </w:p>
    <w:p w14:paraId="166C476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2.11.4受</w:t>
      </w:r>
      <w:r>
        <w:rPr>
          <w:rFonts w:hint="eastAsia" w:ascii="宋体" w:hAnsi="宋体"/>
          <w:color w:val="000000" w:themeColor="text1"/>
          <w:sz w:val="24"/>
          <w:highlight w:val="none"/>
          <w14:textFill>
            <w14:solidFill>
              <w14:schemeClr w14:val="tx1"/>
            </w14:solidFill>
          </w14:textFill>
        </w:rPr>
        <w:t>不可抗力</w:t>
      </w:r>
      <w:r>
        <w:rPr>
          <w:rFonts w:ascii="宋体" w:hAnsi="宋体"/>
          <w:color w:val="000000" w:themeColor="text1"/>
          <w:sz w:val="24"/>
          <w:highlight w:val="none"/>
          <w14:textFill>
            <w14:solidFill>
              <w14:schemeClr w14:val="tx1"/>
            </w14:solidFill>
          </w14:textFill>
        </w:rPr>
        <w:t>影响的一方在不可抗力发生后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应在</w:t>
      </w:r>
      <w:r>
        <w:rPr>
          <w:rFonts w:ascii="宋体" w:hAnsi="宋体"/>
          <w:b/>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约定时间内以书面形式通知</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14:textFill>
            <w14:solidFill>
              <w14:schemeClr w14:val="tx1"/>
            </w14:solidFill>
          </w14:textFill>
        </w:rPr>
        <w:t>方当事人，并在</w:t>
      </w:r>
      <w:r>
        <w:rPr>
          <w:rFonts w:ascii="宋体" w:hAnsi="宋体"/>
          <w:b/>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约定时间内，将有关部门出具的证明文件送达</w:t>
      </w:r>
      <w:r>
        <w:rPr>
          <w:rFonts w:hint="eastAsia" w:ascii="宋体" w:hAnsi="宋体"/>
          <w:color w:val="000000" w:themeColor="text1"/>
          <w:sz w:val="24"/>
          <w:highlight w:val="none"/>
          <w14:textFill>
            <w14:solidFill>
              <w14:schemeClr w14:val="tx1"/>
            </w14:solidFill>
          </w14:textFill>
        </w:rPr>
        <w:t>对方当事人</w:t>
      </w:r>
      <w:r>
        <w:rPr>
          <w:rFonts w:ascii="宋体" w:hAnsi="宋体"/>
          <w:color w:val="000000" w:themeColor="text1"/>
          <w:sz w:val="24"/>
          <w:highlight w:val="none"/>
          <w14:textFill>
            <w14:solidFill>
              <w14:schemeClr w14:val="tx1"/>
            </w14:solidFill>
          </w14:textFill>
        </w:rPr>
        <w:t>。</w:t>
      </w:r>
    </w:p>
    <w:p w14:paraId="2C32C26C">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491" w:name="_Toc24465"/>
      <w:bookmarkStart w:id="492" w:name="_Toc25783"/>
      <w:bookmarkStart w:id="493" w:name="_Toc23854"/>
      <w:bookmarkStart w:id="494" w:name="_Toc14115"/>
      <w:bookmarkStart w:id="495" w:name="_Toc3638"/>
      <w:r>
        <w:rPr>
          <w:rFonts w:ascii="宋体" w:hAnsi="宋体"/>
          <w:b/>
          <w:color w:val="000000" w:themeColor="text1"/>
          <w:sz w:val="24"/>
          <w:highlight w:val="none"/>
          <w14:textFill>
            <w14:solidFill>
              <w14:schemeClr w14:val="tx1"/>
            </w14:solidFill>
          </w14:textFill>
        </w:rPr>
        <w:t>2.12 税费</w:t>
      </w:r>
      <w:bookmarkEnd w:id="491"/>
      <w:bookmarkEnd w:id="492"/>
      <w:bookmarkEnd w:id="493"/>
      <w:bookmarkEnd w:id="494"/>
      <w:bookmarkEnd w:id="495"/>
    </w:p>
    <w:p w14:paraId="52DBC7D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与合同有关的一切税费</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均按照中华人民共和国法律的相关规定缴纳。</w:t>
      </w:r>
    </w:p>
    <w:p w14:paraId="5512EDD2">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496" w:name="_Toc7315"/>
      <w:bookmarkStart w:id="497" w:name="_Toc30105"/>
      <w:bookmarkStart w:id="498" w:name="_Toc26883"/>
      <w:bookmarkStart w:id="499" w:name="_Toc14814"/>
      <w:bookmarkStart w:id="500" w:name="_Toc25525"/>
      <w:r>
        <w:rPr>
          <w:rFonts w:ascii="宋体" w:hAnsi="宋体"/>
          <w:b/>
          <w:color w:val="000000" w:themeColor="text1"/>
          <w:sz w:val="24"/>
          <w:highlight w:val="none"/>
          <w14:textFill>
            <w14:solidFill>
              <w14:schemeClr w14:val="tx1"/>
            </w14:solidFill>
          </w14:textFill>
        </w:rPr>
        <w:t>2.13 乙方破产</w:t>
      </w:r>
      <w:bookmarkEnd w:id="496"/>
      <w:bookmarkEnd w:id="497"/>
      <w:bookmarkEnd w:id="498"/>
      <w:bookmarkEnd w:id="499"/>
      <w:bookmarkEnd w:id="500"/>
    </w:p>
    <w:p w14:paraId="37D7717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宋体" w:hAnsi="宋体"/>
          <w:color w:val="000000" w:themeColor="text1"/>
          <w:sz w:val="24"/>
          <w:highlight w:val="none"/>
          <w14:textFill>
            <w14:solidFill>
              <w14:schemeClr w14:val="tx1"/>
            </w14:solidFill>
          </w14:textFill>
        </w:rPr>
        <w:t>，但合同的</w:t>
      </w:r>
      <w:r>
        <w:rPr>
          <w:rFonts w:ascii="宋体" w:hAnsi="宋体"/>
          <w:color w:val="000000" w:themeColor="text1"/>
          <w:sz w:val="24"/>
          <w:highlight w:val="none"/>
          <w14:textFill>
            <w14:solidFill>
              <w14:schemeClr w14:val="tx1"/>
            </w14:solidFill>
          </w14:textFill>
        </w:rPr>
        <w:t>终止不损害或不影响甲方已经采取或将要采取的任何要求乙方支付违约金</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赔偿损失等的行动或补救措施的权利</w:t>
      </w:r>
      <w:r>
        <w:rPr>
          <w:rFonts w:hint="eastAsia" w:ascii="宋体" w:hAnsi="宋体"/>
          <w:color w:val="000000" w:themeColor="text1"/>
          <w:sz w:val="24"/>
          <w:highlight w:val="none"/>
          <w14:textFill>
            <w14:solidFill>
              <w14:schemeClr w14:val="tx1"/>
            </w14:solidFill>
          </w14:textFill>
        </w:rPr>
        <w:t>。</w:t>
      </w:r>
    </w:p>
    <w:p w14:paraId="25EB0517">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501" w:name="_Toc2016"/>
      <w:bookmarkStart w:id="502" w:name="_Toc1123"/>
      <w:bookmarkStart w:id="503" w:name="_Toc23323"/>
      <w:r>
        <w:rPr>
          <w:rFonts w:ascii="宋体" w:hAnsi="宋体"/>
          <w:b/>
          <w:color w:val="000000" w:themeColor="text1"/>
          <w:sz w:val="24"/>
          <w:highlight w:val="none"/>
          <w14:textFill>
            <w14:solidFill>
              <w14:schemeClr w14:val="tx1"/>
            </w14:solidFill>
          </w14:textFill>
        </w:rPr>
        <w:t>2.14 合同中止、终止</w:t>
      </w:r>
      <w:bookmarkEnd w:id="501"/>
      <w:bookmarkEnd w:id="502"/>
      <w:bookmarkEnd w:id="503"/>
    </w:p>
    <w:p w14:paraId="2C83C19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2.14.1 </w:t>
      </w:r>
      <w:r>
        <w:rPr>
          <w:rFonts w:hint="eastAsia" w:ascii="宋体" w:hAnsi="宋体"/>
          <w:color w:val="000000" w:themeColor="text1"/>
          <w:sz w:val="24"/>
          <w:highlight w:val="none"/>
          <w14:textFill>
            <w14:solidFill>
              <w14:schemeClr w14:val="tx1"/>
            </w14:solidFill>
          </w14:textFill>
        </w:rPr>
        <w:t>双方当事人不得擅自中止或者终止合同；</w:t>
      </w:r>
    </w:p>
    <w:p w14:paraId="7CA59D7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0679C0E2">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504" w:name="_Toc1969"/>
      <w:bookmarkStart w:id="505" w:name="_Toc17363"/>
      <w:bookmarkStart w:id="506" w:name="_Toc14525"/>
      <w:r>
        <w:rPr>
          <w:rFonts w:ascii="宋体" w:hAnsi="宋体"/>
          <w:b/>
          <w:color w:val="000000" w:themeColor="text1"/>
          <w:sz w:val="24"/>
          <w:highlight w:val="none"/>
          <w14:textFill>
            <w14:solidFill>
              <w14:schemeClr w14:val="tx1"/>
            </w14:solidFill>
          </w14:textFill>
        </w:rPr>
        <w:t>2.15 检验和验收</w:t>
      </w:r>
      <w:bookmarkEnd w:id="504"/>
      <w:bookmarkEnd w:id="505"/>
      <w:bookmarkEnd w:id="506"/>
    </w:p>
    <w:p w14:paraId="71E82687">
      <w:pPr>
        <w:tabs>
          <w:tab w:val="left" w:pos="360"/>
          <w:tab w:val="left" w:pos="540"/>
          <w:tab w:val="left" w:pos="1080"/>
        </w:tabs>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2.15.1 </w:t>
      </w:r>
      <w:r>
        <w:rPr>
          <w:rFonts w:hint="eastAsia" w:ascii="宋体" w:hAnsi="宋体"/>
          <w:color w:val="000000" w:themeColor="text1"/>
          <w:sz w:val="24"/>
          <w:highlight w:val="none"/>
          <w14:textFill>
            <w14:solidFill>
              <w14:schemeClr w14:val="tx1"/>
            </w14:solidFill>
          </w14:textFill>
        </w:rPr>
        <w:t>乙方按照</w:t>
      </w:r>
      <w:r>
        <w:rPr>
          <w:rFonts w:ascii="宋体" w:hAnsi="宋体"/>
          <w:b/>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定期提交服务报告</w:t>
      </w:r>
      <w:r>
        <w:rPr>
          <w:rFonts w:hint="eastAsia" w:ascii="宋体" w:hAnsi="宋体"/>
          <w:color w:val="000000" w:themeColor="text1"/>
          <w:sz w:val="24"/>
          <w:highlight w:val="none"/>
          <w14:textFill>
            <w14:solidFill>
              <w14:schemeClr w14:val="tx1"/>
            </w14:solidFill>
          </w14:textFill>
        </w:rPr>
        <w:t>，甲方按照</w:t>
      </w:r>
      <w:r>
        <w:rPr>
          <w:rFonts w:ascii="宋体" w:hAnsi="宋体"/>
          <w:b/>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的约定进行定期验收</w:t>
      </w:r>
      <w:r>
        <w:rPr>
          <w:rFonts w:hint="eastAsia" w:ascii="宋体" w:hAnsi="宋体"/>
          <w:color w:val="000000" w:themeColor="text1"/>
          <w:sz w:val="24"/>
          <w:highlight w:val="none"/>
          <w14:textFill>
            <w14:solidFill>
              <w14:schemeClr w14:val="tx1"/>
            </w14:solidFill>
          </w14:textFill>
        </w:rPr>
        <w:t>；</w:t>
      </w:r>
    </w:p>
    <w:p w14:paraId="41D60871">
      <w:pPr>
        <w:tabs>
          <w:tab w:val="left" w:pos="360"/>
          <w:tab w:val="left" w:pos="540"/>
          <w:tab w:val="left" w:pos="1080"/>
        </w:tabs>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2.15.2 </w:t>
      </w:r>
      <w:r>
        <w:rPr>
          <w:rFonts w:hint="eastAsia" w:ascii="宋体" w:hAnsi="宋体"/>
          <w:color w:val="000000" w:themeColor="text1"/>
          <w:sz w:val="24"/>
          <w:highlight w:val="none"/>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C508187">
      <w:pPr>
        <w:tabs>
          <w:tab w:val="left" w:pos="360"/>
          <w:tab w:val="left" w:pos="540"/>
          <w:tab w:val="left" w:pos="1080"/>
        </w:tabs>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2.15.3 </w:t>
      </w:r>
      <w:r>
        <w:rPr>
          <w:rFonts w:hint="eastAsia" w:ascii="宋体" w:hAnsi="宋体"/>
          <w:color w:val="000000" w:themeColor="text1"/>
          <w:sz w:val="24"/>
          <w:highlight w:val="none"/>
          <w14:textFill>
            <w14:solidFill>
              <w14:schemeClr w14:val="tx1"/>
            </w14:solidFill>
          </w14:textFill>
        </w:rPr>
        <w:t>检验和验收标准、程序等具体内容以及前述验收书的效力详见</w:t>
      </w:r>
      <w:r>
        <w:rPr>
          <w:rFonts w:ascii="宋体" w:hAnsi="宋体"/>
          <w:b/>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09D9000D">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507" w:name="_Toc31892"/>
      <w:bookmarkStart w:id="508" w:name="_Toc12666"/>
      <w:bookmarkStart w:id="509" w:name="_Toc25198"/>
      <w:bookmarkStart w:id="510" w:name="_Toc2308"/>
      <w:bookmarkStart w:id="511" w:name="_Toc9808"/>
      <w:r>
        <w:rPr>
          <w:rFonts w:ascii="宋体" w:hAnsi="宋体"/>
          <w:b/>
          <w:color w:val="000000" w:themeColor="text1"/>
          <w:sz w:val="24"/>
          <w:highlight w:val="none"/>
          <w14:textFill>
            <w14:solidFill>
              <w14:schemeClr w14:val="tx1"/>
            </w14:solidFill>
          </w14:textFill>
        </w:rPr>
        <w:t>2.16 通知和送达</w:t>
      </w:r>
      <w:bookmarkEnd w:id="507"/>
      <w:bookmarkEnd w:id="508"/>
      <w:bookmarkEnd w:id="509"/>
      <w:bookmarkEnd w:id="510"/>
      <w:bookmarkEnd w:id="511"/>
    </w:p>
    <w:p w14:paraId="3A026315">
      <w:pPr>
        <w:spacing w:line="360" w:lineRule="auto"/>
        <w:ind w:firstLine="480" w:firstLineChars="200"/>
        <w:rPr>
          <w:rFonts w:ascii="宋体" w:hAnsi="宋体"/>
          <w:color w:val="000000" w:themeColor="text1"/>
          <w:sz w:val="24"/>
          <w:highlight w:val="none"/>
          <w14:textFill>
            <w14:solidFill>
              <w14:schemeClr w14:val="tx1"/>
            </w14:solidFill>
          </w14:textFill>
        </w:rPr>
      </w:pPr>
      <w:bookmarkStart w:id="512" w:name="_Toc18401"/>
      <w:bookmarkStart w:id="513" w:name="_Toc27674"/>
      <w:r>
        <w:rPr>
          <w:rFonts w:ascii="宋体" w:hAnsi="宋体"/>
          <w:color w:val="000000" w:themeColor="text1"/>
          <w:sz w:val="24"/>
          <w:highlight w:val="none"/>
          <w14:textFill>
            <w14:solidFill>
              <w14:schemeClr w14:val="tx1"/>
            </w14:solidFill>
          </w14:textFill>
        </w:rPr>
        <w:t>2.17.1</w:t>
      </w:r>
      <w:r>
        <w:rPr>
          <w:rFonts w:hint="eastAsia" w:ascii="宋体" w:hAnsi="宋体"/>
          <w:color w:val="000000" w:themeColor="text1"/>
          <w:sz w:val="24"/>
          <w:highlight w:val="none"/>
          <w14:textFill>
            <w14:solidFill>
              <w14:schemeClr w14:val="tx1"/>
            </w14:solidFill>
          </w14:textFill>
        </w:rPr>
        <w:t>任何一方因履行合同而以合同第一部分尾部所列明的传真或电子邮件</w:t>
      </w:r>
      <w:r>
        <w:rPr>
          <w:rFonts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ascii="宋体" w:hAnsi="宋体"/>
          <w:color w:val="000000" w:themeColor="text1"/>
          <w:sz w:val="24"/>
          <w:highlight w:val="none"/>
          <w:u w:val="singl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2092972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000000" w:themeColor="text1"/>
          <w:sz w:val="24"/>
          <w:highlight w:val="none"/>
          <w14:textFill>
            <w14:solidFill>
              <w14:schemeClr w14:val="tx1"/>
            </w14:solidFill>
          </w14:textFill>
        </w:rPr>
        <w:t>的，邮件挂号寄出或者交邮之日之次日视为送达。</w:t>
      </w:r>
      <w:bookmarkEnd w:id="512"/>
      <w:bookmarkEnd w:id="513"/>
    </w:p>
    <w:p w14:paraId="77608474">
      <w:pPr>
        <w:spacing w:line="360" w:lineRule="auto"/>
        <w:ind w:firstLine="482" w:firstLineChars="200"/>
        <w:rPr>
          <w:rFonts w:ascii="宋体" w:hAnsi="宋体"/>
          <w:b/>
          <w:color w:val="000000" w:themeColor="text1"/>
          <w:sz w:val="24"/>
          <w:highlight w:val="none"/>
          <w14:textFill>
            <w14:solidFill>
              <w14:schemeClr w14:val="tx1"/>
            </w14:solidFill>
          </w14:textFill>
        </w:rPr>
      </w:pPr>
      <w:bookmarkStart w:id="514" w:name="_Toc20808"/>
      <w:bookmarkStart w:id="515" w:name="_Toc5063"/>
      <w:bookmarkStart w:id="516" w:name="_Toc28906"/>
      <w:bookmarkStart w:id="517" w:name="_Toc12254"/>
      <w:bookmarkStart w:id="518" w:name="_Toc27644"/>
      <w:r>
        <w:rPr>
          <w:rFonts w:ascii="宋体" w:hAnsi="宋体"/>
          <w:b/>
          <w:color w:val="000000" w:themeColor="text1"/>
          <w:sz w:val="24"/>
          <w:highlight w:val="none"/>
          <w14:textFill>
            <w14:solidFill>
              <w14:schemeClr w14:val="tx1"/>
            </w14:solidFill>
          </w14:textFill>
        </w:rPr>
        <w:t xml:space="preserve">2.17 </w:t>
      </w:r>
      <w:r>
        <w:rPr>
          <w:rFonts w:hint="eastAsia" w:ascii="宋体" w:hAnsi="宋体"/>
          <w:b/>
          <w:color w:val="000000" w:themeColor="text1"/>
          <w:sz w:val="24"/>
          <w:highlight w:val="none"/>
          <w14:textFill>
            <w14:solidFill>
              <w14:schemeClr w14:val="tx1"/>
            </w14:solidFill>
          </w14:textFill>
        </w:rPr>
        <w:t>合同使用的文字和</w:t>
      </w:r>
      <w:r>
        <w:rPr>
          <w:rFonts w:ascii="宋体" w:hAnsi="宋体"/>
          <w:b/>
          <w:color w:val="000000" w:themeColor="text1"/>
          <w:sz w:val="24"/>
          <w:highlight w:val="none"/>
          <w14:textFill>
            <w14:solidFill>
              <w14:schemeClr w14:val="tx1"/>
            </w14:solidFill>
          </w14:textFill>
        </w:rPr>
        <w:t>适用的法律</w:t>
      </w:r>
      <w:bookmarkEnd w:id="514"/>
      <w:bookmarkEnd w:id="515"/>
      <w:bookmarkEnd w:id="516"/>
      <w:bookmarkEnd w:id="517"/>
      <w:bookmarkEnd w:id="518"/>
    </w:p>
    <w:p w14:paraId="466806B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2.17.1 合同使用汉语书就</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变更和解释</w:t>
      </w:r>
      <w:r>
        <w:rPr>
          <w:rFonts w:hint="eastAsia" w:ascii="宋体" w:hAnsi="宋体"/>
          <w:color w:val="000000" w:themeColor="text1"/>
          <w:sz w:val="24"/>
          <w:highlight w:val="none"/>
          <w14:textFill>
            <w14:solidFill>
              <w14:schemeClr w14:val="tx1"/>
            </w14:solidFill>
          </w14:textFill>
        </w:rPr>
        <w:t>；</w:t>
      </w:r>
    </w:p>
    <w:p w14:paraId="0781E2B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2.17.2 </w:t>
      </w:r>
      <w:r>
        <w:rPr>
          <w:rFonts w:hint="eastAsia" w:ascii="宋体" w:hAnsi="宋体"/>
          <w:color w:val="000000" w:themeColor="text1"/>
          <w:sz w:val="24"/>
          <w:highlight w:val="none"/>
          <w14:textFill>
            <w14:solidFill>
              <w14:schemeClr w14:val="tx1"/>
            </w14:solidFill>
          </w14:textFill>
        </w:rPr>
        <w:t>合同适用</w:t>
      </w:r>
      <w:r>
        <w:rPr>
          <w:rFonts w:ascii="宋体" w:hAnsi="宋体"/>
          <w:color w:val="000000" w:themeColor="text1"/>
          <w:sz w:val="24"/>
          <w:highlight w:val="none"/>
          <w14:textFill>
            <w14:solidFill>
              <w14:schemeClr w14:val="tx1"/>
            </w14:solidFill>
          </w14:textFill>
        </w:rPr>
        <w:t>中华人民共和国法律。</w:t>
      </w:r>
    </w:p>
    <w:p w14:paraId="4075C951">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2.18 计量单位</w:t>
      </w:r>
    </w:p>
    <w:p w14:paraId="53CEB83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14:paraId="735DD4EC">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19</w:t>
      </w:r>
      <w:r>
        <w:rPr>
          <w:rFonts w:ascii="宋体" w:hAnsi="宋体"/>
          <w:b/>
          <w:color w:val="000000" w:themeColor="text1"/>
          <w:sz w:val="24"/>
          <w:highlight w:val="none"/>
          <w14:textFill>
            <w14:solidFill>
              <w14:schemeClr w14:val="tx1"/>
            </w14:solidFill>
          </w14:textFill>
        </w:rPr>
        <w:t>合同份数</w:t>
      </w:r>
    </w:p>
    <w:p w14:paraId="125152F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合同份数按</w:t>
      </w:r>
      <w:r>
        <w:rPr>
          <w:rFonts w:ascii="宋体" w:hAnsi="宋体"/>
          <w:b/>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规定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每份均具有同等法律效力</w:t>
      </w:r>
      <w:r>
        <w:rPr>
          <w:rFonts w:hint="eastAsia" w:ascii="宋体" w:hAnsi="宋体"/>
          <w:color w:val="000000" w:themeColor="text1"/>
          <w:sz w:val="24"/>
          <w:highlight w:val="none"/>
          <w14:textFill>
            <w14:solidFill>
              <w14:schemeClr w14:val="tx1"/>
            </w14:solidFill>
          </w14:textFill>
        </w:rPr>
        <w:t>。</w:t>
      </w:r>
    </w:p>
    <w:p w14:paraId="689B5B09">
      <w:pPr>
        <w:spacing w:line="360" w:lineRule="auto"/>
        <w:jc w:val="center"/>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r>
        <w:rPr>
          <w:rFonts w:hint="eastAsia" w:ascii="宋体" w:hAnsi="宋体" w:cs="宋体"/>
          <w:b/>
          <w:color w:val="000000" w:themeColor="text1"/>
          <w:sz w:val="24"/>
          <w:highlight w:val="none"/>
          <w14:textFill>
            <w14:solidFill>
              <w14:schemeClr w14:val="tx1"/>
            </w14:solidFill>
          </w14:textFill>
        </w:rPr>
        <w:t>第三节 合同专用条款</w:t>
      </w:r>
    </w:p>
    <w:p w14:paraId="7877F701">
      <w:pPr>
        <w:spacing w:line="360" w:lineRule="auto"/>
        <w:ind w:left="-420" w:leftChars="-200"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37"/>
        <w:gridCol w:w="8657"/>
      </w:tblGrid>
      <w:tr w14:paraId="3C8F6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0C34066B">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4464" w:type="pct"/>
            <w:vAlign w:val="center"/>
          </w:tcPr>
          <w:p w14:paraId="35F1241A">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约定内容</w:t>
            </w:r>
          </w:p>
        </w:tc>
      </w:tr>
      <w:tr w14:paraId="2E6A0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9C05BD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w:t>
            </w:r>
          </w:p>
        </w:tc>
        <w:tc>
          <w:tcPr>
            <w:tcW w:w="4464" w:type="pct"/>
            <w:vAlign w:val="center"/>
          </w:tcPr>
          <w:p w14:paraId="0FF29AD3">
            <w:pPr>
              <w:spacing w:line="360" w:lineRule="auto"/>
              <w:rPr>
                <w:rFonts w:ascii="宋体" w:hAnsi="宋体" w:cs="宋体"/>
                <w:color w:val="000000" w:themeColor="text1"/>
                <w:sz w:val="24"/>
                <w:highlight w:val="none"/>
                <w14:textFill>
                  <w14:solidFill>
                    <w14:schemeClr w14:val="tx1"/>
                  </w14:solidFill>
                </w14:textFill>
              </w:rPr>
            </w:pPr>
          </w:p>
        </w:tc>
      </w:tr>
      <w:tr w14:paraId="03D0C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962472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w:t>
            </w:r>
          </w:p>
        </w:tc>
        <w:tc>
          <w:tcPr>
            <w:tcW w:w="4464" w:type="pct"/>
            <w:vAlign w:val="center"/>
          </w:tcPr>
          <w:p w14:paraId="697E5A94">
            <w:pPr>
              <w:spacing w:line="360" w:lineRule="auto"/>
              <w:rPr>
                <w:rFonts w:ascii="宋体" w:hAnsi="宋体" w:cs="宋体"/>
                <w:color w:val="000000" w:themeColor="text1"/>
                <w:sz w:val="24"/>
                <w:highlight w:val="none"/>
                <w14:textFill>
                  <w14:solidFill>
                    <w14:schemeClr w14:val="tx1"/>
                  </w14:solidFill>
                </w14:textFill>
              </w:rPr>
            </w:pPr>
          </w:p>
        </w:tc>
      </w:tr>
      <w:tr w14:paraId="16C2E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F8659C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1.5.1 </w:t>
            </w:r>
          </w:p>
        </w:tc>
        <w:tc>
          <w:tcPr>
            <w:tcW w:w="4464" w:type="pct"/>
            <w:vAlign w:val="center"/>
          </w:tcPr>
          <w:p w14:paraId="4788E85E">
            <w:pPr>
              <w:spacing w:line="360" w:lineRule="auto"/>
              <w:rPr>
                <w:rFonts w:ascii="宋体" w:hAnsi="宋体" w:cs="宋体"/>
                <w:color w:val="000000" w:themeColor="text1"/>
                <w:sz w:val="24"/>
                <w:highlight w:val="none"/>
                <w14:textFill>
                  <w14:solidFill>
                    <w14:schemeClr w14:val="tx1"/>
                  </w14:solidFill>
                </w14:textFill>
              </w:rPr>
            </w:pPr>
          </w:p>
        </w:tc>
      </w:tr>
      <w:tr w14:paraId="46E08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4AE689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w:t>
            </w:r>
          </w:p>
        </w:tc>
        <w:tc>
          <w:tcPr>
            <w:tcW w:w="4464" w:type="pct"/>
            <w:vAlign w:val="center"/>
          </w:tcPr>
          <w:p w14:paraId="44FE5495">
            <w:pPr>
              <w:spacing w:line="360" w:lineRule="auto"/>
              <w:rPr>
                <w:rFonts w:ascii="宋体" w:hAnsi="宋体" w:cs="宋体"/>
                <w:color w:val="000000" w:themeColor="text1"/>
                <w:sz w:val="24"/>
                <w:highlight w:val="none"/>
                <w14:textFill>
                  <w14:solidFill>
                    <w14:schemeClr w14:val="tx1"/>
                  </w14:solidFill>
                </w14:textFill>
              </w:rPr>
            </w:pPr>
          </w:p>
        </w:tc>
      </w:tr>
      <w:tr w14:paraId="23B55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57F46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1.5.3 </w:t>
            </w:r>
          </w:p>
        </w:tc>
        <w:tc>
          <w:tcPr>
            <w:tcW w:w="4464" w:type="pct"/>
            <w:vAlign w:val="center"/>
          </w:tcPr>
          <w:p w14:paraId="70A98860">
            <w:pPr>
              <w:spacing w:line="360" w:lineRule="auto"/>
              <w:rPr>
                <w:rFonts w:ascii="宋体" w:hAnsi="宋体" w:cs="宋体"/>
                <w:color w:val="000000" w:themeColor="text1"/>
                <w:sz w:val="24"/>
                <w:highlight w:val="none"/>
                <w14:textFill>
                  <w14:solidFill>
                    <w14:schemeClr w14:val="tx1"/>
                  </w14:solidFill>
                </w14:textFill>
              </w:rPr>
            </w:pPr>
          </w:p>
        </w:tc>
      </w:tr>
      <w:tr w14:paraId="43D58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3FB78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p>
        </w:tc>
        <w:tc>
          <w:tcPr>
            <w:tcW w:w="4464" w:type="pct"/>
            <w:vAlign w:val="center"/>
          </w:tcPr>
          <w:p w14:paraId="023340EC">
            <w:pPr>
              <w:spacing w:line="360" w:lineRule="auto"/>
              <w:rPr>
                <w:rFonts w:ascii="宋体" w:hAnsi="宋体" w:cs="宋体"/>
                <w:color w:val="000000" w:themeColor="text1"/>
                <w:sz w:val="24"/>
                <w:highlight w:val="none"/>
                <w14:textFill>
                  <w14:solidFill>
                    <w14:schemeClr w14:val="tx1"/>
                  </w14:solidFill>
                </w14:textFill>
              </w:rPr>
            </w:pPr>
          </w:p>
        </w:tc>
      </w:tr>
      <w:tr w14:paraId="406BC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60F7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p>
        </w:tc>
        <w:tc>
          <w:tcPr>
            <w:tcW w:w="4464" w:type="pct"/>
            <w:vAlign w:val="center"/>
          </w:tcPr>
          <w:p w14:paraId="01D7A40B">
            <w:pPr>
              <w:spacing w:line="360" w:lineRule="auto"/>
              <w:rPr>
                <w:rFonts w:ascii="宋体" w:hAnsi="宋体" w:cs="宋体"/>
                <w:color w:val="000000" w:themeColor="text1"/>
                <w:sz w:val="24"/>
                <w:highlight w:val="none"/>
                <w14:textFill>
                  <w14:solidFill>
                    <w14:schemeClr w14:val="tx1"/>
                  </w14:solidFill>
                </w14:textFill>
              </w:rPr>
            </w:pPr>
          </w:p>
        </w:tc>
      </w:tr>
      <w:tr w14:paraId="5DB86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9E4ADC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w:t>
            </w:r>
          </w:p>
        </w:tc>
        <w:tc>
          <w:tcPr>
            <w:tcW w:w="4464" w:type="pct"/>
            <w:vAlign w:val="center"/>
          </w:tcPr>
          <w:p w14:paraId="16D34091">
            <w:pPr>
              <w:spacing w:line="360" w:lineRule="auto"/>
              <w:rPr>
                <w:rFonts w:ascii="宋体" w:hAnsi="宋体" w:cs="宋体"/>
                <w:color w:val="000000" w:themeColor="text1"/>
                <w:sz w:val="24"/>
                <w:highlight w:val="none"/>
                <w14:textFill>
                  <w14:solidFill>
                    <w14:schemeClr w14:val="tx1"/>
                  </w14:solidFill>
                </w14:textFill>
              </w:rPr>
            </w:pPr>
          </w:p>
        </w:tc>
      </w:tr>
      <w:tr w14:paraId="7AB62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0A927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p>
        </w:tc>
        <w:tc>
          <w:tcPr>
            <w:tcW w:w="4464" w:type="pct"/>
            <w:vAlign w:val="center"/>
          </w:tcPr>
          <w:p w14:paraId="20FCCC4E">
            <w:pPr>
              <w:spacing w:line="360" w:lineRule="auto"/>
              <w:rPr>
                <w:rFonts w:ascii="宋体" w:hAnsi="宋体" w:cs="宋体"/>
                <w:color w:val="000000" w:themeColor="text1"/>
                <w:sz w:val="24"/>
                <w:highlight w:val="none"/>
                <w14:textFill>
                  <w14:solidFill>
                    <w14:schemeClr w14:val="tx1"/>
                  </w14:solidFill>
                </w14:textFill>
              </w:rPr>
            </w:pPr>
          </w:p>
        </w:tc>
      </w:tr>
      <w:tr w14:paraId="2C933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88E5F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w:t>
            </w:r>
          </w:p>
        </w:tc>
        <w:tc>
          <w:tcPr>
            <w:tcW w:w="4464" w:type="pct"/>
            <w:vAlign w:val="center"/>
          </w:tcPr>
          <w:p w14:paraId="280FA98F">
            <w:pPr>
              <w:spacing w:line="360" w:lineRule="auto"/>
              <w:rPr>
                <w:rFonts w:ascii="宋体" w:hAnsi="宋体" w:cs="宋体"/>
                <w:color w:val="000000" w:themeColor="text1"/>
                <w:sz w:val="24"/>
                <w:highlight w:val="none"/>
                <w14:textFill>
                  <w14:solidFill>
                    <w14:schemeClr w14:val="tx1"/>
                  </w14:solidFill>
                </w14:textFill>
              </w:rPr>
            </w:pPr>
          </w:p>
        </w:tc>
      </w:tr>
      <w:tr w14:paraId="6EA00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33E182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w:t>
            </w:r>
          </w:p>
        </w:tc>
        <w:tc>
          <w:tcPr>
            <w:tcW w:w="4464" w:type="pct"/>
            <w:vAlign w:val="center"/>
          </w:tcPr>
          <w:p w14:paraId="6DA6B132">
            <w:pPr>
              <w:spacing w:line="360" w:lineRule="auto"/>
              <w:rPr>
                <w:rFonts w:ascii="宋体" w:hAnsi="宋体" w:cs="宋体"/>
                <w:color w:val="000000" w:themeColor="text1"/>
                <w:sz w:val="24"/>
                <w:highlight w:val="none"/>
                <w14:textFill>
                  <w14:solidFill>
                    <w14:schemeClr w14:val="tx1"/>
                  </w14:solidFill>
                </w14:textFill>
              </w:rPr>
            </w:pPr>
          </w:p>
        </w:tc>
      </w:tr>
      <w:tr w14:paraId="6AE8A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3C64C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w:t>
            </w:r>
          </w:p>
        </w:tc>
        <w:tc>
          <w:tcPr>
            <w:tcW w:w="4464" w:type="pct"/>
            <w:vAlign w:val="center"/>
          </w:tcPr>
          <w:p w14:paraId="31FABEEA">
            <w:pPr>
              <w:spacing w:line="360" w:lineRule="auto"/>
              <w:rPr>
                <w:rFonts w:ascii="宋体" w:hAnsi="宋体" w:cs="宋体"/>
                <w:color w:val="000000" w:themeColor="text1"/>
                <w:sz w:val="24"/>
                <w:highlight w:val="none"/>
                <w14:textFill>
                  <w14:solidFill>
                    <w14:schemeClr w14:val="tx1"/>
                  </w14:solidFill>
                </w14:textFill>
              </w:rPr>
            </w:pPr>
          </w:p>
        </w:tc>
      </w:tr>
      <w:tr w14:paraId="7729D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F9595A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w:t>
            </w:r>
          </w:p>
        </w:tc>
        <w:tc>
          <w:tcPr>
            <w:tcW w:w="4464" w:type="pct"/>
            <w:vAlign w:val="center"/>
          </w:tcPr>
          <w:p w14:paraId="51E5D6CD">
            <w:pPr>
              <w:spacing w:line="360" w:lineRule="auto"/>
              <w:rPr>
                <w:rFonts w:ascii="宋体" w:hAnsi="宋体" w:cs="宋体"/>
                <w:color w:val="000000" w:themeColor="text1"/>
                <w:sz w:val="24"/>
                <w:highlight w:val="none"/>
                <w14:textFill>
                  <w14:solidFill>
                    <w14:schemeClr w14:val="tx1"/>
                  </w14:solidFill>
                </w14:textFill>
              </w:rPr>
            </w:pPr>
          </w:p>
        </w:tc>
      </w:tr>
      <w:tr w14:paraId="4083C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A6A9B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w:t>
            </w:r>
          </w:p>
        </w:tc>
        <w:tc>
          <w:tcPr>
            <w:tcW w:w="4464" w:type="pct"/>
            <w:vAlign w:val="center"/>
          </w:tcPr>
          <w:p w14:paraId="1D46DEFB">
            <w:pPr>
              <w:spacing w:line="360" w:lineRule="auto"/>
              <w:rPr>
                <w:rFonts w:ascii="宋体" w:hAnsi="宋体" w:cs="宋体"/>
                <w:color w:val="000000" w:themeColor="text1"/>
                <w:sz w:val="24"/>
                <w:highlight w:val="none"/>
                <w14:textFill>
                  <w14:solidFill>
                    <w14:schemeClr w14:val="tx1"/>
                  </w14:solidFill>
                </w14:textFill>
              </w:rPr>
            </w:pPr>
          </w:p>
        </w:tc>
      </w:tr>
      <w:tr w14:paraId="14B4B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88B989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w:t>
            </w:r>
          </w:p>
        </w:tc>
        <w:tc>
          <w:tcPr>
            <w:tcW w:w="4464" w:type="pct"/>
            <w:vAlign w:val="center"/>
          </w:tcPr>
          <w:p w14:paraId="45FA1BE7">
            <w:pPr>
              <w:spacing w:line="360" w:lineRule="auto"/>
              <w:rPr>
                <w:rFonts w:ascii="宋体" w:hAnsi="宋体" w:cs="宋体"/>
                <w:color w:val="000000" w:themeColor="text1"/>
                <w:sz w:val="24"/>
                <w:highlight w:val="none"/>
                <w14:textFill>
                  <w14:solidFill>
                    <w14:schemeClr w14:val="tx1"/>
                  </w14:solidFill>
                </w14:textFill>
              </w:rPr>
            </w:pPr>
          </w:p>
        </w:tc>
      </w:tr>
      <w:tr w14:paraId="23A0A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86521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w:t>
            </w:r>
          </w:p>
        </w:tc>
        <w:tc>
          <w:tcPr>
            <w:tcW w:w="4464" w:type="pct"/>
            <w:vAlign w:val="center"/>
          </w:tcPr>
          <w:p w14:paraId="6253AA59">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14:paraId="7824D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BA1BA0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5</w:t>
            </w:r>
          </w:p>
        </w:tc>
        <w:tc>
          <w:tcPr>
            <w:tcW w:w="4464" w:type="pct"/>
            <w:vAlign w:val="center"/>
          </w:tcPr>
          <w:p w14:paraId="0D85B2D2">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14:paraId="01D3B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82F33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p>
        </w:tc>
        <w:tc>
          <w:tcPr>
            <w:tcW w:w="4464" w:type="pct"/>
            <w:vAlign w:val="center"/>
          </w:tcPr>
          <w:p w14:paraId="2EC4579B">
            <w:pPr>
              <w:spacing w:line="360" w:lineRule="auto"/>
              <w:rPr>
                <w:rFonts w:ascii="宋体" w:hAnsi="宋体" w:cs="宋体"/>
                <w:color w:val="000000" w:themeColor="text1"/>
                <w:sz w:val="24"/>
                <w:highlight w:val="none"/>
                <w14:textFill>
                  <w14:solidFill>
                    <w14:schemeClr w14:val="tx1"/>
                  </w14:solidFill>
                </w14:textFill>
              </w:rPr>
            </w:pPr>
          </w:p>
        </w:tc>
      </w:tr>
      <w:tr w14:paraId="709F3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0B030EC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11.4</w:t>
            </w:r>
            <w:r>
              <w:rPr>
                <w:rFonts w:hint="eastAsia" w:ascii="宋体" w:hAnsi="宋体" w:cs="宋体"/>
                <w:color w:val="000000" w:themeColor="text1"/>
                <w:sz w:val="24"/>
                <w:highlight w:val="none"/>
                <w14:textFill>
                  <w14:solidFill>
                    <w14:schemeClr w14:val="tx1"/>
                  </w14:solidFill>
                </w14:textFill>
              </w:rPr>
              <w:t xml:space="preserve"> </w:t>
            </w:r>
          </w:p>
        </w:tc>
        <w:tc>
          <w:tcPr>
            <w:tcW w:w="4464" w:type="pct"/>
          </w:tcPr>
          <w:p w14:paraId="2459EDDB">
            <w:pPr>
              <w:spacing w:line="360" w:lineRule="auto"/>
              <w:rPr>
                <w:rFonts w:ascii="宋体" w:hAnsi="宋体" w:cs="宋体"/>
                <w:color w:val="000000" w:themeColor="text1"/>
                <w:sz w:val="24"/>
                <w:highlight w:val="none"/>
                <w14:textFill>
                  <w14:solidFill>
                    <w14:schemeClr w14:val="tx1"/>
                  </w14:solidFill>
                </w14:textFill>
              </w:rPr>
            </w:pPr>
          </w:p>
        </w:tc>
      </w:tr>
      <w:tr w14:paraId="22C4B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5B2AA4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w:t>
            </w:r>
          </w:p>
        </w:tc>
        <w:tc>
          <w:tcPr>
            <w:tcW w:w="4464" w:type="pct"/>
            <w:vAlign w:val="center"/>
          </w:tcPr>
          <w:p w14:paraId="3BC1FD54">
            <w:pPr>
              <w:spacing w:line="360" w:lineRule="auto"/>
              <w:rPr>
                <w:rFonts w:ascii="宋体" w:hAnsi="宋体" w:cs="宋体"/>
                <w:color w:val="000000" w:themeColor="text1"/>
                <w:sz w:val="24"/>
                <w:highlight w:val="none"/>
                <w14:textFill>
                  <w14:solidFill>
                    <w14:schemeClr w14:val="tx1"/>
                  </w14:solidFill>
                </w14:textFill>
              </w:rPr>
            </w:pPr>
          </w:p>
        </w:tc>
      </w:tr>
      <w:tr w14:paraId="13E8F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F624E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p>
        </w:tc>
        <w:tc>
          <w:tcPr>
            <w:tcW w:w="4464" w:type="pct"/>
            <w:vAlign w:val="center"/>
          </w:tcPr>
          <w:p w14:paraId="5888B94D">
            <w:pPr>
              <w:spacing w:line="360" w:lineRule="auto"/>
              <w:rPr>
                <w:rFonts w:ascii="宋体" w:hAnsi="宋体" w:cs="宋体"/>
                <w:color w:val="000000" w:themeColor="text1"/>
                <w:sz w:val="24"/>
                <w:highlight w:val="none"/>
                <w14:textFill>
                  <w14:solidFill>
                    <w14:schemeClr w14:val="tx1"/>
                  </w14:solidFill>
                </w14:textFill>
              </w:rPr>
            </w:pPr>
          </w:p>
        </w:tc>
      </w:tr>
      <w:tr w14:paraId="16E25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751DEB4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w:t>
            </w:r>
          </w:p>
        </w:tc>
        <w:tc>
          <w:tcPr>
            <w:tcW w:w="4464" w:type="pct"/>
          </w:tcPr>
          <w:p w14:paraId="5D496782">
            <w:pPr>
              <w:spacing w:line="360" w:lineRule="auto"/>
              <w:rPr>
                <w:rFonts w:ascii="宋体" w:hAnsi="宋体" w:cs="宋体"/>
                <w:color w:val="000000" w:themeColor="text1"/>
                <w:sz w:val="24"/>
                <w:highlight w:val="none"/>
                <w14:textFill>
                  <w14:solidFill>
                    <w14:schemeClr w14:val="tx1"/>
                  </w14:solidFill>
                </w14:textFill>
              </w:rPr>
            </w:pPr>
          </w:p>
        </w:tc>
      </w:tr>
    </w:tbl>
    <w:p w14:paraId="08E00BA7">
      <w:pPr>
        <w:adjustRightInd/>
        <w:jc w:val="center"/>
        <w:rPr>
          <w:rFonts w:ascii="宋体" w:hAnsi="宋体" w:cs="宋体"/>
          <w:b/>
          <w:bCs/>
          <w:color w:val="auto"/>
          <w:spacing w:val="-20"/>
          <w:kern w:val="44"/>
          <w:sz w:val="48"/>
          <w:szCs w:val="48"/>
          <w:highlight w:val="none"/>
        </w:rPr>
      </w:pPr>
    </w:p>
    <w:p w14:paraId="5CB1113F">
      <w:pPr>
        <w:adjustRightInd/>
        <w:jc w:val="center"/>
        <w:rPr>
          <w:rFonts w:ascii="宋体" w:hAnsi="宋体" w:cs="宋体"/>
          <w:b/>
          <w:bCs/>
          <w:color w:val="auto"/>
          <w:spacing w:val="-20"/>
          <w:kern w:val="44"/>
          <w:sz w:val="48"/>
          <w:szCs w:val="48"/>
          <w:highlight w:val="none"/>
        </w:rPr>
      </w:pPr>
    </w:p>
    <w:bookmarkEnd w:id="413"/>
    <w:p w14:paraId="090F214C">
      <w:pPr>
        <w:adjustRightInd/>
        <w:rPr>
          <w:color w:val="auto"/>
          <w:highlight w:val="none"/>
        </w:rPr>
      </w:pPr>
    </w:p>
    <w:p w14:paraId="4540C93C">
      <w:pPr>
        <w:adjustRightInd/>
        <w:rPr>
          <w:color w:val="auto"/>
          <w:highlight w:val="none"/>
        </w:rPr>
      </w:pPr>
    </w:p>
    <w:p w14:paraId="64471FC1">
      <w:pPr>
        <w:tabs>
          <w:tab w:val="left" w:pos="432"/>
        </w:tabs>
        <w:rPr>
          <w:color w:val="auto"/>
          <w:highlight w:val="none"/>
        </w:rPr>
      </w:pPr>
    </w:p>
    <w:p w14:paraId="4A8A73C6">
      <w:pPr>
        <w:rPr>
          <w:color w:val="auto"/>
          <w:highlight w:val="none"/>
        </w:rPr>
      </w:pPr>
    </w:p>
    <w:p w14:paraId="0E488AF4">
      <w:pPr>
        <w:spacing w:line="360" w:lineRule="auto"/>
        <w:ind w:left="720" w:firstLine="723" w:firstLineChars="200"/>
        <w:outlineLvl w:val="0"/>
        <w:rPr>
          <w:rFonts w:ascii="宋体" w:hAnsi="宋体" w:cs="宋体"/>
          <w:b/>
          <w:color w:val="auto"/>
          <w:sz w:val="36"/>
          <w:szCs w:val="20"/>
          <w:highlight w:val="none"/>
        </w:rPr>
      </w:pPr>
      <w:bookmarkStart w:id="519" w:name="_Toc29013"/>
      <w:bookmarkStart w:id="520" w:name="_Toc176185126"/>
      <w:bookmarkStart w:id="521" w:name="_Toc176343853"/>
      <w:r>
        <w:rPr>
          <w:rFonts w:hint="eastAsia" w:ascii="宋体" w:hAnsi="宋体" w:cs="宋体"/>
          <w:b/>
          <w:color w:val="auto"/>
          <w:sz w:val="36"/>
          <w:szCs w:val="20"/>
          <w:highlight w:val="none"/>
        </w:rPr>
        <w:t>第六部分</w:t>
      </w:r>
      <w:bookmarkEnd w:id="408"/>
      <w:r>
        <w:rPr>
          <w:rFonts w:hint="eastAsia" w:ascii="宋体" w:hAnsi="宋体" w:cs="宋体"/>
          <w:b/>
          <w:color w:val="auto"/>
          <w:sz w:val="36"/>
          <w:szCs w:val="20"/>
          <w:highlight w:val="none"/>
        </w:rPr>
        <w:t xml:space="preserve"> </w:t>
      </w:r>
      <w:bookmarkEnd w:id="409"/>
      <w:r>
        <w:rPr>
          <w:rFonts w:hint="eastAsia" w:ascii="宋体" w:hAnsi="宋体" w:cs="宋体"/>
          <w:b/>
          <w:color w:val="auto"/>
          <w:sz w:val="36"/>
          <w:szCs w:val="20"/>
          <w:highlight w:val="none"/>
        </w:rPr>
        <w:t xml:space="preserve"> 应提交的有关格式范例</w:t>
      </w:r>
      <w:bookmarkEnd w:id="519"/>
      <w:bookmarkEnd w:id="520"/>
      <w:bookmarkEnd w:id="521"/>
    </w:p>
    <w:p w14:paraId="2DF53BEE">
      <w:pPr>
        <w:pStyle w:val="82"/>
        <w:rPr>
          <w:color w:val="auto"/>
          <w:highlight w:val="none"/>
        </w:rPr>
      </w:pPr>
    </w:p>
    <w:p w14:paraId="4559B1F4">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F24B2B4">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842D66D">
      <w:pPr>
        <w:pStyle w:val="82"/>
        <w:rPr>
          <w:color w:val="auto"/>
          <w:highlight w:val="none"/>
        </w:rPr>
      </w:pPr>
    </w:p>
    <w:p w14:paraId="2BF400C0">
      <w:pPr>
        <w:snapToGrid w:val="0"/>
        <w:spacing w:line="360" w:lineRule="auto"/>
        <w:rPr>
          <w:rFonts w:ascii="宋体" w:hAnsi="宋体" w:cs="宋体"/>
          <w:color w:val="auto"/>
          <w:sz w:val="24"/>
          <w:highlight w:val="none"/>
        </w:rPr>
      </w:pPr>
      <w:r>
        <w:rPr>
          <w:rFonts w:hint="eastAsia" w:ascii="宋体" w:hAnsi="宋体" w:cs="宋体"/>
          <w:color w:val="auto"/>
          <w:szCs w:val="21"/>
          <w:highlight w:val="none"/>
        </w:rPr>
        <w:t>▲</w:t>
      </w:r>
      <w:r>
        <w:rPr>
          <w:rFonts w:hint="eastAsia" w:ascii="宋体" w:hAnsi="宋体" w:cs="宋体"/>
          <w:color w:val="auto"/>
          <w:sz w:val="24"/>
          <w:highlight w:val="none"/>
        </w:rPr>
        <w:t>（1）符合参加政府采购活动应当具备的一般条件的承诺函…………（页码）</w:t>
      </w:r>
    </w:p>
    <w:p w14:paraId="1BD4B6A4">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6138690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C59230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2638D93C">
      <w:pPr>
        <w:snapToGrid w:val="0"/>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“▲”系指实质性要求，必须提供，否则投标无效。</w:t>
      </w:r>
    </w:p>
    <w:p w14:paraId="28125651">
      <w:pPr>
        <w:spacing w:line="360" w:lineRule="auto"/>
        <w:ind w:firstLine="480" w:firstLineChars="200"/>
        <w:rPr>
          <w:rFonts w:ascii="宋体" w:hAnsi="宋体" w:cs="宋体"/>
          <w:color w:val="auto"/>
          <w:sz w:val="24"/>
          <w:highlight w:val="none"/>
        </w:rPr>
      </w:pPr>
    </w:p>
    <w:p w14:paraId="1F22DD7D">
      <w:pPr>
        <w:snapToGrid w:val="0"/>
        <w:spacing w:line="360" w:lineRule="auto"/>
        <w:ind w:right="480"/>
        <w:jc w:val="center"/>
        <w:rPr>
          <w:rFonts w:ascii="宋体" w:hAnsi="宋体" w:cs="宋体"/>
          <w:color w:val="auto"/>
          <w:kern w:val="0"/>
          <w:sz w:val="24"/>
          <w:highlight w:val="none"/>
        </w:rPr>
      </w:pPr>
      <w:r>
        <w:rPr>
          <w:rFonts w:hint="eastAsia" w:ascii="宋体" w:hAnsi="宋体" w:cs="宋体"/>
          <w:color w:val="auto"/>
          <w:kern w:val="0"/>
          <w:sz w:val="24"/>
          <w:highlight w:val="none"/>
        </w:rPr>
        <w:br w:type="page"/>
      </w:r>
    </w:p>
    <w:p w14:paraId="5E0AC1C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一、 符合参加政府采购活动应当具备的一般条件的承诺函</w:t>
      </w:r>
    </w:p>
    <w:p w14:paraId="7521E7AA">
      <w:pPr>
        <w:snapToGrid w:val="0"/>
        <w:spacing w:line="360" w:lineRule="auto"/>
        <w:ind w:right="480"/>
        <w:jc w:val="center"/>
        <w:rPr>
          <w:rFonts w:ascii="宋体" w:hAnsi="宋体" w:cs="宋体"/>
          <w:color w:val="auto"/>
          <w:sz w:val="24"/>
          <w:highlight w:val="none"/>
        </w:rPr>
      </w:pPr>
    </w:p>
    <w:p w14:paraId="36E1BD6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北海市政府采购供应商信用承诺函（格式）</w:t>
      </w:r>
    </w:p>
    <w:p w14:paraId="5507A6F3">
      <w:pPr>
        <w:snapToGrid w:val="0"/>
        <w:spacing w:line="360" w:lineRule="auto"/>
        <w:rPr>
          <w:rFonts w:ascii="宋体" w:hAnsi="宋体" w:cs="宋体"/>
          <w:color w:val="auto"/>
          <w:sz w:val="24"/>
          <w:highlight w:val="none"/>
        </w:rPr>
      </w:pPr>
    </w:p>
    <w:p w14:paraId="08B0B52A">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（采购人）、（采购代理机构） ：</w:t>
      </w:r>
    </w:p>
    <w:p w14:paraId="26F0AEBA">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供应商名称：</w:t>
      </w:r>
    </w:p>
    <w:p w14:paraId="6605F264">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统一社会信用代码：</w:t>
      </w:r>
    </w:p>
    <w:p w14:paraId="1F105EA2">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供应商地址：</w:t>
      </w:r>
    </w:p>
    <w:p w14:paraId="64CAB6C0">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0633712A">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1.我单位具有符合采购文件资格要求独立承担民事责任的能力。</w:t>
      </w:r>
    </w:p>
    <w:p w14:paraId="5AA0CB60">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2.我单位具有符合采购文件资格要求的财务状况报告。</w:t>
      </w:r>
    </w:p>
    <w:p w14:paraId="26E703BD">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3.我单位具有符合采购文件资格要求的依法缴纳税收和社会保障记录的良好记录。</w:t>
      </w:r>
    </w:p>
    <w:p w14:paraId="583A422C">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4.我单位具有符合采购文件资格要求履行合同所必需的设备和专业技术能力。</w:t>
      </w:r>
    </w:p>
    <w:p w14:paraId="3AA6B94C">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D6A03F9">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若我单位承诺不实，自愿承担提供虚假材料谋取中标、成交的法律责任。</w:t>
      </w:r>
    </w:p>
    <w:p w14:paraId="5F111200">
      <w:pPr>
        <w:snapToGrid w:val="0"/>
        <w:spacing w:line="360" w:lineRule="auto"/>
        <w:ind w:right="480"/>
        <w:rPr>
          <w:rFonts w:ascii="宋体" w:hAnsi="宋体" w:cs="宋体"/>
          <w:color w:val="auto"/>
          <w:sz w:val="24"/>
          <w:highlight w:val="none"/>
        </w:rPr>
      </w:pPr>
    </w:p>
    <w:p w14:paraId="61CC13B8">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3835A00C">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6AFB7E3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AD9F930">
      <w:pPr>
        <w:snapToGrid w:val="0"/>
        <w:spacing w:line="360" w:lineRule="auto"/>
        <w:ind w:right="480"/>
        <w:rPr>
          <w:rFonts w:ascii="宋体" w:hAnsi="宋体" w:cs="宋体"/>
          <w:color w:val="auto"/>
          <w:sz w:val="24"/>
          <w:highlight w:val="none"/>
        </w:rPr>
      </w:pPr>
    </w:p>
    <w:p w14:paraId="72CF123C">
      <w:pPr>
        <w:snapToGrid w:val="0"/>
        <w:spacing w:line="360" w:lineRule="auto"/>
        <w:ind w:right="480"/>
        <w:jc w:val="center"/>
        <w:rPr>
          <w:rFonts w:ascii="宋体" w:hAnsi="宋体" w:cs="宋体"/>
          <w:b/>
          <w:color w:val="auto"/>
          <w:kern w:val="0"/>
          <w:sz w:val="32"/>
          <w:szCs w:val="32"/>
          <w:highlight w:val="none"/>
        </w:rPr>
      </w:pPr>
    </w:p>
    <w:p w14:paraId="4ED892EA">
      <w:pPr>
        <w:rPr>
          <w:rFonts w:ascii="宋体" w:hAnsi="宋体" w:cs="宋体"/>
          <w:color w:val="auto"/>
          <w:highlight w:val="none"/>
        </w:rPr>
      </w:pPr>
    </w:p>
    <w:p w14:paraId="00156E12">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DC4CA0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9A71E1B">
      <w:pPr>
        <w:snapToGrid w:val="0"/>
        <w:spacing w:line="360" w:lineRule="auto"/>
        <w:ind w:right="480"/>
        <w:jc w:val="center"/>
        <w:rPr>
          <w:rFonts w:ascii="宋体" w:hAnsi="宋体" w:cs="宋体"/>
          <w:b/>
          <w:color w:val="auto"/>
          <w:kern w:val="0"/>
          <w:sz w:val="32"/>
          <w:szCs w:val="32"/>
          <w:highlight w:val="none"/>
        </w:rPr>
      </w:pPr>
    </w:p>
    <w:p w14:paraId="38BE17B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F8B651D">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4155AFB">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5EA300AD">
      <w:pPr>
        <w:widowControl/>
        <w:spacing w:line="360" w:lineRule="auto"/>
        <w:ind w:firstLine="480"/>
        <w:jc w:val="left"/>
        <w:rPr>
          <w:rFonts w:ascii="宋体" w:hAnsi="宋体" w:cs="宋体"/>
          <w:color w:val="auto"/>
          <w:sz w:val="24"/>
          <w:highlight w:val="none"/>
        </w:rPr>
      </w:pPr>
    </w:p>
    <w:p w14:paraId="7AF9DDA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2F33AE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10E7D9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B67714E">
      <w:pPr>
        <w:widowControl/>
        <w:spacing w:line="360" w:lineRule="auto"/>
        <w:ind w:left="150"/>
        <w:jc w:val="center"/>
        <w:rPr>
          <w:rFonts w:ascii="宋体" w:hAnsi="宋体" w:cs="宋体"/>
          <w:b/>
          <w:color w:val="auto"/>
          <w:kern w:val="0"/>
          <w:sz w:val="32"/>
          <w:szCs w:val="32"/>
          <w:highlight w:val="none"/>
        </w:rPr>
      </w:pPr>
    </w:p>
    <w:p w14:paraId="0A9B7CDA">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8B439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7C88122">
      <w:pPr>
        <w:rPr>
          <w:rFonts w:ascii="宋体" w:hAnsi="宋体" w:cs="宋体"/>
          <w:color w:val="auto"/>
          <w:highlight w:val="none"/>
        </w:rPr>
      </w:pPr>
    </w:p>
    <w:p w14:paraId="29AC442F">
      <w:pPr>
        <w:widowControl/>
        <w:adjustRightInd/>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566DBF7">
      <w:pPr>
        <w:widowControl/>
        <w:adjustRightInd/>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D3154B2">
      <w:pPr>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FE1B601">
      <w:pPr>
        <w:snapToGrid w:val="0"/>
        <w:spacing w:line="360" w:lineRule="auto"/>
        <w:ind w:left="479" w:leftChars="228"/>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sz w:val="24"/>
          <w:highlight w:val="none"/>
        </w:rPr>
        <w:t>（1）投标函</w:t>
      </w:r>
      <w:r>
        <w:rPr>
          <w:rFonts w:hint="eastAsia" w:ascii="宋体" w:hAnsi="宋体" w:cs="宋体"/>
          <w:color w:val="auto"/>
          <w:highlight w:val="none"/>
        </w:rPr>
        <w:t>………………………………………………………………………………（页码）</w:t>
      </w:r>
    </w:p>
    <w:p w14:paraId="7A7CB065">
      <w:pPr>
        <w:snapToGrid w:val="0"/>
        <w:spacing w:line="360" w:lineRule="auto"/>
        <w:ind w:left="479" w:leftChars="228"/>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sz w:val="24"/>
          <w:highlight w:val="none"/>
        </w:rPr>
        <w:t>（2）授权委托书或法定代表人（单位负责人、自然人本人）身份证</w:t>
      </w:r>
      <w:r>
        <w:rPr>
          <w:rFonts w:hint="eastAsia" w:ascii="宋体" w:hAnsi="宋体" w:cs="宋体"/>
          <w:color w:val="auto"/>
          <w:highlight w:val="none"/>
        </w:rPr>
        <w:t>……（页码）</w:t>
      </w:r>
    </w:p>
    <w:p w14:paraId="190DC49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267DEC5">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82EFD81">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p>
    <w:p w14:paraId="29931243">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p>
    <w:p w14:paraId="378B6B47">
      <w:pPr>
        <w:snapToGrid w:val="0"/>
        <w:spacing w:line="360" w:lineRule="auto"/>
        <w:ind w:left="479" w:leftChars="228"/>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409109CB">
      <w:pPr>
        <w:snapToGrid w:val="0"/>
        <w:spacing w:line="360" w:lineRule="auto"/>
        <w:ind w:left="479" w:leftChars="228"/>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B004D26">
      <w:pPr>
        <w:snapToGrid w:val="0"/>
        <w:spacing w:line="360" w:lineRule="auto"/>
        <w:ind w:left="479" w:leftChars="228"/>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）承诺函</w:t>
      </w:r>
      <w:r>
        <w:rPr>
          <w:rFonts w:hint="eastAsia" w:ascii="宋体" w:hAnsi="宋体" w:cs="宋体"/>
          <w:color w:val="auto"/>
          <w:highlight w:val="none"/>
        </w:rPr>
        <w:t>………………………………………………………………………………（页码）</w:t>
      </w:r>
    </w:p>
    <w:p w14:paraId="3CBE255B">
      <w:pPr>
        <w:snapToGrid w:val="0"/>
        <w:spacing w:line="360" w:lineRule="auto"/>
        <w:ind w:firstLine="525" w:firstLineChars="250"/>
        <w:rPr>
          <w:rFonts w:ascii="宋体" w:hAnsi="宋体" w:cs="宋体"/>
          <w:color w:val="auto"/>
          <w:szCs w:val="21"/>
          <w:highlight w:val="none"/>
        </w:rPr>
      </w:pPr>
    </w:p>
    <w:p w14:paraId="1A27A869">
      <w:pPr>
        <w:snapToGrid w:val="0"/>
        <w:spacing w:line="360" w:lineRule="auto"/>
        <w:ind w:firstLine="525" w:firstLineChars="250"/>
        <w:rPr>
          <w:rFonts w:ascii="宋体" w:hAnsi="宋体" w:cs="宋体"/>
          <w:color w:val="auto"/>
          <w:sz w:val="24"/>
          <w:highlight w:val="none"/>
        </w:rPr>
      </w:pPr>
      <w:r>
        <w:rPr>
          <w:rFonts w:hint="eastAsia" w:ascii="宋体" w:hAnsi="宋体" w:cs="宋体"/>
          <w:color w:val="auto"/>
          <w:szCs w:val="21"/>
          <w:highlight w:val="none"/>
        </w:rPr>
        <w:t>“▲”系指实质性要求，必须提供，否则投标无效。</w:t>
      </w:r>
    </w:p>
    <w:p w14:paraId="0B784866">
      <w:pPr>
        <w:pStyle w:val="82"/>
        <w:rPr>
          <w:color w:val="auto"/>
          <w:highlight w:val="none"/>
        </w:rPr>
      </w:pPr>
    </w:p>
    <w:p w14:paraId="66D13026">
      <w:pPr>
        <w:snapToGrid w:val="0"/>
        <w:spacing w:line="360" w:lineRule="auto"/>
        <w:jc w:val="center"/>
        <w:rPr>
          <w:rFonts w:ascii="宋体" w:hAnsi="宋体" w:cs="宋体"/>
          <w:b/>
          <w:color w:val="auto"/>
          <w:kern w:val="0"/>
          <w:sz w:val="32"/>
          <w:szCs w:val="32"/>
          <w:highlight w:val="none"/>
        </w:rPr>
      </w:pPr>
    </w:p>
    <w:p w14:paraId="01E54166">
      <w:pPr>
        <w:snapToGrid w:val="0"/>
        <w:spacing w:line="360" w:lineRule="auto"/>
        <w:jc w:val="center"/>
        <w:rPr>
          <w:rFonts w:ascii="宋体" w:hAnsi="宋体" w:cs="宋体"/>
          <w:b/>
          <w:color w:val="auto"/>
          <w:kern w:val="0"/>
          <w:sz w:val="32"/>
          <w:szCs w:val="32"/>
          <w:highlight w:val="none"/>
          <w:lang w:val="zh-CN"/>
        </w:rPr>
      </w:pPr>
    </w:p>
    <w:p w14:paraId="755A78BB">
      <w:pPr>
        <w:snapToGrid w:val="0"/>
        <w:spacing w:line="360" w:lineRule="auto"/>
        <w:jc w:val="center"/>
        <w:rPr>
          <w:rFonts w:ascii="宋体" w:hAnsi="宋体" w:cs="宋体"/>
          <w:b/>
          <w:color w:val="auto"/>
          <w:kern w:val="0"/>
          <w:sz w:val="32"/>
          <w:szCs w:val="32"/>
          <w:highlight w:val="none"/>
          <w:lang w:val="zh-CN"/>
        </w:rPr>
      </w:pPr>
    </w:p>
    <w:p w14:paraId="0E5F5BE5">
      <w:pPr>
        <w:snapToGrid w:val="0"/>
        <w:spacing w:line="360" w:lineRule="auto"/>
        <w:jc w:val="center"/>
        <w:rPr>
          <w:rFonts w:ascii="宋体" w:hAnsi="宋体" w:cs="宋体"/>
          <w:b/>
          <w:color w:val="auto"/>
          <w:kern w:val="0"/>
          <w:sz w:val="32"/>
          <w:szCs w:val="32"/>
          <w:highlight w:val="none"/>
          <w:lang w:val="zh-CN"/>
        </w:rPr>
      </w:pPr>
    </w:p>
    <w:p w14:paraId="35A7D680">
      <w:pPr>
        <w:snapToGrid w:val="0"/>
        <w:spacing w:line="360" w:lineRule="auto"/>
        <w:rPr>
          <w:rFonts w:ascii="宋体" w:hAnsi="宋体" w:cs="宋体"/>
          <w:b/>
          <w:color w:val="auto"/>
          <w:kern w:val="0"/>
          <w:sz w:val="32"/>
          <w:szCs w:val="32"/>
          <w:highlight w:val="none"/>
        </w:rPr>
      </w:pPr>
    </w:p>
    <w:p w14:paraId="29CE89D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35A8475">
      <w:pPr>
        <w:widowControl/>
        <w:adjustRightInd/>
        <w:jc w:val="left"/>
        <w:rPr>
          <w:rFonts w:ascii="宋体" w:hAnsi="宋体" w:cs="宋体"/>
          <w:b/>
          <w:color w:val="auto"/>
          <w:kern w:val="0"/>
          <w:sz w:val="32"/>
          <w:szCs w:val="32"/>
          <w:highlight w:val="none"/>
        </w:rPr>
      </w:pPr>
    </w:p>
    <w:p w14:paraId="07615758">
      <w:pPr>
        <w:snapToGrid w:val="0"/>
        <w:spacing w:line="360" w:lineRule="auto"/>
        <w:ind w:firstLine="3855" w:firstLineChars="120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01D464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B57EC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3FD12C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天（不少于60天）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363AE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550E214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27F34BC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3263BE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2BCF3C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21FBAE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7BBAEC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D3EF31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DA6A3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F81CB9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3095A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5A053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评标标准相应的商务技术资料（如果有）；</w:t>
      </w:r>
    </w:p>
    <w:p w14:paraId="1055D59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投标标的清单（如果有）；</w:t>
      </w:r>
    </w:p>
    <w:p w14:paraId="5DDA10D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87AD83F">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8E7D919">
      <w:pPr>
        <w:pStyle w:val="82"/>
        <w:ind w:left="420" w:leftChars="200" w:firstLine="480" w:firstLineChars="200"/>
        <w:rPr>
          <w:color w:val="auto"/>
          <w:highlight w:val="none"/>
        </w:rPr>
      </w:pPr>
      <w:r>
        <w:rPr>
          <w:rFonts w:hint="eastAsia" w:cs="宋体"/>
          <w:color w:val="auto"/>
          <w:highlight w:val="none"/>
        </w:rPr>
        <w:t>2</w:t>
      </w:r>
      <w:r>
        <w:rPr>
          <w:rFonts w:hint="eastAsia" w:cs="宋体"/>
          <w:color w:val="auto"/>
          <w:highlight w:val="none"/>
          <w:lang w:val="zh-CN"/>
        </w:rPr>
        <w:t>.</w:t>
      </w:r>
      <w:r>
        <w:rPr>
          <w:rFonts w:hint="eastAsia" w:cs="宋体"/>
          <w:color w:val="auto"/>
          <w:highlight w:val="none"/>
        </w:rPr>
        <w:t>2</w:t>
      </w:r>
      <w:r>
        <w:rPr>
          <w:rFonts w:hint="eastAsia" w:cs="宋体"/>
          <w:color w:val="auto"/>
          <w:highlight w:val="none"/>
          <w:lang w:val="zh-CN"/>
        </w:rPr>
        <w:t>.</w:t>
      </w:r>
      <w:r>
        <w:rPr>
          <w:rFonts w:hint="eastAsia" w:cs="宋体"/>
          <w:color w:val="auto"/>
          <w:highlight w:val="none"/>
        </w:rPr>
        <w:t>9</w:t>
      </w:r>
      <w:r>
        <w:rPr>
          <w:rFonts w:hint="eastAsia" w:cs="宋体"/>
          <w:color w:val="auto"/>
          <w:highlight w:val="none"/>
          <w:lang w:val="zh-CN"/>
        </w:rPr>
        <w:t>承诺函；</w:t>
      </w:r>
    </w:p>
    <w:p w14:paraId="0217E03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2900CE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78F93F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061388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0897DC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AA5941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651D10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7FF902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129DFC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856A8F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E25438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54893BB9">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2F089F9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E524F6A">
      <w:pPr>
        <w:snapToGrid w:val="0"/>
        <w:spacing w:line="360" w:lineRule="auto"/>
        <w:ind w:left="420" w:leftChars="200" w:firstLine="4200" w:firstLineChars="1750"/>
        <w:rPr>
          <w:rFonts w:ascii="宋体" w:hAnsi="宋体" w:cs="宋体"/>
          <w:color w:val="auto"/>
          <w:kern w:val="0"/>
          <w:sz w:val="24"/>
          <w:highlight w:val="none"/>
          <w:u w:val="single"/>
        </w:rPr>
      </w:pPr>
    </w:p>
    <w:p w14:paraId="3454D12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7408956">
      <w:pPr>
        <w:snapToGrid w:val="0"/>
        <w:spacing w:line="360" w:lineRule="auto"/>
        <w:jc w:val="center"/>
        <w:rPr>
          <w:rFonts w:ascii="宋体" w:hAnsi="宋体" w:cs="宋体"/>
          <w:b/>
          <w:color w:val="auto"/>
          <w:kern w:val="0"/>
          <w:sz w:val="32"/>
          <w:szCs w:val="32"/>
          <w:highlight w:val="none"/>
        </w:rPr>
      </w:pPr>
    </w:p>
    <w:p w14:paraId="354F061C">
      <w:pPr>
        <w:snapToGrid w:val="0"/>
        <w:spacing w:line="360" w:lineRule="auto"/>
        <w:rPr>
          <w:rFonts w:ascii="宋体" w:hAnsi="宋体" w:cs="宋体"/>
          <w:color w:val="auto"/>
          <w:sz w:val="24"/>
          <w:highlight w:val="none"/>
        </w:rPr>
      </w:pPr>
    </w:p>
    <w:p w14:paraId="7D125B53">
      <w:pPr>
        <w:jc w:val="center"/>
        <w:rPr>
          <w:rFonts w:ascii="宋体" w:hAnsi="宋体" w:cs="宋体"/>
          <w:b/>
          <w:color w:val="auto"/>
          <w:kern w:val="0"/>
          <w:sz w:val="32"/>
          <w:szCs w:val="32"/>
          <w:highlight w:val="none"/>
        </w:rPr>
      </w:pPr>
    </w:p>
    <w:p w14:paraId="37AF9F55">
      <w:pPr>
        <w:jc w:val="center"/>
        <w:rPr>
          <w:rFonts w:ascii="宋体" w:hAnsi="宋体" w:cs="宋体"/>
          <w:b/>
          <w:color w:val="auto"/>
          <w:kern w:val="0"/>
          <w:sz w:val="32"/>
          <w:szCs w:val="32"/>
          <w:highlight w:val="none"/>
        </w:rPr>
      </w:pPr>
    </w:p>
    <w:p w14:paraId="374502EF">
      <w:pPr>
        <w:jc w:val="center"/>
        <w:rPr>
          <w:rFonts w:ascii="宋体" w:hAnsi="宋体" w:cs="宋体"/>
          <w:b/>
          <w:color w:val="auto"/>
          <w:kern w:val="0"/>
          <w:sz w:val="32"/>
          <w:szCs w:val="32"/>
          <w:highlight w:val="none"/>
        </w:rPr>
      </w:pPr>
    </w:p>
    <w:p w14:paraId="5AE3F9B9">
      <w:pPr>
        <w:jc w:val="center"/>
        <w:rPr>
          <w:rFonts w:ascii="宋体" w:hAnsi="宋体" w:cs="宋体"/>
          <w:b/>
          <w:color w:val="auto"/>
          <w:kern w:val="0"/>
          <w:sz w:val="32"/>
          <w:szCs w:val="32"/>
          <w:highlight w:val="none"/>
        </w:rPr>
      </w:pPr>
    </w:p>
    <w:p w14:paraId="13B9BF1E">
      <w:pPr>
        <w:jc w:val="center"/>
        <w:rPr>
          <w:rFonts w:ascii="宋体" w:hAnsi="宋体" w:cs="宋体"/>
          <w:b/>
          <w:color w:val="auto"/>
          <w:kern w:val="0"/>
          <w:sz w:val="32"/>
          <w:szCs w:val="32"/>
          <w:highlight w:val="none"/>
        </w:rPr>
      </w:pPr>
    </w:p>
    <w:p w14:paraId="434B4524">
      <w:pPr>
        <w:jc w:val="center"/>
        <w:rPr>
          <w:rFonts w:ascii="宋体" w:hAnsi="宋体" w:cs="宋体"/>
          <w:b/>
          <w:color w:val="auto"/>
          <w:kern w:val="0"/>
          <w:sz w:val="32"/>
          <w:szCs w:val="32"/>
          <w:highlight w:val="none"/>
        </w:rPr>
      </w:pPr>
    </w:p>
    <w:p w14:paraId="53A74BE6">
      <w:pPr>
        <w:jc w:val="center"/>
        <w:rPr>
          <w:rFonts w:ascii="宋体" w:hAnsi="宋体" w:cs="宋体"/>
          <w:b/>
          <w:color w:val="auto"/>
          <w:kern w:val="0"/>
          <w:sz w:val="32"/>
          <w:szCs w:val="32"/>
          <w:highlight w:val="none"/>
        </w:rPr>
      </w:pPr>
    </w:p>
    <w:p w14:paraId="556F1EC4">
      <w:pPr>
        <w:jc w:val="center"/>
        <w:rPr>
          <w:rFonts w:ascii="宋体" w:hAnsi="宋体" w:cs="宋体"/>
          <w:b/>
          <w:color w:val="auto"/>
          <w:kern w:val="0"/>
          <w:sz w:val="32"/>
          <w:szCs w:val="32"/>
          <w:highlight w:val="none"/>
        </w:rPr>
      </w:pPr>
    </w:p>
    <w:p w14:paraId="08881169">
      <w:pPr>
        <w:jc w:val="center"/>
        <w:rPr>
          <w:rFonts w:ascii="宋体" w:hAnsi="宋体" w:cs="宋体"/>
          <w:b/>
          <w:color w:val="auto"/>
          <w:kern w:val="0"/>
          <w:sz w:val="32"/>
          <w:szCs w:val="32"/>
          <w:highlight w:val="none"/>
        </w:rPr>
      </w:pPr>
    </w:p>
    <w:p w14:paraId="3C8DBEBB">
      <w:pPr>
        <w:jc w:val="center"/>
        <w:rPr>
          <w:rFonts w:ascii="宋体" w:hAnsi="宋体" w:cs="宋体"/>
          <w:b/>
          <w:color w:val="auto"/>
          <w:kern w:val="0"/>
          <w:sz w:val="32"/>
          <w:szCs w:val="32"/>
          <w:highlight w:val="none"/>
        </w:rPr>
      </w:pPr>
    </w:p>
    <w:p w14:paraId="568A3D4B">
      <w:pPr>
        <w:jc w:val="center"/>
        <w:rPr>
          <w:rFonts w:ascii="宋体" w:hAnsi="宋体" w:cs="宋体"/>
          <w:b/>
          <w:color w:val="auto"/>
          <w:kern w:val="0"/>
          <w:sz w:val="32"/>
          <w:szCs w:val="32"/>
          <w:highlight w:val="none"/>
        </w:rPr>
      </w:pPr>
    </w:p>
    <w:p w14:paraId="5D50B4E4">
      <w:pPr>
        <w:jc w:val="center"/>
        <w:rPr>
          <w:rFonts w:ascii="宋体" w:hAnsi="宋体" w:cs="宋体"/>
          <w:b/>
          <w:color w:val="auto"/>
          <w:kern w:val="0"/>
          <w:sz w:val="32"/>
          <w:szCs w:val="32"/>
          <w:highlight w:val="none"/>
        </w:rPr>
      </w:pPr>
    </w:p>
    <w:p w14:paraId="78F392ED">
      <w:pPr>
        <w:jc w:val="center"/>
        <w:rPr>
          <w:rFonts w:ascii="宋体" w:hAnsi="宋体" w:cs="宋体"/>
          <w:b/>
          <w:color w:val="auto"/>
          <w:kern w:val="0"/>
          <w:sz w:val="32"/>
          <w:szCs w:val="32"/>
          <w:highlight w:val="none"/>
        </w:rPr>
      </w:pPr>
    </w:p>
    <w:p w14:paraId="14C7CFC8">
      <w:pPr>
        <w:jc w:val="center"/>
        <w:rPr>
          <w:rFonts w:ascii="宋体" w:hAnsi="宋体" w:cs="宋体"/>
          <w:b/>
          <w:color w:val="auto"/>
          <w:kern w:val="0"/>
          <w:sz w:val="32"/>
          <w:szCs w:val="32"/>
          <w:highlight w:val="none"/>
        </w:rPr>
      </w:pPr>
    </w:p>
    <w:p w14:paraId="79343CD9">
      <w:pPr>
        <w:jc w:val="center"/>
        <w:rPr>
          <w:rFonts w:ascii="宋体" w:hAnsi="宋体" w:cs="宋体"/>
          <w:b/>
          <w:color w:val="auto"/>
          <w:kern w:val="0"/>
          <w:sz w:val="32"/>
          <w:szCs w:val="32"/>
          <w:highlight w:val="none"/>
        </w:rPr>
      </w:pPr>
    </w:p>
    <w:p w14:paraId="3EAEF3A5">
      <w:pPr>
        <w:jc w:val="center"/>
        <w:rPr>
          <w:rFonts w:ascii="宋体" w:hAnsi="宋体" w:cs="宋体"/>
          <w:b/>
          <w:color w:val="auto"/>
          <w:kern w:val="0"/>
          <w:sz w:val="32"/>
          <w:szCs w:val="32"/>
          <w:highlight w:val="none"/>
        </w:rPr>
      </w:pPr>
    </w:p>
    <w:p w14:paraId="408536A4">
      <w:pPr>
        <w:jc w:val="center"/>
        <w:rPr>
          <w:rFonts w:ascii="宋体" w:hAnsi="宋体" w:cs="宋体"/>
          <w:b/>
          <w:color w:val="auto"/>
          <w:kern w:val="0"/>
          <w:sz w:val="32"/>
          <w:szCs w:val="32"/>
          <w:highlight w:val="none"/>
        </w:rPr>
      </w:pPr>
    </w:p>
    <w:p w14:paraId="47FD6159">
      <w:pPr>
        <w:jc w:val="center"/>
        <w:rPr>
          <w:rFonts w:ascii="宋体" w:hAnsi="宋体" w:cs="宋体"/>
          <w:b/>
          <w:color w:val="auto"/>
          <w:kern w:val="0"/>
          <w:sz w:val="32"/>
          <w:szCs w:val="32"/>
          <w:highlight w:val="none"/>
        </w:rPr>
      </w:pPr>
    </w:p>
    <w:p w14:paraId="295F6BB1">
      <w:pPr>
        <w:jc w:val="center"/>
        <w:rPr>
          <w:rFonts w:ascii="宋体" w:hAnsi="宋体" w:cs="宋体"/>
          <w:b/>
          <w:color w:val="auto"/>
          <w:kern w:val="0"/>
          <w:sz w:val="32"/>
          <w:szCs w:val="32"/>
          <w:highlight w:val="none"/>
        </w:rPr>
      </w:pPr>
    </w:p>
    <w:p w14:paraId="0C4713CF">
      <w:pPr>
        <w:jc w:val="center"/>
        <w:rPr>
          <w:rFonts w:ascii="宋体" w:hAnsi="宋体" w:cs="宋体"/>
          <w:b/>
          <w:color w:val="auto"/>
          <w:kern w:val="0"/>
          <w:sz w:val="32"/>
          <w:szCs w:val="32"/>
          <w:highlight w:val="none"/>
        </w:rPr>
      </w:pPr>
    </w:p>
    <w:p w14:paraId="2ECB924D">
      <w:pPr>
        <w:jc w:val="center"/>
        <w:rPr>
          <w:rFonts w:ascii="宋体" w:hAnsi="宋体" w:cs="宋体"/>
          <w:b/>
          <w:color w:val="auto"/>
          <w:kern w:val="0"/>
          <w:sz w:val="32"/>
          <w:szCs w:val="32"/>
          <w:highlight w:val="none"/>
        </w:rPr>
      </w:pPr>
    </w:p>
    <w:p w14:paraId="0009EB95">
      <w:pPr>
        <w:jc w:val="center"/>
        <w:rPr>
          <w:rFonts w:ascii="宋体" w:hAnsi="宋体" w:cs="宋体"/>
          <w:b/>
          <w:color w:val="auto"/>
          <w:kern w:val="0"/>
          <w:sz w:val="32"/>
          <w:szCs w:val="32"/>
          <w:highlight w:val="none"/>
        </w:rPr>
      </w:pPr>
    </w:p>
    <w:p w14:paraId="1BC8924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0DD662E">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818921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74C18B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60A626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EE67CF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ABF3F3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FF6FF6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EACEE16">
      <w:pPr>
        <w:spacing w:line="360" w:lineRule="auto"/>
        <w:ind w:left="4649" w:leftChars="2214" w:firstLine="3600" w:firstLineChars="1500"/>
        <w:rPr>
          <w:rFonts w:ascii="宋体" w:hAnsi="宋体" w:cs="宋体"/>
          <w:color w:val="auto"/>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sz w:val="24"/>
          <w:highlight w:val="none"/>
        </w:rPr>
        <w:t>投标人名称（公章）：</w:t>
      </w:r>
    </w:p>
    <w:p w14:paraId="56C700B9">
      <w:pPr>
        <w:snapToGrid w:val="0"/>
        <w:spacing w:line="360" w:lineRule="auto"/>
        <w:ind w:left="4649" w:leftChars="2214"/>
        <w:rPr>
          <w:rFonts w:ascii="宋体" w:hAnsi="宋体" w:cs="宋体"/>
          <w:color w:val="auto"/>
          <w:kern w:val="0"/>
          <w:sz w:val="24"/>
          <w:highlight w:val="none"/>
        </w:rPr>
      </w:pPr>
      <w:r>
        <w:rPr>
          <w:rFonts w:hint="eastAsia" w:ascii="宋体" w:hAnsi="宋体" w:cs="宋体"/>
          <w:color w:val="auto"/>
          <w:sz w:val="24"/>
          <w:highlight w:val="none"/>
        </w:rPr>
        <w:t>法定代表人（负责人） (签名)：</w:t>
      </w:r>
    </w:p>
    <w:p w14:paraId="5C19E60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7469866">
      <w:pPr>
        <w:snapToGrid w:val="0"/>
        <w:spacing w:line="360" w:lineRule="auto"/>
        <w:rPr>
          <w:rFonts w:ascii="宋体" w:hAnsi="宋体" w:cs="宋体"/>
          <w:color w:val="auto"/>
          <w:sz w:val="24"/>
          <w:highlight w:val="none"/>
        </w:rPr>
      </w:pPr>
    </w:p>
    <w:p w14:paraId="5B8ECD0E">
      <w:pPr>
        <w:snapToGrid w:val="0"/>
        <w:spacing w:line="360" w:lineRule="auto"/>
        <w:rPr>
          <w:rFonts w:ascii="宋体" w:hAnsi="宋体" w:cs="宋体"/>
          <w:color w:val="auto"/>
          <w:sz w:val="24"/>
          <w:highlight w:val="none"/>
        </w:rPr>
      </w:pPr>
    </w:p>
    <w:p w14:paraId="04281ABC">
      <w:pPr>
        <w:snapToGrid w:val="0"/>
        <w:spacing w:line="360" w:lineRule="auto"/>
        <w:rPr>
          <w:rFonts w:ascii="宋体" w:hAnsi="宋体" w:cs="宋体"/>
          <w:color w:val="auto"/>
          <w:sz w:val="24"/>
          <w:highlight w:val="none"/>
        </w:rPr>
      </w:pPr>
    </w:p>
    <w:p w14:paraId="7CB320C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27BF23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881236A">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82F01F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04E94D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B9D74C9">
      <w:pPr>
        <w:jc w:val="center"/>
        <w:rPr>
          <w:rFonts w:ascii="宋体" w:hAnsi="宋体" w:cs="宋体"/>
          <w:b/>
          <w:color w:val="auto"/>
          <w:kern w:val="0"/>
          <w:sz w:val="32"/>
          <w:szCs w:val="32"/>
          <w:highlight w:val="none"/>
        </w:rPr>
      </w:pPr>
    </w:p>
    <w:p w14:paraId="1FF6ADE0">
      <w:pPr>
        <w:jc w:val="center"/>
        <w:rPr>
          <w:rFonts w:ascii="宋体" w:hAnsi="宋体" w:cs="宋体"/>
          <w:b/>
          <w:color w:val="auto"/>
          <w:kern w:val="0"/>
          <w:sz w:val="32"/>
          <w:szCs w:val="32"/>
          <w:highlight w:val="none"/>
        </w:rPr>
      </w:pPr>
    </w:p>
    <w:p w14:paraId="4C978423">
      <w:pPr>
        <w:jc w:val="center"/>
        <w:rPr>
          <w:rFonts w:ascii="宋体" w:hAnsi="宋体" w:cs="宋体"/>
          <w:b/>
          <w:color w:val="auto"/>
          <w:kern w:val="0"/>
          <w:sz w:val="32"/>
          <w:szCs w:val="32"/>
          <w:highlight w:val="none"/>
        </w:rPr>
      </w:pPr>
    </w:p>
    <w:p w14:paraId="3324857D">
      <w:pPr>
        <w:rPr>
          <w:rFonts w:ascii="宋体" w:hAnsi="宋体" w:cs="宋体"/>
          <w:color w:val="auto"/>
          <w:highlight w:val="none"/>
        </w:rPr>
      </w:pPr>
    </w:p>
    <w:p w14:paraId="35B8406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14:paraId="427BFBFD">
      <w:pPr>
        <w:snapToGrid w:val="0"/>
        <w:spacing w:line="360" w:lineRule="auto"/>
        <w:ind w:firstLine="5040" w:firstLineChars="2100"/>
        <w:rPr>
          <w:rStyle w:val="81"/>
          <w:color w:val="auto"/>
          <w:highlight w:val="none"/>
        </w:rPr>
      </w:pPr>
      <w:r>
        <w:rPr>
          <w:rStyle w:val="81"/>
          <w:rFonts w:hint="eastAsia"/>
          <w:color w:val="auto"/>
          <w:highlight w:val="none"/>
        </w:rPr>
        <w:t>法定代表人（负责人） (签名)：</w:t>
      </w:r>
    </w:p>
    <w:p w14:paraId="6795800A">
      <w:pPr>
        <w:snapToGrid w:val="0"/>
        <w:spacing w:line="360" w:lineRule="auto"/>
        <w:ind w:firstLine="5040" w:firstLineChars="2100"/>
        <w:rPr>
          <w:rFonts w:ascii="宋体" w:hAnsi="宋体" w:cs="宋体"/>
          <w:color w:val="auto"/>
          <w:kern w:val="0"/>
          <w:sz w:val="24"/>
          <w:highlight w:val="none"/>
          <w:lang w:val="zh-CN"/>
        </w:rPr>
      </w:pPr>
      <w:r>
        <w:rPr>
          <w:rStyle w:val="81"/>
          <w:rFonts w:hint="eastAsia"/>
          <w:color w:val="auto"/>
          <w:highlight w:val="none"/>
        </w:rPr>
        <w:t>联合体成</w:t>
      </w:r>
      <w:r>
        <w:rPr>
          <w:rFonts w:hint="eastAsia" w:ascii="宋体" w:hAnsi="宋体" w:cs="宋体"/>
          <w:color w:val="auto"/>
          <w:kern w:val="0"/>
          <w:sz w:val="24"/>
          <w:highlight w:val="none"/>
          <w:lang w:val="zh-CN"/>
        </w:rPr>
        <w:t>员名称(公章)：</w:t>
      </w:r>
    </w:p>
    <w:p w14:paraId="550A00E7">
      <w:pPr>
        <w:pStyle w:val="82"/>
        <w:ind w:firstLine="5040" w:firstLineChars="2100"/>
        <w:rPr>
          <w:color w:val="auto"/>
          <w:highlight w:val="none"/>
        </w:rPr>
      </w:pPr>
      <w:r>
        <w:rPr>
          <w:rFonts w:hint="eastAsia"/>
          <w:color w:val="auto"/>
          <w:highlight w:val="none"/>
        </w:rPr>
        <w:t>法定代表人（负责人） (签名)：</w:t>
      </w:r>
    </w:p>
    <w:p w14:paraId="7BFFE88F">
      <w:pPr>
        <w:snapToGrid w:val="0"/>
        <w:spacing w:line="360" w:lineRule="auto"/>
        <w:ind w:firstLine="5040" w:firstLineChars="2100"/>
        <w:rPr>
          <w:rFonts w:ascii="宋体" w:hAnsi="宋体" w:cs="宋体"/>
          <w:color w:val="auto"/>
          <w:kern w:val="0"/>
          <w:sz w:val="24"/>
          <w:highlight w:val="none"/>
          <w:lang w:val="zh-CN"/>
        </w:rPr>
      </w:pPr>
    </w:p>
    <w:p w14:paraId="3A7E490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C00D6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0018296">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45D2245">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ACBD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4C48B88">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A5D3D8F">
            <w:pPr>
              <w:pStyle w:val="146"/>
              <w:adjustRightInd w:val="0"/>
              <w:spacing w:line="360" w:lineRule="auto"/>
              <w:rPr>
                <w:rFonts w:hAnsi="宋体" w:cs="宋体"/>
                <w:bCs/>
                <w:color w:val="auto"/>
                <w:sz w:val="24"/>
                <w:highlight w:val="none"/>
              </w:rPr>
            </w:pPr>
          </w:p>
        </w:tc>
      </w:tr>
    </w:tbl>
    <w:p w14:paraId="2C71CA0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72121C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投标人名称(公章)：                              </w:t>
      </w:r>
    </w:p>
    <w:p w14:paraId="1F5DC1D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DEA0DEF">
      <w:pPr>
        <w:jc w:val="center"/>
        <w:rPr>
          <w:rFonts w:ascii="宋体" w:hAnsi="宋体" w:cs="宋体"/>
          <w:b/>
          <w:color w:val="auto"/>
          <w:kern w:val="0"/>
          <w:sz w:val="32"/>
          <w:szCs w:val="32"/>
          <w:highlight w:val="none"/>
        </w:rPr>
      </w:pPr>
    </w:p>
    <w:p w14:paraId="308673B3">
      <w:pPr>
        <w:jc w:val="center"/>
        <w:rPr>
          <w:rFonts w:ascii="宋体" w:hAnsi="宋体" w:cs="宋体"/>
          <w:b/>
          <w:color w:val="auto"/>
          <w:kern w:val="0"/>
          <w:sz w:val="32"/>
          <w:szCs w:val="32"/>
          <w:highlight w:val="none"/>
        </w:rPr>
      </w:pPr>
    </w:p>
    <w:p w14:paraId="7EC0C337">
      <w:pPr>
        <w:jc w:val="center"/>
        <w:rPr>
          <w:rFonts w:ascii="宋体" w:hAnsi="宋体" w:cs="宋体"/>
          <w:b/>
          <w:color w:val="auto"/>
          <w:kern w:val="0"/>
          <w:sz w:val="32"/>
          <w:szCs w:val="32"/>
          <w:highlight w:val="none"/>
        </w:rPr>
      </w:pPr>
    </w:p>
    <w:p w14:paraId="2767B898">
      <w:pPr>
        <w:jc w:val="center"/>
        <w:rPr>
          <w:rFonts w:ascii="宋体" w:hAnsi="宋体" w:cs="宋体"/>
          <w:b/>
          <w:color w:val="auto"/>
          <w:kern w:val="0"/>
          <w:sz w:val="32"/>
          <w:szCs w:val="32"/>
          <w:highlight w:val="none"/>
        </w:rPr>
      </w:pPr>
    </w:p>
    <w:p w14:paraId="7B2AC6CE">
      <w:pPr>
        <w:jc w:val="center"/>
        <w:rPr>
          <w:rFonts w:ascii="宋体" w:hAnsi="宋体" w:cs="宋体"/>
          <w:b/>
          <w:color w:val="auto"/>
          <w:kern w:val="0"/>
          <w:sz w:val="32"/>
          <w:szCs w:val="32"/>
          <w:highlight w:val="none"/>
        </w:rPr>
      </w:pPr>
    </w:p>
    <w:p w14:paraId="67BAC8EA">
      <w:pPr>
        <w:jc w:val="center"/>
        <w:rPr>
          <w:rFonts w:ascii="宋体" w:hAnsi="宋体" w:cs="宋体"/>
          <w:b/>
          <w:color w:val="auto"/>
          <w:kern w:val="0"/>
          <w:sz w:val="32"/>
          <w:szCs w:val="32"/>
          <w:highlight w:val="none"/>
        </w:rPr>
      </w:pPr>
    </w:p>
    <w:p w14:paraId="7FB2AB01">
      <w:pPr>
        <w:jc w:val="center"/>
        <w:rPr>
          <w:rFonts w:ascii="宋体" w:hAnsi="宋体" w:cs="宋体"/>
          <w:b/>
          <w:color w:val="auto"/>
          <w:kern w:val="0"/>
          <w:sz w:val="32"/>
          <w:szCs w:val="32"/>
          <w:highlight w:val="none"/>
        </w:rPr>
      </w:pPr>
    </w:p>
    <w:p w14:paraId="44764965">
      <w:pPr>
        <w:jc w:val="center"/>
        <w:rPr>
          <w:rFonts w:ascii="宋体" w:hAnsi="宋体" w:cs="宋体"/>
          <w:b/>
          <w:color w:val="auto"/>
          <w:kern w:val="0"/>
          <w:sz w:val="32"/>
          <w:szCs w:val="32"/>
          <w:highlight w:val="none"/>
        </w:rPr>
      </w:pPr>
    </w:p>
    <w:p w14:paraId="12D7E787">
      <w:pPr>
        <w:jc w:val="center"/>
        <w:rPr>
          <w:rFonts w:ascii="宋体" w:hAnsi="宋体" w:cs="宋体"/>
          <w:b/>
          <w:color w:val="auto"/>
          <w:kern w:val="0"/>
          <w:sz w:val="32"/>
          <w:szCs w:val="32"/>
          <w:highlight w:val="none"/>
        </w:rPr>
      </w:pPr>
    </w:p>
    <w:p w14:paraId="62CDB8EC">
      <w:pPr>
        <w:jc w:val="center"/>
        <w:rPr>
          <w:rFonts w:ascii="宋体" w:hAnsi="宋体" w:cs="宋体"/>
          <w:b/>
          <w:color w:val="auto"/>
          <w:kern w:val="0"/>
          <w:sz w:val="32"/>
          <w:szCs w:val="32"/>
          <w:highlight w:val="none"/>
        </w:rPr>
      </w:pPr>
    </w:p>
    <w:p w14:paraId="1EC03AF8">
      <w:pPr>
        <w:snapToGrid w:val="0"/>
        <w:spacing w:line="360" w:lineRule="auto"/>
        <w:ind w:right="480"/>
        <w:rPr>
          <w:rFonts w:ascii="宋体" w:hAnsi="宋体" w:cs="宋体"/>
          <w:b/>
          <w:color w:val="auto"/>
          <w:kern w:val="0"/>
          <w:sz w:val="32"/>
          <w:szCs w:val="32"/>
          <w:highlight w:val="none"/>
        </w:rPr>
        <w:sectPr>
          <w:headerReference r:id="rId6" w:type="first"/>
          <w:footerReference r:id="rId8" w:type="first"/>
          <w:headerReference r:id="rId5" w:type="default"/>
          <w:footerReference r:id="rId7" w:type="default"/>
          <w:pgSz w:w="11906" w:h="16838"/>
          <w:pgMar w:top="1134" w:right="1134" w:bottom="1134" w:left="1134" w:header="567" w:footer="680" w:gutter="0"/>
          <w:pgNumType w:fmt="decimal"/>
          <w:cols w:space="720" w:num="1"/>
          <w:titlePg/>
          <w:docGrid w:linePitch="312" w:charSpace="0"/>
        </w:sectPr>
      </w:pPr>
    </w:p>
    <w:p w14:paraId="5FFF29B9">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4172DFD">
      <w:pPr>
        <w:widowControl/>
        <w:spacing w:line="360" w:lineRule="auto"/>
        <w:ind w:firstLine="120" w:firstLineChars="50"/>
        <w:jc w:val="left"/>
        <w:rPr>
          <w:rFonts w:ascii="宋体" w:hAnsi="宋体" w:cs="宋体"/>
          <w:color w:val="auto"/>
          <w:sz w:val="24"/>
          <w:highlight w:val="none"/>
        </w:rPr>
      </w:pPr>
      <w:bookmarkStart w:id="522"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22"/>
    <w:p w14:paraId="71650A75">
      <w:pPr>
        <w:snapToGrid w:val="0"/>
        <w:spacing w:line="360" w:lineRule="auto"/>
        <w:rPr>
          <w:rFonts w:ascii="宋体" w:hAnsi="宋体" w:cs="宋体"/>
          <w:color w:val="auto"/>
          <w:kern w:val="0"/>
          <w:sz w:val="24"/>
          <w:highlight w:val="none"/>
        </w:rPr>
      </w:pPr>
    </w:p>
    <w:p w14:paraId="5B4B74AE">
      <w:pPr>
        <w:jc w:val="center"/>
        <w:rPr>
          <w:rFonts w:ascii="宋体" w:hAnsi="宋体" w:cs="宋体"/>
          <w:b/>
          <w:color w:val="auto"/>
          <w:kern w:val="0"/>
          <w:sz w:val="32"/>
          <w:szCs w:val="32"/>
          <w:highlight w:val="none"/>
        </w:rPr>
      </w:pPr>
    </w:p>
    <w:p w14:paraId="376FD391">
      <w:pPr>
        <w:pStyle w:val="82"/>
        <w:rPr>
          <w:color w:val="auto"/>
          <w:highlight w:val="none"/>
        </w:rPr>
      </w:pPr>
    </w:p>
    <w:p w14:paraId="6698B2B0">
      <w:pPr>
        <w:rPr>
          <w:color w:val="auto"/>
          <w:highlight w:val="none"/>
        </w:rPr>
      </w:pPr>
    </w:p>
    <w:p w14:paraId="4182ADD4">
      <w:pPr>
        <w:pStyle w:val="82"/>
        <w:rPr>
          <w:color w:val="auto"/>
          <w:highlight w:val="none"/>
        </w:rPr>
      </w:pPr>
    </w:p>
    <w:p w14:paraId="5FF03186">
      <w:pPr>
        <w:jc w:val="center"/>
        <w:rPr>
          <w:rFonts w:ascii="宋体" w:hAnsi="宋体" w:cs="宋体"/>
          <w:b/>
          <w:color w:val="auto"/>
          <w:kern w:val="0"/>
          <w:sz w:val="32"/>
          <w:szCs w:val="32"/>
          <w:highlight w:val="none"/>
        </w:rPr>
      </w:pPr>
    </w:p>
    <w:p w14:paraId="1F0D3F6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0BFBCFF">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0DD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2D996CE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BCD312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6FF7AC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1F8BA8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483275D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5C7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17D01F">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71E87613">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48907F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4A82E6AE">
            <w:pPr>
              <w:rPr>
                <w:rFonts w:ascii="宋体" w:hAnsi="宋体" w:cs="宋体"/>
                <w:color w:val="auto"/>
                <w:sz w:val="24"/>
                <w:highlight w:val="none"/>
              </w:rPr>
            </w:pPr>
          </w:p>
          <w:p w14:paraId="3B906E7B">
            <w:pPr>
              <w:rPr>
                <w:rFonts w:ascii="宋体" w:hAnsi="宋体" w:cs="宋体"/>
                <w:color w:val="auto"/>
                <w:sz w:val="24"/>
                <w:highlight w:val="none"/>
              </w:rPr>
            </w:pPr>
            <w:r>
              <w:rPr>
                <w:rFonts w:hint="eastAsia" w:ascii="宋体" w:hAnsi="宋体" w:cs="宋体"/>
                <w:color w:val="auto"/>
                <w:sz w:val="24"/>
                <w:highlight w:val="none"/>
              </w:rPr>
              <w:t>见投标文件</w:t>
            </w:r>
          </w:p>
          <w:p w14:paraId="3F734E86">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8D2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E483B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7238D90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E30931A">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6E6DF012">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AB22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234052">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3D1472EA">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5EEA330B">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0EEEF9C4">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CB63E8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8DB8B2F">
      <w:pPr>
        <w:jc w:val="center"/>
        <w:rPr>
          <w:rFonts w:ascii="宋体" w:hAnsi="宋体" w:cs="宋体"/>
          <w:b/>
          <w:color w:val="auto"/>
          <w:kern w:val="0"/>
          <w:sz w:val="32"/>
          <w:szCs w:val="32"/>
          <w:highlight w:val="none"/>
        </w:rPr>
      </w:pPr>
    </w:p>
    <w:p w14:paraId="2D97996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F03B755">
      <w:pPr>
        <w:jc w:val="center"/>
        <w:rPr>
          <w:rFonts w:ascii="宋体" w:hAnsi="宋体" w:cs="宋体"/>
          <w:b/>
          <w:color w:val="auto"/>
          <w:kern w:val="0"/>
          <w:sz w:val="32"/>
          <w:szCs w:val="32"/>
          <w:highlight w:val="none"/>
        </w:rPr>
      </w:pPr>
    </w:p>
    <w:p w14:paraId="2C941A00">
      <w:pPr>
        <w:jc w:val="center"/>
        <w:rPr>
          <w:rFonts w:ascii="宋体" w:hAnsi="宋体" w:cs="宋体"/>
          <w:b/>
          <w:color w:val="auto"/>
          <w:kern w:val="0"/>
          <w:sz w:val="32"/>
          <w:szCs w:val="32"/>
          <w:highlight w:val="none"/>
        </w:rPr>
      </w:pPr>
    </w:p>
    <w:p w14:paraId="56298913">
      <w:pPr>
        <w:jc w:val="center"/>
        <w:rPr>
          <w:rFonts w:ascii="宋体" w:hAnsi="宋体" w:cs="宋体"/>
          <w:b/>
          <w:color w:val="auto"/>
          <w:kern w:val="0"/>
          <w:sz w:val="32"/>
          <w:szCs w:val="32"/>
          <w:highlight w:val="none"/>
        </w:rPr>
      </w:pPr>
    </w:p>
    <w:p w14:paraId="7BB5A49E">
      <w:pPr>
        <w:jc w:val="center"/>
        <w:rPr>
          <w:rFonts w:ascii="宋体" w:hAnsi="宋体" w:cs="宋体"/>
          <w:b/>
          <w:color w:val="auto"/>
          <w:kern w:val="0"/>
          <w:sz w:val="32"/>
          <w:szCs w:val="32"/>
          <w:highlight w:val="none"/>
        </w:rPr>
      </w:pPr>
    </w:p>
    <w:p w14:paraId="133F9E91">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C5F2F46">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58F4716">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287131A0">
      <w:pPr>
        <w:jc w:val="center"/>
        <w:rPr>
          <w:rFonts w:ascii="宋体" w:hAnsi="宋体" w:cs="宋体"/>
          <w:b/>
          <w:color w:val="auto"/>
          <w:kern w:val="0"/>
          <w:sz w:val="32"/>
          <w:szCs w:val="32"/>
          <w:highlight w:val="none"/>
        </w:rPr>
      </w:pPr>
    </w:p>
    <w:p w14:paraId="2807E15F">
      <w:pPr>
        <w:jc w:val="center"/>
        <w:rPr>
          <w:rFonts w:ascii="宋体" w:hAnsi="宋体" w:cs="宋体"/>
          <w:b/>
          <w:color w:val="auto"/>
          <w:kern w:val="0"/>
          <w:sz w:val="32"/>
          <w:szCs w:val="32"/>
          <w:highlight w:val="none"/>
        </w:rPr>
      </w:pPr>
    </w:p>
    <w:p w14:paraId="7598E913">
      <w:pPr>
        <w:jc w:val="center"/>
        <w:rPr>
          <w:rFonts w:ascii="宋体" w:hAnsi="宋体" w:cs="宋体"/>
          <w:b/>
          <w:color w:val="auto"/>
          <w:kern w:val="0"/>
          <w:sz w:val="32"/>
          <w:szCs w:val="32"/>
          <w:highlight w:val="none"/>
        </w:rPr>
      </w:pPr>
    </w:p>
    <w:p w14:paraId="2F68EA3F">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C746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438DD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C21E6D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7BB58E7">
            <w:pPr>
              <w:spacing w:line="360" w:lineRule="auto"/>
              <w:jc w:val="center"/>
              <w:rPr>
                <w:rFonts w:ascii="宋体" w:hAnsi="宋体" w:cs="宋体"/>
                <w:b/>
                <w:color w:val="auto"/>
                <w:sz w:val="24"/>
                <w:highlight w:val="none"/>
              </w:rPr>
            </w:pPr>
          </w:p>
          <w:p w14:paraId="6F13A27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75A70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B6B80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1F9237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3735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9039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B27399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129402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3E4FC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F0684">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E8B1FBA">
            <w:pPr>
              <w:spacing w:line="360" w:lineRule="auto"/>
              <w:jc w:val="center"/>
              <w:rPr>
                <w:rFonts w:ascii="宋体" w:hAnsi="宋体" w:cs="宋体"/>
                <w:color w:val="auto"/>
                <w:sz w:val="24"/>
                <w:highlight w:val="none"/>
              </w:rPr>
            </w:pPr>
          </w:p>
        </w:tc>
      </w:tr>
      <w:tr w14:paraId="4747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6FF10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939A6B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1EF2C7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568F7C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318D381">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E042224">
            <w:pPr>
              <w:spacing w:line="360" w:lineRule="auto"/>
              <w:jc w:val="center"/>
              <w:rPr>
                <w:rFonts w:ascii="宋体" w:hAnsi="宋体" w:cs="宋体"/>
                <w:color w:val="auto"/>
                <w:sz w:val="24"/>
                <w:highlight w:val="none"/>
              </w:rPr>
            </w:pPr>
          </w:p>
        </w:tc>
      </w:tr>
      <w:tr w14:paraId="4013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B6393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AB373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D0240E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8756D5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AACB4BF">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043909E">
            <w:pPr>
              <w:spacing w:line="360" w:lineRule="auto"/>
              <w:jc w:val="center"/>
              <w:rPr>
                <w:rFonts w:ascii="宋体" w:hAnsi="宋体" w:cs="宋体"/>
                <w:color w:val="auto"/>
                <w:sz w:val="24"/>
                <w:highlight w:val="none"/>
              </w:rPr>
            </w:pPr>
          </w:p>
        </w:tc>
      </w:tr>
    </w:tbl>
    <w:p w14:paraId="0A02237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6E485BF">
      <w:pPr>
        <w:jc w:val="center"/>
        <w:rPr>
          <w:rFonts w:ascii="宋体" w:hAnsi="宋体" w:cs="宋体"/>
          <w:b/>
          <w:color w:val="auto"/>
          <w:kern w:val="0"/>
          <w:sz w:val="32"/>
          <w:szCs w:val="32"/>
          <w:highlight w:val="none"/>
        </w:rPr>
      </w:pPr>
    </w:p>
    <w:p w14:paraId="45CBB069">
      <w:pPr>
        <w:jc w:val="center"/>
        <w:rPr>
          <w:rFonts w:ascii="宋体" w:hAnsi="宋体" w:cs="宋体"/>
          <w:b/>
          <w:color w:val="auto"/>
          <w:kern w:val="0"/>
          <w:sz w:val="32"/>
          <w:szCs w:val="32"/>
          <w:highlight w:val="none"/>
        </w:rPr>
      </w:pPr>
    </w:p>
    <w:p w14:paraId="1249F71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1E0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6542AF">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4C9BC3A8">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F7F30A0">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428E4CC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92D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4F9B8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27A67A8">
            <w:pPr>
              <w:jc w:val="center"/>
              <w:rPr>
                <w:rFonts w:ascii="宋体" w:hAnsi="宋体" w:cs="宋体"/>
                <w:b/>
                <w:color w:val="auto"/>
                <w:kern w:val="0"/>
                <w:sz w:val="32"/>
                <w:szCs w:val="32"/>
                <w:highlight w:val="none"/>
              </w:rPr>
            </w:pPr>
          </w:p>
        </w:tc>
        <w:tc>
          <w:tcPr>
            <w:tcW w:w="3546" w:type="dxa"/>
          </w:tcPr>
          <w:p w14:paraId="5C4DE6CF">
            <w:pPr>
              <w:jc w:val="center"/>
              <w:rPr>
                <w:rFonts w:ascii="宋体" w:hAnsi="宋体" w:cs="宋体"/>
                <w:b/>
                <w:color w:val="auto"/>
                <w:kern w:val="0"/>
                <w:sz w:val="32"/>
                <w:szCs w:val="32"/>
                <w:highlight w:val="none"/>
              </w:rPr>
            </w:pPr>
          </w:p>
        </w:tc>
        <w:tc>
          <w:tcPr>
            <w:tcW w:w="1276" w:type="dxa"/>
          </w:tcPr>
          <w:p w14:paraId="647F8715">
            <w:pPr>
              <w:jc w:val="center"/>
              <w:rPr>
                <w:rFonts w:ascii="宋体" w:hAnsi="宋体" w:cs="宋体"/>
                <w:b/>
                <w:color w:val="auto"/>
                <w:kern w:val="0"/>
                <w:sz w:val="32"/>
                <w:szCs w:val="32"/>
                <w:highlight w:val="none"/>
              </w:rPr>
            </w:pPr>
          </w:p>
        </w:tc>
      </w:tr>
      <w:tr w14:paraId="711C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5C56594">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CD36ADE">
            <w:pPr>
              <w:jc w:val="center"/>
              <w:rPr>
                <w:rFonts w:ascii="宋体" w:hAnsi="宋体" w:cs="宋体"/>
                <w:b/>
                <w:color w:val="auto"/>
                <w:kern w:val="0"/>
                <w:sz w:val="32"/>
                <w:szCs w:val="32"/>
                <w:highlight w:val="none"/>
              </w:rPr>
            </w:pPr>
          </w:p>
        </w:tc>
        <w:tc>
          <w:tcPr>
            <w:tcW w:w="3546" w:type="dxa"/>
          </w:tcPr>
          <w:p w14:paraId="42320DE1">
            <w:pPr>
              <w:jc w:val="center"/>
              <w:rPr>
                <w:rFonts w:ascii="宋体" w:hAnsi="宋体" w:cs="宋体"/>
                <w:b/>
                <w:color w:val="auto"/>
                <w:kern w:val="0"/>
                <w:sz w:val="32"/>
                <w:szCs w:val="32"/>
                <w:highlight w:val="none"/>
              </w:rPr>
            </w:pPr>
          </w:p>
        </w:tc>
        <w:tc>
          <w:tcPr>
            <w:tcW w:w="1276" w:type="dxa"/>
          </w:tcPr>
          <w:p w14:paraId="012886AA">
            <w:pPr>
              <w:jc w:val="center"/>
              <w:rPr>
                <w:rFonts w:ascii="宋体" w:hAnsi="宋体" w:cs="宋体"/>
                <w:b/>
                <w:color w:val="auto"/>
                <w:kern w:val="0"/>
                <w:sz w:val="32"/>
                <w:szCs w:val="32"/>
                <w:highlight w:val="none"/>
              </w:rPr>
            </w:pPr>
          </w:p>
        </w:tc>
      </w:tr>
      <w:tr w14:paraId="0403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36FC6C">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EF64AFF">
            <w:pPr>
              <w:jc w:val="center"/>
              <w:rPr>
                <w:rFonts w:ascii="宋体" w:hAnsi="宋体" w:cs="宋体"/>
                <w:b/>
                <w:color w:val="auto"/>
                <w:kern w:val="0"/>
                <w:sz w:val="32"/>
                <w:szCs w:val="32"/>
                <w:highlight w:val="none"/>
              </w:rPr>
            </w:pPr>
          </w:p>
        </w:tc>
        <w:tc>
          <w:tcPr>
            <w:tcW w:w="3546" w:type="dxa"/>
          </w:tcPr>
          <w:p w14:paraId="3A79D17B">
            <w:pPr>
              <w:jc w:val="center"/>
              <w:rPr>
                <w:rFonts w:ascii="宋体" w:hAnsi="宋体" w:cs="宋体"/>
                <w:b/>
                <w:color w:val="auto"/>
                <w:kern w:val="0"/>
                <w:sz w:val="32"/>
                <w:szCs w:val="32"/>
                <w:highlight w:val="none"/>
              </w:rPr>
            </w:pPr>
          </w:p>
        </w:tc>
        <w:tc>
          <w:tcPr>
            <w:tcW w:w="1276" w:type="dxa"/>
          </w:tcPr>
          <w:p w14:paraId="27DC5068">
            <w:pPr>
              <w:jc w:val="center"/>
              <w:rPr>
                <w:rFonts w:ascii="宋体" w:hAnsi="宋体" w:cs="宋体"/>
                <w:b/>
                <w:color w:val="auto"/>
                <w:kern w:val="0"/>
                <w:sz w:val="32"/>
                <w:szCs w:val="32"/>
                <w:highlight w:val="none"/>
              </w:rPr>
            </w:pPr>
          </w:p>
        </w:tc>
      </w:tr>
    </w:tbl>
    <w:p w14:paraId="612CC883">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24AE336F">
      <w:pPr>
        <w:spacing w:line="360" w:lineRule="auto"/>
        <w:ind w:firstLine="3600" w:firstLineChars="1500"/>
        <w:rPr>
          <w:rFonts w:ascii="宋体" w:hAnsi="宋体" w:cs="宋体"/>
          <w:color w:val="auto"/>
          <w:sz w:val="24"/>
          <w:highlight w:val="none"/>
        </w:rPr>
      </w:pPr>
    </w:p>
    <w:p w14:paraId="4A87541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04F4A3B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61C2FC4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243FA49">
      <w:pPr>
        <w:jc w:val="center"/>
        <w:rPr>
          <w:rFonts w:ascii="宋体" w:hAnsi="宋体" w:cs="宋体"/>
          <w:b/>
          <w:color w:val="auto"/>
          <w:kern w:val="0"/>
          <w:sz w:val="32"/>
          <w:szCs w:val="32"/>
          <w:highlight w:val="none"/>
        </w:rPr>
      </w:pPr>
    </w:p>
    <w:p w14:paraId="7255CD9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9CCBA08">
      <w:pPr>
        <w:ind w:firstLine="1911" w:firstLineChars="595"/>
        <w:rPr>
          <w:rFonts w:ascii="宋体" w:hAnsi="宋体" w:cs="宋体"/>
          <w:b/>
          <w:bCs/>
          <w:color w:val="auto"/>
          <w:sz w:val="32"/>
          <w:szCs w:val="32"/>
          <w:highlight w:val="none"/>
        </w:rPr>
      </w:pPr>
    </w:p>
    <w:p w14:paraId="6260E95B">
      <w:pPr>
        <w:ind w:firstLine="1911" w:firstLineChars="595"/>
        <w:rPr>
          <w:rFonts w:ascii="宋体" w:hAnsi="宋体" w:cs="宋体"/>
          <w:b/>
          <w:bCs/>
          <w:color w:val="auto"/>
          <w:sz w:val="32"/>
          <w:szCs w:val="32"/>
          <w:highlight w:val="none"/>
        </w:rPr>
      </w:pPr>
    </w:p>
    <w:p w14:paraId="3F8C087F">
      <w:pPr>
        <w:ind w:firstLine="1911" w:firstLineChars="595"/>
        <w:rPr>
          <w:rFonts w:ascii="宋体" w:hAnsi="宋体" w:cs="宋体"/>
          <w:b/>
          <w:bCs/>
          <w:color w:val="auto"/>
          <w:sz w:val="32"/>
          <w:szCs w:val="32"/>
          <w:highlight w:val="none"/>
        </w:rPr>
      </w:pPr>
    </w:p>
    <w:p w14:paraId="7F91493A">
      <w:pPr>
        <w:ind w:firstLine="1911" w:firstLineChars="595"/>
        <w:rPr>
          <w:rFonts w:ascii="宋体" w:hAnsi="宋体" w:cs="宋体"/>
          <w:b/>
          <w:bCs/>
          <w:color w:val="auto"/>
          <w:sz w:val="32"/>
          <w:szCs w:val="32"/>
          <w:highlight w:val="none"/>
        </w:rPr>
      </w:pPr>
    </w:p>
    <w:p w14:paraId="1CDA6454">
      <w:pPr>
        <w:widowControl/>
        <w:adjustRightInd/>
        <w:jc w:val="left"/>
        <w:rPr>
          <w:rFonts w:ascii="宋体" w:hAnsi="宋体" w:cs="宋体"/>
          <w:b/>
          <w:bCs/>
          <w:color w:val="auto"/>
          <w:sz w:val="32"/>
          <w:szCs w:val="32"/>
          <w:highlight w:val="none"/>
        </w:rPr>
      </w:pPr>
    </w:p>
    <w:p w14:paraId="17B89EE4">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524E24C">
      <w:pPr>
        <w:snapToGrid w:val="0"/>
        <w:spacing w:line="360" w:lineRule="auto"/>
        <w:rPr>
          <w:rFonts w:ascii="宋体" w:hAnsi="宋体" w:cs="宋体"/>
          <w:color w:val="auto"/>
          <w:sz w:val="24"/>
          <w:highlight w:val="none"/>
        </w:rPr>
      </w:pPr>
    </w:p>
    <w:p w14:paraId="70FBD2F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FB639A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32724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FAC9E0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ADE7ED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B1A628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C192A8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8B68D8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44B07F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B5533A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B090C7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7786E15">
      <w:pPr>
        <w:autoSpaceDE w:val="0"/>
        <w:autoSpaceDN w:val="0"/>
        <w:spacing w:line="360" w:lineRule="auto"/>
        <w:ind w:left="2"/>
        <w:jc w:val="left"/>
        <w:rPr>
          <w:rFonts w:ascii="宋体" w:hAnsi="宋体" w:cs="宋体"/>
          <w:color w:val="auto"/>
          <w:kern w:val="0"/>
          <w:sz w:val="24"/>
          <w:highlight w:val="none"/>
          <w:lang w:val="zh-CN"/>
        </w:rPr>
      </w:pPr>
    </w:p>
    <w:p w14:paraId="15D566FA">
      <w:pPr>
        <w:autoSpaceDE w:val="0"/>
        <w:autoSpaceDN w:val="0"/>
        <w:spacing w:line="360" w:lineRule="auto"/>
        <w:ind w:left="2"/>
        <w:jc w:val="left"/>
        <w:rPr>
          <w:rFonts w:ascii="宋体" w:hAnsi="宋体" w:cs="宋体"/>
          <w:color w:val="auto"/>
          <w:kern w:val="0"/>
          <w:sz w:val="24"/>
          <w:highlight w:val="none"/>
          <w:lang w:val="zh-CN"/>
        </w:rPr>
      </w:pPr>
    </w:p>
    <w:p w14:paraId="15A38142">
      <w:pPr>
        <w:autoSpaceDE w:val="0"/>
        <w:autoSpaceDN w:val="0"/>
        <w:spacing w:line="360" w:lineRule="auto"/>
        <w:ind w:left="2"/>
        <w:jc w:val="left"/>
        <w:rPr>
          <w:rFonts w:ascii="宋体" w:hAnsi="宋体" w:cs="宋体"/>
          <w:color w:val="auto"/>
          <w:kern w:val="0"/>
          <w:sz w:val="24"/>
          <w:highlight w:val="none"/>
          <w:lang w:val="zh-CN"/>
        </w:rPr>
      </w:pPr>
    </w:p>
    <w:p w14:paraId="581E8FE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058CCA02">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076A568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55C9BA2">
      <w:pPr>
        <w:spacing w:line="360" w:lineRule="auto"/>
        <w:ind w:left="4620" w:leftChars="2200"/>
        <w:rPr>
          <w:rFonts w:ascii="宋体" w:hAnsi="宋体" w:cs="宋体"/>
          <w:color w:val="auto"/>
          <w:sz w:val="24"/>
          <w:highlight w:val="none"/>
        </w:rPr>
      </w:pPr>
    </w:p>
    <w:p w14:paraId="742B7A30">
      <w:pPr>
        <w:spacing w:line="360" w:lineRule="auto"/>
        <w:jc w:val="center"/>
        <w:rPr>
          <w:rFonts w:ascii="宋体" w:hAnsi="宋体" w:cs="宋体"/>
          <w:b/>
          <w:bCs/>
          <w:color w:val="auto"/>
          <w:sz w:val="24"/>
          <w:highlight w:val="none"/>
        </w:rPr>
      </w:pPr>
    </w:p>
    <w:p w14:paraId="7DFD892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F1C11FE">
      <w:pPr>
        <w:ind w:firstLine="1911" w:firstLineChars="595"/>
        <w:jc w:val="center"/>
        <w:rPr>
          <w:rFonts w:ascii="宋体" w:hAnsi="宋体" w:cs="宋体"/>
          <w:b/>
          <w:bCs/>
          <w:color w:val="auto"/>
          <w:sz w:val="32"/>
          <w:szCs w:val="32"/>
          <w:highlight w:val="none"/>
        </w:rPr>
      </w:pPr>
    </w:p>
    <w:p w14:paraId="33EAB156">
      <w:pPr>
        <w:ind w:firstLine="1911" w:firstLineChars="595"/>
        <w:jc w:val="center"/>
        <w:rPr>
          <w:rFonts w:ascii="宋体" w:hAnsi="宋体" w:cs="宋体"/>
          <w:b/>
          <w:bCs/>
          <w:color w:val="auto"/>
          <w:sz w:val="32"/>
          <w:szCs w:val="32"/>
          <w:highlight w:val="none"/>
        </w:rPr>
      </w:pPr>
    </w:p>
    <w:p w14:paraId="471F6883">
      <w:pPr>
        <w:jc w:val="center"/>
        <w:rPr>
          <w:rFonts w:ascii="宋体" w:hAnsi="宋体" w:cs="宋体"/>
          <w:b/>
          <w:color w:val="auto"/>
          <w:kern w:val="0"/>
          <w:sz w:val="32"/>
          <w:szCs w:val="21"/>
          <w:highlight w:val="none"/>
        </w:rPr>
      </w:pPr>
      <w:r>
        <w:rPr>
          <w:rFonts w:hint="eastAsia" w:ascii="宋体" w:hAnsi="宋体" w:cs="宋体"/>
          <w:b/>
          <w:bCs/>
          <w:color w:val="auto"/>
          <w:sz w:val="32"/>
          <w:szCs w:val="32"/>
          <w:highlight w:val="none"/>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21"/>
          <w:highlight w:val="none"/>
        </w:rPr>
        <w:t>承诺函</w:t>
      </w:r>
    </w:p>
    <w:p w14:paraId="7A27D108">
      <w:pPr>
        <w:widowControl/>
        <w:adjustRightInd/>
        <w:ind w:firstLine="640" w:firstLineChars="200"/>
        <w:jc w:val="left"/>
        <w:rPr>
          <w:rFonts w:ascii="宋体" w:hAnsi="宋体" w:cs="宋体"/>
          <w:color w:val="auto"/>
          <w:kern w:val="0"/>
          <w:sz w:val="32"/>
          <w:szCs w:val="21"/>
          <w:highlight w:val="none"/>
        </w:rPr>
      </w:pPr>
    </w:p>
    <w:p w14:paraId="3C48AD2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43627D0">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我方作为本次采购项目的投标人，根据招标文件要求，现郑重承诺如下：</w:t>
      </w:r>
    </w:p>
    <w:p w14:paraId="32131906">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14:paraId="7960D1A4">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二、参加本次招标采购活动，不存在与单位负责人为同一人或者存在直接控股、管理关系的其他供应商参与同一合同项下的政府采购活动的行为。</w:t>
      </w:r>
    </w:p>
    <w:p w14:paraId="5643F886">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三、为采购项目提供整体设计、规范编制或者项目管理、监理、检测等服务的供应商，不得再参加该采购项目的其他采购活动，我方承诺不属于此类禁止参加本项目的供应商。</w:t>
      </w:r>
    </w:p>
    <w:p w14:paraId="21A1A973">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四、参加本次招标采购活动，不存在和其他供应商在同一合同项下的采购项目中，同时委托同一个自然人、同一家庭的人员、同一单位的人员作为代理人的行为。</w:t>
      </w:r>
    </w:p>
    <w:p w14:paraId="3AC4B2B9">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五、投标文件中提供的能够给予我方带来优惠、好处的任何材料资料和技术、服务、商务、响应产品等响应承诺情况都是真实的、有效的、合法的。</w:t>
      </w:r>
    </w:p>
    <w:p w14:paraId="2F9313C1">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14:paraId="68455C57">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七、国家或行业主管部门对采购产品的技术标准、质量标准和资格资质条件等有强制性规定的，我方承诺符合其要求。</w:t>
      </w:r>
    </w:p>
    <w:p w14:paraId="288E370D">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八、参加本次招标采购活动，我方完全同意招标文件第二部分关于“投标费用”、“合同分包”、“合同转包”、“履约保证金”的实质性要求，并承诺严格按照招标文件要求履行。</w:t>
      </w:r>
    </w:p>
    <w:p w14:paraId="2A849343">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277C9897">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我方对上述承诺的内容事项真实性负责。如经查实上述承诺的内容事项存在虚假，我方愿意接受以提供虚假材料谋取中标追究法律责任。</w:t>
      </w:r>
    </w:p>
    <w:p w14:paraId="12699A7E">
      <w:pPr>
        <w:widowControl/>
        <w:adjustRightInd/>
        <w:spacing w:line="360" w:lineRule="auto"/>
        <w:ind w:firstLine="480" w:firstLineChars="200"/>
        <w:jc w:val="left"/>
        <w:rPr>
          <w:rFonts w:ascii="宋体" w:hAnsi="宋体" w:cs="宋体"/>
          <w:color w:val="auto"/>
          <w:kern w:val="0"/>
          <w:sz w:val="24"/>
          <w:highlight w:val="none"/>
        </w:rPr>
      </w:pPr>
    </w:p>
    <w:p w14:paraId="4957317C">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5578D18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71ABD19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C3A31DF">
      <w:pPr>
        <w:spacing w:line="360" w:lineRule="auto"/>
        <w:jc w:val="center"/>
        <w:rPr>
          <w:rFonts w:ascii="宋体" w:hAnsi="宋体" w:cs="宋体"/>
          <w:b/>
          <w:bCs/>
          <w:color w:val="auto"/>
          <w:sz w:val="24"/>
          <w:highlight w:val="none"/>
        </w:rPr>
      </w:pPr>
    </w:p>
    <w:p w14:paraId="7270F36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460E4A7">
      <w:pPr>
        <w:spacing w:line="360" w:lineRule="auto"/>
        <w:jc w:val="center"/>
        <w:rPr>
          <w:rFonts w:ascii="宋体" w:hAnsi="宋体" w:cs="宋体"/>
          <w:b/>
          <w:bCs/>
          <w:color w:val="auto"/>
          <w:sz w:val="24"/>
          <w:highlight w:val="none"/>
        </w:rPr>
      </w:pPr>
    </w:p>
    <w:p w14:paraId="2670E418">
      <w:pPr>
        <w:pStyle w:val="3"/>
        <w:outlineLvl w:val="9"/>
        <w:rPr>
          <w:color w:val="auto"/>
          <w:highlight w:val="none"/>
          <w:lang w:val="en-US"/>
        </w:rPr>
        <w:sectPr>
          <w:headerReference r:id="rId10" w:type="first"/>
          <w:footerReference r:id="rId12" w:type="first"/>
          <w:headerReference r:id="rId9" w:type="default"/>
          <w:footerReference r:id="rId11" w:type="default"/>
          <w:pgSz w:w="11906" w:h="16838"/>
          <w:pgMar w:top="1134" w:right="1134" w:bottom="1134" w:left="1134" w:header="851" w:footer="992" w:gutter="0"/>
          <w:pgNumType w:fmt="decimal"/>
          <w:cols w:space="720" w:num="1"/>
          <w:titlePg/>
          <w:docGrid w:linePitch="312" w:charSpace="0"/>
        </w:sectPr>
      </w:pPr>
    </w:p>
    <w:p w14:paraId="5E09D24E">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703E9D1">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898AECF">
      <w:pPr>
        <w:spacing w:line="360" w:lineRule="auto"/>
        <w:jc w:val="center"/>
        <w:rPr>
          <w:rFonts w:ascii="宋体" w:hAnsi="宋体" w:cs="宋体"/>
          <w:b/>
          <w:color w:val="auto"/>
          <w:kern w:val="0"/>
          <w:sz w:val="36"/>
          <w:szCs w:val="36"/>
          <w:highlight w:val="none"/>
        </w:rPr>
      </w:pPr>
    </w:p>
    <w:p w14:paraId="2341B9DE">
      <w:pPr>
        <w:snapToGrid w:val="0"/>
        <w:spacing w:line="360" w:lineRule="auto"/>
        <w:rPr>
          <w:rFonts w:ascii="宋体" w:hAnsi="宋体" w:cs="宋体"/>
          <w:color w:val="auto"/>
          <w:sz w:val="24"/>
          <w:highlight w:val="none"/>
        </w:rPr>
      </w:pPr>
      <w:r>
        <w:rPr>
          <w:rFonts w:hint="eastAsia" w:ascii="宋体" w:hAnsi="宋体" w:cs="宋体"/>
          <w:color w:val="auto"/>
          <w:szCs w:val="21"/>
          <w:highlight w:val="none"/>
        </w:rPr>
        <w:t>▲</w:t>
      </w:r>
      <w:r>
        <w:rPr>
          <w:rFonts w:hint="eastAsia" w:ascii="宋体" w:hAnsi="宋体" w:cs="宋体"/>
          <w:color w:val="auto"/>
          <w:sz w:val="24"/>
          <w:highlight w:val="none"/>
        </w:rPr>
        <w:t>（1）开标一览表（报价表）……………………………………………………（页码）</w:t>
      </w:r>
    </w:p>
    <w:p w14:paraId="512E1E6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02DD1F74">
      <w:pPr>
        <w:snapToGrid w:val="0"/>
        <w:spacing w:line="360" w:lineRule="auto"/>
        <w:rPr>
          <w:rFonts w:ascii="宋体" w:hAnsi="宋体" w:cs="宋体"/>
          <w:color w:val="auto"/>
          <w:sz w:val="24"/>
          <w:highlight w:val="none"/>
        </w:rPr>
      </w:pPr>
    </w:p>
    <w:p w14:paraId="3C3CCE93">
      <w:pPr>
        <w:snapToGrid w:val="0"/>
        <w:spacing w:line="360" w:lineRule="auto"/>
        <w:ind w:right="480" w:firstLine="210" w:firstLineChars="100"/>
        <w:rPr>
          <w:rFonts w:ascii="宋体" w:hAnsi="宋体" w:cs="宋体"/>
          <w:b/>
          <w:color w:val="auto"/>
          <w:kern w:val="0"/>
          <w:sz w:val="32"/>
          <w:szCs w:val="32"/>
          <w:highlight w:val="none"/>
        </w:rPr>
      </w:pPr>
      <w:r>
        <w:rPr>
          <w:rFonts w:hint="eastAsia" w:ascii="宋体" w:hAnsi="宋体" w:cs="宋体"/>
          <w:color w:val="auto"/>
          <w:szCs w:val="21"/>
          <w:highlight w:val="none"/>
        </w:rPr>
        <w:t>“▲”系指实质性要求，必须提供，否则投标无效。</w:t>
      </w:r>
    </w:p>
    <w:p w14:paraId="7FCCC7F1">
      <w:pPr>
        <w:snapToGrid w:val="0"/>
        <w:spacing w:line="360" w:lineRule="auto"/>
        <w:ind w:right="480"/>
        <w:jc w:val="center"/>
        <w:rPr>
          <w:rFonts w:ascii="宋体" w:hAnsi="宋体" w:cs="宋体"/>
          <w:b/>
          <w:color w:val="auto"/>
          <w:kern w:val="0"/>
          <w:sz w:val="32"/>
          <w:szCs w:val="32"/>
          <w:highlight w:val="none"/>
        </w:rPr>
      </w:pPr>
    </w:p>
    <w:p w14:paraId="5B656F28">
      <w:pPr>
        <w:snapToGrid w:val="0"/>
        <w:spacing w:line="360" w:lineRule="auto"/>
        <w:ind w:right="480"/>
        <w:jc w:val="center"/>
        <w:rPr>
          <w:rFonts w:ascii="宋体" w:hAnsi="宋体" w:cs="宋体"/>
          <w:b/>
          <w:color w:val="auto"/>
          <w:kern w:val="0"/>
          <w:sz w:val="32"/>
          <w:szCs w:val="32"/>
          <w:highlight w:val="none"/>
        </w:rPr>
      </w:pPr>
    </w:p>
    <w:p w14:paraId="6F6F4836">
      <w:pPr>
        <w:snapToGrid w:val="0"/>
        <w:spacing w:line="360" w:lineRule="auto"/>
        <w:ind w:right="480"/>
        <w:jc w:val="center"/>
        <w:rPr>
          <w:rFonts w:ascii="宋体" w:hAnsi="宋体" w:cs="宋体"/>
          <w:b/>
          <w:color w:val="auto"/>
          <w:kern w:val="0"/>
          <w:sz w:val="32"/>
          <w:szCs w:val="32"/>
          <w:highlight w:val="none"/>
        </w:rPr>
      </w:pPr>
    </w:p>
    <w:p w14:paraId="2DEF7393">
      <w:pPr>
        <w:snapToGrid w:val="0"/>
        <w:spacing w:line="360" w:lineRule="auto"/>
        <w:ind w:right="480"/>
        <w:jc w:val="center"/>
        <w:rPr>
          <w:rFonts w:ascii="宋体" w:hAnsi="宋体" w:cs="宋体"/>
          <w:b/>
          <w:color w:val="auto"/>
          <w:kern w:val="0"/>
          <w:sz w:val="32"/>
          <w:szCs w:val="32"/>
          <w:highlight w:val="none"/>
        </w:rPr>
      </w:pPr>
    </w:p>
    <w:p w14:paraId="295215DE">
      <w:pPr>
        <w:snapToGrid w:val="0"/>
        <w:spacing w:line="360" w:lineRule="auto"/>
        <w:ind w:right="480"/>
        <w:jc w:val="center"/>
        <w:rPr>
          <w:rFonts w:ascii="宋体" w:hAnsi="宋体" w:cs="宋体"/>
          <w:b/>
          <w:color w:val="auto"/>
          <w:kern w:val="0"/>
          <w:sz w:val="32"/>
          <w:szCs w:val="32"/>
          <w:highlight w:val="none"/>
        </w:rPr>
      </w:pPr>
    </w:p>
    <w:p w14:paraId="507FFABB">
      <w:pPr>
        <w:snapToGrid w:val="0"/>
        <w:spacing w:line="360" w:lineRule="auto"/>
        <w:ind w:right="480"/>
        <w:jc w:val="center"/>
        <w:rPr>
          <w:rFonts w:ascii="宋体" w:hAnsi="宋体" w:cs="宋体"/>
          <w:b/>
          <w:color w:val="auto"/>
          <w:kern w:val="0"/>
          <w:sz w:val="32"/>
          <w:szCs w:val="32"/>
          <w:highlight w:val="none"/>
        </w:rPr>
      </w:pPr>
    </w:p>
    <w:p w14:paraId="359FD208">
      <w:pPr>
        <w:snapToGrid w:val="0"/>
        <w:spacing w:line="360" w:lineRule="auto"/>
        <w:ind w:right="480"/>
        <w:jc w:val="center"/>
        <w:rPr>
          <w:rFonts w:ascii="宋体" w:hAnsi="宋体" w:cs="宋体"/>
          <w:b/>
          <w:color w:val="auto"/>
          <w:kern w:val="0"/>
          <w:sz w:val="32"/>
          <w:szCs w:val="32"/>
          <w:highlight w:val="none"/>
        </w:rPr>
      </w:pPr>
    </w:p>
    <w:p w14:paraId="53836ACC">
      <w:pPr>
        <w:snapToGrid w:val="0"/>
        <w:spacing w:line="360" w:lineRule="auto"/>
        <w:ind w:right="480"/>
        <w:jc w:val="center"/>
        <w:rPr>
          <w:rFonts w:ascii="宋体" w:hAnsi="宋体" w:cs="宋体"/>
          <w:b/>
          <w:color w:val="auto"/>
          <w:kern w:val="0"/>
          <w:sz w:val="32"/>
          <w:szCs w:val="32"/>
          <w:highlight w:val="none"/>
        </w:rPr>
      </w:pPr>
    </w:p>
    <w:p w14:paraId="22E4CB9E">
      <w:pPr>
        <w:snapToGrid w:val="0"/>
        <w:spacing w:line="360" w:lineRule="auto"/>
        <w:ind w:right="480"/>
        <w:jc w:val="center"/>
        <w:rPr>
          <w:rFonts w:ascii="宋体" w:hAnsi="宋体" w:cs="宋体"/>
          <w:b/>
          <w:color w:val="auto"/>
          <w:kern w:val="0"/>
          <w:sz w:val="32"/>
          <w:szCs w:val="32"/>
          <w:highlight w:val="none"/>
        </w:rPr>
      </w:pPr>
    </w:p>
    <w:p w14:paraId="3AC7DD42">
      <w:pPr>
        <w:snapToGrid w:val="0"/>
        <w:spacing w:line="360" w:lineRule="auto"/>
        <w:ind w:right="480"/>
        <w:jc w:val="center"/>
        <w:rPr>
          <w:rFonts w:ascii="宋体" w:hAnsi="宋体" w:cs="宋体"/>
          <w:b/>
          <w:color w:val="auto"/>
          <w:kern w:val="0"/>
          <w:sz w:val="32"/>
          <w:szCs w:val="32"/>
          <w:highlight w:val="none"/>
        </w:rPr>
      </w:pPr>
    </w:p>
    <w:p w14:paraId="774EADED">
      <w:pPr>
        <w:snapToGrid w:val="0"/>
        <w:spacing w:line="360" w:lineRule="auto"/>
        <w:ind w:right="480"/>
        <w:jc w:val="center"/>
        <w:rPr>
          <w:rFonts w:ascii="宋体" w:hAnsi="宋体" w:cs="宋体"/>
          <w:b/>
          <w:color w:val="auto"/>
          <w:kern w:val="0"/>
          <w:sz w:val="32"/>
          <w:szCs w:val="32"/>
          <w:highlight w:val="none"/>
        </w:rPr>
      </w:pPr>
    </w:p>
    <w:p w14:paraId="42178A62">
      <w:pPr>
        <w:snapToGrid w:val="0"/>
        <w:spacing w:line="360" w:lineRule="auto"/>
        <w:ind w:right="480"/>
        <w:jc w:val="center"/>
        <w:rPr>
          <w:rFonts w:ascii="宋体" w:hAnsi="宋体" w:cs="宋体"/>
          <w:b/>
          <w:color w:val="auto"/>
          <w:kern w:val="0"/>
          <w:sz w:val="32"/>
          <w:szCs w:val="32"/>
          <w:highlight w:val="none"/>
        </w:rPr>
      </w:pPr>
    </w:p>
    <w:p w14:paraId="24A5C75D">
      <w:pPr>
        <w:snapToGrid w:val="0"/>
        <w:spacing w:line="360" w:lineRule="auto"/>
        <w:ind w:right="480"/>
        <w:jc w:val="center"/>
        <w:rPr>
          <w:rFonts w:ascii="宋体" w:hAnsi="宋体" w:cs="宋体"/>
          <w:b/>
          <w:color w:val="auto"/>
          <w:kern w:val="0"/>
          <w:sz w:val="32"/>
          <w:szCs w:val="32"/>
          <w:highlight w:val="none"/>
        </w:rPr>
      </w:pPr>
    </w:p>
    <w:p w14:paraId="49BB9429">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4" w:type="first"/>
          <w:footerReference r:id="rId16" w:type="first"/>
          <w:headerReference r:id="rId13" w:type="default"/>
          <w:footerReference r:id="rId15" w:type="default"/>
          <w:pgSz w:w="11906" w:h="16838"/>
          <w:pgMar w:top="1134" w:right="1134" w:bottom="1134" w:left="1134" w:header="851" w:footer="992" w:gutter="0"/>
          <w:pgNumType w:fmt="decimal"/>
          <w:cols w:space="720" w:num="1"/>
          <w:titlePg/>
          <w:docGrid w:linePitch="312" w:charSpace="0"/>
        </w:sectPr>
      </w:pPr>
    </w:p>
    <w:p w14:paraId="73D537CF">
      <w:pPr>
        <w:pStyle w:val="82"/>
        <w:jc w:val="center"/>
        <w:rPr>
          <w:b/>
          <w:color w:val="auto"/>
          <w:sz w:val="32"/>
          <w:szCs w:val="32"/>
          <w:highlight w:val="none"/>
        </w:rPr>
      </w:pPr>
      <w:bookmarkStart w:id="523" w:name="_Toc176185127"/>
      <w:r>
        <w:rPr>
          <w:rFonts w:hint="eastAsia"/>
          <w:b/>
          <w:color w:val="auto"/>
          <w:sz w:val="32"/>
          <w:szCs w:val="32"/>
          <w:highlight w:val="none"/>
        </w:rPr>
        <w:t>一、开标一览表（报价表）</w:t>
      </w:r>
      <w:bookmarkEnd w:id="523"/>
    </w:p>
    <w:p w14:paraId="22D7A9D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C1D56D8">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F8329A8">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F7A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C97B616">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序号</w:t>
            </w:r>
          </w:p>
        </w:tc>
        <w:tc>
          <w:tcPr>
            <w:tcW w:w="992" w:type="dxa"/>
            <w:vAlign w:val="center"/>
          </w:tcPr>
          <w:p w14:paraId="03ACB63B">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名称</w:t>
            </w:r>
          </w:p>
        </w:tc>
        <w:tc>
          <w:tcPr>
            <w:tcW w:w="2268" w:type="dxa"/>
          </w:tcPr>
          <w:p w14:paraId="30C71571">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p>
          <w:p w14:paraId="1565E467">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服务范围</w:t>
            </w:r>
          </w:p>
        </w:tc>
        <w:tc>
          <w:tcPr>
            <w:tcW w:w="2410" w:type="dxa"/>
            <w:vAlign w:val="center"/>
          </w:tcPr>
          <w:p w14:paraId="2A783993">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服务要求</w:t>
            </w:r>
          </w:p>
        </w:tc>
        <w:tc>
          <w:tcPr>
            <w:tcW w:w="2268" w:type="dxa"/>
            <w:vAlign w:val="center"/>
          </w:tcPr>
          <w:p w14:paraId="79AB0BA9">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服务时间</w:t>
            </w:r>
          </w:p>
        </w:tc>
        <w:tc>
          <w:tcPr>
            <w:tcW w:w="2126" w:type="dxa"/>
            <w:vAlign w:val="center"/>
          </w:tcPr>
          <w:p w14:paraId="211EC5AA">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服务标准</w:t>
            </w:r>
          </w:p>
        </w:tc>
        <w:tc>
          <w:tcPr>
            <w:tcW w:w="2127" w:type="dxa"/>
          </w:tcPr>
          <w:p w14:paraId="5ADCD6D4">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p>
          <w:p w14:paraId="0BC3E928">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服务人数</w:t>
            </w:r>
          </w:p>
        </w:tc>
        <w:tc>
          <w:tcPr>
            <w:tcW w:w="2126" w:type="dxa"/>
            <w:vAlign w:val="center"/>
          </w:tcPr>
          <w:p w14:paraId="3AE35C9B">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p>
          <w:p w14:paraId="6B37A0B7">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备注（如果有）</w:t>
            </w:r>
          </w:p>
          <w:p w14:paraId="6E0BF58F">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p>
        </w:tc>
      </w:tr>
      <w:tr w14:paraId="035D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E83AE84">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w:t>
            </w:r>
          </w:p>
        </w:tc>
        <w:tc>
          <w:tcPr>
            <w:tcW w:w="992" w:type="dxa"/>
            <w:vAlign w:val="center"/>
          </w:tcPr>
          <w:p w14:paraId="108CE352">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X</w:t>
            </w:r>
            <w:r>
              <w:rPr>
                <w:rFonts w:cs="宋体" w:asciiTheme="minorEastAsia" w:hAnsiTheme="minorEastAsia" w:eastAsiaTheme="minorEastAsia"/>
                <w:color w:val="000000" w:themeColor="text1"/>
                <w:sz w:val="24"/>
                <w:highlight w:val="none"/>
                <w14:textFill>
                  <w14:solidFill>
                    <w14:schemeClr w14:val="tx1"/>
                  </w14:solidFill>
                </w14:textFill>
              </w:rPr>
              <w:t>X</w:t>
            </w:r>
          </w:p>
        </w:tc>
        <w:tc>
          <w:tcPr>
            <w:tcW w:w="2268" w:type="dxa"/>
            <w:vAlign w:val="center"/>
          </w:tcPr>
          <w:p w14:paraId="398597F4">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410" w:type="dxa"/>
            <w:vAlign w:val="center"/>
          </w:tcPr>
          <w:p w14:paraId="3A53AF53">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268" w:type="dxa"/>
            <w:vAlign w:val="center"/>
          </w:tcPr>
          <w:p w14:paraId="15227D41">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14:paraId="6968FF5C">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7" w:type="dxa"/>
          </w:tcPr>
          <w:p w14:paraId="6C10BFE4">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14:paraId="2FC4DE2F">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14:paraId="6BE4C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CBB5740">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w:t>
            </w:r>
          </w:p>
        </w:tc>
        <w:tc>
          <w:tcPr>
            <w:tcW w:w="992" w:type="dxa"/>
            <w:vAlign w:val="center"/>
          </w:tcPr>
          <w:p w14:paraId="6BB99693">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X</w:t>
            </w:r>
            <w:r>
              <w:rPr>
                <w:rFonts w:cs="宋体" w:asciiTheme="minorEastAsia" w:hAnsiTheme="minorEastAsia" w:eastAsiaTheme="minorEastAsia"/>
                <w:color w:val="000000" w:themeColor="text1"/>
                <w:sz w:val="24"/>
                <w:highlight w:val="none"/>
                <w14:textFill>
                  <w14:solidFill>
                    <w14:schemeClr w14:val="tx1"/>
                  </w14:solidFill>
                </w14:textFill>
              </w:rPr>
              <w:t>X</w:t>
            </w:r>
          </w:p>
        </w:tc>
        <w:tc>
          <w:tcPr>
            <w:tcW w:w="2268" w:type="dxa"/>
            <w:vAlign w:val="center"/>
          </w:tcPr>
          <w:p w14:paraId="2272B8E9">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410" w:type="dxa"/>
            <w:vAlign w:val="center"/>
          </w:tcPr>
          <w:p w14:paraId="1200F456">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268" w:type="dxa"/>
            <w:vAlign w:val="center"/>
          </w:tcPr>
          <w:p w14:paraId="01C72D21">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14:paraId="1AF0DFD1">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7" w:type="dxa"/>
          </w:tcPr>
          <w:p w14:paraId="0E3A82AD">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14:paraId="28001E75">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14:paraId="58A78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B05F567">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w:t>
            </w:r>
          </w:p>
        </w:tc>
        <w:tc>
          <w:tcPr>
            <w:tcW w:w="992" w:type="dxa"/>
            <w:vAlign w:val="center"/>
          </w:tcPr>
          <w:p w14:paraId="63A5D45E">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268" w:type="dxa"/>
            <w:vAlign w:val="center"/>
          </w:tcPr>
          <w:p w14:paraId="417E719F">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410" w:type="dxa"/>
            <w:vAlign w:val="center"/>
          </w:tcPr>
          <w:p w14:paraId="793BA7A6">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268" w:type="dxa"/>
            <w:vAlign w:val="center"/>
          </w:tcPr>
          <w:p w14:paraId="71683D59">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14:paraId="625C1C1E">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7" w:type="dxa"/>
          </w:tcPr>
          <w:p w14:paraId="23EC6349">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14:paraId="6F564157">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14:paraId="7CFA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7C1E6">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992" w:type="dxa"/>
            <w:vAlign w:val="center"/>
          </w:tcPr>
          <w:p w14:paraId="01375CA8">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268" w:type="dxa"/>
            <w:vAlign w:val="center"/>
          </w:tcPr>
          <w:p w14:paraId="341BFEDE">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410" w:type="dxa"/>
            <w:vAlign w:val="center"/>
          </w:tcPr>
          <w:p w14:paraId="3385C790">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268" w:type="dxa"/>
            <w:vAlign w:val="center"/>
          </w:tcPr>
          <w:p w14:paraId="00AD2F54">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14:paraId="5080E54F">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7" w:type="dxa"/>
          </w:tcPr>
          <w:p w14:paraId="514350EB">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14:paraId="5B1CDC24">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14:paraId="12826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0C06001">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992" w:type="dxa"/>
            <w:vAlign w:val="center"/>
          </w:tcPr>
          <w:p w14:paraId="4BB97767">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268" w:type="dxa"/>
            <w:vAlign w:val="center"/>
          </w:tcPr>
          <w:p w14:paraId="45B49207">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410" w:type="dxa"/>
            <w:vAlign w:val="center"/>
          </w:tcPr>
          <w:p w14:paraId="1D89A62C">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268" w:type="dxa"/>
            <w:vAlign w:val="center"/>
          </w:tcPr>
          <w:p w14:paraId="519D6DDF">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14:paraId="5A466B7A">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7" w:type="dxa"/>
          </w:tcPr>
          <w:p w14:paraId="587702CF">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14:paraId="309DC514">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14:paraId="60C7A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E2C6FAA">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lang w:eastAsia="zh-CN"/>
                <w14:textFill>
                  <w14:solidFill>
                    <w14:schemeClr w14:val="tx1"/>
                  </w14:solidFill>
                </w14:textFill>
              </w:rPr>
              <w:t>投标</w:t>
            </w:r>
            <w:r>
              <w:rPr>
                <w:rFonts w:hint="eastAsia" w:cs="宋体" w:asciiTheme="minorEastAsia" w:hAnsiTheme="minorEastAsia" w:eastAsiaTheme="minorEastAsia"/>
                <w:b/>
                <w:color w:val="000000" w:themeColor="text1"/>
                <w:sz w:val="24"/>
                <w:highlight w:val="none"/>
                <w14:textFill>
                  <w14:solidFill>
                    <w14:schemeClr w14:val="tx1"/>
                  </w14:solidFill>
                </w14:textFill>
              </w:rPr>
              <w:t>报价（小写）</w:t>
            </w:r>
          </w:p>
        </w:tc>
        <w:tc>
          <w:tcPr>
            <w:tcW w:w="8647" w:type="dxa"/>
            <w:gridSpan w:val="4"/>
          </w:tcPr>
          <w:p w14:paraId="297CAF83">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14:paraId="6AFDC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8A2E477">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lang w:eastAsia="zh-CN"/>
                <w14:textFill>
                  <w14:solidFill>
                    <w14:schemeClr w14:val="tx1"/>
                  </w14:solidFill>
                </w14:textFill>
              </w:rPr>
              <w:t>投标</w:t>
            </w:r>
            <w:r>
              <w:rPr>
                <w:rFonts w:hint="eastAsia" w:cs="宋体" w:asciiTheme="minorEastAsia" w:hAnsiTheme="minorEastAsia" w:eastAsiaTheme="minorEastAsia"/>
                <w:b/>
                <w:color w:val="000000" w:themeColor="text1"/>
                <w:sz w:val="24"/>
                <w:highlight w:val="none"/>
                <w14:textFill>
                  <w14:solidFill>
                    <w14:schemeClr w14:val="tx1"/>
                  </w14:solidFill>
                </w14:textFill>
              </w:rPr>
              <w:t>报价（大写）</w:t>
            </w:r>
          </w:p>
        </w:tc>
        <w:tc>
          <w:tcPr>
            <w:tcW w:w="8647" w:type="dxa"/>
            <w:gridSpan w:val="4"/>
          </w:tcPr>
          <w:p w14:paraId="2725AA32">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r>
    </w:tbl>
    <w:p w14:paraId="2CFF4C9C">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7762D33">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6C74C7C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585A1B3">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55FD7C01">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49F4861">
      <w:pPr>
        <w:autoSpaceDE w:val="0"/>
        <w:autoSpaceDN w:val="0"/>
        <w:spacing w:line="360" w:lineRule="auto"/>
        <w:ind w:left="2"/>
        <w:jc w:val="left"/>
        <w:rPr>
          <w:rFonts w:ascii="宋体" w:hAnsi="宋体" w:cs="宋体"/>
          <w:color w:val="auto"/>
          <w:kern w:val="0"/>
          <w:sz w:val="24"/>
          <w:highlight w:val="none"/>
          <w:lang w:val="zh-CN"/>
        </w:rPr>
      </w:pPr>
    </w:p>
    <w:p w14:paraId="12AC081C">
      <w:pPr>
        <w:spacing w:line="360"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投标人名称（公章）：</w:t>
      </w:r>
    </w:p>
    <w:p w14:paraId="4AA92FD0">
      <w:pPr>
        <w:spacing w:line="360"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2E9B4B3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6A13866">
      <w:pPr>
        <w:spacing w:line="360" w:lineRule="auto"/>
        <w:ind w:firstLine="482" w:firstLineChars="200"/>
        <w:rPr>
          <w:rFonts w:ascii="宋体" w:hAnsi="宋体" w:cs="宋体"/>
          <w:b/>
          <w:color w:val="auto"/>
          <w:kern w:val="0"/>
          <w:sz w:val="24"/>
          <w:highlight w:val="none"/>
        </w:rPr>
      </w:pPr>
    </w:p>
    <w:p w14:paraId="32A2FB4C">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1C111FB3">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45ED0873">
      <w:pPr>
        <w:pStyle w:val="82"/>
        <w:jc w:val="center"/>
        <w:rPr>
          <w:b/>
          <w:color w:val="auto"/>
          <w:sz w:val="32"/>
          <w:szCs w:val="32"/>
          <w:highlight w:val="none"/>
        </w:rPr>
      </w:pPr>
      <w:bookmarkStart w:id="524" w:name="_Toc176185128"/>
      <w:r>
        <w:rPr>
          <w:rFonts w:hint="eastAsia"/>
          <w:b/>
          <w:color w:val="auto"/>
          <w:kern w:val="2"/>
          <w:sz w:val="32"/>
          <w:szCs w:val="32"/>
          <w:highlight w:val="none"/>
        </w:rPr>
        <w:t>二、</w:t>
      </w:r>
      <w:r>
        <w:rPr>
          <w:rFonts w:hint="eastAsia"/>
          <w:b/>
          <w:color w:val="auto"/>
          <w:sz w:val="32"/>
          <w:szCs w:val="32"/>
          <w:highlight w:val="none"/>
        </w:rPr>
        <w:t>中小企业声明函</w:t>
      </w:r>
      <w:bookmarkStart w:id="525" w:name="_Hlk101259491"/>
      <w:r>
        <w:rPr>
          <w:rFonts w:hint="eastAsia"/>
          <w:b/>
          <w:color w:val="auto"/>
          <w:sz w:val="32"/>
          <w:szCs w:val="32"/>
          <w:highlight w:val="none"/>
        </w:rPr>
        <w:t>（如果有）</w:t>
      </w:r>
      <w:bookmarkEnd w:id="524"/>
      <w:bookmarkEnd w:id="525"/>
    </w:p>
    <w:p w14:paraId="09EFC7F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2567DF4">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7BF7A3C3">
      <w:pPr>
        <w:spacing w:line="360" w:lineRule="auto"/>
        <w:ind w:right="420" w:firstLine="3614" w:firstLineChars="1000"/>
        <w:rPr>
          <w:rFonts w:ascii="宋体" w:hAnsi="宋体" w:cs="宋体"/>
          <w:b/>
          <w:color w:val="auto"/>
          <w:kern w:val="0"/>
          <w:sz w:val="36"/>
          <w:szCs w:val="36"/>
          <w:highlight w:val="none"/>
        </w:rPr>
      </w:pPr>
    </w:p>
    <w:p w14:paraId="787637DD">
      <w:pPr>
        <w:spacing w:line="360" w:lineRule="auto"/>
        <w:ind w:right="420" w:firstLine="3614" w:firstLineChars="1000"/>
        <w:rPr>
          <w:rFonts w:ascii="宋体" w:hAnsi="宋体" w:cs="宋体"/>
          <w:b/>
          <w:color w:val="auto"/>
          <w:kern w:val="0"/>
          <w:sz w:val="36"/>
          <w:szCs w:val="36"/>
          <w:highlight w:val="none"/>
        </w:rPr>
      </w:pPr>
    </w:p>
    <w:p w14:paraId="0C13D199">
      <w:pPr>
        <w:spacing w:line="360" w:lineRule="auto"/>
        <w:ind w:right="420" w:firstLine="3614" w:firstLineChars="1000"/>
        <w:rPr>
          <w:rFonts w:ascii="宋体" w:hAnsi="宋体" w:cs="宋体"/>
          <w:b/>
          <w:color w:val="auto"/>
          <w:kern w:val="0"/>
          <w:sz w:val="36"/>
          <w:szCs w:val="36"/>
          <w:highlight w:val="none"/>
        </w:rPr>
      </w:pPr>
    </w:p>
    <w:p w14:paraId="53737D70">
      <w:pPr>
        <w:spacing w:line="360" w:lineRule="auto"/>
        <w:ind w:right="420" w:firstLine="3614" w:firstLineChars="1000"/>
        <w:rPr>
          <w:rFonts w:ascii="宋体" w:hAnsi="宋体" w:cs="宋体"/>
          <w:b/>
          <w:color w:val="auto"/>
          <w:kern w:val="0"/>
          <w:sz w:val="36"/>
          <w:szCs w:val="36"/>
          <w:highlight w:val="none"/>
        </w:rPr>
      </w:pPr>
    </w:p>
    <w:p w14:paraId="31EDCCDF">
      <w:pPr>
        <w:spacing w:line="360" w:lineRule="auto"/>
        <w:ind w:right="420" w:firstLine="3614" w:firstLineChars="1000"/>
        <w:rPr>
          <w:rFonts w:ascii="宋体" w:hAnsi="宋体" w:cs="宋体"/>
          <w:b/>
          <w:color w:val="auto"/>
          <w:kern w:val="0"/>
          <w:sz w:val="36"/>
          <w:szCs w:val="36"/>
          <w:highlight w:val="none"/>
        </w:rPr>
      </w:pPr>
    </w:p>
    <w:p w14:paraId="4FA42A00">
      <w:pPr>
        <w:spacing w:line="360" w:lineRule="auto"/>
        <w:ind w:right="420" w:firstLine="3614" w:firstLineChars="1000"/>
        <w:rPr>
          <w:rFonts w:ascii="宋体" w:hAnsi="宋体" w:cs="宋体"/>
          <w:b/>
          <w:color w:val="auto"/>
          <w:kern w:val="0"/>
          <w:sz w:val="36"/>
          <w:szCs w:val="36"/>
          <w:highlight w:val="none"/>
        </w:rPr>
      </w:pPr>
    </w:p>
    <w:p w14:paraId="25835635">
      <w:pPr>
        <w:spacing w:line="360" w:lineRule="auto"/>
        <w:ind w:right="420" w:firstLine="3614" w:firstLineChars="1000"/>
        <w:rPr>
          <w:rFonts w:ascii="宋体" w:hAnsi="宋体" w:cs="宋体"/>
          <w:b/>
          <w:color w:val="auto"/>
          <w:kern w:val="0"/>
          <w:sz w:val="36"/>
          <w:szCs w:val="36"/>
          <w:highlight w:val="none"/>
        </w:rPr>
      </w:pPr>
    </w:p>
    <w:p w14:paraId="7FA4E99B">
      <w:pPr>
        <w:spacing w:line="360" w:lineRule="auto"/>
        <w:ind w:right="420" w:firstLine="3614" w:firstLineChars="1000"/>
        <w:rPr>
          <w:rFonts w:ascii="宋体" w:hAnsi="宋体" w:cs="宋体"/>
          <w:b/>
          <w:color w:val="auto"/>
          <w:kern w:val="0"/>
          <w:sz w:val="36"/>
          <w:szCs w:val="36"/>
          <w:highlight w:val="none"/>
        </w:rPr>
      </w:pPr>
    </w:p>
    <w:p w14:paraId="45963E26">
      <w:pPr>
        <w:spacing w:line="360" w:lineRule="auto"/>
        <w:ind w:right="420" w:firstLine="3614" w:firstLineChars="1000"/>
        <w:rPr>
          <w:rFonts w:ascii="宋体" w:hAnsi="宋体" w:cs="宋体"/>
          <w:b/>
          <w:color w:val="auto"/>
          <w:kern w:val="0"/>
          <w:sz w:val="36"/>
          <w:szCs w:val="36"/>
          <w:highlight w:val="none"/>
        </w:rPr>
      </w:pPr>
    </w:p>
    <w:p w14:paraId="3DB6B17A">
      <w:pPr>
        <w:spacing w:line="360" w:lineRule="auto"/>
        <w:ind w:right="420" w:firstLine="3614" w:firstLineChars="1000"/>
        <w:rPr>
          <w:rFonts w:ascii="宋体" w:hAnsi="宋体" w:cs="宋体"/>
          <w:b/>
          <w:color w:val="auto"/>
          <w:kern w:val="0"/>
          <w:sz w:val="36"/>
          <w:szCs w:val="36"/>
          <w:highlight w:val="none"/>
        </w:rPr>
      </w:pPr>
    </w:p>
    <w:p w14:paraId="30C9B345">
      <w:pPr>
        <w:spacing w:line="360" w:lineRule="auto"/>
        <w:ind w:right="420" w:firstLine="3614" w:firstLineChars="1000"/>
        <w:rPr>
          <w:rFonts w:ascii="宋体" w:hAnsi="宋体" w:cs="宋体"/>
          <w:b/>
          <w:color w:val="auto"/>
          <w:kern w:val="0"/>
          <w:sz w:val="36"/>
          <w:szCs w:val="36"/>
          <w:highlight w:val="none"/>
        </w:rPr>
      </w:pPr>
    </w:p>
    <w:p w14:paraId="24ABB414">
      <w:pPr>
        <w:spacing w:line="360" w:lineRule="auto"/>
        <w:ind w:right="420" w:firstLine="3614" w:firstLineChars="1000"/>
        <w:rPr>
          <w:rFonts w:ascii="宋体" w:hAnsi="宋体" w:cs="宋体"/>
          <w:b/>
          <w:color w:val="auto"/>
          <w:kern w:val="0"/>
          <w:sz w:val="36"/>
          <w:szCs w:val="36"/>
          <w:highlight w:val="none"/>
        </w:rPr>
      </w:pPr>
    </w:p>
    <w:p w14:paraId="3675B1F0">
      <w:pPr>
        <w:spacing w:line="360" w:lineRule="auto"/>
        <w:ind w:right="420" w:firstLine="3614" w:firstLineChars="1000"/>
        <w:rPr>
          <w:rFonts w:ascii="宋体" w:hAnsi="宋体" w:cs="宋体"/>
          <w:b/>
          <w:color w:val="auto"/>
          <w:kern w:val="0"/>
          <w:sz w:val="36"/>
          <w:szCs w:val="36"/>
          <w:highlight w:val="none"/>
        </w:rPr>
      </w:pPr>
    </w:p>
    <w:p w14:paraId="0B66D574">
      <w:pPr>
        <w:spacing w:line="360" w:lineRule="auto"/>
        <w:ind w:right="420" w:firstLine="3614" w:firstLineChars="1000"/>
        <w:rPr>
          <w:rFonts w:ascii="宋体" w:hAnsi="宋体" w:cs="宋体"/>
          <w:b/>
          <w:color w:val="auto"/>
          <w:kern w:val="0"/>
          <w:sz w:val="36"/>
          <w:szCs w:val="36"/>
          <w:highlight w:val="none"/>
        </w:rPr>
      </w:pPr>
    </w:p>
    <w:p w14:paraId="6B5C1D01">
      <w:pPr>
        <w:spacing w:line="360" w:lineRule="auto"/>
        <w:ind w:right="420" w:firstLine="3614" w:firstLineChars="1000"/>
        <w:rPr>
          <w:rFonts w:ascii="宋体" w:hAnsi="宋体" w:cs="宋体"/>
          <w:b/>
          <w:color w:val="auto"/>
          <w:kern w:val="0"/>
          <w:sz w:val="36"/>
          <w:szCs w:val="36"/>
          <w:highlight w:val="none"/>
        </w:rPr>
      </w:pPr>
    </w:p>
    <w:p w14:paraId="7D8B773C">
      <w:pPr>
        <w:spacing w:line="360" w:lineRule="auto"/>
        <w:ind w:right="420" w:firstLine="3614" w:firstLineChars="1000"/>
        <w:rPr>
          <w:rFonts w:ascii="宋体" w:hAnsi="宋体" w:cs="宋体"/>
          <w:b/>
          <w:color w:val="auto"/>
          <w:kern w:val="0"/>
          <w:sz w:val="36"/>
          <w:szCs w:val="36"/>
          <w:highlight w:val="none"/>
        </w:rPr>
      </w:pPr>
    </w:p>
    <w:p w14:paraId="753F8297">
      <w:pPr>
        <w:pStyle w:val="82"/>
        <w:jc w:val="center"/>
        <w:rPr>
          <w:b/>
          <w:color w:val="auto"/>
          <w:sz w:val="36"/>
          <w:szCs w:val="36"/>
          <w:highlight w:val="none"/>
        </w:rPr>
      </w:pPr>
      <w:bookmarkStart w:id="526" w:name="_Toc465665161"/>
      <w:r>
        <w:rPr>
          <w:rFonts w:hint="eastAsia"/>
          <w:b/>
          <w:color w:val="auto"/>
          <w:sz w:val="36"/>
          <w:szCs w:val="36"/>
          <w:highlight w:val="none"/>
        </w:rPr>
        <w:t>附件</w:t>
      </w:r>
      <w:bookmarkEnd w:id="526"/>
    </w:p>
    <w:p w14:paraId="49DEA45E">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57779F5">
      <w:pPr>
        <w:spacing w:line="360" w:lineRule="auto"/>
        <w:jc w:val="center"/>
        <w:rPr>
          <w:rFonts w:ascii="宋体" w:hAnsi="宋体" w:cs="宋体"/>
          <w:b/>
          <w:color w:val="auto"/>
          <w:spacing w:val="6"/>
          <w:sz w:val="32"/>
          <w:szCs w:val="32"/>
          <w:highlight w:val="none"/>
        </w:rPr>
      </w:pPr>
      <w:bookmarkStart w:id="527" w:name="OLE_LINK14"/>
      <w:bookmarkStart w:id="528" w:name="OLE_LINK13"/>
      <w:r>
        <w:rPr>
          <w:rFonts w:hint="eastAsia" w:ascii="宋体" w:hAnsi="宋体" w:cs="宋体"/>
          <w:b/>
          <w:color w:val="auto"/>
          <w:spacing w:val="6"/>
          <w:sz w:val="32"/>
          <w:szCs w:val="32"/>
          <w:highlight w:val="none"/>
        </w:rPr>
        <w:t>残疾人福利性单位声明函</w:t>
      </w:r>
    </w:p>
    <w:bookmarkEnd w:id="527"/>
    <w:bookmarkEnd w:id="528"/>
    <w:p w14:paraId="1F17002C">
      <w:pPr>
        <w:spacing w:line="360" w:lineRule="auto"/>
        <w:rPr>
          <w:rFonts w:ascii="宋体" w:hAnsi="宋体" w:cs="宋体"/>
          <w:b/>
          <w:color w:val="auto"/>
          <w:spacing w:val="6"/>
          <w:sz w:val="30"/>
          <w:szCs w:val="30"/>
          <w:highlight w:val="none"/>
        </w:rPr>
      </w:pPr>
    </w:p>
    <w:p w14:paraId="6CF40F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324C8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CCE8E96">
      <w:pPr>
        <w:spacing w:line="360" w:lineRule="auto"/>
        <w:ind w:firstLine="480" w:firstLineChars="200"/>
        <w:rPr>
          <w:rFonts w:ascii="宋体" w:hAnsi="宋体" w:cs="宋体"/>
          <w:color w:val="auto"/>
          <w:sz w:val="24"/>
          <w:highlight w:val="none"/>
        </w:rPr>
      </w:pPr>
    </w:p>
    <w:p w14:paraId="24F4811A">
      <w:pPr>
        <w:spacing w:line="360" w:lineRule="auto"/>
        <w:ind w:firstLine="480" w:firstLineChars="200"/>
        <w:rPr>
          <w:rFonts w:ascii="宋体" w:hAnsi="宋体" w:cs="宋体"/>
          <w:color w:val="auto"/>
          <w:sz w:val="24"/>
          <w:highlight w:val="none"/>
        </w:rPr>
      </w:pPr>
    </w:p>
    <w:p w14:paraId="4B46ADD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公章</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p>
    <w:p w14:paraId="0053EF1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E9D923">
      <w:pPr>
        <w:spacing w:line="360" w:lineRule="auto"/>
        <w:ind w:firstLine="480" w:firstLineChars="200"/>
        <w:rPr>
          <w:rFonts w:ascii="宋体" w:hAnsi="宋体" w:cs="宋体"/>
          <w:color w:val="auto"/>
          <w:sz w:val="24"/>
          <w:highlight w:val="none"/>
        </w:rPr>
      </w:pPr>
    </w:p>
    <w:p w14:paraId="7CCB5953">
      <w:pPr>
        <w:spacing w:line="360" w:lineRule="auto"/>
        <w:ind w:firstLine="420" w:firstLineChars="200"/>
        <w:rPr>
          <w:rFonts w:ascii="宋体" w:hAnsi="宋体" w:cs="宋体"/>
          <w:color w:val="auto"/>
          <w:highlight w:val="none"/>
        </w:rPr>
      </w:pPr>
    </w:p>
    <w:p w14:paraId="24FF0CC3">
      <w:pPr>
        <w:spacing w:line="360" w:lineRule="auto"/>
        <w:ind w:firstLine="420" w:firstLineChars="200"/>
        <w:rPr>
          <w:rFonts w:ascii="宋体" w:hAnsi="宋体" w:cs="宋体"/>
          <w:color w:val="auto"/>
          <w:highlight w:val="none"/>
        </w:rPr>
      </w:pPr>
    </w:p>
    <w:p w14:paraId="184F9036">
      <w:pPr>
        <w:spacing w:line="360" w:lineRule="auto"/>
        <w:ind w:firstLine="420" w:firstLineChars="200"/>
        <w:rPr>
          <w:rFonts w:ascii="宋体" w:hAnsi="宋体" w:cs="宋体"/>
          <w:color w:val="auto"/>
          <w:highlight w:val="none"/>
        </w:rPr>
      </w:pPr>
    </w:p>
    <w:p w14:paraId="4071350B">
      <w:pPr>
        <w:spacing w:line="360" w:lineRule="auto"/>
        <w:ind w:firstLine="420" w:firstLineChars="200"/>
        <w:rPr>
          <w:rFonts w:ascii="宋体" w:hAnsi="宋体" w:cs="宋体"/>
          <w:color w:val="auto"/>
          <w:highlight w:val="none"/>
        </w:rPr>
      </w:pPr>
    </w:p>
    <w:p w14:paraId="6BABDF2C">
      <w:pPr>
        <w:spacing w:line="360" w:lineRule="auto"/>
        <w:rPr>
          <w:rFonts w:ascii="宋体" w:hAnsi="宋体" w:cs="宋体"/>
          <w:b/>
          <w:color w:val="auto"/>
          <w:sz w:val="24"/>
          <w:highlight w:val="none"/>
        </w:rPr>
      </w:pPr>
    </w:p>
    <w:p w14:paraId="193C6417">
      <w:pPr>
        <w:spacing w:line="360" w:lineRule="auto"/>
        <w:rPr>
          <w:rFonts w:ascii="宋体" w:hAnsi="宋体" w:cs="宋体"/>
          <w:b/>
          <w:color w:val="auto"/>
          <w:sz w:val="24"/>
          <w:highlight w:val="none"/>
        </w:rPr>
      </w:pPr>
    </w:p>
    <w:p w14:paraId="3F391DA1">
      <w:pPr>
        <w:spacing w:line="360" w:lineRule="auto"/>
        <w:rPr>
          <w:rFonts w:ascii="宋体" w:hAnsi="宋体" w:cs="宋体"/>
          <w:b/>
          <w:color w:val="auto"/>
          <w:sz w:val="24"/>
          <w:highlight w:val="none"/>
        </w:rPr>
      </w:pPr>
    </w:p>
    <w:p w14:paraId="4C7BC827">
      <w:pPr>
        <w:spacing w:line="360" w:lineRule="auto"/>
        <w:rPr>
          <w:rFonts w:ascii="宋体" w:hAnsi="宋体" w:cs="宋体"/>
          <w:b/>
          <w:color w:val="auto"/>
          <w:sz w:val="24"/>
          <w:highlight w:val="none"/>
        </w:rPr>
      </w:pPr>
    </w:p>
    <w:p w14:paraId="033EFE8B">
      <w:pPr>
        <w:spacing w:line="360" w:lineRule="auto"/>
        <w:rPr>
          <w:rFonts w:ascii="宋体" w:hAnsi="宋体" w:cs="宋体"/>
          <w:b/>
          <w:color w:val="auto"/>
          <w:sz w:val="24"/>
          <w:highlight w:val="none"/>
        </w:rPr>
      </w:pPr>
    </w:p>
    <w:p w14:paraId="41AEBECF">
      <w:pPr>
        <w:spacing w:line="360" w:lineRule="auto"/>
        <w:rPr>
          <w:rFonts w:ascii="宋体" w:hAnsi="宋体" w:cs="宋体"/>
          <w:b/>
          <w:color w:val="auto"/>
          <w:sz w:val="24"/>
          <w:highlight w:val="none"/>
        </w:rPr>
      </w:pPr>
    </w:p>
    <w:p w14:paraId="0EB22E8D">
      <w:pPr>
        <w:spacing w:line="360" w:lineRule="auto"/>
        <w:rPr>
          <w:rFonts w:ascii="宋体" w:hAnsi="宋体" w:cs="宋体"/>
          <w:b/>
          <w:color w:val="auto"/>
          <w:sz w:val="24"/>
          <w:highlight w:val="none"/>
        </w:rPr>
      </w:pPr>
    </w:p>
    <w:p w14:paraId="0A2CC048">
      <w:pPr>
        <w:spacing w:line="360" w:lineRule="auto"/>
        <w:rPr>
          <w:rFonts w:ascii="宋体" w:hAnsi="宋体" w:cs="宋体"/>
          <w:b/>
          <w:color w:val="auto"/>
          <w:sz w:val="24"/>
          <w:highlight w:val="none"/>
        </w:rPr>
      </w:pPr>
    </w:p>
    <w:p w14:paraId="36FAAA13">
      <w:pPr>
        <w:spacing w:line="360" w:lineRule="auto"/>
        <w:rPr>
          <w:rFonts w:ascii="宋体" w:hAnsi="宋体" w:cs="宋体"/>
          <w:b/>
          <w:color w:val="auto"/>
          <w:sz w:val="24"/>
          <w:highlight w:val="none"/>
        </w:rPr>
      </w:pPr>
    </w:p>
    <w:p w14:paraId="27A50055">
      <w:pPr>
        <w:spacing w:line="360" w:lineRule="auto"/>
        <w:jc w:val="left"/>
        <w:rPr>
          <w:rFonts w:ascii="宋体" w:hAnsi="宋体" w:cs="宋体"/>
          <w:b/>
          <w:color w:val="auto"/>
          <w:spacing w:val="6"/>
          <w:sz w:val="32"/>
          <w:szCs w:val="32"/>
          <w:highlight w:val="none"/>
        </w:rPr>
      </w:pPr>
    </w:p>
    <w:p w14:paraId="7ECD41C6">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045EDA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2AEB076">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E697AD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D2CC57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4E934E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73724A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E05B5F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79034D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3E26F1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BB70F0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7CDD5C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AD4A3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8B3170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28B844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153A40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423FC9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58670E3">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3A0CE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2B45EC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E63AC2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7C2D9B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69117A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62DF16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1E04C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042484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61E22B4">
      <w:pPr>
        <w:spacing w:line="360" w:lineRule="auto"/>
        <w:jc w:val="center"/>
        <w:rPr>
          <w:rFonts w:ascii="宋体" w:hAnsi="宋体" w:cs="宋体"/>
          <w:b/>
          <w:bCs/>
          <w:color w:val="auto"/>
          <w:sz w:val="24"/>
          <w:highlight w:val="none"/>
        </w:rPr>
      </w:pPr>
    </w:p>
    <w:p w14:paraId="0D264E71">
      <w:pPr>
        <w:spacing w:line="360" w:lineRule="auto"/>
        <w:rPr>
          <w:rFonts w:ascii="宋体" w:hAnsi="宋体" w:cs="宋体"/>
          <w:b/>
          <w:color w:val="auto"/>
          <w:sz w:val="24"/>
          <w:highlight w:val="none"/>
        </w:rPr>
      </w:pPr>
    </w:p>
    <w:p w14:paraId="2CFF2DE4">
      <w:pPr>
        <w:spacing w:line="360" w:lineRule="auto"/>
        <w:rPr>
          <w:rFonts w:ascii="宋体" w:hAnsi="宋体" w:cs="宋体"/>
          <w:b/>
          <w:color w:val="auto"/>
          <w:sz w:val="24"/>
          <w:highlight w:val="none"/>
        </w:rPr>
      </w:pPr>
    </w:p>
    <w:p w14:paraId="57FC2281">
      <w:pPr>
        <w:spacing w:line="360" w:lineRule="auto"/>
        <w:rPr>
          <w:rFonts w:ascii="宋体" w:hAnsi="宋体" w:cs="宋体"/>
          <w:b/>
          <w:color w:val="auto"/>
          <w:sz w:val="24"/>
          <w:highlight w:val="none"/>
        </w:rPr>
      </w:pPr>
    </w:p>
    <w:p w14:paraId="69A08F00">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3A2038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2C0398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6054A6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A13DAC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C34085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0C8349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F686799">
      <w:pPr>
        <w:widowControl/>
        <w:spacing w:line="360" w:lineRule="auto"/>
        <w:ind w:firstLine="600" w:firstLineChars="200"/>
        <w:jc w:val="left"/>
        <w:rPr>
          <w:rFonts w:ascii="宋体" w:hAnsi="宋体" w:cs="宋体"/>
          <w:color w:val="auto"/>
          <w:sz w:val="30"/>
          <w:szCs w:val="30"/>
          <w:highlight w:val="none"/>
        </w:rPr>
      </w:pPr>
    </w:p>
    <w:p w14:paraId="7FA44231">
      <w:pPr>
        <w:spacing w:line="360" w:lineRule="auto"/>
        <w:jc w:val="center"/>
        <w:rPr>
          <w:rFonts w:ascii="宋体" w:hAnsi="宋体" w:cs="宋体"/>
          <w:b/>
          <w:color w:val="auto"/>
          <w:spacing w:val="6"/>
          <w:sz w:val="32"/>
          <w:szCs w:val="32"/>
          <w:highlight w:val="none"/>
        </w:rPr>
      </w:pPr>
    </w:p>
    <w:p w14:paraId="4DA0AA0B">
      <w:pPr>
        <w:spacing w:line="360" w:lineRule="auto"/>
        <w:jc w:val="center"/>
        <w:rPr>
          <w:rFonts w:ascii="宋体" w:hAnsi="宋体" w:cs="宋体"/>
          <w:b/>
          <w:color w:val="auto"/>
          <w:spacing w:val="6"/>
          <w:sz w:val="32"/>
          <w:szCs w:val="32"/>
          <w:highlight w:val="none"/>
        </w:rPr>
      </w:pPr>
    </w:p>
    <w:p w14:paraId="3EA6B92A">
      <w:pPr>
        <w:spacing w:line="360" w:lineRule="auto"/>
        <w:jc w:val="center"/>
        <w:rPr>
          <w:rFonts w:ascii="宋体" w:hAnsi="宋体" w:cs="宋体"/>
          <w:b/>
          <w:color w:val="auto"/>
          <w:spacing w:val="6"/>
          <w:sz w:val="32"/>
          <w:szCs w:val="32"/>
          <w:highlight w:val="none"/>
        </w:rPr>
      </w:pPr>
    </w:p>
    <w:p w14:paraId="18EC5C79">
      <w:pPr>
        <w:spacing w:line="360" w:lineRule="auto"/>
        <w:jc w:val="center"/>
        <w:rPr>
          <w:rFonts w:ascii="宋体" w:hAnsi="宋体" w:cs="宋体"/>
          <w:b/>
          <w:color w:val="auto"/>
          <w:spacing w:val="6"/>
          <w:sz w:val="32"/>
          <w:szCs w:val="32"/>
          <w:highlight w:val="none"/>
        </w:rPr>
      </w:pPr>
    </w:p>
    <w:p w14:paraId="529A4711">
      <w:pPr>
        <w:spacing w:line="360" w:lineRule="auto"/>
        <w:jc w:val="center"/>
        <w:rPr>
          <w:rFonts w:ascii="宋体" w:hAnsi="宋体" w:cs="宋体"/>
          <w:b/>
          <w:color w:val="auto"/>
          <w:spacing w:val="6"/>
          <w:sz w:val="32"/>
          <w:szCs w:val="32"/>
          <w:highlight w:val="none"/>
        </w:rPr>
      </w:pPr>
    </w:p>
    <w:p w14:paraId="13A22229">
      <w:pPr>
        <w:spacing w:line="360" w:lineRule="auto"/>
        <w:jc w:val="center"/>
        <w:rPr>
          <w:rFonts w:ascii="宋体" w:hAnsi="宋体" w:cs="宋体"/>
          <w:b/>
          <w:color w:val="auto"/>
          <w:spacing w:val="6"/>
          <w:sz w:val="32"/>
          <w:szCs w:val="32"/>
          <w:highlight w:val="none"/>
        </w:rPr>
      </w:pPr>
    </w:p>
    <w:p w14:paraId="497AB0FC">
      <w:pPr>
        <w:spacing w:line="360" w:lineRule="auto"/>
        <w:jc w:val="center"/>
        <w:rPr>
          <w:rFonts w:ascii="宋体" w:hAnsi="宋体" w:cs="宋体"/>
          <w:b/>
          <w:color w:val="auto"/>
          <w:spacing w:val="6"/>
          <w:sz w:val="32"/>
          <w:szCs w:val="32"/>
          <w:highlight w:val="none"/>
        </w:rPr>
      </w:pPr>
    </w:p>
    <w:p w14:paraId="2A959F8D">
      <w:pPr>
        <w:spacing w:line="360" w:lineRule="auto"/>
        <w:jc w:val="center"/>
        <w:rPr>
          <w:rFonts w:ascii="宋体" w:hAnsi="宋体" w:cs="宋体"/>
          <w:b/>
          <w:color w:val="auto"/>
          <w:spacing w:val="6"/>
          <w:sz w:val="32"/>
          <w:szCs w:val="32"/>
          <w:highlight w:val="none"/>
        </w:rPr>
      </w:pPr>
    </w:p>
    <w:p w14:paraId="2EDF1C9E">
      <w:pPr>
        <w:spacing w:line="360" w:lineRule="auto"/>
        <w:jc w:val="center"/>
        <w:rPr>
          <w:rFonts w:ascii="宋体" w:hAnsi="宋体" w:cs="宋体"/>
          <w:b/>
          <w:color w:val="auto"/>
          <w:spacing w:val="6"/>
          <w:sz w:val="32"/>
          <w:szCs w:val="32"/>
          <w:highlight w:val="none"/>
        </w:rPr>
      </w:pPr>
    </w:p>
    <w:p w14:paraId="14898242">
      <w:pPr>
        <w:spacing w:line="360" w:lineRule="auto"/>
        <w:jc w:val="center"/>
        <w:rPr>
          <w:rFonts w:ascii="宋体" w:hAnsi="宋体" w:cs="宋体"/>
          <w:b/>
          <w:color w:val="auto"/>
          <w:spacing w:val="6"/>
          <w:sz w:val="32"/>
          <w:szCs w:val="32"/>
          <w:highlight w:val="none"/>
        </w:rPr>
      </w:pPr>
    </w:p>
    <w:p w14:paraId="2F568E33">
      <w:pPr>
        <w:spacing w:line="360" w:lineRule="auto"/>
        <w:jc w:val="center"/>
        <w:rPr>
          <w:rFonts w:ascii="宋体" w:hAnsi="宋体" w:cs="宋体"/>
          <w:b/>
          <w:color w:val="auto"/>
          <w:spacing w:val="6"/>
          <w:sz w:val="32"/>
          <w:szCs w:val="32"/>
          <w:highlight w:val="none"/>
        </w:rPr>
      </w:pPr>
    </w:p>
    <w:p w14:paraId="01418923">
      <w:pPr>
        <w:spacing w:line="360" w:lineRule="auto"/>
        <w:jc w:val="center"/>
        <w:rPr>
          <w:rFonts w:ascii="宋体" w:hAnsi="宋体" w:cs="宋体"/>
          <w:b/>
          <w:color w:val="auto"/>
          <w:spacing w:val="6"/>
          <w:sz w:val="32"/>
          <w:szCs w:val="32"/>
          <w:highlight w:val="none"/>
        </w:rPr>
      </w:pPr>
    </w:p>
    <w:p w14:paraId="2792CD88">
      <w:pPr>
        <w:spacing w:line="360" w:lineRule="auto"/>
        <w:jc w:val="left"/>
        <w:rPr>
          <w:rFonts w:ascii="宋体" w:hAnsi="宋体" w:cs="宋体"/>
          <w:b/>
          <w:color w:val="auto"/>
          <w:spacing w:val="6"/>
          <w:sz w:val="32"/>
          <w:szCs w:val="32"/>
          <w:highlight w:val="none"/>
        </w:rPr>
      </w:pPr>
    </w:p>
    <w:p w14:paraId="67073CC2">
      <w:pPr>
        <w:spacing w:line="360" w:lineRule="auto"/>
        <w:jc w:val="left"/>
        <w:rPr>
          <w:rFonts w:ascii="宋体" w:hAnsi="宋体" w:cs="宋体"/>
          <w:b/>
          <w:color w:val="auto"/>
          <w:spacing w:val="6"/>
          <w:sz w:val="32"/>
          <w:szCs w:val="32"/>
          <w:highlight w:val="none"/>
        </w:rPr>
      </w:pPr>
    </w:p>
    <w:p w14:paraId="04E42F98">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5AE080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E996BEC">
      <w:pPr>
        <w:spacing w:line="360" w:lineRule="auto"/>
        <w:jc w:val="center"/>
        <w:rPr>
          <w:rFonts w:ascii="宋体" w:hAnsi="宋体" w:cs="宋体"/>
          <w:b/>
          <w:color w:val="auto"/>
          <w:sz w:val="24"/>
          <w:highlight w:val="none"/>
        </w:rPr>
      </w:pPr>
    </w:p>
    <w:p w14:paraId="29D9040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BFCBFEC">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4A1239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51739A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66212D">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9B6A33E">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B931A4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4D3EA4E">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BA8E85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29E9B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DC4033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EDA14F0">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11849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E7272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2FE8D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08D6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48E4050">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40BC6D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604122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6638325">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B5C630">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000E5C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62C15F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B4CA9B1">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9A2A05B">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88640C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3797E0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E822A9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88933B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51D63EB">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63A6BD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A2A77C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0BBCF5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166D91">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E07365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1EFF0FB">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26E95E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5F2B702">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9419CF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937223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44BED62">
      <w:pPr>
        <w:spacing w:line="360" w:lineRule="auto"/>
        <w:rPr>
          <w:rFonts w:ascii="宋体" w:hAnsi="宋体" w:cs="宋体"/>
          <w:b/>
          <w:color w:val="auto"/>
          <w:sz w:val="24"/>
          <w:highlight w:val="none"/>
        </w:rPr>
      </w:pPr>
    </w:p>
    <w:p w14:paraId="56C46E32">
      <w:pPr>
        <w:spacing w:line="360" w:lineRule="auto"/>
        <w:rPr>
          <w:rFonts w:ascii="宋体" w:hAnsi="宋体" w:cs="宋体"/>
          <w:b/>
          <w:color w:val="auto"/>
          <w:sz w:val="24"/>
          <w:highlight w:val="none"/>
        </w:rPr>
      </w:pPr>
    </w:p>
    <w:p w14:paraId="199FB9F9">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FCCA6A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67E6CB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90CB0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1EDA1C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2FFB1E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5C387D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2B0CE0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74B389E">
      <w:pPr>
        <w:spacing w:line="360" w:lineRule="auto"/>
        <w:rPr>
          <w:rFonts w:ascii="宋体" w:hAnsi="宋体" w:cs="宋体"/>
          <w:b/>
          <w:color w:val="auto"/>
          <w:sz w:val="24"/>
          <w:highlight w:val="none"/>
        </w:rPr>
      </w:pPr>
    </w:p>
    <w:p w14:paraId="46EE0A05">
      <w:pPr>
        <w:autoSpaceDE w:val="0"/>
        <w:autoSpaceDN w:val="0"/>
        <w:jc w:val="center"/>
        <w:rPr>
          <w:rFonts w:ascii="宋体" w:hAnsi="宋体" w:cs="宋体"/>
          <w:b/>
          <w:color w:val="auto"/>
          <w:spacing w:val="6"/>
          <w:sz w:val="32"/>
          <w:szCs w:val="32"/>
          <w:highlight w:val="none"/>
        </w:rPr>
      </w:pPr>
    </w:p>
    <w:p w14:paraId="03FA77AE">
      <w:pPr>
        <w:autoSpaceDE w:val="0"/>
        <w:autoSpaceDN w:val="0"/>
        <w:jc w:val="center"/>
        <w:rPr>
          <w:rFonts w:ascii="宋体" w:hAnsi="宋体" w:cs="宋体"/>
          <w:b/>
          <w:color w:val="auto"/>
          <w:spacing w:val="6"/>
          <w:sz w:val="32"/>
          <w:szCs w:val="32"/>
          <w:highlight w:val="none"/>
        </w:rPr>
      </w:pPr>
    </w:p>
    <w:p w14:paraId="57D630A0">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F3B0FA7">
      <w:pPr>
        <w:autoSpaceDE w:val="0"/>
        <w:autoSpaceDN w:val="0"/>
        <w:jc w:val="left"/>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FD071C6">
      <w:pPr>
        <w:spacing w:line="360" w:lineRule="auto"/>
        <w:rPr>
          <w:rFonts w:ascii="宋体" w:hAnsi="宋体" w:cs="宋体"/>
          <w:color w:val="auto"/>
          <w:sz w:val="24"/>
          <w:highlight w:val="none"/>
          <w:u w:val="single"/>
        </w:rPr>
      </w:pPr>
    </w:p>
    <w:p w14:paraId="7DF9F608">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67CDE9A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E9095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A7AC086">
      <w:pPr>
        <w:spacing w:line="360" w:lineRule="auto"/>
        <w:ind w:firstLine="494"/>
        <w:rPr>
          <w:rFonts w:ascii="宋体" w:hAnsi="宋体" w:cs="宋体"/>
          <w:color w:val="auto"/>
          <w:sz w:val="24"/>
          <w:highlight w:val="none"/>
        </w:rPr>
      </w:pPr>
    </w:p>
    <w:p w14:paraId="1299EF43">
      <w:pPr>
        <w:spacing w:line="360" w:lineRule="auto"/>
        <w:ind w:firstLine="494"/>
        <w:rPr>
          <w:rFonts w:ascii="宋体" w:hAnsi="宋体" w:cs="宋体"/>
          <w:color w:val="auto"/>
          <w:sz w:val="24"/>
          <w:highlight w:val="none"/>
        </w:rPr>
      </w:pPr>
    </w:p>
    <w:p w14:paraId="6741C257">
      <w:pPr>
        <w:spacing w:line="360" w:lineRule="auto"/>
        <w:ind w:firstLine="494"/>
        <w:rPr>
          <w:rFonts w:ascii="宋体" w:hAnsi="宋体" w:cs="宋体"/>
          <w:color w:val="auto"/>
          <w:sz w:val="24"/>
          <w:highlight w:val="none"/>
        </w:rPr>
      </w:pPr>
    </w:p>
    <w:p w14:paraId="1AA31356">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A82716B">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DE9494F">
      <w:pPr>
        <w:rPr>
          <w:rFonts w:ascii="宋体" w:hAnsi="宋体" w:cs="宋体"/>
          <w:color w:val="auto"/>
          <w:sz w:val="24"/>
          <w:highlight w:val="none"/>
        </w:rPr>
      </w:pPr>
      <w:r>
        <w:rPr>
          <w:rFonts w:hint="eastAsia" w:ascii="宋体" w:hAnsi="宋体" w:cs="宋体"/>
          <w:b/>
          <w:bCs/>
          <w:color w:val="auto"/>
          <w:sz w:val="24"/>
          <w:highlight w:val="none"/>
        </w:rPr>
        <w:t>附：</w:t>
      </w:r>
    </w:p>
    <w:p w14:paraId="6EEE4087">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57843D5">
      <w:pPr>
        <w:autoSpaceDE w:val="0"/>
        <w:autoSpaceDN w:val="0"/>
        <w:jc w:val="center"/>
        <w:rPr>
          <w:rFonts w:ascii="宋体" w:hAnsi="宋体" w:cs="宋体"/>
          <w:b/>
          <w:color w:val="auto"/>
          <w:spacing w:val="6"/>
          <w:sz w:val="32"/>
          <w:szCs w:val="32"/>
          <w:highlight w:val="none"/>
        </w:rPr>
      </w:pPr>
    </w:p>
    <w:p w14:paraId="236946ED">
      <w:pPr>
        <w:autoSpaceDE w:val="0"/>
        <w:autoSpaceDN w:val="0"/>
        <w:jc w:val="center"/>
        <w:rPr>
          <w:rFonts w:ascii="宋体" w:hAnsi="宋体" w:cs="宋体"/>
          <w:b/>
          <w:color w:val="auto"/>
          <w:spacing w:val="6"/>
          <w:sz w:val="32"/>
          <w:szCs w:val="32"/>
          <w:highlight w:val="none"/>
        </w:rPr>
      </w:pPr>
    </w:p>
    <w:p w14:paraId="08083565">
      <w:pPr>
        <w:autoSpaceDE w:val="0"/>
        <w:autoSpaceDN w:val="0"/>
        <w:jc w:val="center"/>
        <w:rPr>
          <w:rFonts w:ascii="宋体" w:hAnsi="宋体" w:cs="宋体"/>
          <w:b/>
          <w:color w:val="auto"/>
          <w:spacing w:val="6"/>
          <w:sz w:val="32"/>
          <w:szCs w:val="32"/>
          <w:highlight w:val="none"/>
        </w:rPr>
      </w:pPr>
    </w:p>
    <w:p w14:paraId="4C63F9AD">
      <w:pPr>
        <w:autoSpaceDE w:val="0"/>
        <w:autoSpaceDN w:val="0"/>
        <w:jc w:val="center"/>
        <w:rPr>
          <w:rFonts w:ascii="宋体" w:hAnsi="宋体" w:cs="宋体"/>
          <w:b/>
          <w:color w:val="auto"/>
          <w:spacing w:val="6"/>
          <w:sz w:val="32"/>
          <w:szCs w:val="32"/>
          <w:highlight w:val="none"/>
        </w:rPr>
      </w:pPr>
    </w:p>
    <w:p w14:paraId="30AD85D3">
      <w:pPr>
        <w:autoSpaceDE w:val="0"/>
        <w:autoSpaceDN w:val="0"/>
        <w:jc w:val="center"/>
        <w:rPr>
          <w:rFonts w:ascii="宋体" w:hAnsi="宋体" w:cs="宋体"/>
          <w:b/>
          <w:color w:val="auto"/>
          <w:spacing w:val="6"/>
          <w:sz w:val="32"/>
          <w:szCs w:val="32"/>
          <w:highlight w:val="none"/>
        </w:rPr>
      </w:pPr>
    </w:p>
    <w:p w14:paraId="72DC9759">
      <w:pPr>
        <w:autoSpaceDE w:val="0"/>
        <w:autoSpaceDN w:val="0"/>
        <w:jc w:val="center"/>
        <w:rPr>
          <w:rFonts w:ascii="宋体" w:hAnsi="宋体" w:cs="宋体"/>
          <w:b/>
          <w:color w:val="auto"/>
          <w:spacing w:val="6"/>
          <w:sz w:val="32"/>
          <w:szCs w:val="32"/>
          <w:highlight w:val="none"/>
        </w:rPr>
      </w:pPr>
    </w:p>
    <w:p w14:paraId="65D2C81A">
      <w:pPr>
        <w:autoSpaceDE w:val="0"/>
        <w:autoSpaceDN w:val="0"/>
        <w:jc w:val="center"/>
        <w:rPr>
          <w:rFonts w:ascii="宋体" w:hAnsi="宋体" w:cs="宋体"/>
          <w:b/>
          <w:color w:val="auto"/>
          <w:spacing w:val="6"/>
          <w:sz w:val="32"/>
          <w:szCs w:val="32"/>
          <w:highlight w:val="none"/>
        </w:rPr>
      </w:pPr>
    </w:p>
    <w:p w14:paraId="09BDE331">
      <w:pPr>
        <w:autoSpaceDE w:val="0"/>
        <w:autoSpaceDN w:val="0"/>
        <w:jc w:val="center"/>
        <w:rPr>
          <w:rFonts w:ascii="宋体" w:hAnsi="宋体" w:cs="宋体"/>
          <w:b/>
          <w:color w:val="auto"/>
          <w:spacing w:val="6"/>
          <w:sz w:val="32"/>
          <w:szCs w:val="32"/>
          <w:highlight w:val="none"/>
        </w:rPr>
      </w:pPr>
    </w:p>
    <w:p w14:paraId="19AE1153">
      <w:pPr>
        <w:autoSpaceDE w:val="0"/>
        <w:autoSpaceDN w:val="0"/>
        <w:jc w:val="center"/>
        <w:rPr>
          <w:rFonts w:ascii="宋体" w:hAnsi="宋体" w:cs="宋体"/>
          <w:b/>
          <w:color w:val="auto"/>
          <w:spacing w:val="6"/>
          <w:sz w:val="32"/>
          <w:szCs w:val="32"/>
          <w:highlight w:val="none"/>
        </w:rPr>
      </w:pPr>
    </w:p>
    <w:p w14:paraId="6D1D5E95">
      <w:pPr>
        <w:autoSpaceDE w:val="0"/>
        <w:autoSpaceDN w:val="0"/>
        <w:jc w:val="center"/>
        <w:rPr>
          <w:rFonts w:ascii="宋体" w:hAnsi="宋体" w:cs="宋体"/>
          <w:b/>
          <w:color w:val="auto"/>
          <w:spacing w:val="6"/>
          <w:sz w:val="32"/>
          <w:szCs w:val="32"/>
          <w:highlight w:val="none"/>
        </w:rPr>
      </w:pPr>
    </w:p>
    <w:p w14:paraId="3B296069">
      <w:pPr>
        <w:autoSpaceDE w:val="0"/>
        <w:autoSpaceDN w:val="0"/>
        <w:jc w:val="center"/>
        <w:rPr>
          <w:rFonts w:ascii="宋体" w:hAnsi="宋体" w:cs="宋体"/>
          <w:b/>
          <w:color w:val="auto"/>
          <w:spacing w:val="6"/>
          <w:sz w:val="32"/>
          <w:szCs w:val="32"/>
          <w:highlight w:val="none"/>
        </w:rPr>
      </w:pPr>
    </w:p>
    <w:p w14:paraId="0AE07F52">
      <w:pPr>
        <w:autoSpaceDE w:val="0"/>
        <w:autoSpaceDN w:val="0"/>
        <w:jc w:val="center"/>
        <w:rPr>
          <w:rFonts w:ascii="宋体" w:hAnsi="宋体" w:cs="宋体"/>
          <w:b/>
          <w:color w:val="auto"/>
          <w:spacing w:val="6"/>
          <w:sz w:val="32"/>
          <w:szCs w:val="32"/>
          <w:highlight w:val="none"/>
        </w:rPr>
      </w:pPr>
    </w:p>
    <w:p w14:paraId="442D1586">
      <w:pPr>
        <w:autoSpaceDE w:val="0"/>
        <w:autoSpaceDN w:val="0"/>
        <w:jc w:val="center"/>
        <w:rPr>
          <w:rFonts w:ascii="宋体" w:hAnsi="宋体" w:cs="宋体"/>
          <w:b/>
          <w:color w:val="auto"/>
          <w:spacing w:val="6"/>
          <w:sz w:val="32"/>
          <w:szCs w:val="32"/>
          <w:highlight w:val="none"/>
        </w:rPr>
      </w:pPr>
    </w:p>
    <w:p w14:paraId="68A99CB8">
      <w:pPr>
        <w:autoSpaceDE w:val="0"/>
        <w:autoSpaceDN w:val="0"/>
        <w:jc w:val="center"/>
        <w:rPr>
          <w:rFonts w:ascii="宋体" w:hAnsi="宋体" w:cs="宋体"/>
          <w:b/>
          <w:color w:val="auto"/>
          <w:spacing w:val="6"/>
          <w:sz w:val="32"/>
          <w:szCs w:val="32"/>
          <w:highlight w:val="none"/>
        </w:rPr>
      </w:pPr>
    </w:p>
    <w:p w14:paraId="66A8F910">
      <w:pPr>
        <w:autoSpaceDE w:val="0"/>
        <w:autoSpaceDN w:val="0"/>
        <w:jc w:val="center"/>
        <w:rPr>
          <w:rFonts w:ascii="宋体" w:hAnsi="宋体" w:cs="宋体"/>
          <w:b/>
          <w:color w:val="auto"/>
          <w:spacing w:val="6"/>
          <w:sz w:val="32"/>
          <w:szCs w:val="32"/>
          <w:highlight w:val="none"/>
        </w:rPr>
      </w:pPr>
    </w:p>
    <w:p w14:paraId="7BC7ED7E">
      <w:pPr>
        <w:autoSpaceDE w:val="0"/>
        <w:autoSpaceDN w:val="0"/>
        <w:jc w:val="center"/>
        <w:rPr>
          <w:rFonts w:ascii="宋体" w:hAnsi="宋体" w:cs="宋体"/>
          <w:b/>
          <w:color w:val="auto"/>
          <w:spacing w:val="6"/>
          <w:sz w:val="32"/>
          <w:szCs w:val="32"/>
          <w:highlight w:val="none"/>
        </w:rPr>
      </w:pPr>
    </w:p>
    <w:p w14:paraId="4762B4B8">
      <w:pPr>
        <w:autoSpaceDE w:val="0"/>
        <w:autoSpaceDN w:val="0"/>
        <w:jc w:val="center"/>
        <w:rPr>
          <w:rFonts w:ascii="宋体" w:hAnsi="宋体" w:cs="宋体"/>
          <w:b/>
          <w:color w:val="auto"/>
          <w:spacing w:val="6"/>
          <w:sz w:val="32"/>
          <w:szCs w:val="32"/>
          <w:highlight w:val="none"/>
        </w:rPr>
      </w:pPr>
    </w:p>
    <w:p w14:paraId="71319AB6">
      <w:pPr>
        <w:autoSpaceDE w:val="0"/>
        <w:autoSpaceDN w:val="0"/>
        <w:jc w:val="center"/>
        <w:rPr>
          <w:rFonts w:ascii="宋体" w:hAnsi="宋体" w:cs="宋体"/>
          <w:b/>
          <w:color w:val="auto"/>
          <w:spacing w:val="6"/>
          <w:sz w:val="32"/>
          <w:szCs w:val="32"/>
          <w:highlight w:val="none"/>
        </w:rPr>
      </w:pPr>
    </w:p>
    <w:p w14:paraId="49E381F0">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A542652">
      <w:pPr>
        <w:snapToGrid w:val="0"/>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532A90F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F16C6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06A563B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E0F53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9149A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5D4080F">
      <w:pPr>
        <w:snapToGrid w:val="0"/>
        <w:spacing w:line="360" w:lineRule="auto"/>
        <w:ind w:firstLine="576"/>
        <w:rPr>
          <w:rFonts w:ascii="宋体" w:hAnsi="宋体" w:cs="宋体"/>
          <w:color w:val="auto"/>
          <w:kern w:val="0"/>
          <w:sz w:val="24"/>
          <w:highlight w:val="none"/>
          <w:lang w:val="zh-CN"/>
        </w:rPr>
      </w:pPr>
      <w:bookmarkStart w:id="52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D09AD9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8CD7CC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29"/>
    <w:p w14:paraId="51D553F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7F5B1D4">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410006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601DB9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BED1E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21569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B6CB0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C33D57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DE819C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14:paraId="6D88F26D">
      <w:pPr>
        <w:snapToGrid w:val="0"/>
        <w:spacing w:line="360" w:lineRule="auto"/>
        <w:ind w:firstLine="5040" w:firstLineChars="2100"/>
        <w:rPr>
          <w:rStyle w:val="81"/>
          <w:color w:val="auto"/>
          <w:highlight w:val="none"/>
        </w:rPr>
      </w:pPr>
      <w:r>
        <w:rPr>
          <w:rStyle w:val="81"/>
          <w:rFonts w:hint="eastAsia"/>
          <w:color w:val="auto"/>
          <w:highlight w:val="none"/>
        </w:rPr>
        <w:t>法定代表人（负责人） (签名)：</w:t>
      </w:r>
    </w:p>
    <w:p w14:paraId="56AA1FF0">
      <w:pPr>
        <w:snapToGrid w:val="0"/>
        <w:spacing w:line="360" w:lineRule="auto"/>
        <w:ind w:firstLine="5040" w:firstLineChars="2100"/>
        <w:rPr>
          <w:rFonts w:ascii="宋体" w:hAnsi="宋体" w:cs="宋体"/>
          <w:color w:val="auto"/>
          <w:kern w:val="0"/>
          <w:sz w:val="24"/>
          <w:highlight w:val="none"/>
          <w:lang w:val="zh-CN"/>
        </w:rPr>
      </w:pPr>
      <w:r>
        <w:rPr>
          <w:rStyle w:val="81"/>
          <w:rFonts w:hint="eastAsia"/>
          <w:color w:val="auto"/>
          <w:highlight w:val="none"/>
        </w:rPr>
        <w:t>联合体成</w:t>
      </w:r>
      <w:r>
        <w:rPr>
          <w:rFonts w:hint="eastAsia" w:ascii="宋体" w:hAnsi="宋体" w:cs="宋体"/>
          <w:color w:val="auto"/>
          <w:kern w:val="0"/>
          <w:sz w:val="24"/>
          <w:highlight w:val="none"/>
          <w:lang w:val="zh-CN"/>
        </w:rPr>
        <w:t>员名称(公章)：</w:t>
      </w:r>
    </w:p>
    <w:p w14:paraId="7229B4D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法定代表人（负责人） (签名)：</w:t>
      </w:r>
    </w:p>
    <w:p w14:paraId="16CF4A20">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052CB5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90602F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78F4C6D">
      <w:pPr>
        <w:autoSpaceDE w:val="0"/>
        <w:autoSpaceDN w:val="0"/>
        <w:jc w:val="center"/>
        <w:rPr>
          <w:rFonts w:ascii="宋体" w:hAnsi="宋体" w:cs="宋体"/>
          <w:b/>
          <w:color w:val="auto"/>
          <w:spacing w:val="6"/>
          <w:sz w:val="32"/>
          <w:szCs w:val="32"/>
          <w:highlight w:val="none"/>
        </w:rPr>
      </w:pPr>
    </w:p>
    <w:p w14:paraId="2FE8B344">
      <w:pPr>
        <w:autoSpaceDE w:val="0"/>
        <w:autoSpaceDN w:val="0"/>
        <w:jc w:val="center"/>
        <w:rPr>
          <w:rFonts w:ascii="宋体" w:hAnsi="宋体" w:cs="宋体"/>
          <w:b/>
          <w:color w:val="auto"/>
          <w:spacing w:val="6"/>
          <w:sz w:val="32"/>
          <w:szCs w:val="32"/>
          <w:highlight w:val="none"/>
        </w:rPr>
      </w:pPr>
    </w:p>
    <w:p w14:paraId="5AB60BD1">
      <w:pPr>
        <w:autoSpaceDE w:val="0"/>
        <w:autoSpaceDN w:val="0"/>
        <w:jc w:val="center"/>
        <w:rPr>
          <w:rFonts w:ascii="宋体" w:hAnsi="宋体" w:cs="宋体"/>
          <w:b/>
          <w:color w:val="auto"/>
          <w:spacing w:val="6"/>
          <w:sz w:val="32"/>
          <w:szCs w:val="32"/>
          <w:highlight w:val="none"/>
        </w:rPr>
      </w:pPr>
    </w:p>
    <w:p w14:paraId="63FB04D1">
      <w:pPr>
        <w:autoSpaceDE w:val="0"/>
        <w:autoSpaceDN w:val="0"/>
        <w:jc w:val="center"/>
        <w:rPr>
          <w:rFonts w:ascii="宋体" w:hAnsi="宋体" w:cs="宋体"/>
          <w:b/>
          <w:color w:val="auto"/>
          <w:spacing w:val="6"/>
          <w:sz w:val="32"/>
          <w:szCs w:val="32"/>
          <w:highlight w:val="none"/>
        </w:rPr>
      </w:pPr>
    </w:p>
    <w:p w14:paraId="56DD0BF2">
      <w:pPr>
        <w:autoSpaceDE w:val="0"/>
        <w:autoSpaceDN w:val="0"/>
        <w:jc w:val="center"/>
        <w:rPr>
          <w:rFonts w:ascii="宋体" w:hAnsi="宋体" w:cs="宋体"/>
          <w:b/>
          <w:color w:val="auto"/>
          <w:spacing w:val="6"/>
          <w:sz w:val="32"/>
          <w:szCs w:val="32"/>
          <w:highlight w:val="none"/>
        </w:rPr>
      </w:pPr>
    </w:p>
    <w:p w14:paraId="3266964C">
      <w:pPr>
        <w:autoSpaceDE w:val="0"/>
        <w:autoSpaceDN w:val="0"/>
        <w:jc w:val="center"/>
        <w:rPr>
          <w:rFonts w:ascii="宋体" w:hAnsi="宋体" w:cs="宋体"/>
          <w:b/>
          <w:color w:val="auto"/>
          <w:spacing w:val="6"/>
          <w:sz w:val="32"/>
          <w:szCs w:val="32"/>
          <w:highlight w:val="none"/>
        </w:rPr>
      </w:pPr>
    </w:p>
    <w:p w14:paraId="5C2CD6EC">
      <w:pPr>
        <w:autoSpaceDE w:val="0"/>
        <w:autoSpaceDN w:val="0"/>
        <w:jc w:val="center"/>
        <w:rPr>
          <w:rFonts w:ascii="宋体" w:hAnsi="宋体" w:cs="宋体"/>
          <w:b/>
          <w:color w:val="auto"/>
          <w:spacing w:val="6"/>
          <w:sz w:val="32"/>
          <w:szCs w:val="32"/>
          <w:highlight w:val="none"/>
        </w:rPr>
      </w:pPr>
    </w:p>
    <w:p w14:paraId="76CCA9B8">
      <w:pPr>
        <w:autoSpaceDE w:val="0"/>
        <w:autoSpaceDN w:val="0"/>
        <w:jc w:val="center"/>
        <w:rPr>
          <w:rFonts w:ascii="宋体" w:hAnsi="宋体" w:cs="宋体"/>
          <w:b/>
          <w:color w:val="auto"/>
          <w:spacing w:val="6"/>
          <w:sz w:val="32"/>
          <w:szCs w:val="32"/>
          <w:highlight w:val="none"/>
        </w:rPr>
      </w:pPr>
    </w:p>
    <w:p w14:paraId="41497419">
      <w:pPr>
        <w:autoSpaceDE w:val="0"/>
        <w:autoSpaceDN w:val="0"/>
        <w:jc w:val="center"/>
        <w:rPr>
          <w:rFonts w:ascii="宋体" w:hAnsi="宋体" w:cs="宋体"/>
          <w:b/>
          <w:color w:val="auto"/>
          <w:spacing w:val="6"/>
          <w:sz w:val="32"/>
          <w:szCs w:val="32"/>
          <w:highlight w:val="none"/>
        </w:rPr>
      </w:pPr>
    </w:p>
    <w:p w14:paraId="407775BD">
      <w:pPr>
        <w:autoSpaceDE w:val="0"/>
        <w:autoSpaceDN w:val="0"/>
        <w:jc w:val="center"/>
        <w:rPr>
          <w:rFonts w:ascii="宋体" w:hAnsi="宋体" w:cs="宋体"/>
          <w:b/>
          <w:color w:val="auto"/>
          <w:spacing w:val="6"/>
          <w:sz w:val="32"/>
          <w:szCs w:val="32"/>
          <w:highlight w:val="none"/>
        </w:rPr>
      </w:pPr>
    </w:p>
    <w:p w14:paraId="545ED236">
      <w:pPr>
        <w:autoSpaceDE w:val="0"/>
        <w:autoSpaceDN w:val="0"/>
        <w:jc w:val="center"/>
        <w:rPr>
          <w:rFonts w:ascii="宋体" w:hAnsi="宋体" w:cs="宋体"/>
          <w:b/>
          <w:color w:val="auto"/>
          <w:spacing w:val="6"/>
          <w:sz w:val="32"/>
          <w:szCs w:val="32"/>
          <w:highlight w:val="none"/>
        </w:rPr>
      </w:pPr>
    </w:p>
    <w:p w14:paraId="6648A622">
      <w:pPr>
        <w:autoSpaceDE w:val="0"/>
        <w:autoSpaceDN w:val="0"/>
        <w:jc w:val="center"/>
        <w:rPr>
          <w:rFonts w:ascii="宋体" w:hAnsi="宋体" w:cs="宋体"/>
          <w:b/>
          <w:color w:val="auto"/>
          <w:spacing w:val="6"/>
          <w:sz w:val="32"/>
          <w:szCs w:val="32"/>
          <w:highlight w:val="none"/>
        </w:rPr>
      </w:pPr>
    </w:p>
    <w:p w14:paraId="3397ACBA">
      <w:pPr>
        <w:autoSpaceDE w:val="0"/>
        <w:autoSpaceDN w:val="0"/>
        <w:jc w:val="center"/>
        <w:rPr>
          <w:rFonts w:ascii="宋体" w:hAnsi="宋体" w:cs="宋体"/>
          <w:b/>
          <w:color w:val="auto"/>
          <w:spacing w:val="6"/>
          <w:sz w:val="32"/>
          <w:szCs w:val="32"/>
          <w:highlight w:val="none"/>
        </w:rPr>
      </w:pPr>
    </w:p>
    <w:p w14:paraId="300C72A8">
      <w:pPr>
        <w:autoSpaceDE w:val="0"/>
        <w:autoSpaceDN w:val="0"/>
        <w:jc w:val="center"/>
        <w:rPr>
          <w:rFonts w:ascii="宋体" w:hAnsi="宋体" w:cs="宋体"/>
          <w:b/>
          <w:color w:val="auto"/>
          <w:spacing w:val="6"/>
          <w:sz w:val="32"/>
          <w:szCs w:val="32"/>
          <w:highlight w:val="none"/>
        </w:rPr>
      </w:pPr>
    </w:p>
    <w:p w14:paraId="33190ADB">
      <w:pPr>
        <w:autoSpaceDE w:val="0"/>
        <w:autoSpaceDN w:val="0"/>
        <w:jc w:val="center"/>
        <w:rPr>
          <w:rFonts w:ascii="宋体" w:hAnsi="宋体" w:cs="宋体"/>
          <w:b/>
          <w:color w:val="auto"/>
          <w:spacing w:val="6"/>
          <w:sz w:val="32"/>
          <w:szCs w:val="32"/>
          <w:highlight w:val="none"/>
        </w:rPr>
      </w:pPr>
    </w:p>
    <w:p w14:paraId="1D718320">
      <w:pPr>
        <w:autoSpaceDE w:val="0"/>
        <w:autoSpaceDN w:val="0"/>
        <w:jc w:val="center"/>
        <w:rPr>
          <w:rFonts w:ascii="宋体" w:hAnsi="宋体" w:cs="宋体"/>
          <w:b/>
          <w:color w:val="auto"/>
          <w:spacing w:val="6"/>
          <w:sz w:val="32"/>
          <w:szCs w:val="32"/>
          <w:highlight w:val="none"/>
        </w:rPr>
      </w:pPr>
    </w:p>
    <w:p w14:paraId="15242D09">
      <w:pPr>
        <w:autoSpaceDE w:val="0"/>
        <w:autoSpaceDN w:val="0"/>
        <w:jc w:val="center"/>
        <w:rPr>
          <w:rFonts w:ascii="宋体" w:hAnsi="宋体" w:cs="宋体"/>
          <w:b/>
          <w:color w:val="auto"/>
          <w:spacing w:val="6"/>
          <w:sz w:val="32"/>
          <w:szCs w:val="32"/>
          <w:highlight w:val="none"/>
        </w:rPr>
      </w:pPr>
    </w:p>
    <w:p w14:paraId="755D334F">
      <w:pPr>
        <w:autoSpaceDE w:val="0"/>
        <w:autoSpaceDN w:val="0"/>
        <w:jc w:val="center"/>
        <w:rPr>
          <w:rFonts w:ascii="宋体" w:hAnsi="宋体" w:cs="宋体"/>
          <w:b/>
          <w:color w:val="auto"/>
          <w:spacing w:val="6"/>
          <w:sz w:val="32"/>
          <w:szCs w:val="32"/>
          <w:highlight w:val="none"/>
        </w:rPr>
      </w:pPr>
    </w:p>
    <w:p w14:paraId="642D3580">
      <w:pPr>
        <w:autoSpaceDE w:val="0"/>
        <w:autoSpaceDN w:val="0"/>
        <w:jc w:val="center"/>
        <w:rPr>
          <w:rFonts w:ascii="宋体" w:hAnsi="宋体" w:cs="宋体"/>
          <w:b/>
          <w:color w:val="auto"/>
          <w:spacing w:val="6"/>
          <w:sz w:val="32"/>
          <w:szCs w:val="32"/>
          <w:highlight w:val="none"/>
        </w:rPr>
      </w:pPr>
    </w:p>
    <w:p w14:paraId="502CB42F">
      <w:pPr>
        <w:autoSpaceDE w:val="0"/>
        <w:autoSpaceDN w:val="0"/>
        <w:jc w:val="center"/>
        <w:rPr>
          <w:rFonts w:ascii="宋体" w:hAnsi="宋体" w:cs="宋体"/>
          <w:b/>
          <w:color w:val="auto"/>
          <w:spacing w:val="6"/>
          <w:sz w:val="32"/>
          <w:szCs w:val="32"/>
          <w:highlight w:val="none"/>
        </w:rPr>
      </w:pPr>
    </w:p>
    <w:p w14:paraId="7C6B8FDF">
      <w:pPr>
        <w:autoSpaceDE w:val="0"/>
        <w:autoSpaceDN w:val="0"/>
        <w:jc w:val="center"/>
        <w:rPr>
          <w:rFonts w:ascii="宋体" w:hAnsi="宋体" w:cs="宋体"/>
          <w:b/>
          <w:color w:val="auto"/>
          <w:spacing w:val="6"/>
          <w:sz w:val="32"/>
          <w:szCs w:val="32"/>
          <w:highlight w:val="none"/>
        </w:rPr>
      </w:pPr>
    </w:p>
    <w:p w14:paraId="16A98AE3">
      <w:pPr>
        <w:autoSpaceDE w:val="0"/>
        <w:autoSpaceDN w:val="0"/>
        <w:jc w:val="center"/>
        <w:rPr>
          <w:rFonts w:ascii="宋体" w:hAnsi="宋体" w:cs="宋体"/>
          <w:b/>
          <w:color w:val="auto"/>
          <w:spacing w:val="6"/>
          <w:sz w:val="32"/>
          <w:szCs w:val="32"/>
          <w:highlight w:val="none"/>
        </w:rPr>
      </w:pPr>
    </w:p>
    <w:p w14:paraId="3C249E50">
      <w:pPr>
        <w:autoSpaceDE w:val="0"/>
        <w:autoSpaceDN w:val="0"/>
        <w:jc w:val="center"/>
        <w:rPr>
          <w:rFonts w:ascii="宋体" w:hAnsi="宋体" w:cs="宋体"/>
          <w:b/>
          <w:color w:val="auto"/>
          <w:spacing w:val="6"/>
          <w:sz w:val="32"/>
          <w:szCs w:val="32"/>
          <w:highlight w:val="none"/>
        </w:rPr>
      </w:pPr>
    </w:p>
    <w:p w14:paraId="3F2330D2">
      <w:pPr>
        <w:autoSpaceDE w:val="0"/>
        <w:autoSpaceDN w:val="0"/>
        <w:jc w:val="center"/>
        <w:rPr>
          <w:rFonts w:ascii="宋体" w:hAnsi="宋体" w:cs="宋体"/>
          <w:b/>
          <w:color w:val="auto"/>
          <w:spacing w:val="6"/>
          <w:sz w:val="32"/>
          <w:szCs w:val="32"/>
          <w:highlight w:val="none"/>
        </w:rPr>
      </w:pPr>
    </w:p>
    <w:p w14:paraId="787BEA43">
      <w:pPr>
        <w:autoSpaceDE w:val="0"/>
        <w:autoSpaceDN w:val="0"/>
        <w:jc w:val="center"/>
        <w:rPr>
          <w:rFonts w:ascii="宋体" w:hAnsi="宋体" w:cs="宋体"/>
          <w:b/>
          <w:color w:val="auto"/>
          <w:spacing w:val="6"/>
          <w:sz w:val="32"/>
          <w:szCs w:val="32"/>
          <w:highlight w:val="none"/>
        </w:rPr>
      </w:pPr>
    </w:p>
    <w:p w14:paraId="0D513FDF">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14E06C9">
      <w:pPr>
        <w:snapToGrid w:val="0"/>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63F039F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16A2D0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FFF6F1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EB1AF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8D454EF">
      <w:pPr>
        <w:pStyle w:val="82"/>
        <w:rPr>
          <w:color w:val="auto"/>
          <w:highlight w:val="none"/>
        </w:rPr>
      </w:pPr>
      <w:r>
        <w:rPr>
          <w:rFonts w:hint="eastAsia"/>
          <w:color w:val="auto"/>
          <w:highlight w:val="none"/>
        </w:rPr>
        <w:t>……</w:t>
      </w:r>
    </w:p>
    <w:p w14:paraId="37F8A10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BE6F638">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8596AB3">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3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30"/>
    </w:p>
    <w:p w14:paraId="450D52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801C5E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21F1B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4E75A3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E83A6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E640BE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CAA223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1DF467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77443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22272B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59BE74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投标人名称(公章)：</w:t>
      </w:r>
    </w:p>
    <w:p w14:paraId="2D1D0CD6">
      <w:pPr>
        <w:snapToGrid w:val="0"/>
        <w:spacing w:line="360" w:lineRule="auto"/>
        <w:rPr>
          <w:rStyle w:val="81"/>
          <w:color w:val="auto"/>
          <w:highlight w:val="none"/>
        </w:rPr>
      </w:pPr>
      <w:r>
        <w:rPr>
          <w:rStyle w:val="81"/>
          <w:rFonts w:hint="eastAsia"/>
          <w:color w:val="auto"/>
          <w:highlight w:val="none"/>
        </w:rPr>
        <w:t xml:space="preserve">                                              法定代表人（负责人） (签名)：</w:t>
      </w:r>
    </w:p>
    <w:p w14:paraId="0A5C0701">
      <w:pPr>
        <w:snapToGrid w:val="0"/>
        <w:spacing w:line="360" w:lineRule="auto"/>
        <w:ind w:right="480"/>
        <w:rPr>
          <w:rFonts w:ascii="宋体" w:hAnsi="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分包供应商名称(公章)：</w:t>
      </w:r>
    </w:p>
    <w:p w14:paraId="70579B77">
      <w:pPr>
        <w:pStyle w:val="82"/>
        <w:ind w:firstLine="5520" w:firstLineChars="2300"/>
        <w:jc w:val="both"/>
        <w:rPr>
          <w:color w:val="auto"/>
          <w:highlight w:val="none"/>
        </w:rPr>
      </w:pPr>
      <w:r>
        <w:rPr>
          <w:rStyle w:val="81"/>
          <w:rFonts w:hint="eastAsia"/>
          <w:color w:val="auto"/>
          <w:highlight w:val="none"/>
        </w:rPr>
        <w:t>法定代表人（负责人） (签名)：</w:t>
      </w:r>
    </w:p>
    <w:p w14:paraId="30CD849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rPr>
        <w:t>……</w:t>
      </w:r>
    </w:p>
    <w:p w14:paraId="3312D79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798B75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544C6C1">
      <w:pPr>
        <w:autoSpaceDE w:val="0"/>
        <w:autoSpaceDN w:val="0"/>
        <w:jc w:val="center"/>
        <w:rPr>
          <w:rFonts w:ascii="宋体" w:hAnsi="宋体" w:cs="宋体"/>
          <w:b/>
          <w:color w:val="auto"/>
          <w:spacing w:val="6"/>
          <w:sz w:val="32"/>
          <w:szCs w:val="32"/>
          <w:highlight w:val="none"/>
        </w:rPr>
      </w:pPr>
    </w:p>
    <w:p w14:paraId="77A97E51">
      <w:pPr>
        <w:autoSpaceDE w:val="0"/>
        <w:autoSpaceDN w:val="0"/>
        <w:jc w:val="center"/>
        <w:rPr>
          <w:rFonts w:ascii="宋体" w:hAnsi="宋体" w:cs="宋体"/>
          <w:b/>
          <w:color w:val="auto"/>
          <w:spacing w:val="6"/>
          <w:sz w:val="32"/>
          <w:szCs w:val="32"/>
          <w:highlight w:val="none"/>
        </w:rPr>
      </w:pPr>
    </w:p>
    <w:p w14:paraId="36DD7A78">
      <w:pPr>
        <w:autoSpaceDE w:val="0"/>
        <w:autoSpaceDN w:val="0"/>
        <w:jc w:val="center"/>
        <w:rPr>
          <w:rFonts w:ascii="宋体" w:hAnsi="宋体" w:cs="宋体"/>
          <w:b/>
          <w:color w:val="auto"/>
          <w:spacing w:val="6"/>
          <w:sz w:val="32"/>
          <w:szCs w:val="32"/>
          <w:highlight w:val="none"/>
        </w:rPr>
      </w:pPr>
    </w:p>
    <w:p w14:paraId="3B4C7F01">
      <w:pPr>
        <w:autoSpaceDE w:val="0"/>
        <w:autoSpaceDN w:val="0"/>
        <w:jc w:val="center"/>
        <w:rPr>
          <w:rFonts w:ascii="宋体" w:hAnsi="宋体" w:cs="宋体"/>
          <w:b/>
          <w:color w:val="auto"/>
          <w:spacing w:val="6"/>
          <w:sz w:val="32"/>
          <w:szCs w:val="32"/>
          <w:highlight w:val="none"/>
        </w:rPr>
      </w:pPr>
    </w:p>
    <w:p w14:paraId="23BBB3DC">
      <w:pPr>
        <w:autoSpaceDE w:val="0"/>
        <w:autoSpaceDN w:val="0"/>
        <w:jc w:val="center"/>
        <w:rPr>
          <w:rFonts w:ascii="宋体" w:hAnsi="宋体" w:cs="宋体"/>
          <w:b/>
          <w:color w:val="auto"/>
          <w:spacing w:val="6"/>
          <w:sz w:val="32"/>
          <w:szCs w:val="32"/>
          <w:highlight w:val="none"/>
        </w:rPr>
      </w:pPr>
    </w:p>
    <w:p w14:paraId="4A42B3E6">
      <w:pPr>
        <w:autoSpaceDE w:val="0"/>
        <w:autoSpaceDN w:val="0"/>
        <w:jc w:val="center"/>
        <w:rPr>
          <w:rFonts w:ascii="宋体" w:hAnsi="宋体" w:cs="宋体"/>
          <w:b/>
          <w:color w:val="auto"/>
          <w:spacing w:val="6"/>
          <w:sz w:val="32"/>
          <w:szCs w:val="32"/>
          <w:highlight w:val="none"/>
        </w:rPr>
      </w:pPr>
    </w:p>
    <w:p w14:paraId="4F639CBD">
      <w:pPr>
        <w:autoSpaceDE w:val="0"/>
        <w:autoSpaceDN w:val="0"/>
        <w:jc w:val="center"/>
        <w:rPr>
          <w:rFonts w:ascii="宋体" w:hAnsi="宋体" w:cs="宋体"/>
          <w:b/>
          <w:color w:val="auto"/>
          <w:spacing w:val="6"/>
          <w:sz w:val="32"/>
          <w:szCs w:val="32"/>
          <w:highlight w:val="none"/>
        </w:rPr>
      </w:pPr>
    </w:p>
    <w:p w14:paraId="13AE0BBD">
      <w:pPr>
        <w:autoSpaceDE w:val="0"/>
        <w:autoSpaceDN w:val="0"/>
        <w:jc w:val="center"/>
        <w:rPr>
          <w:rFonts w:ascii="宋体" w:hAnsi="宋体" w:cs="宋体"/>
          <w:b/>
          <w:color w:val="auto"/>
          <w:spacing w:val="6"/>
          <w:sz w:val="32"/>
          <w:szCs w:val="32"/>
          <w:highlight w:val="none"/>
        </w:rPr>
      </w:pPr>
    </w:p>
    <w:p w14:paraId="36F0C17E">
      <w:pPr>
        <w:autoSpaceDE w:val="0"/>
        <w:autoSpaceDN w:val="0"/>
        <w:jc w:val="center"/>
        <w:rPr>
          <w:rFonts w:ascii="宋体" w:hAnsi="宋体" w:cs="宋体"/>
          <w:b/>
          <w:color w:val="auto"/>
          <w:spacing w:val="6"/>
          <w:sz w:val="32"/>
          <w:szCs w:val="32"/>
          <w:highlight w:val="none"/>
        </w:rPr>
      </w:pPr>
    </w:p>
    <w:p w14:paraId="0C1CD1E9">
      <w:pPr>
        <w:autoSpaceDE w:val="0"/>
        <w:autoSpaceDN w:val="0"/>
        <w:jc w:val="center"/>
        <w:rPr>
          <w:rFonts w:ascii="宋体" w:hAnsi="宋体" w:cs="宋体"/>
          <w:b/>
          <w:color w:val="auto"/>
          <w:spacing w:val="6"/>
          <w:sz w:val="32"/>
          <w:szCs w:val="32"/>
          <w:highlight w:val="none"/>
        </w:rPr>
      </w:pPr>
    </w:p>
    <w:p w14:paraId="01744600">
      <w:pPr>
        <w:autoSpaceDE w:val="0"/>
        <w:autoSpaceDN w:val="0"/>
        <w:jc w:val="center"/>
        <w:rPr>
          <w:rFonts w:ascii="宋体" w:hAnsi="宋体" w:cs="宋体"/>
          <w:b/>
          <w:color w:val="auto"/>
          <w:spacing w:val="6"/>
          <w:sz w:val="32"/>
          <w:szCs w:val="32"/>
          <w:highlight w:val="none"/>
        </w:rPr>
      </w:pPr>
    </w:p>
    <w:p w14:paraId="21AE3E1E">
      <w:pPr>
        <w:autoSpaceDE w:val="0"/>
        <w:autoSpaceDN w:val="0"/>
        <w:jc w:val="center"/>
        <w:rPr>
          <w:rFonts w:ascii="宋体" w:hAnsi="宋体" w:cs="宋体"/>
          <w:b/>
          <w:color w:val="auto"/>
          <w:spacing w:val="6"/>
          <w:sz w:val="32"/>
          <w:szCs w:val="32"/>
          <w:highlight w:val="none"/>
        </w:rPr>
      </w:pPr>
    </w:p>
    <w:p w14:paraId="173C1D8D">
      <w:pPr>
        <w:autoSpaceDE w:val="0"/>
        <w:autoSpaceDN w:val="0"/>
        <w:jc w:val="center"/>
        <w:rPr>
          <w:rFonts w:ascii="宋体" w:hAnsi="宋体" w:cs="宋体"/>
          <w:b/>
          <w:color w:val="auto"/>
          <w:spacing w:val="6"/>
          <w:sz w:val="32"/>
          <w:szCs w:val="32"/>
          <w:highlight w:val="none"/>
        </w:rPr>
      </w:pPr>
    </w:p>
    <w:p w14:paraId="21A4EC07">
      <w:pPr>
        <w:autoSpaceDE w:val="0"/>
        <w:autoSpaceDN w:val="0"/>
        <w:jc w:val="center"/>
        <w:rPr>
          <w:rFonts w:ascii="宋体" w:hAnsi="宋体" w:cs="宋体"/>
          <w:b/>
          <w:color w:val="auto"/>
          <w:spacing w:val="6"/>
          <w:sz w:val="32"/>
          <w:szCs w:val="32"/>
          <w:highlight w:val="none"/>
        </w:rPr>
      </w:pPr>
    </w:p>
    <w:p w14:paraId="12E88540">
      <w:pPr>
        <w:autoSpaceDE w:val="0"/>
        <w:autoSpaceDN w:val="0"/>
        <w:jc w:val="center"/>
        <w:rPr>
          <w:rFonts w:ascii="宋体" w:hAnsi="宋体" w:cs="宋体"/>
          <w:b/>
          <w:color w:val="auto"/>
          <w:spacing w:val="6"/>
          <w:sz w:val="32"/>
          <w:szCs w:val="32"/>
          <w:highlight w:val="none"/>
        </w:rPr>
      </w:pPr>
    </w:p>
    <w:p w14:paraId="6AB13146">
      <w:pPr>
        <w:autoSpaceDE w:val="0"/>
        <w:autoSpaceDN w:val="0"/>
        <w:jc w:val="center"/>
        <w:rPr>
          <w:rFonts w:ascii="宋体" w:hAnsi="宋体" w:cs="宋体"/>
          <w:b/>
          <w:color w:val="auto"/>
          <w:spacing w:val="6"/>
          <w:sz w:val="32"/>
          <w:szCs w:val="32"/>
          <w:highlight w:val="none"/>
        </w:rPr>
      </w:pPr>
    </w:p>
    <w:p w14:paraId="25D5B83F">
      <w:pPr>
        <w:autoSpaceDE w:val="0"/>
        <w:autoSpaceDN w:val="0"/>
        <w:jc w:val="center"/>
        <w:rPr>
          <w:rFonts w:ascii="宋体" w:hAnsi="宋体" w:cs="宋体"/>
          <w:b/>
          <w:color w:val="auto"/>
          <w:spacing w:val="6"/>
          <w:sz w:val="32"/>
          <w:szCs w:val="32"/>
          <w:highlight w:val="none"/>
        </w:rPr>
      </w:pPr>
    </w:p>
    <w:p w14:paraId="61742CF7">
      <w:pPr>
        <w:autoSpaceDE w:val="0"/>
        <w:autoSpaceDN w:val="0"/>
        <w:jc w:val="center"/>
        <w:rPr>
          <w:rFonts w:ascii="宋体" w:hAnsi="宋体" w:cs="宋体"/>
          <w:b/>
          <w:color w:val="auto"/>
          <w:spacing w:val="6"/>
          <w:sz w:val="32"/>
          <w:szCs w:val="32"/>
          <w:highlight w:val="none"/>
        </w:rPr>
      </w:pPr>
    </w:p>
    <w:p w14:paraId="375A24FC">
      <w:pPr>
        <w:autoSpaceDE w:val="0"/>
        <w:autoSpaceDN w:val="0"/>
        <w:jc w:val="center"/>
        <w:rPr>
          <w:rFonts w:ascii="宋体" w:hAnsi="宋体" w:cs="宋体"/>
          <w:b/>
          <w:color w:val="auto"/>
          <w:spacing w:val="6"/>
          <w:sz w:val="32"/>
          <w:szCs w:val="32"/>
          <w:highlight w:val="none"/>
        </w:rPr>
      </w:pPr>
    </w:p>
    <w:p w14:paraId="27535990">
      <w:pPr>
        <w:autoSpaceDE w:val="0"/>
        <w:autoSpaceDN w:val="0"/>
        <w:jc w:val="center"/>
        <w:rPr>
          <w:rFonts w:ascii="宋体" w:hAnsi="宋体" w:cs="宋体"/>
          <w:b/>
          <w:color w:val="auto"/>
          <w:spacing w:val="6"/>
          <w:sz w:val="32"/>
          <w:szCs w:val="32"/>
          <w:highlight w:val="none"/>
        </w:rPr>
      </w:pPr>
    </w:p>
    <w:p w14:paraId="781B903B">
      <w:pPr>
        <w:autoSpaceDE w:val="0"/>
        <w:autoSpaceDN w:val="0"/>
        <w:jc w:val="center"/>
        <w:rPr>
          <w:rFonts w:ascii="宋体" w:hAnsi="宋体" w:cs="宋体"/>
          <w:b/>
          <w:color w:val="auto"/>
          <w:spacing w:val="6"/>
          <w:sz w:val="32"/>
          <w:szCs w:val="32"/>
          <w:highlight w:val="none"/>
        </w:rPr>
      </w:pPr>
    </w:p>
    <w:p w14:paraId="5DDC41A1">
      <w:pPr>
        <w:autoSpaceDE w:val="0"/>
        <w:autoSpaceDN w:val="0"/>
        <w:jc w:val="center"/>
        <w:rPr>
          <w:rFonts w:ascii="宋体" w:hAnsi="宋体" w:cs="宋体"/>
          <w:b/>
          <w:color w:val="auto"/>
          <w:spacing w:val="6"/>
          <w:sz w:val="32"/>
          <w:szCs w:val="32"/>
          <w:highlight w:val="none"/>
        </w:rPr>
      </w:pPr>
    </w:p>
    <w:p w14:paraId="317F9E80">
      <w:pPr>
        <w:autoSpaceDE w:val="0"/>
        <w:autoSpaceDN w:val="0"/>
        <w:jc w:val="center"/>
        <w:rPr>
          <w:rFonts w:ascii="宋体" w:hAnsi="宋体" w:cs="宋体"/>
          <w:b/>
          <w:color w:val="auto"/>
          <w:spacing w:val="6"/>
          <w:sz w:val="32"/>
          <w:szCs w:val="32"/>
          <w:highlight w:val="none"/>
        </w:rPr>
      </w:pPr>
    </w:p>
    <w:p w14:paraId="242983A4">
      <w:pPr>
        <w:autoSpaceDE w:val="0"/>
        <w:autoSpaceDN w:val="0"/>
        <w:jc w:val="center"/>
        <w:rPr>
          <w:rFonts w:ascii="宋体" w:hAnsi="宋体" w:cs="宋体"/>
          <w:b/>
          <w:color w:val="auto"/>
          <w:spacing w:val="6"/>
          <w:sz w:val="32"/>
          <w:szCs w:val="32"/>
          <w:highlight w:val="none"/>
        </w:rPr>
      </w:pPr>
    </w:p>
    <w:p w14:paraId="2743B1B2">
      <w:pPr>
        <w:autoSpaceDE w:val="0"/>
        <w:autoSpaceDN w:val="0"/>
        <w:jc w:val="center"/>
        <w:rPr>
          <w:rFonts w:ascii="宋体" w:hAnsi="宋体" w:cs="宋体"/>
          <w:b/>
          <w:color w:val="auto"/>
          <w:spacing w:val="6"/>
          <w:sz w:val="32"/>
          <w:szCs w:val="32"/>
          <w:highlight w:val="none"/>
        </w:rPr>
      </w:pPr>
    </w:p>
    <w:p w14:paraId="34894A1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11916F7">
      <w:pPr>
        <w:snapToGrid w:val="0"/>
        <w:spacing w:line="360" w:lineRule="auto"/>
        <w:jc w:val="left"/>
        <w:outlineLvl w:val="0"/>
        <w:rPr>
          <w:rFonts w:ascii="宋体" w:hAnsi="宋体" w:cs="宋体"/>
          <w:b/>
          <w:color w:val="auto"/>
          <w:kern w:val="0"/>
          <w:sz w:val="32"/>
          <w:szCs w:val="32"/>
          <w:highlight w:val="none"/>
        </w:rPr>
      </w:pPr>
      <w:bookmarkStart w:id="531" w:name="_Toc8372"/>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7</w:t>
      </w:r>
      <w:r>
        <w:rPr>
          <w:rFonts w:hint="eastAsia" w:ascii="宋体" w:hAnsi="宋体" w:cs="宋体"/>
          <w:b/>
          <w:color w:val="auto"/>
          <w:kern w:val="0"/>
          <w:sz w:val="32"/>
          <w:szCs w:val="32"/>
          <w:highlight w:val="none"/>
        </w:rPr>
        <w:t>：中小企业声明函</w:t>
      </w:r>
      <w:bookmarkEnd w:id="531"/>
    </w:p>
    <w:p w14:paraId="53887E09">
      <w:pPr>
        <w:spacing w:line="360" w:lineRule="auto"/>
        <w:jc w:val="center"/>
        <w:rPr>
          <w:rFonts w:ascii="宋体" w:hAnsi="宋体" w:cs="宋体"/>
          <w:color w:val="auto"/>
          <w:sz w:val="24"/>
          <w:highlight w:val="none"/>
          <w:u w:val="single"/>
        </w:rPr>
      </w:pPr>
    </w:p>
    <w:p w14:paraId="6BED0F52">
      <w:pPr>
        <w:adjustRightInd/>
        <w:spacing w:line="360" w:lineRule="auto"/>
        <w:jc w:val="center"/>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中小企业声明函（服务）</w:t>
      </w:r>
    </w:p>
    <w:p w14:paraId="4A03A5EB">
      <w:pPr>
        <w:spacing w:line="360" w:lineRule="auto"/>
        <w:jc w:val="center"/>
        <w:rPr>
          <w:rFonts w:cs="宋体" w:asciiTheme="minorEastAsia" w:hAnsiTheme="minorEastAsia" w:eastAsiaTheme="minorEastAsia"/>
          <w:b/>
          <w:color w:val="000000" w:themeColor="text1"/>
          <w:sz w:val="32"/>
          <w:szCs w:val="32"/>
          <w:highlight w:val="none"/>
          <w14:textFill>
            <w14:solidFill>
              <w14:schemeClr w14:val="tx1"/>
            </w14:solidFill>
          </w14:textFill>
        </w:rPr>
      </w:pPr>
    </w:p>
    <w:p w14:paraId="5461653D">
      <w:pPr>
        <w:spacing w:line="360" w:lineRule="auto"/>
        <w:ind w:firstLine="360" w:firstLineChars="15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（采购人） </w:t>
      </w:r>
      <w:r>
        <w:rPr>
          <w:rFonts w:hint="eastAsia" w:cs="宋体" w:asciiTheme="minorEastAsia" w:hAnsiTheme="minorEastAsia" w:eastAsiaTheme="minorEastAsia"/>
          <w:color w:val="000000" w:themeColor="text1"/>
          <w:sz w:val="24"/>
          <w:highlight w:val="none"/>
          <w14:textFill>
            <w14:solidFill>
              <w14:schemeClr w14:val="tx1"/>
            </w14:solidFill>
          </w14:textFill>
        </w:rPr>
        <w:t>的</w:t>
      </w:r>
      <w:r>
        <w:rPr>
          <w:rFonts w:cs="宋体" w:asciiTheme="minorEastAsia" w:hAnsiTheme="minorEastAsia" w:eastAsiaTheme="minorEastAsia"/>
          <w:color w:val="000000" w:themeColor="text1"/>
          <w:sz w:val="24"/>
          <w:highlight w:val="none"/>
          <w:u w:val="single"/>
          <w14:textFill>
            <w14:solidFill>
              <w14:schemeClr w14:val="tx1"/>
            </w14:solidFill>
          </w14:textFill>
        </w:rPr>
        <w:t xml:space="preserve"> （项目</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名称） </w:t>
      </w:r>
      <w:r>
        <w:rPr>
          <w:rFonts w:hint="eastAsia" w:cs="宋体" w:asciiTheme="minorEastAsia" w:hAnsiTheme="minorEastAsia" w:eastAsiaTheme="minorEastAsia"/>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45B5751C">
      <w:p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w:t>
      </w:r>
      <w:r>
        <w:rPr>
          <w:rFonts w:hint="eastAsia" w:cs="宋体" w:asciiTheme="minorEastAsia" w:hAnsiTheme="minorEastAsia" w:eastAsiaTheme="minorEastAsia"/>
          <w:color w:val="000000" w:themeColor="text1"/>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（标的名称）</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，属于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（采购文件中明确的所属行业）</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；承建（承接）企业为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（企业名称）</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，从业人员</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人，营业收入为</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万元，资产总额为</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万元属于</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（中型企业、小型企业、微型企业） </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4B734D9E">
      <w:p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w:t>
      </w:r>
      <w:r>
        <w:rPr>
          <w:rFonts w:hint="eastAsia" w:cs="宋体" w:asciiTheme="minorEastAsia" w:hAnsiTheme="minorEastAsia" w:eastAsiaTheme="minorEastAsia"/>
          <w:color w:val="000000" w:themeColor="text1"/>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（标的名称）</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，属于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（采购文件中明确的所属行业）</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；承建（承接）企业为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（企业名称）</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，从业人员</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人，营业收入为</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万元，资产总额为</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万元属于</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（中型企业、小型企业、微型企业） </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7EFE0340">
      <w:p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1A7E1A90">
      <w:p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0BC9FB85">
      <w:p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本企业对上述声明内容的真实性负责。如有虚假，将依法承担相应责任。</w:t>
      </w:r>
    </w:p>
    <w:p w14:paraId="3BEB4FEC">
      <w:pPr>
        <w:spacing w:line="360" w:lineRule="auto"/>
        <w:ind w:right="1760"/>
        <w:jc w:val="righ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磋商供应商名称(公章)</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69CF457A">
      <w:pPr>
        <w:spacing w:line="360" w:lineRule="auto"/>
        <w:ind w:right="1120" w:firstLine="4680" w:firstLineChars="19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日 期：</w:t>
      </w:r>
    </w:p>
    <w:p w14:paraId="777BC6C4">
      <w:pPr>
        <w:spacing w:line="360" w:lineRule="auto"/>
        <w:ind w:right="42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注：</w:t>
      </w:r>
    </w:p>
    <w:p w14:paraId="1E0722AA">
      <w:pPr>
        <w:spacing w:line="360" w:lineRule="auto"/>
        <w:ind w:right="42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EF41303">
      <w:pPr>
        <w:spacing w:line="360" w:lineRule="auto"/>
        <w:ind w:right="420" w:firstLine="720" w:firstLineChars="3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80E6A7B">
      <w:pPr>
        <w:spacing w:line="360" w:lineRule="auto"/>
        <w:ind w:right="420" w:firstLine="480" w:firstLineChars="200"/>
        <w:rPr>
          <w:rFonts w:ascii="宋体" w:hAnsi="宋体" w:cs="宋体"/>
          <w:color w:val="auto"/>
          <w:sz w:val="24"/>
          <w:highlight w:val="none"/>
        </w:rPr>
      </w:pPr>
    </w:p>
    <w:p w14:paraId="7661C730">
      <w:pPr>
        <w:spacing w:line="360" w:lineRule="auto"/>
        <w:jc w:val="center"/>
        <w:rPr>
          <w:rFonts w:ascii="宋体" w:hAnsi="宋体" w:cs="宋体"/>
          <w:b/>
          <w:color w:val="auto"/>
          <w:sz w:val="32"/>
          <w:szCs w:val="32"/>
          <w:highlight w:val="none"/>
        </w:rPr>
      </w:pPr>
    </w:p>
    <w:p w14:paraId="454F4A3E">
      <w:pPr>
        <w:spacing w:line="360" w:lineRule="auto"/>
        <w:jc w:val="center"/>
        <w:rPr>
          <w:rFonts w:ascii="宋体" w:hAnsi="宋体" w:cs="宋体"/>
          <w:b/>
          <w:color w:val="auto"/>
          <w:sz w:val="32"/>
          <w:szCs w:val="32"/>
          <w:highlight w:val="none"/>
        </w:rPr>
      </w:pPr>
    </w:p>
    <w:p w14:paraId="16B0D39A">
      <w:pPr>
        <w:spacing w:line="360" w:lineRule="auto"/>
        <w:jc w:val="center"/>
        <w:rPr>
          <w:rFonts w:ascii="宋体" w:hAnsi="宋体" w:cs="宋体"/>
          <w:b/>
          <w:color w:val="auto"/>
          <w:sz w:val="32"/>
          <w:szCs w:val="32"/>
          <w:highlight w:val="none"/>
        </w:rPr>
      </w:pPr>
    </w:p>
    <w:p w14:paraId="5B35E974">
      <w:pPr>
        <w:spacing w:line="360" w:lineRule="auto"/>
        <w:jc w:val="center"/>
        <w:rPr>
          <w:rFonts w:ascii="宋体" w:hAnsi="宋体" w:cs="宋体"/>
          <w:b/>
          <w:color w:val="auto"/>
          <w:sz w:val="32"/>
          <w:szCs w:val="32"/>
          <w:highlight w:val="none"/>
        </w:rPr>
      </w:pPr>
    </w:p>
    <w:p w14:paraId="6DB86C6C">
      <w:pPr>
        <w:spacing w:line="360" w:lineRule="auto"/>
        <w:jc w:val="center"/>
        <w:rPr>
          <w:rFonts w:ascii="宋体" w:hAnsi="宋体" w:cs="宋体"/>
          <w:b/>
          <w:color w:val="auto"/>
          <w:sz w:val="32"/>
          <w:szCs w:val="32"/>
          <w:highlight w:val="none"/>
        </w:rPr>
      </w:pPr>
    </w:p>
    <w:p w14:paraId="1859798B">
      <w:pPr>
        <w:spacing w:line="360" w:lineRule="auto"/>
        <w:jc w:val="center"/>
        <w:rPr>
          <w:rFonts w:ascii="宋体" w:hAnsi="宋体" w:cs="宋体"/>
          <w:b/>
          <w:color w:val="auto"/>
          <w:sz w:val="32"/>
          <w:szCs w:val="32"/>
          <w:highlight w:val="none"/>
        </w:rPr>
      </w:pPr>
    </w:p>
    <w:p w14:paraId="0B08D62A">
      <w:pPr>
        <w:spacing w:line="360" w:lineRule="auto"/>
        <w:jc w:val="center"/>
        <w:rPr>
          <w:rFonts w:ascii="宋体" w:hAnsi="宋体" w:cs="宋体"/>
          <w:b/>
          <w:color w:val="auto"/>
          <w:sz w:val="32"/>
          <w:szCs w:val="32"/>
          <w:highlight w:val="none"/>
        </w:rPr>
      </w:pPr>
    </w:p>
    <w:p w14:paraId="0368C974">
      <w:pPr>
        <w:spacing w:line="360" w:lineRule="auto"/>
        <w:jc w:val="center"/>
        <w:rPr>
          <w:rFonts w:ascii="宋体" w:hAnsi="宋体" w:cs="宋体"/>
          <w:b/>
          <w:color w:val="auto"/>
          <w:sz w:val="32"/>
          <w:szCs w:val="32"/>
          <w:highlight w:val="none"/>
        </w:rPr>
      </w:pPr>
    </w:p>
    <w:p w14:paraId="1EBDCCC3">
      <w:pPr>
        <w:spacing w:line="360" w:lineRule="auto"/>
        <w:jc w:val="center"/>
        <w:rPr>
          <w:rFonts w:ascii="宋体" w:hAnsi="宋体" w:cs="宋体"/>
          <w:b/>
          <w:color w:val="auto"/>
          <w:sz w:val="32"/>
          <w:szCs w:val="32"/>
          <w:highlight w:val="none"/>
        </w:rPr>
      </w:pPr>
    </w:p>
    <w:p w14:paraId="1A3F7B9A">
      <w:pPr>
        <w:spacing w:line="360" w:lineRule="auto"/>
        <w:jc w:val="center"/>
        <w:rPr>
          <w:rFonts w:ascii="宋体" w:hAnsi="宋体" w:cs="宋体"/>
          <w:b/>
          <w:color w:val="auto"/>
          <w:sz w:val="32"/>
          <w:szCs w:val="32"/>
          <w:highlight w:val="none"/>
        </w:rPr>
      </w:pPr>
    </w:p>
    <w:p w14:paraId="1E5EC1A2">
      <w:pPr>
        <w:spacing w:line="360" w:lineRule="auto"/>
        <w:jc w:val="center"/>
        <w:rPr>
          <w:rFonts w:ascii="宋体" w:hAnsi="宋体" w:cs="宋体"/>
          <w:b/>
          <w:color w:val="auto"/>
          <w:sz w:val="32"/>
          <w:szCs w:val="32"/>
          <w:highlight w:val="none"/>
        </w:rPr>
      </w:pPr>
    </w:p>
    <w:p w14:paraId="2462C806">
      <w:pPr>
        <w:spacing w:line="360" w:lineRule="auto"/>
        <w:jc w:val="center"/>
        <w:rPr>
          <w:rFonts w:ascii="宋体" w:hAnsi="宋体" w:cs="宋体"/>
          <w:b/>
          <w:color w:val="auto"/>
          <w:sz w:val="32"/>
          <w:szCs w:val="32"/>
          <w:highlight w:val="none"/>
        </w:rPr>
      </w:pPr>
    </w:p>
    <w:p w14:paraId="42B7F464">
      <w:pPr>
        <w:spacing w:line="360" w:lineRule="auto"/>
        <w:jc w:val="center"/>
        <w:rPr>
          <w:rFonts w:ascii="宋体" w:hAnsi="宋体" w:cs="宋体"/>
          <w:b/>
          <w:color w:val="auto"/>
          <w:sz w:val="32"/>
          <w:szCs w:val="32"/>
          <w:highlight w:val="none"/>
        </w:rPr>
      </w:pPr>
    </w:p>
    <w:p w14:paraId="36A5D1A2">
      <w:pPr>
        <w:spacing w:line="360" w:lineRule="auto"/>
        <w:jc w:val="center"/>
        <w:rPr>
          <w:rFonts w:ascii="宋体" w:hAnsi="宋体" w:cs="宋体"/>
          <w:b/>
          <w:color w:val="auto"/>
          <w:sz w:val="32"/>
          <w:szCs w:val="32"/>
          <w:highlight w:val="none"/>
        </w:rPr>
      </w:pPr>
    </w:p>
    <w:p w14:paraId="25FECFE5">
      <w:pPr>
        <w:spacing w:line="360" w:lineRule="auto"/>
        <w:jc w:val="center"/>
        <w:rPr>
          <w:rFonts w:ascii="宋体" w:hAnsi="宋体" w:cs="宋体"/>
          <w:b/>
          <w:color w:val="auto"/>
          <w:sz w:val="32"/>
          <w:szCs w:val="32"/>
          <w:highlight w:val="none"/>
        </w:rPr>
      </w:pPr>
    </w:p>
    <w:p w14:paraId="7AFB2095">
      <w:pPr>
        <w:spacing w:line="360" w:lineRule="auto"/>
        <w:jc w:val="center"/>
        <w:rPr>
          <w:rFonts w:ascii="宋体" w:hAnsi="宋体" w:cs="宋体"/>
          <w:b/>
          <w:color w:val="auto"/>
          <w:sz w:val="32"/>
          <w:szCs w:val="32"/>
          <w:highlight w:val="none"/>
        </w:rPr>
      </w:pPr>
    </w:p>
    <w:p w14:paraId="0A185D39">
      <w:pPr>
        <w:spacing w:line="360" w:lineRule="auto"/>
        <w:jc w:val="center"/>
        <w:rPr>
          <w:rFonts w:ascii="宋体" w:hAnsi="宋体" w:cs="宋体"/>
          <w:b/>
          <w:color w:val="auto"/>
          <w:sz w:val="32"/>
          <w:szCs w:val="32"/>
          <w:highlight w:val="none"/>
        </w:rPr>
      </w:pPr>
    </w:p>
    <w:p w14:paraId="77584098">
      <w:pPr>
        <w:spacing w:line="360" w:lineRule="auto"/>
        <w:rPr>
          <w:rFonts w:ascii="宋体" w:hAnsi="宋体" w:cs="宋体"/>
          <w:bCs/>
          <w:color w:val="auto"/>
          <w:sz w:val="24"/>
          <w:highlight w:val="none"/>
        </w:rPr>
      </w:pPr>
    </w:p>
    <w:sectPr>
      <w:headerReference r:id="rId18" w:type="first"/>
      <w:footerReference r:id="rId21" w:type="first"/>
      <w:headerReference r:id="rId17" w:type="default"/>
      <w:footerReference r:id="rId19" w:type="default"/>
      <w:footerReference r:id="rId20" w:type="even"/>
      <w:pgSz w:w="11906" w:h="16838"/>
      <w:pgMar w:top="1134" w:right="1134" w:bottom="1134" w:left="113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roman"/>
    <w:pitch w:val="default"/>
    <w:sig w:usb0="00000001" w:usb1="080E0000" w:usb2="00000000" w:usb3="00000000" w:csb0="00040000" w:csb1="00000000"/>
  </w:font>
  <w:font w:name="Futura Bk">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roman"/>
    <w:pitch w:val="default"/>
    <w:sig w:usb0="00000000" w:usb1="00000000" w:usb2="00000000" w:usb3="00000000" w:csb0="00000000"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Segoe Print"/>
    <w:panose1 w:val="00000000000000000000"/>
    <w:charset w:val="00"/>
    <w:family w:val="roman"/>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Segoe Print"/>
    <w:panose1 w:val="00000000000000000000"/>
    <w:charset w:val="00"/>
    <w:family w:val="roman"/>
    <w:pitch w:val="default"/>
    <w:sig w:usb0="00000000" w:usb1="00000000" w:usb2="00000000" w:usb3="00000000" w:csb0="00000000" w:csb1="00000000"/>
  </w:font>
  <w:font w:name="Arial (W1)">
    <w:altName w:val="Arial"/>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Segoe Print"/>
    <w:panose1 w:val="00000000000000000000"/>
    <w:charset w:val="00"/>
    <w:family w:val="roman"/>
    <w:pitch w:val="default"/>
    <w:sig w:usb0="00000000" w:usb1="00000000" w:usb2="00000000" w:usb3="00000000" w:csb0="00000000" w:csb1="00000000"/>
  </w:font>
  <w:font w:name="方正宋体">
    <w:altName w:val="宋体"/>
    <w:panose1 w:val="00000000000000000000"/>
    <w:charset w:val="86"/>
    <w:family w:val="roman"/>
    <w:pitch w:val="default"/>
    <w:sig w:usb0="00000000" w:usb1="00000000" w:usb2="00000000" w:usb3="00000000" w:csb0="00000000" w:csb1="00000000"/>
  </w:font>
  <w:font w:name="Futura Hv">
    <w:altName w:val="Segoe Print"/>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00" w:csb1="00000000"/>
  </w:font>
  <w:font w:name=".PingFang SC">
    <w:altName w:val="Segoe Print"/>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华文楷体">
    <w:altName w:val="楷体_GB2312"/>
    <w:panose1 w:val="02010600040101010101"/>
    <w:charset w:val="86"/>
    <w:family w:val="auto"/>
    <w:pitch w:val="default"/>
    <w:sig w:usb0="00000000" w:usb1="00000000" w:usb2="00000010" w:usb3="00000000" w:csb0="0004009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3736A">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91EF1">
                          <w:pPr>
                            <w:pStyle w:val="39"/>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7C91EF1">
                    <w:pPr>
                      <w:pStyle w:val="39"/>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B3F64">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BD049">
                          <w:pPr>
                            <w:pStyle w:val="39"/>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F5BD049">
                    <w:pPr>
                      <w:pStyle w:val="39"/>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A55C8">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878549">
                          <w:pPr>
                            <w:pStyle w:val="39"/>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E878549">
                    <w:pPr>
                      <w:pStyle w:val="39"/>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67151">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214E0">
                          <w:pPr>
                            <w:pStyle w:val="3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F4214E0">
                    <w:pPr>
                      <w:pStyle w:val="3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74AC8">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26CBE">
                          <w:pPr>
                            <w:pStyle w:val="39"/>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C226CBE">
                    <w:pPr>
                      <w:pStyle w:val="39"/>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DA4C2">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11A418">
                          <w:pPr>
                            <w:pStyle w:val="39"/>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911A418">
                    <w:pPr>
                      <w:pStyle w:val="39"/>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E0175">
    <w:pPr>
      <w:pStyle w:val="39"/>
      <w:rPr>
        <w:rFonts w:ascii="仿宋_GB2312" w:eastAsia="仿宋_GB2312"/>
        <w:sz w:val="21"/>
        <w:szCs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A1AAB">
                          <w:pPr>
                            <w:pStyle w:val="39"/>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C4A1AAB">
                    <w:pPr>
                      <w:pStyle w:val="39"/>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9C791">
    <w:pPr>
      <w:pStyle w:val="39"/>
      <w:framePr w:wrap="around" w:vAnchor="text" w:hAnchor="margin" w:xAlign="right" w:y="1"/>
      <w:rPr>
        <w:rStyle w:val="72"/>
      </w:rPr>
    </w:pPr>
    <w:r>
      <w:fldChar w:fldCharType="begin"/>
    </w:r>
    <w:r>
      <w:rPr>
        <w:rStyle w:val="72"/>
      </w:rPr>
      <w:instrText xml:space="preserve">PAGE  </w:instrText>
    </w:r>
    <w:r>
      <w:fldChar w:fldCharType="end"/>
    </w:r>
  </w:p>
  <w:p w14:paraId="729EA6DF">
    <w:pPr>
      <w:pStyle w:val="3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D0A8D">
    <w:pPr>
      <w:pStyle w:val="39"/>
      <w:rPr>
        <w:rFonts w:ascii="仿宋_GB2312" w:eastAsia="仿宋_GB2312"/>
        <w:sz w:val="21"/>
        <w:szCs w:val="21"/>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BF9008">
                          <w:pPr>
                            <w:pStyle w:val="39"/>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6BF9008">
                    <w:pPr>
                      <w:pStyle w:val="39"/>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29585">
    <w:pPr>
      <w:pStyle w:val="40"/>
      <w:pBdr>
        <w:bottom w:val="single" w:color="auto" w:sz="6" w:space="0"/>
      </w:pBdr>
      <w:ind w:right="90"/>
      <w:jc w:val="right"/>
      <w:rPr>
        <w:rFonts w:ascii="仿宋_GB2312" w:eastAsia="仿宋_GB2312"/>
        <w:b/>
        <w:i/>
        <w:sz w:val="21"/>
        <w:szCs w:val="21"/>
        <w:u w:val="single"/>
      </w:rPr>
    </w:pPr>
    <w:r>
      <w:rPr>
        <w:rFonts w:hint="eastAsia"/>
      </w:rPr>
      <w:t xml:space="preserve">      </w:t>
    </w:r>
    <w:r>
      <w:rPr>
        <w:sz w:val="21"/>
        <w:szCs w:val="21"/>
      </w:rPr>
      <w:t>北海市政府采购公开招标文件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2B26B">
    <w:pPr>
      <w:pStyle w:val="40"/>
      <w:rPr>
        <w:sz w:val="21"/>
        <w:szCs w:val="21"/>
      </w:rPr>
    </w:pPr>
    <w:r>
      <w:t></w:t>
    </w:r>
    <w:r>
      <w:rPr>
        <w:rFonts w:hint="eastAsia"/>
      </w:rPr>
      <w:t xml:space="preserve">                </w:t>
    </w:r>
    <w:r>
      <w:rPr>
        <w:rFonts w:hint="eastAsia"/>
        <w:sz w:val="21"/>
        <w:szCs w:val="21"/>
      </w:rPr>
      <w:t xml:space="preserve">                       北海</w:t>
    </w:r>
    <w:r>
      <w:rPr>
        <w:sz w:val="21"/>
        <w:szCs w:val="21"/>
      </w:rPr>
      <w:t>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B44B5">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sz w:val="21"/>
        <w:szCs w:val="21"/>
        <w:lang w:val="zh-CN"/>
      </w:rPr>
      <w:t>北海市政府采购公开招标文件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8AEF9">
    <w:pPr>
      <w:pStyle w:val="40"/>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55BA7">
    <w:pPr>
      <w:pStyle w:val="40"/>
    </w:pPr>
    <w:r>
      <w:t></w:t>
    </w:r>
    <w:r>
      <w:rPr>
        <w:rFonts w:hint="eastAsia"/>
      </w:rPr>
      <w:t xml:space="preserve">         </w:t>
    </w:r>
  </w:p>
  <w:p w14:paraId="3D2F39E0">
    <w:pPr>
      <w:pStyle w:val="40"/>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BE82A">
    <w:pPr>
      <w:pStyle w:val="40"/>
      <w:rPr>
        <w:rFonts w:ascii="仿宋_GB2312" w:eastAsia="仿宋_GB2312"/>
        <w:b/>
        <w:i/>
        <w:sz w:val="21"/>
        <w:szCs w:val="21"/>
        <w:u w:val="single"/>
      </w:rPr>
    </w:pPr>
    <w:r>
      <w:t></w:t>
    </w:r>
    <w:r>
      <w:rPr>
        <w:rFonts w:hint="eastAsia"/>
      </w:rPr>
      <w:t xml:space="preserve">                                                </w:t>
    </w:r>
    <w:r>
      <w:rPr>
        <w:sz w:val="21"/>
        <w:szCs w:val="21"/>
      </w:rPr>
      <w:t xml:space="preserve"> </w:t>
    </w:r>
    <w:r>
      <w:rPr>
        <w:rFonts w:hint="eastAsia"/>
        <w:sz w:val="21"/>
        <w:szCs w:val="21"/>
      </w:rPr>
      <w:t>北海</w:t>
    </w:r>
    <w:r>
      <w:rPr>
        <w:sz w:val="21"/>
        <w:szCs w:val="21"/>
      </w:rPr>
      <w:t>市政府采购公开招标文件</w:t>
    </w:r>
  </w:p>
  <w:p w14:paraId="02F549D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5FE7D">
    <w:pPr>
      <w:pStyle w:val="40"/>
      <w:jc w:val="right"/>
      <w:rPr>
        <w:sz w:val="21"/>
        <w:szCs w:val="21"/>
      </w:rPr>
    </w:pPr>
    <w:r>
      <w:t></w:t>
    </w:r>
    <w:r>
      <w:rPr>
        <w:rFonts w:hint="eastAsia"/>
      </w:rPr>
      <w:t xml:space="preserve">                                                                    </w:t>
    </w:r>
    <w:r>
      <w:rPr>
        <w:rFonts w:hint="eastAsia"/>
        <w:sz w:val="21"/>
        <w:szCs w:val="21"/>
      </w:rPr>
      <w:t>北海</w:t>
    </w:r>
    <w:r>
      <w:rPr>
        <w:sz w:val="21"/>
        <w:szCs w:val="21"/>
      </w:rP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10B9F">
    <w:pPr>
      <w:pStyle w:val="40"/>
      <w:jc w:val="right"/>
      <w:rPr>
        <w:rFonts w:ascii="仿宋_GB2312" w:eastAsia="仿宋_GB2312"/>
        <w:b/>
        <w:i/>
        <w:sz w:val="21"/>
        <w:szCs w:val="21"/>
        <w:u w:val="single"/>
      </w:rPr>
    </w:pPr>
    <w:r>
      <w:rPr>
        <w:rFonts w:hint="eastAsia"/>
      </w:rPr>
      <w:t xml:space="preserve">                                </w:t>
    </w:r>
    <w:r>
      <w:rPr>
        <w:rFonts w:hint="eastAsia"/>
        <w:sz w:val="21"/>
        <w:szCs w:val="21"/>
      </w:rPr>
      <w:t xml:space="preserve">  北海</w:t>
    </w:r>
    <w:r>
      <w:rPr>
        <w:sz w:val="21"/>
        <w:szCs w:val="21"/>
      </w:rPr>
      <w:t>市政府采购公开招标文件</w:t>
    </w:r>
  </w:p>
  <w:p w14:paraId="305CE0C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420AD">
    <w:pPr>
      <w:pStyle w:val="40"/>
      <w:jc w:val="right"/>
      <w:rPr>
        <w:sz w:val="21"/>
        <w:szCs w:val="21"/>
      </w:rPr>
    </w:pPr>
    <w:r>
      <w:rPr>
        <w:rFonts w:hint="eastAsia"/>
      </w:rPr>
      <w:t xml:space="preserve">                                  </w:t>
    </w:r>
    <w:r>
      <w:rPr>
        <w:rFonts w:hint="eastAsia"/>
        <w:sz w:val="21"/>
        <w:szCs w:val="21"/>
      </w:rPr>
      <w:t>北海</w:t>
    </w:r>
    <w:r>
      <w:rPr>
        <w:sz w:val="21"/>
        <w:szCs w:val="21"/>
      </w:rPr>
      <w:t>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8D475">
    <w:pPr>
      <w:pStyle w:val="40"/>
      <w:jc w:val="right"/>
      <w:rPr>
        <w:rFonts w:ascii="仿宋_GB2312" w:eastAsia="仿宋_GB2312"/>
        <w:b/>
        <w:i/>
        <w:iCs/>
        <w:u w:val="single"/>
      </w:rPr>
    </w:pPr>
    <w:r>
      <w:t></w:t>
    </w:r>
    <w:r>
      <w:rPr>
        <w:sz w:val="21"/>
        <w:szCs w:val="21"/>
      </w:rPr>
      <w:t></w:t>
    </w:r>
    <w:r>
      <w:rPr>
        <w:rFonts w:hint="eastAsia"/>
        <w:sz w:val="21"/>
        <w:szCs w:val="21"/>
      </w:rPr>
      <w:t>北海</w:t>
    </w:r>
    <w:r>
      <w:rPr>
        <w:sz w:val="21"/>
        <w:szCs w:val="21"/>
      </w:rPr>
      <w:t>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OWVkNzRkNTRjZWMxNzQ2M2I3YjJiM2RkMjIyYmIifQ=="/>
  </w:docVars>
  <w:rsids>
    <w:rsidRoot w:val="00172A27"/>
    <w:rsid w:val="00000451"/>
    <w:rsid w:val="00000A8C"/>
    <w:rsid w:val="0000108B"/>
    <w:rsid w:val="0000114C"/>
    <w:rsid w:val="0000133D"/>
    <w:rsid w:val="00001509"/>
    <w:rsid w:val="00001AF8"/>
    <w:rsid w:val="00001C42"/>
    <w:rsid w:val="000032B2"/>
    <w:rsid w:val="0000363B"/>
    <w:rsid w:val="000058BD"/>
    <w:rsid w:val="00006109"/>
    <w:rsid w:val="00006150"/>
    <w:rsid w:val="000063E8"/>
    <w:rsid w:val="000066F2"/>
    <w:rsid w:val="00006725"/>
    <w:rsid w:val="0000675E"/>
    <w:rsid w:val="000072FF"/>
    <w:rsid w:val="00007CAA"/>
    <w:rsid w:val="00010FE9"/>
    <w:rsid w:val="0001122F"/>
    <w:rsid w:val="00011A4B"/>
    <w:rsid w:val="00012251"/>
    <w:rsid w:val="0001232F"/>
    <w:rsid w:val="0001337C"/>
    <w:rsid w:val="000138C4"/>
    <w:rsid w:val="00013C1F"/>
    <w:rsid w:val="00013F31"/>
    <w:rsid w:val="000140D8"/>
    <w:rsid w:val="00014530"/>
    <w:rsid w:val="00014BBC"/>
    <w:rsid w:val="000150EE"/>
    <w:rsid w:val="00015988"/>
    <w:rsid w:val="000163D1"/>
    <w:rsid w:val="000168D8"/>
    <w:rsid w:val="000170C8"/>
    <w:rsid w:val="000173F4"/>
    <w:rsid w:val="00020287"/>
    <w:rsid w:val="000202A2"/>
    <w:rsid w:val="000202FE"/>
    <w:rsid w:val="00020B5F"/>
    <w:rsid w:val="000211BC"/>
    <w:rsid w:val="0002207B"/>
    <w:rsid w:val="00022EBE"/>
    <w:rsid w:val="00022F58"/>
    <w:rsid w:val="000232FD"/>
    <w:rsid w:val="00023323"/>
    <w:rsid w:val="000233E4"/>
    <w:rsid w:val="00023495"/>
    <w:rsid w:val="00023777"/>
    <w:rsid w:val="00023CC9"/>
    <w:rsid w:val="00024130"/>
    <w:rsid w:val="00024584"/>
    <w:rsid w:val="00024962"/>
    <w:rsid w:val="000249AA"/>
    <w:rsid w:val="00025350"/>
    <w:rsid w:val="000253E5"/>
    <w:rsid w:val="00025776"/>
    <w:rsid w:val="00025A26"/>
    <w:rsid w:val="00026B14"/>
    <w:rsid w:val="00026EAC"/>
    <w:rsid w:val="000270F2"/>
    <w:rsid w:val="00027540"/>
    <w:rsid w:val="0003042E"/>
    <w:rsid w:val="00030572"/>
    <w:rsid w:val="00030A97"/>
    <w:rsid w:val="00030CB3"/>
    <w:rsid w:val="0003124B"/>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5817"/>
    <w:rsid w:val="0004598C"/>
    <w:rsid w:val="00047354"/>
    <w:rsid w:val="00050072"/>
    <w:rsid w:val="00050656"/>
    <w:rsid w:val="00050A19"/>
    <w:rsid w:val="000511B6"/>
    <w:rsid w:val="00051B00"/>
    <w:rsid w:val="00051C72"/>
    <w:rsid w:val="00052192"/>
    <w:rsid w:val="0005238F"/>
    <w:rsid w:val="00052787"/>
    <w:rsid w:val="00052992"/>
    <w:rsid w:val="00052BB8"/>
    <w:rsid w:val="00052F10"/>
    <w:rsid w:val="0005417A"/>
    <w:rsid w:val="00054D39"/>
    <w:rsid w:val="0005501B"/>
    <w:rsid w:val="000550F5"/>
    <w:rsid w:val="000552AD"/>
    <w:rsid w:val="00055337"/>
    <w:rsid w:val="000554C7"/>
    <w:rsid w:val="000559B0"/>
    <w:rsid w:val="00056145"/>
    <w:rsid w:val="00056402"/>
    <w:rsid w:val="00056791"/>
    <w:rsid w:val="00056868"/>
    <w:rsid w:val="00056876"/>
    <w:rsid w:val="000568DF"/>
    <w:rsid w:val="00057700"/>
    <w:rsid w:val="000578A3"/>
    <w:rsid w:val="00057D4C"/>
    <w:rsid w:val="00060C48"/>
    <w:rsid w:val="00061A3C"/>
    <w:rsid w:val="00061C48"/>
    <w:rsid w:val="00063C38"/>
    <w:rsid w:val="00063E1E"/>
    <w:rsid w:val="00064278"/>
    <w:rsid w:val="000646CA"/>
    <w:rsid w:val="000665C4"/>
    <w:rsid w:val="00066D83"/>
    <w:rsid w:val="00067821"/>
    <w:rsid w:val="0006785E"/>
    <w:rsid w:val="00067F92"/>
    <w:rsid w:val="00067FA7"/>
    <w:rsid w:val="0007038E"/>
    <w:rsid w:val="0007077C"/>
    <w:rsid w:val="00070825"/>
    <w:rsid w:val="00071845"/>
    <w:rsid w:val="00071CD8"/>
    <w:rsid w:val="00071DB2"/>
    <w:rsid w:val="00072519"/>
    <w:rsid w:val="00072AED"/>
    <w:rsid w:val="00072B56"/>
    <w:rsid w:val="00072D2B"/>
    <w:rsid w:val="00072D51"/>
    <w:rsid w:val="000730B1"/>
    <w:rsid w:val="00073860"/>
    <w:rsid w:val="000738EA"/>
    <w:rsid w:val="00074078"/>
    <w:rsid w:val="0007523B"/>
    <w:rsid w:val="00075B15"/>
    <w:rsid w:val="00075D0E"/>
    <w:rsid w:val="00075F6A"/>
    <w:rsid w:val="00076159"/>
    <w:rsid w:val="0007616C"/>
    <w:rsid w:val="000763B5"/>
    <w:rsid w:val="000763F3"/>
    <w:rsid w:val="000766D2"/>
    <w:rsid w:val="00076801"/>
    <w:rsid w:val="00076BCE"/>
    <w:rsid w:val="00077577"/>
    <w:rsid w:val="00077607"/>
    <w:rsid w:val="00077756"/>
    <w:rsid w:val="00077B7F"/>
    <w:rsid w:val="000808C1"/>
    <w:rsid w:val="00080970"/>
    <w:rsid w:val="00081671"/>
    <w:rsid w:val="00082AD4"/>
    <w:rsid w:val="00083B19"/>
    <w:rsid w:val="00083C35"/>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96E65"/>
    <w:rsid w:val="000973D0"/>
    <w:rsid w:val="000A0729"/>
    <w:rsid w:val="000A0C6F"/>
    <w:rsid w:val="000A0E69"/>
    <w:rsid w:val="000A1A52"/>
    <w:rsid w:val="000A1E26"/>
    <w:rsid w:val="000A1F98"/>
    <w:rsid w:val="000A3A4C"/>
    <w:rsid w:val="000A3D58"/>
    <w:rsid w:val="000A3FE3"/>
    <w:rsid w:val="000A4708"/>
    <w:rsid w:val="000A47B0"/>
    <w:rsid w:val="000A4851"/>
    <w:rsid w:val="000A49BB"/>
    <w:rsid w:val="000A4F22"/>
    <w:rsid w:val="000A5674"/>
    <w:rsid w:val="000A5A46"/>
    <w:rsid w:val="000A64ED"/>
    <w:rsid w:val="000A7299"/>
    <w:rsid w:val="000A752E"/>
    <w:rsid w:val="000B0B97"/>
    <w:rsid w:val="000B0E04"/>
    <w:rsid w:val="000B1437"/>
    <w:rsid w:val="000B1776"/>
    <w:rsid w:val="000B268D"/>
    <w:rsid w:val="000B291B"/>
    <w:rsid w:val="000B2BE4"/>
    <w:rsid w:val="000B33A8"/>
    <w:rsid w:val="000B35EC"/>
    <w:rsid w:val="000B381E"/>
    <w:rsid w:val="000B41D6"/>
    <w:rsid w:val="000B456C"/>
    <w:rsid w:val="000B458E"/>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2FC9"/>
    <w:rsid w:val="000C3970"/>
    <w:rsid w:val="000C3B1A"/>
    <w:rsid w:val="000C4727"/>
    <w:rsid w:val="000C47AE"/>
    <w:rsid w:val="000C51AD"/>
    <w:rsid w:val="000C5298"/>
    <w:rsid w:val="000C5374"/>
    <w:rsid w:val="000C5EC0"/>
    <w:rsid w:val="000C6162"/>
    <w:rsid w:val="000C64CC"/>
    <w:rsid w:val="000C6688"/>
    <w:rsid w:val="000C692E"/>
    <w:rsid w:val="000C6B28"/>
    <w:rsid w:val="000C725C"/>
    <w:rsid w:val="000C78DB"/>
    <w:rsid w:val="000C7B4D"/>
    <w:rsid w:val="000C7BEB"/>
    <w:rsid w:val="000D0124"/>
    <w:rsid w:val="000D0496"/>
    <w:rsid w:val="000D11E5"/>
    <w:rsid w:val="000D165F"/>
    <w:rsid w:val="000D19E8"/>
    <w:rsid w:val="000D1A04"/>
    <w:rsid w:val="000D1FA1"/>
    <w:rsid w:val="000D2834"/>
    <w:rsid w:val="000D2CAC"/>
    <w:rsid w:val="000D34C8"/>
    <w:rsid w:val="000D34FD"/>
    <w:rsid w:val="000D3BE5"/>
    <w:rsid w:val="000D3C37"/>
    <w:rsid w:val="000D41E3"/>
    <w:rsid w:val="000D453A"/>
    <w:rsid w:val="000D4AFA"/>
    <w:rsid w:val="000D5EA6"/>
    <w:rsid w:val="000D5F00"/>
    <w:rsid w:val="000D6C9F"/>
    <w:rsid w:val="000D6E3B"/>
    <w:rsid w:val="000D6F30"/>
    <w:rsid w:val="000D74E4"/>
    <w:rsid w:val="000D7BE9"/>
    <w:rsid w:val="000D7C9D"/>
    <w:rsid w:val="000D7CE0"/>
    <w:rsid w:val="000E0124"/>
    <w:rsid w:val="000E1351"/>
    <w:rsid w:val="000E2785"/>
    <w:rsid w:val="000E27BB"/>
    <w:rsid w:val="000E3153"/>
    <w:rsid w:val="000E3484"/>
    <w:rsid w:val="000E386F"/>
    <w:rsid w:val="000E4051"/>
    <w:rsid w:val="000E4139"/>
    <w:rsid w:val="000E4765"/>
    <w:rsid w:val="000E5475"/>
    <w:rsid w:val="000E5B7E"/>
    <w:rsid w:val="000E5FF9"/>
    <w:rsid w:val="000E6AE1"/>
    <w:rsid w:val="000E6B0F"/>
    <w:rsid w:val="000E7142"/>
    <w:rsid w:val="000E7632"/>
    <w:rsid w:val="000E76F2"/>
    <w:rsid w:val="000E7737"/>
    <w:rsid w:val="000E7739"/>
    <w:rsid w:val="000E77EE"/>
    <w:rsid w:val="000F1604"/>
    <w:rsid w:val="000F1825"/>
    <w:rsid w:val="000F287A"/>
    <w:rsid w:val="000F2940"/>
    <w:rsid w:val="000F2AB3"/>
    <w:rsid w:val="000F3D08"/>
    <w:rsid w:val="000F4495"/>
    <w:rsid w:val="000F4A05"/>
    <w:rsid w:val="000F4AA8"/>
    <w:rsid w:val="000F4AEA"/>
    <w:rsid w:val="000F4E67"/>
    <w:rsid w:val="000F505B"/>
    <w:rsid w:val="000F5677"/>
    <w:rsid w:val="000F572C"/>
    <w:rsid w:val="000F5DDB"/>
    <w:rsid w:val="000F628E"/>
    <w:rsid w:val="000F68A0"/>
    <w:rsid w:val="000F6CC2"/>
    <w:rsid w:val="000F729C"/>
    <w:rsid w:val="000F7D4B"/>
    <w:rsid w:val="000F7F9A"/>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6C9"/>
    <w:rsid w:val="0011585B"/>
    <w:rsid w:val="00115B1A"/>
    <w:rsid w:val="001160FF"/>
    <w:rsid w:val="001164F4"/>
    <w:rsid w:val="001168F8"/>
    <w:rsid w:val="00117112"/>
    <w:rsid w:val="001176FF"/>
    <w:rsid w:val="0012153F"/>
    <w:rsid w:val="0012159D"/>
    <w:rsid w:val="00121804"/>
    <w:rsid w:val="00121EC9"/>
    <w:rsid w:val="0012208F"/>
    <w:rsid w:val="00122222"/>
    <w:rsid w:val="001224FE"/>
    <w:rsid w:val="001231D3"/>
    <w:rsid w:val="001232A7"/>
    <w:rsid w:val="00123F7C"/>
    <w:rsid w:val="001240B8"/>
    <w:rsid w:val="0012419E"/>
    <w:rsid w:val="0012432A"/>
    <w:rsid w:val="001248EF"/>
    <w:rsid w:val="00124AC0"/>
    <w:rsid w:val="00124EB2"/>
    <w:rsid w:val="00124FC4"/>
    <w:rsid w:val="001253AB"/>
    <w:rsid w:val="0012574C"/>
    <w:rsid w:val="001259B8"/>
    <w:rsid w:val="001264B9"/>
    <w:rsid w:val="0012693E"/>
    <w:rsid w:val="00126A3A"/>
    <w:rsid w:val="00127060"/>
    <w:rsid w:val="0012716F"/>
    <w:rsid w:val="00127B83"/>
    <w:rsid w:val="00127F4D"/>
    <w:rsid w:val="00131C2D"/>
    <w:rsid w:val="0013202C"/>
    <w:rsid w:val="00132704"/>
    <w:rsid w:val="00132CBF"/>
    <w:rsid w:val="001333BF"/>
    <w:rsid w:val="00133707"/>
    <w:rsid w:val="00133742"/>
    <w:rsid w:val="00133B70"/>
    <w:rsid w:val="00133E97"/>
    <w:rsid w:val="001350F7"/>
    <w:rsid w:val="00135769"/>
    <w:rsid w:val="00135BE9"/>
    <w:rsid w:val="00135E5C"/>
    <w:rsid w:val="00136762"/>
    <w:rsid w:val="00136C1D"/>
    <w:rsid w:val="00136E33"/>
    <w:rsid w:val="0013773D"/>
    <w:rsid w:val="00140130"/>
    <w:rsid w:val="0014042F"/>
    <w:rsid w:val="00140575"/>
    <w:rsid w:val="00140693"/>
    <w:rsid w:val="00140D7A"/>
    <w:rsid w:val="00141AC5"/>
    <w:rsid w:val="00141D28"/>
    <w:rsid w:val="00141DFE"/>
    <w:rsid w:val="00142185"/>
    <w:rsid w:val="001422E2"/>
    <w:rsid w:val="00142841"/>
    <w:rsid w:val="001433BC"/>
    <w:rsid w:val="00143872"/>
    <w:rsid w:val="00143A85"/>
    <w:rsid w:val="00144649"/>
    <w:rsid w:val="00145022"/>
    <w:rsid w:val="00145662"/>
    <w:rsid w:val="00145C6D"/>
    <w:rsid w:val="001460FC"/>
    <w:rsid w:val="00146151"/>
    <w:rsid w:val="00146326"/>
    <w:rsid w:val="00147032"/>
    <w:rsid w:val="00147EA7"/>
    <w:rsid w:val="00150082"/>
    <w:rsid w:val="00151820"/>
    <w:rsid w:val="00151B2F"/>
    <w:rsid w:val="001524DC"/>
    <w:rsid w:val="001525E5"/>
    <w:rsid w:val="00153859"/>
    <w:rsid w:val="00153915"/>
    <w:rsid w:val="001539F0"/>
    <w:rsid w:val="00153F7C"/>
    <w:rsid w:val="00154BBA"/>
    <w:rsid w:val="00155B95"/>
    <w:rsid w:val="00155EF6"/>
    <w:rsid w:val="00156853"/>
    <w:rsid w:val="00156CCE"/>
    <w:rsid w:val="00156FDF"/>
    <w:rsid w:val="0015719E"/>
    <w:rsid w:val="00157432"/>
    <w:rsid w:val="00161185"/>
    <w:rsid w:val="001620BA"/>
    <w:rsid w:val="001623AC"/>
    <w:rsid w:val="00162BAA"/>
    <w:rsid w:val="00163926"/>
    <w:rsid w:val="00163C40"/>
    <w:rsid w:val="0016488B"/>
    <w:rsid w:val="001654FA"/>
    <w:rsid w:val="00165758"/>
    <w:rsid w:val="00165A65"/>
    <w:rsid w:val="001662BF"/>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2DD"/>
    <w:rsid w:val="001728FD"/>
    <w:rsid w:val="00172A27"/>
    <w:rsid w:val="00172F02"/>
    <w:rsid w:val="00172F2D"/>
    <w:rsid w:val="00172FDE"/>
    <w:rsid w:val="00173631"/>
    <w:rsid w:val="0017372D"/>
    <w:rsid w:val="00173826"/>
    <w:rsid w:val="00173C58"/>
    <w:rsid w:val="00173E59"/>
    <w:rsid w:val="001741DC"/>
    <w:rsid w:val="00174C4F"/>
    <w:rsid w:val="00174F57"/>
    <w:rsid w:val="00175078"/>
    <w:rsid w:val="001755DC"/>
    <w:rsid w:val="001763D8"/>
    <w:rsid w:val="00176AA6"/>
    <w:rsid w:val="00176EBA"/>
    <w:rsid w:val="00177063"/>
    <w:rsid w:val="00180A47"/>
    <w:rsid w:val="00181ECA"/>
    <w:rsid w:val="001827B7"/>
    <w:rsid w:val="001827EF"/>
    <w:rsid w:val="00182982"/>
    <w:rsid w:val="001829BC"/>
    <w:rsid w:val="00182D68"/>
    <w:rsid w:val="00183031"/>
    <w:rsid w:val="00183468"/>
    <w:rsid w:val="0018397E"/>
    <w:rsid w:val="00184466"/>
    <w:rsid w:val="00184DBF"/>
    <w:rsid w:val="001852A8"/>
    <w:rsid w:val="001856EF"/>
    <w:rsid w:val="00185CBD"/>
    <w:rsid w:val="0018620A"/>
    <w:rsid w:val="00186EB0"/>
    <w:rsid w:val="00187121"/>
    <w:rsid w:val="00187243"/>
    <w:rsid w:val="0018774E"/>
    <w:rsid w:val="00187C29"/>
    <w:rsid w:val="00187ECB"/>
    <w:rsid w:val="00190571"/>
    <w:rsid w:val="00190782"/>
    <w:rsid w:val="00190942"/>
    <w:rsid w:val="001909A7"/>
    <w:rsid w:val="001909C3"/>
    <w:rsid w:val="00191459"/>
    <w:rsid w:val="00191603"/>
    <w:rsid w:val="001916DE"/>
    <w:rsid w:val="0019173E"/>
    <w:rsid w:val="0019174E"/>
    <w:rsid w:val="0019196B"/>
    <w:rsid w:val="001923D5"/>
    <w:rsid w:val="0019260C"/>
    <w:rsid w:val="00192991"/>
    <w:rsid w:val="00192D1F"/>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97664"/>
    <w:rsid w:val="001A06B5"/>
    <w:rsid w:val="001A07F8"/>
    <w:rsid w:val="001A0A23"/>
    <w:rsid w:val="001A0C98"/>
    <w:rsid w:val="001A109C"/>
    <w:rsid w:val="001A128B"/>
    <w:rsid w:val="001A1475"/>
    <w:rsid w:val="001A1F0E"/>
    <w:rsid w:val="001A3335"/>
    <w:rsid w:val="001A473A"/>
    <w:rsid w:val="001A4977"/>
    <w:rsid w:val="001A4ED9"/>
    <w:rsid w:val="001A52CD"/>
    <w:rsid w:val="001A5785"/>
    <w:rsid w:val="001A5A67"/>
    <w:rsid w:val="001A5FD7"/>
    <w:rsid w:val="001A66A6"/>
    <w:rsid w:val="001A6BAF"/>
    <w:rsid w:val="001A6BBB"/>
    <w:rsid w:val="001A79A2"/>
    <w:rsid w:val="001A79F1"/>
    <w:rsid w:val="001A7FA5"/>
    <w:rsid w:val="001B00BE"/>
    <w:rsid w:val="001B06A6"/>
    <w:rsid w:val="001B13BF"/>
    <w:rsid w:val="001B16F5"/>
    <w:rsid w:val="001B1C1F"/>
    <w:rsid w:val="001B219B"/>
    <w:rsid w:val="001B2703"/>
    <w:rsid w:val="001B2B94"/>
    <w:rsid w:val="001B3DCD"/>
    <w:rsid w:val="001B422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0B5F"/>
    <w:rsid w:val="001C1072"/>
    <w:rsid w:val="001C10BD"/>
    <w:rsid w:val="001C13A3"/>
    <w:rsid w:val="001C1F01"/>
    <w:rsid w:val="001C2092"/>
    <w:rsid w:val="001C232F"/>
    <w:rsid w:val="001C2544"/>
    <w:rsid w:val="001C2884"/>
    <w:rsid w:val="001C2A17"/>
    <w:rsid w:val="001C31F5"/>
    <w:rsid w:val="001C4962"/>
    <w:rsid w:val="001C537C"/>
    <w:rsid w:val="001C6047"/>
    <w:rsid w:val="001C6698"/>
    <w:rsid w:val="001C6C5B"/>
    <w:rsid w:val="001C6F7D"/>
    <w:rsid w:val="001C7399"/>
    <w:rsid w:val="001C7C5F"/>
    <w:rsid w:val="001C7CE0"/>
    <w:rsid w:val="001D005B"/>
    <w:rsid w:val="001D0947"/>
    <w:rsid w:val="001D0DF7"/>
    <w:rsid w:val="001D16F5"/>
    <w:rsid w:val="001D1970"/>
    <w:rsid w:val="001D1D55"/>
    <w:rsid w:val="001D21EF"/>
    <w:rsid w:val="001D29A4"/>
    <w:rsid w:val="001D2B73"/>
    <w:rsid w:val="001D3136"/>
    <w:rsid w:val="001D330D"/>
    <w:rsid w:val="001D4AB6"/>
    <w:rsid w:val="001D4AD3"/>
    <w:rsid w:val="001D5281"/>
    <w:rsid w:val="001D54EE"/>
    <w:rsid w:val="001D6E1E"/>
    <w:rsid w:val="001E17E3"/>
    <w:rsid w:val="001E2052"/>
    <w:rsid w:val="001E2492"/>
    <w:rsid w:val="001E257C"/>
    <w:rsid w:val="001E286C"/>
    <w:rsid w:val="001E28DF"/>
    <w:rsid w:val="001E2B44"/>
    <w:rsid w:val="001E2F34"/>
    <w:rsid w:val="001E35EE"/>
    <w:rsid w:val="001E4B2C"/>
    <w:rsid w:val="001E507F"/>
    <w:rsid w:val="001E56C2"/>
    <w:rsid w:val="001E59FB"/>
    <w:rsid w:val="001E6665"/>
    <w:rsid w:val="001E7F81"/>
    <w:rsid w:val="001F0361"/>
    <w:rsid w:val="001F0FD1"/>
    <w:rsid w:val="001F1526"/>
    <w:rsid w:val="001F19D1"/>
    <w:rsid w:val="001F1CB9"/>
    <w:rsid w:val="001F1F18"/>
    <w:rsid w:val="001F2F92"/>
    <w:rsid w:val="001F3712"/>
    <w:rsid w:val="001F3A4E"/>
    <w:rsid w:val="001F41F3"/>
    <w:rsid w:val="001F5330"/>
    <w:rsid w:val="001F5DA1"/>
    <w:rsid w:val="001F612E"/>
    <w:rsid w:val="001F6A92"/>
    <w:rsid w:val="001F77E8"/>
    <w:rsid w:val="0020022C"/>
    <w:rsid w:val="00200B55"/>
    <w:rsid w:val="00200C64"/>
    <w:rsid w:val="00201647"/>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42A"/>
    <w:rsid w:val="00207B46"/>
    <w:rsid w:val="00210943"/>
    <w:rsid w:val="00210B9C"/>
    <w:rsid w:val="00211185"/>
    <w:rsid w:val="00211A94"/>
    <w:rsid w:val="002126F2"/>
    <w:rsid w:val="00213478"/>
    <w:rsid w:val="00214028"/>
    <w:rsid w:val="002141C3"/>
    <w:rsid w:val="002141DC"/>
    <w:rsid w:val="0021440C"/>
    <w:rsid w:val="00214479"/>
    <w:rsid w:val="002144F3"/>
    <w:rsid w:val="002146C3"/>
    <w:rsid w:val="00214A9B"/>
    <w:rsid w:val="00215334"/>
    <w:rsid w:val="00215514"/>
    <w:rsid w:val="00215A2A"/>
    <w:rsid w:val="00215A3F"/>
    <w:rsid w:val="00215D21"/>
    <w:rsid w:val="0021636B"/>
    <w:rsid w:val="00216387"/>
    <w:rsid w:val="00216E7B"/>
    <w:rsid w:val="002170A1"/>
    <w:rsid w:val="00217A7A"/>
    <w:rsid w:val="00217DEF"/>
    <w:rsid w:val="00217E1F"/>
    <w:rsid w:val="00220274"/>
    <w:rsid w:val="002204BC"/>
    <w:rsid w:val="00220F7B"/>
    <w:rsid w:val="002213CE"/>
    <w:rsid w:val="00221AF7"/>
    <w:rsid w:val="00222494"/>
    <w:rsid w:val="00222775"/>
    <w:rsid w:val="00222A31"/>
    <w:rsid w:val="00222CF6"/>
    <w:rsid w:val="00223072"/>
    <w:rsid w:val="00224037"/>
    <w:rsid w:val="002244E4"/>
    <w:rsid w:val="00224586"/>
    <w:rsid w:val="00224D2A"/>
    <w:rsid w:val="00224D8D"/>
    <w:rsid w:val="0022555A"/>
    <w:rsid w:val="00225E6B"/>
    <w:rsid w:val="00227214"/>
    <w:rsid w:val="00227532"/>
    <w:rsid w:val="00227DDC"/>
    <w:rsid w:val="0023079F"/>
    <w:rsid w:val="00231135"/>
    <w:rsid w:val="00231B0B"/>
    <w:rsid w:val="00231D18"/>
    <w:rsid w:val="00231F4E"/>
    <w:rsid w:val="00232555"/>
    <w:rsid w:val="00232CB6"/>
    <w:rsid w:val="00233538"/>
    <w:rsid w:val="00234248"/>
    <w:rsid w:val="0023449F"/>
    <w:rsid w:val="002344F5"/>
    <w:rsid w:val="0023454D"/>
    <w:rsid w:val="00234679"/>
    <w:rsid w:val="00234D3E"/>
    <w:rsid w:val="002351C2"/>
    <w:rsid w:val="002359FC"/>
    <w:rsid w:val="002361C8"/>
    <w:rsid w:val="00236690"/>
    <w:rsid w:val="0023669D"/>
    <w:rsid w:val="002367EC"/>
    <w:rsid w:val="00237364"/>
    <w:rsid w:val="00237EAE"/>
    <w:rsid w:val="00237FA2"/>
    <w:rsid w:val="002403D5"/>
    <w:rsid w:val="00240C1F"/>
    <w:rsid w:val="00240F55"/>
    <w:rsid w:val="00240F67"/>
    <w:rsid w:val="00241144"/>
    <w:rsid w:val="00241427"/>
    <w:rsid w:val="00242510"/>
    <w:rsid w:val="00242F79"/>
    <w:rsid w:val="0024415B"/>
    <w:rsid w:val="00244E18"/>
    <w:rsid w:val="00245565"/>
    <w:rsid w:val="002458C1"/>
    <w:rsid w:val="00245E62"/>
    <w:rsid w:val="002460D0"/>
    <w:rsid w:val="00246168"/>
    <w:rsid w:val="00246357"/>
    <w:rsid w:val="00247422"/>
    <w:rsid w:val="00247BA2"/>
    <w:rsid w:val="00247E88"/>
    <w:rsid w:val="002507B0"/>
    <w:rsid w:val="00250870"/>
    <w:rsid w:val="0025151C"/>
    <w:rsid w:val="0025184F"/>
    <w:rsid w:val="00251967"/>
    <w:rsid w:val="002527CC"/>
    <w:rsid w:val="00252F48"/>
    <w:rsid w:val="002530C0"/>
    <w:rsid w:val="00253586"/>
    <w:rsid w:val="002537FC"/>
    <w:rsid w:val="002542F8"/>
    <w:rsid w:val="002543EF"/>
    <w:rsid w:val="00254F2A"/>
    <w:rsid w:val="00255272"/>
    <w:rsid w:val="00255784"/>
    <w:rsid w:val="00255A29"/>
    <w:rsid w:val="0025631F"/>
    <w:rsid w:val="00256986"/>
    <w:rsid w:val="00256D61"/>
    <w:rsid w:val="00256E23"/>
    <w:rsid w:val="00257246"/>
    <w:rsid w:val="00257438"/>
    <w:rsid w:val="0026119C"/>
    <w:rsid w:val="00261AFE"/>
    <w:rsid w:val="0026212A"/>
    <w:rsid w:val="002621D7"/>
    <w:rsid w:val="00262996"/>
    <w:rsid w:val="00262D66"/>
    <w:rsid w:val="00263044"/>
    <w:rsid w:val="00263759"/>
    <w:rsid w:val="002638BD"/>
    <w:rsid w:val="0026470B"/>
    <w:rsid w:val="0026486D"/>
    <w:rsid w:val="00264C4B"/>
    <w:rsid w:val="00264ED0"/>
    <w:rsid w:val="00265346"/>
    <w:rsid w:val="00266045"/>
    <w:rsid w:val="002660C3"/>
    <w:rsid w:val="00266C21"/>
    <w:rsid w:val="00266DE1"/>
    <w:rsid w:val="00267887"/>
    <w:rsid w:val="00267A92"/>
    <w:rsid w:val="00267E43"/>
    <w:rsid w:val="00270282"/>
    <w:rsid w:val="0027062F"/>
    <w:rsid w:val="00270780"/>
    <w:rsid w:val="00270CF6"/>
    <w:rsid w:val="00271097"/>
    <w:rsid w:val="002719FA"/>
    <w:rsid w:val="00271C53"/>
    <w:rsid w:val="0027244F"/>
    <w:rsid w:val="00273052"/>
    <w:rsid w:val="002739CE"/>
    <w:rsid w:val="00273C5F"/>
    <w:rsid w:val="002741D4"/>
    <w:rsid w:val="002743AC"/>
    <w:rsid w:val="0027499D"/>
    <w:rsid w:val="002751CA"/>
    <w:rsid w:val="0027544D"/>
    <w:rsid w:val="00276D5C"/>
    <w:rsid w:val="00277196"/>
    <w:rsid w:val="002775ED"/>
    <w:rsid w:val="002778AB"/>
    <w:rsid w:val="00277A1C"/>
    <w:rsid w:val="002802A5"/>
    <w:rsid w:val="00280CFB"/>
    <w:rsid w:val="00280D24"/>
    <w:rsid w:val="002815C4"/>
    <w:rsid w:val="00281BCB"/>
    <w:rsid w:val="00281C76"/>
    <w:rsid w:val="002821E2"/>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2E9"/>
    <w:rsid w:val="00292AA1"/>
    <w:rsid w:val="00293748"/>
    <w:rsid w:val="00294012"/>
    <w:rsid w:val="002945B0"/>
    <w:rsid w:val="0029499D"/>
    <w:rsid w:val="00294A13"/>
    <w:rsid w:val="00294B10"/>
    <w:rsid w:val="00294DF9"/>
    <w:rsid w:val="00295073"/>
    <w:rsid w:val="00295468"/>
    <w:rsid w:val="0029680C"/>
    <w:rsid w:val="00296C32"/>
    <w:rsid w:val="002977CE"/>
    <w:rsid w:val="00297A66"/>
    <w:rsid w:val="00297AF5"/>
    <w:rsid w:val="002A02D6"/>
    <w:rsid w:val="002A07C4"/>
    <w:rsid w:val="002A0921"/>
    <w:rsid w:val="002A0CB3"/>
    <w:rsid w:val="002A1887"/>
    <w:rsid w:val="002A2001"/>
    <w:rsid w:val="002A205F"/>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6FC1"/>
    <w:rsid w:val="002A7748"/>
    <w:rsid w:val="002A7ED3"/>
    <w:rsid w:val="002A7FB1"/>
    <w:rsid w:val="002A7FC9"/>
    <w:rsid w:val="002B137D"/>
    <w:rsid w:val="002B139C"/>
    <w:rsid w:val="002B1881"/>
    <w:rsid w:val="002B1F61"/>
    <w:rsid w:val="002B2070"/>
    <w:rsid w:val="002B2906"/>
    <w:rsid w:val="002B2C66"/>
    <w:rsid w:val="002B34E3"/>
    <w:rsid w:val="002B4F44"/>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8E9"/>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4F69"/>
    <w:rsid w:val="002D5AAD"/>
    <w:rsid w:val="002D5DA3"/>
    <w:rsid w:val="002D6097"/>
    <w:rsid w:val="002D65AD"/>
    <w:rsid w:val="002D6782"/>
    <w:rsid w:val="002D74A4"/>
    <w:rsid w:val="002D7C9C"/>
    <w:rsid w:val="002D7D99"/>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CA"/>
    <w:rsid w:val="002E37C5"/>
    <w:rsid w:val="002E3956"/>
    <w:rsid w:val="002E3C08"/>
    <w:rsid w:val="002E3CF2"/>
    <w:rsid w:val="002E469E"/>
    <w:rsid w:val="002E4C01"/>
    <w:rsid w:val="002E4D50"/>
    <w:rsid w:val="002E4DBC"/>
    <w:rsid w:val="002E55FF"/>
    <w:rsid w:val="002E587E"/>
    <w:rsid w:val="002E5B3A"/>
    <w:rsid w:val="002E5BDA"/>
    <w:rsid w:val="002E672A"/>
    <w:rsid w:val="002E6853"/>
    <w:rsid w:val="002E7EC1"/>
    <w:rsid w:val="002E7EE5"/>
    <w:rsid w:val="002F0323"/>
    <w:rsid w:val="002F0325"/>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129"/>
    <w:rsid w:val="002F7DF0"/>
    <w:rsid w:val="002F7FAF"/>
    <w:rsid w:val="00300573"/>
    <w:rsid w:val="003018A6"/>
    <w:rsid w:val="00301B79"/>
    <w:rsid w:val="003025FE"/>
    <w:rsid w:val="00302A27"/>
    <w:rsid w:val="00303AB6"/>
    <w:rsid w:val="00304640"/>
    <w:rsid w:val="00304AC1"/>
    <w:rsid w:val="00304C93"/>
    <w:rsid w:val="00305090"/>
    <w:rsid w:val="00305454"/>
    <w:rsid w:val="00305B9F"/>
    <w:rsid w:val="00305E21"/>
    <w:rsid w:val="003066C6"/>
    <w:rsid w:val="003066FA"/>
    <w:rsid w:val="00306AD6"/>
    <w:rsid w:val="003077F4"/>
    <w:rsid w:val="00307DC7"/>
    <w:rsid w:val="00307FF2"/>
    <w:rsid w:val="00310002"/>
    <w:rsid w:val="00310EDB"/>
    <w:rsid w:val="0031106F"/>
    <w:rsid w:val="00311C51"/>
    <w:rsid w:val="00311D56"/>
    <w:rsid w:val="00312016"/>
    <w:rsid w:val="00312340"/>
    <w:rsid w:val="00312DFC"/>
    <w:rsid w:val="0031318C"/>
    <w:rsid w:val="00313C9D"/>
    <w:rsid w:val="00313DF8"/>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51F"/>
    <w:rsid w:val="00324951"/>
    <w:rsid w:val="003249F6"/>
    <w:rsid w:val="00324B2F"/>
    <w:rsid w:val="0032589D"/>
    <w:rsid w:val="00325FCC"/>
    <w:rsid w:val="00326106"/>
    <w:rsid w:val="00326805"/>
    <w:rsid w:val="003269B7"/>
    <w:rsid w:val="00326C0E"/>
    <w:rsid w:val="003272A3"/>
    <w:rsid w:val="003272E4"/>
    <w:rsid w:val="00327B71"/>
    <w:rsid w:val="003303ED"/>
    <w:rsid w:val="00330A0F"/>
    <w:rsid w:val="00331461"/>
    <w:rsid w:val="003316A8"/>
    <w:rsid w:val="00331C80"/>
    <w:rsid w:val="00331CC9"/>
    <w:rsid w:val="003320D7"/>
    <w:rsid w:val="00332265"/>
    <w:rsid w:val="003322F8"/>
    <w:rsid w:val="003325D3"/>
    <w:rsid w:val="00332862"/>
    <w:rsid w:val="00332BFF"/>
    <w:rsid w:val="00332D52"/>
    <w:rsid w:val="00333337"/>
    <w:rsid w:val="00333A28"/>
    <w:rsid w:val="00333B6C"/>
    <w:rsid w:val="0033404C"/>
    <w:rsid w:val="00334927"/>
    <w:rsid w:val="003360AD"/>
    <w:rsid w:val="0033631D"/>
    <w:rsid w:val="003369C7"/>
    <w:rsid w:val="003373A6"/>
    <w:rsid w:val="00337409"/>
    <w:rsid w:val="0033792A"/>
    <w:rsid w:val="00337E18"/>
    <w:rsid w:val="003405AF"/>
    <w:rsid w:val="0034088F"/>
    <w:rsid w:val="00340B3E"/>
    <w:rsid w:val="00340E1A"/>
    <w:rsid w:val="003413D2"/>
    <w:rsid w:val="00341525"/>
    <w:rsid w:val="0034257E"/>
    <w:rsid w:val="00342811"/>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550"/>
    <w:rsid w:val="003577EF"/>
    <w:rsid w:val="00357A3A"/>
    <w:rsid w:val="00357A60"/>
    <w:rsid w:val="00360304"/>
    <w:rsid w:val="00360A78"/>
    <w:rsid w:val="00361750"/>
    <w:rsid w:val="00362DE8"/>
    <w:rsid w:val="00363573"/>
    <w:rsid w:val="00363894"/>
    <w:rsid w:val="00363B2A"/>
    <w:rsid w:val="00363BF1"/>
    <w:rsid w:val="00363D45"/>
    <w:rsid w:val="00366779"/>
    <w:rsid w:val="003668E5"/>
    <w:rsid w:val="003669C8"/>
    <w:rsid w:val="00366CEB"/>
    <w:rsid w:val="003672B3"/>
    <w:rsid w:val="003676DF"/>
    <w:rsid w:val="00367783"/>
    <w:rsid w:val="00367898"/>
    <w:rsid w:val="003679D3"/>
    <w:rsid w:val="00367A87"/>
    <w:rsid w:val="00367EE7"/>
    <w:rsid w:val="00367F42"/>
    <w:rsid w:val="003703BB"/>
    <w:rsid w:val="003705EA"/>
    <w:rsid w:val="00370A56"/>
    <w:rsid w:val="00371213"/>
    <w:rsid w:val="003717BB"/>
    <w:rsid w:val="00372842"/>
    <w:rsid w:val="003729A5"/>
    <w:rsid w:val="00372C89"/>
    <w:rsid w:val="00372E9A"/>
    <w:rsid w:val="003735B9"/>
    <w:rsid w:val="00373634"/>
    <w:rsid w:val="00373B6E"/>
    <w:rsid w:val="00374677"/>
    <w:rsid w:val="0037510C"/>
    <w:rsid w:val="00375850"/>
    <w:rsid w:val="0037632F"/>
    <w:rsid w:val="00377B26"/>
    <w:rsid w:val="00380658"/>
    <w:rsid w:val="00381014"/>
    <w:rsid w:val="003811E0"/>
    <w:rsid w:val="00381604"/>
    <w:rsid w:val="00381B67"/>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4EA"/>
    <w:rsid w:val="00392E35"/>
    <w:rsid w:val="00393157"/>
    <w:rsid w:val="00393247"/>
    <w:rsid w:val="00393551"/>
    <w:rsid w:val="00393816"/>
    <w:rsid w:val="00393FCD"/>
    <w:rsid w:val="003944EA"/>
    <w:rsid w:val="00394639"/>
    <w:rsid w:val="00394DF6"/>
    <w:rsid w:val="00394EC6"/>
    <w:rsid w:val="00395A02"/>
    <w:rsid w:val="00395B36"/>
    <w:rsid w:val="00395CD9"/>
    <w:rsid w:val="003962E6"/>
    <w:rsid w:val="00396831"/>
    <w:rsid w:val="003971A1"/>
    <w:rsid w:val="003A03B8"/>
    <w:rsid w:val="003A0F6B"/>
    <w:rsid w:val="003A12B6"/>
    <w:rsid w:val="003A1804"/>
    <w:rsid w:val="003A1C44"/>
    <w:rsid w:val="003A20D5"/>
    <w:rsid w:val="003A24CC"/>
    <w:rsid w:val="003A2512"/>
    <w:rsid w:val="003A2A53"/>
    <w:rsid w:val="003A2EE8"/>
    <w:rsid w:val="003A3249"/>
    <w:rsid w:val="003A373C"/>
    <w:rsid w:val="003A5378"/>
    <w:rsid w:val="003A553C"/>
    <w:rsid w:val="003A56DF"/>
    <w:rsid w:val="003A6008"/>
    <w:rsid w:val="003A703F"/>
    <w:rsid w:val="003A76BD"/>
    <w:rsid w:val="003A7E2B"/>
    <w:rsid w:val="003A7E40"/>
    <w:rsid w:val="003B0336"/>
    <w:rsid w:val="003B0A3A"/>
    <w:rsid w:val="003B0A6B"/>
    <w:rsid w:val="003B0D79"/>
    <w:rsid w:val="003B18C5"/>
    <w:rsid w:val="003B2930"/>
    <w:rsid w:val="003B31A7"/>
    <w:rsid w:val="003B3A29"/>
    <w:rsid w:val="003B4587"/>
    <w:rsid w:val="003B4B51"/>
    <w:rsid w:val="003B4FE1"/>
    <w:rsid w:val="003B514E"/>
    <w:rsid w:val="003B5228"/>
    <w:rsid w:val="003B5531"/>
    <w:rsid w:val="003B636A"/>
    <w:rsid w:val="003B64A2"/>
    <w:rsid w:val="003B678E"/>
    <w:rsid w:val="003B69CE"/>
    <w:rsid w:val="003B7403"/>
    <w:rsid w:val="003B7C3C"/>
    <w:rsid w:val="003C011C"/>
    <w:rsid w:val="003C0BF8"/>
    <w:rsid w:val="003C0E32"/>
    <w:rsid w:val="003C11D7"/>
    <w:rsid w:val="003C126B"/>
    <w:rsid w:val="003C141F"/>
    <w:rsid w:val="003C16CB"/>
    <w:rsid w:val="003C1B97"/>
    <w:rsid w:val="003C247B"/>
    <w:rsid w:val="003C3292"/>
    <w:rsid w:val="003C3525"/>
    <w:rsid w:val="003C3C1E"/>
    <w:rsid w:val="003C3D88"/>
    <w:rsid w:val="003C4134"/>
    <w:rsid w:val="003C435B"/>
    <w:rsid w:val="003C4C8E"/>
    <w:rsid w:val="003C4EBE"/>
    <w:rsid w:val="003C5887"/>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A13"/>
    <w:rsid w:val="003D2DA0"/>
    <w:rsid w:val="003D34C3"/>
    <w:rsid w:val="003D3A35"/>
    <w:rsid w:val="003D3D83"/>
    <w:rsid w:val="003D4685"/>
    <w:rsid w:val="003D4A41"/>
    <w:rsid w:val="003D4CDF"/>
    <w:rsid w:val="003D514A"/>
    <w:rsid w:val="003D5484"/>
    <w:rsid w:val="003D5ADB"/>
    <w:rsid w:val="003D6202"/>
    <w:rsid w:val="003D6448"/>
    <w:rsid w:val="003D646C"/>
    <w:rsid w:val="003D663E"/>
    <w:rsid w:val="003D664B"/>
    <w:rsid w:val="003D6793"/>
    <w:rsid w:val="003D6B03"/>
    <w:rsid w:val="003D75D8"/>
    <w:rsid w:val="003E006E"/>
    <w:rsid w:val="003E0947"/>
    <w:rsid w:val="003E0E96"/>
    <w:rsid w:val="003E16B9"/>
    <w:rsid w:val="003E20F7"/>
    <w:rsid w:val="003E336A"/>
    <w:rsid w:val="003E3E2F"/>
    <w:rsid w:val="003E4048"/>
    <w:rsid w:val="003E4CE5"/>
    <w:rsid w:val="003E5A46"/>
    <w:rsid w:val="003E604C"/>
    <w:rsid w:val="003E60DA"/>
    <w:rsid w:val="003E6E00"/>
    <w:rsid w:val="003E7111"/>
    <w:rsid w:val="003E7940"/>
    <w:rsid w:val="003F01BD"/>
    <w:rsid w:val="003F0486"/>
    <w:rsid w:val="003F048E"/>
    <w:rsid w:val="003F09FA"/>
    <w:rsid w:val="003F0AFF"/>
    <w:rsid w:val="003F175C"/>
    <w:rsid w:val="003F1AA2"/>
    <w:rsid w:val="003F26DC"/>
    <w:rsid w:val="003F292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3B06"/>
    <w:rsid w:val="004041FB"/>
    <w:rsid w:val="0040443E"/>
    <w:rsid w:val="004056B6"/>
    <w:rsid w:val="00405764"/>
    <w:rsid w:val="00405AA4"/>
    <w:rsid w:val="00406745"/>
    <w:rsid w:val="0040674B"/>
    <w:rsid w:val="00406B32"/>
    <w:rsid w:val="00406DD3"/>
    <w:rsid w:val="004074AD"/>
    <w:rsid w:val="004074FA"/>
    <w:rsid w:val="00407A56"/>
    <w:rsid w:val="00407FCC"/>
    <w:rsid w:val="0041035A"/>
    <w:rsid w:val="00410E76"/>
    <w:rsid w:val="004112D1"/>
    <w:rsid w:val="004113C9"/>
    <w:rsid w:val="00411D1E"/>
    <w:rsid w:val="00411DF2"/>
    <w:rsid w:val="004120DF"/>
    <w:rsid w:val="004126B5"/>
    <w:rsid w:val="00413FEE"/>
    <w:rsid w:val="00414512"/>
    <w:rsid w:val="00414909"/>
    <w:rsid w:val="00414D7A"/>
    <w:rsid w:val="00415034"/>
    <w:rsid w:val="00415B1A"/>
    <w:rsid w:val="00415DFD"/>
    <w:rsid w:val="00416208"/>
    <w:rsid w:val="0041690F"/>
    <w:rsid w:val="004169D3"/>
    <w:rsid w:val="00416C2B"/>
    <w:rsid w:val="00416D41"/>
    <w:rsid w:val="00416E70"/>
    <w:rsid w:val="00417264"/>
    <w:rsid w:val="00417490"/>
    <w:rsid w:val="004210C0"/>
    <w:rsid w:val="004211DD"/>
    <w:rsid w:val="00421762"/>
    <w:rsid w:val="00421D4B"/>
    <w:rsid w:val="00421ED8"/>
    <w:rsid w:val="00422907"/>
    <w:rsid w:val="00423125"/>
    <w:rsid w:val="00423309"/>
    <w:rsid w:val="004233AD"/>
    <w:rsid w:val="0042372C"/>
    <w:rsid w:val="00424446"/>
    <w:rsid w:val="00424867"/>
    <w:rsid w:val="00425341"/>
    <w:rsid w:val="004255FE"/>
    <w:rsid w:val="00425674"/>
    <w:rsid w:val="004259A5"/>
    <w:rsid w:val="00425A82"/>
    <w:rsid w:val="00425C60"/>
    <w:rsid w:val="00426B2C"/>
    <w:rsid w:val="00427D10"/>
    <w:rsid w:val="00427FA8"/>
    <w:rsid w:val="0043009D"/>
    <w:rsid w:val="0043026B"/>
    <w:rsid w:val="00430299"/>
    <w:rsid w:val="004306D4"/>
    <w:rsid w:val="00431810"/>
    <w:rsid w:val="00431A2A"/>
    <w:rsid w:val="00431C62"/>
    <w:rsid w:val="00432ECA"/>
    <w:rsid w:val="00433B43"/>
    <w:rsid w:val="004341AF"/>
    <w:rsid w:val="0043554E"/>
    <w:rsid w:val="004355D4"/>
    <w:rsid w:val="004357B1"/>
    <w:rsid w:val="00435821"/>
    <w:rsid w:val="0043583E"/>
    <w:rsid w:val="00436CCE"/>
    <w:rsid w:val="00436EAD"/>
    <w:rsid w:val="00437439"/>
    <w:rsid w:val="004375E1"/>
    <w:rsid w:val="00437730"/>
    <w:rsid w:val="00437A2F"/>
    <w:rsid w:val="00437B38"/>
    <w:rsid w:val="00440262"/>
    <w:rsid w:val="004406BF"/>
    <w:rsid w:val="00440814"/>
    <w:rsid w:val="00440D68"/>
    <w:rsid w:val="0044105D"/>
    <w:rsid w:val="00441424"/>
    <w:rsid w:val="00442731"/>
    <w:rsid w:val="00442C12"/>
    <w:rsid w:val="004434DF"/>
    <w:rsid w:val="0044354B"/>
    <w:rsid w:val="0044455F"/>
    <w:rsid w:val="0044493E"/>
    <w:rsid w:val="00444A1F"/>
    <w:rsid w:val="00444FC6"/>
    <w:rsid w:val="00445004"/>
    <w:rsid w:val="00445874"/>
    <w:rsid w:val="00445C38"/>
    <w:rsid w:val="0044686B"/>
    <w:rsid w:val="004475F7"/>
    <w:rsid w:val="0045057B"/>
    <w:rsid w:val="0045069B"/>
    <w:rsid w:val="00450B22"/>
    <w:rsid w:val="004515DE"/>
    <w:rsid w:val="00451709"/>
    <w:rsid w:val="004518FA"/>
    <w:rsid w:val="00451A02"/>
    <w:rsid w:val="0045277C"/>
    <w:rsid w:val="004531DC"/>
    <w:rsid w:val="00453507"/>
    <w:rsid w:val="00453592"/>
    <w:rsid w:val="004543AB"/>
    <w:rsid w:val="004545EC"/>
    <w:rsid w:val="00455392"/>
    <w:rsid w:val="00455967"/>
    <w:rsid w:val="00455F71"/>
    <w:rsid w:val="00456272"/>
    <w:rsid w:val="0045679C"/>
    <w:rsid w:val="004570EF"/>
    <w:rsid w:val="004572D4"/>
    <w:rsid w:val="00457517"/>
    <w:rsid w:val="004579EC"/>
    <w:rsid w:val="00457CF7"/>
    <w:rsid w:val="00457D37"/>
    <w:rsid w:val="00457D7B"/>
    <w:rsid w:val="0046028A"/>
    <w:rsid w:val="00460CAC"/>
    <w:rsid w:val="00460E3A"/>
    <w:rsid w:val="00460E68"/>
    <w:rsid w:val="004614BC"/>
    <w:rsid w:val="004619A5"/>
    <w:rsid w:val="00461F80"/>
    <w:rsid w:val="0046240D"/>
    <w:rsid w:val="00462898"/>
    <w:rsid w:val="00462D5B"/>
    <w:rsid w:val="00462D81"/>
    <w:rsid w:val="00462D84"/>
    <w:rsid w:val="00463208"/>
    <w:rsid w:val="00463576"/>
    <w:rsid w:val="004636D6"/>
    <w:rsid w:val="0046374D"/>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4BF"/>
    <w:rsid w:val="0047471E"/>
    <w:rsid w:val="004749DA"/>
    <w:rsid w:val="00474DEF"/>
    <w:rsid w:val="00475729"/>
    <w:rsid w:val="004758E7"/>
    <w:rsid w:val="00475BAB"/>
    <w:rsid w:val="0047612F"/>
    <w:rsid w:val="004764C6"/>
    <w:rsid w:val="00476AC1"/>
    <w:rsid w:val="00476F97"/>
    <w:rsid w:val="00477247"/>
    <w:rsid w:val="004776BB"/>
    <w:rsid w:val="004776FB"/>
    <w:rsid w:val="0048055E"/>
    <w:rsid w:val="00480C2B"/>
    <w:rsid w:val="00480DC5"/>
    <w:rsid w:val="00480E1B"/>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77A"/>
    <w:rsid w:val="00494E90"/>
    <w:rsid w:val="00495380"/>
    <w:rsid w:val="00495553"/>
    <w:rsid w:val="0049570D"/>
    <w:rsid w:val="0049584D"/>
    <w:rsid w:val="00495C48"/>
    <w:rsid w:val="00495DC6"/>
    <w:rsid w:val="00496CCE"/>
    <w:rsid w:val="004978C1"/>
    <w:rsid w:val="00497AAD"/>
    <w:rsid w:val="00497BD7"/>
    <w:rsid w:val="00497D1A"/>
    <w:rsid w:val="004A00C9"/>
    <w:rsid w:val="004A03D0"/>
    <w:rsid w:val="004A1049"/>
    <w:rsid w:val="004A1AFA"/>
    <w:rsid w:val="004A1D81"/>
    <w:rsid w:val="004A1EA7"/>
    <w:rsid w:val="004A26F5"/>
    <w:rsid w:val="004A2EF8"/>
    <w:rsid w:val="004A3A21"/>
    <w:rsid w:val="004A407A"/>
    <w:rsid w:val="004A4E3B"/>
    <w:rsid w:val="004A6110"/>
    <w:rsid w:val="004A61B8"/>
    <w:rsid w:val="004A6415"/>
    <w:rsid w:val="004A64F9"/>
    <w:rsid w:val="004A65F4"/>
    <w:rsid w:val="004A6D2C"/>
    <w:rsid w:val="004A7733"/>
    <w:rsid w:val="004B026C"/>
    <w:rsid w:val="004B0271"/>
    <w:rsid w:val="004B0BE8"/>
    <w:rsid w:val="004B0E4A"/>
    <w:rsid w:val="004B18F4"/>
    <w:rsid w:val="004B1A98"/>
    <w:rsid w:val="004B2463"/>
    <w:rsid w:val="004B2E9D"/>
    <w:rsid w:val="004B305F"/>
    <w:rsid w:val="004B34C4"/>
    <w:rsid w:val="004B34E8"/>
    <w:rsid w:val="004B3981"/>
    <w:rsid w:val="004B3A03"/>
    <w:rsid w:val="004B3D51"/>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375C"/>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29"/>
    <w:rsid w:val="004D16A3"/>
    <w:rsid w:val="004D1934"/>
    <w:rsid w:val="004D199D"/>
    <w:rsid w:val="004D1E41"/>
    <w:rsid w:val="004D2326"/>
    <w:rsid w:val="004D2E11"/>
    <w:rsid w:val="004D3108"/>
    <w:rsid w:val="004D329C"/>
    <w:rsid w:val="004D34D1"/>
    <w:rsid w:val="004D4523"/>
    <w:rsid w:val="004D4990"/>
    <w:rsid w:val="004D4B05"/>
    <w:rsid w:val="004D51D6"/>
    <w:rsid w:val="004D5B4B"/>
    <w:rsid w:val="004D5CC4"/>
    <w:rsid w:val="004D6BF2"/>
    <w:rsid w:val="004D6F29"/>
    <w:rsid w:val="004D758F"/>
    <w:rsid w:val="004D76CF"/>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959"/>
    <w:rsid w:val="004E3A2A"/>
    <w:rsid w:val="004E3AB1"/>
    <w:rsid w:val="004E4003"/>
    <w:rsid w:val="004E428D"/>
    <w:rsid w:val="004E4626"/>
    <w:rsid w:val="004E4984"/>
    <w:rsid w:val="004E5101"/>
    <w:rsid w:val="004E5380"/>
    <w:rsid w:val="004E5D19"/>
    <w:rsid w:val="004E606D"/>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5F2F"/>
    <w:rsid w:val="004F60B4"/>
    <w:rsid w:val="004F61A3"/>
    <w:rsid w:val="004F6874"/>
    <w:rsid w:val="004F7922"/>
    <w:rsid w:val="004F7A1F"/>
    <w:rsid w:val="004F7B47"/>
    <w:rsid w:val="0050079C"/>
    <w:rsid w:val="0050106A"/>
    <w:rsid w:val="005010BC"/>
    <w:rsid w:val="00501848"/>
    <w:rsid w:val="00502B31"/>
    <w:rsid w:val="00502D6D"/>
    <w:rsid w:val="0050434C"/>
    <w:rsid w:val="0050537D"/>
    <w:rsid w:val="00505861"/>
    <w:rsid w:val="0050591C"/>
    <w:rsid w:val="00505935"/>
    <w:rsid w:val="005059BD"/>
    <w:rsid w:val="005060AE"/>
    <w:rsid w:val="005061D2"/>
    <w:rsid w:val="0050790B"/>
    <w:rsid w:val="00507FDF"/>
    <w:rsid w:val="0051037C"/>
    <w:rsid w:val="0051050F"/>
    <w:rsid w:val="0051058B"/>
    <w:rsid w:val="005105CD"/>
    <w:rsid w:val="00510734"/>
    <w:rsid w:val="00510DDC"/>
    <w:rsid w:val="00511166"/>
    <w:rsid w:val="00511A7A"/>
    <w:rsid w:val="00512217"/>
    <w:rsid w:val="00512459"/>
    <w:rsid w:val="005131A2"/>
    <w:rsid w:val="005137E4"/>
    <w:rsid w:val="00513BB9"/>
    <w:rsid w:val="0051440E"/>
    <w:rsid w:val="00514480"/>
    <w:rsid w:val="005147C4"/>
    <w:rsid w:val="005148CD"/>
    <w:rsid w:val="00515180"/>
    <w:rsid w:val="00515973"/>
    <w:rsid w:val="00516069"/>
    <w:rsid w:val="00517AC8"/>
    <w:rsid w:val="00517C3E"/>
    <w:rsid w:val="005207D8"/>
    <w:rsid w:val="0052091D"/>
    <w:rsid w:val="005212F4"/>
    <w:rsid w:val="005216A3"/>
    <w:rsid w:val="00521908"/>
    <w:rsid w:val="00521CEE"/>
    <w:rsid w:val="005224BC"/>
    <w:rsid w:val="00522928"/>
    <w:rsid w:val="00522FF1"/>
    <w:rsid w:val="00523946"/>
    <w:rsid w:val="0052397A"/>
    <w:rsid w:val="00524A6A"/>
    <w:rsid w:val="0052527E"/>
    <w:rsid w:val="005256D6"/>
    <w:rsid w:val="00525AD8"/>
    <w:rsid w:val="00526429"/>
    <w:rsid w:val="005266C1"/>
    <w:rsid w:val="005267F4"/>
    <w:rsid w:val="00526966"/>
    <w:rsid w:val="005269D3"/>
    <w:rsid w:val="00527317"/>
    <w:rsid w:val="00527ED6"/>
    <w:rsid w:val="0053024F"/>
    <w:rsid w:val="005303E9"/>
    <w:rsid w:val="005309F7"/>
    <w:rsid w:val="00531064"/>
    <w:rsid w:val="005312CB"/>
    <w:rsid w:val="005313B2"/>
    <w:rsid w:val="00531911"/>
    <w:rsid w:val="00531E92"/>
    <w:rsid w:val="005323A7"/>
    <w:rsid w:val="005324D7"/>
    <w:rsid w:val="005326F0"/>
    <w:rsid w:val="00532764"/>
    <w:rsid w:val="00532AA5"/>
    <w:rsid w:val="00532C5F"/>
    <w:rsid w:val="00533233"/>
    <w:rsid w:val="005335A2"/>
    <w:rsid w:val="00533D13"/>
    <w:rsid w:val="00533DEC"/>
    <w:rsid w:val="00534026"/>
    <w:rsid w:val="00534D55"/>
    <w:rsid w:val="00535B53"/>
    <w:rsid w:val="00536B03"/>
    <w:rsid w:val="005371D5"/>
    <w:rsid w:val="00537456"/>
    <w:rsid w:val="0053790C"/>
    <w:rsid w:val="00537974"/>
    <w:rsid w:val="00537B3D"/>
    <w:rsid w:val="00540401"/>
    <w:rsid w:val="005405B2"/>
    <w:rsid w:val="0054076A"/>
    <w:rsid w:val="00540D47"/>
    <w:rsid w:val="00540EE7"/>
    <w:rsid w:val="00541A22"/>
    <w:rsid w:val="00541EAD"/>
    <w:rsid w:val="005424C2"/>
    <w:rsid w:val="005426B2"/>
    <w:rsid w:val="00543519"/>
    <w:rsid w:val="00543640"/>
    <w:rsid w:val="00544019"/>
    <w:rsid w:val="0054442E"/>
    <w:rsid w:val="005444C6"/>
    <w:rsid w:val="00544BF9"/>
    <w:rsid w:val="00544F05"/>
    <w:rsid w:val="00544FCC"/>
    <w:rsid w:val="005454B8"/>
    <w:rsid w:val="005455BB"/>
    <w:rsid w:val="00545ACB"/>
    <w:rsid w:val="00545DB9"/>
    <w:rsid w:val="005461BC"/>
    <w:rsid w:val="005462ED"/>
    <w:rsid w:val="00546585"/>
    <w:rsid w:val="0054680A"/>
    <w:rsid w:val="00546A91"/>
    <w:rsid w:val="00546BF8"/>
    <w:rsid w:val="00547344"/>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D45"/>
    <w:rsid w:val="00557F87"/>
    <w:rsid w:val="00560FCB"/>
    <w:rsid w:val="00561001"/>
    <w:rsid w:val="0056111C"/>
    <w:rsid w:val="00561140"/>
    <w:rsid w:val="00561412"/>
    <w:rsid w:val="00561903"/>
    <w:rsid w:val="00561A9B"/>
    <w:rsid w:val="00561E54"/>
    <w:rsid w:val="00561F73"/>
    <w:rsid w:val="005621F7"/>
    <w:rsid w:val="0056278F"/>
    <w:rsid w:val="00562C8D"/>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F95"/>
    <w:rsid w:val="0057200B"/>
    <w:rsid w:val="00572297"/>
    <w:rsid w:val="0057345D"/>
    <w:rsid w:val="0057347D"/>
    <w:rsid w:val="00573560"/>
    <w:rsid w:val="005738BB"/>
    <w:rsid w:val="00573973"/>
    <w:rsid w:val="00574E7B"/>
    <w:rsid w:val="00574F36"/>
    <w:rsid w:val="0057516C"/>
    <w:rsid w:val="00575D4C"/>
    <w:rsid w:val="00576B5C"/>
    <w:rsid w:val="005770CC"/>
    <w:rsid w:val="00577A60"/>
    <w:rsid w:val="005802F9"/>
    <w:rsid w:val="005806D5"/>
    <w:rsid w:val="00580DFC"/>
    <w:rsid w:val="0058134C"/>
    <w:rsid w:val="005813D4"/>
    <w:rsid w:val="005815CD"/>
    <w:rsid w:val="0058173F"/>
    <w:rsid w:val="005827A7"/>
    <w:rsid w:val="005828CB"/>
    <w:rsid w:val="00583D43"/>
    <w:rsid w:val="005846C3"/>
    <w:rsid w:val="00584C8E"/>
    <w:rsid w:val="00584F04"/>
    <w:rsid w:val="0058544C"/>
    <w:rsid w:val="00585623"/>
    <w:rsid w:val="005857F7"/>
    <w:rsid w:val="0058652B"/>
    <w:rsid w:val="005865E9"/>
    <w:rsid w:val="005868FD"/>
    <w:rsid w:val="00587411"/>
    <w:rsid w:val="0058769F"/>
    <w:rsid w:val="00587D7B"/>
    <w:rsid w:val="005904DB"/>
    <w:rsid w:val="005905ED"/>
    <w:rsid w:val="00590D11"/>
    <w:rsid w:val="00591BA6"/>
    <w:rsid w:val="00592825"/>
    <w:rsid w:val="00594437"/>
    <w:rsid w:val="00594B70"/>
    <w:rsid w:val="00594D62"/>
    <w:rsid w:val="00596CFA"/>
    <w:rsid w:val="00596EC6"/>
    <w:rsid w:val="00596F83"/>
    <w:rsid w:val="005975CE"/>
    <w:rsid w:val="005A0088"/>
    <w:rsid w:val="005A04F6"/>
    <w:rsid w:val="005A0C74"/>
    <w:rsid w:val="005A14F0"/>
    <w:rsid w:val="005A1861"/>
    <w:rsid w:val="005A1A31"/>
    <w:rsid w:val="005A243F"/>
    <w:rsid w:val="005A2520"/>
    <w:rsid w:val="005A29A5"/>
    <w:rsid w:val="005A2C93"/>
    <w:rsid w:val="005A3287"/>
    <w:rsid w:val="005A361D"/>
    <w:rsid w:val="005A36C2"/>
    <w:rsid w:val="005A3719"/>
    <w:rsid w:val="005A3A94"/>
    <w:rsid w:val="005A3DD7"/>
    <w:rsid w:val="005A40FA"/>
    <w:rsid w:val="005A4C20"/>
    <w:rsid w:val="005A4F48"/>
    <w:rsid w:val="005A54F1"/>
    <w:rsid w:val="005A57B8"/>
    <w:rsid w:val="005A5DDE"/>
    <w:rsid w:val="005A64A8"/>
    <w:rsid w:val="005A65C5"/>
    <w:rsid w:val="005A682A"/>
    <w:rsid w:val="005A6875"/>
    <w:rsid w:val="005A6A95"/>
    <w:rsid w:val="005A7016"/>
    <w:rsid w:val="005A7703"/>
    <w:rsid w:val="005A7A32"/>
    <w:rsid w:val="005A7F85"/>
    <w:rsid w:val="005B00DD"/>
    <w:rsid w:val="005B03B1"/>
    <w:rsid w:val="005B07D5"/>
    <w:rsid w:val="005B1A8A"/>
    <w:rsid w:val="005B1AAB"/>
    <w:rsid w:val="005B208A"/>
    <w:rsid w:val="005B2578"/>
    <w:rsid w:val="005B2930"/>
    <w:rsid w:val="005B2B87"/>
    <w:rsid w:val="005B2FAA"/>
    <w:rsid w:val="005B33C8"/>
    <w:rsid w:val="005B387B"/>
    <w:rsid w:val="005B3B01"/>
    <w:rsid w:val="005B4224"/>
    <w:rsid w:val="005B4333"/>
    <w:rsid w:val="005B48BE"/>
    <w:rsid w:val="005B57CC"/>
    <w:rsid w:val="005B58F7"/>
    <w:rsid w:val="005B5981"/>
    <w:rsid w:val="005B5994"/>
    <w:rsid w:val="005B6474"/>
    <w:rsid w:val="005B666D"/>
    <w:rsid w:val="005B667A"/>
    <w:rsid w:val="005B6865"/>
    <w:rsid w:val="005B7840"/>
    <w:rsid w:val="005C039B"/>
    <w:rsid w:val="005C059F"/>
    <w:rsid w:val="005C07CE"/>
    <w:rsid w:val="005C0B8F"/>
    <w:rsid w:val="005C1312"/>
    <w:rsid w:val="005C194E"/>
    <w:rsid w:val="005C1C83"/>
    <w:rsid w:val="005C1DB1"/>
    <w:rsid w:val="005C226F"/>
    <w:rsid w:val="005C2294"/>
    <w:rsid w:val="005C2E48"/>
    <w:rsid w:val="005C3344"/>
    <w:rsid w:val="005C4B28"/>
    <w:rsid w:val="005C4E4D"/>
    <w:rsid w:val="005C51DD"/>
    <w:rsid w:val="005C58F2"/>
    <w:rsid w:val="005C5A97"/>
    <w:rsid w:val="005C5F77"/>
    <w:rsid w:val="005C6AAB"/>
    <w:rsid w:val="005C6C80"/>
    <w:rsid w:val="005C6D5D"/>
    <w:rsid w:val="005C6FD0"/>
    <w:rsid w:val="005C78A6"/>
    <w:rsid w:val="005D01C3"/>
    <w:rsid w:val="005D05FF"/>
    <w:rsid w:val="005D0FB4"/>
    <w:rsid w:val="005D1176"/>
    <w:rsid w:val="005D1747"/>
    <w:rsid w:val="005D266D"/>
    <w:rsid w:val="005D306D"/>
    <w:rsid w:val="005D3327"/>
    <w:rsid w:val="005D3972"/>
    <w:rsid w:val="005D476A"/>
    <w:rsid w:val="005D4854"/>
    <w:rsid w:val="005D5BCF"/>
    <w:rsid w:val="005D5CA3"/>
    <w:rsid w:val="005D65BF"/>
    <w:rsid w:val="005D6D84"/>
    <w:rsid w:val="005D70A1"/>
    <w:rsid w:val="005D79F2"/>
    <w:rsid w:val="005D79FB"/>
    <w:rsid w:val="005D7CB1"/>
    <w:rsid w:val="005D7F57"/>
    <w:rsid w:val="005E0067"/>
    <w:rsid w:val="005E0141"/>
    <w:rsid w:val="005E09CA"/>
    <w:rsid w:val="005E0A8A"/>
    <w:rsid w:val="005E1AB4"/>
    <w:rsid w:val="005E1F81"/>
    <w:rsid w:val="005E255B"/>
    <w:rsid w:val="005E2CF7"/>
    <w:rsid w:val="005E37FD"/>
    <w:rsid w:val="005E4543"/>
    <w:rsid w:val="005E4A1C"/>
    <w:rsid w:val="005E4BF0"/>
    <w:rsid w:val="005E56C9"/>
    <w:rsid w:val="005E5CF7"/>
    <w:rsid w:val="005E5FF0"/>
    <w:rsid w:val="005E642A"/>
    <w:rsid w:val="005E65A7"/>
    <w:rsid w:val="005E721E"/>
    <w:rsid w:val="005F0857"/>
    <w:rsid w:val="005F11DB"/>
    <w:rsid w:val="005F1470"/>
    <w:rsid w:val="005F15A9"/>
    <w:rsid w:val="005F273D"/>
    <w:rsid w:val="005F2807"/>
    <w:rsid w:val="005F2CD5"/>
    <w:rsid w:val="005F3382"/>
    <w:rsid w:val="005F3720"/>
    <w:rsid w:val="005F3977"/>
    <w:rsid w:val="005F4F00"/>
    <w:rsid w:val="005F5506"/>
    <w:rsid w:val="005F5A0D"/>
    <w:rsid w:val="005F60DF"/>
    <w:rsid w:val="005F615B"/>
    <w:rsid w:val="005F61DF"/>
    <w:rsid w:val="005F680A"/>
    <w:rsid w:val="005F6880"/>
    <w:rsid w:val="005F6B3E"/>
    <w:rsid w:val="005F6ED2"/>
    <w:rsid w:val="005F745B"/>
    <w:rsid w:val="005F77DC"/>
    <w:rsid w:val="005F77F8"/>
    <w:rsid w:val="005F7CA8"/>
    <w:rsid w:val="0060008F"/>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261"/>
    <w:rsid w:val="0060795C"/>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935"/>
    <w:rsid w:val="00622B22"/>
    <w:rsid w:val="00622F67"/>
    <w:rsid w:val="00623571"/>
    <w:rsid w:val="00623A5E"/>
    <w:rsid w:val="006245B1"/>
    <w:rsid w:val="00625008"/>
    <w:rsid w:val="0062548B"/>
    <w:rsid w:val="00625553"/>
    <w:rsid w:val="006257A3"/>
    <w:rsid w:val="00626710"/>
    <w:rsid w:val="00626930"/>
    <w:rsid w:val="00626AD3"/>
    <w:rsid w:val="00626BAC"/>
    <w:rsid w:val="006271C3"/>
    <w:rsid w:val="006277EA"/>
    <w:rsid w:val="00627B14"/>
    <w:rsid w:val="00627BD7"/>
    <w:rsid w:val="0063001E"/>
    <w:rsid w:val="00630023"/>
    <w:rsid w:val="00630634"/>
    <w:rsid w:val="006308EE"/>
    <w:rsid w:val="00630C70"/>
    <w:rsid w:val="00630D67"/>
    <w:rsid w:val="00631005"/>
    <w:rsid w:val="006312FA"/>
    <w:rsid w:val="00631C79"/>
    <w:rsid w:val="00631F32"/>
    <w:rsid w:val="00632727"/>
    <w:rsid w:val="0063283D"/>
    <w:rsid w:val="00633769"/>
    <w:rsid w:val="00633FE3"/>
    <w:rsid w:val="00634276"/>
    <w:rsid w:val="00634570"/>
    <w:rsid w:val="0063481A"/>
    <w:rsid w:val="0063487C"/>
    <w:rsid w:val="00635B73"/>
    <w:rsid w:val="00635BB7"/>
    <w:rsid w:val="00635DCB"/>
    <w:rsid w:val="00636BF1"/>
    <w:rsid w:val="00636CC7"/>
    <w:rsid w:val="00637DEC"/>
    <w:rsid w:val="00637F27"/>
    <w:rsid w:val="006405EC"/>
    <w:rsid w:val="00640A4D"/>
    <w:rsid w:val="00640EBD"/>
    <w:rsid w:val="00640FCE"/>
    <w:rsid w:val="006418F2"/>
    <w:rsid w:val="00641A84"/>
    <w:rsid w:val="00641B05"/>
    <w:rsid w:val="00641DA1"/>
    <w:rsid w:val="00641E5B"/>
    <w:rsid w:val="00642369"/>
    <w:rsid w:val="006428D7"/>
    <w:rsid w:val="00642C69"/>
    <w:rsid w:val="0064330A"/>
    <w:rsid w:val="00643F89"/>
    <w:rsid w:val="00644334"/>
    <w:rsid w:val="0064487C"/>
    <w:rsid w:val="00644BED"/>
    <w:rsid w:val="00644E2E"/>
    <w:rsid w:val="00645A3A"/>
    <w:rsid w:val="00645B87"/>
    <w:rsid w:val="00645CB4"/>
    <w:rsid w:val="00646084"/>
    <w:rsid w:val="006468ED"/>
    <w:rsid w:val="006472CD"/>
    <w:rsid w:val="0064758A"/>
    <w:rsid w:val="00647664"/>
    <w:rsid w:val="00650401"/>
    <w:rsid w:val="006506AA"/>
    <w:rsid w:val="00650D19"/>
    <w:rsid w:val="00652647"/>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6FBF"/>
    <w:rsid w:val="006574AA"/>
    <w:rsid w:val="006576BA"/>
    <w:rsid w:val="006600BF"/>
    <w:rsid w:val="00660495"/>
    <w:rsid w:val="00660AF7"/>
    <w:rsid w:val="00660D3E"/>
    <w:rsid w:val="00661691"/>
    <w:rsid w:val="00662D3D"/>
    <w:rsid w:val="00662F1F"/>
    <w:rsid w:val="00663454"/>
    <w:rsid w:val="0066394F"/>
    <w:rsid w:val="00663D15"/>
    <w:rsid w:val="00664AF1"/>
    <w:rsid w:val="00665030"/>
    <w:rsid w:val="00665670"/>
    <w:rsid w:val="006659EA"/>
    <w:rsid w:val="00665D6B"/>
    <w:rsid w:val="006661E8"/>
    <w:rsid w:val="00666424"/>
    <w:rsid w:val="0066676C"/>
    <w:rsid w:val="006673B9"/>
    <w:rsid w:val="00667632"/>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41"/>
    <w:rsid w:val="00677991"/>
    <w:rsid w:val="00677AD2"/>
    <w:rsid w:val="00680326"/>
    <w:rsid w:val="00680510"/>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87E69"/>
    <w:rsid w:val="006901AC"/>
    <w:rsid w:val="00690C8D"/>
    <w:rsid w:val="00691389"/>
    <w:rsid w:val="00691890"/>
    <w:rsid w:val="00691AAD"/>
    <w:rsid w:val="00691CD1"/>
    <w:rsid w:val="00692416"/>
    <w:rsid w:val="00692789"/>
    <w:rsid w:val="00692AFF"/>
    <w:rsid w:val="00692D2D"/>
    <w:rsid w:val="00693B73"/>
    <w:rsid w:val="006945A1"/>
    <w:rsid w:val="00694A53"/>
    <w:rsid w:val="006952DE"/>
    <w:rsid w:val="00695985"/>
    <w:rsid w:val="00695C78"/>
    <w:rsid w:val="00695D5E"/>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1D07"/>
    <w:rsid w:val="006A2309"/>
    <w:rsid w:val="006A2766"/>
    <w:rsid w:val="006A39D0"/>
    <w:rsid w:val="006A3E91"/>
    <w:rsid w:val="006A430B"/>
    <w:rsid w:val="006A4321"/>
    <w:rsid w:val="006A4E20"/>
    <w:rsid w:val="006A4F11"/>
    <w:rsid w:val="006A563C"/>
    <w:rsid w:val="006A58D1"/>
    <w:rsid w:val="006A59D9"/>
    <w:rsid w:val="006A5A6F"/>
    <w:rsid w:val="006A5F7E"/>
    <w:rsid w:val="006A6786"/>
    <w:rsid w:val="006A722A"/>
    <w:rsid w:val="006A7BCC"/>
    <w:rsid w:val="006A7C29"/>
    <w:rsid w:val="006B0102"/>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CB"/>
    <w:rsid w:val="006B36E5"/>
    <w:rsid w:val="006B3D00"/>
    <w:rsid w:val="006B4CF8"/>
    <w:rsid w:val="006B506B"/>
    <w:rsid w:val="006B54E8"/>
    <w:rsid w:val="006B56A9"/>
    <w:rsid w:val="006B5FBC"/>
    <w:rsid w:val="006B6ED2"/>
    <w:rsid w:val="006B74FD"/>
    <w:rsid w:val="006B79A8"/>
    <w:rsid w:val="006B7F74"/>
    <w:rsid w:val="006C0230"/>
    <w:rsid w:val="006C03A3"/>
    <w:rsid w:val="006C05BE"/>
    <w:rsid w:val="006C05C7"/>
    <w:rsid w:val="006C0C70"/>
    <w:rsid w:val="006C25AB"/>
    <w:rsid w:val="006C2DA6"/>
    <w:rsid w:val="006C3581"/>
    <w:rsid w:val="006C35E7"/>
    <w:rsid w:val="006C39A0"/>
    <w:rsid w:val="006C3EFE"/>
    <w:rsid w:val="006C46C7"/>
    <w:rsid w:val="006C4767"/>
    <w:rsid w:val="006C4A1A"/>
    <w:rsid w:val="006C4D02"/>
    <w:rsid w:val="006C53A4"/>
    <w:rsid w:val="006C54DF"/>
    <w:rsid w:val="006C5CA6"/>
    <w:rsid w:val="006C5D5D"/>
    <w:rsid w:val="006C627E"/>
    <w:rsid w:val="006C6303"/>
    <w:rsid w:val="006C6A51"/>
    <w:rsid w:val="006C6EBD"/>
    <w:rsid w:val="006C7500"/>
    <w:rsid w:val="006C7E04"/>
    <w:rsid w:val="006C7F79"/>
    <w:rsid w:val="006D0004"/>
    <w:rsid w:val="006D015F"/>
    <w:rsid w:val="006D060E"/>
    <w:rsid w:val="006D0681"/>
    <w:rsid w:val="006D0A80"/>
    <w:rsid w:val="006D0AE8"/>
    <w:rsid w:val="006D1119"/>
    <w:rsid w:val="006D135C"/>
    <w:rsid w:val="006D17B8"/>
    <w:rsid w:val="006D2F72"/>
    <w:rsid w:val="006D38E6"/>
    <w:rsid w:val="006D43C1"/>
    <w:rsid w:val="006D5442"/>
    <w:rsid w:val="006D6E4E"/>
    <w:rsid w:val="006D7A7B"/>
    <w:rsid w:val="006D7A8E"/>
    <w:rsid w:val="006D7C59"/>
    <w:rsid w:val="006E00E3"/>
    <w:rsid w:val="006E045C"/>
    <w:rsid w:val="006E0569"/>
    <w:rsid w:val="006E065E"/>
    <w:rsid w:val="006E0849"/>
    <w:rsid w:val="006E11D6"/>
    <w:rsid w:val="006E11E4"/>
    <w:rsid w:val="006E17AC"/>
    <w:rsid w:val="006E189B"/>
    <w:rsid w:val="006E2079"/>
    <w:rsid w:val="006E20D9"/>
    <w:rsid w:val="006E27DC"/>
    <w:rsid w:val="006E2902"/>
    <w:rsid w:val="006E2F9D"/>
    <w:rsid w:val="006E37C6"/>
    <w:rsid w:val="006E3CF3"/>
    <w:rsid w:val="006E41ED"/>
    <w:rsid w:val="006E4667"/>
    <w:rsid w:val="006E46B7"/>
    <w:rsid w:val="006E475A"/>
    <w:rsid w:val="006E486D"/>
    <w:rsid w:val="006E4880"/>
    <w:rsid w:val="006E48BB"/>
    <w:rsid w:val="006E6E0C"/>
    <w:rsid w:val="006E727B"/>
    <w:rsid w:val="006E76C8"/>
    <w:rsid w:val="006E7A92"/>
    <w:rsid w:val="006E7FDD"/>
    <w:rsid w:val="006F01FF"/>
    <w:rsid w:val="006F0CB2"/>
    <w:rsid w:val="006F1DA1"/>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6C3"/>
    <w:rsid w:val="00701C36"/>
    <w:rsid w:val="00702F2D"/>
    <w:rsid w:val="0070353F"/>
    <w:rsid w:val="007036B3"/>
    <w:rsid w:val="00703ABE"/>
    <w:rsid w:val="0070415E"/>
    <w:rsid w:val="00704631"/>
    <w:rsid w:val="00704B79"/>
    <w:rsid w:val="00704E7D"/>
    <w:rsid w:val="00705060"/>
    <w:rsid w:val="00705351"/>
    <w:rsid w:val="007053A3"/>
    <w:rsid w:val="00705619"/>
    <w:rsid w:val="00705799"/>
    <w:rsid w:val="00705ACC"/>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184"/>
    <w:rsid w:val="00713A6B"/>
    <w:rsid w:val="00713CB5"/>
    <w:rsid w:val="00713DD9"/>
    <w:rsid w:val="0071499C"/>
    <w:rsid w:val="00714F9D"/>
    <w:rsid w:val="007154D8"/>
    <w:rsid w:val="00715577"/>
    <w:rsid w:val="007156D3"/>
    <w:rsid w:val="0071604D"/>
    <w:rsid w:val="007160F1"/>
    <w:rsid w:val="00716C67"/>
    <w:rsid w:val="007170AB"/>
    <w:rsid w:val="0071779C"/>
    <w:rsid w:val="00717808"/>
    <w:rsid w:val="00717E60"/>
    <w:rsid w:val="007208A7"/>
    <w:rsid w:val="00720B3D"/>
    <w:rsid w:val="00720B6A"/>
    <w:rsid w:val="007210F6"/>
    <w:rsid w:val="0072129A"/>
    <w:rsid w:val="0072139F"/>
    <w:rsid w:val="0072198A"/>
    <w:rsid w:val="00721AD9"/>
    <w:rsid w:val="00721D24"/>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822"/>
    <w:rsid w:val="00733A43"/>
    <w:rsid w:val="00733AE4"/>
    <w:rsid w:val="00733D5F"/>
    <w:rsid w:val="00734932"/>
    <w:rsid w:val="00734AF7"/>
    <w:rsid w:val="00735D53"/>
    <w:rsid w:val="0073618A"/>
    <w:rsid w:val="007364A3"/>
    <w:rsid w:val="00736740"/>
    <w:rsid w:val="007378FD"/>
    <w:rsid w:val="007403FE"/>
    <w:rsid w:val="00740ECA"/>
    <w:rsid w:val="007413EB"/>
    <w:rsid w:val="007413FB"/>
    <w:rsid w:val="007421B8"/>
    <w:rsid w:val="00742D32"/>
    <w:rsid w:val="00742E9B"/>
    <w:rsid w:val="0074344A"/>
    <w:rsid w:val="007444E6"/>
    <w:rsid w:val="0074592C"/>
    <w:rsid w:val="00745C91"/>
    <w:rsid w:val="00746098"/>
    <w:rsid w:val="00746D58"/>
    <w:rsid w:val="00747300"/>
    <w:rsid w:val="00747578"/>
    <w:rsid w:val="00750ACA"/>
    <w:rsid w:val="00750D12"/>
    <w:rsid w:val="00751073"/>
    <w:rsid w:val="00751AF2"/>
    <w:rsid w:val="00751B1A"/>
    <w:rsid w:val="00751BD2"/>
    <w:rsid w:val="00751CE5"/>
    <w:rsid w:val="00752188"/>
    <w:rsid w:val="00752CC6"/>
    <w:rsid w:val="00753792"/>
    <w:rsid w:val="00753938"/>
    <w:rsid w:val="00753A57"/>
    <w:rsid w:val="007543CE"/>
    <w:rsid w:val="0075497E"/>
    <w:rsid w:val="00754A29"/>
    <w:rsid w:val="00755B6F"/>
    <w:rsid w:val="00755BCF"/>
    <w:rsid w:val="00756C5F"/>
    <w:rsid w:val="00756D69"/>
    <w:rsid w:val="00757029"/>
    <w:rsid w:val="00757146"/>
    <w:rsid w:val="007571FD"/>
    <w:rsid w:val="0075723D"/>
    <w:rsid w:val="007602D4"/>
    <w:rsid w:val="00760389"/>
    <w:rsid w:val="007605D0"/>
    <w:rsid w:val="00760613"/>
    <w:rsid w:val="00760A5A"/>
    <w:rsid w:val="00760D96"/>
    <w:rsid w:val="0076124A"/>
    <w:rsid w:val="0076161B"/>
    <w:rsid w:val="0076182A"/>
    <w:rsid w:val="00761950"/>
    <w:rsid w:val="00761CB5"/>
    <w:rsid w:val="0076216B"/>
    <w:rsid w:val="00762948"/>
    <w:rsid w:val="00762A81"/>
    <w:rsid w:val="00763137"/>
    <w:rsid w:val="0076357F"/>
    <w:rsid w:val="00763AED"/>
    <w:rsid w:val="00763F8B"/>
    <w:rsid w:val="007640F3"/>
    <w:rsid w:val="0076417E"/>
    <w:rsid w:val="0076497F"/>
    <w:rsid w:val="007660EC"/>
    <w:rsid w:val="007662C7"/>
    <w:rsid w:val="00766862"/>
    <w:rsid w:val="00766DD0"/>
    <w:rsid w:val="007675DD"/>
    <w:rsid w:val="007702BF"/>
    <w:rsid w:val="007705F0"/>
    <w:rsid w:val="00770884"/>
    <w:rsid w:val="00771CAC"/>
    <w:rsid w:val="00772036"/>
    <w:rsid w:val="00773098"/>
    <w:rsid w:val="007739A3"/>
    <w:rsid w:val="00773BD9"/>
    <w:rsid w:val="00773CB0"/>
    <w:rsid w:val="00773D71"/>
    <w:rsid w:val="00774336"/>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2F70"/>
    <w:rsid w:val="00793105"/>
    <w:rsid w:val="007931E8"/>
    <w:rsid w:val="00793333"/>
    <w:rsid w:val="00793D3A"/>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0A2F"/>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AD5"/>
    <w:rsid w:val="007A54F6"/>
    <w:rsid w:val="007A5599"/>
    <w:rsid w:val="007A55FE"/>
    <w:rsid w:val="007A582C"/>
    <w:rsid w:val="007A5950"/>
    <w:rsid w:val="007A6D91"/>
    <w:rsid w:val="007A7618"/>
    <w:rsid w:val="007A7778"/>
    <w:rsid w:val="007B00C9"/>
    <w:rsid w:val="007B02C7"/>
    <w:rsid w:val="007B0306"/>
    <w:rsid w:val="007B06BE"/>
    <w:rsid w:val="007B06E3"/>
    <w:rsid w:val="007B08E4"/>
    <w:rsid w:val="007B0D86"/>
    <w:rsid w:val="007B1637"/>
    <w:rsid w:val="007B2896"/>
    <w:rsid w:val="007B28C3"/>
    <w:rsid w:val="007B3A74"/>
    <w:rsid w:val="007B3A8E"/>
    <w:rsid w:val="007B3C9B"/>
    <w:rsid w:val="007B4271"/>
    <w:rsid w:val="007B4472"/>
    <w:rsid w:val="007B497D"/>
    <w:rsid w:val="007B4EE9"/>
    <w:rsid w:val="007B5234"/>
    <w:rsid w:val="007B530C"/>
    <w:rsid w:val="007B54C7"/>
    <w:rsid w:val="007B5637"/>
    <w:rsid w:val="007B5DC5"/>
    <w:rsid w:val="007B5F32"/>
    <w:rsid w:val="007B63FC"/>
    <w:rsid w:val="007B6708"/>
    <w:rsid w:val="007B6C20"/>
    <w:rsid w:val="007B6E8D"/>
    <w:rsid w:val="007C029E"/>
    <w:rsid w:val="007C04CC"/>
    <w:rsid w:val="007C0636"/>
    <w:rsid w:val="007C10E4"/>
    <w:rsid w:val="007C17B4"/>
    <w:rsid w:val="007C20F8"/>
    <w:rsid w:val="007C21C5"/>
    <w:rsid w:val="007C2229"/>
    <w:rsid w:val="007C2313"/>
    <w:rsid w:val="007C24E0"/>
    <w:rsid w:val="007C2D47"/>
    <w:rsid w:val="007C3162"/>
    <w:rsid w:val="007C3590"/>
    <w:rsid w:val="007C387A"/>
    <w:rsid w:val="007C3A0D"/>
    <w:rsid w:val="007C3EB0"/>
    <w:rsid w:val="007C43D6"/>
    <w:rsid w:val="007C47FF"/>
    <w:rsid w:val="007C5B15"/>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D6A"/>
    <w:rsid w:val="007D2E50"/>
    <w:rsid w:val="007D3D74"/>
    <w:rsid w:val="007D445F"/>
    <w:rsid w:val="007D4DED"/>
    <w:rsid w:val="007D5BA2"/>
    <w:rsid w:val="007D5C40"/>
    <w:rsid w:val="007D5ED3"/>
    <w:rsid w:val="007D665C"/>
    <w:rsid w:val="007D682F"/>
    <w:rsid w:val="007D6FB9"/>
    <w:rsid w:val="007D7211"/>
    <w:rsid w:val="007E0595"/>
    <w:rsid w:val="007E0654"/>
    <w:rsid w:val="007E08C8"/>
    <w:rsid w:val="007E0A63"/>
    <w:rsid w:val="007E0C63"/>
    <w:rsid w:val="007E0E05"/>
    <w:rsid w:val="007E0F5D"/>
    <w:rsid w:val="007E1901"/>
    <w:rsid w:val="007E23A1"/>
    <w:rsid w:val="007E259F"/>
    <w:rsid w:val="007E2C4F"/>
    <w:rsid w:val="007E347E"/>
    <w:rsid w:val="007E3B14"/>
    <w:rsid w:val="007E41A4"/>
    <w:rsid w:val="007E43E3"/>
    <w:rsid w:val="007E469A"/>
    <w:rsid w:val="007E54B8"/>
    <w:rsid w:val="007E569C"/>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4F92"/>
    <w:rsid w:val="007F5072"/>
    <w:rsid w:val="007F5382"/>
    <w:rsid w:val="007F55A4"/>
    <w:rsid w:val="007F5D28"/>
    <w:rsid w:val="007F6260"/>
    <w:rsid w:val="007F682B"/>
    <w:rsid w:val="007F78E8"/>
    <w:rsid w:val="007F79FA"/>
    <w:rsid w:val="007F7F8F"/>
    <w:rsid w:val="00800509"/>
    <w:rsid w:val="0080078E"/>
    <w:rsid w:val="00800B7F"/>
    <w:rsid w:val="008011B7"/>
    <w:rsid w:val="008012B1"/>
    <w:rsid w:val="008019E5"/>
    <w:rsid w:val="00801D63"/>
    <w:rsid w:val="0080348B"/>
    <w:rsid w:val="00803D82"/>
    <w:rsid w:val="00803D98"/>
    <w:rsid w:val="008043FC"/>
    <w:rsid w:val="008052CE"/>
    <w:rsid w:val="0080548A"/>
    <w:rsid w:val="008058D0"/>
    <w:rsid w:val="00806A4C"/>
    <w:rsid w:val="0080705B"/>
    <w:rsid w:val="0080712F"/>
    <w:rsid w:val="0080723C"/>
    <w:rsid w:val="00807748"/>
    <w:rsid w:val="00807F71"/>
    <w:rsid w:val="00807FFB"/>
    <w:rsid w:val="0081000F"/>
    <w:rsid w:val="00810FE5"/>
    <w:rsid w:val="00811E76"/>
    <w:rsid w:val="00812657"/>
    <w:rsid w:val="00812A1A"/>
    <w:rsid w:val="00812DFF"/>
    <w:rsid w:val="008135BD"/>
    <w:rsid w:val="0081362F"/>
    <w:rsid w:val="0081383A"/>
    <w:rsid w:val="0081497F"/>
    <w:rsid w:val="00814B90"/>
    <w:rsid w:val="00814FC7"/>
    <w:rsid w:val="008154A7"/>
    <w:rsid w:val="00815B2B"/>
    <w:rsid w:val="008162DC"/>
    <w:rsid w:val="0081660C"/>
    <w:rsid w:val="00816A0D"/>
    <w:rsid w:val="00816AD8"/>
    <w:rsid w:val="00816EA0"/>
    <w:rsid w:val="00817195"/>
    <w:rsid w:val="00817416"/>
    <w:rsid w:val="00817658"/>
    <w:rsid w:val="00817FB9"/>
    <w:rsid w:val="008206AE"/>
    <w:rsid w:val="00821271"/>
    <w:rsid w:val="00821306"/>
    <w:rsid w:val="008213D9"/>
    <w:rsid w:val="008216CE"/>
    <w:rsid w:val="008218AE"/>
    <w:rsid w:val="00821D85"/>
    <w:rsid w:val="00821E47"/>
    <w:rsid w:val="008220F6"/>
    <w:rsid w:val="00822456"/>
    <w:rsid w:val="00823819"/>
    <w:rsid w:val="00823C4B"/>
    <w:rsid w:val="00824140"/>
    <w:rsid w:val="0082427D"/>
    <w:rsid w:val="00825441"/>
    <w:rsid w:val="00826855"/>
    <w:rsid w:val="00830052"/>
    <w:rsid w:val="008300D0"/>
    <w:rsid w:val="008308D8"/>
    <w:rsid w:val="00830F8C"/>
    <w:rsid w:val="008313E8"/>
    <w:rsid w:val="008320D2"/>
    <w:rsid w:val="008321CE"/>
    <w:rsid w:val="0083257C"/>
    <w:rsid w:val="0083261B"/>
    <w:rsid w:val="00832B44"/>
    <w:rsid w:val="00832EC9"/>
    <w:rsid w:val="00833307"/>
    <w:rsid w:val="00833583"/>
    <w:rsid w:val="00833B5B"/>
    <w:rsid w:val="00833E9A"/>
    <w:rsid w:val="0083454E"/>
    <w:rsid w:val="00834FEF"/>
    <w:rsid w:val="008355F6"/>
    <w:rsid w:val="00836323"/>
    <w:rsid w:val="0083713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869"/>
    <w:rsid w:val="00845B14"/>
    <w:rsid w:val="00845F4B"/>
    <w:rsid w:val="008465B4"/>
    <w:rsid w:val="00846ACC"/>
    <w:rsid w:val="00846D25"/>
    <w:rsid w:val="00847B75"/>
    <w:rsid w:val="00850013"/>
    <w:rsid w:val="008500DD"/>
    <w:rsid w:val="00850884"/>
    <w:rsid w:val="00850A0A"/>
    <w:rsid w:val="00850A94"/>
    <w:rsid w:val="0085114F"/>
    <w:rsid w:val="00851E96"/>
    <w:rsid w:val="00851F1C"/>
    <w:rsid w:val="00852FA5"/>
    <w:rsid w:val="00853F7D"/>
    <w:rsid w:val="0085517F"/>
    <w:rsid w:val="0085562D"/>
    <w:rsid w:val="00855A78"/>
    <w:rsid w:val="00855E8C"/>
    <w:rsid w:val="00856154"/>
    <w:rsid w:val="00856286"/>
    <w:rsid w:val="0085657E"/>
    <w:rsid w:val="00856F0E"/>
    <w:rsid w:val="008573AF"/>
    <w:rsid w:val="008576B0"/>
    <w:rsid w:val="00860296"/>
    <w:rsid w:val="008602E3"/>
    <w:rsid w:val="00860DA4"/>
    <w:rsid w:val="00861146"/>
    <w:rsid w:val="00861948"/>
    <w:rsid w:val="00861CEE"/>
    <w:rsid w:val="00862011"/>
    <w:rsid w:val="00862A15"/>
    <w:rsid w:val="00862CC9"/>
    <w:rsid w:val="00862D8E"/>
    <w:rsid w:val="00862EF2"/>
    <w:rsid w:val="0086598A"/>
    <w:rsid w:val="00865C3D"/>
    <w:rsid w:val="00865F4C"/>
    <w:rsid w:val="00866453"/>
    <w:rsid w:val="00866BBB"/>
    <w:rsid w:val="0086707F"/>
    <w:rsid w:val="00867501"/>
    <w:rsid w:val="00867D8E"/>
    <w:rsid w:val="008700C0"/>
    <w:rsid w:val="0087058B"/>
    <w:rsid w:val="0087099A"/>
    <w:rsid w:val="00870ACE"/>
    <w:rsid w:val="00870D79"/>
    <w:rsid w:val="00871333"/>
    <w:rsid w:val="00871952"/>
    <w:rsid w:val="00872006"/>
    <w:rsid w:val="00872386"/>
    <w:rsid w:val="008726D7"/>
    <w:rsid w:val="00873128"/>
    <w:rsid w:val="008735BC"/>
    <w:rsid w:val="00873AAC"/>
    <w:rsid w:val="00873C61"/>
    <w:rsid w:val="00873DFD"/>
    <w:rsid w:val="008748C0"/>
    <w:rsid w:val="008749BF"/>
    <w:rsid w:val="00875542"/>
    <w:rsid w:val="00875E14"/>
    <w:rsid w:val="0087677E"/>
    <w:rsid w:val="0087712C"/>
    <w:rsid w:val="008776E7"/>
    <w:rsid w:val="00877746"/>
    <w:rsid w:val="00877C5D"/>
    <w:rsid w:val="0088019D"/>
    <w:rsid w:val="00880354"/>
    <w:rsid w:val="0088093C"/>
    <w:rsid w:val="00880BC0"/>
    <w:rsid w:val="0088127A"/>
    <w:rsid w:val="00881D59"/>
    <w:rsid w:val="008826D7"/>
    <w:rsid w:val="00882991"/>
    <w:rsid w:val="00882DB6"/>
    <w:rsid w:val="00882EC1"/>
    <w:rsid w:val="00883236"/>
    <w:rsid w:val="0088324E"/>
    <w:rsid w:val="00883BBB"/>
    <w:rsid w:val="0088434F"/>
    <w:rsid w:val="00884371"/>
    <w:rsid w:val="008848E2"/>
    <w:rsid w:val="00884B7A"/>
    <w:rsid w:val="00884D47"/>
    <w:rsid w:val="00885604"/>
    <w:rsid w:val="008856C5"/>
    <w:rsid w:val="00886112"/>
    <w:rsid w:val="008869D4"/>
    <w:rsid w:val="00886EAC"/>
    <w:rsid w:val="008872B3"/>
    <w:rsid w:val="00887392"/>
    <w:rsid w:val="00890A64"/>
    <w:rsid w:val="00890C3E"/>
    <w:rsid w:val="00890C40"/>
    <w:rsid w:val="0089122E"/>
    <w:rsid w:val="008912A7"/>
    <w:rsid w:val="0089183A"/>
    <w:rsid w:val="008920B4"/>
    <w:rsid w:val="008925EB"/>
    <w:rsid w:val="0089275E"/>
    <w:rsid w:val="00892B43"/>
    <w:rsid w:val="00892D9C"/>
    <w:rsid w:val="00893432"/>
    <w:rsid w:val="00893936"/>
    <w:rsid w:val="00893CE2"/>
    <w:rsid w:val="00893F41"/>
    <w:rsid w:val="00895144"/>
    <w:rsid w:val="00895963"/>
    <w:rsid w:val="008969EE"/>
    <w:rsid w:val="008972B6"/>
    <w:rsid w:val="0089731C"/>
    <w:rsid w:val="00897339"/>
    <w:rsid w:val="00897697"/>
    <w:rsid w:val="008977E1"/>
    <w:rsid w:val="00897BFA"/>
    <w:rsid w:val="00897D19"/>
    <w:rsid w:val="008A0044"/>
    <w:rsid w:val="008A0156"/>
    <w:rsid w:val="008A0BFE"/>
    <w:rsid w:val="008A1932"/>
    <w:rsid w:val="008A21D9"/>
    <w:rsid w:val="008A232D"/>
    <w:rsid w:val="008A2C49"/>
    <w:rsid w:val="008A3182"/>
    <w:rsid w:val="008A3C76"/>
    <w:rsid w:val="008A3D54"/>
    <w:rsid w:val="008A3E10"/>
    <w:rsid w:val="008A411C"/>
    <w:rsid w:val="008A4630"/>
    <w:rsid w:val="008A47CE"/>
    <w:rsid w:val="008A4DFA"/>
    <w:rsid w:val="008A5D73"/>
    <w:rsid w:val="008A5F2F"/>
    <w:rsid w:val="008A6BAE"/>
    <w:rsid w:val="008A719F"/>
    <w:rsid w:val="008A7350"/>
    <w:rsid w:val="008A7A72"/>
    <w:rsid w:val="008B09F3"/>
    <w:rsid w:val="008B0ECF"/>
    <w:rsid w:val="008B111A"/>
    <w:rsid w:val="008B16E6"/>
    <w:rsid w:val="008B1AB2"/>
    <w:rsid w:val="008B1D9B"/>
    <w:rsid w:val="008B2042"/>
    <w:rsid w:val="008B20FF"/>
    <w:rsid w:val="008B2569"/>
    <w:rsid w:val="008B25F1"/>
    <w:rsid w:val="008B3351"/>
    <w:rsid w:val="008B3567"/>
    <w:rsid w:val="008B36D0"/>
    <w:rsid w:val="008B38AF"/>
    <w:rsid w:val="008B3D7F"/>
    <w:rsid w:val="008B3E1B"/>
    <w:rsid w:val="008B3F4B"/>
    <w:rsid w:val="008B4353"/>
    <w:rsid w:val="008B48EC"/>
    <w:rsid w:val="008B4AF0"/>
    <w:rsid w:val="008B518E"/>
    <w:rsid w:val="008B527B"/>
    <w:rsid w:val="008B5456"/>
    <w:rsid w:val="008B5AB9"/>
    <w:rsid w:val="008B67E6"/>
    <w:rsid w:val="008B69B8"/>
    <w:rsid w:val="008B6F12"/>
    <w:rsid w:val="008B7042"/>
    <w:rsid w:val="008B770C"/>
    <w:rsid w:val="008C0325"/>
    <w:rsid w:val="008C094A"/>
    <w:rsid w:val="008C1570"/>
    <w:rsid w:val="008C1792"/>
    <w:rsid w:val="008C17B2"/>
    <w:rsid w:val="008C1AD3"/>
    <w:rsid w:val="008C1E3E"/>
    <w:rsid w:val="008C1FE3"/>
    <w:rsid w:val="008C2059"/>
    <w:rsid w:val="008C21D0"/>
    <w:rsid w:val="008C2DBC"/>
    <w:rsid w:val="008C3A4E"/>
    <w:rsid w:val="008C422F"/>
    <w:rsid w:val="008C48FF"/>
    <w:rsid w:val="008C5371"/>
    <w:rsid w:val="008C6031"/>
    <w:rsid w:val="008C623D"/>
    <w:rsid w:val="008C65F4"/>
    <w:rsid w:val="008C6683"/>
    <w:rsid w:val="008C6A10"/>
    <w:rsid w:val="008C6E0C"/>
    <w:rsid w:val="008C7273"/>
    <w:rsid w:val="008C78F8"/>
    <w:rsid w:val="008D05DF"/>
    <w:rsid w:val="008D09E8"/>
    <w:rsid w:val="008D0E65"/>
    <w:rsid w:val="008D10C6"/>
    <w:rsid w:val="008D110A"/>
    <w:rsid w:val="008D1612"/>
    <w:rsid w:val="008D19CF"/>
    <w:rsid w:val="008D20CE"/>
    <w:rsid w:val="008D2259"/>
    <w:rsid w:val="008D2531"/>
    <w:rsid w:val="008D25BB"/>
    <w:rsid w:val="008D2833"/>
    <w:rsid w:val="008D2A5B"/>
    <w:rsid w:val="008D313A"/>
    <w:rsid w:val="008D3381"/>
    <w:rsid w:val="008D33FE"/>
    <w:rsid w:val="008D3B9F"/>
    <w:rsid w:val="008D3D02"/>
    <w:rsid w:val="008D3D5A"/>
    <w:rsid w:val="008D3F72"/>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395"/>
    <w:rsid w:val="008E6A39"/>
    <w:rsid w:val="008E76BB"/>
    <w:rsid w:val="008E7BC7"/>
    <w:rsid w:val="008F12A6"/>
    <w:rsid w:val="008F1764"/>
    <w:rsid w:val="008F1E3D"/>
    <w:rsid w:val="008F235C"/>
    <w:rsid w:val="008F2860"/>
    <w:rsid w:val="008F290B"/>
    <w:rsid w:val="008F2F11"/>
    <w:rsid w:val="008F3369"/>
    <w:rsid w:val="008F33A6"/>
    <w:rsid w:val="008F35EC"/>
    <w:rsid w:val="008F4FE8"/>
    <w:rsid w:val="008F4FED"/>
    <w:rsid w:val="008F5189"/>
    <w:rsid w:val="008F5D5A"/>
    <w:rsid w:val="008F6200"/>
    <w:rsid w:val="008F62F8"/>
    <w:rsid w:val="008F6893"/>
    <w:rsid w:val="008F6B9D"/>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DCE"/>
    <w:rsid w:val="00906EA2"/>
    <w:rsid w:val="00907278"/>
    <w:rsid w:val="00907E91"/>
    <w:rsid w:val="00910041"/>
    <w:rsid w:val="00910C26"/>
    <w:rsid w:val="0091112B"/>
    <w:rsid w:val="00911D61"/>
    <w:rsid w:val="00912850"/>
    <w:rsid w:val="009128B8"/>
    <w:rsid w:val="00913AFB"/>
    <w:rsid w:val="0091472C"/>
    <w:rsid w:val="00914DC9"/>
    <w:rsid w:val="00914F4F"/>
    <w:rsid w:val="00915351"/>
    <w:rsid w:val="00915679"/>
    <w:rsid w:val="009159C2"/>
    <w:rsid w:val="00915D01"/>
    <w:rsid w:val="0091627F"/>
    <w:rsid w:val="00916E45"/>
    <w:rsid w:val="0092077A"/>
    <w:rsid w:val="00920DC0"/>
    <w:rsid w:val="009219F3"/>
    <w:rsid w:val="009221CB"/>
    <w:rsid w:val="00922320"/>
    <w:rsid w:val="00922E57"/>
    <w:rsid w:val="00923643"/>
    <w:rsid w:val="00923A75"/>
    <w:rsid w:val="00923E1A"/>
    <w:rsid w:val="0092405E"/>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09"/>
    <w:rsid w:val="00935194"/>
    <w:rsid w:val="00936EA5"/>
    <w:rsid w:val="00937079"/>
    <w:rsid w:val="00937114"/>
    <w:rsid w:val="00937E71"/>
    <w:rsid w:val="0094015D"/>
    <w:rsid w:val="00940916"/>
    <w:rsid w:val="009412B7"/>
    <w:rsid w:val="00941B13"/>
    <w:rsid w:val="0094215C"/>
    <w:rsid w:val="00942F8E"/>
    <w:rsid w:val="00943543"/>
    <w:rsid w:val="0094364F"/>
    <w:rsid w:val="009437AE"/>
    <w:rsid w:val="009441DB"/>
    <w:rsid w:val="0094435E"/>
    <w:rsid w:val="00944834"/>
    <w:rsid w:val="00946128"/>
    <w:rsid w:val="0094633F"/>
    <w:rsid w:val="00947BA5"/>
    <w:rsid w:val="00950805"/>
    <w:rsid w:val="009517E4"/>
    <w:rsid w:val="009518D4"/>
    <w:rsid w:val="009520BC"/>
    <w:rsid w:val="009521D2"/>
    <w:rsid w:val="0095224C"/>
    <w:rsid w:val="00952403"/>
    <w:rsid w:val="00952589"/>
    <w:rsid w:val="00952BD8"/>
    <w:rsid w:val="00953573"/>
    <w:rsid w:val="009537C0"/>
    <w:rsid w:val="00954B06"/>
    <w:rsid w:val="009557A9"/>
    <w:rsid w:val="00956647"/>
    <w:rsid w:val="00956CF3"/>
    <w:rsid w:val="00957380"/>
    <w:rsid w:val="00957409"/>
    <w:rsid w:val="00957499"/>
    <w:rsid w:val="00957ED2"/>
    <w:rsid w:val="009604AE"/>
    <w:rsid w:val="00960863"/>
    <w:rsid w:val="009609AF"/>
    <w:rsid w:val="00960DE4"/>
    <w:rsid w:val="009610C7"/>
    <w:rsid w:val="00961164"/>
    <w:rsid w:val="009612A4"/>
    <w:rsid w:val="00961867"/>
    <w:rsid w:val="00961A4F"/>
    <w:rsid w:val="00961DC5"/>
    <w:rsid w:val="009625B7"/>
    <w:rsid w:val="00962FB8"/>
    <w:rsid w:val="00963183"/>
    <w:rsid w:val="0096361C"/>
    <w:rsid w:val="0096373F"/>
    <w:rsid w:val="00964007"/>
    <w:rsid w:val="00964283"/>
    <w:rsid w:val="009642A4"/>
    <w:rsid w:val="009643F4"/>
    <w:rsid w:val="009645A6"/>
    <w:rsid w:val="00964DD4"/>
    <w:rsid w:val="00964F5A"/>
    <w:rsid w:val="0096527F"/>
    <w:rsid w:val="009653ED"/>
    <w:rsid w:val="009654BB"/>
    <w:rsid w:val="00965B85"/>
    <w:rsid w:val="00966216"/>
    <w:rsid w:val="00966A21"/>
    <w:rsid w:val="00966AD2"/>
    <w:rsid w:val="009700E6"/>
    <w:rsid w:val="0097025C"/>
    <w:rsid w:val="0097082E"/>
    <w:rsid w:val="00970C77"/>
    <w:rsid w:val="00971415"/>
    <w:rsid w:val="009716D8"/>
    <w:rsid w:val="00971F54"/>
    <w:rsid w:val="00972057"/>
    <w:rsid w:val="00972224"/>
    <w:rsid w:val="0097227B"/>
    <w:rsid w:val="0097262E"/>
    <w:rsid w:val="0097293F"/>
    <w:rsid w:val="00973103"/>
    <w:rsid w:val="009732EB"/>
    <w:rsid w:val="00974022"/>
    <w:rsid w:val="009743E8"/>
    <w:rsid w:val="009745D8"/>
    <w:rsid w:val="00974F3B"/>
    <w:rsid w:val="0097552A"/>
    <w:rsid w:val="0097564A"/>
    <w:rsid w:val="00975707"/>
    <w:rsid w:val="00975974"/>
    <w:rsid w:val="00975D06"/>
    <w:rsid w:val="00975D63"/>
    <w:rsid w:val="00975DAE"/>
    <w:rsid w:val="00976BBE"/>
    <w:rsid w:val="00977349"/>
    <w:rsid w:val="009775E3"/>
    <w:rsid w:val="00977A7B"/>
    <w:rsid w:val="00977D18"/>
    <w:rsid w:val="0098055B"/>
    <w:rsid w:val="00980B30"/>
    <w:rsid w:val="009810BE"/>
    <w:rsid w:val="009817BC"/>
    <w:rsid w:val="009819A7"/>
    <w:rsid w:val="0098220A"/>
    <w:rsid w:val="00982E75"/>
    <w:rsid w:val="00982F7D"/>
    <w:rsid w:val="00983337"/>
    <w:rsid w:val="009836AA"/>
    <w:rsid w:val="009846BF"/>
    <w:rsid w:val="00984EE9"/>
    <w:rsid w:val="009851F5"/>
    <w:rsid w:val="0098534B"/>
    <w:rsid w:val="00986019"/>
    <w:rsid w:val="00986281"/>
    <w:rsid w:val="00986B7B"/>
    <w:rsid w:val="00986FC9"/>
    <w:rsid w:val="00987322"/>
    <w:rsid w:val="0098764E"/>
    <w:rsid w:val="00987683"/>
    <w:rsid w:val="00987826"/>
    <w:rsid w:val="00987B4F"/>
    <w:rsid w:val="00987D58"/>
    <w:rsid w:val="0099034B"/>
    <w:rsid w:val="009906D4"/>
    <w:rsid w:val="00990A8E"/>
    <w:rsid w:val="00990EB7"/>
    <w:rsid w:val="00990F5F"/>
    <w:rsid w:val="009911A7"/>
    <w:rsid w:val="009913B8"/>
    <w:rsid w:val="009914E4"/>
    <w:rsid w:val="00991E0C"/>
    <w:rsid w:val="00992141"/>
    <w:rsid w:val="009921DB"/>
    <w:rsid w:val="00992C67"/>
    <w:rsid w:val="00992D5B"/>
    <w:rsid w:val="00992F7F"/>
    <w:rsid w:val="00993135"/>
    <w:rsid w:val="0099321A"/>
    <w:rsid w:val="00993AC7"/>
    <w:rsid w:val="00993BAD"/>
    <w:rsid w:val="00993E49"/>
    <w:rsid w:val="00994120"/>
    <w:rsid w:val="009942F5"/>
    <w:rsid w:val="00994568"/>
    <w:rsid w:val="00994602"/>
    <w:rsid w:val="00995B01"/>
    <w:rsid w:val="00996055"/>
    <w:rsid w:val="009967B2"/>
    <w:rsid w:val="00996EF4"/>
    <w:rsid w:val="00997044"/>
    <w:rsid w:val="00997BC9"/>
    <w:rsid w:val="009A113D"/>
    <w:rsid w:val="009A1ECA"/>
    <w:rsid w:val="009A2BE9"/>
    <w:rsid w:val="009A2BF3"/>
    <w:rsid w:val="009A3688"/>
    <w:rsid w:val="009A3713"/>
    <w:rsid w:val="009A3C3E"/>
    <w:rsid w:val="009A4153"/>
    <w:rsid w:val="009A4346"/>
    <w:rsid w:val="009A4C2C"/>
    <w:rsid w:val="009A59B3"/>
    <w:rsid w:val="009A5FAE"/>
    <w:rsid w:val="009A6B3A"/>
    <w:rsid w:val="009A7081"/>
    <w:rsid w:val="009A70A3"/>
    <w:rsid w:val="009A73C5"/>
    <w:rsid w:val="009A7E7C"/>
    <w:rsid w:val="009A7EFA"/>
    <w:rsid w:val="009B05D2"/>
    <w:rsid w:val="009B152B"/>
    <w:rsid w:val="009B2731"/>
    <w:rsid w:val="009B2DCF"/>
    <w:rsid w:val="009B384C"/>
    <w:rsid w:val="009B39D8"/>
    <w:rsid w:val="009B3D38"/>
    <w:rsid w:val="009B4368"/>
    <w:rsid w:val="009B4D4C"/>
    <w:rsid w:val="009B66F5"/>
    <w:rsid w:val="009B7505"/>
    <w:rsid w:val="009B7F67"/>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89B"/>
    <w:rsid w:val="009D03B7"/>
    <w:rsid w:val="009D07AD"/>
    <w:rsid w:val="009D0824"/>
    <w:rsid w:val="009D1172"/>
    <w:rsid w:val="009D13CC"/>
    <w:rsid w:val="009D1654"/>
    <w:rsid w:val="009D1AAC"/>
    <w:rsid w:val="009D1BDB"/>
    <w:rsid w:val="009D298F"/>
    <w:rsid w:val="009D2F9C"/>
    <w:rsid w:val="009D4207"/>
    <w:rsid w:val="009D4225"/>
    <w:rsid w:val="009D4461"/>
    <w:rsid w:val="009D4E4A"/>
    <w:rsid w:val="009D5130"/>
    <w:rsid w:val="009D53D1"/>
    <w:rsid w:val="009D53FB"/>
    <w:rsid w:val="009D56A4"/>
    <w:rsid w:val="009D6081"/>
    <w:rsid w:val="009D6446"/>
    <w:rsid w:val="009D678C"/>
    <w:rsid w:val="009D6B9A"/>
    <w:rsid w:val="009D6D30"/>
    <w:rsid w:val="009D7523"/>
    <w:rsid w:val="009D76B5"/>
    <w:rsid w:val="009D7AF1"/>
    <w:rsid w:val="009D7BC7"/>
    <w:rsid w:val="009D7FAC"/>
    <w:rsid w:val="009E0109"/>
    <w:rsid w:val="009E0342"/>
    <w:rsid w:val="009E098B"/>
    <w:rsid w:val="009E09AB"/>
    <w:rsid w:val="009E0D2F"/>
    <w:rsid w:val="009E0D7D"/>
    <w:rsid w:val="009E0DAF"/>
    <w:rsid w:val="009E19BB"/>
    <w:rsid w:val="009E1C47"/>
    <w:rsid w:val="009E38D1"/>
    <w:rsid w:val="009E3DF1"/>
    <w:rsid w:val="009E40FF"/>
    <w:rsid w:val="009E47DD"/>
    <w:rsid w:val="009E48DE"/>
    <w:rsid w:val="009E514A"/>
    <w:rsid w:val="009E5177"/>
    <w:rsid w:val="009E5701"/>
    <w:rsid w:val="009E5711"/>
    <w:rsid w:val="009E758E"/>
    <w:rsid w:val="009E7737"/>
    <w:rsid w:val="009E7BC5"/>
    <w:rsid w:val="009E7BFB"/>
    <w:rsid w:val="009E7D6B"/>
    <w:rsid w:val="009E7E81"/>
    <w:rsid w:val="009F020A"/>
    <w:rsid w:val="009F02B9"/>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5C92"/>
    <w:rsid w:val="009F70F1"/>
    <w:rsid w:val="00A000C5"/>
    <w:rsid w:val="00A00213"/>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270"/>
    <w:rsid w:val="00A044AA"/>
    <w:rsid w:val="00A04763"/>
    <w:rsid w:val="00A0700C"/>
    <w:rsid w:val="00A102F8"/>
    <w:rsid w:val="00A10A20"/>
    <w:rsid w:val="00A10B3E"/>
    <w:rsid w:val="00A117D5"/>
    <w:rsid w:val="00A11C11"/>
    <w:rsid w:val="00A12280"/>
    <w:rsid w:val="00A12720"/>
    <w:rsid w:val="00A12ED1"/>
    <w:rsid w:val="00A130DC"/>
    <w:rsid w:val="00A13121"/>
    <w:rsid w:val="00A131F5"/>
    <w:rsid w:val="00A133C1"/>
    <w:rsid w:val="00A13414"/>
    <w:rsid w:val="00A13675"/>
    <w:rsid w:val="00A138B7"/>
    <w:rsid w:val="00A13F2D"/>
    <w:rsid w:val="00A148A0"/>
    <w:rsid w:val="00A14AA8"/>
    <w:rsid w:val="00A14F81"/>
    <w:rsid w:val="00A151D8"/>
    <w:rsid w:val="00A1535F"/>
    <w:rsid w:val="00A15CB1"/>
    <w:rsid w:val="00A15DCC"/>
    <w:rsid w:val="00A15E7D"/>
    <w:rsid w:val="00A15E84"/>
    <w:rsid w:val="00A16021"/>
    <w:rsid w:val="00A16961"/>
    <w:rsid w:val="00A176DD"/>
    <w:rsid w:val="00A1770E"/>
    <w:rsid w:val="00A21773"/>
    <w:rsid w:val="00A21838"/>
    <w:rsid w:val="00A22326"/>
    <w:rsid w:val="00A22C3E"/>
    <w:rsid w:val="00A22C4D"/>
    <w:rsid w:val="00A23343"/>
    <w:rsid w:val="00A2334E"/>
    <w:rsid w:val="00A23442"/>
    <w:rsid w:val="00A239AD"/>
    <w:rsid w:val="00A249D2"/>
    <w:rsid w:val="00A254AB"/>
    <w:rsid w:val="00A259F2"/>
    <w:rsid w:val="00A266CC"/>
    <w:rsid w:val="00A26DB4"/>
    <w:rsid w:val="00A27425"/>
    <w:rsid w:val="00A27F0F"/>
    <w:rsid w:val="00A3023E"/>
    <w:rsid w:val="00A305C5"/>
    <w:rsid w:val="00A30919"/>
    <w:rsid w:val="00A31F05"/>
    <w:rsid w:val="00A31FD2"/>
    <w:rsid w:val="00A33723"/>
    <w:rsid w:val="00A33924"/>
    <w:rsid w:val="00A33CF5"/>
    <w:rsid w:val="00A3404D"/>
    <w:rsid w:val="00A341AB"/>
    <w:rsid w:val="00A34290"/>
    <w:rsid w:val="00A355F9"/>
    <w:rsid w:val="00A357D3"/>
    <w:rsid w:val="00A35AA9"/>
    <w:rsid w:val="00A35F3C"/>
    <w:rsid w:val="00A36CF6"/>
    <w:rsid w:val="00A37309"/>
    <w:rsid w:val="00A37329"/>
    <w:rsid w:val="00A37558"/>
    <w:rsid w:val="00A3786A"/>
    <w:rsid w:val="00A37D5A"/>
    <w:rsid w:val="00A37D63"/>
    <w:rsid w:val="00A4008C"/>
    <w:rsid w:val="00A402A8"/>
    <w:rsid w:val="00A40685"/>
    <w:rsid w:val="00A40E2F"/>
    <w:rsid w:val="00A41819"/>
    <w:rsid w:val="00A41C9A"/>
    <w:rsid w:val="00A41D73"/>
    <w:rsid w:val="00A42406"/>
    <w:rsid w:val="00A433E8"/>
    <w:rsid w:val="00A43A1D"/>
    <w:rsid w:val="00A43AB0"/>
    <w:rsid w:val="00A44854"/>
    <w:rsid w:val="00A44A45"/>
    <w:rsid w:val="00A4651F"/>
    <w:rsid w:val="00A4665D"/>
    <w:rsid w:val="00A46859"/>
    <w:rsid w:val="00A46D39"/>
    <w:rsid w:val="00A47019"/>
    <w:rsid w:val="00A47247"/>
    <w:rsid w:val="00A472B8"/>
    <w:rsid w:val="00A47E11"/>
    <w:rsid w:val="00A47F4D"/>
    <w:rsid w:val="00A5004A"/>
    <w:rsid w:val="00A5013E"/>
    <w:rsid w:val="00A50149"/>
    <w:rsid w:val="00A5017C"/>
    <w:rsid w:val="00A502D6"/>
    <w:rsid w:val="00A502F5"/>
    <w:rsid w:val="00A504F4"/>
    <w:rsid w:val="00A507C4"/>
    <w:rsid w:val="00A508AA"/>
    <w:rsid w:val="00A50EE7"/>
    <w:rsid w:val="00A51A6F"/>
    <w:rsid w:val="00A526CE"/>
    <w:rsid w:val="00A52CFF"/>
    <w:rsid w:val="00A5468F"/>
    <w:rsid w:val="00A54909"/>
    <w:rsid w:val="00A54DC0"/>
    <w:rsid w:val="00A550C9"/>
    <w:rsid w:val="00A55228"/>
    <w:rsid w:val="00A55410"/>
    <w:rsid w:val="00A55A04"/>
    <w:rsid w:val="00A564DE"/>
    <w:rsid w:val="00A5670C"/>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67D58"/>
    <w:rsid w:val="00A70590"/>
    <w:rsid w:val="00A7062E"/>
    <w:rsid w:val="00A70834"/>
    <w:rsid w:val="00A71542"/>
    <w:rsid w:val="00A7171F"/>
    <w:rsid w:val="00A71FA0"/>
    <w:rsid w:val="00A71FBD"/>
    <w:rsid w:val="00A71FF6"/>
    <w:rsid w:val="00A72727"/>
    <w:rsid w:val="00A727D8"/>
    <w:rsid w:val="00A72C1A"/>
    <w:rsid w:val="00A732FB"/>
    <w:rsid w:val="00A73513"/>
    <w:rsid w:val="00A73AA7"/>
    <w:rsid w:val="00A7463E"/>
    <w:rsid w:val="00A74C54"/>
    <w:rsid w:val="00A75185"/>
    <w:rsid w:val="00A75696"/>
    <w:rsid w:val="00A758E2"/>
    <w:rsid w:val="00A7613D"/>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19A"/>
    <w:rsid w:val="00A86EED"/>
    <w:rsid w:val="00A8733A"/>
    <w:rsid w:val="00A8778D"/>
    <w:rsid w:val="00A90B45"/>
    <w:rsid w:val="00A9151F"/>
    <w:rsid w:val="00A9196B"/>
    <w:rsid w:val="00A91AEF"/>
    <w:rsid w:val="00A91BB5"/>
    <w:rsid w:val="00A91BEE"/>
    <w:rsid w:val="00A91D4B"/>
    <w:rsid w:val="00A920B2"/>
    <w:rsid w:val="00A92A96"/>
    <w:rsid w:val="00A92AF0"/>
    <w:rsid w:val="00A933FE"/>
    <w:rsid w:val="00A937D5"/>
    <w:rsid w:val="00A93C41"/>
    <w:rsid w:val="00A93C70"/>
    <w:rsid w:val="00A93F85"/>
    <w:rsid w:val="00A94423"/>
    <w:rsid w:val="00A94A32"/>
    <w:rsid w:val="00A94AFC"/>
    <w:rsid w:val="00A94BF5"/>
    <w:rsid w:val="00A94D97"/>
    <w:rsid w:val="00A9686A"/>
    <w:rsid w:val="00A96B4A"/>
    <w:rsid w:val="00A97717"/>
    <w:rsid w:val="00A97BDA"/>
    <w:rsid w:val="00A97F56"/>
    <w:rsid w:val="00AA043A"/>
    <w:rsid w:val="00AA0779"/>
    <w:rsid w:val="00AA08F3"/>
    <w:rsid w:val="00AA0A7E"/>
    <w:rsid w:val="00AA0F23"/>
    <w:rsid w:val="00AA1067"/>
    <w:rsid w:val="00AA1163"/>
    <w:rsid w:val="00AA1DA8"/>
    <w:rsid w:val="00AA222C"/>
    <w:rsid w:val="00AA2264"/>
    <w:rsid w:val="00AA238E"/>
    <w:rsid w:val="00AA2483"/>
    <w:rsid w:val="00AA248C"/>
    <w:rsid w:val="00AA253B"/>
    <w:rsid w:val="00AA29F8"/>
    <w:rsid w:val="00AA3243"/>
    <w:rsid w:val="00AA388F"/>
    <w:rsid w:val="00AA3C4C"/>
    <w:rsid w:val="00AA408E"/>
    <w:rsid w:val="00AA4DA9"/>
    <w:rsid w:val="00AA4F6D"/>
    <w:rsid w:val="00AA50CE"/>
    <w:rsid w:val="00AA536B"/>
    <w:rsid w:val="00AA57C3"/>
    <w:rsid w:val="00AA57C9"/>
    <w:rsid w:val="00AA5A5C"/>
    <w:rsid w:val="00AA5A6F"/>
    <w:rsid w:val="00AA634D"/>
    <w:rsid w:val="00AA6F6C"/>
    <w:rsid w:val="00AA721D"/>
    <w:rsid w:val="00AA7519"/>
    <w:rsid w:val="00AA790A"/>
    <w:rsid w:val="00AA7CD0"/>
    <w:rsid w:val="00AB02EA"/>
    <w:rsid w:val="00AB0B63"/>
    <w:rsid w:val="00AB110C"/>
    <w:rsid w:val="00AB11EF"/>
    <w:rsid w:val="00AB135F"/>
    <w:rsid w:val="00AB227A"/>
    <w:rsid w:val="00AB22BF"/>
    <w:rsid w:val="00AB256E"/>
    <w:rsid w:val="00AB3466"/>
    <w:rsid w:val="00AB38B2"/>
    <w:rsid w:val="00AB3BBB"/>
    <w:rsid w:val="00AB408C"/>
    <w:rsid w:val="00AB40DD"/>
    <w:rsid w:val="00AB43AF"/>
    <w:rsid w:val="00AB4E41"/>
    <w:rsid w:val="00AB5A33"/>
    <w:rsid w:val="00AB5EB1"/>
    <w:rsid w:val="00AB6003"/>
    <w:rsid w:val="00AB6344"/>
    <w:rsid w:val="00AB759A"/>
    <w:rsid w:val="00AB7B06"/>
    <w:rsid w:val="00AB7EAA"/>
    <w:rsid w:val="00AC0432"/>
    <w:rsid w:val="00AC0770"/>
    <w:rsid w:val="00AC09D2"/>
    <w:rsid w:val="00AC1683"/>
    <w:rsid w:val="00AC1D82"/>
    <w:rsid w:val="00AC2D5F"/>
    <w:rsid w:val="00AC4094"/>
    <w:rsid w:val="00AC42B6"/>
    <w:rsid w:val="00AC4AB7"/>
    <w:rsid w:val="00AC51E0"/>
    <w:rsid w:val="00AC55E0"/>
    <w:rsid w:val="00AC6987"/>
    <w:rsid w:val="00AC6CF3"/>
    <w:rsid w:val="00AC6D24"/>
    <w:rsid w:val="00AC6E18"/>
    <w:rsid w:val="00AC75EB"/>
    <w:rsid w:val="00AC7F64"/>
    <w:rsid w:val="00AD1065"/>
    <w:rsid w:val="00AD159E"/>
    <w:rsid w:val="00AD2AB1"/>
    <w:rsid w:val="00AD3132"/>
    <w:rsid w:val="00AD33A5"/>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003"/>
    <w:rsid w:val="00AF7389"/>
    <w:rsid w:val="00AF76B7"/>
    <w:rsid w:val="00AF79DF"/>
    <w:rsid w:val="00AF7C37"/>
    <w:rsid w:val="00B00378"/>
    <w:rsid w:val="00B00D91"/>
    <w:rsid w:val="00B00E84"/>
    <w:rsid w:val="00B01DD9"/>
    <w:rsid w:val="00B01F0E"/>
    <w:rsid w:val="00B02680"/>
    <w:rsid w:val="00B02E98"/>
    <w:rsid w:val="00B038F1"/>
    <w:rsid w:val="00B0392E"/>
    <w:rsid w:val="00B03C1B"/>
    <w:rsid w:val="00B0430C"/>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546"/>
    <w:rsid w:val="00B14F47"/>
    <w:rsid w:val="00B15282"/>
    <w:rsid w:val="00B15286"/>
    <w:rsid w:val="00B1539F"/>
    <w:rsid w:val="00B1550D"/>
    <w:rsid w:val="00B15F6C"/>
    <w:rsid w:val="00B163E8"/>
    <w:rsid w:val="00B16A6F"/>
    <w:rsid w:val="00B16B1F"/>
    <w:rsid w:val="00B16FDB"/>
    <w:rsid w:val="00B1767E"/>
    <w:rsid w:val="00B20760"/>
    <w:rsid w:val="00B2125C"/>
    <w:rsid w:val="00B21676"/>
    <w:rsid w:val="00B219E1"/>
    <w:rsid w:val="00B21ECF"/>
    <w:rsid w:val="00B22150"/>
    <w:rsid w:val="00B226DE"/>
    <w:rsid w:val="00B22FB5"/>
    <w:rsid w:val="00B241D5"/>
    <w:rsid w:val="00B243C7"/>
    <w:rsid w:val="00B24BE9"/>
    <w:rsid w:val="00B2547E"/>
    <w:rsid w:val="00B2551D"/>
    <w:rsid w:val="00B25F8C"/>
    <w:rsid w:val="00B260BE"/>
    <w:rsid w:val="00B260DE"/>
    <w:rsid w:val="00B26677"/>
    <w:rsid w:val="00B26A96"/>
    <w:rsid w:val="00B26E58"/>
    <w:rsid w:val="00B26F5E"/>
    <w:rsid w:val="00B27251"/>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74E"/>
    <w:rsid w:val="00B37B8E"/>
    <w:rsid w:val="00B37C34"/>
    <w:rsid w:val="00B40222"/>
    <w:rsid w:val="00B404C3"/>
    <w:rsid w:val="00B4160A"/>
    <w:rsid w:val="00B41618"/>
    <w:rsid w:val="00B41A04"/>
    <w:rsid w:val="00B42743"/>
    <w:rsid w:val="00B430E9"/>
    <w:rsid w:val="00B4311F"/>
    <w:rsid w:val="00B431AE"/>
    <w:rsid w:val="00B43A43"/>
    <w:rsid w:val="00B44288"/>
    <w:rsid w:val="00B448BF"/>
    <w:rsid w:val="00B45A59"/>
    <w:rsid w:val="00B45F9F"/>
    <w:rsid w:val="00B4627C"/>
    <w:rsid w:val="00B4641F"/>
    <w:rsid w:val="00B46580"/>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4E1"/>
    <w:rsid w:val="00B53623"/>
    <w:rsid w:val="00B53D1D"/>
    <w:rsid w:val="00B53E98"/>
    <w:rsid w:val="00B53F9B"/>
    <w:rsid w:val="00B54B19"/>
    <w:rsid w:val="00B55F64"/>
    <w:rsid w:val="00B56007"/>
    <w:rsid w:val="00B561D7"/>
    <w:rsid w:val="00B56CE0"/>
    <w:rsid w:val="00B56ECA"/>
    <w:rsid w:val="00B56EF6"/>
    <w:rsid w:val="00B57093"/>
    <w:rsid w:val="00B57B5D"/>
    <w:rsid w:val="00B60613"/>
    <w:rsid w:val="00B60BE6"/>
    <w:rsid w:val="00B61AEC"/>
    <w:rsid w:val="00B6244C"/>
    <w:rsid w:val="00B62774"/>
    <w:rsid w:val="00B62A2F"/>
    <w:rsid w:val="00B62B7B"/>
    <w:rsid w:val="00B62D3F"/>
    <w:rsid w:val="00B62F0A"/>
    <w:rsid w:val="00B63484"/>
    <w:rsid w:val="00B634B7"/>
    <w:rsid w:val="00B634F1"/>
    <w:rsid w:val="00B637EF"/>
    <w:rsid w:val="00B63EF6"/>
    <w:rsid w:val="00B6440A"/>
    <w:rsid w:val="00B65788"/>
    <w:rsid w:val="00B65844"/>
    <w:rsid w:val="00B66054"/>
    <w:rsid w:val="00B66563"/>
    <w:rsid w:val="00B6677F"/>
    <w:rsid w:val="00B66950"/>
    <w:rsid w:val="00B66C7A"/>
    <w:rsid w:val="00B66D0C"/>
    <w:rsid w:val="00B672EA"/>
    <w:rsid w:val="00B6747B"/>
    <w:rsid w:val="00B70200"/>
    <w:rsid w:val="00B702D7"/>
    <w:rsid w:val="00B70389"/>
    <w:rsid w:val="00B70E01"/>
    <w:rsid w:val="00B713F0"/>
    <w:rsid w:val="00B71973"/>
    <w:rsid w:val="00B72A0B"/>
    <w:rsid w:val="00B72CF0"/>
    <w:rsid w:val="00B7380E"/>
    <w:rsid w:val="00B740F6"/>
    <w:rsid w:val="00B74615"/>
    <w:rsid w:val="00B7474B"/>
    <w:rsid w:val="00B74789"/>
    <w:rsid w:val="00B75408"/>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21"/>
    <w:rsid w:val="00B81742"/>
    <w:rsid w:val="00B817B5"/>
    <w:rsid w:val="00B81BC5"/>
    <w:rsid w:val="00B823A6"/>
    <w:rsid w:val="00B829C4"/>
    <w:rsid w:val="00B83295"/>
    <w:rsid w:val="00B83E76"/>
    <w:rsid w:val="00B83FA0"/>
    <w:rsid w:val="00B84156"/>
    <w:rsid w:val="00B841D5"/>
    <w:rsid w:val="00B846E6"/>
    <w:rsid w:val="00B847E5"/>
    <w:rsid w:val="00B8537B"/>
    <w:rsid w:val="00B85586"/>
    <w:rsid w:val="00B859FB"/>
    <w:rsid w:val="00B86289"/>
    <w:rsid w:val="00B863B3"/>
    <w:rsid w:val="00B869D3"/>
    <w:rsid w:val="00B86CF8"/>
    <w:rsid w:val="00B86E44"/>
    <w:rsid w:val="00B87359"/>
    <w:rsid w:val="00B87C2A"/>
    <w:rsid w:val="00B87F1C"/>
    <w:rsid w:val="00B90D8D"/>
    <w:rsid w:val="00B91263"/>
    <w:rsid w:val="00B91B61"/>
    <w:rsid w:val="00B92E64"/>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016"/>
    <w:rsid w:val="00BA050E"/>
    <w:rsid w:val="00BA1289"/>
    <w:rsid w:val="00BA14B2"/>
    <w:rsid w:val="00BA15DC"/>
    <w:rsid w:val="00BA1E2F"/>
    <w:rsid w:val="00BA1EB8"/>
    <w:rsid w:val="00BA2907"/>
    <w:rsid w:val="00BA2C82"/>
    <w:rsid w:val="00BA2FB2"/>
    <w:rsid w:val="00BA308C"/>
    <w:rsid w:val="00BA3532"/>
    <w:rsid w:val="00BA3869"/>
    <w:rsid w:val="00BA39EB"/>
    <w:rsid w:val="00BA4399"/>
    <w:rsid w:val="00BA4452"/>
    <w:rsid w:val="00BA46C6"/>
    <w:rsid w:val="00BA4ACF"/>
    <w:rsid w:val="00BA5039"/>
    <w:rsid w:val="00BA5800"/>
    <w:rsid w:val="00BA583B"/>
    <w:rsid w:val="00BA5DF2"/>
    <w:rsid w:val="00BA5EC7"/>
    <w:rsid w:val="00BA6319"/>
    <w:rsid w:val="00BA63CE"/>
    <w:rsid w:val="00BA65FC"/>
    <w:rsid w:val="00BA676E"/>
    <w:rsid w:val="00BA6980"/>
    <w:rsid w:val="00BA6E22"/>
    <w:rsid w:val="00BA6EF2"/>
    <w:rsid w:val="00BA7227"/>
    <w:rsid w:val="00BA763C"/>
    <w:rsid w:val="00BA784D"/>
    <w:rsid w:val="00BA7CD7"/>
    <w:rsid w:val="00BB00E5"/>
    <w:rsid w:val="00BB1688"/>
    <w:rsid w:val="00BB1EFB"/>
    <w:rsid w:val="00BB269F"/>
    <w:rsid w:val="00BB270D"/>
    <w:rsid w:val="00BB27CC"/>
    <w:rsid w:val="00BB2ACE"/>
    <w:rsid w:val="00BB2E4E"/>
    <w:rsid w:val="00BB2E62"/>
    <w:rsid w:val="00BB36C9"/>
    <w:rsid w:val="00BB3A66"/>
    <w:rsid w:val="00BB40D1"/>
    <w:rsid w:val="00BB610B"/>
    <w:rsid w:val="00BB777D"/>
    <w:rsid w:val="00BB7EC0"/>
    <w:rsid w:val="00BB7F88"/>
    <w:rsid w:val="00BC0207"/>
    <w:rsid w:val="00BC072C"/>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8B3"/>
    <w:rsid w:val="00BD1BDD"/>
    <w:rsid w:val="00BD1D7D"/>
    <w:rsid w:val="00BD1E27"/>
    <w:rsid w:val="00BD2B4D"/>
    <w:rsid w:val="00BD2F08"/>
    <w:rsid w:val="00BD2FB9"/>
    <w:rsid w:val="00BD31C2"/>
    <w:rsid w:val="00BD3683"/>
    <w:rsid w:val="00BD376F"/>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501"/>
    <w:rsid w:val="00BE1EF0"/>
    <w:rsid w:val="00BE246C"/>
    <w:rsid w:val="00BE2657"/>
    <w:rsid w:val="00BE2FD2"/>
    <w:rsid w:val="00BE3473"/>
    <w:rsid w:val="00BE377A"/>
    <w:rsid w:val="00BE37AE"/>
    <w:rsid w:val="00BE3B14"/>
    <w:rsid w:val="00BE3C65"/>
    <w:rsid w:val="00BE4222"/>
    <w:rsid w:val="00BE452F"/>
    <w:rsid w:val="00BE472D"/>
    <w:rsid w:val="00BE4C03"/>
    <w:rsid w:val="00BE4C13"/>
    <w:rsid w:val="00BE593E"/>
    <w:rsid w:val="00BE5A35"/>
    <w:rsid w:val="00BE5C04"/>
    <w:rsid w:val="00BE7D6A"/>
    <w:rsid w:val="00BE7F4D"/>
    <w:rsid w:val="00BF02CD"/>
    <w:rsid w:val="00BF03C0"/>
    <w:rsid w:val="00BF0EBF"/>
    <w:rsid w:val="00BF1534"/>
    <w:rsid w:val="00BF153D"/>
    <w:rsid w:val="00BF1CB7"/>
    <w:rsid w:val="00BF2021"/>
    <w:rsid w:val="00BF21D4"/>
    <w:rsid w:val="00BF2829"/>
    <w:rsid w:val="00BF2DDC"/>
    <w:rsid w:val="00BF313C"/>
    <w:rsid w:val="00BF32DE"/>
    <w:rsid w:val="00BF4A15"/>
    <w:rsid w:val="00BF4E0E"/>
    <w:rsid w:val="00BF4E27"/>
    <w:rsid w:val="00BF4F7C"/>
    <w:rsid w:val="00BF537B"/>
    <w:rsid w:val="00BF55FF"/>
    <w:rsid w:val="00BF5901"/>
    <w:rsid w:val="00BF626A"/>
    <w:rsid w:val="00BF688E"/>
    <w:rsid w:val="00BF6D77"/>
    <w:rsid w:val="00BF704C"/>
    <w:rsid w:val="00BF70C8"/>
    <w:rsid w:val="00BF739A"/>
    <w:rsid w:val="00BF7EF5"/>
    <w:rsid w:val="00C00358"/>
    <w:rsid w:val="00C00BF6"/>
    <w:rsid w:val="00C01146"/>
    <w:rsid w:val="00C0234A"/>
    <w:rsid w:val="00C0247B"/>
    <w:rsid w:val="00C0363A"/>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6EA"/>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402"/>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99B"/>
    <w:rsid w:val="00C24C2E"/>
    <w:rsid w:val="00C24C7A"/>
    <w:rsid w:val="00C24FFB"/>
    <w:rsid w:val="00C25CFF"/>
    <w:rsid w:val="00C25D94"/>
    <w:rsid w:val="00C25EA6"/>
    <w:rsid w:val="00C26164"/>
    <w:rsid w:val="00C261C1"/>
    <w:rsid w:val="00C26540"/>
    <w:rsid w:val="00C26574"/>
    <w:rsid w:val="00C26A27"/>
    <w:rsid w:val="00C26DBF"/>
    <w:rsid w:val="00C27199"/>
    <w:rsid w:val="00C27204"/>
    <w:rsid w:val="00C304E9"/>
    <w:rsid w:val="00C30B0B"/>
    <w:rsid w:val="00C31214"/>
    <w:rsid w:val="00C31320"/>
    <w:rsid w:val="00C316B4"/>
    <w:rsid w:val="00C32F03"/>
    <w:rsid w:val="00C332D4"/>
    <w:rsid w:val="00C33514"/>
    <w:rsid w:val="00C33A66"/>
    <w:rsid w:val="00C33E51"/>
    <w:rsid w:val="00C34C45"/>
    <w:rsid w:val="00C34C47"/>
    <w:rsid w:val="00C34FCE"/>
    <w:rsid w:val="00C34FF6"/>
    <w:rsid w:val="00C35411"/>
    <w:rsid w:val="00C35EED"/>
    <w:rsid w:val="00C36B2C"/>
    <w:rsid w:val="00C3701A"/>
    <w:rsid w:val="00C379EF"/>
    <w:rsid w:val="00C379F5"/>
    <w:rsid w:val="00C405C8"/>
    <w:rsid w:val="00C40C2F"/>
    <w:rsid w:val="00C415AC"/>
    <w:rsid w:val="00C428B6"/>
    <w:rsid w:val="00C4297A"/>
    <w:rsid w:val="00C4360C"/>
    <w:rsid w:val="00C439B8"/>
    <w:rsid w:val="00C43A0B"/>
    <w:rsid w:val="00C43EDA"/>
    <w:rsid w:val="00C43FEC"/>
    <w:rsid w:val="00C4414C"/>
    <w:rsid w:val="00C45512"/>
    <w:rsid w:val="00C4602B"/>
    <w:rsid w:val="00C46564"/>
    <w:rsid w:val="00C46BB5"/>
    <w:rsid w:val="00C46BFA"/>
    <w:rsid w:val="00C46DDF"/>
    <w:rsid w:val="00C500A1"/>
    <w:rsid w:val="00C50A02"/>
    <w:rsid w:val="00C51149"/>
    <w:rsid w:val="00C5117E"/>
    <w:rsid w:val="00C512D1"/>
    <w:rsid w:val="00C51856"/>
    <w:rsid w:val="00C51B04"/>
    <w:rsid w:val="00C51DB5"/>
    <w:rsid w:val="00C52959"/>
    <w:rsid w:val="00C53CE9"/>
    <w:rsid w:val="00C5531B"/>
    <w:rsid w:val="00C55375"/>
    <w:rsid w:val="00C5570F"/>
    <w:rsid w:val="00C56C98"/>
    <w:rsid w:val="00C56DE1"/>
    <w:rsid w:val="00C56DEE"/>
    <w:rsid w:val="00C5710A"/>
    <w:rsid w:val="00C57120"/>
    <w:rsid w:val="00C571D5"/>
    <w:rsid w:val="00C575D4"/>
    <w:rsid w:val="00C61223"/>
    <w:rsid w:val="00C61246"/>
    <w:rsid w:val="00C618A8"/>
    <w:rsid w:val="00C61A78"/>
    <w:rsid w:val="00C621E1"/>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C4F"/>
    <w:rsid w:val="00C70718"/>
    <w:rsid w:val="00C70B25"/>
    <w:rsid w:val="00C713E1"/>
    <w:rsid w:val="00C71528"/>
    <w:rsid w:val="00C717E4"/>
    <w:rsid w:val="00C7191B"/>
    <w:rsid w:val="00C71F09"/>
    <w:rsid w:val="00C72443"/>
    <w:rsid w:val="00C72588"/>
    <w:rsid w:val="00C727B9"/>
    <w:rsid w:val="00C72F44"/>
    <w:rsid w:val="00C73670"/>
    <w:rsid w:val="00C737D1"/>
    <w:rsid w:val="00C738A0"/>
    <w:rsid w:val="00C73DE0"/>
    <w:rsid w:val="00C74609"/>
    <w:rsid w:val="00C749AB"/>
    <w:rsid w:val="00C757BF"/>
    <w:rsid w:val="00C75A8F"/>
    <w:rsid w:val="00C76129"/>
    <w:rsid w:val="00C76C0C"/>
    <w:rsid w:val="00C76FFC"/>
    <w:rsid w:val="00C774E0"/>
    <w:rsid w:val="00C77526"/>
    <w:rsid w:val="00C776BA"/>
    <w:rsid w:val="00C7791E"/>
    <w:rsid w:val="00C80994"/>
    <w:rsid w:val="00C81716"/>
    <w:rsid w:val="00C82BD2"/>
    <w:rsid w:val="00C832CB"/>
    <w:rsid w:val="00C83C1C"/>
    <w:rsid w:val="00C84085"/>
    <w:rsid w:val="00C852DC"/>
    <w:rsid w:val="00C854A8"/>
    <w:rsid w:val="00C85677"/>
    <w:rsid w:val="00C85E17"/>
    <w:rsid w:val="00C85F6A"/>
    <w:rsid w:val="00C861FF"/>
    <w:rsid w:val="00C868A7"/>
    <w:rsid w:val="00C86ABA"/>
    <w:rsid w:val="00C86BF7"/>
    <w:rsid w:val="00C87164"/>
    <w:rsid w:val="00C8786A"/>
    <w:rsid w:val="00C87BBA"/>
    <w:rsid w:val="00C87BD0"/>
    <w:rsid w:val="00C90492"/>
    <w:rsid w:val="00C905E5"/>
    <w:rsid w:val="00C90754"/>
    <w:rsid w:val="00C908A1"/>
    <w:rsid w:val="00C90B95"/>
    <w:rsid w:val="00C90BC4"/>
    <w:rsid w:val="00C90CA9"/>
    <w:rsid w:val="00C91802"/>
    <w:rsid w:val="00C91F6F"/>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34A"/>
    <w:rsid w:val="00CA6A2E"/>
    <w:rsid w:val="00CA6B56"/>
    <w:rsid w:val="00CA7D3E"/>
    <w:rsid w:val="00CB0317"/>
    <w:rsid w:val="00CB0662"/>
    <w:rsid w:val="00CB0A82"/>
    <w:rsid w:val="00CB0F2F"/>
    <w:rsid w:val="00CB0F76"/>
    <w:rsid w:val="00CB10EA"/>
    <w:rsid w:val="00CB1556"/>
    <w:rsid w:val="00CB2913"/>
    <w:rsid w:val="00CB3970"/>
    <w:rsid w:val="00CB4234"/>
    <w:rsid w:val="00CB42B9"/>
    <w:rsid w:val="00CB4550"/>
    <w:rsid w:val="00CB4F39"/>
    <w:rsid w:val="00CB52A4"/>
    <w:rsid w:val="00CB537C"/>
    <w:rsid w:val="00CB5A26"/>
    <w:rsid w:val="00CB645B"/>
    <w:rsid w:val="00CB6A93"/>
    <w:rsid w:val="00CB6C79"/>
    <w:rsid w:val="00CB6F2E"/>
    <w:rsid w:val="00CB77C3"/>
    <w:rsid w:val="00CB7E9C"/>
    <w:rsid w:val="00CC0072"/>
    <w:rsid w:val="00CC027A"/>
    <w:rsid w:val="00CC0915"/>
    <w:rsid w:val="00CC0FBD"/>
    <w:rsid w:val="00CC1398"/>
    <w:rsid w:val="00CC1AF5"/>
    <w:rsid w:val="00CC1B74"/>
    <w:rsid w:val="00CC291E"/>
    <w:rsid w:val="00CC2D03"/>
    <w:rsid w:val="00CC2EB0"/>
    <w:rsid w:val="00CC40EC"/>
    <w:rsid w:val="00CC4701"/>
    <w:rsid w:val="00CC56B4"/>
    <w:rsid w:val="00CC5F95"/>
    <w:rsid w:val="00CC642A"/>
    <w:rsid w:val="00CC6AC7"/>
    <w:rsid w:val="00CC733D"/>
    <w:rsid w:val="00CC7617"/>
    <w:rsid w:val="00CC7E0D"/>
    <w:rsid w:val="00CC7E97"/>
    <w:rsid w:val="00CD00EB"/>
    <w:rsid w:val="00CD1255"/>
    <w:rsid w:val="00CD1343"/>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526"/>
    <w:rsid w:val="00CD66BA"/>
    <w:rsid w:val="00CD68D5"/>
    <w:rsid w:val="00CD699D"/>
    <w:rsid w:val="00CD6BA3"/>
    <w:rsid w:val="00CD70DB"/>
    <w:rsid w:val="00CD7544"/>
    <w:rsid w:val="00CD78D4"/>
    <w:rsid w:val="00CE03AB"/>
    <w:rsid w:val="00CE0697"/>
    <w:rsid w:val="00CE0CA0"/>
    <w:rsid w:val="00CE14CB"/>
    <w:rsid w:val="00CE20E0"/>
    <w:rsid w:val="00CE2E2E"/>
    <w:rsid w:val="00CE3A51"/>
    <w:rsid w:val="00CE41F9"/>
    <w:rsid w:val="00CE4E0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545"/>
    <w:rsid w:val="00CF3AD3"/>
    <w:rsid w:val="00CF3D9D"/>
    <w:rsid w:val="00CF475F"/>
    <w:rsid w:val="00CF5008"/>
    <w:rsid w:val="00CF5069"/>
    <w:rsid w:val="00CF59BF"/>
    <w:rsid w:val="00CF5E34"/>
    <w:rsid w:val="00CF6025"/>
    <w:rsid w:val="00CF6707"/>
    <w:rsid w:val="00CF7101"/>
    <w:rsid w:val="00CF7327"/>
    <w:rsid w:val="00CF7385"/>
    <w:rsid w:val="00CF7539"/>
    <w:rsid w:val="00CF75C6"/>
    <w:rsid w:val="00CF7B77"/>
    <w:rsid w:val="00CF7DF5"/>
    <w:rsid w:val="00D001D2"/>
    <w:rsid w:val="00D02A80"/>
    <w:rsid w:val="00D0352D"/>
    <w:rsid w:val="00D038B7"/>
    <w:rsid w:val="00D038DC"/>
    <w:rsid w:val="00D04658"/>
    <w:rsid w:val="00D04DBF"/>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4F5"/>
    <w:rsid w:val="00D11FE3"/>
    <w:rsid w:val="00D12393"/>
    <w:rsid w:val="00D12945"/>
    <w:rsid w:val="00D12CC0"/>
    <w:rsid w:val="00D12DA1"/>
    <w:rsid w:val="00D130C0"/>
    <w:rsid w:val="00D1343A"/>
    <w:rsid w:val="00D13D50"/>
    <w:rsid w:val="00D14101"/>
    <w:rsid w:val="00D144D8"/>
    <w:rsid w:val="00D14919"/>
    <w:rsid w:val="00D14C99"/>
    <w:rsid w:val="00D14E25"/>
    <w:rsid w:val="00D14F8A"/>
    <w:rsid w:val="00D15470"/>
    <w:rsid w:val="00D15AE3"/>
    <w:rsid w:val="00D160C4"/>
    <w:rsid w:val="00D165D8"/>
    <w:rsid w:val="00D16B61"/>
    <w:rsid w:val="00D1724E"/>
    <w:rsid w:val="00D17C26"/>
    <w:rsid w:val="00D17E08"/>
    <w:rsid w:val="00D206F6"/>
    <w:rsid w:val="00D20FD1"/>
    <w:rsid w:val="00D214D4"/>
    <w:rsid w:val="00D21AAA"/>
    <w:rsid w:val="00D21E6F"/>
    <w:rsid w:val="00D2218A"/>
    <w:rsid w:val="00D22B13"/>
    <w:rsid w:val="00D2371E"/>
    <w:rsid w:val="00D237E0"/>
    <w:rsid w:val="00D23A17"/>
    <w:rsid w:val="00D24343"/>
    <w:rsid w:val="00D24DFC"/>
    <w:rsid w:val="00D251CB"/>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3DAA"/>
    <w:rsid w:val="00D3497A"/>
    <w:rsid w:val="00D34EBC"/>
    <w:rsid w:val="00D35F2F"/>
    <w:rsid w:val="00D35FC6"/>
    <w:rsid w:val="00D36BB8"/>
    <w:rsid w:val="00D377D4"/>
    <w:rsid w:val="00D401A1"/>
    <w:rsid w:val="00D40217"/>
    <w:rsid w:val="00D40385"/>
    <w:rsid w:val="00D404CE"/>
    <w:rsid w:val="00D40E8F"/>
    <w:rsid w:val="00D412BF"/>
    <w:rsid w:val="00D417C6"/>
    <w:rsid w:val="00D417D0"/>
    <w:rsid w:val="00D41DA9"/>
    <w:rsid w:val="00D42B0C"/>
    <w:rsid w:val="00D42D6E"/>
    <w:rsid w:val="00D43DEF"/>
    <w:rsid w:val="00D44259"/>
    <w:rsid w:val="00D45C61"/>
    <w:rsid w:val="00D45DDC"/>
    <w:rsid w:val="00D479B3"/>
    <w:rsid w:val="00D5064C"/>
    <w:rsid w:val="00D50C94"/>
    <w:rsid w:val="00D511E7"/>
    <w:rsid w:val="00D517ED"/>
    <w:rsid w:val="00D52490"/>
    <w:rsid w:val="00D5251C"/>
    <w:rsid w:val="00D52F56"/>
    <w:rsid w:val="00D539DA"/>
    <w:rsid w:val="00D53B3E"/>
    <w:rsid w:val="00D53EC6"/>
    <w:rsid w:val="00D54A50"/>
    <w:rsid w:val="00D54FFD"/>
    <w:rsid w:val="00D5552C"/>
    <w:rsid w:val="00D5556D"/>
    <w:rsid w:val="00D55C34"/>
    <w:rsid w:val="00D55C81"/>
    <w:rsid w:val="00D5674B"/>
    <w:rsid w:val="00D56B56"/>
    <w:rsid w:val="00D56BF5"/>
    <w:rsid w:val="00D56F99"/>
    <w:rsid w:val="00D5743F"/>
    <w:rsid w:val="00D5768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5EA1"/>
    <w:rsid w:val="00D6611C"/>
    <w:rsid w:val="00D66D1F"/>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7FD"/>
    <w:rsid w:val="00D76A76"/>
    <w:rsid w:val="00D774F4"/>
    <w:rsid w:val="00D77687"/>
    <w:rsid w:val="00D778A1"/>
    <w:rsid w:val="00D77AF6"/>
    <w:rsid w:val="00D804C5"/>
    <w:rsid w:val="00D815E6"/>
    <w:rsid w:val="00D81A28"/>
    <w:rsid w:val="00D81BDE"/>
    <w:rsid w:val="00D8201D"/>
    <w:rsid w:val="00D82531"/>
    <w:rsid w:val="00D82B00"/>
    <w:rsid w:val="00D82B04"/>
    <w:rsid w:val="00D82BE4"/>
    <w:rsid w:val="00D82E05"/>
    <w:rsid w:val="00D83C0D"/>
    <w:rsid w:val="00D83C80"/>
    <w:rsid w:val="00D83F5B"/>
    <w:rsid w:val="00D8426A"/>
    <w:rsid w:val="00D84327"/>
    <w:rsid w:val="00D84922"/>
    <w:rsid w:val="00D85FDE"/>
    <w:rsid w:val="00D864AD"/>
    <w:rsid w:val="00D8665E"/>
    <w:rsid w:val="00D869C1"/>
    <w:rsid w:val="00D86CA9"/>
    <w:rsid w:val="00D86EC6"/>
    <w:rsid w:val="00D87418"/>
    <w:rsid w:val="00D87A39"/>
    <w:rsid w:val="00D87FE6"/>
    <w:rsid w:val="00D90830"/>
    <w:rsid w:val="00D90BC3"/>
    <w:rsid w:val="00D90C93"/>
    <w:rsid w:val="00D90DB9"/>
    <w:rsid w:val="00D91001"/>
    <w:rsid w:val="00D910FF"/>
    <w:rsid w:val="00D912F4"/>
    <w:rsid w:val="00D91337"/>
    <w:rsid w:val="00D915C9"/>
    <w:rsid w:val="00D916C2"/>
    <w:rsid w:val="00D91798"/>
    <w:rsid w:val="00D918DA"/>
    <w:rsid w:val="00D9198F"/>
    <w:rsid w:val="00D92078"/>
    <w:rsid w:val="00D926F0"/>
    <w:rsid w:val="00D9274D"/>
    <w:rsid w:val="00D92A87"/>
    <w:rsid w:val="00D9319F"/>
    <w:rsid w:val="00D933E9"/>
    <w:rsid w:val="00D9384E"/>
    <w:rsid w:val="00D93AEE"/>
    <w:rsid w:val="00D93E95"/>
    <w:rsid w:val="00D9413E"/>
    <w:rsid w:val="00D94C8D"/>
    <w:rsid w:val="00D95F88"/>
    <w:rsid w:val="00D96698"/>
    <w:rsid w:val="00D96876"/>
    <w:rsid w:val="00D96940"/>
    <w:rsid w:val="00D96B12"/>
    <w:rsid w:val="00D96F59"/>
    <w:rsid w:val="00D9737A"/>
    <w:rsid w:val="00DA0175"/>
    <w:rsid w:val="00DA099C"/>
    <w:rsid w:val="00DA0F18"/>
    <w:rsid w:val="00DA1959"/>
    <w:rsid w:val="00DA2125"/>
    <w:rsid w:val="00DA21EC"/>
    <w:rsid w:val="00DA245B"/>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06FF"/>
    <w:rsid w:val="00DB14D3"/>
    <w:rsid w:val="00DB154B"/>
    <w:rsid w:val="00DB1BDC"/>
    <w:rsid w:val="00DB3490"/>
    <w:rsid w:val="00DB3593"/>
    <w:rsid w:val="00DB440B"/>
    <w:rsid w:val="00DB4426"/>
    <w:rsid w:val="00DB4522"/>
    <w:rsid w:val="00DB4B40"/>
    <w:rsid w:val="00DB4D77"/>
    <w:rsid w:val="00DB4F12"/>
    <w:rsid w:val="00DB4F21"/>
    <w:rsid w:val="00DB4F42"/>
    <w:rsid w:val="00DB540C"/>
    <w:rsid w:val="00DB5854"/>
    <w:rsid w:val="00DB58A3"/>
    <w:rsid w:val="00DB6F96"/>
    <w:rsid w:val="00DB71B9"/>
    <w:rsid w:val="00DB7662"/>
    <w:rsid w:val="00DB7E46"/>
    <w:rsid w:val="00DC063C"/>
    <w:rsid w:val="00DC1395"/>
    <w:rsid w:val="00DC32FC"/>
    <w:rsid w:val="00DC347D"/>
    <w:rsid w:val="00DC3D53"/>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C7F1D"/>
    <w:rsid w:val="00DD0273"/>
    <w:rsid w:val="00DD0359"/>
    <w:rsid w:val="00DD06ED"/>
    <w:rsid w:val="00DD09F2"/>
    <w:rsid w:val="00DD0DEE"/>
    <w:rsid w:val="00DD1205"/>
    <w:rsid w:val="00DD1633"/>
    <w:rsid w:val="00DD17A0"/>
    <w:rsid w:val="00DD1B97"/>
    <w:rsid w:val="00DD2182"/>
    <w:rsid w:val="00DD25D9"/>
    <w:rsid w:val="00DD2831"/>
    <w:rsid w:val="00DD2A6D"/>
    <w:rsid w:val="00DD2E17"/>
    <w:rsid w:val="00DD42DE"/>
    <w:rsid w:val="00DD4309"/>
    <w:rsid w:val="00DD4344"/>
    <w:rsid w:val="00DD4357"/>
    <w:rsid w:val="00DD4DDD"/>
    <w:rsid w:val="00DD549E"/>
    <w:rsid w:val="00DD573B"/>
    <w:rsid w:val="00DD57E7"/>
    <w:rsid w:val="00DD5A1E"/>
    <w:rsid w:val="00DD5B8C"/>
    <w:rsid w:val="00DD5DFA"/>
    <w:rsid w:val="00DD5E91"/>
    <w:rsid w:val="00DD6CE2"/>
    <w:rsid w:val="00DD720D"/>
    <w:rsid w:val="00DE0229"/>
    <w:rsid w:val="00DE0264"/>
    <w:rsid w:val="00DE04E0"/>
    <w:rsid w:val="00DE12F1"/>
    <w:rsid w:val="00DE1A9D"/>
    <w:rsid w:val="00DE1CB1"/>
    <w:rsid w:val="00DE1EA4"/>
    <w:rsid w:val="00DE2073"/>
    <w:rsid w:val="00DE2F10"/>
    <w:rsid w:val="00DE2F85"/>
    <w:rsid w:val="00DE30AC"/>
    <w:rsid w:val="00DE38D1"/>
    <w:rsid w:val="00DE4106"/>
    <w:rsid w:val="00DE466B"/>
    <w:rsid w:val="00DE48F4"/>
    <w:rsid w:val="00DE493B"/>
    <w:rsid w:val="00DE5563"/>
    <w:rsid w:val="00DE5C19"/>
    <w:rsid w:val="00DE5D48"/>
    <w:rsid w:val="00DE6157"/>
    <w:rsid w:val="00DE6E4D"/>
    <w:rsid w:val="00DE7498"/>
    <w:rsid w:val="00DE75EF"/>
    <w:rsid w:val="00DE7611"/>
    <w:rsid w:val="00DE7614"/>
    <w:rsid w:val="00DE7D19"/>
    <w:rsid w:val="00DF05A0"/>
    <w:rsid w:val="00DF1162"/>
    <w:rsid w:val="00DF1BA8"/>
    <w:rsid w:val="00DF1F63"/>
    <w:rsid w:val="00DF28F2"/>
    <w:rsid w:val="00DF2BFF"/>
    <w:rsid w:val="00DF30F6"/>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3C60"/>
    <w:rsid w:val="00E0479F"/>
    <w:rsid w:val="00E04816"/>
    <w:rsid w:val="00E04982"/>
    <w:rsid w:val="00E04D6A"/>
    <w:rsid w:val="00E058DB"/>
    <w:rsid w:val="00E05950"/>
    <w:rsid w:val="00E05CD4"/>
    <w:rsid w:val="00E05DE8"/>
    <w:rsid w:val="00E06100"/>
    <w:rsid w:val="00E0614E"/>
    <w:rsid w:val="00E0692E"/>
    <w:rsid w:val="00E06E97"/>
    <w:rsid w:val="00E07B8F"/>
    <w:rsid w:val="00E102A6"/>
    <w:rsid w:val="00E10712"/>
    <w:rsid w:val="00E1098D"/>
    <w:rsid w:val="00E10DD1"/>
    <w:rsid w:val="00E11105"/>
    <w:rsid w:val="00E1224C"/>
    <w:rsid w:val="00E1254C"/>
    <w:rsid w:val="00E1298C"/>
    <w:rsid w:val="00E12BDF"/>
    <w:rsid w:val="00E131D8"/>
    <w:rsid w:val="00E13326"/>
    <w:rsid w:val="00E13D07"/>
    <w:rsid w:val="00E14346"/>
    <w:rsid w:val="00E14356"/>
    <w:rsid w:val="00E14961"/>
    <w:rsid w:val="00E14D76"/>
    <w:rsid w:val="00E15183"/>
    <w:rsid w:val="00E15D6C"/>
    <w:rsid w:val="00E1720B"/>
    <w:rsid w:val="00E20057"/>
    <w:rsid w:val="00E203DE"/>
    <w:rsid w:val="00E2096D"/>
    <w:rsid w:val="00E20CE7"/>
    <w:rsid w:val="00E217B1"/>
    <w:rsid w:val="00E222FA"/>
    <w:rsid w:val="00E229CE"/>
    <w:rsid w:val="00E22B4A"/>
    <w:rsid w:val="00E2376D"/>
    <w:rsid w:val="00E2449B"/>
    <w:rsid w:val="00E24A62"/>
    <w:rsid w:val="00E24E3B"/>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7B5"/>
    <w:rsid w:val="00E327EB"/>
    <w:rsid w:val="00E33328"/>
    <w:rsid w:val="00E333D5"/>
    <w:rsid w:val="00E3394F"/>
    <w:rsid w:val="00E33A0B"/>
    <w:rsid w:val="00E34037"/>
    <w:rsid w:val="00E34A2F"/>
    <w:rsid w:val="00E355CA"/>
    <w:rsid w:val="00E35A45"/>
    <w:rsid w:val="00E35F7F"/>
    <w:rsid w:val="00E36392"/>
    <w:rsid w:val="00E36790"/>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4E6"/>
    <w:rsid w:val="00E43551"/>
    <w:rsid w:val="00E437FA"/>
    <w:rsid w:val="00E438F3"/>
    <w:rsid w:val="00E456A5"/>
    <w:rsid w:val="00E45A2C"/>
    <w:rsid w:val="00E46A6B"/>
    <w:rsid w:val="00E46A9C"/>
    <w:rsid w:val="00E47DB1"/>
    <w:rsid w:val="00E50BDD"/>
    <w:rsid w:val="00E510CF"/>
    <w:rsid w:val="00E513D7"/>
    <w:rsid w:val="00E519FE"/>
    <w:rsid w:val="00E5206C"/>
    <w:rsid w:val="00E52AAB"/>
    <w:rsid w:val="00E5448E"/>
    <w:rsid w:val="00E5477E"/>
    <w:rsid w:val="00E54E0D"/>
    <w:rsid w:val="00E54F47"/>
    <w:rsid w:val="00E55096"/>
    <w:rsid w:val="00E551E0"/>
    <w:rsid w:val="00E55247"/>
    <w:rsid w:val="00E558E5"/>
    <w:rsid w:val="00E55B3C"/>
    <w:rsid w:val="00E56795"/>
    <w:rsid w:val="00E56D88"/>
    <w:rsid w:val="00E56D96"/>
    <w:rsid w:val="00E57300"/>
    <w:rsid w:val="00E57594"/>
    <w:rsid w:val="00E57932"/>
    <w:rsid w:val="00E606C4"/>
    <w:rsid w:val="00E60811"/>
    <w:rsid w:val="00E60AB8"/>
    <w:rsid w:val="00E6103E"/>
    <w:rsid w:val="00E6185F"/>
    <w:rsid w:val="00E61D32"/>
    <w:rsid w:val="00E62FB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427B"/>
    <w:rsid w:val="00E950D4"/>
    <w:rsid w:val="00E951D8"/>
    <w:rsid w:val="00E95C2A"/>
    <w:rsid w:val="00E95F03"/>
    <w:rsid w:val="00E961CB"/>
    <w:rsid w:val="00E963BC"/>
    <w:rsid w:val="00E966A6"/>
    <w:rsid w:val="00E96D97"/>
    <w:rsid w:val="00E96E91"/>
    <w:rsid w:val="00E9751D"/>
    <w:rsid w:val="00E97DC6"/>
    <w:rsid w:val="00E97F7A"/>
    <w:rsid w:val="00EA0010"/>
    <w:rsid w:val="00EA0143"/>
    <w:rsid w:val="00EA06C4"/>
    <w:rsid w:val="00EA073C"/>
    <w:rsid w:val="00EA089B"/>
    <w:rsid w:val="00EA1ACC"/>
    <w:rsid w:val="00EA29E4"/>
    <w:rsid w:val="00EA2DCA"/>
    <w:rsid w:val="00EA2E21"/>
    <w:rsid w:val="00EA2EAA"/>
    <w:rsid w:val="00EA380C"/>
    <w:rsid w:val="00EA613D"/>
    <w:rsid w:val="00EA6645"/>
    <w:rsid w:val="00EA6744"/>
    <w:rsid w:val="00EA7077"/>
    <w:rsid w:val="00EA7308"/>
    <w:rsid w:val="00EA7474"/>
    <w:rsid w:val="00EB018D"/>
    <w:rsid w:val="00EB0831"/>
    <w:rsid w:val="00EB089C"/>
    <w:rsid w:val="00EB0AA8"/>
    <w:rsid w:val="00EB0B65"/>
    <w:rsid w:val="00EB0C65"/>
    <w:rsid w:val="00EB1624"/>
    <w:rsid w:val="00EB169F"/>
    <w:rsid w:val="00EB16D4"/>
    <w:rsid w:val="00EB2635"/>
    <w:rsid w:val="00EB2961"/>
    <w:rsid w:val="00EB2E1A"/>
    <w:rsid w:val="00EB2F8A"/>
    <w:rsid w:val="00EB3012"/>
    <w:rsid w:val="00EB3268"/>
    <w:rsid w:val="00EB3298"/>
    <w:rsid w:val="00EB33EA"/>
    <w:rsid w:val="00EB3939"/>
    <w:rsid w:val="00EB3CE6"/>
    <w:rsid w:val="00EB3E92"/>
    <w:rsid w:val="00EB54AB"/>
    <w:rsid w:val="00EB6257"/>
    <w:rsid w:val="00EB64E8"/>
    <w:rsid w:val="00EB68E6"/>
    <w:rsid w:val="00EB6AE9"/>
    <w:rsid w:val="00EB6B2D"/>
    <w:rsid w:val="00EB71C9"/>
    <w:rsid w:val="00EB763E"/>
    <w:rsid w:val="00EB7B67"/>
    <w:rsid w:val="00EC07F1"/>
    <w:rsid w:val="00EC1E8A"/>
    <w:rsid w:val="00EC328C"/>
    <w:rsid w:val="00EC32F5"/>
    <w:rsid w:val="00EC36FD"/>
    <w:rsid w:val="00EC3852"/>
    <w:rsid w:val="00EC4528"/>
    <w:rsid w:val="00EC5241"/>
    <w:rsid w:val="00EC5817"/>
    <w:rsid w:val="00EC594C"/>
    <w:rsid w:val="00EC5C7B"/>
    <w:rsid w:val="00EC5FAA"/>
    <w:rsid w:val="00EC66AA"/>
    <w:rsid w:val="00EC6B30"/>
    <w:rsid w:val="00EC6B8F"/>
    <w:rsid w:val="00EC7154"/>
    <w:rsid w:val="00EC7371"/>
    <w:rsid w:val="00EC73F5"/>
    <w:rsid w:val="00EC7894"/>
    <w:rsid w:val="00EC7A28"/>
    <w:rsid w:val="00EC7B48"/>
    <w:rsid w:val="00ED0151"/>
    <w:rsid w:val="00ED0257"/>
    <w:rsid w:val="00ED071B"/>
    <w:rsid w:val="00ED0D53"/>
    <w:rsid w:val="00ED149C"/>
    <w:rsid w:val="00ED18B1"/>
    <w:rsid w:val="00ED1ADE"/>
    <w:rsid w:val="00ED2F40"/>
    <w:rsid w:val="00ED3692"/>
    <w:rsid w:val="00ED3B94"/>
    <w:rsid w:val="00ED4A77"/>
    <w:rsid w:val="00ED4B6E"/>
    <w:rsid w:val="00ED5981"/>
    <w:rsid w:val="00ED613A"/>
    <w:rsid w:val="00ED6227"/>
    <w:rsid w:val="00ED6514"/>
    <w:rsid w:val="00ED66B2"/>
    <w:rsid w:val="00ED71BA"/>
    <w:rsid w:val="00ED728F"/>
    <w:rsid w:val="00ED73A1"/>
    <w:rsid w:val="00ED7CA2"/>
    <w:rsid w:val="00EE04F9"/>
    <w:rsid w:val="00EE05E0"/>
    <w:rsid w:val="00EE0F88"/>
    <w:rsid w:val="00EE0FF6"/>
    <w:rsid w:val="00EE13DA"/>
    <w:rsid w:val="00EE1595"/>
    <w:rsid w:val="00EE1E71"/>
    <w:rsid w:val="00EE2087"/>
    <w:rsid w:val="00EE20C2"/>
    <w:rsid w:val="00EE2A9D"/>
    <w:rsid w:val="00EE3384"/>
    <w:rsid w:val="00EE4309"/>
    <w:rsid w:val="00EE499F"/>
    <w:rsid w:val="00EE56E2"/>
    <w:rsid w:val="00EE5C81"/>
    <w:rsid w:val="00EE5FCD"/>
    <w:rsid w:val="00EE63BF"/>
    <w:rsid w:val="00EE6D45"/>
    <w:rsid w:val="00EE6E89"/>
    <w:rsid w:val="00EE7DCE"/>
    <w:rsid w:val="00EF028F"/>
    <w:rsid w:val="00EF0D4B"/>
    <w:rsid w:val="00EF0FE6"/>
    <w:rsid w:val="00EF1130"/>
    <w:rsid w:val="00EF1432"/>
    <w:rsid w:val="00EF1511"/>
    <w:rsid w:val="00EF1F01"/>
    <w:rsid w:val="00EF2C39"/>
    <w:rsid w:val="00EF2C5F"/>
    <w:rsid w:val="00EF302A"/>
    <w:rsid w:val="00EF317C"/>
    <w:rsid w:val="00EF320D"/>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6AB"/>
    <w:rsid w:val="00F0187E"/>
    <w:rsid w:val="00F01BE6"/>
    <w:rsid w:val="00F01F75"/>
    <w:rsid w:val="00F0217A"/>
    <w:rsid w:val="00F022AA"/>
    <w:rsid w:val="00F026D3"/>
    <w:rsid w:val="00F0272A"/>
    <w:rsid w:val="00F027E8"/>
    <w:rsid w:val="00F03395"/>
    <w:rsid w:val="00F034E6"/>
    <w:rsid w:val="00F03E4C"/>
    <w:rsid w:val="00F042D1"/>
    <w:rsid w:val="00F04D19"/>
    <w:rsid w:val="00F050A3"/>
    <w:rsid w:val="00F06340"/>
    <w:rsid w:val="00F0665D"/>
    <w:rsid w:val="00F068F3"/>
    <w:rsid w:val="00F06D42"/>
    <w:rsid w:val="00F07134"/>
    <w:rsid w:val="00F0724D"/>
    <w:rsid w:val="00F07378"/>
    <w:rsid w:val="00F07F8C"/>
    <w:rsid w:val="00F10B81"/>
    <w:rsid w:val="00F10BC9"/>
    <w:rsid w:val="00F113C9"/>
    <w:rsid w:val="00F11C01"/>
    <w:rsid w:val="00F11D80"/>
    <w:rsid w:val="00F12129"/>
    <w:rsid w:val="00F121BE"/>
    <w:rsid w:val="00F14B08"/>
    <w:rsid w:val="00F14B4B"/>
    <w:rsid w:val="00F14CD1"/>
    <w:rsid w:val="00F1500D"/>
    <w:rsid w:val="00F15115"/>
    <w:rsid w:val="00F15A85"/>
    <w:rsid w:val="00F15C81"/>
    <w:rsid w:val="00F15D8C"/>
    <w:rsid w:val="00F15F18"/>
    <w:rsid w:val="00F16B86"/>
    <w:rsid w:val="00F16E1A"/>
    <w:rsid w:val="00F16F92"/>
    <w:rsid w:val="00F17C3E"/>
    <w:rsid w:val="00F20197"/>
    <w:rsid w:val="00F20369"/>
    <w:rsid w:val="00F20607"/>
    <w:rsid w:val="00F2078B"/>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13"/>
    <w:rsid w:val="00F25824"/>
    <w:rsid w:val="00F25E8C"/>
    <w:rsid w:val="00F26065"/>
    <w:rsid w:val="00F26277"/>
    <w:rsid w:val="00F266E3"/>
    <w:rsid w:val="00F2689C"/>
    <w:rsid w:val="00F26913"/>
    <w:rsid w:val="00F26D17"/>
    <w:rsid w:val="00F27099"/>
    <w:rsid w:val="00F27E44"/>
    <w:rsid w:val="00F27F79"/>
    <w:rsid w:val="00F30313"/>
    <w:rsid w:val="00F303BC"/>
    <w:rsid w:val="00F30472"/>
    <w:rsid w:val="00F31052"/>
    <w:rsid w:val="00F318A1"/>
    <w:rsid w:val="00F31CF5"/>
    <w:rsid w:val="00F3265C"/>
    <w:rsid w:val="00F32C4A"/>
    <w:rsid w:val="00F33262"/>
    <w:rsid w:val="00F343EE"/>
    <w:rsid w:val="00F353F4"/>
    <w:rsid w:val="00F35494"/>
    <w:rsid w:val="00F35607"/>
    <w:rsid w:val="00F357F3"/>
    <w:rsid w:val="00F359AB"/>
    <w:rsid w:val="00F35AD5"/>
    <w:rsid w:val="00F35DBA"/>
    <w:rsid w:val="00F3619D"/>
    <w:rsid w:val="00F36DDE"/>
    <w:rsid w:val="00F3722A"/>
    <w:rsid w:val="00F37366"/>
    <w:rsid w:val="00F37C99"/>
    <w:rsid w:val="00F37EDB"/>
    <w:rsid w:val="00F37FCC"/>
    <w:rsid w:val="00F405CB"/>
    <w:rsid w:val="00F40FCD"/>
    <w:rsid w:val="00F419B8"/>
    <w:rsid w:val="00F41C0F"/>
    <w:rsid w:val="00F42856"/>
    <w:rsid w:val="00F4288F"/>
    <w:rsid w:val="00F42ED7"/>
    <w:rsid w:val="00F433B2"/>
    <w:rsid w:val="00F43777"/>
    <w:rsid w:val="00F4482B"/>
    <w:rsid w:val="00F44F02"/>
    <w:rsid w:val="00F45039"/>
    <w:rsid w:val="00F4526B"/>
    <w:rsid w:val="00F45298"/>
    <w:rsid w:val="00F45A96"/>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09E"/>
    <w:rsid w:val="00F5364F"/>
    <w:rsid w:val="00F53A44"/>
    <w:rsid w:val="00F54E5E"/>
    <w:rsid w:val="00F551DB"/>
    <w:rsid w:val="00F553E7"/>
    <w:rsid w:val="00F55810"/>
    <w:rsid w:val="00F559BE"/>
    <w:rsid w:val="00F55D76"/>
    <w:rsid w:val="00F56F7E"/>
    <w:rsid w:val="00F56FEF"/>
    <w:rsid w:val="00F57521"/>
    <w:rsid w:val="00F57E2D"/>
    <w:rsid w:val="00F60024"/>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67E88"/>
    <w:rsid w:val="00F70055"/>
    <w:rsid w:val="00F7044B"/>
    <w:rsid w:val="00F70FD4"/>
    <w:rsid w:val="00F70FDC"/>
    <w:rsid w:val="00F71342"/>
    <w:rsid w:val="00F71C68"/>
    <w:rsid w:val="00F724E2"/>
    <w:rsid w:val="00F74103"/>
    <w:rsid w:val="00F7410A"/>
    <w:rsid w:val="00F745A4"/>
    <w:rsid w:val="00F74C0C"/>
    <w:rsid w:val="00F758E1"/>
    <w:rsid w:val="00F75BB5"/>
    <w:rsid w:val="00F75E22"/>
    <w:rsid w:val="00F75FD5"/>
    <w:rsid w:val="00F7604C"/>
    <w:rsid w:val="00F773A9"/>
    <w:rsid w:val="00F8056E"/>
    <w:rsid w:val="00F805B7"/>
    <w:rsid w:val="00F80F4A"/>
    <w:rsid w:val="00F810C1"/>
    <w:rsid w:val="00F81623"/>
    <w:rsid w:val="00F81D25"/>
    <w:rsid w:val="00F81F6C"/>
    <w:rsid w:val="00F8245C"/>
    <w:rsid w:val="00F82928"/>
    <w:rsid w:val="00F829B9"/>
    <w:rsid w:val="00F83045"/>
    <w:rsid w:val="00F8341F"/>
    <w:rsid w:val="00F83615"/>
    <w:rsid w:val="00F83EC7"/>
    <w:rsid w:val="00F8421D"/>
    <w:rsid w:val="00F85329"/>
    <w:rsid w:val="00F85504"/>
    <w:rsid w:val="00F85683"/>
    <w:rsid w:val="00F85841"/>
    <w:rsid w:val="00F86079"/>
    <w:rsid w:val="00F8610A"/>
    <w:rsid w:val="00F87282"/>
    <w:rsid w:val="00F873B9"/>
    <w:rsid w:val="00F878CD"/>
    <w:rsid w:val="00F87905"/>
    <w:rsid w:val="00F87A66"/>
    <w:rsid w:val="00F903AB"/>
    <w:rsid w:val="00F90C1F"/>
    <w:rsid w:val="00F912D9"/>
    <w:rsid w:val="00F919F8"/>
    <w:rsid w:val="00F91A44"/>
    <w:rsid w:val="00F91BFA"/>
    <w:rsid w:val="00F91F8F"/>
    <w:rsid w:val="00F9217B"/>
    <w:rsid w:val="00F92A4E"/>
    <w:rsid w:val="00F9399D"/>
    <w:rsid w:val="00F94016"/>
    <w:rsid w:val="00F95995"/>
    <w:rsid w:val="00F97A34"/>
    <w:rsid w:val="00F97E4A"/>
    <w:rsid w:val="00F97EA1"/>
    <w:rsid w:val="00FA003A"/>
    <w:rsid w:val="00FA05C8"/>
    <w:rsid w:val="00FA0678"/>
    <w:rsid w:val="00FA0DB6"/>
    <w:rsid w:val="00FA23F7"/>
    <w:rsid w:val="00FA27EB"/>
    <w:rsid w:val="00FA2B08"/>
    <w:rsid w:val="00FA35B6"/>
    <w:rsid w:val="00FA3EBC"/>
    <w:rsid w:val="00FA423C"/>
    <w:rsid w:val="00FA44D0"/>
    <w:rsid w:val="00FA4590"/>
    <w:rsid w:val="00FA55A2"/>
    <w:rsid w:val="00FA568C"/>
    <w:rsid w:val="00FA672F"/>
    <w:rsid w:val="00FA775E"/>
    <w:rsid w:val="00FA7792"/>
    <w:rsid w:val="00FA7AA8"/>
    <w:rsid w:val="00FA7F1D"/>
    <w:rsid w:val="00FB011C"/>
    <w:rsid w:val="00FB0D60"/>
    <w:rsid w:val="00FB18FD"/>
    <w:rsid w:val="00FB2440"/>
    <w:rsid w:val="00FB2BF5"/>
    <w:rsid w:val="00FB2F8E"/>
    <w:rsid w:val="00FB30C3"/>
    <w:rsid w:val="00FB39B0"/>
    <w:rsid w:val="00FB5138"/>
    <w:rsid w:val="00FB547F"/>
    <w:rsid w:val="00FB55AB"/>
    <w:rsid w:val="00FB5A71"/>
    <w:rsid w:val="00FB63F6"/>
    <w:rsid w:val="00FB7823"/>
    <w:rsid w:val="00FC05B2"/>
    <w:rsid w:val="00FC08B3"/>
    <w:rsid w:val="00FC09D7"/>
    <w:rsid w:val="00FC0ABE"/>
    <w:rsid w:val="00FC1269"/>
    <w:rsid w:val="00FC13E4"/>
    <w:rsid w:val="00FC1D89"/>
    <w:rsid w:val="00FC22D0"/>
    <w:rsid w:val="00FC2E74"/>
    <w:rsid w:val="00FC38D4"/>
    <w:rsid w:val="00FC391E"/>
    <w:rsid w:val="00FC39B3"/>
    <w:rsid w:val="00FC3A70"/>
    <w:rsid w:val="00FC3BB7"/>
    <w:rsid w:val="00FC4345"/>
    <w:rsid w:val="00FC444A"/>
    <w:rsid w:val="00FC453D"/>
    <w:rsid w:val="00FC4A89"/>
    <w:rsid w:val="00FC619B"/>
    <w:rsid w:val="00FC665F"/>
    <w:rsid w:val="00FC6C35"/>
    <w:rsid w:val="00FC6D59"/>
    <w:rsid w:val="00FC7561"/>
    <w:rsid w:val="00FC78F5"/>
    <w:rsid w:val="00FC7ACA"/>
    <w:rsid w:val="00FC7AD2"/>
    <w:rsid w:val="00FD0993"/>
    <w:rsid w:val="00FD10B3"/>
    <w:rsid w:val="00FD11C3"/>
    <w:rsid w:val="00FD154E"/>
    <w:rsid w:val="00FD24D7"/>
    <w:rsid w:val="00FD29CE"/>
    <w:rsid w:val="00FD305F"/>
    <w:rsid w:val="00FD3AE2"/>
    <w:rsid w:val="00FD3E41"/>
    <w:rsid w:val="00FD3EFA"/>
    <w:rsid w:val="00FD54A8"/>
    <w:rsid w:val="00FD5A43"/>
    <w:rsid w:val="00FD5AE4"/>
    <w:rsid w:val="00FD5F25"/>
    <w:rsid w:val="00FD60BE"/>
    <w:rsid w:val="00FD6894"/>
    <w:rsid w:val="00FD6AF0"/>
    <w:rsid w:val="00FD704D"/>
    <w:rsid w:val="00FD74EF"/>
    <w:rsid w:val="00FD785C"/>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1CEF"/>
    <w:rsid w:val="00FF219D"/>
    <w:rsid w:val="00FF2A7B"/>
    <w:rsid w:val="00FF3D2B"/>
    <w:rsid w:val="00FF41FF"/>
    <w:rsid w:val="00FF49B4"/>
    <w:rsid w:val="00FF49F4"/>
    <w:rsid w:val="00FF5B8D"/>
    <w:rsid w:val="00FF5C6A"/>
    <w:rsid w:val="00FF651D"/>
    <w:rsid w:val="00FF6843"/>
    <w:rsid w:val="00FF6C25"/>
    <w:rsid w:val="00FF7B6C"/>
    <w:rsid w:val="00FF7DED"/>
    <w:rsid w:val="010651D9"/>
    <w:rsid w:val="011F6449"/>
    <w:rsid w:val="01236AFB"/>
    <w:rsid w:val="015D0D5E"/>
    <w:rsid w:val="018F0D0D"/>
    <w:rsid w:val="019F7441"/>
    <w:rsid w:val="01B37585"/>
    <w:rsid w:val="01D55165"/>
    <w:rsid w:val="01DF6BF8"/>
    <w:rsid w:val="01EC2C57"/>
    <w:rsid w:val="025F0711"/>
    <w:rsid w:val="026B2E25"/>
    <w:rsid w:val="02824D4D"/>
    <w:rsid w:val="02985DC6"/>
    <w:rsid w:val="02DC4B10"/>
    <w:rsid w:val="02DD76CE"/>
    <w:rsid w:val="02EC31EC"/>
    <w:rsid w:val="02EF1E8A"/>
    <w:rsid w:val="02F36323"/>
    <w:rsid w:val="02F5619C"/>
    <w:rsid w:val="02FF7BF3"/>
    <w:rsid w:val="0326446A"/>
    <w:rsid w:val="032D5555"/>
    <w:rsid w:val="03523008"/>
    <w:rsid w:val="036634D2"/>
    <w:rsid w:val="03DD35E4"/>
    <w:rsid w:val="04076900"/>
    <w:rsid w:val="041A5A3B"/>
    <w:rsid w:val="042311BA"/>
    <w:rsid w:val="042B157A"/>
    <w:rsid w:val="048F763B"/>
    <w:rsid w:val="049F330E"/>
    <w:rsid w:val="04AA775C"/>
    <w:rsid w:val="04AF1889"/>
    <w:rsid w:val="04BC223F"/>
    <w:rsid w:val="04F66F48"/>
    <w:rsid w:val="05251E14"/>
    <w:rsid w:val="055C30DB"/>
    <w:rsid w:val="05A16594"/>
    <w:rsid w:val="05A7762D"/>
    <w:rsid w:val="060E5941"/>
    <w:rsid w:val="06110FAF"/>
    <w:rsid w:val="06493CA7"/>
    <w:rsid w:val="0655205C"/>
    <w:rsid w:val="065A6178"/>
    <w:rsid w:val="066F1CF3"/>
    <w:rsid w:val="067D4177"/>
    <w:rsid w:val="06930BB8"/>
    <w:rsid w:val="069845E6"/>
    <w:rsid w:val="07245D42"/>
    <w:rsid w:val="07264C62"/>
    <w:rsid w:val="07691ADF"/>
    <w:rsid w:val="0779354C"/>
    <w:rsid w:val="08061376"/>
    <w:rsid w:val="08452D77"/>
    <w:rsid w:val="08513720"/>
    <w:rsid w:val="086401F8"/>
    <w:rsid w:val="08716E9D"/>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B24808"/>
    <w:rsid w:val="09C13146"/>
    <w:rsid w:val="09E04166"/>
    <w:rsid w:val="0A1C0718"/>
    <w:rsid w:val="0A3E7710"/>
    <w:rsid w:val="0A5B7E63"/>
    <w:rsid w:val="0A5D0FD6"/>
    <w:rsid w:val="0AA374A5"/>
    <w:rsid w:val="0AAB7649"/>
    <w:rsid w:val="0AB85257"/>
    <w:rsid w:val="0ABC5606"/>
    <w:rsid w:val="0AC61847"/>
    <w:rsid w:val="0B30404E"/>
    <w:rsid w:val="0B4C6C14"/>
    <w:rsid w:val="0B547599"/>
    <w:rsid w:val="0B631A88"/>
    <w:rsid w:val="0B683D45"/>
    <w:rsid w:val="0B7F3F11"/>
    <w:rsid w:val="0B884417"/>
    <w:rsid w:val="0BA80E28"/>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2315AC"/>
    <w:rsid w:val="0D4A7419"/>
    <w:rsid w:val="0D827401"/>
    <w:rsid w:val="0D84094E"/>
    <w:rsid w:val="0D8A00E9"/>
    <w:rsid w:val="0D8D589E"/>
    <w:rsid w:val="0DA01C73"/>
    <w:rsid w:val="0DD63300"/>
    <w:rsid w:val="0DF50604"/>
    <w:rsid w:val="0DF702FE"/>
    <w:rsid w:val="0E060E51"/>
    <w:rsid w:val="0E5604B2"/>
    <w:rsid w:val="0E6D5D79"/>
    <w:rsid w:val="0E9D0089"/>
    <w:rsid w:val="0EB803EE"/>
    <w:rsid w:val="0EB9658F"/>
    <w:rsid w:val="0ED10695"/>
    <w:rsid w:val="0EF94D4B"/>
    <w:rsid w:val="0F4958DC"/>
    <w:rsid w:val="0F515DF7"/>
    <w:rsid w:val="0F596BA8"/>
    <w:rsid w:val="0F6248D2"/>
    <w:rsid w:val="0F693536"/>
    <w:rsid w:val="0F6B6D3C"/>
    <w:rsid w:val="0F7B0511"/>
    <w:rsid w:val="0F7B76D9"/>
    <w:rsid w:val="0F7F6C73"/>
    <w:rsid w:val="0F816ACD"/>
    <w:rsid w:val="0F9832DB"/>
    <w:rsid w:val="0F9C5147"/>
    <w:rsid w:val="0FBF3FD2"/>
    <w:rsid w:val="0FBF7FF3"/>
    <w:rsid w:val="0FF56606"/>
    <w:rsid w:val="10202516"/>
    <w:rsid w:val="10646583"/>
    <w:rsid w:val="107D4B15"/>
    <w:rsid w:val="108A3C80"/>
    <w:rsid w:val="10C26171"/>
    <w:rsid w:val="10C81F6C"/>
    <w:rsid w:val="10F33360"/>
    <w:rsid w:val="10FC16EA"/>
    <w:rsid w:val="110F1D40"/>
    <w:rsid w:val="11266F33"/>
    <w:rsid w:val="118963A1"/>
    <w:rsid w:val="11C6522A"/>
    <w:rsid w:val="11E104CC"/>
    <w:rsid w:val="11E20309"/>
    <w:rsid w:val="12255233"/>
    <w:rsid w:val="12530213"/>
    <w:rsid w:val="127723A9"/>
    <w:rsid w:val="12862074"/>
    <w:rsid w:val="12883966"/>
    <w:rsid w:val="129E45B4"/>
    <w:rsid w:val="12B45F01"/>
    <w:rsid w:val="12D81596"/>
    <w:rsid w:val="13072A44"/>
    <w:rsid w:val="13561AB1"/>
    <w:rsid w:val="135F4BE2"/>
    <w:rsid w:val="139B1A0A"/>
    <w:rsid w:val="139D25C7"/>
    <w:rsid w:val="13BF3CE4"/>
    <w:rsid w:val="141008D8"/>
    <w:rsid w:val="14125FE6"/>
    <w:rsid w:val="146D271E"/>
    <w:rsid w:val="14982588"/>
    <w:rsid w:val="149A5AD9"/>
    <w:rsid w:val="14A7619D"/>
    <w:rsid w:val="14B44CE1"/>
    <w:rsid w:val="150536C3"/>
    <w:rsid w:val="150C1963"/>
    <w:rsid w:val="151447A0"/>
    <w:rsid w:val="154A6454"/>
    <w:rsid w:val="154D0218"/>
    <w:rsid w:val="15762120"/>
    <w:rsid w:val="16175528"/>
    <w:rsid w:val="165D6CB3"/>
    <w:rsid w:val="16A8729C"/>
    <w:rsid w:val="16B33777"/>
    <w:rsid w:val="16BC70A7"/>
    <w:rsid w:val="16C6339E"/>
    <w:rsid w:val="172F2D79"/>
    <w:rsid w:val="17557BEF"/>
    <w:rsid w:val="17A54DB5"/>
    <w:rsid w:val="17D349C1"/>
    <w:rsid w:val="18244F26"/>
    <w:rsid w:val="1830729E"/>
    <w:rsid w:val="18506ACF"/>
    <w:rsid w:val="1870062C"/>
    <w:rsid w:val="18817102"/>
    <w:rsid w:val="18830A15"/>
    <w:rsid w:val="18852B28"/>
    <w:rsid w:val="188B5321"/>
    <w:rsid w:val="18C023A9"/>
    <w:rsid w:val="19932372"/>
    <w:rsid w:val="19A20DD5"/>
    <w:rsid w:val="19AE03F1"/>
    <w:rsid w:val="19AE4019"/>
    <w:rsid w:val="1A071A03"/>
    <w:rsid w:val="1A1F16AE"/>
    <w:rsid w:val="1A3B5C77"/>
    <w:rsid w:val="1A984BAD"/>
    <w:rsid w:val="1AB8220E"/>
    <w:rsid w:val="1AC92B69"/>
    <w:rsid w:val="1AE4166C"/>
    <w:rsid w:val="1AF06CFB"/>
    <w:rsid w:val="1AF11B8D"/>
    <w:rsid w:val="1B11359C"/>
    <w:rsid w:val="1B1C538E"/>
    <w:rsid w:val="1B2A271F"/>
    <w:rsid w:val="1B530544"/>
    <w:rsid w:val="1B5763C6"/>
    <w:rsid w:val="1B713184"/>
    <w:rsid w:val="1BA209CF"/>
    <w:rsid w:val="1BAD4238"/>
    <w:rsid w:val="1BB4777D"/>
    <w:rsid w:val="1BD75AB8"/>
    <w:rsid w:val="1C0459C2"/>
    <w:rsid w:val="1C1B3B4A"/>
    <w:rsid w:val="1C397347"/>
    <w:rsid w:val="1C88086E"/>
    <w:rsid w:val="1D065224"/>
    <w:rsid w:val="1D266CE1"/>
    <w:rsid w:val="1D3963AF"/>
    <w:rsid w:val="1D6A673C"/>
    <w:rsid w:val="1D9247AE"/>
    <w:rsid w:val="1D992CC6"/>
    <w:rsid w:val="1DB567EC"/>
    <w:rsid w:val="1DF51A98"/>
    <w:rsid w:val="1E051CD9"/>
    <w:rsid w:val="1E0A4CCC"/>
    <w:rsid w:val="1E115F3C"/>
    <w:rsid w:val="1E171E3D"/>
    <w:rsid w:val="1E3D060F"/>
    <w:rsid w:val="1E3F7D2E"/>
    <w:rsid w:val="1E4134E4"/>
    <w:rsid w:val="1E5062B3"/>
    <w:rsid w:val="1E523514"/>
    <w:rsid w:val="1E71154D"/>
    <w:rsid w:val="1E714A66"/>
    <w:rsid w:val="1E7603AC"/>
    <w:rsid w:val="1E802593"/>
    <w:rsid w:val="1E8B6156"/>
    <w:rsid w:val="1E90376C"/>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7E28FF"/>
    <w:rsid w:val="21AD4F92"/>
    <w:rsid w:val="21D56769"/>
    <w:rsid w:val="21E52EF3"/>
    <w:rsid w:val="21FB5D7B"/>
    <w:rsid w:val="22015E94"/>
    <w:rsid w:val="2208666C"/>
    <w:rsid w:val="220B1C3D"/>
    <w:rsid w:val="221D1D20"/>
    <w:rsid w:val="22334A87"/>
    <w:rsid w:val="22BE6801"/>
    <w:rsid w:val="233500BF"/>
    <w:rsid w:val="23377FF7"/>
    <w:rsid w:val="236B425F"/>
    <w:rsid w:val="23836192"/>
    <w:rsid w:val="23901F29"/>
    <w:rsid w:val="239C0061"/>
    <w:rsid w:val="23B908A4"/>
    <w:rsid w:val="23E95BEF"/>
    <w:rsid w:val="23FD0064"/>
    <w:rsid w:val="242F7EE0"/>
    <w:rsid w:val="245375B0"/>
    <w:rsid w:val="24642C0A"/>
    <w:rsid w:val="24B22173"/>
    <w:rsid w:val="24B95AD9"/>
    <w:rsid w:val="24BE24DA"/>
    <w:rsid w:val="24CF5825"/>
    <w:rsid w:val="24D663E6"/>
    <w:rsid w:val="24D77F2B"/>
    <w:rsid w:val="258B00E2"/>
    <w:rsid w:val="25A917A6"/>
    <w:rsid w:val="25BE27CC"/>
    <w:rsid w:val="25F74A5C"/>
    <w:rsid w:val="260A5839"/>
    <w:rsid w:val="2628662C"/>
    <w:rsid w:val="262D45DE"/>
    <w:rsid w:val="26871DC8"/>
    <w:rsid w:val="26A53EF9"/>
    <w:rsid w:val="26A94201"/>
    <w:rsid w:val="26AC274F"/>
    <w:rsid w:val="27044A29"/>
    <w:rsid w:val="271D34C8"/>
    <w:rsid w:val="276142BF"/>
    <w:rsid w:val="27783712"/>
    <w:rsid w:val="27907362"/>
    <w:rsid w:val="27ED433A"/>
    <w:rsid w:val="280E30BE"/>
    <w:rsid w:val="28333E1D"/>
    <w:rsid w:val="28454BD6"/>
    <w:rsid w:val="28455253"/>
    <w:rsid w:val="28551971"/>
    <w:rsid w:val="285B1C53"/>
    <w:rsid w:val="289F7086"/>
    <w:rsid w:val="28C32028"/>
    <w:rsid w:val="28CC490F"/>
    <w:rsid w:val="28DE40AA"/>
    <w:rsid w:val="29345E77"/>
    <w:rsid w:val="294C65AD"/>
    <w:rsid w:val="29806583"/>
    <w:rsid w:val="298B3C4C"/>
    <w:rsid w:val="29DB70F2"/>
    <w:rsid w:val="29F26D24"/>
    <w:rsid w:val="2A0A1509"/>
    <w:rsid w:val="2A15033F"/>
    <w:rsid w:val="2A1662C1"/>
    <w:rsid w:val="2A1C7367"/>
    <w:rsid w:val="2A2815FA"/>
    <w:rsid w:val="2A6D6092"/>
    <w:rsid w:val="2A7D76B4"/>
    <w:rsid w:val="2AD3336D"/>
    <w:rsid w:val="2B3B360F"/>
    <w:rsid w:val="2B437463"/>
    <w:rsid w:val="2B7807EE"/>
    <w:rsid w:val="2B8723B0"/>
    <w:rsid w:val="2BA50BF7"/>
    <w:rsid w:val="2BB07345"/>
    <w:rsid w:val="2BBF00EC"/>
    <w:rsid w:val="2BC37CFD"/>
    <w:rsid w:val="2BD5237F"/>
    <w:rsid w:val="2BE536CE"/>
    <w:rsid w:val="2BE758D9"/>
    <w:rsid w:val="2BEE68D3"/>
    <w:rsid w:val="2BF346BB"/>
    <w:rsid w:val="2C09049E"/>
    <w:rsid w:val="2C0A653C"/>
    <w:rsid w:val="2C191F85"/>
    <w:rsid w:val="2CE82D6F"/>
    <w:rsid w:val="2D343236"/>
    <w:rsid w:val="2D575011"/>
    <w:rsid w:val="2DB66AA1"/>
    <w:rsid w:val="2DD15014"/>
    <w:rsid w:val="2DF72DE4"/>
    <w:rsid w:val="2E0220AF"/>
    <w:rsid w:val="2E4B082A"/>
    <w:rsid w:val="2E5D4E86"/>
    <w:rsid w:val="2E5D790B"/>
    <w:rsid w:val="2E9A3C18"/>
    <w:rsid w:val="2EBB0FEE"/>
    <w:rsid w:val="2EC63002"/>
    <w:rsid w:val="2F0106CB"/>
    <w:rsid w:val="2F0A6B38"/>
    <w:rsid w:val="2F946CCB"/>
    <w:rsid w:val="2FA25771"/>
    <w:rsid w:val="2FD25781"/>
    <w:rsid w:val="2FDC745C"/>
    <w:rsid w:val="2FFD7934"/>
    <w:rsid w:val="30733ACD"/>
    <w:rsid w:val="308C3862"/>
    <w:rsid w:val="309379D8"/>
    <w:rsid w:val="30A270F7"/>
    <w:rsid w:val="30DF1478"/>
    <w:rsid w:val="30EC586F"/>
    <w:rsid w:val="319C6071"/>
    <w:rsid w:val="31AC537E"/>
    <w:rsid w:val="31E3679B"/>
    <w:rsid w:val="31E732FD"/>
    <w:rsid w:val="32517576"/>
    <w:rsid w:val="3259638A"/>
    <w:rsid w:val="32BE5C2C"/>
    <w:rsid w:val="32FB6478"/>
    <w:rsid w:val="33092244"/>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9B7657"/>
    <w:rsid w:val="36A74ADA"/>
    <w:rsid w:val="36AD60D5"/>
    <w:rsid w:val="36B224F9"/>
    <w:rsid w:val="36EC0CC9"/>
    <w:rsid w:val="373F410B"/>
    <w:rsid w:val="37691503"/>
    <w:rsid w:val="376E6505"/>
    <w:rsid w:val="37704640"/>
    <w:rsid w:val="37C30B47"/>
    <w:rsid w:val="37EE7094"/>
    <w:rsid w:val="38296C89"/>
    <w:rsid w:val="383002EB"/>
    <w:rsid w:val="384C5A20"/>
    <w:rsid w:val="38586797"/>
    <w:rsid w:val="385D15DF"/>
    <w:rsid w:val="38BC0149"/>
    <w:rsid w:val="38D87D1C"/>
    <w:rsid w:val="391060DB"/>
    <w:rsid w:val="391536F1"/>
    <w:rsid w:val="39636459"/>
    <w:rsid w:val="396B7F6C"/>
    <w:rsid w:val="39B417A9"/>
    <w:rsid w:val="39FC5695"/>
    <w:rsid w:val="3A006D8E"/>
    <w:rsid w:val="3A3651E5"/>
    <w:rsid w:val="3A3C4CAD"/>
    <w:rsid w:val="3A4B6C9E"/>
    <w:rsid w:val="3A744481"/>
    <w:rsid w:val="3A8C7BEF"/>
    <w:rsid w:val="3A906246"/>
    <w:rsid w:val="3AFF6407"/>
    <w:rsid w:val="3B2349B7"/>
    <w:rsid w:val="3B616CFF"/>
    <w:rsid w:val="3B6259F6"/>
    <w:rsid w:val="3B976654"/>
    <w:rsid w:val="3BA90120"/>
    <w:rsid w:val="3BC01EFC"/>
    <w:rsid w:val="3BCA786A"/>
    <w:rsid w:val="3BD31E2F"/>
    <w:rsid w:val="3BF15831"/>
    <w:rsid w:val="3C105946"/>
    <w:rsid w:val="3C471448"/>
    <w:rsid w:val="3C5F759A"/>
    <w:rsid w:val="3C634773"/>
    <w:rsid w:val="3C6C525A"/>
    <w:rsid w:val="3CCE23CB"/>
    <w:rsid w:val="3CD17D17"/>
    <w:rsid w:val="3D071314"/>
    <w:rsid w:val="3D3B56F0"/>
    <w:rsid w:val="3D3C7F39"/>
    <w:rsid w:val="3D440F09"/>
    <w:rsid w:val="3D4504A0"/>
    <w:rsid w:val="3D6C3AFB"/>
    <w:rsid w:val="3D8734BB"/>
    <w:rsid w:val="3D9A11D4"/>
    <w:rsid w:val="3DA16D89"/>
    <w:rsid w:val="3DA364BE"/>
    <w:rsid w:val="3DCF53CB"/>
    <w:rsid w:val="3DE041CB"/>
    <w:rsid w:val="3E083824"/>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0A1DED"/>
    <w:rsid w:val="43174B3D"/>
    <w:rsid w:val="434B790E"/>
    <w:rsid w:val="4360274F"/>
    <w:rsid w:val="43977AB6"/>
    <w:rsid w:val="43A3342B"/>
    <w:rsid w:val="43C77C27"/>
    <w:rsid w:val="43DE09EE"/>
    <w:rsid w:val="44002FAD"/>
    <w:rsid w:val="44752A05"/>
    <w:rsid w:val="449101DD"/>
    <w:rsid w:val="44DE1391"/>
    <w:rsid w:val="451B225C"/>
    <w:rsid w:val="452410C9"/>
    <w:rsid w:val="45317DFB"/>
    <w:rsid w:val="453749EF"/>
    <w:rsid w:val="456D3CE4"/>
    <w:rsid w:val="4579042C"/>
    <w:rsid w:val="457F0571"/>
    <w:rsid w:val="45851176"/>
    <w:rsid w:val="45C63B94"/>
    <w:rsid w:val="45C673D4"/>
    <w:rsid w:val="460E7DA5"/>
    <w:rsid w:val="46422483"/>
    <w:rsid w:val="4642364B"/>
    <w:rsid w:val="4659254A"/>
    <w:rsid w:val="465B0637"/>
    <w:rsid w:val="465E3F0D"/>
    <w:rsid w:val="466A16E6"/>
    <w:rsid w:val="46893F2B"/>
    <w:rsid w:val="46C4686E"/>
    <w:rsid w:val="476D1B91"/>
    <w:rsid w:val="47797541"/>
    <w:rsid w:val="477B778F"/>
    <w:rsid w:val="478203EC"/>
    <w:rsid w:val="47953C4F"/>
    <w:rsid w:val="47B025FA"/>
    <w:rsid w:val="4809698F"/>
    <w:rsid w:val="4811697D"/>
    <w:rsid w:val="487A3E25"/>
    <w:rsid w:val="488B5503"/>
    <w:rsid w:val="48937E21"/>
    <w:rsid w:val="489A0361"/>
    <w:rsid w:val="489A57D5"/>
    <w:rsid w:val="48B94FF3"/>
    <w:rsid w:val="48E37AAB"/>
    <w:rsid w:val="48FD4B4C"/>
    <w:rsid w:val="48FF5824"/>
    <w:rsid w:val="490A68E0"/>
    <w:rsid w:val="491055FE"/>
    <w:rsid w:val="49282FCC"/>
    <w:rsid w:val="493C25D4"/>
    <w:rsid w:val="495F5B3E"/>
    <w:rsid w:val="496F77D7"/>
    <w:rsid w:val="497654FD"/>
    <w:rsid w:val="49B64211"/>
    <w:rsid w:val="49F6167F"/>
    <w:rsid w:val="4A064FA0"/>
    <w:rsid w:val="4A16615C"/>
    <w:rsid w:val="4A4424D7"/>
    <w:rsid w:val="4AB82D0F"/>
    <w:rsid w:val="4AEB7664"/>
    <w:rsid w:val="4AFD7C19"/>
    <w:rsid w:val="4B0567D1"/>
    <w:rsid w:val="4B236AAE"/>
    <w:rsid w:val="4B707271"/>
    <w:rsid w:val="4B737A13"/>
    <w:rsid w:val="4B756271"/>
    <w:rsid w:val="4B9739F7"/>
    <w:rsid w:val="4BAB57EF"/>
    <w:rsid w:val="4BEE2503"/>
    <w:rsid w:val="4C0C0983"/>
    <w:rsid w:val="4C245A30"/>
    <w:rsid w:val="4CA50870"/>
    <w:rsid w:val="4CB6685F"/>
    <w:rsid w:val="4CB9595F"/>
    <w:rsid w:val="4CC367FE"/>
    <w:rsid w:val="4D077F3C"/>
    <w:rsid w:val="4D123355"/>
    <w:rsid w:val="4D2A3B31"/>
    <w:rsid w:val="4D312C52"/>
    <w:rsid w:val="4D896004"/>
    <w:rsid w:val="4D905305"/>
    <w:rsid w:val="4D964A72"/>
    <w:rsid w:val="4D987FF5"/>
    <w:rsid w:val="4D9C1254"/>
    <w:rsid w:val="4DE925E1"/>
    <w:rsid w:val="4E793892"/>
    <w:rsid w:val="4E800872"/>
    <w:rsid w:val="4EC569ED"/>
    <w:rsid w:val="4ED50EA1"/>
    <w:rsid w:val="4EEC050C"/>
    <w:rsid w:val="4F104EC3"/>
    <w:rsid w:val="4F47354A"/>
    <w:rsid w:val="4F911C54"/>
    <w:rsid w:val="4FA47125"/>
    <w:rsid w:val="4FE625E0"/>
    <w:rsid w:val="5021480F"/>
    <w:rsid w:val="503D198B"/>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17598C"/>
    <w:rsid w:val="522E4CC3"/>
    <w:rsid w:val="5244713B"/>
    <w:rsid w:val="52615633"/>
    <w:rsid w:val="526F4DE4"/>
    <w:rsid w:val="52977FD4"/>
    <w:rsid w:val="52A25790"/>
    <w:rsid w:val="52A96B6F"/>
    <w:rsid w:val="52B45975"/>
    <w:rsid w:val="52D94AA4"/>
    <w:rsid w:val="52EA3A62"/>
    <w:rsid w:val="52F50BB8"/>
    <w:rsid w:val="53097272"/>
    <w:rsid w:val="53206AC2"/>
    <w:rsid w:val="53544462"/>
    <w:rsid w:val="5397158E"/>
    <w:rsid w:val="53B4545D"/>
    <w:rsid w:val="53C86B4E"/>
    <w:rsid w:val="53E2646E"/>
    <w:rsid w:val="54013861"/>
    <w:rsid w:val="54487265"/>
    <w:rsid w:val="544D6070"/>
    <w:rsid w:val="54584CA3"/>
    <w:rsid w:val="54605E1E"/>
    <w:rsid w:val="54B3506A"/>
    <w:rsid w:val="54CA0D16"/>
    <w:rsid w:val="54DD4057"/>
    <w:rsid w:val="54E7490F"/>
    <w:rsid w:val="550764A4"/>
    <w:rsid w:val="550B2BF6"/>
    <w:rsid w:val="55214EB5"/>
    <w:rsid w:val="55364EFD"/>
    <w:rsid w:val="55450A62"/>
    <w:rsid w:val="554C0043"/>
    <w:rsid w:val="555D4828"/>
    <w:rsid w:val="557A4C8B"/>
    <w:rsid w:val="558931E1"/>
    <w:rsid w:val="55923347"/>
    <w:rsid w:val="55925180"/>
    <w:rsid w:val="55983B1B"/>
    <w:rsid w:val="55A8376B"/>
    <w:rsid w:val="55DC29B6"/>
    <w:rsid w:val="55DD4241"/>
    <w:rsid w:val="560501F2"/>
    <w:rsid w:val="563F1955"/>
    <w:rsid w:val="566B6D1E"/>
    <w:rsid w:val="57032A2C"/>
    <w:rsid w:val="570F5219"/>
    <w:rsid w:val="57263D93"/>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2714DC"/>
    <w:rsid w:val="58917D2F"/>
    <w:rsid w:val="5894085C"/>
    <w:rsid w:val="58AE4F0C"/>
    <w:rsid w:val="58B85899"/>
    <w:rsid w:val="58E363A9"/>
    <w:rsid w:val="59166304"/>
    <w:rsid w:val="595E1678"/>
    <w:rsid w:val="596D5BD4"/>
    <w:rsid w:val="597E3DD8"/>
    <w:rsid w:val="59F80043"/>
    <w:rsid w:val="5A09252F"/>
    <w:rsid w:val="5A0B2778"/>
    <w:rsid w:val="5A2A7C7B"/>
    <w:rsid w:val="5A3E2560"/>
    <w:rsid w:val="5A4E03B9"/>
    <w:rsid w:val="5A513A05"/>
    <w:rsid w:val="5A5D3B6E"/>
    <w:rsid w:val="5A637A76"/>
    <w:rsid w:val="5A6C6A91"/>
    <w:rsid w:val="5A6D33BA"/>
    <w:rsid w:val="5A792B1F"/>
    <w:rsid w:val="5A874767"/>
    <w:rsid w:val="5AA85BE2"/>
    <w:rsid w:val="5AAD6F28"/>
    <w:rsid w:val="5AD63A24"/>
    <w:rsid w:val="5B2E1A1D"/>
    <w:rsid w:val="5B5A27AF"/>
    <w:rsid w:val="5B843A1C"/>
    <w:rsid w:val="5B873E3F"/>
    <w:rsid w:val="5BA83AF8"/>
    <w:rsid w:val="5C02690E"/>
    <w:rsid w:val="5C196DA7"/>
    <w:rsid w:val="5C2A048C"/>
    <w:rsid w:val="5C5679F9"/>
    <w:rsid w:val="5C7E485A"/>
    <w:rsid w:val="5C80234E"/>
    <w:rsid w:val="5C8A680C"/>
    <w:rsid w:val="5D0C4701"/>
    <w:rsid w:val="5D0F0395"/>
    <w:rsid w:val="5D221076"/>
    <w:rsid w:val="5D397964"/>
    <w:rsid w:val="5D5A391C"/>
    <w:rsid w:val="5D5F10C0"/>
    <w:rsid w:val="5D7B0085"/>
    <w:rsid w:val="5D891B7B"/>
    <w:rsid w:val="5DAD38EE"/>
    <w:rsid w:val="5E006862"/>
    <w:rsid w:val="5E0207B9"/>
    <w:rsid w:val="5E1834A1"/>
    <w:rsid w:val="5E261785"/>
    <w:rsid w:val="5E4A7017"/>
    <w:rsid w:val="5E552BBA"/>
    <w:rsid w:val="5E611C10"/>
    <w:rsid w:val="5E6422A1"/>
    <w:rsid w:val="5E7A0F3F"/>
    <w:rsid w:val="5EFC7377"/>
    <w:rsid w:val="5F06174D"/>
    <w:rsid w:val="5F3A3602"/>
    <w:rsid w:val="5F45733B"/>
    <w:rsid w:val="5F6277C6"/>
    <w:rsid w:val="5F6D0B1D"/>
    <w:rsid w:val="5F774396"/>
    <w:rsid w:val="5F8D0B82"/>
    <w:rsid w:val="5FCC5339"/>
    <w:rsid w:val="5FE315A4"/>
    <w:rsid w:val="5FE34A5B"/>
    <w:rsid w:val="5FFE1E36"/>
    <w:rsid w:val="60195438"/>
    <w:rsid w:val="60232584"/>
    <w:rsid w:val="607330CE"/>
    <w:rsid w:val="60825176"/>
    <w:rsid w:val="609F2AC4"/>
    <w:rsid w:val="60FA2EE8"/>
    <w:rsid w:val="61054A27"/>
    <w:rsid w:val="610A52BC"/>
    <w:rsid w:val="611D2366"/>
    <w:rsid w:val="61421856"/>
    <w:rsid w:val="615227C4"/>
    <w:rsid w:val="615D47CA"/>
    <w:rsid w:val="61654E3F"/>
    <w:rsid w:val="6182292A"/>
    <w:rsid w:val="619F7F92"/>
    <w:rsid w:val="61D4389A"/>
    <w:rsid w:val="61EF4230"/>
    <w:rsid w:val="61F94C26"/>
    <w:rsid w:val="62000E56"/>
    <w:rsid w:val="622335D4"/>
    <w:rsid w:val="624F3E49"/>
    <w:rsid w:val="62632286"/>
    <w:rsid w:val="627E7362"/>
    <w:rsid w:val="62885958"/>
    <w:rsid w:val="62F40B65"/>
    <w:rsid w:val="62FC2CFE"/>
    <w:rsid w:val="63024505"/>
    <w:rsid w:val="63133F2C"/>
    <w:rsid w:val="635600A5"/>
    <w:rsid w:val="635B1DB5"/>
    <w:rsid w:val="63711FED"/>
    <w:rsid w:val="63850CC3"/>
    <w:rsid w:val="63880DDC"/>
    <w:rsid w:val="638D750D"/>
    <w:rsid w:val="63AC6CC0"/>
    <w:rsid w:val="63D115AF"/>
    <w:rsid w:val="64055776"/>
    <w:rsid w:val="64240056"/>
    <w:rsid w:val="643E143A"/>
    <w:rsid w:val="64491666"/>
    <w:rsid w:val="647B624F"/>
    <w:rsid w:val="648B6EEF"/>
    <w:rsid w:val="64C158BF"/>
    <w:rsid w:val="64CE2EAA"/>
    <w:rsid w:val="653C3090"/>
    <w:rsid w:val="65854376"/>
    <w:rsid w:val="658767BE"/>
    <w:rsid w:val="65892531"/>
    <w:rsid w:val="65D808E1"/>
    <w:rsid w:val="66195831"/>
    <w:rsid w:val="662E75B1"/>
    <w:rsid w:val="66342C2E"/>
    <w:rsid w:val="663E784C"/>
    <w:rsid w:val="668B6A45"/>
    <w:rsid w:val="66A852F5"/>
    <w:rsid w:val="672F3F24"/>
    <w:rsid w:val="673E055F"/>
    <w:rsid w:val="67551CE3"/>
    <w:rsid w:val="67A22552"/>
    <w:rsid w:val="67B22DCC"/>
    <w:rsid w:val="67BE71AA"/>
    <w:rsid w:val="67D90273"/>
    <w:rsid w:val="67DE5875"/>
    <w:rsid w:val="67E55852"/>
    <w:rsid w:val="67EB1AB4"/>
    <w:rsid w:val="67FA1285"/>
    <w:rsid w:val="6837771F"/>
    <w:rsid w:val="68551F4F"/>
    <w:rsid w:val="687C10C9"/>
    <w:rsid w:val="68840C16"/>
    <w:rsid w:val="68876EFB"/>
    <w:rsid w:val="68884654"/>
    <w:rsid w:val="689F444F"/>
    <w:rsid w:val="68B96DBB"/>
    <w:rsid w:val="68C63810"/>
    <w:rsid w:val="68CA2805"/>
    <w:rsid w:val="68E937A3"/>
    <w:rsid w:val="693E15D3"/>
    <w:rsid w:val="69627681"/>
    <w:rsid w:val="6977531D"/>
    <w:rsid w:val="699F653B"/>
    <w:rsid w:val="69CC2BFF"/>
    <w:rsid w:val="69FD55B8"/>
    <w:rsid w:val="6A0B1C62"/>
    <w:rsid w:val="6A2406C8"/>
    <w:rsid w:val="6ADE0BD1"/>
    <w:rsid w:val="6AE96859"/>
    <w:rsid w:val="6B147746"/>
    <w:rsid w:val="6B24787C"/>
    <w:rsid w:val="6B573233"/>
    <w:rsid w:val="6B5B6274"/>
    <w:rsid w:val="6B935D53"/>
    <w:rsid w:val="6BAD03EC"/>
    <w:rsid w:val="6BFE1BCA"/>
    <w:rsid w:val="6C042FCD"/>
    <w:rsid w:val="6C196F71"/>
    <w:rsid w:val="6C226FCB"/>
    <w:rsid w:val="6C31226F"/>
    <w:rsid w:val="6C552F0B"/>
    <w:rsid w:val="6C823EF2"/>
    <w:rsid w:val="6C8C67B7"/>
    <w:rsid w:val="6C9D744C"/>
    <w:rsid w:val="6D056FFD"/>
    <w:rsid w:val="6D167928"/>
    <w:rsid w:val="6D26299B"/>
    <w:rsid w:val="6D4772EC"/>
    <w:rsid w:val="6D5E1A7C"/>
    <w:rsid w:val="6D6D06FE"/>
    <w:rsid w:val="6D9078AF"/>
    <w:rsid w:val="6DAA3FEF"/>
    <w:rsid w:val="6DAC1227"/>
    <w:rsid w:val="6DC0172B"/>
    <w:rsid w:val="6DCB690C"/>
    <w:rsid w:val="6DD41A5B"/>
    <w:rsid w:val="6DF43C2E"/>
    <w:rsid w:val="6DF51CA3"/>
    <w:rsid w:val="6E5F43D9"/>
    <w:rsid w:val="6E8335BD"/>
    <w:rsid w:val="6E8E12EF"/>
    <w:rsid w:val="6E972936"/>
    <w:rsid w:val="6ED446C5"/>
    <w:rsid w:val="6F221CDC"/>
    <w:rsid w:val="6F2A7D94"/>
    <w:rsid w:val="6F3931B2"/>
    <w:rsid w:val="6F521E83"/>
    <w:rsid w:val="6F8331F1"/>
    <w:rsid w:val="6FAE1A09"/>
    <w:rsid w:val="6FD75BF8"/>
    <w:rsid w:val="707723D0"/>
    <w:rsid w:val="70DA0A8C"/>
    <w:rsid w:val="70F5661B"/>
    <w:rsid w:val="71360107"/>
    <w:rsid w:val="713B688E"/>
    <w:rsid w:val="71D43752"/>
    <w:rsid w:val="71F1796A"/>
    <w:rsid w:val="72154626"/>
    <w:rsid w:val="72262B5D"/>
    <w:rsid w:val="72283FF7"/>
    <w:rsid w:val="722E7212"/>
    <w:rsid w:val="723A0474"/>
    <w:rsid w:val="724C122A"/>
    <w:rsid w:val="725923E4"/>
    <w:rsid w:val="72864BF7"/>
    <w:rsid w:val="729023FC"/>
    <w:rsid w:val="731F62D6"/>
    <w:rsid w:val="73C0646E"/>
    <w:rsid w:val="742222F5"/>
    <w:rsid w:val="74476126"/>
    <w:rsid w:val="74706664"/>
    <w:rsid w:val="747F3682"/>
    <w:rsid w:val="749C4185"/>
    <w:rsid w:val="75067759"/>
    <w:rsid w:val="752E6DCD"/>
    <w:rsid w:val="7551380D"/>
    <w:rsid w:val="75600BE5"/>
    <w:rsid w:val="7564475C"/>
    <w:rsid w:val="7583797F"/>
    <w:rsid w:val="75BE4653"/>
    <w:rsid w:val="75D20F1D"/>
    <w:rsid w:val="75DA2C18"/>
    <w:rsid w:val="75F54412"/>
    <w:rsid w:val="761D08E0"/>
    <w:rsid w:val="765D347C"/>
    <w:rsid w:val="76826699"/>
    <w:rsid w:val="76C87133"/>
    <w:rsid w:val="76CD08D5"/>
    <w:rsid w:val="76DB4B92"/>
    <w:rsid w:val="76E05D92"/>
    <w:rsid w:val="77052AA4"/>
    <w:rsid w:val="77136511"/>
    <w:rsid w:val="771A36A5"/>
    <w:rsid w:val="77340A39"/>
    <w:rsid w:val="77351FD0"/>
    <w:rsid w:val="77472422"/>
    <w:rsid w:val="777F31F2"/>
    <w:rsid w:val="77D1700D"/>
    <w:rsid w:val="77EC04CC"/>
    <w:rsid w:val="780950BD"/>
    <w:rsid w:val="78775729"/>
    <w:rsid w:val="7883527A"/>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8546C"/>
    <w:rsid w:val="7AAB1D04"/>
    <w:rsid w:val="7ABA4368"/>
    <w:rsid w:val="7AD05746"/>
    <w:rsid w:val="7B257FFD"/>
    <w:rsid w:val="7B343476"/>
    <w:rsid w:val="7B5A2978"/>
    <w:rsid w:val="7B5A7E4C"/>
    <w:rsid w:val="7B667AF9"/>
    <w:rsid w:val="7B7468F8"/>
    <w:rsid w:val="7BE2501D"/>
    <w:rsid w:val="7BEE0103"/>
    <w:rsid w:val="7BF51980"/>
    <w:rsid w:val="7BFF6B50"/>
    <w:rsid w:val="7C0A0FE4"/>
    <w:rsid w:val="7C254906"/>
    <w:rsid w:val="7C422405"/>
    <w:rsid w:val="7C590818"/>
    <w:rsid w:val="7C746BBD"/>
    <w:rsid w:val="7C7C10F6"/>
    <w:rsid w:val="7C853BEA"/>
    <w:rsid w:val="7C881368"/>
    <w:rsid w:val="7CC876FF"/>
    <w:rsid w:val="7CE27788"/>
    <w:rsid w:val="7D0C32F1"/>
    <w:rsid w:val="7D0F408D"/>
    <w:rsid w:val="7D1023D7"/>
    <w:rsid w:val="7D491C6C"/>
    <w:rsid w:val="7D5429C0"/>
    <w:rsid w:val="7D6E6D43"/>
    <w:rsid w:val="7D7D498E"/>
    <w:rsid w:val="7D7F24B4"/>
    <w:rsid w:val="7DB57A34"/>
    <w:rsid w:val="7DE60973"/>
    <w:rsid w:val="7DEF0916"/>
    <w:rsid w:val="7DFA111A"/>
    <w:rsid w:val="7E1E5218"/>
    <w:rsid w:val="7E9A4E1F"/>
    <w:rsid w:val="7EA7723A"/>
    <w:rsid w:val="7EF56FBB"/>
    <w:rsid w:val="7F0768EB"/>
    <w:rsid w:val="7F143BEC"/>
    <w:rsid w:val="7F715AF2"/>
    <w:rsid w:val="7F886E69"/>
    <w:rsid w:val="97BD7755"/>
    <w:rsid w:val="ADBDE062"/>
    <w:rsid w:val="BB7FA927"/>
    <w:rsid w:val="F5FFD31F"/>
    <w:rsid w:val="FADDA4CA"/>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39"/>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2">
    <w:name w:val="Table Normal"/>
    <w:basedOn w:val="62"/>
    <w:semiHidden/>
    <w:qFormat/>
    <w:uiPriority w:val="0"/>
    <w:rPr>
      <w:rFonts w:ascii="Arial" w:hAnsi="Arial" w:cs="Arial"/>
    </w:rPr>
    <w:tblPr>
      <w:tblCellMar>
        <w:top w:w="0" w:type="dxa"/>
        <w:left w:w="0" w:type="dxa"/>
        <w:bottom w:w="0" w:type="dxa"/>
        <w:right w:w="0" w:type="dxa"/>
      </w:tblCellMar>
    </w:tblPr>
  </w:style>
  <w:style w:type="paragraph" w:customStyle="1" w:styleId="96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50712</Words>
  <Characters>53151</Characters>
  <Lines>417</Lines>
  <Paragraphs>117</Paragraphs>
  <TotalTime>1</TotalTime>
  <ScaleCrop>false</ScaleCrop>
  <LinksUpToDate>false</LinksUpToDate>
  <CharactersWithSpaces>59195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2024-11-28T08:24:00Z</dcterms:created>
  <dc:creator>北海市政府采购中心</dc:creator>
  <cp:lastModifiedBy>wwwww</cp:lastModifiedBy>
  <cp:lastPrinted>2025-01-24T02:07:00Z</cp:lastPrinted>
  <dcterms:modified xsi:type="dcterms:W3CDTF">2025-01-27T05:49:59Z</dcterms:modified>
  <dc:title>北海市政府采购中心</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5C2AC82213674271A25CF1C8B1867A63_13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1733305582</vt:lpwstr>
  </property>
  <property fmtid="{D5CDD505-2E9C-101B-9397-08002B2CF9AE}" pid="9" name="KSOTemplateDocerSaveRecord">
    <vt:lpwstr>eyJoZGlkIjoiZWE2Yzg3ZmY1ZWIwYzgzODQwOWVkOTFmNWRkYTBjNDAiLCJ1c2VySWQiOiI0Mjg5MTU5ODEifQ==</vt:lpwstr>
  </property>
</Properties>
</file>