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CF738">
      <w:pPr>
        <w:rPr>
          <w:rFonts w:hint="eastAsia" w:eastAsia="宋体" w:cs="Arial"/>
          <w:b/>
          <w:bCs/>
          <w:sz w:val="28"/>
          <w:szCs w:val="28"/>
          <w:lang w:val="en-US" w:eastAsia="zh-CN"/>
        </w:rPr>
      </w:pPr>
      <w:r>
        <w:rPr>
          <w:rFonts w:hint="eastAsia" w:eastAsia="宋体" w:cs="Arial"/>
          <w:b/>
          <w:bCs/>
          <w:sz w:val="28"/>
          <w:szCs w:val="28"/>
          <w:lang w:eastAsia="zh-CN"/>
        </w:rPr>
        <w:t>标项</w:t>
      </w:r>
      <w:r>
        <w:rPr>
          <w:rFonts w:hint="eastAsia" w:eastAsia="宋体" w:cs="Arial"/>
          <w:b/>
          <w:bCs/>
          <w:sz w:val="28"/>
          <w:szCs w:val="28"/>
          <w:lang w:val="en-US" w:eastAsia="zh-CN"/>
        </w:rPr>
        <w:t>2：入围供应商名称、主要服务内容及服务标准、入围服务费率</w:t>
      </w:r>
    </w:p>
    <w:p w14:paraId="5C779FDA">
      <w:pPr>
        <w:rPr>
          <w:rFonts w:hint="default" w:eastAsia="宋体" w:cs="Arial"/>
          <w:sz w:val="28"/>
          <w:szCs w:val="28"/>
          <w:lang w:val="en-US" w:eastAsia="zh-CN"/>
        </w:rPr>
      </w:pPr>
    </w:p>
    <w:tbl>
      <w:tblPr>
        <w:tblStyle w:val="5"/>
        <w:tblW w:w="10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769"/>
        <w:gridCol w:w="2086"/>
        <w:gridCol w:w="2673"/>
        <w:gridCol w:w="1458"/>
        <w:gridCol w:w="1609"/>
      </w:tblGrid>
      <w:tr w14:paraId="3D841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B22CC46">
            <w:pPr>
              <w:pStyle w:val="8"/>
              <w:widowControl w:val="0"/>
              <w:spacing w:before="156" w:line="228" w:lineRule="auto"/>
              <w:ind w:firstLine="215" w:firstLineChars="100"/>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bCs/>
                <w:spacing w:val="2"/>
                <w:sz w:val="21"/>
                <w:szCs w:val="21"/>
              </w:rPr>
              <w:t>序号</w:t>
            </w:r>
          </w:p>
        </w:tc>
        <w:tc>
          <w:tcPr>
            <w:tcW w:w="1769" w:type="dxa"/>
            <w:vAlign w:val="center"/>
          </w:tcPr>
          <w:p w14:paraId="2C3527E2">
            <w:pPr>
              <w:pStyle w:val="8"/>
              <w:widowControl w:val="0"/>
              <w:spacing w:before="156" w:line="226" w:lineRule="auto"/>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pacing w:val="5"/>
                <w:sz w:val="21"/>
                <w:szCs w:val="21"/>
              </w:rPr>
              <w:t>入围供应商名称</w:t>
            </w:r>
          </w:p>
        </w:tc>
        <w:tc>
          <w:tcPr>
            <w:tcW w:w="2086" w:type="dxa"/>
            <w:vAlign w:val="center"/>
          </w:tcPr>
          <w:p w14:paraId="7D1D2AD1">
            <w:pPr>
              <w:pStyle w:val="8"/>
              <w:widowControl w:val="0"/>
              <w:spacing w:before="155" w:line="227" w:lineRule="auto"/>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pacing w:val="4"/>
                <w:sz w:val="21"/>
                <w:szCs w:val="21"/>
                <w:lang w:eastAsia="zh-CN"/>
              </w:rPr>
              <w:t>主要服务内容</w:t>
            </w:r>
          </w:p>
        </w:tc>
        <w:tc>
          <w:tcPr>
            <w:tcW w:w="2673" w:type="dxa"/>
            <w:vAlign w:val="center"/>
          </w:tcPr>
          <w:p w14:paraId="1EF5526F">
            <w:pPr>
              <w:pStyle w:val="8"/>
              <w:widowControl w:val="0"/>
              <w:spacing w:before="71" w:line="222" w:lineRule="auto"/>
              <w:ind w:firstLine="859" w:firstLineChars="4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pacing w:val="2"/>
                <w:sz w:val="21"/>
                <w:szCs w:val="21"/>
              </w:rPr>
              <w:t>服务标准</w:t>
            </w:r>
          </w:p>
        </w:tc>
        <w:tc>
          <w:tcPr>
            <w:tcW w:w="1458" w:type="dxa"/>
            <w:vAlign w:val="center"/>
          </w:tcPr>
          <w:p w14:paraId="32B00040">
            <w:pPr>
              <w:pStyle w:val="8"/>
              <w:widowControl w:val="0"/>
              <w:spacing w:before="156" w:line="225"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pacing w:val="2"/>
                <w:sz w:val="21"/>
                <w:szCs w:val="21"/>
                <w:lang w:val="en-US" w:eastAsia="zh-CN"/>
              </w:rPr>
              <w:t>征地搬迁项目的土地评估服务入围服务费率</w:t>
            </w:r>
          </w:p>
        </w:tc>
        <w:tc>
          <w:tcPr>
            <w:tcW w:w="1609" w:type="dxa"/>
            <w:vAlign w:val="center"/>
          </w:tcPr>
          <w:p w14:paraId="7C06D6C6">
            <w:pPr>
              <w:pStyle w:val="8"/>
              <w:widowControl w:val="0"/>
              <w:spacing w:before="156" w:line="225" w:lineRule="auto"/>
              <w:jc w:val="center"/>
              <w:rPr>
                <w:rFonts w:hint="eastAsia" w:ascii="宋体" w:hAnsi="宋体" w:eastAsia="宋体" w:cs="宋体"/>
                <w:b/>
                <w:bCs/>
                <w:spacing w:val="2"/>
                <w:sz w:val="21"/>
                <w:szCs w:val="21"/>
                <w:lang w:val="en-US" w:eastAsia="zh-CN"/>
              </w:rPr>
            </w:pPr>
            <w:r>
              <w:rPr>
                <w:rFonts w:hint="eastAsia" w:eastAsia="宋体"/>
                <w:b/>
                <w:bCs/>
                <w:sz w:val="21"/>
                <w:lang w:eastAsia="zh-CN"/>
              </w:rPr>
              <w:t>征地搬迁项目涉及的地上附着物评估服务入围服务费率</w:t>
            </w:r>
          </w:p>
        </w:tc>
      </w:tr>
      <w:tr w14:paraId="620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530675E">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w:t>
            </w:r>
          </w:p>
        </w:tc>
        <w:tc>
          <w:tcPr>
            <w:tcW w:w="1769" w:type="dxa"/>
            <w:vAlign w:val="center"/>
          </w:tcPr>
          <w:p w14:paraId="15ABEC33">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广西荣联普泰资产房地产评估有限公司</w:t>
            </w:r>
          </w:p>
        </w:tc>
        <w:tc>
          <w:tcPr>
            <w:tcW w:w="2086" w:type="dxa"/>
            <w:vAlign w:val="center"/>
          </w:tcPr>
          <w:p w14:paraId="40B8C204">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734AA614">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bookmarkStart w:id="0" w:name="_GoBack"/>
            <w:bookmarkEnd w:id="0"/>
            <w:r>
              <w:rPr>
                <w:rFonts w:hint="eastAsia" w:ascii="宋体" w:hAnsi="宋体" w:eastAsia="宋体" w:cs="宋体"/>
                <w:b w:val="0"/>
                <w:bCs w:val="0"/>
                <w:i w:val="0"/>
                <w:iCs/>
                <w:color w:val="auto"/>
                <w:spacing w:val="0"/>
                <w:sz w:val="20"/>
                <w:szCs w:val="20"/>
                <w:highlight w:val="none"/>
                <w:u w:val="none"/>
                <w:lang w:eastAsia="zh-CN"/>
              </w:rPr>
              <w:t>。</w:t>
            </w:r>
          </w:p>
          <w:p w14:paraId="1B7F212A">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591170C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9127BF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7EB6A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85BB4F7">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2</w:t>
            </w:r>
          </w:p>
        </w:tc>
        <w:tc>
          <w:tcPr>
            <w:tcW w:w="1769" w:type="dxa"/>
            <w:vAlign w:val="center"/>
          </w:tcPr>
          <w:p w14:paraId="3DC52F44">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广西天源房地产土地资产评估有限公司</w:t>
            </w:r>
          </w:p>
        </w:tc>
        <w:tc>
          <w:tcPr>
            <w:tcW w:w="2086" w:type="dxa"/>
            <w:vAlign w:val="center"/>
          </w:tcPr>
          <w:p w14:paraId="72B7DD6E">
            <w:pPr>
              <w:widowControl w:val="0"/>
              <w:adjustRightInd w:val="0"/>
              <w:snapToGrid w:val="0"/>
              <w:spacing w:line="360" w:lineRule="exact"/>
              <w:jc w:val="center"/>
              <w:rPr>
                <w:rFonts w:hint="eastAsia" w:ascii="宋体" w:hAnsi="宋体" w:eastAsia="宋体" w:cs="宋体"/>
                <w:color w:val="000000"/>
                <w:sz w:val="21"/>
                <w:szCs w:val="21"/>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2805CF8E">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2CD55706">
            <w:pPr>
              <w:widowControl w:val="0"/>
              <w:jc w:val="center"/>
              <w:rPr>
                <w:rFonts w:hint="eastAsia" w:ascii="宋体" w:hAnsi="宋体" w:eastAsia="宋体" w:cs="宋体"/>
                <w:color w:val="000000"/>
                <w:sz w:val="21"/>
                <w:szCs w:val="21"/>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61D90FE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4404FD42">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2566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DD91AD5">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3</w:t>
            </w:r>
          </w:p>
        </w:tc>
        <w:tc>
          <w:tcPr>
            <w:tcW w:w="1769" w:type="dxa"/>
            <w:vAlign w:val="center"/>
          </w:tcPr>
          <w:p w14:paraId="70A5B09D">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广西开宗房地产资产评估有限公司</w:t>
            </w:r>
          </w:p>
        </w:tc>
        <w:tc>
          <w:tcPr>
            <w:tcW w:w="2086" w:type="dxa"/>
            <w:vAlign w:val="center"/>
          </w:tcPr>
          <w:p w14:paraId="41DCA106">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3D0C3036">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96DB751">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729F5C3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2F845796">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542D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96DE1D5">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4</w:t>
            </w:r>
          </w:p>
        </w:tc>
        <w:tc>
          <w:tcPr>
            <w:tcW w:w="1769" w:type="dxa"/>
            <w:vAlign w:val="center"/>
          </w:tcPr>
          <w:p w14:paraId="233648EE">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广西中德勤房地产土地资产评估有限公司</w:t>
            </w:r>
          </w:p>
        </w:tc>
        <w:tc>
          <w:tcPr>
            <w:tcW w:w="2086" w:type="dxa"/>
            <w:vAlign w:val="center"/>
          </w:tcPr>
          <w:p w14:paraId="3ED490B6">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58AD1EC1">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2F1F78FD">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3FC3A74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A52C61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1075C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A79AD61">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5</w:t>
            </w:r>
          </w:p>
        </w:tc>
        <w:tc>
          <w:tcPr>
            <w:tcW w:w="1769" w:type="dxa"/>
            <w:vAlign w:val="center"/>
          </w:tcPr>
          <w:p w14:paraId="2745146F">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广西广证房地产土地资产评估有限公司</w:t>
            </w:r>
          </w:p>
        </w:tc>
        <w:tc>
          <w:tcPr>
            <w:tcW w:w="2086" w:type="dxa"/>
            <w:vAlign w:val="center"/>
          </w:tcPr>
          <w:p w14:paraId="6966B113">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48602454">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4810006A">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5D52D9C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374CA56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0346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069C58F">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6</w:t>
            </w:r>
          </w:p>
        </w:tc>
        <w:tc>
          <w:tcPr>
            <w:tcW w:w="1769" w:type="dxa"/>
            <w:vAlign w:val="center"/>
          </w:tcPr>
          <w:p w14:paraId="708DB843">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广西旗开房地产土地资产评估有限公司</w:t>
            </w:r>
          </w:p>
        </w:tc>
        <w:tc>
          <w:tcPr>
            <w:tcW w:w="2086" w:type="dxa"/>
            <w:vAlign w:val="center"/>
          </w:tcPr>
          <w:p w14:paraId="54FACC28">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69E4C423">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556B044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0E2B984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1ACB255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1444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CE5A38A">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7</w:t>
            </w:r>
          </w:p>
        </w:tc>
        <w:tc>
          <w:tcPr>
            <w:tcW w:w="1769" w:type="dxa"/>
            <w:vAlign w:val="center"/>
          </w:tcPr>
          <w:p w14:paraId="2CFDDB2F">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广西衡泰房地产不动产资产评估有限公司</w:t>
            </w:r>
          </w:p>
        </w:tc>
        <w:tc>
          <w:tcPr>
            <w:tcW w:w="2086" w:type="dxa"/>
            <w:vAlign w:val="center"/>
          </w:tcPr>
          <w:p w14:paraId="6F171436">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4FBACAA5">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38747BDF">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31FC6FE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E18BE6B">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5954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FDCF54A">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8</w:t>
            </w:r>
          </w:p>
        </w:tc>
        <w:tc>
          <w:tcPr>
            <w:tcW w:w="1769" w:type="dxa"/>
            <w:vAlign w:val="center"/>
          </w:tcPr>
          <w:p w14:paraId="723C48B1">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广西祥浩资产土地房地产评估有限公司</w:t>
            </w:r>
          </w:p>
        </w:tc>
        <w:tc>
          <w:tcPr>
            <w:tcW w:w="2086" w:type="dxa"/>
            <w:vAlign w:val="center"/>
          </w:tcPr>
          <w:p w14:paraId="09C6D4A2">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4FC72FC4">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3E96CA60">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7D373BD6">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E390C7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5967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36DE4CC">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9</w:t>
            </w:r>
          </w:p>
        </w:tc>
        <w:tc>
          <w:tcPr>
            <w:tcW w:w="1769" w:type="dxa"/>
            <w:vAlign w:val="center"/>
          </w:tcPr>
          <w:p w14:paraId="20E1456B">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广西金土资产房地产不动产评估有限公司</w:t>
            </w:r>
          </w:p>
        </w:tc>
        <w:tc>
          <w:tcPr>
            <w:tcW w:w="2086" w:type="dxa"/>
            <w:vAlign w:val="center"/>
          </w:tcPr>
          <w:p w14:paraId="382A7FDB">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7C139F3B">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6D0679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53FB956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E898BB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7307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36B7409">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10</w:t>
            </w:r>
          </w:p>
        </w:tc>
        <w:tc>
          <w:tcPr>
            <w:tcW w:w="1769" w:type="dxa"/>
            <w:vAlign w:val="center"/>
          </w:tcPr>
          <w:p w14:paraId="491862BD">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广西信和房地产土地资产评估有限公司</w:t>
            </w:r>
          </w:p>
        </w:tc>
        <w:tc>
          <w:tcPr>
            <w:tcW w:w="2086" w:type="dxa"/>
            <w:vAlign w:val="center"/>
          </w:tcPr>
          <w:p w14:paraId="23F23894">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6634DA51">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09302340">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19BE1B0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2C691C9B">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4397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67A9044">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11</w:t>
            </w:r>
          </w:p>
        </w:tc>
        <w:tc>
          <w:tcPr>
            <w:tcW w:w="1769" w:type="dxa"/>
            <w:vAlign w:val="center"/>
          </w:tcPr>
          <w:p w14:paraId="77D3E0B1">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广西方中房地产评估事务所有限公司</w:t>
            </w:r>
          </w:p>
        </w:tc>
        <w:tc>
          <w:tcPr>
            <w:tcW w:w="2086" w:type="dxa"/>
            <w:vAlign w:val="center"/>
          </w:tcPr>
          <w:p w14:paraId="4C05A1D1">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7D873DFA">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99BF31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0E30160B">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420B726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4B8D2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50AC3BC">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12</w:t>
            </w:r>
          </w:p>
        </w:tc>
        <w:tc>
          <w:tcPr>
            <w:tcW w:w="1769" w:type="dxa"/>
            <w:vAlign w:val="center"/>
          </w:tcPr>
          <w:p w14:paraId="599C12AA">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广西明冠房地产土地资产评估有限公司</w:t>
            </w:r>
          </w:p>
        </w:tc>
        <w:tc>
          <w:tcPr>
            <w:tcW w:w="2086" w:type="dxa"/>
            <w:vAlign w:val="center"/>
          </w:tcPr>
          <w:p w14:paraId="2FA51B77">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2DA107C2">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7C81B2B1">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4F002507">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2FAE361">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7630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4014247D">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13</w:t>
            </w:r>
          </w:p>
        </w:tc>
        <w:tc>
          <w:tcPr>
            <w:tcW w:w="1769" w:type="dxa"/>
            <w:vAlign w:val="center"/>
          </w:tcPr>
          <w:p w14:paraId="6A152F69">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广西华正房地产土地资产评估有限公司</w:t>
            </w:r>
          </w:p>
        </w:tc>
        <w:tc>
          <w:tcPr>
            <w:tcW w:w="2086" w:type="dxa"/>
            <w:vAlign w:val="center"/>
          </w:tcPr>
          <w:p w14:paraId="288F6B27">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580CB858">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391B080E">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725345A2">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7FE49F8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4F1F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CFE3D34">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14</w:t>
            </w:r>
          </w:p>
        </w:tc>
        <w:tc>
          <w:tcPr>
            <w:tcW w:w="1769" w:type="dxa"/>
            <w:vAlign w:val="center"/>
          </w:tcPr>
          <w:p w14:paraId="34DB7680">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广西方正房地产土地资产评估有限公司</w:t>
            </w:r>
          </w:p>
        </w:tc>
        <w:tc>
          <w:tcPr>
            <w:tcW w:w="2086" w:type="dxa"/>
            <w:vAlign w:val="center"/>
          </w:tcPr>
          <w:p w14:paraId="30B8E788">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7C8E3985">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9DB6C2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045C50C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29F7410A">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7E72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36891D7">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15</w:t>
            </w:r>
          </w:p>
        </w:tc>
        <w:tc>
          <w:tcPr>
            <w:tcW w:w="1769" w:type="dxa"/>
            <w:vAlign w:val="center"/>
          </w:tcPr>
          <w:p w14:paraId="26CF6C9C">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广西德晧资产土地房地产评估有限公司</w:t>
            </w:r>
          </w:p>
        </w:tc>
        <w:tc>
          <w:tcPr>
            <w:tcW w:w="2086" w:type="dxa"/>
            <w:vAlign w:val="center"/>
          </w:tcPr>
          <w:p w14:paraId="3802539D">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3D56663F">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0DA903B7">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251494A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66925108">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0BCC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9888B39">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16</w:t>
            </w:r>
          </w:p>
        </w:tc>
        <w:tc>
          <w:tcPr>
            <w:tcW w:w="1769" w:type="dxa"/>
            <w:vAlign w:val="center"/>
          </w:tcPr>
          <w:p w14:paraId="033CBDEE">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广西科源房地产资产评估有限公司</w:t>
            </w:r>
          </w:p>
        </w:tc>
        <w:tc>
          <w:tcPr>
            <w:tcW w:w="2086" w:type="dxa"/>
            <w:vAlign w:val="center"/>
          </w:tcPr>
          <w:p w14:paraId="29931008">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7CB94E20">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36F88B62">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69533DDC">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30587C50">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1230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2E038682">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17</w:t>
            </w:r>
          </w:p>
        </w:tc>
        <w:tc>
          <w:tcPr>
            <w:tcW w:w="1769" w:type="dxa"/>
            <w:vAlign w:val="center"/>
          </w:tcPr>
          <w:p w14:paraId="2B5E2EDD">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广西开元行土地房地产评估有限责任公司</w:t>
            </w:r>
          </w:p>
        </w:tc>
        <w:tc>
          <w:tcPr>
            <w:tcW w:w="2086" w:type="dxa"/>
            <w:vAlign w:val="center"/>
          </w:tcPr>
          <w:p w14:paraId="6652F3A4">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5F58D64D">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103752B3">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6317EE09">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CC27DDF">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7AF7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5D5D507">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18</w:t>
            </w:r>
          </w:p>
        </w:tc>
        <w:tc>
          <w:tcPr>
            <w:tcW w:w="1769" w:type="dxa"/>
            <w:vAlign w:val="center"/>
          </w:tcPr>
          <w:p w14:paraId="25F4B499">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广西康德资产土地房地产评估造价有限公司</w:t>
            </w:r>
          </w:p>
        </w:tc>
        <w:tc>
          <w:tcPr>
            <w:tcW w:w="2086" w:type="dxa"/>
            <w:vAlign w:val="center"/>
          </w:tcPr>
          <w:p w14:paraId="10868DBE">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746B9EE7">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07036236">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74C7C502">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64AFF97F">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5D25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6BC12F0A">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19</w:t>
            </w:r>
          </w:p>
        </w:tc>
        <w:tc>
          <w:tcPr>
            <w:tcW w:w="1769" w:type="dxa"/>
            <w:vAlign w:val="center"/>
          </w:tcPr>
          <w:p w14:paraId="520EC296">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广西金诚房地产土地资产评估有限公司</w:t>
            </w:r>
          </w:p>
        </w:tc>
        <w:tc>
          <w:tcPr>
            <w:tcW w:w="2086" w:type="dxa"/>
            <w:vAlign w:val="center"/>
          </w:tcPr>
          <w:p w14:paraId="000F1FBA">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5185712C">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5FE058AD">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2ED57ECF">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0691FE11">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1421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51D4D7FD">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20</w:t>
            </w:r>
          </w:p>
        </w:tc>
        <w:tc>
          <w:tcPr>
            <w:tcW w:w="1769" w:type="dxa"/>
            <w:vAlign w:val="center"/>
          </w:tcPr>
          <w:p w14:paraId="689BEDDB">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广西国泰房地产土地资产评估有限公司</w:t>
            </w:r>
          </w:p>
        </w:tc>
        <w:tc>
          <w:tcPr>
            <w:tcW w:w="2086" w:type="dxa"/>
            <w:vAlign w:val="center"/>
          </w:tcPr>
          <w:p w14:paraId="7E3F073F">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38B16BD9">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39ADE70A">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29D904A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36B5ECDB">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r w14:paraId="765D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9F708D2">
            <w:pPr>
              <w:keepNext w:val="0"/>
              <w:keepLines w:val="0"/>
              <w:widowControl/>
              <w:suppressLineNumbers w:val="0"/>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snapToGrid w:val="0"/>
                <w:color w:val="000000"/>
                <w:kern w:val="0"/>
                <w:sz w:val="22"/>
                <w:szCs w:val="22"/>
                <w:u w:val="none"/>
                <w:lang w:val="en-US" w:eastAsia="zh-CN" w:bidi="ar"/>
              </w:rPr>
              <w:t>21</w:t>
            </w:r>
          </w:p>
        </w:tc>
        <w:tc>
          <w:tcPr>
            <w:tcW w:w="1769" w:type="dxa"/>
            <w:vAlign w:val="center"/>
          </w:tcPr>
          <w:p w14:paraId="040E8C00">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default" w:ascii="Arial" w:hAnsi="Arial" w:eastAsia="宋体" w:cs="Arial"/>
                <w:i w:val="0"/>
                <w:iCs w:val="0"/>
                <w:snapToGrid w:val="0"/>
                <w:color w:val="000000"/>
                <w:kern w:val="0"/>
                <w:sz w:val="21"/>
                <w:szCs w:val="21"/>
                <w:u w:val="none"/>
                <w:lang w:val="en-US" w:eastAsia="zh-CN" w:bidi="ar"/>
              </w:rPr>
              <w:t>广西中胜房地产资产评估咨询有限责任公司</w:t>
            </w:r>
          </w:p>
        </w:tc>
        <w:tc>
          <w:tcPr>
            <w:tcW w:w="2086" w:type="dxa"/>
            <w:vAlign w:val="center"/>
          </w:tcPr>
          <w:p w14:paraId="527E6547">
            <w:pPr>
              <w:widowControl w:val="0"/>
              <w:adjustRightInd w:val="0"/>
              <w:snapToGrid w:val="0"/>
              <w:spacing w:line="360" w:lineRule="exact"/>
              <w:jc w:val="center"/>
              <w:rPr>
                <w:rFonts w:hint="eastAsia" w:ascii="宋体" w:hAnsi="宋体" w:eastAsia="宋体" w:cs="宋体"/>
                <w:sz w:val="21"/>
                <w:szCs w:val="21"/>
                <w:vertAlign w:val="baseline"/>
                <w:lang w:val="en-US" w:eastAsia="zh-CN"/>
              </w:rPr>
            </w:pPr>
            <w:r>
              <w:rPr>
                <w:rFonts w:hint="eastAsia" w:ascii="宋体"/>
                <w:color w:val="auto"/>
                <w:lang w:val="zh-CN"/>
              </w:rPr>
              <w:t>根据市辖区政府土地房屋征收中心的委托，对北海市征地搬迁项目涉及的土地、房屋、设施及其他地上附着物等进行评估，并提供经备案的评估报告。</w:t>
            </w:r>
          </w:p>
        </w:tc>
        <w:tc>
          <w:tcPr>
            <w:tcW w:w="2673" w:type="dxa"/>
            <w:vAlign w:val="center"/>
          </w:tcPr>
          <w:p w14:paraId="230AD94C">
            <w:pPr>
              <w:widowControl w:val="0"/>
              <w:jc w:val="center"/>
              <w:rPr>
                <w:rFonts w:hint="eastAsia" w:ascii="宋体" w:hAnsi="宋体" w:eastAsia="宋体" w:cs="宋体"/>
                <w:b w:val="0"/>
                <w:bCs w:val="0"/>
                <w:i w:val="0"/>
                <w:iCs/>
                <w:color w:val="auto"/>
                <w:spacing w:val="0"/>
                <w:sz w:val="20"/>
                <w:szCs w:val="20"/>
                <w:highlight w:val="none"/>
                <w:u w:val="none"/>
                <w:lang w:eastAsia="zh-CN"/>
              </w:rPr>
            </w:pPr>
            <w:r>
              <w:rPr>
                <w:rFonts w:hint="eastAsia" w:ascii="宋体" w:hAnsi="宋体" w:eastAsia="宋体" w:cs="宋体"/>
                <w:b w:val="0"/>
                <w:bCs w:val="0"/>
                <w:i w:val="0"/>
                <w:iCs/>
                <w:color w:val="auto"/>
                <w:spacing w:val="0"/>
                <w:sz w:val="20"/>
                <w:szCs w:val="20"/>
                <w:highlight w:val="none"/>
                <w:u w:val="none"/>
                <w:lang w:eastAsia="zh-CN"/>
              </w:rPr>
              <w:t>①严谨、合法、规范：乙方要严格遵守法律、法规和有关规章制度，所选用的技术方案及成果形式符合《城镇土地估价规程》、《国有建设用地使用权出让地价评估技术规范》、《城市地价动态监测技术规范》、《房地产估价规程》等相关技术规程。</w:t>
            </w:r>
          </w:p>
          <w:p w14:paraId="616DA675">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i w:val="0"/>
                <w:iCs/>
                <w:color w:val="auto"/>
                <w:spacing w:val="0"/>
                <w:sz w:val="20"/>
                <w:szCs w:val="20"/>
                <w:highlight w:val="none"/>
                <w:u w:val="none"/>
                <w:lang w:eastAsia="zh-CN"/>
              </w:rPr>
              <w:t>②准确实用：估价结果与北海市土地（或房地产）市场水平相适应。</w:t>
            </w:r>
          </w:p>
        </w:tc>
        <w:tc>
          <w:tcPr>
            <w:tcW w:w="1458" w:type="dxa"/>
            <w:vAlign w:val="center"/>
          </w:tcPr>
          <w:p w14:paraId="5AF1FB64">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60.38%</w:t>
            </w:r>
          </w:p>
        </w:tc>
        <w:tc>
          <w:tcPr>
            <w:tcW w:w="1609" w:type="dxa"/>
            <w:vAlign w:val="center"/>
          </w:tcPr>
          <w:p w14:paraId="50AE46B6">
            <w:pPr>
              <w:widowControl w:val="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67.44%</w:t>
            </w:r>
          </w:p>
        </w:tc>
      </w:tr>
    </w:tbl>
    <w:p w14:paraId="01E7D59C">
      <w:pPr>
        <w:rPr>
          <w:rFonts w:ascii="Arial"/>
          <w:sz w:val="21"/>
        </w:rPr>
      </w:pPr>
    </w:p>
    <w:p w14:paraId="458CF80E">
      <w:pPr>
        <w:pStyle w:val="2"/>
        <w:rPr>
          <w:rFonts w:ascii="Arial"/>
          <w:sz w:val="21"/>
        </w:rPr>
      </w:pPr>
    </w:p>
    <w:p w14:paraId="263802FE">
      <w:pPr>
        <w:rPr>
          <w:rFonts w:hint="eastAsia" w:eastAsia="宋体"/>
          <w:lang w:eastAsia="zh-CN"/>
        </w:rPr>
      </w:pPr>
      <w:r>
        <w:rPr>
          <w:rFonts w:hint="eastAsia" w:eastAsia="宋体"/>
          <w:b/>
          <w:bCs/>
          <w:sz w:val="21"/>
          <w:lang w:eastAsia="zh-CN"/>
        </w:rPr>
        <w:t>注：所有入围供应商的有效报价费率的算术平均值作为本项目的入围服务费率。以各评估公司评估价的最终平均值计算评估费。</w:t>
      </w:r>
    </w:p>
    <w:sectPr>
      <w:footerReference r:id="rId5" w:type="default"/>
      <w:pgSz w:w="11900" w:h="16840"/>
      <w:pgMar w:top="1361" w:right="803" w:bottom="1480" w:left="101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4B486">
    <w:pPr>
      <w:spacing w:line="279" w:lineRule="exact"/>
      <w:ind w:left="4894"/>
      <w:rPr>
        <w:rFonts w:ascii="Arial" w:hAnsi="Arial" w:eastAsia="Arial" w:cs="Arial"/>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TJiYjdmYTVhNWFiMjE1Y2E1NDNlZTdhNDMzMjk2M2EifQ=="/>
  </w:docVars>
  <w:rsids>
    <w:rsidRoot w:val="00000000"/>
    <w:rsid w:val="00574E8A"/>
    <w:rsid w:val="026954E1"/>
    <w:rsid w:val="16C86822"/>
    <w:rsid w:val="1A3D4185"/>
    <w:rsid w:val="2D2E468F"/>
    <w:rsid w:val="3C3C7616"/>
    <w:rsid w:val="3E9C624E"/>
    <w:rsid w:val="56B15A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widowControl/>
      <w:spacing w:before="120" w:beforeLines="0" w:after="120" w:afterLines="0" w:line="360" w:lineRule="auto"/>
      <w:jc w:val="center"/>
      <w:outlineLvl w:val="3"/>
    </w:pPr>
    <w:rPr>
      <w:rFonts w:ascii="Arial" w:hAnsi="Arial" w:eastAsia="黑体"/>
      <w:kern w:val="0"/>
      <w:sz w:val="28"/>
      <w:szCs w:val="20"/>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5"/>
      <w:szCs w:val="15"/>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4918</Words>
  <Characters>5140</Characters>
  <TotalTime>3</TotalTime>
  <ScaleCrop>false</ScaleCrop>
  <LinksUpToDate>false</LinksUpToDate>
  <CharactersWithSpaces>5140</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2024-11-08T15:27:00Z</dcterms:created>
  <dc:creator>Administrator</dc:creator>
  <cp:lastModifiedBy>HalaMadrid</cp:lastModifiedBy>
  <dcterms:modified xsi:type="dcterms:W3CDTF">2024-11-27T09:41:32Z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2024-11-26T18:14:45Z</vt:filetime>
  </property>
  <property fmtid="{D5CDD505-2E9C-101B-9397-08002B2CF9AE}" pid="4" name="KSOProductBuildVer">
    <vt:lpwstr>2052-12.1.0.18912</vt:lpwstr>
  </property>
  <property fmtid="{D5CDD505-2E9C-101B-9397-08002B2CF9AE}" pid="5" name="ICV">
    <vt:lpwstr>818BD9CF774146869F949458BADA789F_13</vt:lpwstr>
  </property>
</Properties>
</file>