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CF738">
      <w:pPr>
        <w:rPr>
          <w:rFonts w:hint="eastAsia" w:eastAsia="宋体" w:cs="Arial"/>
          <w:b/>
          <w:bCs/>
          <w:sz w:val="28"/>
          <w:szCs w:val="28"/>
          <w:lang w:val="en-US" w:eastAsia="zh-CN"/>
        </w:rPr>
      </w:pPr>
      <w:r>
        <w:rPr>
          <w:rFonts w:hint="eastAsia" w:eastAsia="宋体" w:cs="Arial"/>
          <w:b/>
          <w:bCs/>
          <w:sz w:val="28"/>
          <w:szCs w:val="28"/>
          <w:lang w:eastAsia="zh-CN"/>
        </w:rPr>
        <w:t>标项</w:t>
      </w:r>
      <w:r>
        <w:rPr>
          <w:rFonts w:hint="eastAsia" w:eastAsia="宋体" w:cs="Arial"/>
          <w:b/>
          <w:bCs/>
          <w:sz w:val="28"/>
          <w:szCs w:val="28"/>
          <w:lang w:val="en-US" w:eastAsia="zh-CN"/>
        </w:rPr>
        <w:t>1：入围供应商名称、主要服务内容及服务标准、入围服务费率</w:t>
      </w:r>
    </w:p>
    <w:p w14:paraId="5C779FDA">
      <w:pPr>
        <w:rPr>
          <w:rFonts w:hint="default" w:eastAsia="宋体" w:cs="Arial"/>
          <w:sz w:val="28"/>
          <w:szCs w:val="28"/>
          <w:lang w:val="en-US" w:eastAsia="zh-CN"/>
        </w:rPr>
      </w:pPr>
    </w:p>
    <w:tbl>
      <w:tblPr>
        <w:tblStyle w:val="5"/>
        <w:tblW w:w="105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146"/>
        <w:gridCol w:w="2986"/>
        <w:gridCol w:w="2209"/>
        <w:gridCol w:w="1868"/>
        <w:gridCol w:w="1541"/>
      </w:tblGrid>
      <w:tr w14:paraId="3B46D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4B22CC46">
            <w:pPr>
              <w:pStyle w:val="8"/>
              <w:widowControl w:val="0"/>
              <w:spacing w:before="156" w:line="228"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bCs/>
                <w:spacing w:val="2"/>
                <w:sz w:val="21"/>
                <w:szCs w:val="21"/>
              </w:rPr>
              <w:t>序号</w:t>
            </w:r>
          </w:p>
        </w:tc>
        <w:tc>
          <w:tcPr>
            <w:tcW w:w="1146" w:type="dxa"/>
            <w:vAlign w:val="center"/>
          </w:tcPr>
          <w:p w14:paraId="2C3527E2">
            <w:pPr>
              <w:pStyle w:val="8"/>
              <w:widowControl w:val="0"/>
              <w:spacing w:before="156" w:line="226"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pacing w:val="5"/>
                <w:sz w:val="21"/>
                <w:szCs w:val="21"/>
              </w:rPr>
              <w:t>入围供应商名称</w:t>
            </w:r>
          </w:p>
        </w:tc>
        <w:tc>
          <w:tcPr>
            <w:tcW w:w="2986" w:type="dxa"/>
            <w:vAlign w:val="center"/>
          </w:tcPr>
          <w:p w14:paraId="7D1D2AD1">
            <w:pPr>
              <w:pStyle w:val="8"/>
              <w:widowControl w:val="0"/>
              <w:spacing w:before="155" w:line="227"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pacing w:val="4"/>
                <w:sz w:val="21"/>
                <w:szCs w:val="21"/>
                <w:lang w:eastAsia="zh-CN"/>
              </w:rPr>
              <w:t>主要服务内容</w:t>
            </w:r>
          </w:p>
        </w:tc>
        <w:tc>
          <w:tcPr>
            <w:tcW w:w="2209" w:type="dxa"/>
            <w:vAlign w:val="center"/>
          </w:tcPr>
          <w:p w14:paraId="1EF5526F">
            <w:pPr>
              <w:pStyle w:val="8"/>
              <w:widowControl w:val="0"/>
              <w:spacing w:before="71" w:line="222"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pacing w:val="2"/>
                <w:sz w:val="21"/>
                <w:szCs w:val="21"/>
              </w:rPr>
              <w:t>服务标准</w:t>
            </w:r>
          </w:p>
        </w:tc>
        <w:tc>
          <w:tcPr>
            <w:tcW w:w="1868" w:type="dxa"/>
            <w:vAlign w:val="center"/>
          </w:tcPr>
          <w:p w14:paraId="67AEEB54">
            <w:pPr>
              <w:pStyle w:val="8"/>
              <w:widowControl w:val="0"/>
              <w:spacing w:before="156" w:line="225" w:lineRule="auto"/>
              <w:jc w:val="center"/>
              <w:rPr>
                <w:rFonts w:hint="eastAsia" w:ascii="宋体" w:hAnsi="宋体" w:eastAsia="宋体" w:cs="宋体"/>
                <w:b/>
                <w:bCs/>
                <w:spacing w:val="2"/>
                <w:sz w:val="21"/>
                <w:szCs w:val="21"/>
                <w:lang w:val="en-US" w:eastAsia="zh-CN"/>
              </w:rPr>
            </w:pPr>
            <w:r>
              <w:rPr>
                <w:rFonts w:hint="eastAsia" w:ascii="宋体" w:hAnsi="宋体" w:eastAsia="宋体" w:cs="宋体"/>
                <w:b/>
                <w:bCs/>
                <w:spacing w:val="2"/>
                <w:sz w:val="21"/>
                <w:szCs w:val="21"/>
                <w:lang w:val="en-US" w:eastAsia="zh-CN"/>
              </w:rPr>
              <w:t>土地评估服务</w:t>
            </w:r>
          </w:p>
          <w:p w14:paraId="32B00040">
            <w:pPr>
              <w:pStyle w:val="8"/>
              <w:widowControl w:val="0"/>
              <w:spacing w:before="156" w:line="225"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pacing w:val="2"/>
                <w:sz w:val="21"/>
                <w:szCs w:val="21"/>
                <w:lang w:val="en-US" w:eastAsia="zh-CN"/>
              </w:rPr>
              <w:t>入围服务费率</w:t>
            </w:r>
          </w:p>
        </w:tc>
        <w:tc>
          <w:tcPr>
            <w:tcW w:w="1541" w:type="dxa"/>
            <w:vAlign w:val="center"/>
          </w:tcPr>
          <w:p w14:paraId="5E225CF3">
            <w:pPr>
              <w:pStyle w:val="8"/>
              <w:widowControl w:val="0"/>
              <w:spacing w:before="156" w:line="225" w:lineRule="auto"/>
              <w:jc w:val="center"/>
              <w:rPr>
                <w:rFonts w:hint="eastAsia" w:ascii="宋体" w:hAnsi="宋体" w:eastAsia="宋体" w:cs="宋体"/>
                <w:b/>
                <w:bCs/>
                <w:spacing w:val="2"/>
                <w:sz w:val="21"/>
                <w:szCs w:val="21"/>
                <w:lang w:val="en-US" w:eastAsia="zh-CN"/>
              </w:rPr>
            </w:pPr>
            <w:r>
              <w:rPr>
                <w:rFonts w:hint="eastAsia" w:ascii="宋体" w:hAnsi="宋体" w:eastAsia="宋体" w:cs="宋体"/>
                <w:b/>
                <w:bCs/>
                <w:spacing w:val="2"/>
                <w:sz w:val="21"/>
                <w:szCs w:val="21"/>
                <w:lang w:val="en-US" w:eastAsia="zh-CN"/>
              </w:rPr>
              <w:t>房产评估服务</w:t>
            </w:r>
          </w:p>
          <w:p w14:paraId="1C10F2AC">
            <w:pPr>
              <w:pStyle w:val="8"/>
              <w:widowControl w:val="0"/>
              <w:spacing w:before="156" w:line="225" w:lineRule="auto"/>
              <w:jc w:val="center"/>
              <w:rPr>
                <w:rFonts w:hint="eastAsia" w:ascii="宋体" w:hAnsi="宋体" w:eastAsia="宋体" w:cs="宋体"/>
                <w:b/>
                <w:bCs/>
                <w:spacing w:val="2"/>
                <w:sz w:val="21"/>
                <w:szCs w:val="21"/>
                <w:lang w:val="en-US" w:eastAsia="zh-CN"/>
              </w:rPr>
            </w:pPr>
            <w:r>
              <w:rPr>
                <w:rFonts w:hint="eastAsia" w:ascii="宋体" w:hAnsi="宋体" w:eastAsia="宋体" w:cs="宋体"/>
                <w:b/>
                <w:bCs/>
                <w:spacing w:val="2"/>
                <w:sz w:val="21"/>
                <w:szCs w:val="21"/>
                <w:lang w:val="en-US" w:eastAsia="zh-CN"/>
              </w:rPr>
              <w:t>入围</w:t>
            </w:r>
            <w:r>
              <w:rPr>
                <w:rFonts w:hint="eastAsia" w:cs="宋体"/>
                <w:b/>
                <w:bCs/>
                <w:spacing w:val="2"/>
                <w:sz w:val="21"/>
                <w:szCs w:val="21"/>
                <w:lang w:val="en-US" w:eastAsia="zh-CN"/>
              </w:rPr>
              <w:t>服务</w:t>
            </w:r>
            <w:r>
              <w:rPr>
                <w:rFonts w:hint="eastAsia" w:ascii="宋体" w:hAnsi="宋体" w:eastAsia="宋体" w:cs="宋体"/>
                <w:b/>
                <w:bCs/>
                <w:spacing w:val="2"/>
                <w:sz w:val="21"/>
                <w:szCs w:val="21"/>
                <w:lang w:val="en-US" w:eastAsia="zh-CN"/>
              </w:rPr>
              <w:t>费率</w:t>
            </w:r>
          </w:p>
        </w:tc>
      </w:tr>
      <w:tr w14:paraId="1738B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2530675E">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1146" w:type="dxa"/>
            <w:vAlign w:val="center"/>
          </w:tcPr>
          <w:p w14:paraId="15ABEC3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广西开元行土地房地产评估有限责任公司</w:t>
            </w:r>
          </w:p>
        </w:tc>
        <w:tc>
          <w:tcPr>
            <w:tcW w:w="2986" w:type="dxa"/>
            <w:vAlign w:val="center"/>
          </w:tcPr>
          <w:p w14:paraId="11B9E321">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40B8C204">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64295C27">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0141DCCB">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bookmarkStart w:id="0" w:name="_GoBack"/>
            <w:bookmarkEnd w:id="0"/>
            <w:r>
              <w:rPr>
                <w:rFonts w:hint="eastAsia" w:ascii="宋体" w:hAnsi="宋体" w:eastAsia="宋体" w:cs="宋体"/>
                <w:b w:val="0"/>
                <w:bCs w:val="0"/>
                <w:i w:val="0"/>
                <w:iCs/>
                <w:color w:val="auto"/>
                <w:spacing w:val="0"/>
                <w:sz w:val="21"/>
                <w:szCs w:val="21"/>
                <w:highlight w:val="none"/>
                <w:u w:val="none"/>
                <w:lang w:eastAsia="zh-CN"/>
              </w:rPr>
              <w:t>。</w:t>
            </w:r>
          </w:p>
          <w:p w14:paraId="3C0EA727">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591170C9">
            <w:pPr>
              <w:widowControl w:val="0"/>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6E2BD113">
            <w:pPr>
              <w:widowControl w:val="0"/>
              <w:jc w:val="center"/>
              <w:rPr>
                <w:rFonts w:hint="default"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r w14:paraId="6A16C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185BB4F7">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146" w:type="dxa"/>
            <w:vAlign w:val="center"/>
          </w:tcPr>
          <w:p w14:paraId="3DC52F4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广西金土资产房地产不动产评估有限公司</w:t>
            </w:r>
          </w:p>
        </w:tc>
        <w:tc>
          <w:tcPr>
            <w:tcW w:w="2986" w:type="dxa"/>
            <w:vAlign w:val="center"/>
          </w:tcPr>
          <w:p w14:paraId="4031D9FB">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72B7DD6E">
            <w:pPr>
              <w:widowControl w:val="0"/>
              <w:adjustRightInd w:val="0"/>
              <w:snapToGrid w:val="0"/>
              <w:spacing w:line="360" w:lineRule="exact"/>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00C34837">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1625D6FA">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7CA175FC">
            <w:pPr>
              <w:widowControl w:val="0"/>
              <w:jc w:val="center"/>
              <w:rPr>
                <w:rFonts w:hint="eastAsia" w:ascii="宋体" w:hAnsi="宋体" w:eastAsia="宋体" w:cs="宋体"/>
                <w:color w:val="000000"/>
                <w:sz w:val="21"/>
                <w:szCs w:val="21"/>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61D90FEE">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25A401C6">
            <w:pPr>
              <w:widowControl w:val="0"/>
              <w:jc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r w14:paraId="71C4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5DD91AD5">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1146" w:type="dxa"/>
            <w:vAlign w:val="center"/>
          </w:tcPr>
          <w:p w14:paraId="70A5B09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广西明冠房地产土地资产评估有限公司</w:t>
            </w:r>
          </w:p>
        </w:tc>
        <w:tc>
          <w:tcPr>
            <w:tcW w:w="2986" w:type="dxa"/>
            <w:vAlign w:val="center"/>
          </w:tcPr>
          <w:p w14:paraId="42F3B8B5">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41DCA106">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0D5D669A">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551C10F1">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1887802D">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729F5C38">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182BF076">
            <w:pPr>
              <w:widowControl w:val="0"/>
              <w:jc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r w14:paraId="5A780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296DE1D5">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4</w:t>
            </w:r>
          </w:p>
        </w:tc>
        <w:tc>
          <w:tcPr>
            <w:tcW w:w="1146" w:type="dxa"/>
            <w:vAlign w:val="center"/>
          </w:tcPr>
          <w:p w14:paraId="233648E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广西祥浩资产土地房地产评估有限公司</w:t>
            </w:r>
          </w:p>
        </w:tc>
        <w:tc>
          <w:tcPr>
            <w:tcW w:w="2986" w:type="dxa"/>
            <w:vAlign w:val="center"/>
          </w:tcPr>
          <w:p w14:paraId="56D9506E">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3ED490B6">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521ADD25">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38C1587A">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53BADDC7">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3FC3A74E">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5B52DEEE">
            <w:pPr>
              <w:widowControl w:val="0"/>
              <w:jc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r w14:paraId="0FFC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3A79AD61">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5</w:t>
            </w:r>
          </w:p>
        </w:tc>
        <w:tc>
          <w:tcPr>
            <w:tcW w:w="1146" w:type="dxa"/>
            <w:vAlign w:val="center"/>
          </w:tcPr>
          <w:p w14:paraId="2745146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广西旗开房地产土地资产评估有限公司</w:t>
            </w:r>
          </w:p>
        </w:tc>
        <w:tc>
          <w:tcPr>
            <w:tcW w:w="2986" w:type="dxa"/>
            <w:vAlign w:val="center"/>
          </w:tcPr>
          <w:p w14:paraId="47210359">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6966B113">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2412BDDE">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57C4618D">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1A20C631">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5D52D9C3">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1C12236C">
            <w:pPr>
              <w:widowControl w:val="0"/>
              <w:jc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r w14:paraId="5097B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5069C58F">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6</w:t>
            </w:r>
          </w:p>
        </w:tc>
        <w:tc>
          <w:tcPr>
            <w:tcW w:w="1146" w:type="dxa"/>
            <w:vAlign w:val="center"/>
          </w:tcPr>
          <w:p w14:paraId="708DB84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广西方中利和房地产土地资产评估有限责任公司</w:t>
            </w:r>
          </w:p>
        </w:tc>
        <w:tc>
          <w:tcPr>
            <w:tcW w:w="2986" w:type="dxa"/>
            <w:vAlign w:val="center"/>
          </w:tcPr>
          <w:p w14:paraId="0EA2AFEC">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54FACC28">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5419AE93">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66FA8765">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183AE7B8">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0E2B9849">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3F5BB53E">
            <w:pPr>
              <w:widowControl w:val="0"/>
              <w:jc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r w14:paraId="0BAD4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6CE5A38A">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7</w:t>
            </w:r>
          </w:p>
        </w:tc>
        <w:tc>
          <w:tcPr>
            <w:tcW w:w="1146" w:type="dxa"/>
            <w:vAlign w:val="center"/>
          </w:tcPr>
          <w:p w14:paraId="2CFDDB2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广西开宗房地产资产评估有限公司</w:t>
            </w:r>
          </w:p>
        </w:tc>
        <w:tc>
          <w:tcPr>
            <w:tcW w:w="2986" w:type="dxa"/>
            <w:vAlign w:val="center"/>
          </w:tcPr>
          <w:p w14:paraId="564614A1">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6F171436">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43878DAE">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02079163">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43D7B28E">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31FC6FE9">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37002689">
            <w:pPr>
              <w:widowControl w:val="0"/>
              <w:jc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r w14:paraId="5C38A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0FDCF54A">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8</w:t>
            </w:r>
          </w:p>
        </w:tc>
        <w:tc>
          <w:tcPr>
            <w:tcW w:w="1146" w:type="dxa"/>
            <w:vAlign w:val="center"/>
          </w:tcPr>
          <w:p w14:paraId="723C48B1">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广西科正房地产土地资产评估咨询有限公司</w:t>
            </w:r>
          </w:p>
        </w:tc>
        <w:tc>
          <w:tcPr>
            <w:tcW w:w="2986" w:type="dxa"/>
            <w:vAlign w:val="center"/>
          </w:tcPr>
          <w:p w14:paraId="6AFE089D">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09C6D4A2">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3E5BBCA0">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749C3053">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12F2DB43">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7D373BD6">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5AAE5BBE">
            <w:pPr>
              <w:widowControl w:val="0"/>
              <w:jc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r w14:paraId="4551D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236DE4CC">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9</w:t>
            </w:r>
          </w:p>
        </w:tc>
        <w:tc>
          <w:tcPr>
            <w:tcW w:w="1146" w:type="dxa"/>
            <w:vAlign w:val="center"/>
          </w:tcPr>
          <w:p w14:paraId="20E1456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广西广证房地产土地资产评估有限公司</w:t>
            </w:r>
          </w:p>
        </w:tc>
        <w:tc>
          <w:tcPr>
            <w:tcW w:w="2986" w:type="dxa"/>
            <w:vAlign w:val="center"/>
          </w:tcPr>
          <w:p w14:paraId="35EAE7EC">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382A7FDB">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4B05691C">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3EC9245B">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26BC1A88">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53FB9563">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3684E741">
            <w:pPr>
              <w:widowControl w:val="0"/>
              <w:jc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r w14:paraId="01F00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336B7409">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w:t>
            </w:r>
          </w:p>
        </w:tc>
        <w:tc>
          <w:tcPr>
            <w:tcW w:w="1146" w:type="dxa"/>
            <w:vAlign w:val="center"/>
          </w:tcPr>
          <w:p w14:paraId="491862B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广西方中房地产评估事务所有限公司</w:t>
            </w:r>
          </w:p>
        </w:tc>
        <w:tc>
          <w:tcPr>
            <w:tcW w:w="2986" w:type="dxa"/>
            <w:vAlign w:val="center"/>
          </w:tcPr>
          <w:p w14:paraId="5EA2E170">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23F23894">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38924A0E">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190D2962">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597B9948">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19BE1B0E">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48E54C89">
            <w:pPr>
              <w:widowControl w:val="0"/>
              <w:jc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r w14:paraId="003C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167A9044">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11</w:t>
            </w:r>
          </w:p>
        </w:tc>
        <w:tc>
          <w:tcPr>
            <w:tcW w:w="1146" w:type="dxa"/>
            <w:vAlign w:val="center"/>
          </w:tcPr>
          <w:p w14:paraId="77D3E0B1">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广西衡泰房地产不动产资产评估有限公司</w:t>
            </w:r>
          </w:p>
        </w:tc>
        <w:tc>
          <w:tcPr>
            <w:tcW w:w="2986" w:type="dxa"/>
            <w:vAlign w:val="center"/>
          </w:tcPr>
          <w:p w14:paraId="22331E0C">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4C05A1D1">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7274E93C">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27FF04A1">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3B3E69E1">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0E30160B">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2CF78259">
            <w:pPr>
              <w:widowControl w:val="0"/>
              <w:jc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r w14:paraId="236B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550AC3BC">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12</w:t>
            </w:r>
          </w:p>
        </w:tc>
        <w:tc>
          <w:tcPr>
            <w:tcW w:w="1146" w:type="dxa"/>
            <w:vAlign w:val="center"/>
          </w:tcPr>
          <w:p w14:paraId="599C12A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广西桂科资产房地产土地评估有限公司</w:t>
            </w:r>
          </w:p>
        </w:tc>
        <w:tc>
          <w:tcPr>
            <w:tcW w:w="2986" w:type="dxa"/>
            <w:vAlign w:val="center"/>
          </w:tcPr>
          <w:p w14:paraId="6689D2B0">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2FA51B77">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4A862F08">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5C843836">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20A8578D">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4F002507">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44186BA5">
            <w:pPr>
              <w:widowControl w:val="0"/>
              <w:jc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r w14:paraId="7A223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4014247D">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13</w:t>
            </w:r>
          </w:p>
        </w:tc>
        <w:tc>
          <w:tcPr>
            <w:tcW w:w="1146" w:type="dxa"/>
            <w:vAlign w:val="center"/>
          </w:tcPr>
          <w:p w14:paraId="6A152F6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广西国泰房地产土地资产评估有限公司</w:t>
            </w:r>
          </w:p>
        </w:tc>
        <w:tc>
          <w:tcPr>
            <w:tcW w:w="2986" w:type="dxa"/>
            <w:vAlign w:val="center"/>
          </w:tcPr>
          <w:p w14:paraId="15F8A228">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288F6B27">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08EA9649">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1B4F90BD">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76B592B8">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725345A2">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33C03B55">
            <w:pPr>
              <w:widowControl w:val="0"/>
              <w:jc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r w14:paraId="706C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2CFE3D34">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14</w:t>
            </w:r>
          </w:p>
        </w:tc>
        <w:tc>
          <w:tcPr>
            <w:tcW w:w="1146" w:type="dxa"/>
            <w:vAlign w:val="center"/>
          </w:tcPr>
          <w:p w14:paraId="34DB768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广西金瑞达房地产土地资产评估有限公司</w:t>
            </w:r>
          </w:p>
        </w:tc>
        <w:tc>
          <w:tcPr>
            <w:tcW w:w="2986" w:type="dxa"/>
            <w:vAlign w:val="center"/>
          </w:tcPr>
          <w:p w14:paraId="093DE032">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30B8E788">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30D26001">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2415065C">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2574BC68">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045C50C3">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5846D1DC">
            <w:pPr>
              <w:widowControl w:val="0"/>
              <w:jc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r w14:paraId="345C5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14:paraId="336891D7">
            <w:pPr>
              <w:widowControl w:val="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15</w:t>
            </w:r>
          </w:p>
        </w:tc>
        <w:tc>
          <w:tcPr>
            <w:tcW w:w="1146" w:type="dxa"/>
            <w:vAlign w:val="center"/>
          </w:tcPr>
          <w:p w14:paraId="26CF6C9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snapToGrid w:val="0"/>
                <w:color w:val="000000"/>
                <w:kern w:val="0"/>
                <w:sz w:val="21"/>
                <w:szCs w:val="21"/>
                <w:u w:val="none"/>
                <w:lang w:val="en-US" w:eastAsia="zh-CN" w:bidi="ar"/>
              </w:rPr>
              <w:t>广西科源房地产资产评估有限公司</w:t>
            </w:r>
          </w:p>
        </w:tc>
        <w:tc>
          <w:tcPr>
            <w:tcW w:w="2986" w:type="dxa"/>
            <w:vAlign w:val="center"/>
          </w:tcPr>
          <w:p w14:paraId="730765E1">
            <w:pPr>
              <w:widowControl w:val="0"/>
              <w:adjustRightInd w:val="0"/>
              <w:snapToGrid w:val="0"/>
              <w:spacing w:line="360" w:lineRule="exact"/>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接受北海市土地储备中心（北海市自然资源评估审核中心）委托，对北海市土地出让、划拨土地补办出让、土地使用条件变更、土地置换、土地收回等涉及的土地、地上建（构）筑物、设备物品等资产的价格进行评估，并提供经备案的评估报告。</w:t>
            </w:r>
          </w:p>
          <w:p w14:paraId="3802539D">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zh-CN"/>
              </w:rPr>
              <w:t>2.根据北海市海洋局的委托，对项目填海成本、拟出让海域的海域使用权价值等进行评估，并提供经备案的评估报告。</w:t>
            </w:r>
          </w:p>
        </w:tc>
        <w:tc>
          <w:tcPr>
            <w:tcW w:w="2209" w:type="dxa"/>
            <w:vAlign w:val="center"/>
          </w:tcPr>
          <w:p w14:paraId="0FA00C47">
            <w:pPr>
              <w:widowControl w:val="0"/>
              <w:jc w:val="center"/>
              <w:rPr>
                <w:rFonts w:hint="eastAsia" w:ascii="宋体" w:hAnsi="宋体" w:eastAsia="宋体" w:cs="宋体"/>
                <w:b w:val="0"/>
                <w:bCs w:val="0"/>
                <w:i w:val="0"/>
                <w:iCs/>
                <w:color w:val="auto"/>
                <w:spacing w:val="0"/>
                <w:sz w:val="21"/>
                <w:szCs w:val="21"/>
                <w:highlight w:val="none"/>
                <w:u w:val="none"/>
                <w:lang w:eastAsia="zh-CN"/>
              </w:rPr>
            </w:pPr>
          </w:p>
          <w:p w14:paraId="1BAD668C">
            <w:pPr>
              <w:widowControl w:val="0"/>
              <w:jc w:val="center"/>
              <w:rPr>
                <w:rFonts w:hint="eastAsia" w:ascii="宋体" w:hAnsi="宋体" w:eastAsia="宋体" w:cs="宋体"/>
                <w:b w:val="0"/>
                <w:bCs w:val="0"/>
                <w:i w:val="0"/>
                <w:iCs/>
                <w:color w:val="auto"/>
                <w:spacing w:val="0"/>
                <w:sz w:val="21"/>
                <w:szCs w:val="21"/>
                <w:highlight w:val="none"/>
                <w:u w:val="none"/>
                <w:lang w:eastAsia="zh-CN"/>
              </w:rPr>
            </w:pPr>
            <w:r>
              <w:rPr>
                <w:rFonts w:hint="eastAsia" w:ascii="宋体" w:hAnsi="宋体" w:eastAsia="宋体" w:cs="宋体"/>
                <w:b w:val="0"/>
                <w:bCs w:val="0"/>
                <w:i w:val="0"/>
                <w:iCs/>
                <w:color w:val="auto"/>
                <w:spacing w:val="0"/>
                <w:sz w:val="21"/>
                <w:szCs w:val="21"/>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02816608">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1"/>
                <w:szCs w:val="21"/>
                <w:highlight w:val="none"/>
                <w:u w:val="none"/>
                <w:lang w:eastAsia="zh-CN"/>
              </w:rPr>
              <w:t>②准确实用：估价结果与北海市土地（或房地产）市场水平相适应。</w:t>
            </w:r>
          </w:p>
        </w:tc>
        <w:tc>
          <w:tcPr>
            <w:tcW w:w="1868" w:type="dxa"/>
            <w:vAlign w:val="center"/>
          </w:tcPr>
          <w:p w14:paraId="251494A8">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541" w:type="dxa"/>
            <w:vAlign w:val="center"/>
          </w:tcPr>
          <w:p w14:paraId="0E847057">
            <w:pPr>
              <w:widowControl w:val="0"/>
              <w:jc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50%</w:t>
            </w:r>
          </w:p>
        </w:tc>
      </w:tr>
    </w:tbl>
    <w:p w14:paraId="4B37CD1D">
      <w:pPr>
        <w:rPr>
          <w:rFonts w:ascii="Arial"/>
          <w:sz w:val="21"/>
        </w:rPr>
      </w:pPr>
    </w:p>
    <w:p w14:paraId="0BA79133">
      <w:r>
        <w:rPr>
          <w:rFonts w:hint="eastAsia" w:eastAsia="宋体"/>
          <w:b/>
          <w:bCs/>
          <w:sz w:val="21"/>
          <w:lang w:eastAsia="zh-CN"/>
        </w:rPr>
        <w:t>注：所有入围供应商的有效报价费率的算术平均值作为本项目的入围服务费率。以各评估公司评估价的最终平均值计算评估费。</w:t>
      </w:r>
    </w:p>
    <w:sectPr>
      <w:footerReference r:id="rId5" w:type="default"/>
      <w:pgSz w:w="11900" w:h="16840"/>
      <w:pgMar w:top="1134" w:right="803" w:bottom="913" w:left="1011"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4B486">
    <w:pPr>
      <w:spacing w:line="279" w:lineRule="exact"/>
      <w:ind w:left="4894"/>
      <w:rPr>
        <w:rFonts w:ascii="Arial" w:hAnsi="Arial" w:eastAsia="Arial" w:cs="Arial"/>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TJiYjdmYTVhNWFiMjE1Y2E1NDNlZTdhNDMzMjk2M2EifQ=="/>
  </w:docVars>
  <w:rsids>
    <w:rsidRoot w:val="00000000"/>
    <w:rsid w:val="00574E8A"/>
    <w:rsid w:val="026954E1"/>
    <w:rsid w:val="069D1BFD"/>
    <w:rsid w:val="27645534"/>
    <w:rsid w:val="3ABF2899"/>
    <w:rsid w:val="3C3C7616"/>
    <w:rsid w:val="56B15AE6"/>
    <w:rsid w:val="5E8723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keepLines/>
      <w:widowControl/>
      <w:spacing w:before="120" w:beforeLines="0" w:after="120" w:afterLines="0" w:line="360" w:lineRule="auto"/>
      <w:jc w:val="center"/>
      <w:outlineLvl w:val="3"/>
    </w:pPr>
    <w:rPr>
      <w:rFonts w:ascii="Arial" w:hAnsi="Arial" w:eastAsia="黑体"/>
      <w:kern w:val="0"/>
      <w:sz w:val="28"/>
      <w:szCs w:val="20"/>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15"/>
      <w:szCs w:val="15"/>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4964</Words>
  <Characters>5060</Characters>
  <TotalTime>2</TotalTime>
  <ScaleCrop>false</ScaleCrop>
  <LinksUpToDate>false</LinksUpToDate>
  <CharactersWithSpaces>5060</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2024-11-08T15:27:00Z</dcterms:created>
  <dc:creator>Administrator</dc:creator>
  <cp:lastModifiedBy>HalaMadrid</cp:lastModifiedBy>
  <dcterms:modified xsi:type="dcterms:W3CDTF">2024-11-27T09:41:01Z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2024-11-26T18:14:45Z</vt:filetime>
  </property>
  <property fmtid="{D5CDD505-2E9C-101B-9397-08002B2CF9AE}" pid="4" name="KSOProductBuildVer">
    <vt:lpwstr>2052-12.1.0.18912</vt:lpwstr>
  </property>
  <property fmtid="{D5CDD505-2E9C-101B-9397-08002B2CF9AE}" pid="5" name="ICV">
    <vt:lpwstr>818BD9CF774146869F949458BADA789F_13</vt:lpwstr>
  </property>
</Properties>
</file>