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8798B">
      <w:pPr>
        <w:rPr>
          <w:rFonts w:ascii="宋体" w:hAnsi="宋体"/>
          <w:color w:val="auto"/>
          <w:highlight w:val="none"/>
        </w:rPr>
      </w:pPr>
    </w:p>
    <w:p w14:paraId="6DBA36CF">
      <w:pPr>
        <w:rPr>
          <w:rFonts w:ascii="宋体" w:hAnsi="宋体"/>
          <w:color w:val="auto"/>
          <w:highlight w:val="none"/>
        </w:rPr>
      </w:pPr>
    </w:p>
    <w:p w14:paraId="523149D9">
      <w:pPr>
        <w:rPr>
          <w:rFonts w:ascii="宋体" w:hAnsi="宋体"/>
          <w:color w:val="auto"/>
          <w:highlight w:val="none"/>
        </w:rPr>
      </w:pPr>
    </w:p>
    <w:p w14:paraId="1E9C70A3">
      <w:pPr>
        <w:rPr>
          <w:rFonts w:ascii="宋体" w:hAnsi="宋体"/>
          <w:color w:val="auto"/>
          <w:highlight w:val="none"/>
        </w:rPr>
      </w:pPr>
    </w:p>
    <w:p w14:paraId="6B51C75E">
      <w:pPr>
        <w:jc w:val="center"/>
        <w:rPr>
          <w:rFonts w:ascii="宋体" w:hAnsi="宋体"/>
          <w:color w:val="auto"/>
          <w:highlight w:val="none"/>
        </w:rPr>
      </w:pPr>
    </w:p>
    <w:p w14:paraId="36C5BDF5">
      <w:pPr>
        <w:rPr>
          <w:rFonts w:ascii="宋体" w:hAnsi="宋体"/>
          <w:color w:val="auto"/>
          <w:highlight w:val="none"/>
        </w:rPr>
      </w:pPr>
    </w:p>
    <w:p w14:paraId="48A10588">
      <w:pPr>
        <w:rPr>
          <w:rFonts w:ascii="宋体" w:hAnsi="宋体"/>
          <w:color w:val="auto"/>
          <w:highlight w:val="none"/>
        </w:rPr>
      </w:pPr>
    </w:p>
    <w:p w14:paraId="4143135A">
      <w:pPr>
        <w:pStyle w:val="13"/>
        <w:jc w:val="center"/>
        <w:rPr>
          <w:rFonts w:hAnsi="宋体"/>
          <w:color w:val="auto"/>
          <w:spacing w:val="32"/>
          <w:sz w:val="72"/>
          <w:szCs w:val="72"/>
          <w:highlight w:val="none"/>
        </w:rPr>
      </w:pPr>
      <w:r>
        <w:rPr>
          <w:rFonts w:hint="eastAsia" w:hAnsi="宋体"/>
          <w:color w:val="auto"/>
          <w:spacing w:val="32"/>
          <w:sz w:val="72"/>
          <w:szCs w:val="72"/>
          <w:highlight w:val="none"/>
        </w:rPr>
        <w:t>公开招标文件</w:t>
      </w:r>
    </w:p>
    <w:p w14:paraId="5720586E">
      <w:pPr>
        <w:rPr>
          <w:rFonts w:ascii="宋体" w:hAnsi="宋体"/>
          <w:color w:val="auto"/>
          <w:highlight w:val="none"/>
        </w:rPr>
      </w:pPr>
    </w:p>
    <w:p w14:paraId="33044FC9">
      <w:pPr>
        <w:rPr>
          <w:rFonts w:ascii="宋体" w:hAnsi="宋体"/>
          <w:color w:val="auto"/>
          <w:highlight w:val="none"/>
        </w:rPr>
      </w:pPr>
    </w:p>
    <w:p w14:paraId="3BDE4FD3">
      <w:pPr>
        <w:pStyle w:val="13"/>
        <w:rPr>
          <w:rFonts w:hAnsi="宋体"/>
          <w:color w:val="auto"/>
          <w:highlight w:val="none"/>
        </w:rPr>
      </w:pPr>
    </w:p>
    <w:p w14:paraId="388FD9D1">
      <w:pPr>
        <w:pStyle w:val="13"/>
        <w:rPr>
          <w:rFonts w:hAnsi="宋体"/>
          <w:color w:val="auto"/>
          <w:highlight w:val="none"/>
        </w:rPr>
      </w:pPr>
    </w:p>
    <w:p w14:paraId="583D677B">
      <w:pPr>
        <w:pStyle w:val="13"/>
        <w:rPr>
          <w:rFonts w:hAnsi="宋体"/>
          <w:color w:val="auto"/>
          <w:highlight w:val="none"/>
        </w:rPr>
      </w:pPr>
    </w:p>
    <w:p w14:paraId="2686BE02">
      <w:pPr>
        <w:pStyle w:val="13"/>
        <w:rPr>
          <w:rFonts w:hAnsi="宋体"/>
          <w:color w:val="auto"/>
          <w:highlight w:val="none"/>
        </w:rPr>
      </w:pPr>
    </w:p>
    <w:p w14:paraId="586FEB35">
      <w:pPr>
        <w:pStyle w:val="13"/>
        <w:rPr>
          <w:rFonts w:hAnsi="宋体"/>
          <w:color w:val="auto"/>
          <w:highlight w:val="none"/>
        </w:rPr>
      </w:pPr>
    </w:p>
    <w:p w14:paraId="74AA4D5C">
      <w:pPr>
        <w:pStyle w:val="13"/>
        <w:rPr>
          <w:rFonts w:hAnsi="宋体"/>
          <w:color w:val="auto"/>
          <w:highlight w:val="none"/>
        </w:rPr>
      </w:pPr>
    </w:p>
    <w:p w14:paraId="134E6164">
      <w:pPr>
        <w:pStyle w:val="13"/>
        <w:rPr>
          <w:rFonts w:hAnsi="宋体"/>
          <w:color w:val="auto"/>
          <w:highlight w:val="none"/>
        </w:rPr>
      </w:pPr>
    </w:p>
    <w:p w14:paraId="3FFDF32C">
      <w:pPr>
        <w:pStyle w:val="13"/>
        <w:rPr>
          <w:rFonts w:hAnsi="宋体"/>
          <w:color w:val="auto"/>
          <w:highlight w:val="none"/>
        </w:rPr>
      </w:pPr>
    </w:p>
    <w:p w14:paraId="2E0B93F0">
      <w:pPr>
        <w:pStyle w:val="13"/>
        <w:rPr>
          <w:rFonts w:hAnsi="宋体"/>
          <w:color w:val="auto"/>
          <w:highlight w:val="none"/>
        </w:rPr>
      </w:pPr>
    </w:p>
    <w:p w14:paraId="6C841C28">
      <w:pPr>
        <w:pStyle w:val="13"/>
        <w:rPr>
          <w:rFonts w:hAnsi="宋体"/>
          <w:color w:val="auto"/>
          <w:highlight w:val="none"/>
        </w:rPr>
      </w:pPr>
    </w:p>
    <w:p w14:paraId="6E8BFA10">
      <w:pPr>
        <w:pStyle w:val="13"/>
        <w:ind w:left="1478" w:leftChars="704" w:firstLine="281" w:firstLineChars="100"/>
        <w:rPr>
          <w:rFonts w:hAnsi="宋体"/>
          <w:b/>
          <w:color w:val="auto"/>
          <w:sz w:val="28"/>
          <w:szCs w:val="28"/>
          <w:highlight w:val="none"/>
        </w:rPr>
      </w:pPr>
      <w:r>
        <w:rPr>
          <w:rFonts w:hint="eastAsia" w:hAnsi="宋体"/>
          <w:b/>
          <w:color w:val="auto"/>
          <w:sz w:val="28"/>
          <w:szCs w:val="28"/>
          <w:highlight w:val="none"/>
        </w:rPr>
        <w:t>项目名称：合浦县农村公路日常养护服务项目</w:t>
      </w:r>
    </w:p>
    <w:p w14:paraId="44E12C8B">
      <w:pPr>
        <w:pStyle w:val="13"/>
        <w:ind w:left="1478" w:leftChars="704" w:firstLine="281" w:firstLineChars="100"/>
        <w:rPr>
          <w:rFonts w:hint="default" w:hAnsi="宋体"/>
          <w:b/>
          <w:color w:val="auto"/>
          <w:sz w:val="28"/>
          <w:szCs w:val="28"/>
          <w:highlight w:val="none"/>
        </w:rPr>
      </w:pPr>
      <w:r>
        <w:rPr>
          <w:rFonts w:hint="eastAsia" w:hAnsi="宋体"/>
          <w:b/>
          <w:color w:val="auto"/>
          <w:sz w:val="28"/>
          <w:szCs w:val="28"/>
          <w:highlight w:val="none"/>
        </w:rPr>
        <w:t>项目编号：</w:t>
      </w:r>
      <w:r>
        <w:rPr>
          <w:rFonts w:hint="default" w:hAnsi="宋体"/>
          <w:b/>
          <w:color w:val="auto"/>
          <w:sz w:val="28"/>
          <w:szCs w:val="28"/>
          <w:highlight w:val="none"/>
        </w:rPr>
        <w:t xml:space="preserve"> </w:t>
      </w:r>
    </w:p>
    <w:p w14:paraId="3890157C">
      <w:pPr>
        <w:pStyle w:val="4"/>
        <w:ind w:left="1478" w:leftChars="704" w:firstLine="281" w:firstLineChars="100"/>
        <w:rPr>
          <w:rFonts w:hint="default" w:ascii="宋体" w:hAnsi="宋体"/>
          <w:b/>
          <w:color w:val="auto"/>
          <w:kern w:val="0"/>
          <w:sz w:val="28"/>
          <w:szCs w:val="28"/>
          <w:highlight w:val="none"/>
        </w:rPr>
      </w:pPr>
      <w:r>
        <w:rPr>
          <w:rFonts w:hint="eastAsia" w:ascii="宋体" w:hAnsi="宋体"/>
          <w:b/>
          <w:color w:val="auto"/>
          <w:kern w:val="0"/>
          <w:sz w:val="28"/>
          <w:szCs w:val="28"/>
          <w:highlight w:val="none"/>
        </w:rPr>
        <w:t>采购计划文号：</w:t>
      </w:r>
      <w:r>
        <w:rPr>
          <w:rFonts w:hint="default" w:ascii="宋体" w:hAnsi="宋体"/>
          <w:b/>
          <w:color w:val="auto"/>
          <w:kern w:val="0"/>
          <w:sz w:val="28"/>
          <w:szCs w:val="28"/>
          <w:highlight w:val="none"/>
        </w:rPr>
        <w:t xml:space="preserve"> </w:t>
      </w:r>
    </w:p>
    <w:p w14:paraId="00D8BBF2">
      <w:pPr>
        <w:pStyle w:val="13"/>
        <w:ind w:left="1478" w:leftChars="704" w:firstLine="281" w:firstLineChars="100"/>
        <w:rPr>
          <w:rFonts w:hAnsi="宋体"/>
          <w:color w:val="auto"/>
          <w:highlight w:val="none"/>
        </w:rPr>
      </w:pPr>
      <w:r>
        <w:rPr>
          <w:rFonts w:hint="eastAsia" w:hAnsi="宋体"/>
          <w:b/>
          <w:color w:val="auto"/>
          <w:sz w:val="28"/>
          <w:szCs w:val="28"/>
          <w:highlight w:val="none"/>
        </w:rPr>
        <w:t xml:space="preserve">采购单位：合浦县公路发展服务中心 </w:t>
      </w:r>
    </w:p>
    <w:p w14:paraId="6EB47A35">
      <w:pPr>
        <w:pStyle w:val="13"/>
        <w:ind w:left="1478" w:leftChars="704" w:firstLine="281" w:firstLineChars="100"/>
        <w:rPr>
          <w:rFonts w:hAnsi="宋体"/>
          <w:b/>
          <w:color w:val="auto"/>
          <w:sz w:val="28"/>
          <w:szCs w:val="28"/>
          <w:highlight w:val="none"/>
        </w:rPr>
      </w:pPr>
      <w:r>
        <w:rPr>
          <w:rFonts w:hint="eastAsia" w:hAnsi="宋体"/>
          <w:b/>
          <w:color w:val="auto"/>
          <w:sz w:val="28"/>
          <w:szCs w:val="28"/>
          <w:highlight w:val="none"/>
        </w:rPr>
        <w:t>采购代理机构： 广西向海韵工程咨询</w:t>
      </w:r>
      <w:r>
        <w:rPr>
          <w:rFonts w:hint="eastAsia" w:hAnsi="宋体"/>
          <w:b/>
          <w:color w:val="auto"/>
          <w:sz w:val="28"/>
          <w:szCs w:val="28"/>
          <w:highlight w:val="none"/>
        </w:rPr>
        <w:t>有限公司</w:t>
      </w:r>
    </w:p>
    <w:p w14:paraId="3AC35C7C">
      <w:pPr>
        <w:pStyle w:val="13"/>
        <w:rPr>
          <w:rFonts w:hAnsi="宋体"/>
          <w:color w:val="auto"/>
          <w:highlight w:val="none"/>
        </w:rPr>
      </w:pPr>
    </w:p>
    <w:p w14:paraId="4AB0F230">
      <w:pPr>
        <w:pStyle w:val="13"/>
        <w:rPr>
          <w:rFonts w:hAnsi="宋体"/>
          <w:color w:val="auto"/>
          <w:highlight w:val="none"/>
        </w:rPr>
      </w:pPr>
    </w:p>
    <w:p w14:paraId="0754F737">
      <w:pPr>
        <w:pStyle w:val="13"/>
        <w:rPr>
          <w:rFonts w:hAnsi="宋体"/>
          <w:color w:val="auto"/>
          <w:highlight w:val="none"/>
        </w:rPr>
      </w:pPr>
    </w:p>
    <w:p w14:paraId="2FFF8E6E">
      <w:pPr>
        <w:pStyle w:val="13"/>
        <w:jc w:val="center"/>
        <w:rPr>
          <w:rFonts w:hAnsi="宋体"/>
          <w:b/>
          <w:color w:val="auto"/>
          <w:sz w:val="28"/>
          <w:szCs w:val="28"/>
          <w:highlight w:val="none"/>
        </w:rPr>
      </w:pPr>
    </w:p>
    <w:p w14:paraId="7EAFA738">
      <w:pPr>
        <w:pStyle w:val="13"/>
        <w:jc w:val="center"/>
        <w:rPr>
          <w:rFonts w:hAnsi="宋体"/>
          <w:b/>
          <w:color w:val="auto"/>
          <w:sz w:val="28"/>
          <w:szCs w:val="28"/>
          <w:highlight w:val="none"/>
        </w:rPr>
      </w:pPr>
      <w:r>
        <w:rPr>
          <w:rFonts w:hint="eastAsia" w:hAnsi="宋体"/>
          <w:b/>
          <w:color w:val="auto"/>
          <w:sz w:val="28"/>
          <w:szCs w:val="28"/>
          <w:highlight w:val="none"/>
        </w:rPr>
        <w:t>2025年   月   日</w:t>
      </w:r>
    </w:p>
    <w:p w14:paraId="798ECBDF">
      <w:pPr>
        <w:pStyle w:val="13"/>
        <w:spacing w:line="500" w:lineRule="exact"/>
        <w:jc w:val="center"/>
        <w:rPr>
          <w:rFonts w:hAnsi="宋体"/>
          <w:b/>
          <w:color w:val="auto"/>
          <w:sz w:val="44"/>
          <w:szCs w:val="44"/>
          <w:highlight w:val="none"/>
        </w:rPr>
      </w:pPr>
    </w:p>
    <w:p w14:paraId="63B6A711">
      <w:pPr>
        <w:pStyle w:val="13"/>
        <w:spacing w:line="600" w:lineRule="exact"/>
        <w:jc w:val="center"/>
        <w:rPr>
          <w:rFonts w:hAnsi="宋体"/>
          <w:color w:val="auto"/>
          <w:sz w:val="40"/>
          <w:szCs w:val="40"/>
          <w:highlight w:val="none"/>
        </w:rPr>
      </w:pPr>
    </w:p>
    <w:p w14:paraId="611E37E4">
      <w:pPr>
        <w:pStyle w:val="13"/>
        <w:spacing w:line="600" w:lineRule="exact"/>
        <w:jc w:val="center"/>
        <w:outlineLvl w:val="0"/>
        <w:rPr>
          <w:rFonts w:hAnsi="宋体"/>
          <w:color w:val="auto"/>
          <w:sz w:val="40"/>
          <w:szCs w:val="40"/>
          <w:highlight w:val="none"/>
        </w:rPr>
        <w:sectPr>
          <w:footerReference r:id="rId3" w:type="even"/>
          <w:pgSz w:w="11906" w:h="16838"/>
          <w:pgMar w:top="1440" w:right="1080" w:bottom="1440" w:left="1080" w:header="851" w:footer="992" w:gutter="0"/>
          <w:cols w:space="720" w:num="1"/>
          <w:titlePg/>
          <w:docGrid w:type="lines" w:linePitch="312" w:charSpace="0"/>
        </w:sectPr>
      </w:pPr>
    </w:p>
    <w:p w14:paraId="4AB9952E">
      <w:pPr>
        <w:pStyle w:val="13"/>
        <w:spacing w:line="600" w:lineRule="exact"/>
        <w:jc w:val="center"/>
        <w:outlineLvl w:val="0"/>
        <w:rPr>
          <w:rFonts w:hAnsi="宋体"/>
          <w:b/>
          <w:bCs/>
          <w:color w:val="auto"/>
          <w:sz w:val="40"/>
          <w:szCs w:val="40"/>
          <w:highlight w:val="none"/>
        </w:rPr>
      </w:pPr>
      <w:bookmarkStart w:id="0" w:name="_Toc21123"/>
      <w:r>
        <w:rPr>
          <w:rFonts w:hint="eastAsia" w:hAnsi="宋体"/>
          <w:b/>
          <w:bCs/>
          <w:color w:val="auto"/>
          <w:sz w:val="40"/>
          <w:szCs w:val="40"/>
          <w:highlight w:val="none"/>
        </w:rPr>
        <w:t>目   录</w:t>
      </w:r>
      <w:bookmarkEnd w:id="0"/>
    </w:p>
    <w:p w14:paraId="52A1E263">
      <w:pPr>
        <w:pStyle w:val="13"/>
        <w:spacing w:line="600" w:lineRule="exact"/>
        <w:jc w:val="center"/>
        <w:rPr>
          <w:rFonts w:hAnsi="宋体"/>
          <w:color w:val="auto"/>
          <w:sz w:val="40"/>
          <w:szCs w:val="40"/>
          <w:highlight w:val="none"/>
        </w:rPr>
      </w:pPr>
    </w:p>
    <w:p w14:paraId="5484A1C2">
      <w:pPr>
        <w:pStyle w:val="16"/>
        <w:tabs>
          <w:tab w:val="right" w:leader="dot" w:pos="9639"/>
          <w:tab w:val="clear" w:pos="9360"/>
        </w:tabs>
        <w:rPr>
          <w:color w:val="auto"/>
          <w:highlight w:val="none"/>
        </w:rPr>
      </w:pPr>
      <w:r>
        <w:rPr>
          <w:color w:val="auto"/>
          <w:sz w:val="24"/>
          <w:szCs w:val="24"/>
          <w:highlight w:val="none"/>
        </w:rPr>
        <w:fldChar w:fldCharType="begin"/>
      </w:r>
      <w:r>
        <w:rPr>
          <w:color w:val="auto"/>
          <w:sz w:val="24"/>
          <w:szCs w:val="24"/>
          <w:highlight w:val="none"/>
        </w:rPr>
        <w:instrText xml:space="preserve"> TOC \o "1-1" \h \z \u </w:instrText>
      </w:r>
      <w:r>
        <w:rPr>
          <w:color w:val="auto"/>
          <w:sz w:val="24"/>
          <w:szCs w:val="24"/>
          <w:highlight w:val="none"/>
        </w:rPr>
        <w:fldChar w:fldCharType="separate"/>
      </w:r>
      <w:r>
        <w:rPr>
          <w:color w:val="auto"/>
          <w:highlight w:val="none"/>
        </w:rPr>
        <w:fldChar w:fldCharType="begin"/>
      </w:r>
      <w:r>
        <w:rPr>
          <w:color w:val="auto"/>
          <w:highlight w:val="none"/>
        </w:rPr>
        <w:instrText xml:space="preserve"> HYPERLINK \l "_Toc21123" </w:instrText>
      </w:r>
      <w:r>
        <w:rPr>
          <w:color w:val="auto"/>
          <w:highlight w:val="none"/>
        </w:rPr>
        <w:fldChar w:fldCharType="separate"/>
      </w:r>
      <w:r>
        <w:rPr>
          <w:rFonts w:hint="eastAsia"/>
          <w:color w:val="auto"/>
          <w:szCs w:val="40"/>
          <w:highlight w:val="none"/>
        </w:rPr>
        <w:t>目   录</w:t>
      </w:r>
      <w:r>
        <w:rPr>
          <w:color w:val="auto"/>
          <w:highlight w:val="none"/>
        </w:rPr>
        <w:tab/>
      </w:r>
      <w:r>
        <w:rPr>
          <w:color w:val="auto"/>
          <w:highlight w:val="none"/>
        </w:rPr>
        <w:fldChar w:fldCharType="begin"/>
      </w:r>
      <w:r>
        <w:rPr>
          <w:color w:val="auto"/>
          <w:highlight w:val="none"/>
        </w:rPr>
        <w:instrText xml:space="preserve"> PAGEREF _Toc21123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E9586ED">
      <w:pPr>
        <w:pStyle w:val="16"/>
        <w:tabs>
          <w:tab w:val="right" w:leader="dot" w:pos="9639"/>
          <w:tab w:val="clear" w:pos="9360"/>
        </w:tabs>
        <w:rPr>
          <w:color w:val="auto"/>
          <w:highlight w:val="none"/>
        </w:rPr>
      </w:pPr>
      <w:r>
        <w:rPr>
          <w:color w:val="auto"/>
          <w:highlight w:val="none"/>
        </w:rPr>
        <w:fldChar w:fldCharType="begin"/>
      </w:r>
      <w:r>
        <w:rPr>
          <w:color w:val="auto"/>
          <w:highlight w:val="none"/>
        </w:rPr>
        <w:instrText xml:space="preserve"> HYPERLINK \l "_Toc1273" </w:instrText>
      </w:r>
      <w:r>
        <w:rPr>
          <w:color w:val="auto"/>
          <w:highlight w:val="none"/>
        </w:rPr>
        <w:fldChar w:fldCharType="separate"/>
      </w:r>
      <w:r>
        <w:rPr>
          <w:rFonts w:hint="eastAsia"/>
          <w:color w:val="auto"/>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_Toc1273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B0936FD">
      <w:pPr>
        <w:pStyle w:val="16"/>
        <w:tabs>
          <w:tab w:val="right" w:leader="dot" w:pos="9639"/>
          <w:tab w:val="clear" w:pos="9360"/>
        </w:tabs>
        <w:rPr>
          <w:color w:val="auto"/>
          <w:highlight w:val="none"/>
        </w:rPr>
      </w:pPr>
      <w:r>
        <w:rPr>
          <w:color w:val="auto"/>
          <w:highlight w:val="none"/>
        </w:rPr>
        <w:fldChar w:fldCharType="begin"/>
      </w:r>
      <w:r>
        <w:rPr>
          <w:color w:val="auto"/>
          <w:highlight w:val="none"/>
        </w:rPr>
        <w:instrText xml:space="preserve"> HYPERLINK \l "_Toc32139" </w:instrText>
      </w:r>
      <w:r>
        <w:rPr>
          <w:color w:val="auto"/>
          <w:highlight w:val="none"/>
        </w:rPr>
        <w:fldChar w:fldCharType="separate"/>
      </w:r>
      <w:r>
        <w:rPr>
          <w:rFonts w:hint="eastAsia"/>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_Toc32139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9CEEEE9">
      <w:pPr>
        <w:pStyle w:val="16"/>
        <w:tabs>
          <w:tab w:val="right" w:leader="dot" w:pos="9639"/>
          <w:tab w:val="clear" w:pos="9360"/>
        </w:tabs>
        <w:rPr>
          <w:color w:val="auto"/>
          <w:highlight w:val="none"/>
        </w:rPr>
      </w:pPr>
      <w:r>
        <w:rPr>
          <w:color w:val="auto"/>
          <w:highlight w:val="none"/>
        </w:rPr>
        <w:fldChar w:fldCharType="begin"/>
      </w:r>
      <w:r>
        <w:rPr>
          <w:color w:val="auto"/>
          <w:highlight w:val="none"/>
        </w:rPr>
        <w:instrText xml:space="preserve"> HYPERLINK \l "_Toc615" </w:instrText>
      </w:r>
      <w:r>
        <w:rPr>
          <w:color w:val="auto"/>
          <w:highlight w:val="none"/>
        </w:rPr>
        <w:fldChar w:fldCharType="separate"/>
      </w:r>
      <w:r>
        <w:rPr>
          <w:rFonts w:hint="eastAsia"/>
          <w:color w:val="auto"/>
          <w:highlight w:val="none"/>
        </w:rPr>
        <w:t>第三章  招标项目采购需求</w:t>
      </w:r>
      <w:r>
        <w:rPr>
          <w:color w:val="auto"/>
          <w:highlight w:val="none"/>
        </w:rPr>
        <w:tab/>
      </w:r>
      <w:r>
        <w:rPr>
          <w:color w:val="auto"/>
          <w:highlight w:val="none"/>
        </w:rPr>
        <w:fldChar w:fldCharType="begin"/>
      </w:r>
      <w:r>
        <w:rPr>
          <w:color w:val="auto"/>
          <w:highlight w:val="none"/>
        </w:rPr>
        <w:instrText xml:space="preserve"> PAGEREF _Toc615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86D9810">
      <w:pPr>
        <w:pStyle w:val="16"/>
        <w:tabs>
          <w:tab w:val="right" w:leader="dot" w:pos="9639"/>
          <w:tab w:val="clear" w:pos="9360"/>
        </w:tabs>
        <w:rPr>
          <w:color w:val="auto"/>
          <w:highlight w:val="none"/>
        </w:rPr>
      </w:pPr>
      <w:r>
        <w:rPr>
          <w:color w:val="auto"/>
          <w:highlight w:val="none"/>
        </w:rPr>
        <w:fldChar w:fldCharType="begin"/>
      </w:r>
      <w:r>
        <w:rPr>
          <w:color w:val="auto"/>
          <w:highlight w:val="none"/>
        </w:rPr>
        <w:instrText xml:space="preserve"> HYPERLINK \l "_Toc3278" </w:instrText>
      </w:r>
      <w:r>
        <w:rPr>
          <w:color w:val="auto"/>
          <w:highlight w:val="none"/>
        </w:rPr>
        <w:fldChar w:fldCharType="separate"/>
      </w:r>
      <w:r>
        <w:rPr>
          <w:rFonts w:hint="eastAsia"/>
          <w:bCs/>
          <w:color w:val="auto"/>
          <w:szCs w:val="44"/>
          <w:highlight w:val="none"/>
        </w:rPr>
        <w:t>第四章  合同主要条款</w:t>
      </w:r>
      <w:r>
        <w:rPr>
          <w:color w:val="auto"/>
          <w:highlight w:val="none"/>
        </w:rPr>
        <w:tab/>
      </w:r>
      <w:r>
        <w:rPr>
          <w:color w:val="auto"/>
          <w:highlight w:val="none"/>
        </w:rPr>
        <w:fldChar w:fldCharType="begin"/>
      </w:r>
      <w:r>
        <w:rPr>
          <w:color w:val="auto"/>
          <w:highlight w:val="none"/>
        </w:rPr>
        <w:instrText xml:space="preserve"> PAGEREF _Toc3278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4DC408A3">
      <w:pPr>
        <w:pStyle w:val="16"/>
        <w:tabs>
          <w:tab w:val="right" w:leader="dot" w:pos="9639"/>
          <w:tab w:val="clear" w:pos="9360"/>
        </w:tabs>
        <w:rPr>
          <w:color w:val="auto"/>
          <w:highlight w:val="none"/>
        </w:rPr>
      </w:pPr>
      <w:r>
        <w:rPr>
          <w:color w:val="auto"/>
          <w:highlight w:val="none"/>
        </w:rPr>
        <w:fldChar w:fldCharType="begin"/>
      </w:r>
      <w:r>
        <w:rPr>
          <w:color w:val="auto"/>
          <w:highlight w:val="none"/>
        </w:rPr>
        <w:instrText xml:space="preserve"> HYPERLINK \l "_Toc13461" </w:instrText>
      </w:r>
      <w:r>
        <w:rPr>
          <w:color w:val="auto"/>
          <w:highlight w:val="none"/>
        </w:rPr>
        <w:fldChar w:fldCharType="separate"/>
      </w:r>
      <w:r>
        <w:rPr>
          <w:rFonts w:hint="eastAsia"/>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_Toc13461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43F98A90">
      <w:pPr>
        <w:pStyle w:val="16"/>
        <w:tabs>
          <w:tab w:val="right" w:leader="dot" w:pos="9639"/>
          <w:tab w:val="clear" w:pos="9360"/>
        </w:tabs>
        <w:rPr>
          <w:color w:val="auto"/>
          <w:highlight w:val="none"/>
        </w:rPr>
      </w:pPr>
      <w:r>
        <w:rPr>
          <w:color w:val="auto"/>
          <w:highlight w:val="none"/>
        </w:rPr>
        <w:fldChar w:fldCharType="begin"/>
      </w:r>
      <w:r>
        <w:rPr>
          <w:color w:val="auto"/>
          <w:highlight w:val="none"/>
        </w:rPr>
        <w:instrText xml:space="preserve"> HYPERLINK \l "_Toc29305" </w:instrText>
      </w:r>
      <w:r>
        <w:rPr>
          <w:color w:val="auto"/>
          <w:highlight w:val="none"/>
        </w:rPr>
        <w:fldChar w:fldCharType="separate"/>
      </w:r>
      <w:r>
        <w:rPr>
          <w:rFonts w:hint="eastAsia"/>
          <w:color w:val="auto"/>
          <w:highlight w:val="none"/>
        </w:rPr>
        <w:t>第六章  评标办法及评分标准</w:t>
      </w:r>
      <w:r>
        <w:rPr>
          <w:color w:val="auto"/>
          <w:highlight w:val="none"/>
        </w:rPr>
        <w:tab/>
      </w:r>
      <w:r>
        <w:rPr>
          <w:color w:val="auto"/>
          <w:highlight w:val="none"/>
        </w:rPr>
        <w:fldChar w:fldCharType="begin"/>
      </w:r>
      <w:r>
        <w:rPr>
          <w:color w:val="auto"/>
          <w:highlight w:val="none"/>
        </w:rPr>
        <w:instrText xml:space="preserve"> PAGEREF _Toc29305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054FEB6B">
      <w:pPr>
        <w:pStyle w:val="13"/>
        <w:spacing w:before="120" w:after="120" w:line="360" w:lineRule="auto"/>
        <w:rPr>
          <w:rFonts w:hAnsi="宋体"/>
          <w:color w:val="auto"/>
          <w:sz w:val="24"/>
          <w:szCs w:val="24"/>
          <w:highlight w:val="none"/>
        </w:rPr>
      </w:pPr>
      <w:r>
        <w:rPr>
          <w:rFonts w:hAnsi="宋体"/>
          <w:color w:val="auto"/>
          <w:szCs w:val="24"/>
          <w:highlight w:val="none"/>
        </w:rPr>
        <w:fldChar w:fldCharType="end"/>
      </w:r>
    </w:p>
    <w:p w14:paraId="35D00FFA">
      <w:pPr>
        <w:pStyle w:val="13"/>
        <w:spacing w:before="120" w:after="120" w:line="360" w:lineRule="auto"/>
        <w:rPr>
          <w:rFonts w:hAnsi="宋体"/>
          <w:color w:val="auto"/>
          <w:highlight w:val="none"/>
        </w:rPr>
      </w:pPr>
    </w:p>
    <w:p w14:paraId="7814EAF2">
      <w:pPr>
        <w:pStyle w:val="13"/>
        <w:spacing w:before="120" w:after="120" w:line="360" w:lineRule="auto"/>
        <w:rPr>
          <w:rFonts w:hAnsi="宋体"/>
          <w:color w:val="auto"/>
          <w:highlight w:val="none"/>
        </w:rPr>
      </w:pPr>
    </w:p>
    <w:p w14:paraId="3B762C3A">
      <w:pPr>
        <w:pStyle w:val="13"/>
        <w:spacing w:before="120" w:after="120" w:line="360" w:lineRule="auto"/>
        <w:rPr>
          <w:rFonts w:hAnsi="宋体"/>
          <w:color w:val="auto"/>
          <w:highlight w:val="none"/>
        </w:rPr>
      </w:pPr>
    </w:p>
    <w:p w14:paraId="703E7515">
      <w:pPr>
        <w:pStyle w:val="13"/>
        <w:spacing w:before="120" w:after="120" w:line="360" w:lineRule="auto"/>
        <w:rPr>
          <w:rFonts w:hAnsi="宋体"/>
          <w:color w:val="auto"/>
          <w:highlight w:val="none"/>
        </w:rPr>
      </w:pPr>
    </w:p>
    <w:p w14:paraId="468109E0">
      <w:pPr>
        <w:pStyle w:val="13"/>
        <w:spacing w:before="120" w:after="120" w:line="360" w:lineRule="auto"/>
        <w:rPr>
          <w:rFonts w:hAnsi="宋体"/>
          <w:color w:val="auto"/>
          <w:highlight w:val="none"/>
        </w:rPr>
      </w:pPr>
    </w:p>
    <w:p w14:paraId="60D101EE">
      <w:pPr>
        <w:pStyle w:val="13"/>
        <w:spacing w:before="120" w:after="120" w:line="360" w:lineRule="auto"/>
        <w:rPr>
          <w:rFonts w:hAnsi="宋体"/>
          <w:color w:val="auto"/>
          <w:highlight w:val="none"/>
        </w:rPr>
      </w:pPr>
    </w:p>
    <w:p w14:paraId="3E101ED4">
      <w:pPr>
        <w:pStyle w:val="13"/>
        <w:spacing w:before="120" w:after="120" w:line="360" w:lineRule="auto"/>
        <w:rPr>
          <w:rFonts w:hAnsi="宋体"/>
          <w:color w:val="auto"/>
          <w:highlight w:val="none"/>
        </w:rPr>
      </w:pPr>
    </w:p>
    <w:p w14:paraId="3ADB6BCD">
      <w:pPr>
        <w:pStyle w:val="13"/>
        <w:spacing w:before="120" w:after="120" w:line="360" w:lineRule="auto"/>
        <w:rPr>
          <w:rFonts w:hAnsi="宋体"/>
          <w:color w:val="auto"/>
          <w:highlight w:val="none"/>
        </w:rPr>
      </w:pPr>
    </w:p>
    <w:p w14:paraId="2259C86F">
      <w:pPr>
        <w:pStyle w:val="13"/>
        <w:spacing w:before="120" w:after="120" w:line="360" w:lineRule="auto"/>
        <w:rPr>
          <w:rFonts w:hAnsi="宋体"/>
          <w:color w:val="auto"/>
          <w:highlight w:val="none"/>
        </w:rPr>
      </w:pPr>
    </w:p>
    <w:p w14:paraId="102FA70A">
      <w:pPr>
        <w:pStyle w:val="13"/>
        <w:spacing w:before="120" w:after="120" w:line="360" w:lineRule="auto"/>
        <w:rPr>
          <w:rFonts w:hAnsi="宋体"/>
          <w:color w:val="auto"/>
          <w:highlight w:val="none"/>
        </w:rPr>
      </w:pPr>
    </w:p>
    <w:p w14:paraId="0805A7D7">
      <w:pPr>
        <w:pStyle w:val="13"/>
        <w:spacing w:before="120" w:after="120" w:line="360" w:lineRule="auto"/>
        <w:rPr>
          <w:rFonts w:hAnsi="宋体"/>
          <w:color w:val="auto"/>
          <w:highlight w:val="none"/>
        </w:rPr>
      </w:pPr>
    </w:p>
    <w:p w14:paraId="5275981C">
      <w:pPr>
        <w:pStyle w:val="13"/>
        <w:spacing w:before="120" w:after="120" w:line="360" w:lineRule="auto"/>
        <w:rPr>
          <w:rFonts w:hAnsi="宋体"/>
          <w:color w:val="auto"/>
          <w:highlight w:val="none"/>
        </w:rPr>
      </w:pPr>
    </w:p>
    <w:p w14:paraId="0C95AA2E">
      <w:pPr>
        <w:pStyle w:val="13"/>
        <w:spacing w:before="120" w:after="120" w:line="360" w:lineRule="auto"/>
        <w:rPr>
          <w:rFonts w:hAnsi="宋体"/>
          <w:color w:val="auto"/>
          <w:highlight w:val="none"/>
        </w:rPr>
        <w:sectPr>
          <w:footerReference r:id="rId5" w:type="first"/>
          <w:footerReference r:id="rId4" w:type="default"/>
          <w:pgSz w:w="11906" w:h="16838"/>
          <w:pgMar w:top="1440" w:right="1080" w:bottom="1440" w:left="1080" w:header="851" w:footer="992" w:gutter="0"/>
          <w:pgNumType w:start="1"/>
          <w:cols w:space="720" w:num="1"/>
          <w:titlePg/>
          <w:docGrid w:type="lines" w:linePitch="312" w:charSpace="0"/>
        </w:sectPr>
      </w:pPr>
    </w:p>
    <w:p w14:paraId="48A06760">
      <w:pPr>
        <w:pStyle w:val="13"/>
        <w:spacing w:before="120" w:after="120" w:line="360" w:lineRule="auto"/>
        <w:rPr>
          <w:rFonts w:hAnsi="宋体"/>
          <w:color w:val="auto"/>
          <w:highlight w:val="none"/>
        </w:rPr>
      </w:pPr>
    </w:p>
    <w:p w14:paraId="245FF476">
      <w:pPr>
        <w:pStyle w:val="13"/>
        <w:spacing w:line="600" w:lineRule="exact"/>
        <w:rPr>
          <w:rFonts w:hAnsi="宋体"/>
          <w:color w:val="auto"/>
          <w:sz w:val="36"/>
          <w:szCs w:val="36"/>
          <w:highlight w:val="none"/>
        </w:rPr>
      </w:pPr>
    </w:p>
    <w:p w14:paraId="769183D8">
      <w:pPr>
        <w:pStyle w:val="13"/>
        <w:spacing w:line="600" w:lineRule="exact"/>
        <w:rPr>
          <w:rFonts w:hAnsi="宋体"/>
          <w:color w:val="auto"/>
          <w:sz w:val="36"/>
          <w:szCs w:val="36"/>
          <w:highlight w:val="none"/>
        </w:rPr>
      </w:pPr>
    </w:p>
    <w:p w14:paraId="154F61B0">
      <w:pPr>
        <w:pStyle w:val="13"/>
        <w:spacing w:line="600" w:lineRule="exact"/>
        <w:rPr>
          <w:rFonts w:hAnsi="宋体"/>
          <w:color w:val="auto"/>
          <w:sz w:val="36"/>
          <w:szCs w:val="36"/>
          <w:highlight w:val="none"/>
        </w:rPr>
      </w:pPr>
    </w:p>
    <w:p w14:paraId="79B929F2">
      <w:pPr>
        <w:pStyle w:val="13"/>
        <w:spacing w:line="600" w:lineRule="exact"/>
        <w:rPr>
          <w:rFonts w:hAnsi="宋体"/>
          <w:color w:val="auto"/>
          <w:sz w:val="36"/>
          <w:szCs w:val="36"/>
          <w:highlight w:val="none"/>
        </w:rPr>
      </w:pPr>
    </w:p>
    <w:p w14:paraId="007DE489">
      <w:pPr>
        <w:pStyle w:val="13"/>
        <w:spacing w:line="600" w:lineRule="exact"/>
        <w:rPr>
          <w:rFonts w:hAnsi="宋体"/>
          <w:color w:val="auto"/>
          <w:sz w:val="36"/>
          <w:szCs w:val="36"/>
          <w:highlight w:val="none"/>
        </w:rPr>
      </w:pPr>
    </w:p>
    <w:p w14:paraId="74986928">
      <w:pPr>
        <w:pStyle w:val="13"/>
        <w:spacing w:line="600" w:lineRule="exact"/>
        <w:rPr>
          <w:rFonts w:hAnsi="宋体"/>
          <w:color w:val="auto"/>
          <w:sz w:val="36"/>
          <w:szCs w:val="36"/>
          <w:highlight w:val="none"/>
        </w:rPr>
      </w:pPr>
    </w:p>
    <w:p w14:paraId="005B73EC">
      <w:pPr>
        <w:pStyle w:val="13"/>
        <w:spacing w:line="600" w:lineRule="exact"/>
        <w:rPr>
          <w:rFonts w:hAnsi="宋体"/>
          <w:color w:val="auto"/>
          <w:sz w:val="36"/>
          <w:szCs w:val="36"/>
          <w:highlight w:val="none"/>
        </w:rPr>
      </w:pPr>
    </w:p>
    <w:p w14:paraId="7DD737E8">
      <w:pPr>
        <w:pStyle w:val="3"/>
        <w:jc w:val="center"/>
        <w:rPr>
          <w:rFonts w:ascii="宋体" w:hAnsi="宋体"/>
          <w:color w:val="auto"/>
          <w:highlight w:val="none"/>
        </w:rPr>
      </w:pPr>
      <w:bookmarkStart w:id="1" w:name="_Toc1273"/>
      <w:bookmarkStart w:id="2" w:name="_Toc463706299"/>
      <w:r>
        <w:rPr>
          <w:rFonts w:hint="eastAsia" w:ascii="宋体" w:hAnsi="宋体"/>
          <w:color w:val="auto"/>
          <w:highlight w:val="none"/>
        </w:rPr>
        <w:t>第一章  公开招标公告</w:t>
      </w:r>
      <w:bookmarkEnd w:id="1"/>
      <w:bookmarkEnd w:id="2"/>
    </w:p>
    <w:p w14:paraId="5B4EF47B">
      <w:pPr>
        <w:pStyle w:val="13"/>
        <w:snapToGrid w:val="0"/>
        <w:spacing w:before="120" w:beforeLines="50" w:after="120" w:afterLines="50"/>
        <w:jc w:val="center"/>
        <w:rPr>
          <w:rFonts w:hAnsi="宋体"/>
          <w:b/>
          <w:color w:val="auto"/>
          <w:sz w:val="32"/>
          <w:szCs w:val="32"/>
          <w:highlight w:val="none"/>
        </w:rPr>
      </w:pPr>
    </w:p>
    <w:p w14:paraId="57A13F18">
      <w:pPr>
        <w:pStyle w:val="13"/>
        <w:snapToGrid w:val="0"/>
        <w:spacing w:before="120" w:beforeLines="50" w:after="120" w:afterLines="50"/>
        <w:jc w:val="center"/>
        <w:rPr>
          <w:rFonts w:hAnsi="宋体"/>
          <w:b/>
          <w:color w:val="auto"/>
          <w:sz w:val="32"/>
          <w:szCs w:val="32"/>
          <w:highlight w:val="none"/>
        </w:rPr>
      </w:pPr>
    </w:p>
    <w:p w14:paraId="300CE37E">
      <w:pPr>
        <w:pStyle w:val="13"/>
        <w:snapToGrid w:val="0"/>
        <w:spacing w:before="120" w:beforeLines="50" w:after="120" w:afterLines="50"/>
        <w:jc w:val="center"/>
        <w:rPr>
          <w:rFonts w:hAnsi="宋体"/>
          <w:b/>
          <w:color w:val="auto"/>
          <w:sz w:val="32"/>
          <w:szCs w:val="32"/>
          <w:highlight w:val="none"/>
        </w:rPr>
      </w:pPr>
    </w:p>
    <w:p w14:paraId="311B377A">
      <w:pPr>
        <w:pStyle w:val="13"/>
        <w:snapToGrid w:val="0"/>
        <w:spacing w:before="120" w:beforeLines="50" w:after="120" w:afterLines="50"/>
        <w:jc w:val="center"/>
        <w:rPr>
          <w:rFonts w:hAnsi="宋体"/>
          <w:b/>
          <w:color w:val="auto"/>
          <w:sz w:val="32"/>
          <w:szCs w:val="32"/>
          <w:highlight w:val="none"/>
        </w:rPr>
      </w:pPr>
    </w:p>
    <w:p w14:paraId="57B23147">
      <w:pPr>
        <w:pStyle w:val="13"/>
        <w:snapToGrid w:val="0"/>
        <w:spacing w:before="120" w:beforeLines="50" w:after="120" w:afterLines="50"/>
        <w:jc w:val="center"/>
        <w:rPr>
          <w:rFonts w:hAnsi="宋体"/>
          <w:b/>
          <w:color w:val="auto"/>
          <w:sz w:val="32"/>
          <w:szCs w:val="32"/>
          <w:highlight w:val="none"/>
        </w:rPr>
      </w:pPr>
    </w:p>
    <w:p w14:paraId="0901CF35">
      <w:pPr>
        <w:pStyle w:val="13"/>
        <w:snapToGrid w:val="0"/>
        <w:spacing w:before="120" w:beforeLines="50" w:after="120" w:afterLines="50"/>
        <w:jc w:val="center"/>
        <w:rPr>
          <w:rFonts w:hAnsi="宋体"/>
          <w:b/>
          <w:color w:val="auto"/>
          <w:sz w:val="32"/>
          <w:szCs w:val="32"/>
          <w:highlight w:val="none"/>
        </w:rPr>
      </w:pPr>
    </w:p>
    <w:p w14:paraId="09DEACB2">
      <w:pPr>
        <w:pStyle w:val="13"/>
        <w:snapToGrid w:val="0"/>
        <w:spacing w:before="120" w:beforeLines="50" w:after="120" w:afterLines="50"/>
        <w:jc w:val="center"/>
        <w:rPr>
          <w:rFonts w:hAnsi="宋体"/>
          <w:b/>
          <w:color w:val="auto"/>
          <w:sz w:val="32"/>
          <w:szCs w:val="32"/>
          <w:highlight w:val="none"/>
        </w:rPr>
      </w:pPr>
    </w:p>
    <w:p w14:paraId="50CEC026">
      <w:pPr>
        <w:pStyle w:val="13"/>
        <w:snapToGrid w:val="0"/>
        <w:spacing w:before="120" w:beforeLines="50" w:after="120" w:afterLines="50"/>
        <w:jc w:val="center"/>
        <w:rPr>
          <w:rFonts w:hAnsi="宋体"/>
          <w:b/>
          <w:color w:val="auto"/>
          <w:sz w:val="32"/>
          <w:szCs w:val="32"/>
          <w:highlight w:val="none"/>
        </w:rPr>
      </w:pPr>
    </w:p>
    <w:p w14:paraId="08DB1B45">
      <w:pPr>
        <w:pStyle w:val="13"/>
        <w:snapToGrid w:val="0"/>
        <w:spacing w:before="120" w:beforeLines="50" w:after="120" w:afterLines="50"/>
        <w:jc w:val="center"/>
        <w:rPr>
          <w:rFonts w:hAnsi="宋体"/>
          <w:b/>
          <w:color w:val="auto"/>
          <w:sz w:val="32"/>
          <w:szCs w:val="32"/>
          <w:highlight w:val="none"/>
        </w:rPr>
      </w:pPr>
    </w:p>
    <w:p w14:paraId="33DA89CF">
      <w:pPr>
        <w:pStyle w:val="13"/>
        <w:snapToGrid w:val="0"/>
        <w:spacing w:before="120" w:beforeLines="50" w:after="120" w:afterLines="50"/>
        <w:jc w:val="center"/>
        <w:rPr>
          <w:rFonts w:hAnsi="宋体"/>
          <w:b/>
          <w:color w:val="auto"/>
          <w:sz w:val="32"/>
          <w:szCs w:val="32"/>
          <w:highlight w:val="none"/>
        </w:rPr>
      </w:pPr>
    </w:p>
    <w:p w14:paraId="35EC81B9">
      <w:pPr>
        <w:pStyle w:val="13"/>
        <w:snapToGrid w:val="0"/>
        <w:spacing w:before="120" w:beforeLines="50" w:after="120" w:afterLines="50"/>
        <w:jc w:val="center"/>
        <w:rPr>
          <w:rFonts w:hAnsi="宋体"/>
          <w:b/>
          <w:color w:val="auto"/>
          <w:sz w:val="32"/>
          <w:szCs w:val="32"/>
          <w:highlight w:val="none"/>
        </w:rPr>
      </w:pPr>
    </w:p>
    <w:p w14:paraId="1C83E832">
      <w:pPr>
        <w:pStyle w:val="13"/>
        <w:snapToGrid w:val="0"/>
        <w:spacing w:before="120" w:beforeLines="50" w:after="120" w:afterLines="50"/>
        <w:jc w:val="center"/>
        <w:rPr>
          <w:rFonts w:hAnsi="宋体"/>
          <w:b/>
          <w:color w:val="auto"/>
          <w:sz w:val="32"/>
          <w:szCs w:val="32"/>
          <w:highlight w:val="none"/>
        </w:rPr>
      </w:pPr>
    </w:p>
    <w:p w14:paraId="6B2B761C">
      <w:pPr>
        <w:pStyle w:val="13"/>
        <w:snapToGrid w:val="0"/>
        <w:spacing w:before="120" w:beforeLines="50" w:after="120" w:afterLines="50"/>
        <w:jc w:val="center"/>
        <w:rPr>
          <w:rFonts w:hAnsi="宋体"/>
          <w:b/>
          <w:color w:val="auto"/>
          <w:sz w:val="32"/>
          <w:szCs w:val="32"/>
          <w:highlight w:val="none"/>
        </w:rPr>
      </w:pPr>
    </w:p>
    <w:p w14:paraId="4744AAA0">
      <w:pPr>
        <w:spacing w:line="440" w:lineRule="exact"/>
        <w:jc w:val="center"/>
        <w:rPr>
          <w:rFonts w:ascii="宋体" w:hAnsi="宋体" w:cs="宋体"/>
          <w:b/>
          <w:color w:val="auto"/>
          <w:sz w:val="30"/>
          <w:szCs w:val="30"/>
          <w:highlight w:val="none"/>
          <w:u w:val="single"/>
        </w:rPr>
      </w:pPr>
      <w:r>
        <w:rPr>
          <w:rFonts w:hint="eastAsia" w:hAnsi="宋体"/>
          <w:b/>
          <w:bCs/>
          <w:color w:val="auto"/>
          <w:kern w:val="44"/>
          <w:sz w:val="28"/>
          <w:szCs w:val="28"/>
          <w:highlight w:val="none"/>
        </w:rPr>
        <w:br w:type="page"/>
      </w:r>
      <w:r>
        <w:rPr>
          <w:rFonts w:hint="eastAsia" w:ascii="仿宋_GB2312" w:hAnsi="宋体" w:eastAsia="仿宋_GB2312"/>
          <w:b/>
          <w:color w:val="auto"/>
          <w:sz w:val="30"/>
          <w:szCs w:val="30"/>
          <w:highlight w:val="none"/>
          <w:u w:val="single"/>
        </w:rPr>
        <w:t>广西向海韵工程咨询有限公司关于合浦县农村公路日常养护服务项目公开招标公告（异地评标）</w:t>
      </w:r>
    </w:p>
    <w:p w14:paraId="57FE5320">
      <w:pPr>
        <w:pBdr>
          <w:top w:val="single" w:color="auto" w:sz="4" w:space="1"/>
          <w:left w:val="single" w:color="auto" w:sz="4" w:space="4"/>
          <w:bottom w:val="single" w:color="auto" w:sz="4" w:space="1"/>
          <w:right w:val="single" w:color="auto" w:sz="4" w:space="4"/>
        </w:pBdr>
        <w:spacing w:line="440" w:lineRule="exact"/>
        <w:rPr>
          <w:rFonts w:ascii="宋体" w:hAnsi="宋体" w:cs="宋体"/>
          <w:color w:val="auto"/>
          <w:szCs w:val="21"/>
          <w:highlight w:val="none"/>
        </w:rPr>
      </w:pPr>
      <w:r>
        <w:rPr>
          <w:rFonts w:hint="eastAsia" w:ascii="宋体" w:hAnsi="宋体" w:cs="宋体"/>
          <w:color w:val="auto"/>
          <w:szCs w:val="21"/>
          <w:highlight w:val="none"/>
        </w:rPr>
        <w:t>项目概况：                                                    </w:t>
      </w:r>
    </w:p>
    <w:p w14:paraId="1DCD61F9">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合浦县农村公路日常养护服务项目</w:t>
      </w:r>
      <w:r>
        <w:rPr>
          <w:rFonts w:hint="eastAsia" w:ascii="宋体" w:hAnsi="宋体" w:cs="宋体"/>
          <w:color w:val="auto"/>
          <w:szCs w:val="21"/>
          <w:highlight w:val="none"/>
        </w:rPr>
        <w:t>的潜在投标人应在“广西政府采购云平台”（https://www.gcy.zfcg.gxzf.gov.cn/）获取招标文件，并于 </w:t>
      </w:r>
      <w:r>
        <w:rPr>
          <w:rFonts w:hint="eastAsia" w:ascii="宋体" w:hAnsi="宋体" w:cs="宋体"/>
          <w:color w:val="auto"/>
          <w:szCs w:val="21"/>
          <w:highlight w:val="none"/>
        </w:rPr>
        <w:t>2025年</w:t>
      </w:r>
      <w:r>
        <w:rPr>
          <w:rFonts w:hint="default" w:ascii="宋体" w:hAnsi="宋体" w:cs="宋体"/>
          <w:color w:val="auto"/>
          <w:szCs w:val="21"/>
          <w:highlight w:val="none"/>
        </w:rPr>
        <w:t xml:space="preserve">  </w:t>
      </w:r>
      <w:r>
        <w:rPr>
          <w:rFonts w:hint="eastAsia" w:ascii="宋体" w:hAnsi="宋体" w:cs="宋体"/>
          <w:color w:val="auto"/>
          <w:szCs w:val="21"/>
          <w:highlight w:val="none"/>
        </w:rPr>
        <w:t>月</w:t>
      </w:r>
      <w:r>
        <w:rPr>
          <w:rFonts w:hint="default" w:ascii="宋体" w:hAnsi="宋体" w:cs="宋体"/>
          <w:color w:val="auto"/>
          <w:szCs w:val="21"/>
          <w:highlight w:val="none"/>
        </w:rPr>
        <w:t xml:space="preserve">  </w:t>
      </w:r>
      <w:r>
        <w:rPr>
          <w:rFonts w:hint="eastAsia" w:ascii="宋体" w:hAnsi="宋体" w:cs="宋体"/>
          <w:color w:val="auto"/>
          <w:szCs w:val="21"/>
          <w:highlight w:val="none"/>
        </w:rPr>
        <w:t xml:space="preserve">日 </w:t>
      </w:r>
      <w:r>
        <w:rPr>
          <w:rFonts w:hint="default" w:ascii="宋体" w:hAnsi="宋体" w:cs="宋体"/>
          <w:color w:val="auto"/>
          <w:szCs w:val="21"/>
          <w:highlight w:val="none"/>
        </w:rPr>
        <w:t xml:space="preserve">   </w:t>
      </w:r>
      <w:r>
        <w:rPr>
          <w:rFonts w:hint="eastAsia" w:ascii="宋体" w:hAnsi="宋体" w:cs="宋体"/>
          <w:color w:val="auto"/>
          <w:szCs w:val="21"/>
          <w:highlight w:val="none"/>
        </w:rPr>
        <w:t>（北京时间）前递交投标文件。            </w:t>
      </w:r>
    </w:p>
    <w:p w14:paraId="2C872E9F">
      <w:pPr>
        <w:spacing w:line="440" w:lineRule="exact"/>
        <w:rPr>
          <w:rFonts w:ascii="宋体" w:hAnsi="宋体" w:cs="宋体"/>
          <w:color w:val="auto"/>
          <w:highlight w:val="none"/>
        </w:rPr>
      </w:pPr>
      <w:r>
        <w:rPr>
          <w:rFonts w:hint="eastAsia" w:ascii="宋体" w:hAnsi="宋体" w:cs="宋体"/>
          <w:b/>
          <w:color w:val="auto"/>
          <w:szCs w:val="21"/>
          <w:highlight w:val="none"/>
        </w:rPr>
        <w:t xml:space="preserve">                               </w:t>
      </w:r>
    </w:p>
    <w:p w14:paraId="64C1D2EF">
      <w:pPr>
        <w:pStyle w:val="19"/>
        <w:widowControl/>
        <w:spacing w:beforeAutospacing="0" w:afterAutospacing="0" w:line="440" w:lineRule="exact"/>
        <w:jc w:val="both"/>
        <w:rPr>
          <w:rFonts w:ascii="宋体" w:hAnsi="宋体" w:cs="宋体"/>
          <w:color w:val="auto"/>
          <w:sz w:val="21"/>
          <w:szCs w:val="21"/>
          <w:highlight w:val="none"/>
        </w:rPr>
      </w:pPr>
      <w:r>
        <w:rPr>
          <w:rStyle w:val="23"/>
          <w:rFonts w:hint="eastAsia" w:ascii="宋体" w:hAnsi="宋体" w:cs="宋体"/>
          <w:color w:val="auto"/>
          <w:sz w:val="21"/>
          <w:szCs w:val="21"/>
          <w:highlight w:val="none"/>
        </w:rPr>
        <w:t>一、项目基本情况</w:t>
      </w:r>
      <w:r>
        <w:rPr>
          <w:rFonts w:hint="eastAsia" w:ascii="宋体" w:hAnsi="宋体" w:cs="宋体"/>
          <w:color w:val="auto"/>
          <w:sz w:val="21"/>
          <w:szCs w:val="21"/>
          <w:highlight w:val="none"/>
        </w:rPr>
        <w:t>                                            </w:t>
      </w:r>
    </w:p>
    <w:p w14:paraId="15C7F833">
      <w:pPr>
        <w:spacing w:line="440" w:lineRule="exact"/>
        <w:rPr>
          <w:rFonts w:hint="default" w:ascii="宋体" w:hAnsi="宋体" w:cs="宋体"/>
          <w:color w:val="auto"/>
          <w:highlight w:val="none"/>
        </w:rPr>
      </w:pPr>
      <w:r>
        <w:rPr>
          <w:rFonts w:hint="eastAsia" w:ascii="宋体" w:hAnsi="宋体" w:cs="宋体"/>
          <w:color w:val="auto"/>
          <w:szCs w:val="21"/>
          <w:highlight w:val="none"/>
        </w:rPr>
        <w:t>   </w:t>
      </w:r>
      <w:r>
        <w:rPr>
          <w:rFonts w:hint="eastAsia" w:ascii="宋体" w:hAnsi="宋体" w:cs="宋体"/>
          <w:color w:val="auto"/>
          <w:highlight w:val="none"/>
        </w:rPr>
        <w:t xml:space="preserve"> 项目编号：</w:t>
      </w:r>
      <w:r>
        <w:rPr>
          <w:rFonts w:hint="default" w:ascii="宋体" w:hAnsi="宋体" w:cs="宋体"/>
          <w:color w:val="auto"/>
          <w:highlight w:val="none"/>
        </w:rPr>
        <w:t xml:space="preserve"> </w:t>
      </w:r>
    </w:p>
    <w:p w14:paraId="31E36217">
      <w:pPr>
        <w:spacing w:line="440" w:lineRule="exact"/>
        <w:rPr>
          <w:rFonts w:ascii="宋体" w:hAnsi="宋体" w:cs="宋体"/>
          <w:color w:val="auto"/>
          <w:highlight w:val="none"/>
        </w:rPr>
      </w:pPr>
      <w:r>
        <w:rPr>
          <w:rFonts w:hint="eastAsia" w:ascii="宋体" w:hAnsi="宋体" w:cs="宋体"/>
          <w:color w:val="auto"/>
          <w:highlight w:val="none"/>
        </w:rPr>
        <w:t>    项目名称：合浦县农村公路日常养护服务项目</w:t>
      </w:r>
    </w:p>
    <w:p w14:paraId="0C9998CE">
      <w:pPr>
        <w:spacing w:line="440" w:lineRule="exact"/>
        <w:rPr>
          <w:rFonts w:ascii="宋体" w:hAnsi="宋体" w:cs="宋体"/>
          <w:color w:val="auto"/>
          <w:highlight w:val="none"/>
        </w:rPr>
      </w:pPr>
      <w:r>
        <w:rPr>
          <w:rFonts w:hint="eastAsia" w:ascii="宋体" w:hAnsi="宋体" w:cs="宋体"/>
          <w:color w:val="auto"/>
          <w:highlight w:val="none"/>
        </w:rPr>
        <w:t>    预算总金额（元）：</w:t>
      </w:r>
      <w:r>
        <w:rPr>
          <w:rFonts w:hint="eastAsia" w:ascii="宋体" w:hAnsi="宋体" w:cs="宋体"/>
          <w:color w:val="auto"/>
          <w:highlight w:val="none"/>
          <w:lang w:val="en-US" w:eastAsia="zh-CN"/>
        </w:rPr>
        <w:t>4310119.12</w:t>
      </w:r>
      <w:r>
        <w:rPr>
          <w:rFonts w:hint="eastAsia" w:ascii="宋体" w:hAnsi="宋体" w:cs="宋体"/>
          <w:color w:val="auto"/>
          <w:highlight w:val="none"/>
        </w:rPr>
        <w:t>元 </w:t>
      </w:r>
    </w:p>
    <w:p w14:paraId="20714DE4">
      <w:pPr>
        <w:spacing w:line="440" w:lineRule="exact"/>
        <w:rPr>
          <w:rFonts w:ascii="宋体" w:hAnsi="宋体" w:cs="宋体"/>
          <w:color w:val="auto"/>
          <w:highlight w:val="none"/>
        </w:rPr>
      </w:pPr>
      <w:r>
        <w:rPr>
          <w:rFonts w:hint="eastAsia" w:ascii="宋体" w:hAnsi="宋体" w:cs="宋体"/>
          <w:color w:val="auto"/>
          <w:highlight w:val="none"/>
        </w:rPr>
        <w:t>    采购需求：</w:t>
      </w:r>
    </w:p>
    <w:p w14:paraId="319D8FEE">
      <w:pPr>
        <w:spacing w:line="440" w:lineRule="exact"/>
        <w:ind w:firstLine="638" w:firstLineChars="304"/>
        <w:rPr>
          <w:rFonts w:ascii="宋体" w:hAnsi="宋体" w:cs="宋体"/>
          <w:color w:val="auto"/>
          <w:highlight w:val="none"/>
        </w:rPr>
      </w:pPr>
      <w:r>
        <w:rPr>
          <w:rFonts w:hint="eastAsia" w:ascii="宋体" w:hAnsi="宋体" w:cs="宋体"/>
          <w:color w:val="auto"/>
          <w:highlight w:val="none"/>
        </w:rPr>
        <w:t>标项名称:合浦县农村公路日常养护服务项目</w:t>
      </w:r>
    </w:p>
    <w:p w14:paraId="3E30B5A6">
      <w:pPr>
        <w:spacing w:line="440" w:lineRule="exact"/>
        <w:ind w:firstLine="638" w:firstLineChars="304"/>
        <w:rPr>
          <w:rFonts w:ascii="宋体" w:hAnsi="宋体" w:cs="宋体"/>
          <w:color w:val="auto"/>
          <w:highlight w:val="none"/>
        </w:rPr>
      </w:pPr>
      <w:r>
        <w:rPr>
          <w:rFonts w:hint="eastAsia" w:ascii="宋体" w:hAnsi="宋体" w:cs="宋体"/>
          <w:color w:val="auto"/>
          <w:highlight w:val="none"/>
        </w:rPr>
        <w:t>数量:1</w:t>
      </w:r>
    </w:p>
    <w:p w14:paraId="37845BED">
      <w:pPr>
        <w:spacing w:line="440" w:lineRule="exact"/>
        <w:ind w:firstLine="638" w:firstLineChars="304"/>
        <w:rPr>
          <w:rFonts w:ascii="宋体" w:hAnsi="宋体" w:cs="宋体"/>
          <w:color w:val="auto"/>
          <w:highlight w:val="none"/>
        </w:rPr>
      </w:pPr>
      <w:r>
        <w:rPr>
          <w:rFonts w:hint="eastAsia" w:ascii="宋体" w:hAnsi="宋体" w:cs="宋体"/>
          <w:color w:val="auto"/>
          <w:highlight w:val="none"/>
        </w:rPr>
        <w:t>预算金额（元）:</w:t>
      </w:r>
      <w:r>
        <w:rPr>
          <w:rFonts w:hint="eastAsia" w:ascii="宋体" w:hAnsi="宋体" w:cs="宋体"/>
          <w:color w:val="auto"/>
          <w:highlight w:val="none"/>
          <w:lang w:eastAsia="zh-CN"/>
        </w:rPr>
        <w:t>4310119.12</w:t>
      </w:r>
      <w:r>
        <w:rPr>
          <w:rFonts w:hint="eastAsia" w:ascii="宋体" w:hAnsi="宋体" w:cs="宋体"/>
          <w:color w:val="auto"/>
          <w:highlight w:val="none"/>
        </w:rPr>
        <w:t>元 </w:t>
      </w:r>
    </w:p>
    <w:p w14:paraId="46A462F6">
      <w:pPr>
        <w:spacing w:line="440" w:lineRule="exact"/>
        <w:ind w:firstLine="638" w:firstLineChars="304"/>
        <w:rPr>
          <w:rFonts w:ascii="宋体" w:hAnsi="宋体" w:cs="宋体"/>
          <w:color w:val="auto"/>
          <w:highlight w:val="none"/>
        </w:rPr>
      </w:pPr>
      <w:r>
        <w:rPr>
          <w:rFonts w:hint="eastAsia" w:ascii="宋体" w:hAnsi="宋体" w:cs="宋体"/>
          <w:color w:val="auto"/>
          <w:highlight w:val="none"/>
        </w:rPr>
        <w:t>简要规格描述或项目基本概况介绍、用途：合浦县农村公路日常养护服务项目一项。如需进一步了解详细内容，详见招标文件。</w:t>
      </w:r>
    </w:p>
    <w:p w14:paraId="08F6AC36">
      <w:pPr>
        <w:spacing w:line="440" w:lineRule="exact"/>
        <w:ind w:firstLine="638" w:firstLineChars="304"/>
        <w:rPr>
          <w:rFonts w:ascii="宋体" w:hAnsi="宋体" w:cs="宋体"/>
          <w:color w:val="auto"/>
          <w:highlight w:val="none"/>
        </w:rPr>
      </w:pPr>
      <w:r>
        <w:rPr>
          <w:rFonts w:hint="eastAsia" w:ascii="宋体" w:hAnsi="宋体" w:cs="宋体"/>
          <w:color w:val="auto"/>
          <w:highlight w:val="none"/>
        </w:rPr>
        <w:t>最高限价（如有）：</w:t>
      </w:r>
      <w:r>
        <w:rPr>
          <w:rFonts w:hint="eastAsia" w:ascii="宋体" w:hAnsi="宋体" w:cs="宋体"/>
          <w:color w:val="auto"/>
          <w:highlight w:val="none"/>
          <w:lang w:eastAsia="zh-CN"/>
        </w:rPr>
        <w:t>4310119.12</w:t>
      </w:r>
      <w:r>
        <w:rPr>
          <w:rFonts w:hint="eastAsia" w:ascii="宋体" w:hAnsi="宋体" w:cs="宋体"/>
          <w:color w:val="auto"/>
          <w:highlight w:val="none"/>
        </w:rPr>
        <w:t>元 </w:t>
      </w:r>
    </w:p>
    <w:p w14:paraId="73256C88">
      <w:pPr>
        <w:spacing w:line="440" w:lineRule="exact"/>
        <w:ind w:firstLine="638" w:firstLineChars="304"/>
        <w:rPr>
          <w:rFonts w:ascii="宋体" w:hAnsi="宋体" w:cs="宋体"/>
          <w:color w:val="auto"/>
          <w:highlight w:val="none"/>
        </w:rPr>
      </w:pPr>
      <w:r>
        <w:rPr>
          <w:rFonts w:hint="eastAsia" w:ascii="宋体" w:hAnsi="宋体" w:cs="宋体"/>
          <w:color w:val="auto"/>
          <w:highlight w:val="none"/>
        </w:rPr>
        <w:t>合同履约期限：</w:t>
      </w:r>
      <w:r>
        <w:rPr>
          <w:rFonts w:hint="eastAsia" w:ascii="宋体" w:hAnsi="宋体" w:cs="宋体"/>
          <w:color w:val="auto"/>
          <w:szCs w:val="21"/>
          <w:highlight w:val="none"/>
        </w:rPr>
        <w:t>8个月</w:t>
      </w:r>
      <w:r>
        <w:rPr>
          <w:rFonts w:hint="eastAsia" w:ascii="宋体" w:hAnsi="宋体" w:cs="宋体"/>
          <w:color w:val="auto"/>
          <w:szCs w:val="21"/>
          <w:highlight w:val="none"/>
        </w:rPr>
        <w:t>。</w:t>
      </w:r>
    </w:p>
    <w:p w14:paraId="1F3744FC">
      <w:pPr>
        <w:spacing w:line="440" w:lineRule="exact"/>
        <w:ind w:firstLine="638" w:firstLineChars="304"/>
        <w:rPr>
          <w:rFonts w:ascii="宋体" w:hAnsi="宋体" w:cs="宋体"/>
          <w:color w:val="auto"/>
          <w:highlight w:val="none"/>
        </w:rPr>
      </w:pPr>
      <w:r>
        <w:rPr>
          <w:rFonts w:hint="eastAsia" w:ascii="宋体" w:hAnsi="宋体" w:cs="宋体"/>
          <w:color w:val="auto"/>
          <w:highlight w:val="none"/>
        </w:rPr>
        <w:t>本标项</w:t>
      </w:r>
      <w:r>
        <w:rPr>
          <w:rFonts w:hint="eastAsia" w:ascii="宋体" w:hAnsi="宋体" w:cs="宋体"/>
          <w:color w:val="auto"/>
          <w:highlight w:val="none"/>
        </w:rPr>
        <w:t>（是）</w:t>
      </w:r>
      <w:r>
        <w:rPr>
          <w:rFonts w:hint="eastAsia" w:ascii="宋体" w:hAnsi="宋体" w:cs="宋体"/>
          <w:color w:val="auto"/>
          <w:highlight w:val="none"/>
        </w:rPr>
        <w:t>接受联合体投标</w:t>
      </w:r>
    </w:p>
    <w:p w14:paraId="6E25862D">
      <w:pPr>
        <w:spacing w:line="440" w:lineRule="exact"/>
        <w:ind w:firstLine="638" w:firstLineChars="304"/>
        <w:rPr>
          <w:rFonts w:ascii="宋体" w:hAnsi="宋体" w:cs="宋体"/>
          <w:color w:val="auto"/>
          <w:highlight w:val="none"/>
        </w:rPr>
      </w:pPr>
      <w:r>
        <w:rPr>
          <w:rFonts w:hint="eastAsia" w:ascii="宋体" w:hAnsi="宋体" w:cs="宋体"/>
          <w:color w:val="auto"/>
          <w:highlight w:val="none"/>
        </w:rPr>
        <w:t>备注：本项目为线上电子招标项目，有意向参与本项目的供应商应当做好参与全流程电子招投标交易的充分准备。同时，本项目属于专门面向</w:t>
      </w:r>
      <w:r>
        <w:rPr>
          <w:rFonts w:hint="eastAsia" w:ascii="宋体" w:hAnsi="宋体" w:cs="宋体"/>
          <w:color w:val="auto"/>
          <w:highlight w:val="none"/>
          <w:lang w:eastAsia="zh-CN"/>
        </w:rPr>
        <w:t>中小企业</w:t>
      </w:r>
      <w:r>
        <w:rPr>
          <w:rFonts w:hint="eastAsia" w:ascii="宋体" w:hAnsi="宋体" w:cs="宋体"/>
          <w:color w:val="auto"/>
          <w:highlight w:val="none"/>
        </w:rPr>
        <w:t>采购的项目，</w:t>
      </w:r>
      <w:r>
        <w:rPr>
          <w:rFonts w:hint="eastAsia" w:ascii="宋体" w:hAnsi="宋体" w:cs="宋体"/>
          <w:color w:val="auto"/>
          <w:highlight w:val="none"/>
        </w:rPr>
        <w:t>监狱企业视同小型、微型企业。</w:t>
      </w:r>
    </w:p>
    <w:p w14:paraId="50852CC1">
      <w:pPr>
        <w:pStyle w:val="19"/>
        <w:widowControl/>
        <w:spacing w:beforeAutospacing="0" w:afterAutospacing="0" w:line="440" w:lineRule="exact"/>
        <w:rPr>
          <w:rFonts w:ascii="宋体" w:hAnsi="宋体" w:cs="宋体"/>
          <w:color w:val="auto"/>
          <w:highlight w:val="none"/>
        </w:rPr>
      </w:pPr>
    </w:p>
    <w:p w14:paraId="307DDF4E">
      <w:pPr>
        <w:pStyle w:val="19"/>
        <w:widowControl/>
        <w:spacing w:beforeAutospacing="0" w:afterAutospacing="0" w:line="440" w:lineRule="exact"/>
        <w:rPr>
          <w:rFonts w:ascii="宋体" w:hAnsi="宋体" w:cs="宋体"/>
          <w:color w:val="auto"/>
          <w:highlight w:val="none"/>
        </w:rPr>
      </w:pPr>
      <w:r>
        <w:rPr>
          <w:rStyle w:val="23"/>
          <w:rFonts w:hint="eastAsia" w:ascii="宋体" w:hAnsi="宋体" w:cs="宋体"/>
          <w:color w:val="auto"/>
          <w:sz w:val="21"/>
          <w:szCs w:val="21"/>
          <w:highlight w:val="none"/>
        </w:rPr>
        <w:t>二、申请人的资格要求：</w:t>
      </w:r>
    </w:p>
    <w:p w14:paraId="04A2E392">
      <w:pPr>
        <w:pStyle w:val="19"/>
        <w:widowControl/>
        <w:spacing w:beforeAutospacing="0" w:afterAutospacing="0" w:line="440" w:lineRule="exact"/>
        <w:ind w:firstLine="420" w:firstLineChars="200"/>
        <w:rPr>
          <w:rFonts w:ascii="宋体" w:hAnsi="宋体" w:cs="宋体"/>
          <w:color w:val="auto"/>
          <w:highlight w:val="none"/>
        </w:rPr>
      </w:pPr>
      <w:r>
        <w:rPr>
          <w:rFonts w:hint="eastAsia" w:ascii="宋体" w:hAnsi="宋体" w:cs="宋体"/>
          <w:color w:val="auto"/>
          <w:sz w:val="21"/>
          <w:szCs w:val="21"/>
          <w:highlight w:val="none"/>
        </w:rPr>
        <w:t>1.满足《中华人民共和国政府采购法》第二十二条规定；</w:t>
      </w:r>
    </w:p>
    <w:p w14:paraId="3E3552FB">
      <w:pPr>
        <w:adjustRightInd w:val="0"/>
        <w:snapToGrid w:val="0"/>
        <w:spacing w:line="440" w:lineRule="exact"/>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2.落实政府采购政策需满足的资格要求：分标1：本项目属于专门面向中小企业采购的项目，供应商应为中、小、微型企业或者监狱企业。 </w:t>
      </w:r>
    </w:p>
    <w:p w14:paraId="73FBB12F">
      <w:pPr>
        <w:pStyle w:val="19"/>
        <w:widowControl/>
        <w:spacing w:beforeAutospacing="0" w:afterAutospacing="0" w:line="440" w:lineRule="exact"/>
        <w:ind w:firstLine="326"/>
        <w:rPr>
          <w:rFonts w:ascii="宋体" w:hAnsi="宋体" w:cs="宋体"/>
          <w:color w:val="auto"/>
          <w:sz w:val="21"/>
          <w:szCs w:val="21"/>
          <w:highlight w:val="none"/>
        </w:rPr>
      </w:pPr>
      <w:r>
        <w:rPr>
          <w:rFonts w:hint="eastAsia" w:ascii="宋体" w:hAnsi="宋体" w:cs="宋体"/>
          <w:color w:val="auto"/>
          <w:sz w:val="21"/>
          <w:szCs w:val="21"/>
          <w:highlight w:val="none"/>
        </w:rPr>
        <w:t>3.本项目的特定资格要求：</w:t>
      </w:r>
    </w:p>
    <w:p w14:paraId="50C852A9">
      <w:pPr>
        <w:pStyle w:val="19"/>
        <w:widowControl/>
        <w:spacing w:beforeAutospacing="0" w:afterAutospacing="0" w:line="440" w:lineRule="exact"/>
        <w:ind w:firstLine="326"/>
        <w:rPr>
          <w:rFonts w:ascii="宋体" w:hAnsi="宋体" w:cs="宋体"/>
          <w:color w:val="auto"/>
          <w:sz w:val="21"/>
          <w:szCs w:val="21"/>
          <w:highlight w:val="none"/>
        </w:rPr>
      </w:pPr>
      <w:r>
        <w:rPr>
          <w:rFonts w:hint="eastAsia" w:ascii="宋体" w:hAnsi="宋体" w:cs="宋体"/>
          <w:color w:val="auto"/>
          <w:sz w:val="21"/>
          <w:szCs w:val="21"/>
          <w:highlight w:val="none"/>
        </w:rPr>
        <w:t>投标人须具有以下资质之一：</w:t>
      </w:r>
    </w:p>
    <w:p w14:paraId="3A7FA65B">
      <w:pPr>
        <w:pStyle w:val="19"/>
        <w:widowControl/>
        <w:spacing w:beforeAutospacing="0" w:afterAutospacing="0" w:line="440" w:lineRule="exact"/>
        <w:ind w:firstLine="326"/>
        <w:rPr>
          <w:rFonts w:ascii="宋体" w:hAnsi="宋体" w:cs="宋体"/>
          <w:color w:val="auto"/>
          <w:sz w:val="21"/>
          <w:szCs w:val="21"/>
          <w:highlight w:val="none"/>
        </w:rPr>
      </w:pPr>
      <w:r>
        <w:rPr>
          <w:rFonts w:hint="eastAsia" w:ascii="宋体" w:hAnsi="宋体" w:cs="宋体"/>
          <w:color w:val="auto"/>
          <w:sz w:val="21"/>
          <w:szCs w:val="21"/>
          <w:highlight w:val="none"/>
        </w:rPr>
        <w:t>（1）具备有效的公路养护工程施工从业资质二类乙级资质。</w:t>
      </w:r>
    </w:p>
    <w:p w14:paraId="44D45313">
      <w:pPr>
        <w:pStyle w:val="19"/>
        <w:widowControl/>
        <w:spacing w:beforeAutospacing="0" w:afterAutospacing="0" w:line="440" w:lineRule="exact"/>
        <w:rPr>
          <w:rFonts w:ascii="宋体" w:hAnsi="宋体" w:cs="宋体"/>
          <w:color w:val="auto"/>
          <w:sz w:val="21"/>
          <w:szCs w:val="21"/>
          <w:highlight w:val="none"/>
        </w:rPr>
      </w:pPr>
      <w:r>
        <w:rPr>
          <w:rFonts w:hint="eastAsia" w:ascii="宋体" w:hAnsi="宋体" w:cs="宋体"/>
          <w:color w:val="auto"/>
          <w:sz w:val="21"/>
          <w:szCs w:val="21"/>
          <w:highlight w:val="none"/>
        </w:rPr>
        <w:t>（2）具备有效的公路养护作业单位资质路基路面养护乙级（含）及以上资质、公路养护作业单位资质桥梁养护乙级（含）及以上资质。</w:t>
      </w:r>
    </w:p>
    <w:p w14:paraId="4ED8333D">
      <w:pPr>
        <w:pStyle w:val="19"/>
        <w:widowControl/>
        <w:spacing w:beforeAutospacing="0" w:afterAutospacing="0" w:line="440" w:lineRule="exact"/>
        <w:rPr>
          <w:rFonts w:ascii="宋体" w:hAnsi="宋体" w:cs="宋体"/>
          <w:color w:val="auto"/>
          <w:sz w:val="21"/>
          <w:szCs w:val="21"/>
          <w:highlight w:val="none"/>
        </w:rPr>
      </w:pPr>
      <w:r>
        <w:rPr>
          <w:rFonts w:hint="eastAsia" w:ascii="宋体" w:hAnsi="宋体" w:cs="宋体"/>
          <w:color w:val="auto"/>
          <w:sz w:val="21"/>
          <w:szCs w:val="21"/>
          <w:highlight w:val="none"/>
        </w:rPr>
        <w:t>（3）具备有效的公路工程施工总承包三级（含）及以上资质，及具备安全生产许可证书。</w:t>
      </w:r>
    </w:p>
    <w:p w14:paraId="75EC7F4A">
      <w:pPr>
        <w:pStyle w:val="19"/>
        <w:widowControl/>
        <w:spacing w:beforeAutospacing="0" w:afterAutospacing="0" w:line="440" w:lineRule="exact"/>
        <w:ind w:firstLine="326"/>
        <w:rPr>
          <w:rFonts w:ascii="宋体" w:hAnsi="宋体" w:cs="宋体"/>
          <w:color w:val="auto"/>
          <w:sz w:val="21"/>
          <w:szCs w:val="21"/>
          <w:highlight w:val="none"/>
        </w:rPr>
      </w:pPr>
      <w:r>
        <w:rPr>
          <w:rFonts w:hint="eastAsia" w:ascii="宋体" w:hAnsi="宋体" w:cs="宋体"/>
          <w:color w:val="auto"/>
          <w:sz w:val="21"/>
          <w:szCs w:val="21"/>
          <w:highlight w:val="none"/>
        </w:rPr>
        <w:t>注：具备公路工程施工企业资质的投标人应进入交通运输部“全国公路建设市场监督管理系统“（https://hwdms.mot.gov.cn/BMWebSite/evaluate/index.do）”中的公路工程施工资质企业名录，且投标人名称和资质（不包括养护资质）与该名录中的相应企业名称和资质（不包括养护资质）完全一致。</w:t>
      </w:r>
    </w:p>
    <w:p w14:paraId="2C8D9A80">
      <w:pPr>
        <w:pStyle w:val="19"/>
        <w:widowControl/>
        <w:spacing w:beforeAutospacing="0" w:afterAutospacing="0" w:line="440" w:lineRule="exact"/>
        <w:rPr>
          <w:rFonts w:ascii="宋体" w:hAnsi="宋体" w:cs="宋体"/>
          <w:color w:val="auto"/>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具有省级或以上建设行政主管部门颁发的建筑施工企业安全生产许可证，并在人员、设备、资金等方面具有相应的施工能力。</w:t>
      </w:r>
      <w:r>
        <w:rPr>
          <w:rFonts w:hint="eastAsia" w:ascii="宋体" w:hAnsi="宋体" w:cs="宋体"/>
          <w:color w:val="auto"/>
          <w:sz w:val="21"/>
          <w:szCs w:val="21"/>
          <w:highlight w:val="none"/>
        </w:rPr>
        <w:t> </w:t>
      </w:r>
    </w:p>
    <w:p w14:paraId="4915C45C">
      <w:pPr>
        <w:pStyle w:val="19"/>
        <w:widowControl/>
        <w:spacing w:beforeAutospacing="0" w:afterAutospacing="0" w:line="440" w:lineRule="exact"/>
        <w:jc w:val="both"/>
        <w:rPr>
          <w:rFonts w:ascii="宋体" w:hAnsi="宋体" w:cs="宋体"/>
          <w:color w:val="auto"/>
          <w:sz w:val="21"/>
          <w:szCs w:val="21"/>
          <w:highlight w:val="none"/>
        </w:rPr>
      </w:pPr>
      <w:r>
        <w:rPr>
          <w:rStyle w:val="23"/>
          <w:rFonts w:hint="eastAsia" w:ascii="宋体" w:hAnsi="宋体" w:cs="宋体"/>
          <w:color w:val="auto"/>
          <w:sz w:val="21"/>
          <w:szCs w:val="21"/>
          <w:highlight w:val="none"/>
        </w:rPr>
        <w:t>三、获取招标文件</w:t>
      </w:r>
      <w:r>
        <w:rPr>
          <w:rFonts w:hint="eastAsia" w:ascii="宋体" w:hAnsi="宋体" w:cs="宋体"/>
          <w:color w:val="auto"/>
          <w:sz w:val="21"/>
          <w:szCs w:val="21"/>
          <w:highlight w:val="none"/>
        </w:rPr>
        <w:t> </w:t>
      </w:r>
    </w:p>
    <w:p w14:paraId="0D53AFD7">
      <w:pPr>
        <w:pStyle w:val="19"/>
        <w:widowControl/>
        <w:spacing w:beforeAutospacing="0" w:afterAutospacing="0" w:line="440" w:lineRule="exact"/>
        <w:rPr>
          <w:rFonts w:ascii="宋体" w:hAnsi="宋体" w:cs="宋体"/>
          <w:color w:val="auto"/>
          <w:sz w:val="27"/>
          <w:szCs w:val="27"/>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rPr>
        <w:t>时间：/至</w:t>
      </w:r>
      <w:r>
        <w:rPr>
          <w:rFonts w:hint="eastAsia" w:ascii="宋体" w:hAnsi="宋体" w:cs="宋体"/>
          <w:color w:val="auto"/>
          <w:sz w:val="21"/>
          <w:szCs w:val="21"/>
          <w:highlight w:val="none"/>
        </w:rPr>
        <w:t>2025年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 </w:t>
      </w:r>
      <w:r>
        <w:rPr>
          <w:rFonts w:hint="eastAsia" w:ascii="宋体" w:hAnsi="宋体" w:cs="宋体"/>
          <w:color w:val="auto"/>
          <w:sz w:val="21"/>
          <w:szCs w:val="21"/>
          <w:highlight w:val="none"/>
        </w:rPr>
        <w:t>，每天上午00:00至12:00 ，下午12:00至23:59（北京时间，法定节假日除外）</w:t>
      </w:r>
    </w:p>
    <w:p w14:paraId="5F58E35E">
      <w:pPr>
        <w:pStyle w:val="19"/>
        <w:widowControl/>
        <w:spacing w:beforeAutospacing="0" w:afterAutospacing="0" w:line="440" w:lineRule="exact"/>
        <w:rPr>
          <w:rFonts w:ascii="宋体" w:hAnsi="宋体" w:cs="宋体"/>
          <w:color w:val="auto"/>
          <w:sz w:val="27"/>
          <w:szCs w:val="27"/>
          <w:highlight w:val="none"/>
        </w:rPr>
      </w:pPr>
      <w:r>
        <w:rPr>
          <w:rFonts w:hint="eastAsia" w:ascii="宋体" w:hAnsi="宋体" w:cs="宋体"/>
          <w:color w:val="auto"/>
          <w:sz w:val="21"/>
          <w:szCs w:val="21"/>
          <w:highlight w:val="none"/>
        </w:rPr>
        <w:t>    地点（网址）：“广西政府采购云平台”（https://www.gcy.zfcg.gxzf.gov.cn/） </w:t>
      </w:r>
    </w:p>
    <w:p w14:paraId="45565254">
      <w:pPr>
        <w:pStyle w:val="19"/>
        <w:widowControl/>
        <w:spacing w:beforeAutospacing="0" w:afterAutospacing="0" w:line="440" w:lineRule="exact"/>
        <w:rPr>
          <w:rFonts w:ascii="宋体" w:hAnsi="宋体" w:cs="宋体"/>
          <w:color w:val="auto"/>
          <w:sz w:val="27"/>
          <w:szCs w:val="27"/>
          <w:highlight w:val="none"/>
        </w:rPr>
      </w:pPr>
      <w:r>
        <w:rPr>
          <w:rFonts w:hint="eastAsia" w:ascii="宋体" w:hAnsi="宋体" w:cs="宋体"/>
          <w:color w:val="auto"/>
          <w:sz w:val="21"/>
          <w:szCs w:val="21"/>
          <w:highlight w:val="none"/>
        </w:rPr>
        <w:t>    方式：网上下载。本项目不发放纸质文件，投标人可自行在本公告“六、其他补充事宜”中网上查询地址的信息公告处下载招标文件。电子投标文件制作需要基于“广西政府采购云平台”（https://www.gcy.zfcg.gxzf.gov.cn/）获取的招标文件编制，拟参与本项目的潜在投标人需使用账号登录或者使用CA登录“广西政府采购云平台”平台-进入“项目采购”应用，在获取招标文件菜单中选择项目，获取招标文件。 </w:t>
      </w:r>
    </w:p>
    <w:p w14:paraId="3DBDF9A5">
      <w:pPr>
        <w:pStyle w:val="19"/>
        <w:widowControl/>
        <w:spacing w:beforeAutospacing="0" w:afterAutospacing="0" w:line="440" w:lineRule="exact"/>
        <w:rPr>
          <w:rFonts w:ascii="宋体" w:hAnsi="宋体" w:cs="宋体"/>
          <w:color w:val="auto"/>
          <w:highlight w:val="none"/>
        </w:rPr>
      </w:pPr>
      <w:r>
        <w:rPr>
          <w:rFonts w:hint="eastAsia" w:ascii="宋体" w:hAnsi="宋体" w:cs="宋体"/>
          <w:color w:val="auto"/>
          <w:sz w:val="21"/>
          <w:szCs w:val="21"/>
          <w:highlight w:val="none"/>
        </w:rPr>
        <w:t>    售价（元）：0</w:t>
      </w:r>
      <w:r>
        <w:rPr>
          <w:rFonts w:hint="eastAsia" w:ascii="宋体" w:hAnsi="宋体" w:cs="宋体"/>
          <w:color w:val="auto"/>
          <w:sz w:val="27"/>
          <w:szCs w:val="27"/>
          <w:highlight w:val="none"/>
        </w:rPr>
        <w:t> </w:t>
      </w:r>
    </w:p>
    <w:p w14:paraId="01265F3E">
      <w:pPr>
        <w:pStyle w:val="19"/>
        <w:widowControl/>
        <w:spacing w:beforeAutospacing="0" w:afterAutospacing="0" w:line="440" w:lineRule="exact"/>
        <w:jc w:val="both"/>
        <w:rPr>
          <w:rFonts w:ascii="宋体" w:hAnsi="宋体" w:cs="宋体"/>
          <w:color w:val="auto"/>
          <w:sz w:val="21"/>
          <w:szCs w:val="21"/>
          <w:highlight w:val="none"/>
        </w:rPr>
      </w:pPr>
      <w:r>
        <w:rPr>
          <w:rStyle w:val="23"/>
          <w:rFonts w:hint="eastAsia" w:ascii="宋体" w:hAnsi="宋体" w:cs="宋体"/>
          <w:color w:val="auto"/>
          <w:sz w:val="21"/>
          <w:szCs w:val="21"/>
          <w:highlight w:val="none"/>
        </w:rPr>
        <w:t>四、提交投标文件截止时间、开标时间和地点</w:t>
      </w:r>
    </w:p>
    <w:p w14:paraId="18925FCC">
      <w:pPr>
        <w:pStyle w:val="19"/>
        <w:widowControl/>
        <w:spacing w:beforeAutospacing="0" w:afterAutospacing="0" w:line="440" w:lineRule="exact"/>
        <w:rPr>
          <w:rFonts w:ascii="宋体" w:hAnsi="宋体" w:cs="宋体"/>
          <w:color w:val="auto"/>
          <w:highlight w:val="none"/>
        </w:rPr>
      </w:pPr>
      <w:r>
        <w:rPr>
          <w:rFonts w:hint="eastAsia" w:ascii="宋体" w:hAnsi="宋体" w:cs="宋体"/>
          <w:color w:val="auto"/>
          <w:sz w:val="21"/>
          <w:szCs w:val="21"/>
          <w:highlight w:val="none"/>
        </w:rPr>
        <w:t>    提交投标文件截止时间：2025年  月  日 09:00（北京时间）</w:t>
      </w:r>
    </w:p>
    <w:p w14:paraId="6D66B6D6">
      <w:pPr>
        <w:pStyle w:val="19"/>
        <w:widowControl/>
        <w:spacing w:beforeAutospacing="0" w:afterAutospacing="0" w:line="440" w:lineRule="exact"/>
        <w:rPr>
          <w:rFonts w:ascii="宋体" w:hAnsi="宋体" w:cs="宋体"/>
          <w:color w:val="auto"/>
          <w:highlight w:val="none"/>
        </w:rPr>
      </w:pPr>
      <w:r>
        <w:rPr>
          <w:rFonts w:hint="eastAsia" w:ascii="宋体" w:hAnsi="宋体" w:cs="宋体"/>
          <w:color w:val="auto"/>
          <w:sz w:val="21"/>
          <w:szCs w:val="21"/>
          <w:highlight w:val="none"/>
        </w:rPr>
        <w:t>    投标地点（网址）：登录“广西政府采购云平台”（https://www.gcy.zfcg.gxzf.gov.cn/）在线投标。</w:t>
      </w:r>
      <w:r>
        <w:rPr>
          <w:rFonts w:hint="eastAsia" w:ascii="宋体" w:hAnsi="宋体" w:cs="宋体"/>
          <w:color w:val="auto"/>
          <w:highlight w:val="none"/>
        </w:rPr>
        <w:t> </w:t>
      </w:r>
    </w:p>
    <w:p w14:paraId="3C4270FF">
      <w:pPr>
        <w:pStyle w:val="19"/>
        <w:widowControl/>
        <w:spacing w:beforeAutospacing="0" w:afterAutospacing="0" w:line="440" w:lineRule="exact"/>
        <w:rPr>
          <w:rFonts w:ascii="宋体" w:hAnsi="宋体" w:cs="宋体"/>
          <w:color w:val="auto"/>
          <w:highlight w:val="none"/>
        </w:rPr>
      </w:pPr>
      <w:r>
        <w:rPr>
          <w:rFonts w:hint="eastAsia" w:ascii="宋体" w:hAnsi="宋体" w:cs="宋体"/>
          <w:color w:val="auto"/>
          <w:sz w:val="21"/>
          <w:szCs w:val="21"/>
          <w:highlight w:val="none"/>
        </w:rPr>
        <w:t>    开标时间：2025年  月  日 09:00</w:t>
      </w:r>
      <w:r>
        <w:rPr>
          <w:rFonts w:hint="eastAsia" w:ascii="宋体" w:hAnsi="宋体" w:cs="宋体"/>
          <w:color w:val="auto"/>
          <w:highlight w:val="none"/>
        </w:rPr>
        <w:t> </w:t>
      </w:r>
    </w:p>
    <w:p w14:paraId="706264D3">
      <w:pPr>
        <w:pStyle w:val="19"/>
        <w:widowControl/>
        <w:spacing w:beforeAutospacing="0" w:afterAutospacing="0" w:line="440" w:lineRule="exact"/>
        <w:rPr>
          <w:rFonts w:ascii="宋体" w:hAnsi="宋体" w:cs="宋体"/>
          <w:color w:val="auto"/>
          <w:highlight w:val="none"/>
        </w:rPr>
      </w:pPr>
      <w:r>
        <w:rPr>
          <w:rFonts w:hint="eastAsia" w:ascii="宋体" w:hAnsi="宋体" w:cs="宋体"/>
          <w:color w:val="auto"/>
          <w:sz w:val="21"/>
          <w:szCs w:val="21"/>
          <w:highlight w:val="none"/>
        </w:rPr>
        <w:t>    开标地点：在“广西政府采购云平台”（https://www.gcy.zfcg.gxzf.gov.cn/）线上解密开启投标文件。</w:t>
      </w:r>
      <w:r>
        <w:rPr>
          <w:rFonts w:hint="eastAsia" w:ascii="宋体" w:hAnsi="宋体" w:cs="宋体"/>
          <w:color w:val="auto"/>
          <w:highlight w:val="none"/>
        </w:rPr>
        <w:t>  </w:t>
      </w:r>
    </w:p>
    <w:p w14:paraId="66DC7A4F">
      <w:pPr>
        <w:pStyle w:val="19"/>
        <w:widowControl/>
        <w:spacing w:beforeAutospacing="0" w:afterAutospacing="0" w:line="440" w:lineRule="exact"/>
        <w:jc w:val="both"/>
        <w:rPr>
          <w:rFonts w:ascii="宋体" w:hAnsi="宋体" w:cs="宋体"/>
          <w:color w:val="auto"/>
          <w:sz w:val="25"/>
          <w:szCs w:val="25"/>
          <w:highlight w:val="none"/>
        </w:rPr>
      </w:pPr>
      <w:r>
        <w:rPr>
          <w:rStyle w:val="23"/>
          <w:rFonts w:hint="eastAsia" w:ascii="宋体" w:hAnsi="宋体" w:cs="宋体"/>
          <w:color w:val="auto"/>
          <w:sz w:val="21"/>
          <w:szCs w:val="21"/>
          <w:highlight w:val="none"/>
        </w:rPr>
        <w:t>五、公告期限</w:t>
      </w:r>
      <w:r>
        <w:rPr>
          <w:rFonts w:hint="eastAsia" w:ascii="宋体" w:hAnsi="宋体" w:cs="宋体"/>
          <w:color w:val="auto"/>
          <w:sz w:val="25"/>
          <w:szCs w:val="25"/>
          <w:highlight w:val="none"/>
        </w:rPr>
        <w:t> </w:t>
      </w:r>
    </w:p>
    <w:p w14:paraId="69EE986B">
      <w:pPr>
        <w:pStyle w:val="19"/>
        <w:widowControl/>
        <w:spacing w:beforeAutospacing="0" w:afterAutospacing="0" w:line="440" w:lineRule="exact"/>
        <w:rPr>
          <w:rFonts w:ascii="宋体" w:hAnsi="宋体" w:cs="宋体"/>
          <w:color w:val="auto"/>
          <w:highlight w:val="none"/>
        </w:rPr>
      </w:pPr>
      <w:r>
        <w:rPr>
          <w:rFonts w:hint="eastAsia" w:ascii="宋体" w:hAnsi="宋体" w:cs="宋体"/>
          <w:color w:val="auto"/>
          <w:sz w:val="21"/>
          <w:szCs w:val="21"/>
          <w:highlight w:val="none"/>
        </w:rPr>
        <w:t>    自本公告发布之日起5个工作日。</w:t>
      </w:r>
    </w:p>
    <w:p w14:paraId="4350D25B">
      <w:pPr>
        <w:pStyle w:val="19"/>
        <w:widowControl/>
        <w:spacing w:beforeAutospacing="0" w:afterAutospacing="0" w:line="440" w:lineRule="exact"/>
        <w:jc w:val="both"/>
        <w:rPr>
          <w:rFonts w:ascii="宋体" w:hAnsi="宋体" w:cs="宋体"/>
          <w:color w:val="auto"/>
          <w:sz w:val="21"/>
          <w:szCs w:val="21"/>
          <w:highlight w:val="none"/>
        </w:rPr>
      </w:pPr>
      <w:r>
        <w:rPr>
          <w:rStyle w:val="23"/>
          <w:rFonts w:hint="eastAsia" w:ascii="宋体" w:hAnsi="宋体" w:cs="宋体"/>
          <w:color w:val="auto"/>
          <w:sz w:val="21"/>
          <w:szCs w:val="21"/>
          <w:highlight w:val="none"/>
        </w:rPr>
        <w:t>六、其他补充事宜</w:t>
      </w:r>
    </w:p>
    <w:p w14:paraId="294BCC3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w:t>
      </w:r>
      <w:r>
        <w:rPr>
          <w:rFonts w:hint="eastAsia" w:ascii="宋体" w:hAnsi="宋体" w:cs="宋体"/>
          <w:color w:val="auto"/>
          <w:szCs w:val="21"/>
          <w:highlight w:val="none"/>
        </w:rPr>
        <w:t>1.本项目不收取投标保证金。</w:t>
      </w:r>
    </w:p>
    <w:p w14:paraId="68F8BA4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2.本项目需要落实的政府采购政策</w:t>
      </w:r>
    </w:p>
    <w:p w14:paraId="75210EE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（1）落实强制采购节能产品、鼓励节能政策：对国家公布的节能产品政府采购品目清单中属于强制采购的产品，予以强制采购。属于非强制采购的产品，在技术、服务等指标同等条件下，予以优先采购。</w:t>
      </w:r>
    </w:p>
    <w:p w14:paraId="183D431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（2）鼓励环保政策：在性能、技术、服务等指标同等条件下，优先采购国家公布的属于环境标志产品政府采购品目清单中产品。</w:t>
      </w:r>
    </w:p>
    <w:p w14:paraId="5DDD74D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（3）扶持中小企业政策：评审时小型和微型企业产品、服务的价格给予20%的扣除。监狱企业视同小型和微型企业，其产品、服务在评审时给予相同的价格扣除。</w:t>
      </w:r>
    </w:p>
    <w:p w14:paraId="1AD773C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3.网上公告媒体查询：中国政府采购网、广西壮族自治区政府采购网。 </w:t>
      </w:r>
    </w:p>
    <w:p w14:paraId="0A9337D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项目通过政采云平台实行在线投标响应（电子投标），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北海市政府采购中心网站-相关下载- CA证书办理操作指南”进行查阅。</w:t>
      </w:r>
    </w:p>
    <w:p w14:paraId="55DC417C">
      <w:pPr>
        <w:pStyle w:val="19"/>
        <w:widowControl/>
        <w:spacing w:beforeAutospacing="0" w:afterAutospacing="0" w:line="440" w:lineRule="exact"/>
        <w:rPr>
          <w:rFonts w:ascii="宋体" w:hAnsi="宋体" w:cs="宋体"/>
          <w:color w:val="auto"/>
          <w:sz w:val="25"/>
          <w:szCs w:val="25"/>
          <w:highlight w:val="none"/>
        </w:rPr>
      </w:pPr>
      <w:r>
        <w:rPr>
          <w:rFonts w:hint="eastAsia" w:ascii="宋体" w:hAnsi="宋体" w:cs="宋体"/>
          <w:color w:val="auto"/>
          <w:sz w:val="21"/>
          <w:szCs w:val="21"/>
          <w:highlight w:val="none"/>
        </w:rPr>
        <w:t>  </w:t>
      </w:r>
      <w:r>
        <w:rPr>
          <w:rStyle w:val="23"/>
          <w:rFonts w:hint="eastAsia" w:ascii="宋体" w:hAnsi="宋体" w:cs="宋体"/>
          <w:color w:val="auto"/>
          <w:sz w:val="21"/>
          <w:szCs w:val="21"/>
          <w:highlight w:val="none"/>
        </w:rPr>
        <w:t>七、对本次采购提出询问，请按以下方式联系</w:t>
      </w:r>
    </w:p>
    <w:p w14:paraId="189EA2F8">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47F77512">
      <w:pPr>
        <w:adjustRightInd w:val="0"/>
        <w:snapToGrid w:val="0"/>
        <w:spacing w:line="44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名  称：合浦县公路发展服务中心  </w:t>
      </w:r>
    </w:p>
    <w:p w14:paraId="115AAC4E">
      <w:pPr>
        <w:adjustRightInd w:val="0"/>
        <w:snapToGrid w:val="0"/>
        <w:spacing w:line="44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地  址：合浦县廉州镇还珠中路85号</w:t>
      </w:r>
    </w:p>
    <w:p w14:paraId="4FB5083A">
      <w:pPr>
        <w:adjustRightInd w:val="0"/>
        <w:snapToGrid w:val="0"/>
        <w:spacing w:line="44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rPr>
        <w:t>：廖工</w:t>
      </w:r>
      <w:r>
        <w:rPr>
          <w:rFonts w:hint="eastAsia" w:ascii="宋体" w:hAnsi="宋体" w:cs="宋体"/>
          <w:color w:val="auto"/>
          <w:szCs w:val="21"/>
          <w:highlight w:val="none"/>
        </w:rPr>
        <w:t xml:space="preserve">  </w:t>
      </w:r>
      <w:r>
        <w:rPr>
          <w:rFonts w:hint="eastAsia" w:ascii="宋体" w:hAnsi="宋体" w:cs="宋体"/>
          <w:color w:val="auto"/>
          <w:szCs w:val="21"/>
          <w:highlight w:val="none"/>
        </w:rPr>
        <w:t xml:space="preserve">     </w:t>
      </w:r>
    </w:p>
    <w:p w14:paraId="538EB35F">
      <w:pPr>
        <w:adjustRightInd w:val="0"/>
        <w:snapToGrid w:val="0"/>
        <w:spacing w:line="44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 xml:space="preserve">项目联系方式：0779-7202289  </w:t>
      </w:r>
    </w:p>
    <w:p w14:paraId="011D3B20">
      <w:pPr>
        <w:adjustRightInd w:val="0"/>
        <w:snapToGrid w:val="0"/>
        <w:spacing w:line="44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 </w:t>
      </w:r>
    </w:p>
    <w:p w14:paraId="011D1DE4">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highlight w:val="none"/>
        </w:rPr>
        <w:t>采购代理机构信息            </w:t>
      </w:r>
    </w:p>
    <w:p w14:paraId="072AF2F0">
      <w:pPr>
        <w:spacing w:line="440" w:lineRule="exact"/>
        <w:ind w:firstLine="630" w:firstLineChars="300"/>
        <w:rPr>
          <w:rFonts w:ascii="宋体" w:hAnsi="宋体" w:cs="宋体"/>
          <w:color w:val="auto"/>
          <w:highlight w:val="none"/>
        </w:rPr>
      </w:pPr>
      <w:r>
        <w:rPr>
          <w:rFonts w:hint="eastAsia" w:ascii="宋体" w:hAnsi="宋体" w:cs="宋体"/>
          <w:color w:val="auto"/>
          <w:highlight w:val="none"/>
        </w:rPr>
        <w:t>名  称：广西向海韵工程咨询有限公司             </w:t>
      </w:r>
    </w:p>
    <w:p w14:paraId="7DF23900">
      <w:pPr>
        <w:spacing w:line="440" w:lineRule="exact"/>
        <w:ind w:firstLine="630" w:firstLineChars="300"/>
        <w:rPr>
          <w:rFonts w:ascii="宋体" w:hAnsi="宋体" w:cs="宋体"/>
          <w:color w:val="auto"/>
          <w:highlight w:val="none"/>
        </w:rPr>
      </w:pPr>
      <w:r>
        <w:rPr>
          <w:rFonts w:hint="eastAsia" w:ascii="宋体" w:hAnsi="宋体" w:cs="宋体"/>
          <w:color w:val="auto"/>
          <w:highlight w:val="none"/>
        </w:rPr>
        <w:t>地  址：合浦县廉州镇廉阳大道103号香溪花园一期6幢2号楼三楼               </w:t>
      </w:r>
    </w:p>
    <w:p w14:paraId="1ECEDC87">
      <w:pPr>
        <w:spacing w:line="440" w:lineRule="exact"/>
        <w:ind w:firstLine="630" w:firstLineChars="300"/>
        <w:rPr>
          <w:rFonts w:ascii="宋体" w:hAnsi="宋体" w:cs="宋体"/>
          <w:color w:val="auto"/>
          <w:szCs w:val="21"/>
          <w:highlight w:val="none"/>
        </w:rPr>
      </w:pPr>
      <w:r>
        <w:rPr>
          <w:rFonts w:hint="eastAsia" w:ascii="宋体" w:hAnsi="宋体" w:cs="宋体"/>
          <w:color w:val="auto"/>
          <w:highlight w:val="none"/>
        </w:rPr>
        <w:t>项目联系人：符琼鑫 </w:t>
      </w:r>
      <w:r>
        <w:rPr>
          <w:rFonts w:hint="eastAsia" w:ascii="宋体" w:hAnsi="宋体" w:cs="宋体"/>
          <w:color w:val="auto"/>
          <w:szCs w:val="21"/>
          <w:highlight w:val="none"/>
        </w:rPr>
        <w:t>             </w:t>
      </w:r>
    </w:p>
    <w:p w14:paraId="41D2FC09">
      <w:pPr>
        <w:spacing w:line="44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项目联系方式：0779-7296939</w:t>
      </w:r>
    </w:p>
    <w:p w14:paraId="090AC532">
      <w:pPr>
        <w:pStyle w:val="19"/>
        <w:widowControl/>
        <w:spacing w:line="240" w:lineRule="atLeast"/>
        <w:rPr>
          <w:color w:val="auto"/>
          <w:highlight w:val="none"/>
        </w:rPr>
      </w:pPr>
    </w:p>
    <w:p w14:paraId="2948BAAC">
      <w:pPr>
        <w:pStyle w:val="19"/>
        <w:widowControl/>
        <w:rPr>
          <w:color w:val="auto"/>
          <w:highlight w:val="none"/>
        </w:rPr>
      </w:pPr>
    </w:p>
    <w:p w14:paraId="4833F1F4">
      <w:pPr>
        <w:pStyle w:val="19"/>
        <w:widowControl/>
        <w:rPr>
          <w:color w:val="auto"/>
          <w:highlight w:val="none"/>
        </w:rPr>
      </w:pPr>
    </w:p>
    <w:p w14:paraId="359187A8">
      <w:pPr>
        <w:pStyle w:val="19"/>
        <w:widowControl/>
        <w:rPr>
          <w:color w:val="auto"/>
          <w:highlight w:val="none"/>
        </w:rPr>
      </w:pPr>
    </w:p>
    <w:p w14:paraId="30D764BF">
      <w:pPr>
        <w:pStyle w:val="19"/>
        <w:widowControl/>
        <w:rPr>
          <w:color w:val="auto"/>
          <w:highlight w:val="none"/>
        </w:rPr>
      </w:pPr>
    </w:p>
    <w:p w14:paraId="62169874">
      <w:pPr>
        <w:jc w:val="center"/>
        <w:rPr>
          <w:rFonts w:ascii="宋体" w:hAnsi="宋体"/>
          <w:color w:val="auto"/>
          <w:highlight w:val="none"/>
        </w:rPr>
      </w:pPr>
    </w:p>
    <w:p w14:paraId="5380810D">
      <w:pPr>
        <w:jc w:val="center"/>
        <w:rPr>
          <w:rFonts w:ascii="宋体" w:hAnsi="宋体"/>
          <w:color w:val="auto"/>
          <w:highlight w:val="none"/>
        </w:rPr>
      </w:pPr>
    </w:p>
    <w:p w14:paraId="546E91A3">
      <w:pPr>
        <w:jc w:val="center"/>
        <w:rPr>
          <w:rFonts w:ascii="宋体" w:hAnsi="宋体"/>
          <w:color w:val="auto"/>
          <w:highlight w:val="none"/>
        </w:rPr>
      </w:pPr>
    </w:p>
    <w:p w14:paraId="44C2F7F4">
      <w:pPr>
        <w:pStyle w:val="3"/>
        <w:jc w:val="center"/>
        <w:rPr>
          <w:rFonts w:ascii="宋体" w:hAnsi="宋体"/>
          <w:color w:val="auto"/>
          <w:highlight w:val="none"/>
        </w:rPr>
      </w:pPr>
      <w:bookmarkStart w:id="3" w:name="_Toc32139"/>
      <w:r>
        <w:rPr>
          <w:rFonts w:hint="eastAsia" w:ascii="宋体" w:hAnsi="宋体"/>
          <w:color w:val="auto"/>
          <w:highlight w:val="none"/>
        </w:rPr>
        <w:t>第二章  投标人须知</w:t>
      </w:r>
      <w:bookmarkEnd w:id="3"/>
    </w:p>
    <w:p w14:paraId="0368BF29">
      <w:pPr>
        <w:snapToGrid w:val="0"/>
        <w:spacing w:line="540" w:lineRule="exact"/>
        <w:jc w:val="center"/>
        <w:rPr>
          <w:rFonts w:ascii="宋体" w:hAnsi="宋体"/>
          <w:color w:val="auto"/>
          <w:sz w:val="36"/>
          <w:szCs w:val="36"/>
          <w:highlight w:val="none"/>
        </w:rPr>
      </w:pPr>
    </w:p>
    <w:p w14:paraId="68A35132">
      <w:pPr>
        <w:snapToGrid w:val="0"/>
        <w:spacing w:line="540" w:lineRule="exact"/>
        <w:jc w:val="center"/>
        <w:rPr>
          <w:rFonts w:ascii="宋体" w:hAnsi="宋体"/>
          <w:color w:val="auto"/>
          <w:sz w:val="36"/>
          <w:szCs w:val="36"/>
          <w:highlight w:val="none"/>
        </w:rPr>
      </w:pPr>
    </w:p>
    <w:p w14:paraId="434C79C5">
      <w:pPr>
        <w:snapToGrid w:val="0"/>
        <w:spacing w:line="540" w:lineRule="exact"/>
        <w:jc w:val="center"/>
        <w:rPr>
          <w:rFonts w:ascii="宋体" w:hAnsi="宋体"/>
          <w:color w:val="auto"/>
          <w:sz w:val="36"/>
          <w:szCs w:val="36"/>
          <w:highlight w:val="none"/>
        </w:rPr>
      </w:pPr>
    </w:p>
    <w:p w14:paraId="6D374DA1">
      <w:pPr>
        <w:snapToGrid w:val="0"/>
        <w:spacing w:line="540" w:lineRule="exact"/>
        <w:jc w:val="center"/>
        <w:rPr>
          <w:rFonts w:ascii="宋体" w:hAnsi="宋体"/>
          <w:color w:val="auto"/>
          <w:sz w:val="36"/>
          <w:szCs w:val="36"/>
          <w:highlight w:val="none"/>
        </w:rPr>
      </w:pPr>
    </w:p>
    <w:p w14:paraId="0850B579">
      <w:pPr>
        <w:snapToGrid w:val="0"/>
        <w:spacing w:line="540" w:lineRule="exact"/>
        <w:jc w:val="center"/>
        <w:rPr>
          <w:rFonts w:ascii="宋体" w:hAnsi="宋体"/>
          <w:color w:val="auto"/>
          <w:sz w:val="36"/>
          <w:szCs w:val="36"/>
          <w:highlight w:val="none"/>
        </w:rPr>
      </w:pPr>
    </w:p>
    <w:p w14:paraId="082B94EB">
      <w:pPr>
        <w:snapToGrid w:val="0"/>
        <w:spacing w:line="540" w:lineRule="exact"/>
        <w:jc w:val="center"/>
        <w:rPr>
          <w:rFonts w:ascii="宋体" w:hAnsi="宋体"/>
          <w:color w:val="auto"/>
          <w:sz w:val="36"/>
          <w:szCs w:val="36"/>
          <w:highlight w:val="none"/>
        </w:rPr>
      </w:pPr>
    </w:p>
    <w:p w14:paraId="14846F40">
      <w:pPr>
        <w:snapToGrid w:val="0"/>
        <w:spacing w:line="540" w:lineRule="exact"/>
        <w:jc w:val="center"/>
        <w:rPr>
          <w:rFonts w:ascii="宋体" w:hAnsi="宋体"/>
          <w:color w:val="auto"/>
          <w:sz w:val="36"/>
          <w:szCs w:val="36"/>
          <w:highlight w:val="none"/>
        </w:rPr>
      </w:pPr>
    </w:p>
    <w:p w14:paraId="217180A0">
      <w:pPr>
        <w:snapToGrid w:val="0"/>
        <w:spacing w:line="540" w:lineRule="exact"/>
        <w:jc w:val="center"/>
        <w:rPr>
          <w:rFonts w:ascii="宋体" w:hAnsi="宋体"/>
          <w:color w:val="auto"/>
          <w:sz w:val="36"/>
          <w:szCs w:val="36"/>
          <w:highlight w:val="none"/>
        </w:rPr>
      </w:pPr>
    </w:p>
    <w:p w14:paraId="2A4EA4CB">
      <w:pPr>
        <w:snapToGrid w:val="0"/>
        <w:spacing w:line="540" w:lineRule="exact"/>
        <w:rPr>
          <w:rFonts w:ascii="宋体" w:hAnsi="宋体"/>
          <w:color w:val="auto"/>
          <w:sz w:val="36"/>
          <w:szCs w:val="36"/>
          <w:highlight w:val="none"/>
        </w:rPr>
      </w:pPr>
    </w:p>
    <w:p w14:paraId="5F386072">
      <w:pPr>
        <w:snapToGrid w:val="0"/>
        <w:spacing w:line="540" w:lineRule="exact"/>
        <w:rPr>
          <w:rFonts w:ascii="宋体" w:hAnsi="宋体"/>
          <w:color w:val="auto"/>
          <w:sz w:val="36"/>
          <w:szCs w:val="36"/>
          <w:highlight w:val="none"/>
        </w:rPr>
      </w:pPr>
    </w:p>
    <w:p w14:paraId="3F467F3C">
      <w:pPr>
        <w:snapToGrid w:val="0"/>
        <w:spacing w:line="540" w:lineRule="exact"/>
        <w:rPr>
          <w:rFonts w:ascii="宋体" w:hAnsi="宋体"/>
          <w:color w:val="auto"/>
          <w:sz w:val="36"/>
          <w:szCs w:val="36"/>
          <w:highlight w:val="none"/>
        </w:rPr>
      </w:pPr>
    </w:p>
    <w:p w14:paraId="0B98DF86">
      <w:pPr>
        <w:snapToGrid w:val="0"/>
        <w:spacing w:line="540" w:lineRule="exact"/>
        <w:rPr>
          <w:rFonts w:ascii="宋体" w:hAnsi="宋体"/>
          <w:color w:val="auto"/>
          <w:sz w:val="36"/>
          <w:szCs w:val="36"/>
          <w:highlight w:val="none"/>
        </w:rPr>
      </w:pPr>
    </w:p>
    <w:p w14:paraId="59F43C0B">
      <w:pPr>
        <w:snapToGrid w:val="0"/>
        <w:spacing w:line="540" w:lineRule="exact"/>
        <w:rPr>
          <w:rFonts w:ascii="宋体" w:hAnsi="宋体"/>
          <w:color w:val="auto"/>
          <w:sz w:val="36"/>
          <w:szCs w:val="36"/>
          <w:highlight w:val="none"/>
        </w:rPr>
      </w:pPr>
    </w:p>
    <w:p w14:paraId="2AD87E75">
      <w:pPr>
        <w:snapToGrid w:val="0"/>
        <w:spacing w:line="540" w:lineRule="exact"/>
        <w:rPr>
          <w:rFonts w:ascii="宋体" w:hAnsi="宋体"/>
          <w:color w:val="auto"/>
          <w:sz w:val="36"/>
          <w:szCs w:val="36"/>
          <w:highlight w:val="none"/>
        </w:rPr>
      </w:pPr>
    </w:p>
    <w:p w14:paraId="3C638761">
      <w:pPr>
        <w:snapToGrid w:val="0"/>
        <w:spacing w:line="540" w:lineRule="exact"/>
        <w:rPr>
          <w:rFonts w:ascii="宋体" w:hAnsi="宋体"/>
          <w:color w:val="auto"/>
          <w:sz w:val="36"/>
          <w:szCs w:val="36"/>
          <w:highlight w:val="none"/>
        </w:rPr>
      </w:pPr>
    </w:p>
    <w:p w14:paraId="549FAD47">
      <w:pPr>
        <w:snapToGrid w:val="0"/>
        <w:spacing w:line="540" w:lineRule="exact"/>
        <w:rPr>
          <w:rFonts w:ascii="宋体" w:hAnsi="宋体"/>
          <w:color w:val="auto"/>
          <w:sz w:val="36"/>
          <w:szCs w:val="36"/>
          <w:highlight w:val="none"/>
        </w:rPr>
      </w:pPr>
    </w:p>
    <w:p w14:paraId="03BA4920">
      <w:pPr>
        <w:snapToGrid w:val="0"/>
        <w:spacing w:line="540" w:lineRule="exact"/>
        <w:jc w:val="center"/>
        <w:rPr>
          <w:rFonts w:ascii="方正小标宋简体" w:hAnsi="宋体" w:eastAsia="方正小标宋简体"/>
          <w:b/>
          <w:color w:val="auto"/>
          <w:sz w:val="32"/>
          <w:szCs w:val="32"/>
          <w:highlight w:val="none"/>
        </w:rPr>
      </w:pPr>
      <w:r>
        <w:rPr>
          <w:rFonts w:ascii="宋体" w:hAnsi="宋体"/>
          <w:color w:val="auto"/>
          <w:sz w:val="36"/>
          <w:szCs w:val="36"/>
          <w:highlight w:val="none"/>
        </w:rPr>
        <w:br w:type="page"/>
      </w:r>
      <w:r>
        <w:rPr>
          <w:rFonts w:hint="eastAsia" w:ascii="方正小标宋简体" w:hAnsi="宋体" w:eastAsia="方正小标宋简体"/>
          <w:b/>
          <w:color w:val="auto"/>
          <w:sz w:val="32"/>
          <w:szCs w:val="32"/>
          <w:highlight w:val="none"/>
        </w:rPr>
        <w:t>投标人须知及前附表</w:t>
      </w:r>
    </w:p>
    <w:tbl>
      <w:tblPr>
        <w:tblStyle w:val="21"/>
        <w:tblW w:w="0" w:type="auto"/>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9497"/>
      </w:tblGrid>
      <w:tr w14:paraId="67D3A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68" w:type="dxa"/>
            <w:tcBorders>
              <w:top w:val="single" w:color="auto" w:sz="4" w:space="0"/>
              <w:left w:val="single" w:color="auto" w:sz="4" w:space="0"/>
              <w:bottom w:val="single" w:color="auto" w:sz="4" w:space="0"/>
              <w:right w:val="single" w:color="auto" w:sz="4" w:space="0"/>
            </w:tcBorders>
            <w:vAlign w:val="center"/>
          </w:tcPr>
          <w:p w14:paraId="403DD23D">
            <w:pPr>
              <w:snapToGrid w:val="0"/>
              <w:spacing w:line="24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9497" w:type="dxa"/>
            <w:tcBorders>
              <w:top w:val="single" w:color="auto" w:sz="4" w:space="0"/>
              <w:left w:val="single" w:color="auto" w:sz="4" w:space="0"/>
              <w:bottom w:val="single" w:color="auto" w:sz="4" w:space="0"/>
              <w:right w:val="single" w:color="auto" w:sz="4" w:space="0"/>
            </w:tcBorders>
            <w:vAlign w:val="center"/>
          </w:tcPr>
          <w:p w14:paraId="5F8C13A4">
            <w:pPr>
              <w:snapToGrid w:val="0"/>
              <w:spacing w:line="240" w:lineRule="exact"/>
              <w:jc w:val="center"/>
              <w:rPr>
                <w:rFonts w:ascii="宋体" w:hAnsi="宋体"/>
                <w:b/>
                <w:color w:val="auto"/>
                <w:szCs w:val="21"/>
                <w:highlight w:val="none"/>
              </w:rPr>
            </w:pPr>
            <w:r>
              <w:rPr>
                <w:rFonts w:hint="eastAsia" w:ascii="宋体" w:hAnsi="宋体"/>
                <w:b/>
                <w:color w:val="auto"/>
                <w:szCs w:val="21"/>
                <w:highlight w:val="none"/>
              </w:rPr>
              <w:t>内容、要求</w:t>
            </w:r>
          </w:p>
        </w:tc>
      </w:tr>
      <w:tr w14:paraId="2DEE5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68" w:type="dxa"/>
            <w:tcBorders>
              <w:top w:val="single" w:color="auto" w:sz="4" w:space="0"/>
              <w:left w:val="single" w:color="auto" w:sz="4" w:space="0"/>
              <w:bottom w:val="single" w:color="auto" w:sz="4" w:space="0"/>
              <w:right w:val="single" w:color="auto" w:sz="4" w:space="0"/>
            </w:tcBorders>
            <w:vAlign w:val="center"/>
          </w:tcPr>
          <w:p w14:paraId="4DA4B533">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w:t>
            </w:r>
          </w:p>
        </w:tc>
        <w:tc>
          <w:tcPr>
            <w:tcW w:w="9497" w:type="dxa"/>
            <w:tcBorders>
              <w:top w:val="single" w:color="auto" w:sz="4" w:space="0"/>
              <w:left w:val="single" w:color="auto" w:sz="4" w:space="0"/>
              <w:bottom w:val="single" w:color="auto" w:sz="4" w:space="0"/>
              <w:right w:val="single" w:color="auto" w:sz="4" w:space="0"/>
            </w:tcBorders>
            <w:vAlign w:val="center"/>
          </w:tcPr>
          <w:p w14:paraId="0C6BC657">
            <w:pPr>
              <w:snapToGrid w:val="0"/>
              <w:spacing w:line="240" w:lineRule="exact"/>
              <w:rPr>
                <w:rFonts w:ascii="宋体" w:hAnsi="宋体"/>
                <w:bCs/>
                <w:color w:val="auto"/>
                <w:szCs w:val="21"/>
                <w:highlight w:val="none"/>
              </w:rPr>
            </w:pPr>
            <w:r>
              <w:rPr>
                <w:rFonts w:hint="eastAsia" w:ascii="宋体" w:hAnsi="宋体"/>
                <w:color w:val="auto"/>
                <w:szCs w:val="21"/>
                <w:highlight w:val="none"/>
              </w:rPr>
              <w:t>项目名称：</w:t>
            </w:r>
            <w:r>
              <w:rPr>
                <w:rFonts w:hint="eastAsia" w:ascii="宋体" w:hAnsi="宋体"/>
                <w:bCs/>
                <w:color w:val="auto"/>
                <w:szCs w:val="21"/>
                <w:highlight w:val="none"/>
              </w:rPr>
              <w:t>合浦县农村公路日常养护服务项目</w:t>
            </w:r>
          </w:p>
          <w:p w14:paraId="7E547EFA">
            <w:pPr>
              <w:pStyle w:val="13"/>
              <w:rPr>
                <w:rFonts w:hint="eastAsia" w:hAnsi="宋体" w:eastAsia="宋体"/>
                <w:color w:val="auto"/>
                <w:highlight w:val="none"/>
                <w:lang w:eastAsia="zh-CN"/>
              </w:rPr>
            </w:pPr>
            <w:r>
              <w:rPr>
                <w:rFonts w:hint="eastAsia" w:hAnsi="宋体"/>
                <w:bCs/>
                <w:color w:val="auto"/>
                <w:highlight w:val="none"/>
              </w:rPr>
              <w:t>项目编号</w:t>
            </w:r>
            <w:r>
              <w:rPr>
                <w:rFonts w:hint="eastAsia" w:hAnsi="宋体"/>
                <w:bCs/>
                <w:color w:val="auto"/>
                <w:highlight w:val="none"/>
                <w:lang w:eastAsia="zh-CN"/>
              </w:rPr>
              <w:t>：</w:t>
            </w:r>
          </w:p>
        </w:tc>
      </w:tr>
      <w:tr w14:paraId="1DCD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568" w:type="dxa"/>
            <w:tcBorders>
              <w:top w:val="single" w:color="auto" w:sz="4" w:space="0"/>
              <w:left w:val="single" w:color="auto" w:sz="4" w:space="0"/>
              <w:bottom w:val="single" w:color="auto" w:sz="4" w:space="0"/>
              <w:right w:val="single" w:color="auto" w:sz="4" w:space="0"/>
            </w:tcBorders>
            <w:vAlign w:val="center"/>
          </w:tcPr>
          <w:p w14:paraId="68BFC40C">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2</w:t>
            </w:r>
          </w:p>
        </w:tc>
        <w:tc>
          <w:tcPr>
            <w:tcW w:w="9497" w:type="dxa"/>
            <w:tcBorders>
              <w:top w:val="single" w:color="auto" w:sz="4" w:space="0"/>
              <w:left w:val="single" w:color="auto" w:sz="4" w:space="0"/>
              <w:bottom w:val="single" w:color="auto" w:sz="4" w:space="0"/>
              <w:right w:val="single" w:color="auto" w:sz="4" w:space="0"/>
            </w:tcBorders>
            <w:vAlign w:val="center"/>
          </w:tcPr>
          <w:p w14:paraId="13CBE51F">
            <w:pPr>
              <w:snapToGrid w:val="0"/>
              <w:spacing w:line="260" w:lineRule="exact"/>
              <w:rPr>
                <w:rFonts w:ascii="宋体" w:hAnsi="宋体"/>
                <w:color w:val="auto"/>
                <w:szCs w:val="21"/>
                <w:highlight w:val="none"/>
              </w:rPr>
            </w:pPr>
            <w:r>
              <w:rPr>
                <w:rFonts w:hint="eastAsia" w:ascii="宋体" w:hAnsi="宋体"/>
                <w:color w:val="auto"/>
                <w:szCs w:val="21"/>
                <w:highlight w:val="none"/>
              </w:rPr>
              <w:t>投标人的法定代表人（负责人）为同一人或者存在直接控股、管理关系的不同供应商，不得参加同一合同项下的政府采购活动。</w:t>
            </w:r>
          </w:p>
        </w:tc>
      </w:tr>
      <w:tr w14:paraId="1F4D9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68" w:type="dxa"/>
            <w:tcBorders>
              <w:top w:val="single" w:color="auto" w:sz="4" w:space="0"/>
              <w:left w:val="single" w:color="auto" w:sz="4" w:space="0"/>
              <w:bottom w:val="single" w:color="auto" w:sz="4" w:space="0"/>
              <w:right w:val="single" w:color="auto" w:sz="4" w:space="0"/>
            </w:tcBorders>
            <w:vAlign w:val="center"/>
          </w:tcPr>
          <w:p w14:paraId="75BA8E13">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3</w:t>
            </w:r>
          </w:p>
        </w:tc>
        <w:tc>
          <w:tcPr>
            <w:tcW w:w="9497" w:type="dxa"/>
            <w:tcBorders>
              <w:top w:val="single" w:color="auto" w:sz="4" w:space="0"/>
              <w:left w:val="single" w:color="auto" w:sz="4" w:space="0"/>
              <w:bottom w:val="single" w:color="auto" w:sz="4" w:space="0"/>
              <w:right w:val="single" w:color="auto" w:sz="4" w:space="0"/>
            </w:tcBorders>
            <w:vAlign w:val="center"/>
          </w:tcPr>
          <w:p w14:paraId="6B5319A8">
            <w:pPr>
              <w:snapToGrid w:val="0"/>
              <w:spacing w:line="260" w:lineRule="exact"/>
              <w:rPr>
                <w:rFonts w:ascii="宋体" w:hAnsi="宋体"/>
                <w:color w:val="auto"/>
                <w:szCs w:val="21"/>
                <w:highlight w:val="none"/>
              </w:rPr>
            </w:pPr>
            <w:r>
              <w:rPr>
                <w:rFonts w:hint="eastAsia" w:ascii="宋体" w:hAnsi="宋体"/>
                <w:b/>
                <w:color w:val="auto"/>
                <w:szCs w:val="21"/>
                <w:highlight w:val="none"/>
              </w:rPr>
              <w:t>投标报价及费用：</w:t>
            </w:r>
            <w:r>
              <w:rPr>
                <w:rFonts w:hint="eastAsia" w:ascii="宋体" w:hAnsi="宋体"/>
                <w:color w:val="auto"/>
                <w:szCs w:val="21"/>
                <w:highlight w:val="none"/>
              </w:rPr>
              <w:t>1.本项目投标应以人民币报价；2.不论投标结果如何，投标人均应自行承担所有与投标有关的全部费用。</w:t>
            </w:r>
          </w:p>
        </w:tc>
      </w:tr>
      <w:tr w14:paraId="328AE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68" w:type="dxa"/>
            <w:tcBorders>
              <w:top w:val="single" w:color="auto" w:sz="4" w:space="0"/>
              <w:left w:val="single" w:color="auto" w:sz="4" w:space="0"/>
              <w:bottom w:val="single" w:color="auto" w:sz="4" w:space="0"/>
              <w:right w:val="single" w:color="auto" w:sz="4" w:space="0"/>
            </w:tcBorders>
            <w:vAlign w:val="center"/>
          </w:tcPr>
          <w:p w14:paraId="34522F1A">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4</w:t>
            </w:r>
          </w:p>
        </w:tc>
        <w:tc>
          <w:tcPr>
            <w:tcW w:w="9497" w:type="dxa"/>
            <w:tcBorders>
              <w:top w:val="single" w:color="auto" w:sz="4" w:space="0"/>
              <w:left w:val="single" w:color="auto" w:sz="4" w:space="0"/>
              <w:bottom w:val="single" w:color="auto" w:sz="4" w:space="0"/>
              <w:right w:val="single" w:color="auto" w:sz="4" w:space="0"/>
            </w:tcBorders>
            <w:vAlign w:val="center"/>
          </w:tcPr>
          <w:p w14:paraId="71E68188">
            <w:pPr>
              <w:snapToGrid w:val="0"/>
              <w:spacing w:line="240" w:lineRule="exact"/>
              <w:rPr>
                <w:rFonts w:ascii="宋体" w:hAnsi="宋体"/>
                <w:color w:val="auto"/>
                <w:szCs w:val="21"/>
                <w:highlight w:val="none"/>
              </w:rPr>
            </w:pPr>
            <w:r>
              <w:rPr>
                <w:rFonts w:hint="eastAsia" w:ascii="宋体" w:hAnsi="宋体"/>
                <w:b/>
                <w:color w:val="auto"/>
                <w:szCs w:val="21"/>
                <w:highlight w:val="none"/>
              </w:rPr>
              <w:t>投标保证金</w:t>
            </w:r>
            <w:r>
              <w:rPr>
                <w:rFonts w:hint="eastAsia" w:ascii="宋体" w:hAnsi="宋体"/>
                <w:color w:val="auto"/>
                <w:szCs w:val="21"/>
                <w:highlight w:val="none"/>
              </w:rPr>
              <w:t>：本项目不收取投标保证金。</w:t>
            </w:r>
          </w:p>
        </w:tc>
      </w:tr>
      <w:tr w14:paraId="66FFD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5" w:hRule="atLeast"/>
        </w:trPr>
        <w:tc>
          <w:tcPr>
            <w:tcW w:w="568" w:type="dxa"/>
            <w:tcBorders>
              <w:top w:val="single" w:color="auto" w:sz="4" w:space="0"/>
              <w:left w:val="single" w:color="auto" w:sz="4" w:space="0"/>
              <w:bottom w:val="single" w:color="auto" w:sz="4" w:space="0"/>
              <w:right w:val="single" w:color="auto" w:sz="4" w:space="0"/>
            </w:tcBorders>
            <w:vAlign w:val="center"/>
          </w:tcPr>
          <w:p w14:paraId="2D2B3E29">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5</w:t>
            </w:r>
          </w:p>
        </w:tc>
        <w:tc>
          <w:tcPr>
            <w:tcW w:w="9497" w:type="dxa"/>
            <w:tcBorders>
              <w:top w:val="single" w:color="auto" w:sz="4" w:space="0"/>
              <w:left w:val="single" w:color="auto" w:sz="4" w:space="0"/>
              <w:bottom w:val="single" w:color="auto" w:sz="4" w:space="0"/>
              <w:right w:val="single" w:color="auto" w:sz="4" w:space="0"/>
            </w:tcBorders>
            <w:vAlign w:val="center"/>
          </w:tcPr>
          <w:p w14:paraId="1A14A4B7">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答疑、澄清：</w:t>
            </w:r>
            <w:r>
              <w:rPr>
                <w:rFonts w:hint="eastAsia" w:ascii="宋体" w:hAnsi="宋体"/>
                <w:color w:val="auto"/>
                <w:highlight w:val="none"/>
              </w:rPr>
              <w:t>投标人要认真阅读招标文件，仔细审核《</w:t>
            </w:r>
            <w:r>
              <w:rPr>
                <w:rFonts w:hint="eastAsia" w:ascii="宋体" w:hAnsi="宋体"/>
                <w:color w:val="auto"/>
                <w:szCs w:val="21"/>
                <w:highlight w:val="none"/>
              </w:rPr>
              <w:t>项目需求和说明</w:t>
            </w:r>
            <w:r>
              <w:rPr>
                <w:rFonts w:hint="eastAsia" w:ascii="宋体" w:hAnsi="宋体"/>
                <w:color w:val="auto"/>
                <w:highlight w:val="none"/>
              </w:rPr>
              <w:t>》中的要求，如发现有误或要求不合理的，</w:t>
            </w:r>
            <w:r>
              <w:rPr>
                <w:rFonts w:hint="eastAsia" w:ascii="宋体" w:hAnsi="宋体"/>
                <w:color w:val="auto"/>
                <w:szCs w:val="21"/>
                <w:highlight w:val="none"/>
              </w:rPr>
              <w:t>投标人必须在收到招标文件之日起七个工作日书面向本公司要求答疑或澄清，在此后时间提出的答疑或澄清，视为无效。</w:t>
            </w:r>
          </w:p>
          <w:p w14:paraId="514F3F74">
            <w:pPr>
              <w:snapToGrid w:val="0"/>
              <w:spacing w:line="320" w:lineRule="exact"/>
              <w:rPr>
                <w:rFonts w:ascii="宋体" w:hAnsi="宋体"/>
                <w:color w:val="auto"/>
                <w:szCs w:val="21"/>
                <w:highlight w:val="none"/>
              </w:rPr>
            </w:pPr>
            <w:r>
              <w:rPr>
                <w:rFonts w:hint="eastAsia" w:ascii="宋体" w:hAnsi="宋体"/>
                <w:color w:val="auto"/>
                <w:szCs w:val="21"/>
                <w:highlight w:val="none"/>
              </w:rPr>
              <w:t>询问、质疑：投标人如认为招标文件存在歧视性、排他性或者其他违法内容的，按投标人须知“一、总则（八）询问、质疑和投诉”中的要求向本公司或采购人提出书面询问、质疑。</w:t>
            </w:r>
          </w:p>
          <w:p w14:paraId="1920B0D6">
            <w:pPr>
              <w:snapToGrid w:val="0"/>
              <w:spacing w:line="320" w:lineRule="exact"/>
              <w:ind w:firstLine="420" w:firstLineChars="200"/>
              <w:rPr>
                <w:rFonts w:ascii="宋体" w:hAnsi="宋体"/>
                <w:bCs/>
                <w:color w:val="auto"/>
                <w:szCs w:val="21"/>
                <w:highlight w:val="none"/>
              </w:rPr>
            </w:pPr>
            <w:r>
              <w:rPr>
                <w:rFonts w:hint="eastAsia" w:ascii="宋体" w:hAnsi="宋体" w:cs="宋体"/>
                <w:bCs/>
                <w:color w:val="auto"/>
                <w:szCs w:val="21"/>
                <w:highlight w:val="none"/>
              </w:rPr>
              <w:t>供应商可通过北海“政采云”平台进入“项目采购-询问质疑投诉”栏目在线提起询问、质疑。</w:t>
            </w:r>
          </w:p>
          <w:p w14:paraId="67F132AB">
            <w:pPr>
              <w:snapToGrid w:val="0"/>
              <w:spacing w:line="320" w:lineRule="exact"/>
              <w:rPr>
                <w:rFonts w:ascii="宋体" w:hAnsi="宋体"/>
                <w:color w:val="auto"/>
                <w:szCs w:val="21"/>
                <w:highlight w:val="none"/>
              </w:rPr>
            </w:pPr>
            <w:r>
              <w:rPr>
                <w:rFonts w:hint="eastAsia" w:ascii="宋体" w:hAnsi="宋体"/>
                <w:color w:val="auto"/>
                <w:szCs w:val="21"/>
                <w:highlight w:val="none"/>
              </w:rPr>
              <w:t>受理业务时间：工作日每天9时00分到12时00分，15时00分到18时00分，业务时间以外、双休日和法定节假日不受理。</w:t>
            </w:r>
          </w:p>
          <w:p w14:paraId="07AF4181">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公司将变更内容书面通知所有招标文件收受人，并在财政部门指定的政府采购信息发布媒体上发布变更公告（详细见招标公告中公布的网站）。</w:t>
            </w:r>
          </w:p>
        </w:tc>
      </w:tr>
      <w:tr w14:paraId="43D1C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68" w:type="dxa"/>
            <w:tcBorders>
              <w:top w:val="single" w:color="auto" w:sz="4" w:space="0"/>
              <w:left w:val="single" w:color="auto" w:sz="4" w:space="0"/>
              <w:bottom w:val="single" w:color="auto" w:sz="4" w:space="0"/>
              <w:right w:val="single" w:color="auto" w:sz="4" w:space="0"/>
            </w:tcBorders>
            <w:vAlign w:val="center"/>
          </w:tcPr>
          <w:p w14:paraId="4D00D370">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6</w:t>
            </w:r>
          </w:p>
        </w:tc>
        <w:tc>
          <w:tcPr>
            <w:tcW w:w="9497" w:type="dxa"/>
            <w:tcBorders>
              <w:top w:val="single" w:color="auto" w:sz="4" w:space="0"/>
              <w:left w:val="single" w:color="auto" w:sz="4" w:space="0"/>
              <w:bottom w:val="single" w:color="auto" w:sz="4" w:space="0"/>
              <w:right w:val="single" w:color="auto" w:sz="4" w:space="0"/>
            </w:tcBorders>
            <w:vAlign w:val="center"/>
          </w:tcPr>
          <w:p w14:paraId="0A2D7827">
            <w:pPr>
              <w:snapToGrid w:val="0"/>
              <w:spacing w:line="320" w:lineRule="exact"/>
              <w:rPr>
                <w:rFonts w:ascii="宋体" w:hAnsi="宋体"/>
                <w:b/>
                <w:color w:val="auto"/>
                <w:szCs w:val="21"/>
                <w:highlight w:val="none"/>
              </w:rPr>
            </w:pPr>
            <w:r>
              <w:rPr>
                <w:rFonts w:hint="eastAsia" w:ascii="宋体" w:hAnsi="宋体"/>
                <w:b/>
                <w:color w:val="auto"/>
                <w:szCs w:val="21"/>
                <w:highlight w:val="none"/>
              </w:rPr>
              <w:t>投标前准备：</w:t>
            </w:r>
          </w:p>
          <w:p w14:paraId="41931B4C">
            <w:pPr>
              <w:snapToGrid w:val="0"/>
              <w:spacing w:line="320" w:lineRule="exact"/>
              <w:rPr>
                <w:rFonts w:ascii="宋体" w:hAnsi="宋体"/>
                <w:color w:val="auto"/>
                <w:szCs w:val="21"/>
                <w:highlight w:val="none"/>
              </w:rPr>
            </w:pPr>
            <w:r>
              <w:rPr>
                <w:rFonts w:hint="eastAsia" w:ascii="宋体" w:hAnsi="宋体"/>
                <w:color w:val="auto"/>
                <w:szCs w:val="21"/>
                <w:highlight w:val="none"/>
              </w:rPr>
              <w:t>1.本项目实行网上投标，采用电子投标文件。若供应商参与投标，自行承担投标一切费用。</w:t>
            </w:r>
          </w:p>
          <w:p w14:paraId="5D0C4F32">
            <w:pPr>
              <w:snapToGrid w:val="0"/>
              <w:spacing w:line="320" w:lineRule="exact"/>
              <w:rPr>
                <w:rFonts w:ascii="宋体" w:hAnsi="宋体"/>
                <w:color w:val="auto"/>
                <w:szCs w:val="21"/>
                <w:highlight w:val="none"/>
              </w:rPr>
            </w:pPr>
            <w:r>
              <w:rPr>
                <w:rFonts w:hint="eastAsia" w:ascii="宋体" w:hAnsi="宋体"/>
                <w:color w:val="auto"/>
                <w:szCs w:val="21"/>
                <w:highlight w:val="none"/>
              </w:rPr>
              <w:t>2.各供应商应在截标前确保成为“政采云平台”正式供应商，并完成CA数字证书申领。因未注册入驻、未办理CA数字证书等原因造成无法投标或投标失败等后果由供应商自行承担。</w:t>
            </w:r>
          </w:p>
          <w:p w14:paraId="13B99063">
            <w:pPr>
              <w:autoSpaceDE w:val="0"/>
              <w:autoSpaceDN w:val="0"/>
              <w:snapToGrid w:val="0"/>
              <w:spacing w:line="260" w:lineRule="exact"/>
              <w:textAlignment w:val="bottom"/>
              <w:rPr>
                <w:rFonts w:ascii="宋体" w:hAnsi="宋体"/>
                <w:color w:val="auto"/>
                <w:szCs w:val="21"/>
                <w:highlight w:val="none"/>
              </w:rPr>
            </w:pPr>
            <w:r>
              <w:rPr>
                <w:rFonts w:hint="eastAsia" w:ascii="宋体" w:hAnsi="宋体"/>
                <w:color w:val="auto"/>
                <w:szCs w:val="21"/>
                <w:highlight w:val="none"/>
              </w:rPr>
              <w:t>3.供应商将政采云电子交易客户端下载、安装完成后，可通过账号密码或CA登录客户端进行投标文件制作。客户端请至北海市政府采购中心网站下载专区查看，如有问题可拨打政采云客户服务热线95763进行咨询。</w:t>
            </w:r>
          </w:p>
          <w:p w14:paraId="38450498">
            <w:pPr>
              <w:autoSpaceDE w:val="0"/>
              <w:autoSpaceDN w:val="0"/>
              <w:snapToGrid w:val="0"/>
              <w:spacing w:line="260" w:lineRule="exact"/>
              <w:textAlignment w:val="bottom"/>
              <w:rPr>
                <w:rFonts w:ascii="宋体" w:hAnsi="宋体"/>
                <w:color w:val="auto"/>
                <w:szCs w:val="21"/>
                <w:highlight w:val="none"/>
              </w:rPr>
            </w:pPr>
            <w:r>
              <w:rPr>
                <w:rFonts w:hint="eastAsia" w:ascii="宋体" w:hAnsi="宋体"/>
                <w:color w:val="auto"/>
                <w:szCs w:val="21"/>
                <w:highlight w:val="none"/>
              </w:rPr>
              <w:t>4.纸质投标文件要求：领取中标通知书前由中标单位提供纸质投标文件存档。份数：3份。要求：纸质版投标文件应为导入至“</w:t>
            </w:r>
            <w:r>
              <w:rPr>
                <w:rFonts w:hint="eastAsia" w:ascii="宋体" w:hAnsi="宋体" w:cs="宋体"/>
                <w:color w:val="auto"/>
                <w:szCs w:val="21"/>
                <w:highlight w:val="none"/>
              </w:rPr>
              <w:t>广西政府采购云平台</w:t>
            </w:r>
            <w:r>
              <w:rPr>
                <w:rFonts w:hint="eastAsia" w:ascii="宋体" w:hAnsi="宋体"/>
                <w:color w:val="auto"/>
                <w:szCs w:val="21"/>
                <w:highlight w:val="none"/>
              </w:rPr>
              <w:t>”电子投标文件的打印版，纸质投标文件不分正副本，装订要粘贴牢固，不掉页、漏页，不得用金属钉装订，第一个信封与第二个信封分别单独密封包装提交，封面格式自拟。 以介质存储的数据电文形式的电子备份投标文件，按政采云平台项目采购-电子招投标操作指南中上传的电子投标文件格式，以DVD光盘或者U盘等形式提供。数量为1份，若逾期未送达，造成系统故障而无法顺利解密文件的，由供应商自行负责。</w:t>
            </w:r>
          </w:p>
          <w:p w14:paraId="73F6057A">
            <w:pPr>
              <w:snapToGrid w:val="0"/>
              <w:spacing w:line="320" w:lineRule="exact"/>
              <w:rPr>
                <w:rFonts w:ascii="宋体" w:hAnsi="宋体"/>
                <w:color w:val="auto"/>
                <w:szCs w:val="21"/>
                <w:highlight w:val="none"/>
              </w:rPr>
            </w:pPr>
            <w:r>
              <w:rPr>
                <w:rFonts w:hint="eastAsia" w:ascii="宋体" w:hAnsi="宋体"/>
                <w:color w:val="auto"/>
                <w:szCs w:val="21"/>
                <w:highlight w:val="none"/>
              </w:rPr>
              <w:t xml:space="preserve">递交方式：邮寄或现场递交。                   </w:t>
            </w:r>
          </w:p>
          <w:p w14:paraId="1374FB93">
            <w:pPr>
              <w:snapToGrid w:val="0"/>
              <w:spacing w:line="320" w:lineRule="exact"/>
              <w:rPr>
                <w:rFonts w:ascii="宋体" w:hAnsi="宋体"/>
                <w:color w:val="auto"/>
                <w:szCs w:val="21"/>
                <w:highlight w:val="none"/>
              </w:rPr>
            </w:pPr>
            <w:r>
              <w:rPr>
                <w:rFonts w:hint="eastAsia" w:ascii="宋体" w:hAnsi="宋体"/>
                <w:color w:val="auto"/>
                <w:szCs w:val="21"/>
                <w:highlight w:val="none"/>
              </w:rPr>
              <w:t xml:space="preserve">收件人名称：符琼鑫                 </w:t>
            </w:r>
          </w:p>
          <w:p w14:paraId="35339EA8">
            <w:pPr>
              <w:snapToGrid w:val="0"/>
              <w:spacing w:line="320" w:lineRule="exact"/>
              <w:rPr>
                <w:rFonts w:ascii="宋体" w:hAnsi="宋体"/>
                <w:color w:val="auto"/>
                <w:szCs w:val="21"/>
                <w:highlight w:val="none"/>
              </w:rPr>
            </w:pPr>
            <w:r>
              <w:rPr>
                <w:rFonts w:hint="eastAsia" w:ascii="宋体" w:hAnsi="宋体"/>
                <w:color w:val="auto"/>
                <w:szCs w:val="21"/>
                <w:highlight w:val="none"/>
              </w:rPr>
              <w:t xml:space="preserve">地址：合浦县廉州镇廉阳大道103号香溪花园一期6幢2号楼三楼             </w:t>
            </w:r>
          </w:p>
          <w:p w14:paraId="63D7081C">
            <w:pPr>
              <w:snapToGrid w:val="0"/>
              <w:spacing w:line="320" w:lineRule="exact"/>
              <w:rPr>
                <w:rFonts w:ascii="宋体" w:hAnsi="宋体"/>
                <w:color w:val="auto"/>
                <w:szCs w:val="21"/>
                <w:highlight w:val="none"/>
              </w:rPr>
            </w:pPr>
            <w:r>
              <w:rPr>
                <w:rFonts w:hint="eastAsia" w:ascii="宋体" w:hAnsi="宋体"/>
                <w:color w:val="auto"/>
                <w:szCs w:val="21"/>
                <w:highlight w:val="none"/>
              </w:rPr>
              <w:t>联系方式：0779-7296939</w:t>
            </w:r>
          </w:p>
          <w:p w14:paraId="75FBCF11">
            <w:pPr>
              <w:snapToGrid w:val="0"/>
              <w:spacing w:line="320" w:lineRule="exact"/>
              <w:rPr>
                <w:rFonts w:ascii="宋体" w:hAnsi="宋体"/>
                <w:color w:val="auto"/>
                <w:szCs w:val="21"/>
                <w:highlight w:val="none"/>
              </w:rPr>
            </w:pPr>
            <w:r>
              <w:rPr>
                <w:rFonts w:hint="eastAsia" w:ascii="宋体" w:hAnsi="宋体"/>
                <w:color w:val="auto"/>
                <w:szCs w:val="21"/>
                <w:highlight w:val="none"/>
              </w:rPr>
              <w:t>本公司拒收到付邮件。</w:t>
            </w:r>
          </w:p>
          <w:p w14:paraId="3A9A108D">
            <w:pPr>
              <w:snapToGrid w:val="0"/>
              <w:spacing w:line="320" w:lineRule="exact"/>
              <w:rPr>
                <w:rFonts w:ascii="宋体" w:hAnsi="宋体"/>
                <w:color w:val="auto"/>
                <w:szCs w:val="21"/>
                <w:highlight w:val="none"/>
              </w:rPr>
            </w:pPr>
            <w:r>
              <w:rPr>
                <w:rFonts w:hint="eastAsia" w:ascii="宋体" w:hAnsi="宋体"/>
                <w:color w:val="auto"/>
                <w:szCs w:val="21"/>
                <w:highlight w:val="none"/>
              </w:rPr>
              <w:t>5.通过“政府采购云平台”上传递交的“电子加密投标文件”无法按时解密，投标供应商递交了电子备份投标文件的，以电子备份投标文件为依据，否则视为投标文件撤回。通过政采云平台上传递交的电子加密投标文件已按时解密的，电子备份投标文件自动失效。投标供应商仅递交电子备份投标文件的，投标无效。</w:t>
            </w:r>
          </w:p>
        </w:tc>
      </w:tr>
      <w:tr w14:paraId="0A766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2" w:hRule="atLeast"/>
        </w:trPr>
        <w:tc>
          <w:tcPr>
            <w:tcW w:w="568" w:type="dxa"/>
            <w:tcBorders>
              <w:top w:val="single" w:color="auto" w:sz="4" w:space="0"/>
              <w:left w:val="single" w:color="auto" w:sz="4" w:space="0"/>
              <w:bottom w:val="single" w:color="auto" w:sz="4" w:space="0"/>
              <w:right w:val="single" w:color="auto" w:sz="4" w:space="0"/>
            </w:tcBorders>
            <w:vAlign w:val="center"/>
          </w:tcPr>
          <w:p w14:paraId="59BC7BD5">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7</w:t>
            </w:r>
          </w:p>
        </w:tc>
        <w:tc>
          <w:tcPr>
            <w:tcW w:w="9497" w:type="dxa"/>
            <w:tcBorders>
              <w:top w:val="single" w:color="auto" w:sz="4" w:space="0"/>
              <w:left w:val="single" w:color="auto" w:sz="4" w:space="0"/>
              <w:bottom w:val="single" w:color="auto" w:sz="4" w:space="0"/>
              <w:right w:val="single" w:color="auto" w:sz="4" w:space="0"/>
            </w:tcBorders>
            <w:vAlign w:val="center"/>
          </w:tcPr>
          <w:p w14:paraId="6B701247">
            <w:pPr>
              <w:autoSpaceDE w:val="0"/>
              <w:autoSpaceDN w:val="0"/>
              <w:snapToGrid w:val="0"/>
              <w:spacing w:line="260" w:lineRule="exact"/>
              <w:textAlignment w:val="bottom"/>
              <w:rPr>
                <w:rFonts w:ascii="宋体" w:hAnsi="宋体"/>
                <w:b/>
                <w:color w:val="auto"/>
                <w:szCs w:val="21"/>
                <w:highlight w:val="none"/>
              </w:rPr>
            </w:pPr>
            <w:r>
              <w:rPr>
                <w:rFonts w:hint="eastAsia" w:ascii="宋体" w:hAnsi="宋体"/>
                <w:b/>
                <w:color w:val="auto"/>
                <w:szCs w:val="21"/>
                <w:highlight w:val="none"/>
              </w:rPr>
              <w:t>供应商应准备电子投标文件、以介质存储的数据电文形式的电子备份投标文件、纸质投标文件：</w:t>
            </w:r>
          </w:p>
          <w:p w14:paraId="300863D8">
            <w:pPr>
              <w:autoSpaceDE w:val="0"/>
              <w:autoSpaceDN w:val="0"/>
              <w:snapToGrid w:val="0"/>
              <w:spacing w:line="260" w:lineRule="exact"/>
              <w:textAlignment w:val="bottom"/>
              <w:rPr>
                <w:rFonts w:ascii="宋体" w:hAnsi="宋体"/>
                <w:b/>
                <w:color w:val="auto"/>
                <w:szCs w:val="21"/>
                <w:highlight w:val="none"/>
              </w:rPr>
            </w:pPr>
            <w:r>
              <w:rPr>
                <w:rFonts w:hint="eastAsia" w:ascii="宋体" w:hAnsi="宋体"/>
                <w:b/>
                <w:color w:val="auto"/>
                <w:szCs w:val="21"/>
                <w:highlight w:val="none"/>
              </w:rPr>
              <w:t>1.电子投标文件，电子投标文件按政采云平台要求及本招标文件要求制作、加密并递交。</w:t>
            </w:r>
          </w:p>
          <w:p w14:paraId="1F0956BD">
            <w:pPr>
              <w:autoSpaceDE w:val="0"/>
              <w:autoSpaceDN w:val="0"/>
              <w:snapToGrid w:val="0"/>
              <w:spacing w:line="260" w:lineRule="exact"/>
              <w:textAlignment w:val="bottom"/>
              <w:rPr>
                <w:rFonts w:ascii="宋体" w:hAnsi="宋体"/>
                <w:b/>
                <w:color w:val="auto"/>
                <w:szCs w:val="21"/>
                <w:highlight w:val="none"/>
              </w:rPr>
            </w:pPr>
            <w:r>
              <w:rPr>
                <w:rFonts w:hint="eastAsia" w:ascii="宋体" w:hAnsi="宋体"/>
                <w:b/>
                <w:color w:val="auto"/>
                <w:szCs w:val="21"/>
                <w:highlight w:val="none"/>
              </w:rPr>
              <w:t>2.以介质存储的数据电文形式的电子备份投标文件，按政采云平台项目采购-电子招投标操作指南中上传的电子投标文件格式，以DVD光盘或者U盘等形式提供。数量为1份。</w:t>
            </w:r>
          </w:p>
          <w:p w14:paraId="30335499">
            <w:pPr>
              <w:autoSpaceDE w:val="0"/>
              <w:autoSpaceDN w:val="0"/>
              <w:snapToGrid w:val="0"/>
              <w:spacing w:line="260" w:lineRule="exact"/>
              <w:textAlignment w:val="bottom"/>
              <w:rPr>
                <w:rFonts w:ascii="宋体" w:hAnsi="宋体"/>
                <w:b/>
                <w:color w:val="auto"/>
                <w:szCs w:val="21"/>
                <w:highlight w:val="none"/>
              </w:rPr>
            </w:pPr>
            <w:r>
              <w:rPr>
                <w:rFonts w:hint="eastAsia" w:ascii="宋体" w:hAnsi="宋体"/>
                <w:b/>
                <w:color w:val="auto"/>
                <w:szCs w:val="21"/>
                <w:highlight w:val="none"/>
              </w:rPr>
              <w:t>3.投标文件启用顺序和效力。投标文件的启用，按先后顺位分别为电子投标文件、以介质存储的数据电文形式的电子备份投标文件。顺位在先的电子投标文件已按时解密的，下一顺位电子备份投标文件自动失效。在下一顺位的电子备份投标文件启用时，前一顺位的电子投标文件自动失效。</w:t>
            </w:r>
          </w:p>
          <w:p w14:paraId="66EE9A92">
            <w:pPr>
              <w:pStyle w:val="14"/>
              <w:rPr>
                <w:rFonts w:ascii="宋体" w:hAnsi="宋体"/>
                <w:b/>
                <w:color w:val="auto"/>
                <w:kern w:val="2"/>
                <w:sz w:val="21"/>
                <w:szCs w:val="21"/>
                <w:highlight w:val="none"/>
              </w:rPr>
            </w:pPr>
            <w:r>
              <w:rPr>
                <w:rFonts w:hint="eastAsia" w:ascii="宋体" w:hAnsi="宋体"/>
                <w:b/>
                <w:color w:val="auto"/>
                <w:kern w:val="2"/>
                <w:sz w:val="21"/>
                <w:szCs w:val="21"/>
                <w:highlight w:val="none"/>
              </w:rPr>
              <w:t>4.纸质投标文件只作存档用，不作为备份投标文件。</w:t>
            </w:r>
          </w:p>
          <w:p w14:paraId="01C119D0">
            <w:pPr>
              <w:autoSpaceDE w:val="0"/>
              <w:autoSpaceDN w:val="0"/>
              <w:snapToGrid w:val="0"/>
              <w:spacing w:line="260" w:lineRule="exact"/>
              <w:textAlignment w:val="bottom"/>
              <w:rPr>
                <w:rFonts w:ascii="宋体" w:hAnsi="宋体"/>
                <w:b/>
                <w:color w:val="auto"/>
                <w:szCs w:val="21"/>
                <w:highlight w:val="none"/>
              </w:rPr>
            </w:pPr>
            <w:r>
              <w:rPr>
                <w:rFonts w:hint="eastAsia" w:ascii="宋体" w:hAnsi="宋体"/>
                <w:b/>
                <w:color w:val="auto"/>
                <w:szCs w:val="21"/>
                <w:highlight w:val="none"/>
              </w:rPr>
              <w:t>▲未传输递交电子投标文件的，投标无效。</w:t>
            </w:r>
          </w:p>
          <w:p w14:paraId="1E2FF1AE">
            <w:pPr>
              <w:snapToGrid w:val="0"/>
              <w:spacing w:line="240" w:lineRule="exact"/>
              <w:rPr>
                <w:rFonts w:ascii="宋体" w:hAnsi="宋体"/>
                <w:color w:val="auto"/>
                <w:szCs w:val="21"/>
                <w:highlight w:val="none"/>
              </w:rPr>
            </w:pPr>
            <w:r>
              <w:rPr>
                <w:rFonts w:hint="eastAsia" w:ascii="宋体" w:hAnsi="宋体"/>
                <w:b/>
                <w:color w:val="auto"/>
                <w:szCs w:val="21"/>
                <w:highlight w:val="none"/>
              </w:rPr>
              <w:t>▲未按规定提供相应的备份投标文件，造成项目开评标活动无法进行下去的，投标无效。</w:t>
            </w:r>
          </w:p>
        </w:tc>
      </w:tr>
      <w:tr w14:paraId="2C0DA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568" w:type="dxa"/>
            <w:tcBorders>
              <w:top w:val="single" w:color="auto" w:sz="4" w:space="0"/>
              <w:left w:val="single" w:color="auto" w:sz="4" w:space="0"/>
              <w:bottom w:val="single" w:color="auto" w:sz="4" w:space="0"/>
              <w:right w:val="single" w:color="auto" w:sz="4" w:space="0"/>
            </w:tcBorders>
            <w:vAlign w:val="center"/>
          </w:tcPr>
          <w:p w14:paraId="45B80734">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8</w:t>
            </w:r>
          </w:p>
        </w:tc>
        <w:tc>
          <w:tcPr>
            <w:tcW w:w="9497" w:type="dxa"/>
            <w:tcBorders>
              <w:top w:val="single" w:color="auto" w:sz="4" w:space="0"/>
              <w:left w:val="single" w:color="auto" w:sz="4" w:space="0"/>
              <w:bottom w:val="single" w:color="auto" w:sz="4" w:space="0"/>
              <w:right w:val="single" w:color="auto" w:sz="4" w:space="0"/>
            </w:tcBorders>
            <w:vAlign w:val="center"/>
          </w:tcPr>
          <w:p w14:paraId="4F05458B">
            <w:pPr>
              <w:snapToGrid w:val="0"/>
              <w:spacing w:line="240" w:lineRule="exact"/>
              <w:rPr>
                <w:rFonts w:ascii="宋体" w:hAnsi="宋体"/>
                <w:color w:val="auto"/>
                <w:szCs w:val="21"/>
                <w:highlight w:val="none"/>
              </w:rPr>
            </w:pPr>
            <w:r>
              <w:rPr>
                <w:rFonts w:hint="eastAsia" w:ascii="宋体" w:hAnsi="宋体"/>
                <w:b/>
                <w:color w:val="auto"/>
                <w:szCs w:val="21"/>
                <w:highlight w:val="none"/>
              </w:rPr>
              <w:t>本招标文件所涉及的法定代表人（负责人）或其委托代理人签名的内容，可以是投标人的法定代表人（负责人）或其委托代理人的电子签名；如果投标人没有法定代表人（负责人）或其委托代理人的电子签名，投标人也可以线下签名或盖姓名章后扫描上传。</w:t>
            </w:r>
          </w:p>
        </w:tc>
      </w:tr>
      <w:tr w14:paraId="2B34A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68" w:type="dxa"/>
            <w:tcBorders>
              <w:top w:val="single" w:color="auto" w:sz="4" w:space="0"/>
              <w:left w:val="single" w:color="auto" w:sz="4" w:space="0"/>
              <w:bottom w:val="single" w:color="auto" w:sz="4" w:space="0"/>
              <w:right w:val="single" w:color="auto" w:sz="4" w:space="0"/>
            </w:tcBorders>
            <w:vAlign w:val="center"/>
          </w:tcPr>
          <w:p w14:paraId="5511B683">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9</w:t>
            </w:r>
          </w:p>
        </w:tc>
        <w:tc>
          <w:tcPr>
            <w:tcW w:w="9497" w:type="dxa"/>
            <w:tcBorders>
              <w:top w:val="single" w:color="auto" w:sz="4" w:space="0"/>
              <w:left w:val="single" w:color="auto" w:sz="4" w:space="0"/>
              <w:bottom w:val="single" w:color="auto" w:sz="4" w:space="0"/>
              <w:right w:val="single" w:color="auto" w:sz="4" w:space="0"/>
            </w:tcBorders>
            <w:vAlign w:val="center"/>
          </w:tcPr>
          <w:p w14:paraId="5E0713ED">
            <w:pPr>
              <w:snapToGrid w:val="0"/>
              <w:spacing w:line="240" w:lineRule="exact"/>
              <w:rPr>
                <w:rFonts w:ascii="宋体" w:hAnsi="宋体"/>
                <w:color w:val="auto"/>
                <w:szCs w:val="21"/>
                <w:highlight w:val="none"/>
              </w:rPr>
            </w:pPr>
            <w:r>
              <w:rPr>
                <w:rFonts w:hint="eastAsia" w:ascii="宋体" w:hAnsi="宋体"/>
                <w:color w:val="auto"/>
                <w:szCs w:val="21"/>
                <w:highlight w:val="none"/>
              </w:rPr>
              <w:t>投标截止时间及地点：</w:t>
            </w:r>
            <w:r>
              <w:rPr>
                <w:rFonts w:hint="eastAsia" w:ascii="宋体" w:hAnsi="宋体"/>
                <w:color w:val="auto"/>
                <w:highlight w:val="none"/>
              </w:rPr>
              <w:t>2025年   月   日09:00（北京时间）整</w:t>
            </w:r>
            <w:r>
              <w:rPr>
                <w:rFonts w:hint="eastAsia" w:ascii="宋体" w:hAnsi="宋体"/>
                <w:b/>
                <w:color w:val="auto"/>
                <w:highlight w:val="none"/>
              </w:rPr>
              <w:t>，</w:t>
            </w:r>
            <w:r>
              <w:rPr>
                <w:rFonts w:hint="eastAsia" w:hAnsi="宋体"/>
                <w:color w:val="auto"/>
                <w:szCs w:val="21"/>
                <w:highlight w:val="none"/>
              </w:rPr>
              <w:t>通过政采云平台实行在线截标</w:t>
            </w:r>
            <w:r>
              <w:rPr>
                <w:rFonts w:hint="eastAsia" w:ascii="宋体" w:hAnsi="宋体"/>
                <w:color w:val="auto"/>
                <w:szCs w:val="21"/>
                <w:highlight w:val="none"/>
              </w:rPr>
              <w:t>。</w:t>
            </w:r>
          </w:p>
        </w:tc>
      </w:tr>
      <w:tr w14:paraId="71E46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68" w:type="dxa"/>
            <w:tcBorders>
              <w:top w:val="single" w:color="auto" w:sz="4" w:space="0"/>
              <w:left w:val="single" w:color="auto" w:sz="4" w:space="0"/>
              <w:bottom w:val="single" w:color="auto" w:sz="4" w:space="0"/>
              <w:right w:val="single" w:color="auto" w:sz="4" w:space="0"/>
            </w:tcBorders>
            <w:vAlign w:val="center"/>
          </w:tcPr>
          <w:p w14:paraId="54267EF8">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10</w:t>
            </w:r>
          </w:p>
        </w:tc>
        <w:tc>
          <w:tcPr>
            <w:tcW w:w="9497" w:type="dxa"/>
            <w:tcBorders>
              <w:top w:val="single" w:color="auto" w:sz="4" w:space="0"/>
              <w:left w:val="single" w:color="auto" w:sz="4" w:space="0"/>
              <w:bottom w:val="single" w:color="auto" w:sz="4" w:space="0"/>
              <w:right w:val="single" w:color="auto" w:sz="4" w:space="0"/>
            </w:tcBorders>
            <w:vAlign w:val="center"/>
          </w:tcPr>
          <w:p w14:paraId="56B10099">
            <w:pPr>
              <w:snapToGrid w:val="0"/>
              <w:spacing w:line="240" w:lineRule="exact"/>
              <w:rPr>
                <w:rFonts w:ascii="宋体" w:hAnsi="宋体"/>
                <w:color w:val="auto"/>
                <w:szCs w:val="21"/>
                <w:highlight w:val="none"/>
              </w:rPr>
            </w:pPr>
            <w:r>
              <w:rPr>
                <w:rFonts w:hint="eastAsia" w:ascii="宋体" w:hAnsi="宋体"/>
                <w:color w:val="auto"/>
                <w:szCs w:val="21"/>
                <w:highlight w:val="none"/>
              </w:rPr>
              <w:t>开标时间及地点：</w:t>
            </w:r>
            <w:r>
              <w:rPr>
                <w:rFonts w:hint="eastAsia" w:ascii="宋体" w:hAnsi="宋体"/>
                <w:color w:val="auto"/>
                <w:highlight w:val="none"/>
              </w:rPr>
              <w:t>2025年   月  日09:00（北京时间）整</w:t>
            </w:r>
            <w:r>
              <w:rPr>
                <w:rFonts w:hint="eastAsia" w:ascii="宋体" w:hAnsi="宋体"/>
                <w:color w:val="auto"/>
                <w:szCs w:val="21"/>
                <w:highlight w:val="none"/>
              </w:rPr>
              <w:t>，</w:t>
            </w:r>
            <w:r>
              <w:rPr>
                <w:rFonts w:hint="eastAsia" w:hAnsi="宋体"/>
                <w:color w:val="auto"/>
                <w:szCs w:val="21"/>
                <w:highlight w:val="none"/>
              </w:rPr>
              <w:t>通过政采云平台实行在线开标</w:t>
            </w:r>
            <w:r>
              <w:rPr>
                <w:rFonts w:hint="eastAsia" w:ascii="宋体" w:hAnsi="宋体"/>
                <w:color w:val="auto"/>
                <w:szCs w:val="21"/>
                <w:highlight w:val="none"/>
              </w:rPr>
              <w:t>。</w:t>
            </w:r>
          </w:p>
        </w:tc>
      </w:tr>
      <w:tr w14:paraId="17805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68" w:type="dxa"/>
            <w:tcBorders>
              <w:top w:val="single" w:color="auto" w:sz="4" w:space="0"/>
              <w:left w:val="single" w:color="auto" w:sz="4" w:space="0"/>
              <w:bottom w:val="single" w:color="auto" w:sz="4" w:space="0"/>
              <w:right w:val="single" w:color="auto" w:sz="4" w:space="0"/>
            </w:tcBorders>
            <w:vAlign w:val="center"/>
          </w:tcPr>
          <w:p w14:paraId="3F90ABDE">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11</w:t>
            </w:r>
          </w:p>
        </w:tc>
        <w:tc>
          <w:tcPr>
            <w:tcW w:w="9497" w:type="dxa"/>
            <w:tcBorders>
              <w:top w:val="single" w:color="auto" w:sz="4" w:space="0"/>
              <w:left w:val="single" w:color="auto" w:sz="4" w:space="0"/>
              <w:bottom w:val="single" w:color="auto" w:sz="4" w:space="0"/>
              <w:right w:val="single" w:color="auto" w:sz="4" w:space="0"/>
            </w:tcBorders>
            <w:vAlign w:val="center"/>
          </w:tcPr>
          <w:p w14:paraId="279E499F">
            <w:pPr>
              <w:autoSpaceDE w:val="0"/>
              <w:autoSpaceDN w:val="0"/>
              <w:snapToGrid w:val="0"/>
              <w:spacing w:line="260" w:lineRule="exact"/>
              <w:textAlignment w:val="bottom"/>
              <w:rPr>
                <w:rFonts w:ascii="宋体" w:hAnsi="宋体"/>
                <w:color w:val="auto"/>
                <w:szCs w:val="21"/>
                <w:highlight w:val="none"/>
              </w:rPr>
            </w:pPr>
            <w:r>
              <w:rPr>
                <w:rFonts w:hint="eastAsia" w:ascii="宋体" w:hAnsi="宋体"/>
                <w:b/>
                <w:color w:val="auto"/>
                <w:szCs w:val="21"/>
                <w:highlight w:val="none"/>
              </w:rPr>
              <w:t>电子投标文件解密时间</w:t>
            </w:r>
            <w:r>
              <w:rPr>
                <w:rFonts w:hint="eastAsia" w:ascii="宋体" w:hAnsi="宋体"/>
                <w:color w:val="auto"/>
                <w:szCs w:val="21"/>
                <w:highlight w:val="none"/>
              </w:rPr>
              <w:t>：截标时间后30分钟内，投标供应商必须在此时间段内登录政采云平台，用“项目采购-开标评标”功能完成电子投标文件的解密。若投标供应商在规定时间内未按时解密的，视为投标文件撤回。</w:t>
            </w:r>
          </w:p>
        </w:tc>
      </w:tr>
      <w:tr w14:paraId="02343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568" w:type="dxa"/>
            <w:tcBorders>
              <w:top w:val="single" w:color="auto" w:sz="4" w:space="0"/>
              <w:left w:val="single" w:color="auto" w:sz="4" w:space="0"/>
              <w:bottom w:val="single" w:color="auto" w:sz="4" w:space="0"/>
              <w:right w:val="single" w:color="auto" w:sz="4" w:space="0"/>
            </w:tcBorders>
            <w:vAlign w:val="center"/>
          </w:tcPr>
          <w:p w14:paraId="5CAF9330">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12</w:t>
            </w:r>
          </w:p>
        </w:tc>
        <w:tc>
          <w:tcPr>
            <w:tcW w:w="9497" w:type="dxa"/>
            <w:tcBorders>
              <w:top w:val="single" w:color="auto" w:sz="4" w:space="0"/>
              <w:left w:val="single" w:color="auto" w:sz="4" w:space="0"/>
              <w:bottom w:val="single" w:color="auto" w:sz="4" w:space="0"/>
              <w:right w:val="single" w:color="auto" w:sz="4" w:space="0"/>
            </w:tcBorders>
            <w:vAlign w:val="center"/>
          </w:tcPr>
          <w:p w14:paraId="1FCB4960">
            <w:pPr>
              <w:autoSpaceDE w:val="0"/>
              <w:autoSpaceDN w:val="0"/>
              <w:snapToGrid w:val="0"/>
              <w:spacing w:line="260" w:lineRule="exact"/>
              <w:textAlignment w:val="bottom"/>
              <w:rPr>
                <w:color w:val="auto"/>
                <w:highlight w:val="none"/>
              </w:rPr>
            </w:pPr>
            <w:r>
              <w:rPr>
                <w:rFonts w:hint="eastAsia"/>
                <w:color w:val="auto"/>
                <w:highlight w:val="none"/>
              </w:rPr>
              <w:t>评标方法及评分标准：综合评分法。</w:t>
            </w:r>
          </w:p>
          <w:p w14:paraId="1DD36555">
            <w:pPr>
              <w:pStyle w:val="27"/>
              <w:spacing w:before="90" w:line="321" w:lineRule="auto"/>
              <w:ind w:left="107" w:right="-15"/>
              <w:rPr>
                <w:rFonts w:ascii="宋体" w:hAnsi="宋体" w:cs="宋体"/>
                <w:color w:val="auto"/>
                <w:szCs w:val="21"/>
                <w:highlight w:val="none"/>
                <w:lang w:bidi="ar"/>
              </w:rPr>
            </w:pPr>
            <w:r>
              <w:rPr>
                <w:rFonts w:hint="eastAsia" w:ascii="宋体" w:hAnsi="宋体" w:cs="宋体"/>
                <w:color w:val="auto"/>
                <w:szCs w:val="21"/>
                <w:highlight w:val="none"/>
                <w:lang w:bidi="ar"/>
              </w:rPr>
              <w:t>评标委员会组成：本项目评标委员会由专家及采购人代表组成，其中，</w:t>
            </w:r>
            <w:r>
              <w:rPr>
                <w:rFonts w:hint="eastAsia"/>
                <w:color w:val="auto"/>
                <w:szCs w:val="22"/>
                <w:highlight w:val="none"/>
              </w:rPr>
              <w:t>采购人</w:t>
            </w:r>
            <w:r>
              <w:rPr>
                <w:color w:val="auto"/>
                <w:spacing w:val="-3"/>
                <w:szCs w:val="22"/>
                <w:highlight w:val="none"/>
              </w:rPr>
              <w:t>代</w:t>
            </w:r>
            <w:r>
              <w:rPr>
                <w:color w:val="auto"/>
                <w:szCs w:val="22"/>
                <w:highlight w:val="none"/>
              </w:rPr>
              <w:t>表0</w:t>
            </w:r>
            <w:r>
              <w:rPr>
                <w:color w:val="auto"/>
                <w:spacing w:val="-3"/>
                <w:szCs w:val="22"/>
                <w:highlight w:val="none"/>
              </w:rPr>
              <w:t>人</w:t>
            </w:r>
            <w:r>
              <w:rPr>
                <w:color w:val="auto"/>
                <w:spacing w:val="-14"/>
                <w:szCs w:val="22"/>
                <w:highlight w:val="none"/>
              </w:rPr>
              <w:t xml:space="preserve">， </w:t>
            </w:r>
            <w:r>
              <w:rPr>
                <w:color w:val="auto"/>
                <w:szCs w:val="22"/>
                <w:highlight w:val="none"/>
              </w:rPr>
              <w:t>专家5</w:t>
            </w:r>
            <w:r>
              <w:rPr>
                <w:color w:val="auto"/>
                <w:spacing w:val="-3"/>
                <w:szCs w:val="22"/>
                <w:highlight w:val="none"/>
              </w:rPr>
              <w:t>人</w:t>
            </w:r>
            <w:r>
              <w:rPr>
                <w:rFonts w:hint="eastAsia"/>
                <w:color w:val="auto"/>
                <w:spacing w:val="-3"/>
                <w:szCs w:val="22"/>
                <w:highlight w:val="none"/>
              </w:rPr>
              <w:t>。</w:t>
            </w:r>
          </w:p>
        </w:tc>
      </w:tr>
      <w:tr w14:paraId="6DD8C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68" w:type="dxa"/>
            <w:tcBorders>
              <w:top w:val="single" w:color="auto" w:sz="4" w:space="0"/>
              <w:left w:val="single" w:color="auto" w:sz="4" w:space="0"/>
              <w:bottom w:val="single" w:color="auto" w:sz="4" w:space="0"/>
              <w:right w:val="single" w:color="auto" w:sz="4" w:space="0"/>
            </w:tcBorders>
            <w:vAlign w:val="center"/>
          </w:tcPr>
          <w:p w14:paraId="7ECB48A9">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13</w:t>
            </w:r>
          </w:p>
        </w:tc>
        <w:tc>
          <w:tcPr>
            <w:tcW w:w="9497" w:type="dxa"/>
            <w:tcBorders>
              <w:top w:val="single" w:color="auto" w:sz="4" w:space="0"/>
              <w:left w:val="single" w:color="auto" w:sz="4" w:space="0"/>
              <w:bottom w:val="single" w:color="auto" w:sz="4" w:space="0"/>
              <w:right w:val="single" w:color="auto" w:sz="4" w:space="0"/>
            </w:tcBorders>
            <w:vAlign w:val="center"/>
          </w:tcPr>
          <w:p w14:paraId="012B4598">
            <w:pPr>
              <w:autoSpaceDE w:val="0"/>
              <w:autoSpaceDN w:val="0"/>
              <w:snapToGrid w:val="0"/>
              <w:textAlignment w:val="bottom"/>
              <w:rPr>
                <w:rFonts w:ascii="宋体" w:hAnsi="宋体"/>
                <w:color w:val="auto"/>
                <w:szCs w:val="21"/>
                <w:highlight w:val="none"/>
              </w:rPr>
            </w:pPr>
            <w:r>
              <w:rPr>
                <w:rFonts w:hint="eastAsia" w:ascii="宋体" w:hAnsi="宋体"/>
                <w:color w:val="auto"/>
                <w:szCs w:val="21"/>
                <w:highlight w:val="none"/>
              </w:rPr>
              <w:t>中标通知书及中标公告：采购代理机构在采购人依法确定中标人之日起2个工作日内发出中标通知书，并在发布招标公告的网站上发布中标公告。</w:t>
            </w:r>
          </w:p>
        </w:tc>
      </w:tr>
      <w:tr w14:paraId="1A978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exact"/>
        </w:trPr>
        <w:tc>
          <w:tcPr>
            <w:tcW w:w="568" w:type="dxa"/>
            <w:tcBorders>
              <w:top w:val="single" w:color="auto" w:sz="4" w:space="0"/>
              <w:left w:val="single" w:color="auto" w:sz="4" w:space="0"/>
              <w:bottom w:val="single" w:color="auto" w:sz="4" w:space="0"/>
              <w:right w:val="single" w:color="auto" w:sz="4" w:space="0"/>
            </w:tcBorders>
            <w:vAlign w:val="center"/>
          </w:tcPr>
          <w:p w14:paraId="13EE4C21">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14</w:t>
            </w:r>
          </w:p>
        </w:tc>
        <w:tc>
          <w:tcPr>
            <w:tcW w:w="9497" w:type="dxa"/>
            <w:tcBorders>
              <w:top w:val="single" w:color="auto" w:sz="4" w:space="0"/>
              <w:left w:val="single" w:color="auto" w:sz="4" w:space="0"/>
              <w:bottom w:val="single" w:color="auto" w:sz="4" w:space="0"/>
              <w:right w:val="single" w:color="auto" w:sz="4" w:space="0"/>
            </w:tcBorders>
            <w:vAlign w:val="center"/>
          </w:tcPr>
          <w:p w14:paraId="41A062E7">
            <w:pPr>
              <w:autoSpaceDE w:val="0"/>
              <w:autoSpaceDN w:val="0"/>
              <w:snapToGrid w:val="0"/>
              <w:spacing w:line="260" w:lineRule="exact"/>
              <w:textAlignment w:val="bottom"/>
              <w:rPr>
                <w:rFonts w:ascii="宋体" w:hAnsi="宋体"/>
                <w:color w:val="auto"/>
                <w:szCs w:val="21"/>
                <w:highlight w:val="none"/>
              </w:rPr>
            </w:pPr>
            <w:r>
              <w:rPr>
                <w:rFonts w:hint="eastAsia" w:ascii="宋体" w:hAnsi="宋体"/>
                <w:color w:val="auto"/>
                <w:szCs w:val="21"/>
                <w:highlight w:val="none"/>
              </w:rPr>
              <w:t>签订合同时间：自中标通知书发出之日起，原则上要求8个工作日内签订（项目实施过程中出现质疑或投诉的情形除外）。</w:t>
            </w:r>
          </w:p>
        </w:tc>
      </w:tr>
      <w:tr w14:paraId="25B4A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exact"/>
        </w:trPr>
        <w:tc>
          <w:tcPr>
            <w:tcW w:w="568" w:type="dxa"/>
            <w:tcBorders>
              <w:top w:val="single" w:color="auto" w:sz="4" w:space="0"/>
              <w:left w:val="single" w:color="auto" w:sz="4" w:space="0"/>
              <w:bottom w:val="single" w:color="auto" w:sz="4" w:space="0"/>
              <w:right w:val="single" w:color="auto" w:sz="4" w:space="0"/>
            </w:tcBorders>
            <w:vAlign w:val="center"/>
          </w:tcPr>
          <w:p w14:paraId="78EDF406">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15</w:t>
            </w:r>
          </w:p>
        </w:tc>
        <w:tc>
          <w:tcPr>
            <w:tcW w:w="9497" w:type="dxa"/>
            <w:tcBorders>
              <w:top w:val="single" w:color="auto" w:sz="4" w:space="0"/>
              <w:left w:val="single" w:color="auto" w:sz="4" w:space="0"/>
              <w:bottom w:val="single" w:color="auto" w:sz="4" w:space="0"/>
              <w:right w:val="single" w:color="auto" w:sz="4" w:space="0"/>
            </w:tcBorders>
            <w:vAlign w:val="center"/>
          </w:tcPr>
          <w:p w14:paraId="28DC13FA">
            <w:pPr>
              <w:autoSpaceDE w:val="0"/>
              <w:autoSpaceDN w:val="0"/>
              <w:snapToGrid w:val="0"/>
              <w:spacing w:line="260" w:lineRule="exact"/>
              <w:textAlignment w:val="bottom"/>
              <w:rPr>
                <w:rFonts w:ascii="宋体" w:hAnsi="宋体"/>
                <w:color w:val="auto"/>
                <w:szCs w:val="21"/>
                <w:highlight w:val="none"/>
              </w:rPr>
            </w:pPr>
            <w:r>
              <w:rPr>
                <w:rFonts w:hint="eastAsia" w:ascii="宋体" w:hAnsi="宋体"/>
                <w:color w:val="auto"/>
                <w:szCs w:val="21"/>
                <w:highlight w:val="none"/>
              </w:rPr>
              <w:t>采购资金来源：财政性资金。</w:t>
            </w:r>
          </w:p>
        </w:tc>
      </w:tr>
      <w:tr w14:paraId="71C0E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9" w:hRule="exact"/>
        </w:trPr>
        <w:tc>
          <w:tcPr>
            <w:tcW w:w="568" w:type="dxa"/>
            <w:tcBorders>
              <w:top w:val="single" w:color="auto" w:sz="4" w:space="0"/>
              <w:left w:val="single" w:color="auto" w:sz="4" w:space="0"/>
              <w:bottom w:val="single" w:color="auto" w:sz="4" w:space="0"/>
              <w:right w:val="single" w:color="auto" w:sz="4" w:space="0"/>
            </w:tcBorders>
            <w:vAlign w:val="center"/>
          </w:tcPr>
          <w:p w14:paraId="25A48303">
            <w:pPr>
              <w:snapToGrid w:val="0"/>
              <w:spacing w:line="240" w:lineRule="exact"/>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p>
        </w:tc>
        <w:tc>
          <w:tcPr>
            <w:tcW w:w="9497" w:type="dxa"/>
            <w:tcBorders>
              <w:top w:val="single" w:color="auto" w:sz="4" w:space="0"/>
              <w:left w:val="single" w:color="auto" w:sz="4" w:space="0"/>
              <w:bottom w:val="single" w:color="auto" w:sz="4" w:space="0"/>
              <w:right w:val="single" w:color="auto" w:sz="4" w:space="0"/>
            </w:tcBorders>
            <w:vAlign w:val="center"/>
          </w:tcPr>
          <w:p w14:paraId="423B1A1B">
            <w:pPr>
              <w:autoSpaceDE w:val="0"/>
              <w:autoSpaceDN w:val="0"/>
              <w:snapToGrid w:val="0"/>
              <w:spacing w:line="260" w:lineRule="exact"/>
              <w:textAlignment w:val="bottom"/>
              <w:rPr>
                <w:color w:val="auto"/>
                <w:highlight w:val="none"/>
              </w:rPr>
            </w:pPr>
          </w:p>
          <w:p w14:paraId="34578FA3">
            <w:pPr>
              <w:autoSpaceDE w:val="0"/>
              <w:autoSpaceDN w:val="0"/>
              <w:snapToGrid w:val="0"/>
              <w:textAlignment w:val="bottom"/>
              <w:rPr>
                <w:color w:val="auto"/>
                <w:highlight w:val="none"/>
              </w:rPr>
            </w:pPr>
            <w:r>
              <w:rPr>
                <w:rFonts w:hint="eastAsia"/>
                <w:color w:val="auto"/>
                <w:highlight w:val="none"/>
              </w:rPr>
              <w:t>履约担保: 中标价的2%</w:t>
            </w:r>
          </w:p>
          <w:p w14:paraId="1E2755FB">
            <w:pPr>
              <w:pStyle w:val="2"/>
              <w:spacing w:line="240" w:lineRule="auto"/>
              <w:rPr>
                <w:rFonts w:ascii="Times New Roman" w:hAnsi="Times New Roman" w:eastAsia="宋体"/>
                <w:b w:val="0"/>
                <w:bCs w:val="0"/>
                <w:color w:val="auto"/>
                <w:kern w:val="2"/>
                <w:sz w:val="21"/>
                <w:szCs w:val="24"/>
                <w:highlight w:val="none"/>
              </w:rPr>
            </w:pPr>
            <w:r>
              <w:rPr>
                <w:rFonts w:hint="eastAsia" w:ascii="Times New Roman" w:hAnsi="Times New Roman" w:eastAsia="宋体"/>
                <w:b w:val="0"/>
                <w:bCs w:val="0"/>
                <w:color w:val="auto"/>
                <w:kern w:val="2"/>
                <w:sz w:val="21"/>
                <w:szCs w:val="24"/>
                <w:highlight w:val="none"/>
              </w:rPr>
              <w:t>履约担保的形式：银行转账、电汇、支票、银行汇票、银行本票、银行保函。</w:t>
            </w:r>
          </w:p>
          <w:p w14:paraId="5E0A12EF">
            <w:pPr>
              <w:pStyle w:val="2"/>
              <w:spacing w:line="240" w:lineRule="exact"/>
              <w:rPr>
                <w:rFonts w:ascii="Times New Roman" w:hAnsi="Times New Roman" w:eastAsia="宋体"/>
                <w:b w:val="0"/>
                <w:bCs w:val="0"/>
                <w:color w:val="auto"/>
                <w:kern w:val="2"/>
                <w:sz w:val="21"/>
                <w:szCs w:val="24"/>
                <w:highlight w:val="none"/>
              </w:rPr>
            </w:pPr>
            <w:r>
              <w:rPr>
                <w:rFonts w:hint="eastAsia" w:ascii="Times New Roman" w:hAnsi="Times New Roman" w:eastAsia="宋体"/>
                <w:b w:val="0"/>
                <w:bCs w:val="0"/>
                <w:color w:val="auto"/>
                <w:kern w:val="2"/>
                <w:sz w:val="21"/>
                <w:szCs w:val="24"/>
                <w:highlight w:val="none"/>
              </w:rPr>
              <w:t>若采取银行转账、电汇形式缴纳到以下指定账户：</w:t>
            </w:r>
          </w:p>
          <w:p w14:paraId="08510500">
            <w:pPr>
              <w:pStyle w:val="2"/>
              <w:spacing w:line="240" w:lineRule="exact"/>
              <w:rPr>
                <w:rFonts w:ascii="Times New Roman" w:hAnsi="Times New Roman" w:eastAsia="宋体"/>
                <w:b w:val="0"/>
                <w:bCs w:val="0"/>
                <w:color w:val="auto"/>
                <w:kern w:val="2"/>
                <w:sz w:val="21"/>
                <w:szCs w:val="24"/>
                <w:highlight w:val="none"/>
              </w:rPr>
            </w:pPr>
            <w:r>
              <w:rPr>
                <w:rFonts w:hint="eastAsia" w:ascii="Times New Roman" w:hAnsi="Times New Roman" w:eastAsia="宋体"/>
                <w:b w:val="0"/>
                <w:bCs w:val="0"/>
                <w:color w:val="auto"/>
                <w:kern w:val="2"/>
                <w:sz w:val="21"/>
                <w:szCs w:val="24"/>
                <w:highlight w:val="none"/>
              </w:rPr>
              <w:t xml:space="preserve">开户名称： 合浦县财政局        </w:t>
            </w:r>
          </w:p>
          <w:p w14:paraId="6A470459">
            <w:pPr>
              <w:autoSpaceDE w:val="0"/>
              <w:autoSpaceDN w:val="0"/>
              <w:snapToGrid w:val="0"/>
              <w:spacing w:line="260" w:lineRule="exact"/>
              <w:textAlignment w:val="bottom"/>
              <w:rPr>
                <w:color w:val="auto"/>
                <w:highlight w:val="none"/>
              </w:rPr>
            </w:pPr>
            <w:r>
              <w:rPr>
                <w:rFonts w:hint="eastAsia"/>
                <w:color w:val="auto"/>
                <w:highlight w:val="none"/>
              </w:rPr>
              <w:t xml:space="preserve">开户银行： 中行合浦支行       </w:t>
            </w:r>
          </w:p>
          <w:p w14:paraId="31A96886">
            <w:pPr>
              <w:autoSpaceDE w:val="0"/>
              <w:autoSpaceDN w:val="0"/>
              <w:snapToGrid w:val="0"/>
              <w:spacing w:line="260" w:lineRule="exact"/>
              <w:textAlignment w:val="bottom"/>
              <w:rPr>
                <w:color w:val="auto"/>
                <w:highlight w:val="none"/>
              </w:rPr>
            </w:pPr>
            <w:r>
              <w:rPr>
                <w:rFonts w:hint="eastAsia"/>
                <w:color w:val="auto"/>
                <w:highlight w:val="none"/>
              </w:rPr>
              <w:t xml:space="preserve">银行账号： 618458587115 </w:t>
            </w:r>
          </w:p>
          <w:p w14:paraId="7BCD01A1">
            <w:pPr>
              <w:autoSpaceDE w:val="0"/>
              <w:autoSpaceDN w:val="0"/>
              <w:snapToGrid w:val="0"/>
              <w:spacing w:line="260" w:lineRule="exact"/>
              <w:textAlignment w:val="bottom"/>
              <w:rPr>
                <w:color w:val="auto"/>
                <w:highlight w:val="none"/>
              </w:rPr>
            </w:pPr>
            <w:r>
              <w:rPr>
                <w:rFonts w:hint="eastAsia"/>
                <w:color w:val="auto"/>
                <w:highlight w:val="none"/>
              </w:rPr>
              <w:t>履约担保提交截止时间：发出中标通知书之日起25日内，且在签订书面服务合同之前。</w:t>
            </w:r>
          </w:p>
          <w:p w14:paraId="0E2A9DE4">
            <w:pPr>
              <w:pStyle w:val="2"/>
              <w:rPr>
                <w:color w:val="auto"/>
                <w:highlight w:val="none"/>
              </w:rPr>
            </w:pPr>
          </w:p>
          <w:p w14:paraId="6580A7A7">
            <w:pPr>
              <w:rPr>
                <w:color w:val="auto"/>
                <w:highlight w:val="none"/>
              </w:rPr>
            </w:pPr>
          </w:p>
          <w:p w14:paraId="1E2D86B4">
            <w:pPr>
              <w:pStyle w:val="2"/>
              <w:rPr>
                <w:color w:val="auto"/>
                <w:highlight w:val="none"/>
              </w:rPr>
            </w:pPr>
          </w:p>
        </w:tc>
      </w:tr>
      <w:tr w14:paraId="3753A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2" w:hRule="exact"/>
        </w:trPr>
        <w:tc>
          <w:tcPr>
            <w:tcW w:w="568" w:type="dxa"/>
            <w:tcBorders>
              <w:top w:val="single" w:color="auto" w:sz="4" w:space="0"/>
              <w:left w:val="single" w:color="auto" w:sz="4" w:space="0"/>
              <w:bottom w:val="single" w:color="auto" w:sz="4" w:space="0"/>
              <w:right w:val="single" w:color="auto" w:sz="4" w:space="0"/>
            </w:tcBorders>
            <w:vAlign w:val="center"/>
          </w:tcPr>
          <w:p w14:paraId="34E9687E">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17</w:t>
            </w:r>
          </w:p>
        </w:tc>
        <w:tc>
          <w:tcPr>
            <w:tcW w:w="9497" w:type="dxa"/>
            <w:tcBorders>
              <w:top w:val="single" w:color="auto" w:sz="4" w:space="0"/>
              <w:left w:val="single" w:color="auto" w:sz="4" w:space="0"/>
              <w:bottom w:val="single" w:color="auto" w:sz="4" w:space="0"/>
              <w:right w:val="single" w:color="auto" w:sz="4" w:space="0"/>
            </w:tcBorders>
            <w:vAlign w:val="center"/>
          </w:tcPr>
          <w:p w14:paraId="66FCD092">
            <w:pPr>
              <w:snapToGrid w:val="0"/>
              <w:spacing w:line="240" w:lineRule="exact"/>
              <w:rPr>
                <w:rFonts w:ascii="宋体" w:hAnsi="宋体"/>
                <w:color w:val="auto"/>
                <w:szCs w:val="21"/>
                <w:highlight w:val="none"/>
              </w:rPr>
            </w:pPr>
            <w:r>
              <w:rPr>
                <w:rFonts w:hint="eastAsia" w:ascii="宋体" w:hAnsi="宋体"/>
                <w:color w:val="auto"/>
                <w:szCs w:val="21"/>
                <w:highlight w:val="none"/>
              </w:rPr>
              <w:t>农民工保证金：1% 签约合同价。由中标人在合同签订 5 个工作日内，根据合浦县人力资源和社会保障局《关于开展农民工工资保证金三方监管工作的通知（合人社发﹝2019﹞9 号）的相关规定到县人力资源社会保障局劳动监察股办理相关缴纳手续，将农民工工资保证金缴纳到相应银行的农民工工资保证金专用账户，并由县人社部门、银行、承包人实行三方共同监管。中标人在缴纳农民工工资保证金后，将银行开具的《农民工工资保证金到账通知书》返还一份给采购人，作为已缴纳农民工工资保证金的凭证。</w:t>
            </w:r>
          </w:p>
        </w:tc>
      </w:tr>
      <w:tr w14:paraId="54CE1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exact"/>
        </w:trPr>
        <w:tc>
          <w:tcPr>
            <w:tcW w:w="568" w:type="dxa"/>
            <w:tcBorders>
              <w:top w:val="single" w:color="auto" w:sz="4" w:space="0"/>
              <w:left w:val="single" w:color="auto" w:sz="4" w:space="0"/>
              <w:bottom w:val="single" w:color="auto" w:sz="4" w:space="0"/>
              <w:right w:val="single" w:color="auto" w:sz="4" w:space="0"/>
            </w:tcBorders>
            <w:vAlign w:val="center"/>
          </w:tcPr>
          <w:p w14:paraId="2CCD0D8C">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18</w:t>
            </w:r>
          </w:p>
        </w:tc>
        <w:tc>
          <w:tcPr>
            <w:tcW w:w="9497" w:type="dxa"/>
            <w:tcBorders>
              <w:top w:val="single" w:color="auto" w:sz="4" w:space="0"/>
              <w:left w:val="single" w:color="auto" w:sz="4" w:space="0"/>
              <w:bottom w:val="single" w:color="auto" w:sz="4" w:space="0"/>
              <w:right w:val="single" w:color="auto" w:sz="4" w:space="0"/>
            </w:tcBorders>
            <w:vAlign w:val="center"/>
          </w:tcPr>
          <w:p w14:paraId="2DC34A40">
            <w:pPr>
              <w:snapToGrid w:val="0"/>
              <w:spacing w:line="240" w:lineRule="exact"/>
              <w:rPr>
                <w:rFonts w:ascii="宋体" w:hAnsi="宋体"/>
                <w:color w:val="auto"/>
                <w:szCs w:val="21"/>
                <w:highlight w:val="none"/>
              </w:rPr>
            </w:pPr>
            <w:r>
              <w:rPr>
                <w:rFonts w:hint="eastAsia" w:ascii="宋体" w:hAnsi="宋体"/>
                <w:color w:val="auto"/>
                <w:szCs w:val="21"/>
                <w:highlight w:val="none"/>
              </w:rPr>
              <w:t>中标人应当按照《</w:t>
            </w:r>
            <w:r>
              <w:rPr>
                <w:rFonts w:ascii="宋体" w:hAnsi="宋体"/>
                <w:color w:val="auto"/>
                <w:szCs w:val="21"/>
                <w:highlight w:val="none"/>
              </w:rPr>
              <w:t>广西壮族自治区交通运输厅关于推进实施行业工程建设领域安全生产责任保险工作的通知</w:t>
            </w:r>
            <w:r>
              <w:rPr>
                <w:rFonts w:hint="eastAsia" w:ascii="宋体" w:hAnsi="宋体"/>
                <w:color w:val="auto"/>
                <w:szCs w:val="21"/>
                <w:highlight w:val="none"/>
              </w:rPr>
              <w:t>》（ 桂交安监函〔2021〕89 号）的要求进行投保。</w:t>
            </w:r>
          </w:p>
        </w:tc>
      </w:tr>
      <w:tr w14:paraId="67A1E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exact"/>
        </w:trPr>
        <w:tc>
          <w:tcPr>
            <w:tcW w:w="568" w:type="dxa"/>
            <w:tcBorders>
              <w:top w:val="single" w:color="auto" w:sz="4" w:space="0"/>
              <w:left w:val="single" w:color="auto" w:sz="4" w:space="0"/>
              <w:bottom w:val="single" w:color="auto" w:sz="4" w:space="0"/>
              <w:right w:val="single" w:color="auto" w:sz="4" w:space="0"/>
            </w:tcBorders>
            <w:vAlign w:val="center"/>
          </w:tcPr>
          <w:p w14:paraId="7035B4BF">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19</w:t>
            </w:r>
          </w:p>
        </w:tc>
        <w:tc>
          <w:tcPr>
            <w:tcW w:w="9497" w:type="dxa"/>
            <w:tcBorders>
              <w:top w:val="single" w:color="auto" w:sz="4" w:space="0"/>
              <w:left w:val="single" w:color="auto" w:sz="4" w:space="0"/>
              <w:bottom w:val="single" w:color="auto" w:sz="4" w:space="0"/>
              <w:right w:val="single" w:color="auto" w:sz="4" w:space="0"/>
            </w:tcBorders>
            <w:vAlign w:val="center"/>
          </w:tcPr>
          <w:p w14:paraId="251E00A7">
            <w:pPr>
              <w:snapToGrid w:val="0"/>
              <w:spacing w:line="240" w:lineRule="exact"/>
              <w:rPr>
                <w:rFonts w:ascii="宋体" w:hAnsi="宋体"/>
                <w:color w:val="auto"/>
                <w:szCs w:val="21"/>
                <w:highlight w:val="none"/>
              </w:rPr>
            </w:pPr>
            <w:r>
              <w:rPr>
                <w:rFonts w:hint="eastAsia" w:ascii="宋体" w:hAnsi="宋体"/>
                <w:color w:val="auto"/>
                <w:szCs w:val="21"/>
                <w:highlight w:val="none"/>
              </w:rPr>
              <w:t>投标文件有效期：六十</w:t>
            </w:r>
            <w:r>
              <w:rPr>
                <w:rFonts w:hint="eastAsia" w:ascii="宋体" w:hAnsi="宋体" w:cs="Arial"/>
                <w:color w:val="auto"/>
                <w:szCs w:val="21"/>
                <w:highlight w:val="none"/>
              </w:rPr>
              <w:t>日。</w:t>
            </w:r>
          </w:p>
        </w:tc>
      </w:tr>
      <w:tr w14:paraId="46DA0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6" w:hRule="exact"/>
        </w:trPr>
        <w:tc>
          <w:tcPr>
            <w:tcW w:w="568" w:type="dxa"/>
            <w:tcBorders>
              <w:top w:val="single" w:color="auto" w:sz="4" w:space="0"/>
              <w:left w:val="single" w:color="auto" w:sz="4" w:space="0"/>
              <w:bottom w:val="single" w:color="auto" w:sz="4" w:space="0"/>
              <w:right w:val="single" w:color="auto" w:sz="4" w:space="0"/>
            </w:tcBorders>
            <w:vAlign w:val="center"/>
          </w:tcPr>
          <w:p w14:paraId="7B4279F5">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20</w:t>
            </w:r>
          </w:p>
        </w:tc>
        <w:tc>
          <w:tcPr>
            <w:tcW w:w="9497" w:type="dxa"/>
            <w:tcBorders>
              <w:top w:val="single" w:color="auto" w:sz="4" w:space="0"/>
              <w:left w:val="single" w:color="auto" w:sz="4" w:space="0"/>
              <w:bottom w:val="single" w:color="auto" w:sz="4" w:space="0"/>
              <w:right w:val="single" w:color="auto" w:sz="4" w:space="0"/>
            </w:tcBorders>
            <w:vAlign w:val="center"/>
          </w:tcPr>
          <w:p w14:paraId="18304BEC">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采购代理服务费的收取。</w:t>
            </w:r>
            <w:r>
              <w:rPr>
                <w:rFonts w:hint="eastAsia" w:ascii="宋体" w:hAnsi="宋体"/>
                <w:bCs/>
                <w:color w:val="auto"/>
                <w:sz w:val="24"/>
                <w:highlight w:val="none"/>
              </w:rPr>
              <w:t>相关代理费用按《合浦县政府投资项目服务性收费指导意见》的通知收取，实际金额以最终中标价乘以收费标准系数为准，由中标人应在领取中标通知书前一次性付清。</w:t>
            </w:r>
          </w:p>
        </w:tc>
      </w:tr>
      <w:tr w14:paraId="5E998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568" w:type="dxa"/>
            <w:tcBorders>
              <w:top w:val="single" w:color="auto" w:sz="4" w:space="0"/>
              <w:left w:val="single" w:color="auto" w:sz="4" w:space="0"/>
              <w:bottom w:val="single" w:color="auto" w:sz="4" w:space="0"/>
              <w:right w:val="single" w:color="auto" w:sz="4" w:space="0"/>
            </w:tcBorders>
            <w:vAlign w:val="center"/>
          </w:tcPr>
          <w:p w14:paraId="5E879E53">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21</w:t>
            </w:r>
          </w:p>
        </w:tc>
        <w:tc>
          <w:tcPr>
            <w:tcW w:w="9497" w:type="dxa"/>
            <w:tcBorders>
              <w:top w:val="single" w:color="auto" w:sz="4" w:space="0"/>
              <w:left w:val="single" w:color="auto" w:sz="4" w:space="0"/>
              <w:bottom w:val="single" w:color="auto" w:sz="4" w:space="0"/>
              <w:right w:val="single" w:color="auto" w:sz="4" w:space="0"/>
            </w:tcBorders>
            <w:vAlign w:val="center"/>
          </w:tcPr>
          <w:p w14:paraId="7AC8BE63">
            <w:pPr>
              <w:snapToGrid w:val="0"/>
              <w:spacing w:line="240" w:lineRule="exact"/>
              <w:rPr>
                <w:rFonts w:ascii="宋体" w:hAnsi="宋体"/>
                <w:color w:val="auto"/>
                <w:szCs w:val="21"/>
                <w:highlight w:val="none"/>
              </w:rPr>
            </w:pPr>
            <w:r>
              <w:rPr>
                <w:rFonts w:hint="eastAsia" w:ascii="宋体" w:hAnsi="宋体"/>
                <w:color w:val="auto"/>
                <w:szCs w:val="21"/>
                <w:highlight w:val="none"/>
              </w:rPr>
              <w:t>本招标文件的解释权属于合浦县公路发展服务中心及广西向海韵工程咨询有限公司。</w:t>
            </w:r>
          </w:p>
        </w:tc>
      </w:tr>
      <w:tr w14:paraId="0170E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exact"/>
        </w:trPr>
        <w:tc>
          <w:tcPr>
            <w:tcW w:w="568" w:type="dxa"/>
            <w:tcBorders>
              <w:top w:val="single" w:color="auto" w:sz="4" w:space="0"/>
              <w:left w:val="single" w:color="auto" w:sz="4" w:space="0"/>
              <w:bottom w:val="single" w:color="auto" w:sz="4" w:space="0"/>
              <w:right w:val="single" w:color="auto" w:sz="4" w:space="0"/>
            </w:tcBorders>
            <w:vAlign w:val="center"/>
          </w:tcPr>
          <w:p w14:paraId="47F4D3F1">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22</w:t>
            </w:r>
          </w:p>
        </w:tc>
        <w:tc>
          <w:tcPr>
            <w:tcW w:w="9497" w:type="dxa"/>
            <w:tcBorders>
              <w:top w:val="single" w:color="auto" w:sz="4" w:space="0"/>
              <w:left w:val="single" w:color="auto" w:sz="4" w:space="0"/>
              <w:bottom w:val="single" w:color="auto" w:sz="4" w:space="0"/>
              <w:right w:val="single" w:color="auto" w:sz="4" w:space="0"/>
            </w:tcBorders>
            <w:vAlign w:val="center"/>
          </w:tcPr>
          <w:p w14:paraId="7EB27B38">
            <w:pPr>
              <w:snapToGrid w:val="0"/>
              <w:spacing w:line="240" w:lineRule="exact"/>
              <w:rPr>
                <w:rFonts w:ascii="宋体" w:hAnsi="宋体"/>
                <w:color w:val="auto"/>
                <w:szCs w:val="21"/>
                <w:highlight w:val="none"/>
              </w:rPr>
            </w:pPr>
            <w:r>
              <w:rPr>
                <w:rFonts w:hint="eastAsia" w:ascii="宋体" w:hAnsi="宋体"/>
                <w:b/>
                <w:bCs/>
                <w:color w:val="auto"/>
                <w:szCs w:val="21"/>
                <w:highlight w:val="none"/>
              </w:rPr>
              <w:t>本项目采购内容所属行业：其他未列明行业</w:t>
            </w:r>
          </w:p>
        </w:tc>
      </w:tr>
    </w:tbl>
    <w:p w14:paraId="54E555C3">
      <w:pPr>
        <w:pStyle w:val="13"/>
        <w:snapToGrid w:val="0"/>
        <w:spacing w:line="600" w:lineRule="exact"/>
        <w:jc w:val="center"/>
        <w:rPr>
          <w:rFonts w:hAnsi="宋体"/>
          <w:b/>
          <w:color w:val="auto"/>
          <w:sz w:val="32"/>
          <w:szCs w:val="32"/>
          <w:highlight w:val="none"/>
        </w:rPr>
      </w:pPr>
    </w:p>
    <w:p w14:paraId="3DC6B258">
      <w:pPr>
        <w:pStyle w:val="13"/>
        <w:snapToGrid w:val="0"/>
        <w:spacing w:line="600" w:lineRule="exact"/>
        <w:jc w:val="center"/>
        <w:rPr>
          <w:rFonts w:hAnsi="宋体"/>
          <w:b/>
          <w:color w:val="auto"/>
          <w:sz w:val="32"/>
          <w:szCs w:val="32"/>
          <w:highlight w:val="none"/>
        </w:rPr>
      </w:pPr>
    </w:p>
    <w:p w14:paraId="4BA07846">
      <w:pPr>
        <w:rPr>
          <w:color w:val="auto"/>
          <w:highlight w:val="none"/>
        </w:rPr>
      </w:pPr>
    </w:p>
    <w:p w14:paraId="3F36FF31">
      <w:pPr>
        <w:rPr>
          <w:color w:val="auto"/>
          <w:highlight w:val="none"/>
        </w:rPr>
      </w:pPr>
    </w:p>
    <w:p w14:paraId="083D7856">
      <w:pPr>
        <w:rPr>
          <w:color w:val="auto"/>
          <w:highlight w:val="none"/>
        </w:rPr>
      </w:pPr>
    </w:p>
    <w:p w14:paraId="6DF8040E">
      <w:pPr>
        <w:rPr>
          <w:color w:val="auto"/>
          <w:highlight w:val="none"/>
        </w:rPr>
      </w:pPr>
    </w:p>
    <w:p w14:paraId="611AC030">
      <w:pPr>
        <w:rPr>
          <w:color w:val="auto"/>
          <w:highlight w:val="none"/>
        </w:rPr>
      </w:pPr>
    </w:p>
    <w:p w14:paraId="541B3F8E">
      <w:pPr>
        <w:rPr>
          <w:color w:val="auto"/>
          <w:highlight w:val="none"/>
        </w:rPr>
      </w:pPr>
    </w:p>
    <w:p w14:paraId="3ED61FC8">
      <w:pPr>
        <w:rPr>
          <w:color w:val="auto"/>
          <w:highlight w:val="none"/>
        </w:rPr>
      </w:pPr>
    </w:p>
    <w:p w14:paraId="219F7FE4">
      <w:pPr>
        <w:rPr>
          <w:color w:val="auto"/>
          <w:highlight w:val="none"/>
        </w:rPr>
      </w:pPr>
    </w:p>
    <w:p w14:paraId="60310C4C">
      <w:pPr>
        <w:rPr>
          <w:color w:val="auto"/>
          <w:highlight w:val="none"/>
        </w:rPr>
      </w:pPr>
    </w:p>
    <w:p w14:paraId="2498F473">
      <w:pPr>
        <w:rPr>
          <w:color w:val="auto"/>
          <w:highlight w:val="none"/>
        </w:rPr>
      </w:pPr>
    </w:p>
    <w:p w14:paraId="34334B0A">
      <w:pPr>
        <w:rPr>
          <w:color w:val="auto"/>
          <w:highlight w:val="none"/>
        </w:rPr>
      </w:pPr>
    </w:p>
    <w:p w14:paraId="1842ADA7">
      <w:pPr>
        <w:rPr>
          <w:color w:val="auto"/>
          <w:highlight w:val="none"/>
        </w:rPr>
      </w:pPr>
    </w:p>
    <w:p w14:paraId="19DDEB8F">
      <w:pPr>
        <w:rPr>
          <w:color w:val="auto"/>
          <w:highlight w:val="none"/>
        </w:rPr>
      </w:pPr>
    </w:p>
    <w:p w14:paraId="59658F38">
      <w:pPr>
        <w:pStyle w:val="2"/>
        <w:rPr>
          <w:color w:val="auto"/>
          <w:highlight w:val="none"/>
        </w:rPr>
      </w:pPr>
    </w:p>
    <w:p w14:paraId="657506F8">
      <w:pPr>
        <w:rPr>
          <w:color w:val="auto"/>
          <w:highlight w:val="none"/>
        </w:rPr>
      </w:pPr>
    </w:p>
    <w:p w14:paraId="1D1E1296">
      <w:pPr>
        <w:pStyle w:val="2"/>
        <w:rPr>
          <w:color w:val="auto"/>
          <w:highlight w:val="none"/>
        </w:rPr>
      </w:pPr>
    </w:p>
    <w:p w14:paraId="4C732761">
      <w:pPr>
        <w:rPr>
          <w:color w:val="auto"/>
          <w:highlight w:val="none"/>
        </w:rPr>
      </w:pPr>
    </w:p>
    <w:p w14:paraId="7AC94DA8">
      <w:pPr>
        <w:rPr>
          <w:color w:val="auto"/>
          <w:highlight w:val="none"/>
        </w:rPr>
      </w:pPr>
    </w:p>
    <w:p w14:paraId="5DF3A92C">
      <w:pPr>
        <w:rPr>
          <w:color w:val="auto"/>
          <w:highlight w:val="none"/>
        </w:rPr>
      </w:pPr>
    </w:p>
    <w:p w14:paraId="1EBC6D8D">
      <w:pPr>
        <w:rPr>
          <w:color w:val="auto"/>
          <w:highlight w:val="none"/>
        </w:rPr>
      </w:pPr>
    </w:p>
    <w:p w14:paraId="6A2C81E8">
      <w:pPr>
        <w:pStyle w:val="13"/>
        <w:snapToGrid w:val="0"/>
        <w:spacing w:line="600" w:lineRule="exact"/>
        <w:jc w:val="center"/>
        <w:rPr>
          <w:rFonts w:hAnsi="宋体"/>
          <w:b/>
          <w:color w:val="auto"/>
          <w:sz w:val="32"/>
          <w:szCs w:val="32"/>
          <w:highlight w:val="none"/>
        </w:rPr>
      </w:pPr>
      <w:r>
        <w:rPr>
          <w:rFonts w:hint="eastAsia" w:hAnsi="宋体"/>
          <w:b/>
          <w:color w:val="auto"/>
          <w:sz w:val="32"/>
          <w:szCs w:val="32"/>
          <w:highlight w:val="none"/>
        </w:rPr>
        <w:t>投标人须知</w:t>
      </w:r>
    </w:p>
    <w:p w14:paraId="0915E643">
      <w:pPr>
        <w:pStyle w:val="13"/>
        <w:adjustRightInd w:val="0"/>
        <w:snapToGrid w:val="0"/>
        <w:ind w:firstLine="402" w:firstLineChars="200"/>
        <w:rPr>
          <w:rFonts w:hAnsi="宋体"/>
          <w:b/>
          <w:color w:val="auto"/>
          <w:highlight w:val="none"/>
        </w:rPr>
      </w:pPr>
    </w:p>
    <w:p w14:paraId="0F2C9788">
      <w:pPr>
        <w:pStyle w:val="13"/>
        <w:adjustRightInd w:val="0"/>
        <w:snapToGrid w:val="0"/>
        <w:spacing w:line="360" w:lineRule="exact"/>
        <w:ind w:firstLine="482" w:firstLineChars="200"/>
        <w:rPr>
          <w:rFonts w:hAnsi="宋体"/>
          <w:b/>
          <w:color w:val="auto"/>
          <w:sz w:val="24"/>
          <w:szCs w:val="24"/>
          <w:highlight w:val="none"/>
        </w:rPr>
      </w:pPr>
      <w:r>
        <w:rPr>
          <w:rFonts w:hint="eastAsia" w:hAnsi="宋体"/>
          <w:b/>
          <w:color w:val="auto"/>
          <w:sz w:val="24"/>
          <w:szCs w:val="24"/>
          <w:highlight w:val="none"/>
        </w:rPr>
        <w:t>一、总  则</w:t>
      </w:r>
    </w:p>
    <w:p w14:paraId="6EB87ADF">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 适用范围</w:t>
      </w:r>
    </w:p>
    <w:p w14:paraId="105C55B1">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本招标文件适用于合浦县公路发展服务中心的合浦县农村公路日常养护服务项目的招标、投标、评标、定标、验收、合同履约、付款等行为。</w:t>
      </w:r>
    </w:p>
    <w:p w14:paraId="10B09B23">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14:paraId="26B24FE2">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1.“采购人”系指组织本次招标的采购单位：</w:t>
      </w:r>
      <w:r>
        <w:rPr>
          <w:rFonts w:hint="eastAsia" w:ascii="宋体" w:hAnsi="宋体" w:cs="宋体"/>
          <w:color w:val="auto"/>
          <w:szCs w:val="21"/>
          <w:highlight w:val="none"/>
        </w:rPr>
        <w:t>合浦县公路发展服务中心</w:t>
      </w:r>
      <w:r>
        <w:rPr>
          <w:rFonts w:hint="eastAsia" w:ascii="宋体" w:hAnsi="宋体"/>
          <w:color w:val="auto"/>
          <w:szCs w:val="21"/>
          <w:highlight w:val="none"/>
        </w:rPr>
        <w:t>。</w:t>
      </w:r>
    </w:p>
    <w:p w14:paraId="450C4310">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2.“采购代理机构”系指：广西向海韵工程咨询有限公司（以下简称“本公司”）。</w:t>
      </w:r>
    </w:p>
    <w:p w14:paraId="46311B98">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3.“投标人”系指响应招标、参加投标竞争的法人、其他组织或者自然人。</w:t>
      </w:r>
    </w:p>
    <w:p w14:paraId="75CBBB93">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4.“项目”系指投标人按招标文件规定向采购人提供的产品和服务。</w:t>
      </w:r>
    </w:p>
    <w:p w14:paraId="22136AC0">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5.“书面形式”包括信函、</w:t>
      </w:r>
      <w:r>
        <w:rPr>
          <w:rFonts w:hint="eastAsia" w:ascii="宋体" w:hAnsi="宋体" w:cs="宋体"/>
          <w:color w:val="auto"/>
          <w:highlight w:val="none"/>
        </w:rPr>
        <w:t>数据电文(包括电报、电传、传真、电子数据交换和电子邮件)等可以有形地表现所载内容的形式</w:t>
      </w:r>
      <w:r>
        <w:rPr>
          <w:rFonts w:hint="eastAsia" w:ascii="宋体" w:hAnsi="宋体"/>
          <w:color w:val="auto"/>
          <w:szCs w:val="21"/>
          <w:highlight w:val="none"/>
        </w:rPr>
        <w:t>等。</w:t>
      </w:r>
    </w:p>
    <w:p w14:paraId="4EFDC0EB">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6.“投标保证金”</w:t>
      </w:r>
      <w:r>
        <w:rPr>
          <w:rFonts w:ascii="宋体" w:hAnsi="宋体"/>
          <w:color w:val="auto"/>
          <w:szCs w:val="21"/>
          <w:highlight w:val="none"/>
        </w:rPr>
        <w:t>根据</w:t>
      </w:r>
      <w:r>
        <w:rPr>
          <w:rFonts w:hint="eastAsia" w:ascii="宋体" w:hAnsi="宋体"/>
          <w:color w:val="auto"/>
          <w:szCs w:val="21"/>
          <w:highlight w:val="none"/>
        </w:rPr>
        <w:t>《中华人民共和国政府采购法》第三条，《中华人民共和国政府采购法实施条例》第三十三条，</w:t>
      </w:r>
      <w:r>
        <w:rPr>
          <w:rFonts w:ascii="宋体" w:hAnsi="宋体"/>
          <w:color w:val="auto"/>
          <w:szCs w:val="21"/>
          <w:highlight w:val="none"/>
        </w:rPr>
        <w:t>财政部《政府采购货物和服务招标投标管理办法》第三十六条、第三十七条、第七十五条的规定，投标保证金，是政府采购公开招标项目的投标人，依照招标文件的规定，向招标采购单位交纳一笔</w:t>
      </w:r>
      <w:r>
        <w:rPr>
          <w:rFonts w:hint="eastAsia" w:ascii="宋体" w:hAnsi="宋体"/>
          <w:color w:val="auto"/>
          <w:szCs w:val="21"/>
          <w:highlight w:val="none"/>
        </w:rPr>
        <w:t>款项</w:t>
      </w:r>
      <w:r>
        <w:rPr>
          <w:rFonts w:ascii="宋体" w:hAnsi="宋体"/>
          <w:color w:val="auto"/>
          <w:szCs w:val="21"/>
          <w:highlight w:val="none"/>
        </w:rPr>
        <w:t>，以这笔</w:t>
      </w:r>
      <w:r>
        <w:rPr>
          <w:rFonts w:hint="eastAsia" w:ascii="宋体" w:hAnsi="宋体"/>
          <w:color w:val="auto"/>
          <w:szCs w:val="21"/>
          <w:highlight w:val="none"/>
        </w:rPr>
        <w:t>款项</w:t>
      </w:r>
      <w:r>
        <w:rPr>
          <w:rFonts w:ascii="宋体" w:hAnsi="宋体"/>
          <w:color w:val="auto"/>
          <w:szCs w:val="21"/>
          <w:highlight w:val="none"/>
        </w:rPr>
        <w:t>担保投标人在投标活动中不发生</w:t>
      </w:r>
      <w:r>
        <w:rPr>
          <w:rFonts w:hint="eastAsia" w:ascii="宋体" w:hAnsi="宋体"/>
          <w:color w:val="auto"/>
          <w:szCs w:val="21"/>
          <w:highlight w:val="none"/>
        </w:rPr>
        <w:t>违法违规、</w:t>
      </w:r>
      <w:r>
        <w:rPr>
          <w:rFonts w:ascii="宋体" w:hAnsi="宋体"/>
          <w:color w:val="auto"/>
          <w:szCs w:val="21"/>
          <w:highlight w:val="none"/>
        </w:rPr>
        <w:t>违反程序或者不诚信的行为，如果发生了</w:t>
      </w:r>
      <w:r>
        <w:rPr>
          <w:rFonts w:hint="eastAsia" w:ascii="宋体" w:hAnsi="宋体"/>
          <w:color w:val="auto"/>
          <w:szCs w:val="21"/>
          <w:highlight w:val="none"/>
        </w:rPr>
        <w:t>违法违规、</w:t>
      </w:r>
      <w:r>
        <w:rPr>
          <w:rFonts w:ascii="宋体" w:hAnsi="宋体"/>
          <w:color w:val="auto"/>
          <w:szCs w:val="21"/>
          <w:highlight w:val="none"/>
        </w:rPr>
        <w:t>违反程序或者不诚信的行为，则无权要求退还投标保证金，如果没有发生</w:t>
      </w:r>
      <w:r>
        <w:rPr>
          <w:rFonts w:hint="eastAsia" w:ascii="宋体" w:hAnsi="宋体"/>
          <w:color w:val="auto"/>
          <w:szCs w:val="21"/>
          <w:highlight w:val="none"/>
        </w:rPr>
        <w:t>违法违规、</w:t>
      </w:r>
      <w:r>
        <w:rPr>
          <w:rFonts w:ascii="宋体" w:hAnsi="宋体"/>
          <w:color w:val="auto"/>
          <w:szCs w:val="21"/>
          <w:highlight w:val="none"/>
        </w:rPr>
        <w:t>违反程序或者不诚信行为，招标采购单位应当退还投标保证金。</w:t>
      </w:r>
    </w:p>
    <w:p w14:paraId="69626D7B">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7.“▲”系指实质性要求条款。</w:t>
      </w:r>
    </w:p>
    <w:p w14:paraId="40CA5AA3">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（三）招标方式</w:t>
      </w:r>
    </w:p>
    <w:p w14:paraId="05B67E45">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公开招标方式。</w:t>
      </w:r>
    </w:p>
    <w:p w14:paraId="03AF362C">
      <w:pPr>
        <w:adjustRightInd w:val="0"/>
        <w:snapToGrid w:val="0"/>
        <w:spacing w:line="36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（四）投标委托</w:t>
      </w:r>
    </w:p>
    <w:p w14:paraId="29E9D71B">
      <w:pPr>
        <w:pStyle w:val="11"/>
        <w:adjustRightInd w:val="0"/>
        <w:snapToGrid w:val="0"/>
        <w:spacing w:line="360" w:lineRule="exact"/>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投标人代表须附有效身份证件。如投标人代表不是法定代表人（负责人），须有法定代表人（负责人）出具的授权委托书（格式见第五章《投标文件格式》）。</w:t>
      </w:r>
    </w:p>
    <w:p w14:paraId="664C59D7">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（五）投标费用</w:t>
      </w:r>
    </w:p>
    <w:p w14:paraId="7E67FDD5">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投标人均应自行承担所有与投标有关的全部费用。</w:t>
      </w:r>
    </w:p>
    <w:p w14:paraId="24D761EA">
      <w:pPr>
        <w:tabs>
          <w:tab w:val="left" w:pos="3960"/>
        </w:tabs>
        <w:adjustRightInd w:val="0"/>
        <w:snapToGrid w:val="0"/>
        <w:spacing w:line="360" w:lineRule="exact"/>
        <w:ind w:firstLine="422" w:firstLineChars="200"/>
        <w:rPr>
          <w:rFonts w:ascii="宋体" w:hAnsi="宋体" w:cs="宋体"/>
          <w:b/>
          <w:color w:val="auto"/>
          <w:kern w:val="0"/>
          <w:szCs w:val="21"/>
          <w:highlight w:val="none"/>
        </w:rPr>
      </w:pPr>
      <w:r>
        <w:rPr>
          <w:rFonts w:hint="eastAsia" w:ascii="宋体" w:hAnsi="宋体"/>
          <w:b/>
          <w:color w:val="auto"/>
          <w:szCs w:val="21"/>
          <w:highlight w:val="none"/>
        </w:rPr>
        <w:t>（六）</w:t>
      </w:r>
      <w:r>
        <w:rPr>
          <w:rFonts w:hint="eastAsia" w:ascii="宋体" w:hAnsi="宋体" w:cs="宋体"/>
          <w:b/>
          <w:color w:val="auto"/>
          <w:kern w:val="0"/>
          <w:szCs w:val="21"/>
          <w:highlight w:val="none"/>
        </w:rPr>
        <w:t>转包与</w:t>
      </w:r>
      <w:r>
        <w:rPr>
          <w:rFonts w:hint="eastAsia" w:ascii="宋体" w:hAnsi="宋体" w:cs="宋体"/>
          <w:b/>
          <w:color w:val="auto"/>
          <w:kern w:val="0"/>
          <w:szCs w:val="21"/>
          <w:highlight w:val="none"/>
        </w:rPr>
        <w:t xml:space="preserve">分包             </w:t>
      </w:r>
    </w:p>
    <w:p w14:paraId="0E609143">
      <w:pPr>
        <w:adjustRightInd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1.本项目政府采购合同不允许转包。</w:t>
      </w:r>
    </w:p>
    <w:p w14:paraId="797B7C48">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2.本项目政府采购合同不允许分包。</w:t>
      </w:r>
    </w:p>
    <w:p w14:paraId="25DE06FE">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（七）特别说明：</w:t>
      </w:r>
    </w:p>
    <w:p w14:paraId="50EEDC2E">
      <w:pPr>
        <w:widowControl/>
        <w:adjustRightInd w:val="0"/>
        <w:snapToGrid w:val="0"/>
        <w:spacing w:line="360" w:lineRule="exact"/>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▲1.</w:t>
      </w:r>
      <w:r>
        <w:rPr>
          <w:rFonts w:ascii="宋体" w:hAnsi="宋体" w:cs="Arial"/>
          <w:color w:val="auto"/>
          <w:kern w:val="0"/>
          <w:sz w:val="24"/>
          <w:highlight w:val="none"/>
        </w:rPr>
        <w:t xml:space="preserve"> </w:t>
      </w:r>
      <w:r>
        <w:rPr>
          <w:rFonts w:ascii="宋体" w:hAnsi="宋体" w:cs="宋体"/>
          <w:color w:val="auto"/>
          <w:kern w:val="0"/>
          <w:szCs w:val="21"/>
          <w:highlight w:val="none"/>
        </w:rPr>
        <w:t>单位负责人为同一人</w:t>
      </w:r>
      <w:r>
        <w:rPr>
          <w:rFonts w:ascii="宋体" w:hAnsi="宋体" w:cs="宋体"/>
          <w:color w:val="auto"/>
          <w:kern w:val="0"/>
          <w:szCs w:val="21"/>
          <w:highlight w:val="none"/>
        </w:rPr>
        <w:t>或者存在直接控股、管理关系的不同供应商，不得参加同一项</w:t>
      </w:r>
      <w:r>
        <w:rPr>
          <w:rFonts w:hint="eastAsia" w:ascii="宋体" w:hAnsi="宋体" w:cs="宋体"/>
          <w:color w:val="auto"/>
          <w:kern w:val="0"/>
          <w:szCs w:val="21"/>
          <w:highlight w:val="none"/>
        </w:rPr>
        <w:t>目</w:t>
      </w:r>
      <w:r>
        <w:rPr>
          <w:rFonts w:ascii="宋体" w:hAnsi="宋体" w:cs="宋体"/>
          <w:color w:val="auto"/>
          <w:kern w:val="0"/>
          <w:szCs w:val="21"/>
          <w:highlight w:val="none"/>
        </w:rPr>
        <w:t>的政府采购活动。</w:t>
      </w:r>
    </w:p>
    <w:p w14:paraId="48CFE212">
      <w:pPr>
        <w:pStyle w:val="13"/>
        <w:adjustRightInd w:val="0"/>
        <w:snapToGrid w:val="0"/>
        <w:spacing w:line="360" w:lineRule="exact"/>
        <w:ind w:left="2" w:leftChars="1" w:firstLine="400" w:firstLineChars="200"/>
        <w:rPr>
          <w:rFonts w:hAnsi="宋体" w:cs="宋体"/>
          <w:color w:val="auto"/>
          <w:sz w:val="21"/>
          <w:highlight w:val="none"/>
        </w:rPr>
      </w:pPr>
      <w:r>
        <w:rPr>
          <w:rFonts w:hint="eastAsia" w:hAnsi="宋体"/>
          <w:color w:val="auto"/>
          <w:highlight w:val="none"/>
        </w:rPr>
        <w:t>▲</w:t>
      </w:r>
      <w:r>
        <w:rPr>
          <w:rFonts w:hint="eastAsia" w:hAnsi="宋体" w:cs="宋体"/>
          <w:color w:val="auto"/>
          <w:sz w:val="21"/>
          <w:highlight w:val="none"/>
        </w:rPr>
        <w:t>2.投标人投标所使用的资格、信誉、荣誉、业绩与企业认证必须为本单位所拥有。投标人投标所使用的采购项目实施（指项目合同的履行）人员必须为本单位员工（或必须为本单位控股公司正式员工）。</w:t>
      </w:r>
    </w:p>
    <w:p w14:paraId="1B70E24B">
      <w:pPr>
        <w:pStyle w:val="13"/>
        <w:adjustRightInd w:val="0"/>
        <w:snapToGrid w:val="0"/>
        <w:spacing w:line="360" w:lineRule="exact"/>
        <w:ind w:left="2" w:leftChars="1" w:firstLine="420" w:firstLineChars="200"/>
        <w:rPr>
          <w:rFonts w:hAnsi="宋体" w:cs="宋体"/>
          <w:color w:val="auto"/>
          <w:sz w:val="21"/>
          <w:highlight w:val="none"/>
        </w:rPr>
      </w:pPr>
      <w:r>
        <w:rPr>
          <w:rFonts w:hint="eastAsia" w:hAnsi="宋体" w:cs="宋体"/>
          <w:color w:val="auto"/>
          <w:sz w:val="21"/>
          <w:highlight w:val="none"/>
        </w:rPr>
        <w:t>▲3.投标人应仔细阅读招标文件的所有内容，按照招标文件的要求提交投标文件，并对所提供的全部资料的真实性承担法律责任。</w:t>
      </w:r>
    </w:p>
    <w:p w14:paraId="64D1BCF5">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▲4.投标人在投标活动中提供任何虚假材料、互相串通投标，其投标无效，并报监管部门查处。</w:t>
      </w:r>
    </w:p>
    <w:p w14:paraId="3E66F41E">
      <w:pPr>
        <w:pStyle w:val="13"/>
        <w:adjustRightInd w:val="0"/>
        <w:snapToGrid w:val="0"/>
        <w:spacing w:line="360" w:lineRule="exact"/>
        <w:ind w:left="2" w:leftChars="1" w:firstLine="420" w:firstLineChars="200"/>
        <w:rPr>
          <w:rFonts w:hAnsi="宋体" w:cs="宋体"/>
          <w:color w:val="auto"/>
          <w:sz w:val="21"/>
          <w:highlight w:val="none"/>
        </w:rPr>
      </w:pPr>
      <w:r>
        <w:rPr>
          <w:rFonts w:hint="eastAsia" w:hAnsi="宋体" w:cs="宋体"/>
          <w:color w:val="auto"/>
          <w:sz w:val="21"/>
          <w:highlight w:val="none"/>
        </w:rPr>
        <w:t>▲5.招标文件提供期限届满后，获取招标文件的潜在投标人不足3家的，本公司将顺延提供期限，并在省级以上财政部门指定的政府采购信息发布媒体网站上发布变更公告。</w:t>
      </w:r>
    </w:p>
    <w:p w14:paraId="36464723">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（八）询问、质疑和投诉</w:t>
      </w:r>
    </w:p>
    <w:p w14:paraId="5E8D59ED">
      <w:pPr>
        <w:pStyle w:val="13"/>
        <w:spacing w:line="360" w:lineRule="exact"/>
        <w:ind w:firstLine="420" w:firstLineChars="200"/>
        <w:rPr>
          <w:rFonts w:hAnsi="宋体"/>
          <w:bCs/>
          <w:color w:val="auto"/>
          <w:sz w:val="21"/>
          <w:highlight w:val="none"/>
        </w:rPr>
      </w:pPr>
      <w:r>
        <w:rPr>
          <w:rFonts w:hint="eastAsia" w:hAnsi="宋体"/>
          <w:bCs/>
          <w:color w:val="auto"/>
          <w:sz w:val="21"/>
          <w:highlight w:val="none"/>
        </w:rPr>
        <w:t>1.投标人对政府采购活动事项有疑问的，可以向采购人、采购代理机构提出询问。</w:t>
      </w:r>
    </w:p>
    <w:p w14:paraId="21B86A07">
      <w:pPr>
        <w:pStyle w:val="13"/>
        <w:spacing w:line="360" w:lineRule="exact"/>
        <w:ind w:firstLine="420" w:firstLineChars="200"/>
        <w:rPr>
          <w:rFonts w:hAnsi="宋体"/>
          <w:bCs/>
          <w:color w:val="auto"/>
          <w:sz w:val="21"/>
          <w:highlight w:val="none"/>
        </w:rPr>
      </w:pPr>
      <w:r>
        <w:rPr>
          <w:rFonts w:hint="eastAsia" w:hAnsi="宋体"/>
          <w:bCs/>
          <w:color w:val="auto"/>
          <w:sz w:val="21"/>
          <w:highlight w:val="none"/>
        </w:rPr>
        <w:t>2.投标人认为招标文件、招标过程或中标结果使自己的合法权益受到损害的，应当在知道或者应知其权益受到损害之日起七个工作日内，以书面形式向采购人、采购代理机构提出质疑。具体计算时间如下：</w:t>
      </w:r>
    </w:p>
    <w:p w14:paraId="404D8EDC">
      <w:pPr>
        <w:pStyle w:val="13"/>
        <w:spacing w:line="360" w:lineRule="exact"/>
        <w:ind w:firstLine="422" w:firstLineChars="200"/>
        <w:rPr>
          <w:rFonts w:hAnsi="宋体"/>
          <w:b/>
          <w:bCs/>
          <w:color w:val="auto"/>
          <w:sz w:val="21"/>
          <w:highlight w:val="none"/>
        </w:rPr>
      </w:pPr>
      <w:r>
        <w:rPr>
          <w:rFonts w:hAnsi="宋体"/>
          <w:b/>
          <w:bCs/>
          <w:color w:val="auto"/>
          <w:sz w:val="21"/>
          <w:highlight w:val="none"/>
        </w:rPr>
        <w:t>（</w:t>
      </w:r>
      <w:r>
        <w:rPr>
          <w:rFonts w:hint="eastAsia" w:hAnsi="宋体"/>
          <w:b/>
          <w:bCs/>
          <w:color w:val="auto"/>
          <w:sz w:val="21"/>
          <w:highlight w:val="none"/>
        </w:rPr>
        <w:t>1</w:t>
      </w:r>
      <w:r>
        <w:rPr>
          <w:rFonts w:hAnsi="宋体"/>
          <w:b/>
          <w:bCs/>
          <w:color w:val="auto"/>
          <w:sz w:val="21"/>
          <w:highlight w:val="none"/>
        </w:rPr>
        <w:t>）对可以质疑的</w:t>
      </w:r>
      <w:r>
        <w:rPr>
          <w:rFonts w:hint="eastAsia" w:hAnsi="宋体"/>
          <w:b/>
          <w:bCs/>
          <w:color w:val="auto"/>
          <w:sz w:val="21"/>
          <w:highlight w:val="none"/>
        </w:rPr>
        <w:t>招标采购</w:t>
      </w:r>
      <w:r>
        <w:rPr>
          <w:rFonts w:hAnsi="宋体"/>
          <w:b/>
          <w:bCs/>
          <w:color w:val="auto"/>
          <w:sz w:val="21"/>
          <w:highlight w:val="none"/>
        </w:rPr>
        <w:t>文件提出质疑的，为收到采购文件之日；</w:t>
      </w:r>
    </w:p>
    <w:p w14:paraId="61AB4211">
      <w:pPr>
        <w:pStyle w:val="13"/>
        <w:spacing w:line="360" w:lineRule="exact"/>
        <w:ind w:firstLine="422" w:firstLineChars="200"/>
        <w:rPr>
          <w:rFonts w:hAnsi="宋体"/>
          <w:b/>
          <w:bCs/>
          <w:color w:val="auto"/>
          <w:sz w:val="21"/>
          <w:highlight w:val="none"/>
        </w:rPr>
      </w:pPr>
      <w:r>
        <w:rPr>
          <w:rFonts w:hAnsi="宋体"/>
          <w:b/>
          <w:bCs/>
          <w:color w:val="auto"/>
          <w:sz w:val="21"/>
          <w:highlight w:val="none"/>
        </w:rPr>
        <w:t>（</w:t>
      </w:r>
      <w:r>
        <w:rPr>
          <w:rFonts w:hint="eastAsia" w:hAnsi="宋体"/>
          <w:b/>
          <w:bCs/>
          <w:color w:val="auto"/>
          <w:sz w:val="21"/>
          <w:highlight w:val="none"/>
        </w:rPr>
        <w:t>2</w:t>
      </w:r>
      <w:r>
        <w:rPr>
          <w:rFonts w:hAnsi="宋体"/>
          <w:b/>
          <w:bCs/>
          <w:color w:val="auto"/>
          <w:sz w:val="21"/>
          <w:highlight w:val="none"/>
        </w:rPr>
        <w:t>）对</w:t>
      </w:r>
      <w:r>
        <w:rPr>
          <w:rFonts w:hint="eastAsia" w:hAnsi="宋体"/>
          <w:b/>
          <w:bCs/>
          <w:color w:val="auto"/>
          <w:sz w:val="21"/>
          <w:highlight w:val="none"/>
        </w:rPr>
        <w:t>招标采购</w:t>
      </w:r>
      <w:r>
        <w:rPr>
          <w:rFonts w:hAnsi="宋体"/>
          <w:b/>
          <w:bCs/>
          <w:color w:val="auto"/>
          <w:sz w:val="21"/>
          <w:highlight w:val="none"/>
        </w:rPr>
        <w:t>过程提出质疑的，为各采购程序环节结束之日；</w:t>
      </w:r>
    </w:p>
    <w:p w14:paraId="431FC06B">
      <w:pPr>
        <w:pStyle w:val="13"/>
        <w:spacing w:line="360" w:lineRule="exact"/>
        <w:ind w:firstLine="422" w:firstLineChars="200"/>
        <w:rPr>
          <w:rFonts w:hAnsi="宋体"/>
          <w:b/>
          <w:bCs/>
          <w:color w:val="auto"/>
          <w:sz w:val="21"/>
          <w:highlight w:val="none"/>
        </w:rPr>
      </w:pPr>
      <w:r>
        <w:rPr>
          <w:rFonts w:hAnsi="宋体"/>
          <w:b/>
          <w:bCs/>
          <w:color w:val="auto"/>
          <w:sz w:val="21"/>
          <w:highlight w:val="none"/>
        </w:rPr>
        <w:t>（</w:t>
      </w:r>
      <w:r>
        <w:rPr>
          <w:rFonts w:hint="eastAsia" w:hAnsi="宋体"/>
          <w:b/>
          <w:bCs/>
          <w:color w:val="auto"/>
          <w:sz w:val="21"/>
          <w:highlight w:val="none"/>
        </w:rPr>
        <w:t>3</w:t>
      </w:r>
      <w:r>
        <w:rPr>
          <w:rFonts w:hAnsi="宋体"/>
          <w:b/>
          <w:bCs/>
          <w:color w:val="auto"/>
          <w:sz w:val="21"/>
          <w:highlight w:val="none"/>
        </w:rPr>
        <w:t>）对中标结果提出质疑的，为中标结果公告期限届满之日。</w:t>
      </w:r>
      <w:r>
        <w:rPr>
          <w:rFonts w:hint="eastAsia" w:hAnsi="宋体"/>
          <w:b/>
          <w:bCs/>
          <w:color w:val="auto"/>
          <w:sz w:val="21"/>
          <w:highlight w:val="none"/>
        </w:rPr>
        <w:t>投标人对招标采购单位的质疑答复不满意或者招标采购单位未在规定时间内作出答复的，可以在答复期满后十五个工作日内向同级采购监管部门投诉。</w:t>
      </w:r>
    </w:p>
    <w:p w14:paraId="3F08EC83">
      <w:pPr>
        <w:pStyle w:val="13"/>
        <w:spacing w:line="360" w:lineRule="exact"/>
        <w:ind w:firstLine="420" w:firstLineChars="200"/>
        <w:rPr>
          <w:rFonts w:hAnsi="宋体"/>
          <w:bCs/>
          <w:color w:val="auto"/>
          <w:sz w:val="21"/>
          <w:highlight w:val="none"/>
        </w:rPr>
      </w:pPr>
      <w:r>
        <w:rPr>
          <w:rFonts w:hint="eastAsia" w:hAnsi="宋体"/>
          <w:bCs/>
          <w:color w:val="auto"/>
          <w:sz w:val="21"/>
          <w:highlight w:val="none"/>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14:paraId="40DE23A0">
      <w:pPr>
        <w:pStyle w:val="4"/>
        <w:ind w:left="0" w:firstLine="420" w:firstLineChars="200"/>
        <w:rPr>
          <w:color w:val="auto"/>
          <w:highlight w:val="none"/>
        </w:rPr>
      </w:pPr>
      <w:r>
        <w:rPr>
          <w:rFonts w:hint="eastAsia"/>
          <w:color w:val="auto"/>
          <w:highlight w:val="none"/>
        </w:rPr>
        <w:t>供应商也可通过北海“政采云”平台进入“项目采购-询问质疑投诉”栏目在线提起询问、质疑。</w:t>
      </w:r>
    </w:p>
    <w:p w14:paraId="11D1A0F6">
      <w:pPr>
        <w:pStyle w:val="13"/>
        <w:adjustRightInd w:val="0"/>
        <w:snapToGrid w:val="0"/>
        <w:spacing w:line="360" w:lineRule="exact"/>
        <w:ind w:firstLine="482" w:firstLineChars="200"/>
        <w:rPr>
          <w:rFonts w:hAnsi="宋体"/>
          <w:b/>
          <w:color w:val="auto"/>
          <w:sz w:val="24"/>
          <w:szCs w:val="24"/>
          <w:highlight w:val="none"/>
        </w:rPr>
      </w:pPr>
      <w:r>
        <w:rPr>
          <w:rFonts w:hint="eastAsia" w:hAnsi="宋体"/>
          <w:b/>
          <w:color w:val="auto"/>
          <w:sz w:val="24"/>
          <w:szCs w:val="24"/>
          <w:highlight w:val="none"/>
        </w:rPr>
        <w:t>二、招标文件</w:t>
      </w:r>
    </w:p>
    <w:p w14:paraId="524FCABD">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（一）招标文件的构成。</w:t>
      </w:r>
    </w:p>
    <w:p w14:paraId="5BBC9147">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1.公开招标公告；</w:t>
      </w:r>
    </w:p>
    <w:p w14:paraId="59A2278D">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2.投标人须知；</w:t>
      </w:r>
    </w:p>
    <w:p w14:paraId="7E64BAE8">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3.招标项目采购需求；</w:t>
      </w:r>
    </w:p>
    <w:p w14:paraId="5ADC52C8">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4.政府采购合同主要条款；</w:t>
      </w:r>
    </w:p>
    <w:p w14:paraId="339D3BC2">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5.投标文件格式；</w:t>
      </w:r>
    </w:p>
    <w:p w14:paraId="740D6F94">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6.评标办法及评分标准；</w:t>
      </w:r>
    </w:p>
    <w:p w14:paraId="257D6281">
      <w:pPr>
        <w:adjustRightInd w:val="0"/>
        <w:snapToGrid w:val="0"/>
        <w:spacing w:line="36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（二）投标人的风险</w:t>
      </w:r>
    </w:p>
    <w:p w14:paraId="00037E17">
      <w:pPr>
        <w:tabs>
          <w:tab w:val="left" w:pos="180"/>
          <w:tab w:val="left" w:pos="1620"/>
        </w:tabs>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color w:val="auto"/>
          <w:szCs w:val="21"/>
          <w:highlight w:val="none"/>
        </w:rPr>
        <w:cr/>
      </w:r>
      <w:r>
        <w:rPr>
          <w:rFonts w:hint="eastAsia" w:ascii="宋体" w:hAnsi="宋体" w:cs="Courier New"/>
          <w:color w:val="auto"/>
          <w:szCs w:val="21"/>
          <w:highlight w:val="none"/>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    </w:t>
      </w:r>
    </w:p>
    <w:p w14:paraId="2AA37C9C">
      <w:pPr>
        <w:pStyle w:val="5"/>
        <w:tabs>
          <w:tab w:val="left" w:pos="720"/>
          <w:tab w:val="left" w:pos="840"/>
        </w:tabs>
        <w:adjustRightInd w:val="0"/>
        <w:snapToGrid w:val="0"/>
        <w:spacing w:line="360" w:lineRule="exact"/>
        <w:ind w:left="0" w:firstLine="422" w:firstLineChars="200"/>
        <w:rPr>
          <w:rFonts w:ascii="宋体" w:hAnsi="宋体" w:cs="Courier New"/>
          <w:b/>
          <w:color w:val="auto"/>
          <w:szCs w:val="21"/>
          <w:highlight w:val="none"/>
        </w:rPr>
      </w:pPr>
      <w:r>
        <w:rPr>
          <w:rFonts w:hint="eastAsia" w:ascii="宋体" w:hAnsi="宋体" w:cs="Courier New"/>
          <w:b/>
          <w:color w:val="auto"/>
          <w:szCs w:val="21"/>
          <w:highlight w:val="none"/>
        </w:rPr>
        <w:t xml:space="preserve">（三）招标文件的澄清与修改 </w:t>
      </w:r>
    </w:p>
    <w:p w14:paraId="7C8B1670">
      <w:pPr>
        <w:pStyle w:val="13"/>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1. 采购人或者本公司可以对已发出的招标文件进行必要的澄清或者修改。澄清或者修改的内容可能影响投标文件编制的，采购人或者本公司应当在投标截止时间至少十五日前，以书面形式通知所有获取招标文件的潜在投标人；不足十五日的，顺延至15日。澄清或者修改的内容为招标文件的组成部分。</w:t>
      </w:r>
    </w:p>
    <w:p w14:paraId="621E4550">
      <w:pPr>
        <w:pStyle w:val="13"/>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2.本公司必须以书面形式答复投标人要求澄清的问题，并将不包含问题来源的答复书面通知所有报名登记的投标人；除书面答复以外的其他澄清方式及澄清内容均无效。</w:t>
      </w:r>
    </w:p>
    <w:p w14:paraId="033B236E">
      <w:pPr>
        <w:pStyle w:val="13"/>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3.招标文件的答疑、澄清、修改、补充的内容为招标文件的组成部分。当招标文件与招标文件的答疑、澄清、修改、补充通知就同一内容的表述不一致时，以最后发出的书面文件为准。</w:t>
      </w:r>
    </w:p>
    <w:p w14:paraId="76B7971B">
      <w:pPr>
        <w:pStyle w:val="13"/>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4.招标文件的答疑、澄清、修改、补充都应该通过本公司以法定形式发布，采购人非通过本公司，不得擅自答疑、澄清、修改、补充招标文件。</w:t>
      </w:r>
    </w:p>
    <w:p w14:paraId="53AD401E">
      <w:pPr>
        <w:pStyle w:val="13"/>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5.本公司可以视采购具体情况，延长招标文件或者资格预审文件提供期限，并在省级以上财政部门指定的政府采购信息发布媒体网站上发布公告。</w:t>
      </w:r>
    </w:p>
    <w:p w14:paraId="34184215">
      <w:pPr>
        <w:pStyle w:val="13"/>
        <w:adjustRightInd w:val="0"/>
        <w:snapToGrid w:val="0"/>
        <w:spacing w:line="360" w:lineRule="exact"/>
        <w:ind w:firstLine="352" w:firstLineChars="146"/>
        <w:rPr>
          <w:rFonts w:hAnsi="宋体"/>
          <w:b/>
          <w:color w:val="auto"/>
          <w:sz w:val="24"/>
          <w:szCs w:val="24"/>
          <w:highlight w:val="none"/>
        </w:rPr>
      </w:pPr>
      <w:r>
        <w:rPr>
          <w:rFonts w:hint="eastAsia" w:hAnsi="宋体"/>
          <w:b/>
          <w:color w:val="auto"/>
          <w:sz w:val="24"/>
          <w:szCs w:val="24"/>
          <w:highlight w:val="none"/>
        </w:rPr>
        <w:t>三、投标文件的编制</w:t>
      </w:r>
    </w:p>
    <w:p w14:paraId="0BF1AA43">
      <w:pPr>
        <w:adjustRightInd w:val="0"/>
        <w:snapToGrid w:val="0"/>
        <w:spacing w:line="360" w:lineRule="exact"/>
        <w:ind w:firstLine="207" w:firstLineChars="98"/>
        <w:jc w:val="left"/>
        <w:rPr>
          <w:rFonts w:ascii="宋体" w:hAnsi="宋体"/>
          <w:b/>
          <w:color w:val="auto"/>
          <w:szCs w:val="21"/>
          <w:highlight w:val="none"/>
        </w:rPr>
      </w:pPr>
      <w:r>
        <w:rPr>
          <w:rFonts w:hint="eastAsia" w:ascii="宋体" w:hAnsi="宋体"/>
          <w:b/>
          <w:color w:val="auto"/>
          <w:szCs w:val="21"/>
          <w:highlight w:val="none"/>
        </w:rPr>
        <w:t>（一）投标文件的组成</w:t>
      </w:r>
    </w:p>
    <w:p w14:paraId="7DF80B04">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1. 投标文件编制基本要求</w:t>
      </w:r>
    </w:p>
    <w:p w14:paraId="090DFD85">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1.1本项目实行电子投标，供应商应准备</w:t>
      </w:r>
      <w:r>
        <w:rPr>
          <w:rFonts w:hint="eastAsia" w:ascii="宋体" w:hAnsi="宋体"/>
          <w:b/>
          <w:color w:val="auto"/>
          <w:szCs w:val="21"/>
          <w:highlight w:val="none"/>
        </w:rPr>
        <w:t>电子投标文件、以介质存储的数据电文形式的电子备份投标文件两类，纸质投标文件仅为存档用</w:t>
      </w:r>
      <w:r>
        <w:rPr>
          <w:rFonts w:hint="eastAsia" w:ascii="宋体"/>
          <w:color w:val="auto"/>
          <w:szCs w:val="21"/>
          <w:highlight w:val="none"/>
        </w:rPr>
        <w:t>：</w:t>
      </w:r>
    </w:p>
    <w:p w14:paraId="1D56D605">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1.1.1电子投标文件按政采云平台要求及本招标文件要求制作、加密并递交。具体操作流程可参考《政府采购项目电子交易管理操作指南-供应商》，指南可在“北海市政府采购中心网站-办事指南-政府采购项目电子交易管理操作指南”下载。</w:t>
      </w:r>
    </w:p>
    <w:p w14:paraId="5C3777EE">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1.1.2 电子备份投标文件系上传政采云平台的投标文件电子版，按照本招标文件要求制作。</w:t>
      </w:r>
    </w:p>
    <w:p w14:paraId="14D90D5E">
      <w:pPr>
        <w:snapToGrid w:val="0"/>
        <w:spacing w:line="360" w:lineRule="exact"/>
        <w:ind w:firstLine="422" w:firstLineChars="200"/>
        <w:jc w:val="left"/>
        <w:rPr>
          <w:rFonts w:ascii="宋体"/>
          <w:b/>
          <w:color w:val="auto"/>
          <w:szCs w:val="21"/>
          <w:highlight w:val="none"/>
        </w:rPr>
      </w:pPr>
      <w:r>
        <w:rPr>
          <w:rFonts w:hint="eastAsia" w:ascii="宋体"/>
          <w:b/>
          <w:color w:val="auto"/>
          <w:szCs w:val="21"/>
          <w:highlight w:val="none"/>
        </w:rPr>
        <w:t>▲1.1.3投标文件启用顺序和效力：投标文件的启用，按先后顺位分别为</w:t>
      </w:r>
      <w:r>
        <w:rPr>
          <w:rFonts w:hint="eastAsia" w:ascii="宋体" w:hAnsi="宋体"/>
          <w:b/>
          <w:color w:val="auto"/>
          <w:szCs w:val="21"/>
          <w:highlight w:val="none"/>
        </w:rPr>
        <w:t>电子投标文件、以介质存储的数据电文形式的电子备份投标文件</w:t>
      </w:r>
      <w:r>
        <w:rPr>
          <w:rFonts w:hint="eastAsia" w:ascii="宋体"/>
          <w:b/>
          <w:color w:val="auto"/>
          <w:szCs w:val="21"/>
          <w:highlight w:val="none"/>
        </w:rPr>
        <w:t>。全部投标供应商的电子投标文件均已按时解密的，</w:t>
      </w:r>
      <w:r>
        <w:rPr>
          <w:rFonts w:hint="eastAsia" w:ascii="宋体" w:hAnsi="宋体"/>
          <w:b/>
          <w:color w:val="auto"/>
          <w:szCs w:val="21"/>
          <w:highlight w:val="none"/>
        </w:rPr>
        <w:t>以介质存储的数据电文形式的电子备份投标文件</w:t>
      </w:r>
      <w:r>
        <w:rPr>
          <w:rFonts w:hint="eastAsia" w:ascii="宋体"/>
          <w:b/>
          <w:color w:val="auto"/>
          <w:szCs w:val="21"/>
          <w:highlight w:val="none"/>
        </w:rPr>
        <w:t>自动失效。如果某位投标供应商的电子投标文件无法按时解密的，其电子投标文件为无效，启用</w:t>
      </w:r>
      <w:r>
        <w:rPr>
          <w:rFonts w:hint="eastAsia" w:ascii="宋体" w:hAnsi="宋体"/>
          <w:b/>
          <w:color w:val="auto"/>
          <w:szCs w:val="21"/>
          <w:highlight w:val="none"/>
        </w:rPr>
        <w:t>以介质存储的数据电文形式的电子备份投标文件</w:t>
      </w:r>
      <w:r>
        <w:rPr>
          <w:rFonts w:hint="eastAsia" w:ascii="宋体"/>
          <w:b/>
          <w:color w:val="auto"/>
          <w:szCs w:val="21"/>
          <w:highlight w:val="none"/>
        </w:rPr>
        <w:t>。</w:t>
      </w:r>
      <w:r>
        <w:rPr>
          <w:rFonts w:hint="eastAsia" w:hAnsi="宋体" w:cs="宋体"/>
          <w:b/>
          <w:color w:val="auto"/>
          <w:szCs w:val="21"/>
          <w:highlight w:val="none"/>
        </w:rPr>
        <w:t>投标供应商仅递交电子备份投标文件的，投标无效。</w:t>
      </w:r>
    </w:p>
    <w:p w14:paraId="036C86D9">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5.2供应商提交的投标文件以及供应商与本公司和采购人就有关投标的所有来往函电均应使用中文。供应商提交的支持文件和印刷的文献可以使用别的语言，但其相应内容必须附有中文翻译文本，在解释投标文件时以翻译文本为主。</w:t>
      </w:r>
    </w:p>
    <w:p w14:paraId="48554D51">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5.3供应商应认真阅读、并充分理解本文件的全部内容（包括所有的澄清、更改、补充、答疑等内容），承诺并履行本文件中各项条款规定及要求。</w:t>
      </w:r>
    </w:p>
    <w:p w14:paraId="7EA64C40">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5.4投标文件必须按本文件的全部内容，包括所有的澄清、更改、补充、答疑等内容及附件进行编制。</w:t>
      </w:r>
    </w:p>
    <w:p w14:paraId="099338AF">
      <w:pPr>
        <w:snapToGrid w:val="0"/>
        <w:spacing w:line="360" w:lineRule="exact"/>
        <w:ind w:firstLine="420" w:firstLineChars="200"/>
        <w:rPr>
          <w:rFonts w:ascii="宋体"/>
          <w:color w:val="auto"/>
          <w:szCs w:val="21"/>
          <w:highlight w:val="none"/>
        </w:rPr>
      </w:pPr>
      <w:r>
        <w:rPr>
          <w:rFonts w:hint="eastAsia" w:ascii="宋体"/>
          <w:color w:val="auto"/>
          <w:szCs w:val="21"/>
          <w:highlight w:val="none"/>
        </w:rPr>
        <w:t>5.5如因供应商只填写和提供了本文件要求的部分内容和附件，而给评标委员会评审造成困难，其可能导致的结果和责任由供应商自行承担。</w:t>
      </w:r>
    </w:p>
    <w:p w14:paraId="3DB2E34A">
      <w:pPr>
        <w:snapToGrid w:val="0"/>
        <w:spacing w:line="360" w:lineRule="exact"/>
        <w:ind w:firstLine="420" w:firstLineChars="200"/>
        <w:rPr>
          <w:rFonts w:ascii="宋体"/>
          <w:color w:val="auto"/>
          <w:szCs w:val="21"/>
          <w:highlight w:val="none"/>
        </w:rPr>
      </w:pPr>
      <w:r>
        <w:rPr>
          <w:rFonts w:hint="eastAsia" w:ascii="宋体"/>
          <w:color w:val="auto"/>
          <w:szCs w:val="21"/>
          <w:highlight w:val="none"/>
        </w:rPr>
        <w:t>5.6投标文件的组成：投标文件应分为</w:t>
      </w:r>
      <w:r>
        <w:rPr>
          <w:rFonts w:hint="eastAsia" w:ascii="宋体"/>
          <w:b/>
          <w:bCs/>
          <w:color w:val="auto"/>
          <w:szCs w:val="21"/>
          <w:highlight w:val="none"/>
        </w:rPr>
        <w:t>资格文件、商务技术文件、报价文件</w:t>
      </w:r>
      <w:r>
        <w:rPr>
          <w:rFonts w:hint="eastAsia" w:ascii="宋体"/>
          <w:color w:val="auto"/>
          <w:szCs w:val="21"/>
          <w:highlight w:val="none"/>
        </w:rPr>
        <w:t>三个部分组成。供应商应仔细阅读投标采购文件的所有内容，按招标文件的要求，详细编制投标文件（包含电子投标文件和电子备份投标文件）。</w:t>
      </w:r>
    </w:p>
    <w:p w14:paraId="29FE6D9B">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5.7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14:paraId="65D72D99">
      <w:pPr>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1.资格文件：</w:t>
      </w:r>
    </w:p>
    <w:p w14:paraId="4955EE78">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（1）投标声明书</w:t>
      </w:r>
      <w:r>
        <w:rPr>
          <w:rFonts w:hint="eastAsia" w:ascii="宋体" w:hAnsi="宋体"/>
          <w:b/>
          <w:bCs/>
          <w:color w:val="auto"/>
          <w:szCs w:val="21"/>
          <w:highlight w:val="none"/>
        </w:rPr>
        <w:t>（必须提供）；</w:t>
      </w:r>
    </w:p>
    <w:p w14:paraId="4B4B1805">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（2）北海市政府采购供应商信用承诺函</w:t>
      </w:r>
      <w:r>
        <w:rPr>
          <w:rFonts w:hint="eastAsia" w:ascii="宋体" w:hAnsi="宋体"/>
          <w:b/>
          <w:color w:val="auto"/>
          <w:szCs w:val="21"/>
          <w:highlight w:val="none"/>
        </w:rPr>
        <w:t>（必须提供）；</w:t>
      </w:r>
      <w:r>
        <w:rPr>
          <w:rFonts w:hint="eastAsia" w:ascii="宋体" w:hAnsi="宋体"/>
          <w:color w:val="auto"/>
          <w:szCs w:val="21"/>
          <w:highlight w:val="none"/>
        </w:rPr>
        <w:t xml:space="preserve"> </w:t>
      </w:r>
    </w:p>
    <w:p w14:paraId="7BE1C75D">
      <w:pPr>
        <w:adjustRightInd w:val="0"/>
        <w:snapToGrid w:val="0"/>
        <w:spacing w:line="36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 xml:space="preserve">▲（3）承诺函 </w:t>
      </w:r>
      <w:r>
        <w:rPr>
          <w:rFonts w:hint="eastAsia" w:ascii="宋体" w:hAnsi="宋体"/>
          <w:b/>
          <w:color w:val="auto"/>
          <w:szCs w:val="21"/>
          <w:highlight w:val="none"/>
        </w:rPr>
        <w:t>（格式见第五章，必须提供）</w:t>
      </w:r>
    </w:p>
    <w:p w14:paraId="420FFA14">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4）法定代表人（负责人）授权委托书和法定代表人（负责人）及委托代理人身份证复印件（委托代理时必须提供，格式见第五章）；法定代表人（负责人）参加投标时，提供法定代表人（负责人）身份证明书和法定代表人（负责人）身份证复印件</w:t>
      </w:r>
      <w:r>
        <w:rPr>
          <w:rFonts w:hint="eastAsia" w:ascii="宋体" w:hAnsi="宋体"/>
          <w:b/>
          <w:bCs/>
          <w:color w:val="auto"/>
          <w:highlight w:val="none"/>
        </w:rPr>
        <w:t>（必须提供，格式见第五章）</w:t>
      </w:r>
      <w:r>
        <w:rPr>
          <w:rFonts w:hint="eastAsia" w:ascii="宋体" w:hAnsi="宋体"/>
          <w:color w:val="auto"/>
          <w:highlight w:val="none"/>
        </w:rPr>
        <w:t>；</w:t>
      </w:r>
    </w:p>
    <w:p w14:paraId="6C582F10">
      <w:pPr>
        <w:pStyle w:val="14"/>
        <w:ind w:firstLine="630" w:firstLineChars="300"/>
        <w:rPr>
          <w:color w:val="auto"/>
          <w:highlight w:val="none"/>
        </w:rPr>
      </w:pPr>
      <w:r>
        <w:rPr>
          <w:rFonts w:hint="eastAsia" w:ascii="宋体" w:hAnsi="宋体"/>
          <w:color w:val="auto"/>
          <w:kern w:val="2"/>
          <w:sz w:val="21"/>
          <w:szCs w:val="21"/>
          <w:highlight w:val="none"/>
        </w:rPr>
        <w:t>（</w:t>
      </w:r>
      <w:r>
        <w:rPr>
          <w:rFonts w:hint="eastAsia" w:ascii="宋体" w:hAnsi="宋体"/>
          <w:color w:val="auto"/>
          <w:kern w:val="2"/>
          <w:sz w:val="21"/>
          <w:szCs w:val="21"/>
          <w:highlight w:val="none"/>
        </w:rPr>
        <w:t>5）中小企业声明函（格式后附）；</w:t>
      </w:r>
      <w:r>
        <w:rPr>
          <w:rFonts w:hint="eastAsia" w:ascii="宋体" w:hAnsi="宋体"/>
          <w:b/>
          <w:bCs/>
          <w:color w:val="auto"/>
          <w:kern w:val="2"/>
          <w:sz w:val="21"/>
          <w:szCs w:val="21"/>
          <w:highlight w:val="none"/>
        </w:rPr>
        <w:t>（如为中小企业，须提供）</w:t>
      </w:r>
      <w:r>
        <w:rPr>
          <w:rFonts w:hint="eastAsia" w:ascii="宋体" w:hAnsi="宋体"/>
          <w:color w:val="auto"/>
          <w:kern w:val="2"/>
          <w:sz w:val="21"/>
          <w:szCs w:val="21"/>
          <w:highlight w:val="none"/>
        </w:rPr>
        <w:t>；省级以上监狱管理局、戒毒管理局出具的属于监狱企业的证明文件；</w:t>
      </w:r>
      <w:r>
        <w:rPr>
          <w:rFonts w:hint="eastAsia" w:ascii="宋体" w:hAnsi="宋体"/>
          <w:b/>
          <w:bCs/>
          <w:color w:val="auto"/>
          <w:kern w:val="2"/>
          <w:sz w:val="21"/>
          <w:szCs w:val="21"/>
          <w:highlight w:val="none"/>
        </w:rPr>
        <w:t>（如为监狱企业，须提供）</w:t>
      </w:r>
      <w:r>
        <w:rPr>
          <w:rFonts w:hint="eastAsia" w:ascii="宋体" w:hAnsi="宋体"/>
          <w:color w:val="auto"/>
          <w:kern w:val="2"/>
          <w:sz w:val="21"/>
          <w:szCs w:val="21"/>
          <w:highlight w:val="none"/>
        </w:rPr>
        <w:t>；</w:t>
      </w:r>
      <w:r>
        <w:rPr>
          <w:color w:val="auto"/>
          <w:highlight w:val="none"/>
        </w:rPr>
        <w:t xml:space="preserve"> </w:t>
      </w:r>
    </w:p>
    <w:p w14:paraId="491B22B3">
      <w:pPr>
        <w:adjustRightInd w:val="0"/>
        <w:snapToGrid w:val="0"/>
        <w:spacing w:line="36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 xml:space="preserve">可作为投标人资信评分的资质证明材料（可选）  </w:t>
      </w:r>
    </w:p>
    <w:p w14:paraId="1D3DE2C6">
      <w:pPr>
        <w:adjustRightInd w:val="0"/>
        <w:snapToGrid w:val="0"/>
        <w:spacing w:line="360" w:lineRule="exact"/>
        <w:ind w:left="63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rPr>
        <w:t>6）</w:t>
      </w:r>
      <w:r>
        <w:rPr>
          <w:rFonts w:hint="eastAsia" w:ascii="宋体" w:hAnsi="宋体"/>
          <w:color w:val="auto"/>
          <w:highlight w:val="none"/>
        </w:rPr>
        <w:t>类似案例成功业绩</w:t>
      </w:r>
      <w:r>
        <w:rPr>
          <w:rFonts w:hint="eastAsia" w:ascii="宋体" w:hAnsi="宋体"/>
          <w:color w:val="auto"/>
          <w:szCs w:val="21"/>
          <w:highlight w:val="none"/>
        </w:rPr>
        <w:t>；</w:t>
      </w:r>
    </w:p>
    <w:p w14:paraId="187854F6">
      <w:pPr>
        <w:pStyle w:val="14"/>
        <w:ind w:left="630"/>
        <w:rPr>
          <w:rFonts w:ascii="宋体" w:hAnsi="宋体"/>
          <w:color w:val="auto"/>
          <w:kern w:val="2"/>
          <w:sz w:val="21"/>
          <w:szCs w:val="24"/>
          <w:highlight w:val="none"/>
        </w:rPr>
      </w:pPr>
      <w:r>
        <w:rPr>
          <w:rFonts w:hint="eastAsia" w:ascii="宋体" w:hAnsi="宋体"/>
          <w:color w:val="auto"/>
          <w:kern w:val="2"/>
          <w:sz w:val="21"/>
          <w:szCs w:val="24"/>
          <w:highlight w:val="none"/>
        </w:rPr>
        <w:t>（7）其他特殊资质证书（如本地化服务能力等）；</w:t>
      </w:r>
    </w:p>
    <w:p w14:paraId="1D179A19">
      <w:pPr>
        <w:pStyle w:val="14"/>
        <w:ind w:left="630"/>
        <w:rPr>
          <w:rFonts w:ascii="宋体" w:hAnsi="宋体"/>
          <w:color w:val="auto"/>
          <w:kern w:val="2"/>
          <w:sz w:val="21"/>
          <w:szCs w:val="24"/>
          <w:highlight w:val="none"/>
        </w:rPr>
      </w:pPr>
      <w:r>
        <w:rPr>
          <w:rFonts w:hint="eastAsia" w:ascii="宋体" w:hAnsi="宋体"/>
          <w:color w:val="auto"/>
          <w:kern w:val="2"/>
          <w:sz w:val="21"/>
          <w:szCs w:val="24"/>
          <w:highlight w:val="none"/>
        </w:rPr>
        <w:t>（8）投标人认为可以证明其能力的证明材料；</w:t>
      </w:r>
    </w:p>
    <w:p w14:paraId="3C204379">
      <w:pPr>
        <w:adjustRightInd w:val="0"/>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（9）投标人关于本单位债务纠纷、违法违规记录等方面的情况（内容见投标声明书）；</w:t>
      </w:r>
    </w:p>
    <w:p w14:paraId="653E33D1">
      <w:pPr>
        <w:adjustRightInd w:val="0"/>
        <w:snapToGrid w:val="0"/>
        <w:spacing w:line="36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2.商务技术文件</w:t>
      </w:r>
    </w:p>
    <w:p w14:paraId="78D5B49A">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（1）商务响应表（格式见第五章）</w:t>
      </w:r>
      <w:r>
        <w:rPr>
          <w:rFonts w:hint="eastAsia" w:ascii="宋体" w:hAnsi="宋体"/>
          <w:b/>
          <w:color w:val="auto"/>
          <w:szCs w:val="21"/>
          <w:highlight w:val="none"/>
        </w:rPr>
        <w:t>（必须提供）</w:t>
      </w:r>
      <w:r>
        <w:rPr>
          <w:rFonts w:hint="eastAsia" w:ascii="宋体" w:hAnsi="宋体"/>
          <w:color w:val="auto"/>
          <w:szCs w:val="21"/>
          <w:highlight w:val="none"/>
        </w:rPr>
        <w:t>。</w:t>
      </w:r>
    </w:p>
    <w:p w14:paraId="184320D3">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（2）技术服务响应表</w:t>
      </w:r>
      <w:r>
        <w:rPr>
          <w:rFonts w:hint="eastAsia" w:ascii="宋体" w:hAnsi="宋体"/>
          <w:b/>
          <w:color w:val="auto"/>
          <w:szCs w:val="21"/>
          <w:highlight w:val="none"/>
        </w:rPr>
        <w:t>（必须提供）</w:t>
      </w:r>
      <w:r>
        <w:rPr>
          <w:rFonts w:hint="eastAsia" w:ascii="宋体" w:hAnsi="宋体"/>
          <w:color w:val="auto"/>
          <w:szCs w:val="21"/>
          <w:highlight w:val="none"/>
        </w:rPr>
        <w:t>；</w:t>
      </w:r>
    </w:p>
    <w:p w14:paraId="04674E21">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（3）</w:t>
      </w:r>
      <w:r>
        <w:rPr>
          <w:rFonts w:hint="eastAsia" w:ascii="宋体" w:hAnsi="宋体"/>
          <w:color w:val="auto"/>
          <w:highlight w:val="none"/>
        </w:rPr>
        <w:t>服务方案</w:t>
      </w:r>
      <w:r>
        <w:rPr>
          <w:rFonts w:hint="eastAsia" w:ascii="宋体" w:hAnsi="宋体"/>
          <w:b/>
          <w:color w:val="auto"/>
          <w:szCs w:val="21"/>
          <w:highlight w:val="none"/>
        </w:rPr>
        <w:t>（格式自拟，必须提供）</w:t>
      </w:r>
      <w:r>
        <w:rPr>
          <w:rFonts w:hint="eastAsia" w:ascii="宋体" w:hAnsi="宋体"/>
          <w:color w:val="auto"/>
          <w:szCs w:val="21"/>
          <w:highlight w:val="none"/>
        </w:rPr>
        <w:t>；</w:t>
      </w:r>
    </w:p>
    <w:p w14:paraId="6F08D66B">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▲（4）</w:t>
      </w:r>
      <w:r>
        <w:rPr>
          <w:rFonts w:hint="eastAsia" w:ascii="宋体" w:hAnsi="宋体"/>
          <w:color w:val="auto"/>
          <w:szCs w:val="21"/>
          <w:highlight w:val="none"/>
        </w:rPr>
        <w:t>拟投入项目主要管理人员一览表及资格证明材料；</w:t>
      </w:r>
    </w:p>
    <w:p w14:paraId="1524FF03">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▲（5）</w:t>
      </w:r>
      <w:r>
        <w:rPr>
          <w:rFonts w:hint="eastAsia" w:ascii="宋体" w:hAnsi="宋体"/>
          <w:color w:val="auto"/>
          <w:szCs w:val="21"/>
          <w:highlight w:val="none"/>
        </w:rPr>
        <w:t xml:space="preserve">拟投入项目主要机械、设备一览表； </w:t>
      </w:r>
    </w:p>
    <w:p w14:paraId="4519726C">
      <w:pPr>
        <w:adjustRightInd w:val="0"/>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（6）投标人对本项目的合理化建议和改进措施；</w:t>
      </w:r>
    </w:p>
    <w:p w14:paraId="7B72FC1F">
      <w:pPr>
        <w:adjustRightInd w:val="0"/>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（7）投标人需要说明的其他文件和说明（格式略）；</w:t>
      </w:r>
    </w:p>
    <w:p w14:paraId="30ABB9FF">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3.报价文件：</w:t>
      </w:r>
    </w:p>
    <w:p w14:paraId="318EDCAE">
      <w:pPr>
        <w:tabs>
          <w:tab w:val="left" w:pos="3870"/>
          <w:tab w:val="left" w:pos="4085"/>
        </w:tabs>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（1）已标价的报价清单及说明</w:t>
      </w:r>
      <w:r>
        <w:rPr>
          <w:rFonts w:hint="eastAsia" w:ascii="宋体" w:hAnsi="宋体"/>
          <w:b/>
          <w:color w:val="auto"/>
          <w:szCs w:val="21"/>
          <w:highlight w:val="none"/>
        </w:rPr>
        <w:t>（格式见第五章，必须提供</w:t>
      </w:r>
      <w:r>
        <w:rPr>
          <w:rFonts w:hint="eastAsia" w:ascii="宋体" w:hAnsi="宋体"/>
          <w:color w:val="auto"/>
          <w:szCs w:val="21"/>
          <w:highlight w:val="none"/>
        </w:rPr>
        <w:t xml:space="preserve">）； </w:t>
      </w:r>
    </w:p>
    <w:p w14:paraId="2A045411">
      <w:pPr>
        <w:tabs>
          <w:tab w:val="left" w:pos="3870"/>
          <w:tab w:val="left" w:pos="4085"/>
        </w:tabs>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（2）投标函</w:t>
      </w:r>
      <w:r>
        <w:rPr>
          <w:rFonts w:hint="eastAsia" w:ascii="宋体" w:hAnsi="宋体"/>
          <w:b/>
          <w:color w:val="auto"/>
          <w:szCs w:val="21"/>
          <w:highlight w:val="none"/>
        </w:rPr>
        <w:t>（格式见第五章，必须提供</w:t>
      </w:r>
      <w:r>
        <w:rPr>
          <w:rFonts w:hint="eastAsia" w:ascii="宋体" w:hAnsi="宋体"/>
          <w:color w:val="auto"/>
          <w:szCs w:val="21"/>
          <w:highlight w:val="none"/>
        </w:rPr>
        <w:t>）；</w:t>
      </w:r>
    </w:p>
    <w:p w14:paraId="0AE66FE2">
      <w:pPr>
        <w:tabs>
          <w:tab w:val="left" w:pos="3870"/>
          <w:tab w:val="left" w:pos="4085"/>
        </w:tabs>
        <w:adjustRightInd w:val="0"/>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14:paraId="32AEBFE7">
      <w:pPr>
        <w:pStyle w:val="18"/>
        <w:spacing w:line="360" w:lineRule="exact"/>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特别说明：</w:t>
      </w:r>
    </w:p>
    <w:p w14:paraId="5FFBE82C">
      <w:pPr>
        <w:pStyle w:val="18"/>
        <w:spacing w:line="360" w:lineRule="exact"/>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1）法定代表人（负责人）授权委托书必须由法定代表人（负责人）签名并加盖单位公章；承诺函、投标函必须由法定代表人（负责人）或委托代理人签名并加盖单位公章。电子投标文件须加盖公章部分均采用CA签章。</w:t>
      </w:r>
    </w:p>
    <w:p w14:paraId="781ACAE1">
      <w:pPr>
        <w:pStyle w:val="18"/>
        <w:spacing w:line="360" w:lineRule="exact"/>
        <w:ind w:firstLine="422" w:firstLineChars="200"/>
        <w:rPr>
          <w:rFonts w:ascii="宋体" w:hAnsi="宋体"/>
          <w:b/>
          <w:color w:val="auto"/>
          <w:sz w:val="21"/>
          <w:szCs w:val="21"/>
          <w:highlight w:val="none"/>
        </w:rPr>
      </w:pPr>
      <w:r>
        <w:rPr>
          <w:rFonts w:hint="eastAsia" w:ascii="宋体" w:hAnsi="宋体"/>
          <w:b/>
          <w:color w:val="auto"/>
          <w:sz w:val="21"/>
          <w:szCs w:val="21"/>
          <w:highlight w:val="none"/>
        </w:rPr>
        <w:t>（2）投标文件（包含电子投标文件电子、备份投标文件、纸质投标文件），其中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525681D3">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（二）投标文件的语言及计量</w:t>
      </w:r>
    </w:p>
    <w:p w14:paraId="6D173636">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▲1投标文件以及投标方与招标方就有关投标事宜的所有来往函电，均应以中文汉语书写。除签字、盖章、专用名称等特殊情形外，以中文汉语以外的文字表述的投标文件视同未提供。</w:t>
      </w:r>
    </w:p>
    <w:p w14:paraId="0F6BB135">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459A825F">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（三）投标报价</w:t>
      </w:r>
    </w:p>
    <w:p w14:paraId="536A4891">
      <w:pPr>
        <w:pStyle w:val="13"/>
        <w:adjustRightInd w:val="0"/>
        <w:snapToGrid w:val="0"/>
        <w:spacing w:line="360" w:lineRule="exact"/>
        <w:ind w:firstLine="420" w:firstLineChars="200"/>
        <w:jc w:val="left"/>
        <w:rPr>
          <w:rFonts w:hAnsi="宋体"/>
          <w:color w:val="auto"/>
          <w:kern w:val="2"/>
          <w:sz w:val="21"/>
          <w:highlight w:val="none"/>
        </w:rPr>
      </w:pPr>
      <w:r>
        <w:rPr>
          <w:rFonts w:hint="eastAsia" w:hAnsi="宋体"/>
          <w:color w:val="auto"/>
          <w:kern w:val="2"/>
          <w:sz w:val="21"/>
          <w:highlight w:val="none"/>
        </w:rPr>
        <w:t>1.投标报价应按招标文件中相关附表格式填写。投标人必须就《项目采购需求》中的服务内容作完整唯一报价。</w:t>
      </w:r>
    </w:p>
    <w:p w14:paraId="4570F4EF">
      <w:pPr>
        <w:pStyle w:val="13"/>
        <w:adjustRightInd w:val="0"/>
        <w:snapToGrid w:val="0"/>
        <w:spacing w:line="360" w:lineRule="exact"/>
        <w:ind w:firstLine="420" w:firstLineChars="200"/>
        <w:jc w:val="left"/>
        <w:rPr>
          <w:rFonts w:hAnsi="宋体"/>
          <w:color w:val="auto"/>
          <w:kern w:val="2"/>
          <w:sz w:val="21"/>
          <w:highlight w:val="none"/>
        </w:rPr>
      </w:pPr>
      <w:r>
        <w:rPr>
          <w:rFonts w:hint="eastAsia" w:hAnsi="宋体"/>
          <w:color w:val="auto"/>
          <w:kern w:val="2"/>
          <w:sz w:val="21"/>
          <w:highlight w:val="none"/>
        </w:rPr>
        <w:t>2. 经算术修正的投标报价投标报价是合同的价格，按实结算是最终结算价格（原则上不允许超过合同的价格）。</w:t>
      </w:r>
    </w:p>
    <w:p w14:paraId="266B6195">
      <w:pPr>
        <w:tabs>
          <w:tab w:val="left" w:pos="525"/>
        </w:tabs>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14:paraId="19F224C7">
      <w:pPr>
        <w:pStyle w:val="5"/>
        <w:tabs>
          <w:tab w:val="left" w:pos="720"/>
          <w:tab w:val="left" w:pos="840"/>
        </w:tabs>
        <w:adjustRightInd w:val="0"/>
        <w:snapToGrid w:val="0"/>
        <w:spacing w:line="360" w:lineRule="exact"/>
        <w:ind w:left="0" w:firstLine="422" w:firstLineChars="200"/>
        <w:rPr>
          <w:rFonts w:ascii="宋体" w:hAnsi="宋体"/>
          <w:b/>
          <w:color w:val="auto"/>
          <w:szCs w:val="21"/>
          <w:highlight w:val="none"/>
        </w:rPr>
      </w:pPr>
      <w:r>
        <w:rPr>
          <w:rFonts w:hint="eastAsia" w:ascii="宋体" w:hAnsi="宋体"/>
          <w:b/>
          <w:color w:val="auto"/>
          <w:szCs w:val="21"/>
          <w:highlight w:val="none"/>
        </w:rPr>
        <w:t>（四）投标文件的有效期</w:t>
      </w:r>
    </w:p>
    <w:p w14:paraId="7BA29E46">
      <w:pPr>
        <w:pStyle w:val="13"/>
        <w:adjustRightInd w:val="0"/>
        <w:snapToGrid w:val="0"/>
        <w:spacing w:line="360" w:lineRule="exact"/>
        <w:ind w:firstLine="420" w:firstLineChars="200"/>
        <w:jc w:val="left"/>
        <w:rPr>
          <w:rFonts w:hAnsi="宋体"/>
          <w:color w:val="auto"/>
          <w:kern w:val="2"/>
          <w:sz w:val="21"/>
          <w:highlight w:val="none"/>
        </w:rPr>
      </w:pPr>
      <w:r>
        <w:rPr>
          <w:rFonts w:hint="eastAsia" w:hAnsi="宋体"/>
          <w:color w:val="auto"/>
          <w:kern w:val="2"/>
          <w:sz w:val="21"/>
          <w:highlight w:val="none"/>
        </w:rPr>
        <w:t>1.自投标截止日起60天投标文件应保持有效。有效期不足的投标文件将被拒绝。</w:t>
      </w:r>
    </w:p>
    <w:p w14:paraId="5624E09E">
      <w:pPr>
        <w:pStyle w:val="13"/>
        <w:adjustRightInd w:val="0"/>
        <w:snapToGrid w:val="0"/>
        <w:spacing w:line="360" w:lineRule="exact"/>
        <w:ind w:firstLine="420" w:firstLineChars="200"/>
        <w:jc w:val="left"/>
        <w:rPr>
          <w:rFonts w:hAnsi="宋体"/>
          <w:color w:val="auto"/>
          <w:kern w:val="2"/>
          <w:sz w:val="21"/>
          <w:highlight w:val="none"/>
        </w:rPr>
      </w:pPr>
      <w:r>
        <w:rPr>
          <w:rFonts w:hint="eastAsia" w:hAnsi="宋体"/>
          <w:color w:val="auto"/>
          <w:kern w:val="2"/>
          <w:sz w:val="21"/>
          <w:highlight w:val="none"/>
        </w:rPr>
        <w:t>2.在特殊情况下，</w:t>
      </w:r>
      <w:r>
        <w:rPr>
          <w:rFonts w:hint="eastAsia" w:hAnsi="宋体" w:cs="宋体"/>
          <w:color w:val="auto"/>
          <w:sz w:val="21"/>
          <w:highlight w:val="none"/>
          <w:lang w:bidi="ar"/>
        </w:rPr>
        <w:t>采购</w:t>
      </w:r>
      <w:r>
        <w:rPr>
          <w:rFonts w:hint="eastAsia" w:hAnsi="宋体"/>
          <w:color w:val="auto"/>
          <w:kern w:val="2"/>
          <w:sz w:val="21"/>
          <w:highlight w:val="none"/>
        </w:rPr>
        <w:t>人可与投标人协商延长投标书的有效期，这种要求和答复均以书面形式进行。</w:t>
      </w:r>
    </w:p>
    <w:p w14:paraId="432FC4AF">
      <w:pPr>
        <w:pStyle w:val="13"/>
        <w:adjustRightInd w:val="0"/>
        <w:snapToGrid w:val="0"/>
        <w:spacing w:line="360" w:lineRule="exact"/>
        <w:ind w:firstLine="420" w:firstLineChars="200"/>
        <w:jc w:val="left"/>
        <w:rPr>
          <w:rFonts w:hAnsi="宋体"/>
          <w:color w:val="auto"/>
          <w:kern w:val="2"/>
          <w:sz w:val="21"/>
          <w:highlight w:val="none"/>
        </w:rPr>
      </w:pPr>
      <w:bookmarkStart w:id="4" w:name="_Toc254970540"/>
      <w:bookmarkStart w:id="5" w:name="_Toc254970681"/>
      <w:r>
        <w:rPr>
          <w:rFonts w:hint="eastAsia" w:hAnsi="宋体"/>
          <w:color w:val="auto"/>
          <w:kern w:val="2"/>
          <w:sz w:val="21"/>
          <w:highlight w:val="none"/>
        </w:rPr>
        <w:t>3.中标人的投标文件自开标之日起至合同履行完毕止均应保持有效。</w:t>
      </w:r>
      <w:bookmarkEnd w:id="4"/>
      <w:bookmarkEnd w:id="5"/>
    </w:p>
    <w:p w14:paraId="30E722DB">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（五）投标保证金</w:t>
      </w:r>
    </w:p>
    <w:p w14:paraId="5DBD3267">
      <w:pPr>
        <w:autoSpaceDE w:val="0"/>
        <w:autoSpaceDN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不收取投标保证金。</w:t>
      </w:r>
      <w:r>
        <w:rPr>
          <w:rFonts w:hint="eastAsia" w:ascii="宋体" w:hAnsi="宋体"/>
          <w:color w:val="auto"/>
          <w:szCs w:val="21"/>
          <w:highlight w:val="none"/>
        </w:rPr>
        <w:t>供应商在采购活动中违反相关法律法规规章规定的，本公司将报告政府采购监督管理部门，由政府采购监督管理部门依照相关规定作出处理。</w:t>
      </w:r>
    </w:p>
    <w:p w14:paraId="27B8366B">
      <w:pPr>
        <w:adjustRightInd w:val="0"/>
        <w:snapToGrid w:val="0"/>
        <w:spacing w:line="360" w:lineRule="exact"/>
        <w:ind w:firstLine="422" w:firstLineChars="200"/>
        <w:rPr>
          <w:rFonts w:ascii="宋体" w:hAnsi="宋体"/>
          <w:color w:val="auto"/>
          <w:highlight w:val="none"/>
        </w:rPr>
      </w:pPr>
      <w:r>
        <w:rPr>
          <w:rFonts w:hint="eastAsia" w:ascii="宋体" w:hAnsi="宋体"/>
          <w:b/>
          <w:color w:val="auto"/>
          <w:szCs w:val="21"/>
          <w:highlight w:val="none"/>
        </w:rPr>
        <w:t>（六）投标文件的签署和份数</w:t>
      </w:r>
    </w:p>
    <w:p w14:paraId="6FCECBE7">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 xml:space="preserve"> </w:t>
      </w:r>
      <w:r>
        <w:rPr>
          <w:rFonts w:hint="eastAsia" w:ascii="宋体"/>
          <w:color w:val="auto"/>
          <w:szCs w:val="21"/>
          <w:highlight w:val="none"/>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14:paraId="7D0367E4">
      <w:pPr>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2.电子投标文件中须加盖供应商公章部分均采用 CA 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14:paraId="274EFD0F">
      <w:pPr>
        <w:snapToGrid w:val="0"/>
        <w:spacing w:line="36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3.投标文件中涉及签字或盖章的位置未按要求签字或盖章的，提供的材料视为无效。</w:t>
      </w:r>
    </w:p>
    <w:p w14:paraId="0B32C0A1">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4.投标文件不得涂改，若有修改错漏处，须加盖单位公章或者法定代表人（负责人）或授权委托人签字或盖章。投标文件因字迹潦草或表达不清所引起的后果由供应商负责。</w:t>
      </w:r>
    </w:p>
    <w:p w14:paraId="63078186">
      <w:pPr>
        <w:adjustRightInd w:val="0"/>
        <w:snapToGrid w:val="0"/>
        <w:spacing w:line="36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（七）投标文件的包装、递交、修改和撤回</w:t>
      </w:r>
    </w:p>
    <w:p w14:paraId="060163E3">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rPr>
        <w:t xml:space="preserve">1. </w:t>
      </w:r>
      <w:r>
        <w:rPr>
          <w:rFonts w:hint="eastAsia" w:ascii="宋体"/>
          <w:color w:val="auto"/>
          <w:szCs w:val="21"/>
          <w:highlight w:val="none"/>
        </w:rPr>
        <w:t>投标人应将电子备份投标文件、纸质文件分别</w:t>
      </w:r>
      <w:r>
        <w:rPr>
          <w:rFonts w:hint="eastAsia"/>
          <w:color w:val="auto"/>
          <w:highlight w:val="none"/>
        </w:rPr>
        <w:t>装入到一个投标文件袋内加以密封</w:t>
      </w:r>
      <w:r>
        <w:rPr>
          <w:rFonts w:hint="eastAsia" w:ascii="宋体"/>
          <w:color w:val="auto"/>
          <w:spacing w:val="-2"/>
          <w:szCs w:val="21"/>
          <w:highlight w:val="none"/>
        </w:rPr>
        <w:t>（要求文件袋无明显缝隙露出袋内文件）</w:t>
      </w:r>
      <w:r>
        <w:rPr>
          <w:rFonts w:hint="eastAsia"/>
          <w:color w:val="auto"/>
          <w:highlight w:val="none"/>
        </w:rPr>
        <w:t>；</w:t>
      </w:r>
      <w:r>
        <w:rPr>
          <w:rFonts w:hint="eastAsia" w:ascii="宋体"/>
          <w:color w:val="auto"/>
          <w:szCs w:val="21"/>
          <w:highlight w:val="none"/>
        </w:rPr>
        <w:t>投标</w:t>
      </w:r>
      <w:r>
        <w:rPr>
          <w:rFonts w:hint="eastAsia" w:ascii="宋体"/>
          <w:color w:val="auto"/>
          <w:spacing w:val="-2"/>
          <w:szCs w:val="21"/>
          <w:highlight w:val="none"/>
        </w:rPr>
        <w:t>文件袋在每一封贴处密封签章【公章、密封章、法定代表人（负责人）、委托代理人签字等均可】。</w:t>
      </w:r>
    </w:p>
    <w:p w14:paraId="12457E7C">
      <w:pPr>
        <w:snapToGrid w:val="0"/>
        <w:spacing w:line="360" w:lineRule="exact"/>
        <w:ind w:firstLine="420"/>
        <w:jc w:val="left"/>
        <w:rPr>
          <w:rFonts w:ascii="宋体" w:hAnsi="宋体"/>
          <w:color w:val="auto"/>
          <w:szCs w:val="21"/>
          <w:highlight w:val="none"/>
        </w:rPr>
      </w:pPr>
      <w:r>
        <w:rPr>
          <w:rFonts w:hint="eastAsia" w:ascii="宋体"/>
          <w:color w:val="auto"/>
          <w:szCs w:val="21"/>
          <w:highlight w:val="none"/>
        </w:rPr>
        <w:t>电子备份</w:t>
      </w:r>
      <w:r>
        <w:rPr>
          <w:rFonts w:hint="eastAsia" w:ascii="宋体" w:hAnsi="宋体"/>
          <w:color w:val="auto"/>
          <w:szCs w:val="21"/>
          <w:highlight w:val="none"/>
        </w:rPr>
        <w:t>投标</w:t>
      </w:r>
      <w:r>
        <w:rPr>
          <w:rFonts w:hint="eastAsia" w:ascii="宋体"/>
          <w:color w:val="auto"/>
          <w:spacing w:val="-2"/>
          <w:szCs w:val="21"/>
          <w:highlight w:val="none"/>
        </w:rPr>
        <w:t>文件袋</w:t>
      </w:r>
      <w:r>
        <w:rPr>
          <w:rFonts w:hint="eastAsia" w:ascii="宋体" w:hAnsi="宋体"/>
          <w:color w:val="auto"/>
          <w:szCs w:val="21"/>
          <w:highlight w:val="none"/>
        </w:rPr>
        <w:t>的包装封面上应注明投标人名称、投标人地址、投标文件名称（</w:t>
      </w:r>
      <w:r>
        <w:rPr>
          <w:rFonts w:hint="eastAsia" w:ascii="宋体"/>
          <w:color w:val="auto"/>
          <w:szCs w:val="21"/>
          <w:highlight w:val="none"/>
        </w:rPr>
        <w:t>电子备份</w:t>
      </w:r>
      <w:r>
        <w:rPr>
          <w:rFonts w:hint="eastAsia" w:ascii="宋体" w:hAnsi="宋体"/>
          <w:color w:val="auto"/>
          <w:szCs w:val="21"/>
          <w:highlight w:val="none"/>
        </w:rPr>
        <w:t>投标</w:t>
      </w:r>
      <w:r>
        <w:rPr>
          <w:rFonts w:hint="eastAsia" w:ascii="宋体"/>
          <w:color w:val="auto"/>
          <w:spacing w:val="-2"/>
          <w:szCs w:val="21"/>
          <w:highlight w:val="none"/>
        </w:rPr>
        <w:t>文件</w:t>
      </w:r>
      <w:r>
        <w:rPr>
          <w:rFonts w:hint="eastAsia" w:ascii="宋体" w:hAnsi="宋体"/>
          <w:color w:val="auto"/>
          <w:szCs w:val="21"/>
          <w:highlight w:val="none"/>
        </w:rPr>
        <w:t>）、投标项目名称、项目编号、并加盖投标人公章，并</w:t>
      </w:r>
      <w:r>
        <w:rPr>
          <w:rFonts w:hint="eastAsia" w:hAnsi="宋体"/>
          <w:color w:val="auto"/>
          <w:highlight w:val="none"/>
        </w:rPr>
        <w:t>注明“开标时才能启封”。</w:t>
      </w:r>
    </w:p>
    <w:p w14:paraId="436F4BA6">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rPr>
        <w:t>2.</w:t>
      </w:r>
      <w:r>
        <w:rPr>
          <w:rFonts w:hint="eastAsia"/>
          <w:color w:val="auto"/>
          <w:highlight w:val="none"/>
        </w:rPr>
        <w:t>逾期送达或者未按照招标文件要求密封的</w:t>
      </w:r>
      <w:r>
        <w:rPr>
          <w:rFonts w:hint="eastAsia" w:ascii="宋体"/>
          <w:color w:val="auto"/>
          <w:szCs w:val="21"/>
          <w:highlight w:val="none"/>
        </w:rPr>
        <w:t>电子备份</w:t>
      </w:r>
      <w:r>
        <w:rPr>
          <w:rFonts w:hint="eastAsia"/>
          <w:color w:val="auto"/>
          <w:highlight w:val="none"/>
        </w:rPr>
        <w:t>投标文件将被拒绝，由此造成</w:t>
      </w:r>
      <w:r>
        <w:rPr>
          <w:rFonts w:hint="eastAsia" w:ascii="宋体"/>
          <w:color w:val="auto"/>
          <w:szCs w:val="21"/>
          <w:highlight w:val="none"/>
        </w:rPr>
        <w:t>电子备份</w:t>
      </w:r>
      <w:r>
        <w:rPr>
          <w:rFonts w:hint="eastAsia"/>
          <w:color w:val="auto"/>
          <w:highlight w:val="none"/>
        </w:rPr>
        <w:t>投标文件被误投或提前拆封的风险由投标人承担。</w:t>
      </w:r>
    </w:p>
    <w:p w14:paraId="5AF907BE">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rPr>
        <w:t>3.投标人在投标截止时间之前，可以对已提交的</w:t>
      </w:r>
      <w:r>
        <w:rPr>
          <w:rFonts w:hint="eastAsia" w:ascii="宋体"/>
          <w:color w:val="auto"/>
          <w:szCs w:val="21"/>
          <w:highlight w:val="none"/>
        </w:rPr>
        <w:t>电子备份</w:t>
      </w:r>
      <w:r>
        <w:rPr>
          <w:rFonts w:hint="eastAsia" w:ascii="宋体" w:hAnsi="宋体"/>
          <w:color w:val="auto"/>
          <w:szCs w:val="21"/>
          <w:highlight w:val="none"/>
        </w:rPr>
        <w:t>投标文件进行修改或撤回，并书面通知采购人；投标截止时间后，投标人不得撤回、修改</w:t>
      </w:r>
      <w:r>
        <w:rPr>
          <w:rFonts w:hint="eastAsia" w:ascii="宋体"/>
          <w:color w:val="auto"/>
          <w:szCs w:val="21"/>
          <w:highlight w:val="none"/>
        </w:rPr>
        <w:t>电子备份</w:t>
      </w:r>
      <w:r>
        <w:rPr>
          <w:rFonts w:hint="eastAsia" w:ascii="宋体" w:hAnsi="宋体"/>
          <w:color w:val="auto"/>
          <w:szCs w:val="21"/>
          <w:highlight w:val="none"/>
        </w:rPr>
        <w:t>投标文件。修改后重新递交的</w:t>
      </w:r>
      <w:r>
        <w:rPr>
          <w:rFonts w:hint="eastAsia" w:ascii="宋体"/>
          <w:color w:val="auto"/>
          <w:szCs w:val="21"/>
          <w:highlight w:val="none"/>
        </w:rPr>
        <w:t>电子备份</w:t>
      </w:r>
      <w:r>
        <w:rPr>
          <w:rFonts w:hint="eastAsia" w:ascii="宋体" w:hAnsi="宋体"/>
          <w:color w:val="auto"/>
          <w:szCs w:val="21"/>
          <w:highlight w:val="none"/>
        </w:rPr>
        <w:t>投标文件应当按本招标文件的要求签署、盖章和密封。</w:t>
      </w:r>
    </w:p>
    <w:p w14:paraId="1CC367CA">
      <w:pPr>
        <w:snapToGrid w:val="0"/>
        <w:spacing w:line="360" w:lineRule="exact"/>
        <w:ind w:firstLine="420"/>
        <w:jc w:val="left"/>
        <w:rPr>
          <w:rFonts w:ascii="宋体" w:hAnsi="宋体"/>
          <w:color w:val="auto"/>
          <w:spacing w:val="-4"/>
          <w:szCs w:val="21"/>
          <w:highlight w:val="none"/>
        </w:rPr>
      </w:pPr>
      <w:bookmarkStart w:id="6" w:name="_Toc254970684"/>
      <w:bookmarkStart w:id="7" w:name="_Toc254970543"/>
      <w:r>
        <w:rPr>
          <w:rFonts w:hint="eastAsia" w:ascii="宋体" w:hAnsi="宋体"/>
          <w:color w:val="auto"/>
          <w:spacing w:val="-4"/>
          <w:szCs w:val="21"/>
          <w:highlight w:val="none"/>
        </w:rPr>
        <w:t>4.投标人已经被推荐为第一中标候选供应商后撤回投标或放弃中标的，给</w:t>
      </w:r>
      <w:r>
        <w:rPr>
          <w:rFonts w:ascii="宋体" w:hAnsi="宋体"/>
          <w:color w:val="auto"/>
          <w:spacing w:val="-4"/>
          <w:szCs w:val="21"/>
          <w:highlight w:val="none"/>
        </w:rPr>
        <w:t>采购人造成损失的，应当赔偿损失，并作为不良行为记录在案。</w:t>
      </w:r>
    </w:p>
    <w:p w14:paraId="3C9E5302">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 xml:space="preserve">5. </w:t>
      </w:r>
      <w:r>
        <w:rPr>
          <w:rFonts w:hint="eastAsia" w:ascii="宋体" w:hAnsi="宋体"/>
          <w:b/>
          <w:color w:val="auto"/>
          <w:szCs w:val="21"/>
          <w:highlight w:val="none"/>
        </w:rPr>
        <w:t>投标文件的</w:t>
      </w:r>
      <w:r>
        <w:rPr>
          <w:rFonts w:hint="eastAsia" w:ascii="宋体" w:hAnsi="宋体"/>
          <w:b/>
          <w:color w:val="auto"/>
          <w:spacing w:val="-4"/>
          <w:szCs w:val="21"/>
          <w:highlight w:val="none"/>
        </w:rPr>
        <w:t>递交</w:t>
      </w:r>
    </w:p>
    <w:p w14:paraId="6BDE7A14">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5.1所有投标文件应于招标文件中规定的时间上传递交至政采云平台。还提供电子备份投标文件及纸质版投标文件的，应当在投标截止时间前按要求密封并送达广西合浦县廉州镇廉州大道442号合浦盛泰苑2幢二单元201号房，逾期送达或未按要求密封将被拒收。</w:t>
      </w:r>
    </w:p>
    <w:p w14:paraId="0F485EC2">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邮寄地址：广西合浦县廉州镇廉州大道442号合浦盛泰苑2幢二单元201号房，联系人：潘工，电话：0779-7296939。</w:t>
      </w:r>
    </w:p>
    <w:p w14:paraId="074224E3">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本公司拒收到付邮件，通过邮寄方式送达的，请合理安排邮寄时间，因邮寄原因未能在规定时间内送达的后果由投标供应商自行承担。</w:t>
      </w:r>
    </w:p>
    <w:p w14:paraId="38F5800A">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5.2电子投标文件的相关说明</w:t>
      </w:r>
    </w:p>
    <w:p w14:paraId="413B7872">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C94104">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（2）供应商在电子交易平台传输递交投标文件后，还可以在投标截止时间前提交</w:t>
      </w:r>
      <w:r>
        <w:rPr>
          <w:rFonts w:hint="eastAsia" w:hAnsi="宋体" w:cs="宋体"/>
          <w:b/>
          <w:color w:val="auto"/>
          <w:szCs w:val="21"/>
          <w:highlight w:val="none"/>
        </w:rPr>
        <w:t>电子备份投标文件</w:t>
      </w:r>
      <w:r>
        <w:rPr>
          <w:rFonts w:hint="eastAsia" w:ascii="宋体" w:hAnsi="宋体"/>
          <w:b/>
          <w:color w:val="auto"/>
          <w:spacing w:val="-4"/>
          <w:szCs w:val="21"/>
          <w:highlight w:val="none"/>
        </w:rPr>
        <w:t>，若供应商未提交</w:t>
      </w:r>
      <w:r>
        <w:rPr>
          <w:rFonts w:hint="eastAsia" w:hAnsi="宋体" w:cs="宋体"/>
          <w:b/>
          <w:color w:val="auto"/>
          <w:szCs w:val="21"/>
          <w:highlight w:val="none"/>
        </w:rPr>
        <w:t>电子备份投标文件</w:t>
      </w:r>
      <w:r>
        <w:rPr>
          <w:rFonts w:hint="eastAsia" w:ascii="宋体" w:hAnsi="宋体"/>
          <w:b/>
          <w:color w:val="auto"/>
          <w:spacing w:val="-4"/>
          <w:szCs w:val="21"/>
          <w:highlight w:val="none"/>
        </w:rPr>
        <w:t>，其后果由供应商自行承担。</w:t>
      </w:r>
    </w:p>
    <w:p w14:paraId="0F562147">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（3）如有特殊情况，本公司延长截止时间和开标时间，本公司和供应商的权利和义务将受到新的截止时间和开标时间的约束。</w:t>
      </w:r>
    </w:p>
    <w:bookmarkEnd w:id="6"/>
    <w:bookmarkEnd w:id="7"/>
    <w:p w14:paraId="18AAE01E">
      <w:pPr>
        <w:snapToGrid w:val="0"/>
        <w:spacing w:line="360" w:lineRule="exact"/>
        <w:ind w:firstLine="420"/>
        <w:jc w:val="left"/>
        <w:rPr>
          <w:rFonts w:ascii="宋体" w:hAnsi="宋体"/>
          <w:b/>
          <w:color w:val="auto"/>
          <w:szCs w:val="21"/>
          <w:highlight w:val="none"/>
        </w:rPr>
      </w:pPr>
      <w:r>
        <w:rPr>
          <w:rFonts w:hint="eastAsia" w:ascii="宋体" w:hAnsi="宋体"/>
          <w:b/>
          <w:color w:val="auto"/>
          <w:szCs w:val="21"/>
          <w:highlight w:val="none"/>
        </w:rPr>
        <w:t>（八）投标无效的情形</w:t>
      </w:r>
    </w:p>
    <w:p w14:paraId="67936A06">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3BDECBC">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1.在符合性审查和资格性审查时，如发现下列情形之一的，投标文件将被视为无效：</w:t>
      </w:r>
    </w:p>
    <w:p w14:paraId="348B8A95">
      <w:pPr>
        <w:pStyle w:val="11"/>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（1）超越了按照法律法规规定必须获得行政许可或者行政审批的经营范围的；</w:t>
      </w:r>
    </w:p>
    <w:p w14:paraId="5B5015BF">
      <w:pPr>
        <w:pStyle w:val="11"/>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（2）资格证明文件不全的，或者不符合招标文件标明的资格要求的；</w:t>
      </w:r>
    </w:p>
    <w:p w14:paraId="71F6979F">
      <w:pPr>
        <w:pStyle w:val="11"/>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（3）投标文件无法定代表人（负责人）或其授权委托代理人签字或盖章，或未提供法定代表人（负责人）授权委托书、投标声明书或者填写项目不齐全的；</w:t>
      </w:r>
    </w:p>
    <w:p w14:paraId="23511734">
      <w:pPr>
        <w:pStyle w:val="11"/>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（4）投标代表人未能出具身份证明或与法定代表人（负责人）授权委托人身份不符的；</w:t>
      </w:r>
    </w:p>
    <w:p w14:paraId="346B9F97">
      <w:pPr>
        <w:pStyle w:val="11"/>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（5）项目不齐全或者内容虚假的；</w:t>
      </w:r>
    </w:p>
    <w:p w14:paraId="1DBC1F01">
      <w:pPr>
        <w:pStyle w:val="11"/>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（6）投标文件的实质性内容未使用中文表述、意思表述不明确、前后矛盾或者使用计量单位不符合投标文件要求的（经评标委员会认定并允许其当场更正的笔误除外）；</w:t>
      </w:r>
    </w:p>
    <w:p w14:paraId="7E469840">
      <w:pPr>
        <w:pStyle w:val="11"/>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（7）投标有效期、交付使用时间、质保期等商务条款不能满足招标文件要求的；</w:t>
      </w:r>
    </w:p>
    <w:p w14:paraId="4986B946">
      <w:pPr>
        <w:pStyle w:val="11"/>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（8）未实质性响应招标文件要求或者投标文件有招标方不能接受的附加条件的；</w:t>
      </w:r>
    </w:p>
    <w:p w14:paraId="4546BAE8">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2.在技术评审时，如发现下列情形之一的，投标文件将被视为无效：</w:t>
      </w:r>
    </w:p>
    <w:p w14:paraId="62ECADF6">
      <w:pPr>
        <w:pStyle w:val="11"/>
        <w:snapToGrid w:val="0"/>
        <w:spacing w:line="360" w:lineRule="exact"/>
        <w:ind w:firstLine="404" w:firstLineChars="20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（1）未提供或未如实提供货物技术参数或服务响应，或投标文件标明的响应或偏离与事实不符的；</w:t>
      </w:r>
    </w:p>
    <w:p w14:paraId="42FB18ED">
      <w:pPr>
        <w:pStyle w:val="11"/>
        <w:snapToGrid w:val="0"/>
        <w:spacing w:line="360" w:lineRule="exact"/>
        <w:ind w:firstLine="404" w:firstLineChars="20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w:t>
      </w:r>
      <w:r>
        <w:rPr>
          <w:rFonts w:ascii="宋体" w:hAnsi="宋体" w:eastAsia="宋体"/>
          <w:color w:val="auto"/>
          <w:spacing w:val="-4"/>
          <w:sz w:val="21"/>
          <w:szCs w:val="21"/>
          <w:highlight w:val="none"/>
        </w:rPr>
        <w:t>2</w:t>
      </w:r>
      <w:r>
        <w:rPr>
          <w:rFonts w:hint="eastAsia" w:ascii="宋体" w:hAnsi="宋体" w:eastAsia="宋体"/>
          <w:color w:val="auto"/>
          <w:spacing w:val="-4"/>
          <w:sz w:val="21"/>
          <w:szCs w:val="21"/>
          <w:highlight w:val="none"/>
        </w:rPr>
        <w:t>）明显不符合招标文件要求的质量标准，或者与招标文件中的技术指标、功能、服务事项发生实质性较大偏离，已不符合采购人需求的；</w:t>
      </w:r>
    </w:p>
    <w:p w14:paraId="1FA63A1A">
      <w:pPr>
        <w:pStyle w:val="11"/>
        <w:snapToGrid w:val="0"/>
        <w:spacing w:line="360" w:lineRule="exact"/>
        <w:ind w:firstLine="404" w:firstLineChars="20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（3）投标文件技术方案不明确，存在一个或一个以上备选（替代）投标方案的。</w:t>
      </w:r>
    </w:p>
    <w:p w14:paraId="4FDFB9B0">
      <w:pPr>
        <w:pStyle w:val="11"/>
        <w:snapToGrid w:val="0"/>
        <w:spacing w:line="360" w:lineRule="exact"/>
        <w:ind w:firstLine="404" w:firstLineChars="20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（4）与其他参加本次投标供应商的投标文件（技术文件）的文字表述内容差错相同二处以上的</w:t>
      </w:r>
    </w:p>
    <w:p w14:paraId="701201FF">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3.在报价评审时，如发现下列情形之一的，投标文件将被视为无效：</w:t>
      </w:r>
    </w:p>
    <w:p w14:paraId="0C87169F">
      <w:pPr>
        <w:pStyle w:val="11"/>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（1）未采用人民币报价或者未按照招标文件标明的币种报价的；</w:t>
      </w:r>
    </w:p>
    <w:p w14:paraId="4929D488">
      <w:pPr>
        <w:pStyle w:val="11"/>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（2）报价超出最高限价，或者超出采购预算金额，采购人不能支付的；</w:t>
      </w:r>
    </w:p>
    <w:p w14:paraId="1BAF1AC5">
      <w:pPr>
        <w:pStyle w:val="11"/>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（3）投标报价具有选择性，或者开标价格与投标文件承诺的优惠（折扣）价格不一致的。</w:t>
      </w:r>
    </w:p>
    <w:p w14:paraId="652706F1">
      <w:pPr>
        <w:pStyle w:val="11"/>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（4）</w:t>
      </w:r>
      <w:r>
        <w:rPr>
          <w:rFonts w:ascii="宋体" w:hAnsi="宋体" w:eastAsia="宋体"/>
          <w:color w:val="auto"/>
          <w:spacing w:val="-4"/>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eastAsia="宋体"/>
          <w:color w:val="auto"/>
          <w:spacing w:val="-4"/>
          <w:sz w:val="21"/>
          <w:szCs w:val="21"/>
          <w:highlight w:val="none"/>
        </w:rPr>
        <w:t>。</w:t>
      </w:r>
    </w:p>
    <w:p w14:paraId="6ABDD1BE">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4.有下列情形之一的视为投标人相互串通投标，投标文件将被视为无效:</w:t>
      </w:r>
    </w:p>
    <w:p w14:paraId="3FFB569C">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（1）不同投标人的投标文件由同一单位或者个人编制；或不同投标人报名的IP地址一致的；</w:t>
      </w:r>
    </w:p>
    <w:p w14:paraId="2253A5E6">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（2）不同投标人委托同一单位或者个人办理投标事宜；</w:t>
      </w:r>
    </w:p>
    <w:p w14:paraId="41B0F1D4">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（3）不同投标人的投标文件载明的项目管理成员或者联系人员为同一人；</w:t>
      </w:r>
    </w:p>
    <w:p w14:paraId="776CC680">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（4）不同投标人的投标文件异常一致或投标报价呈规律性差异；</w:t>
      </w:r>
    </w:p>
    <w:p w14:paraId="1F2EAED6">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（5）不同投标人的投标文件相互混装；</w:t>
      </w:r>
    </w:p>
    <w:p w14:paraId="3C8CF6E9">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（6）不同投标人的投标保证金从同一个单位或者个人账户转出。</w:t>
      </w:r>
    </w:p>
    <w:p w14:paraId="6627B614">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5.有下列情形之一的视为关联供应商参加同一合同项下政府采购活动，投标文件将被视为无效:</w:t>
      </w:r>
    </w:p>
    <w:p w14:paraId="02C946ED">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（1）单位负责人为同一人或者存在直接控股、管理关系的不同供应商，参加同一合同项下的政府采购活动；</w:t>
      </w:r>
    </w:p>
    <w:p w14:paraId="3AB0BC4C">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（2）生产厂商授权给供应商后又参加同一合同项下的政府采购活动。</w:t>
      </w:r>
    </w:p>
    <w:p w14:paraId="63962AD4">
      <w:pPr>
        <w:pStyle w:val="11"/>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6.被拒绝的投标文件为无效。</w:t>
      </w:r>
    </w:p>
    <w:p w14:paraId="3C279FA4">
      <w:pPr>
        <w:adjustRightInd w:val="0"/>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（九）供应商有下列情形之一的，属于恶意串通行为：</w:t>
      </w:r>
    </w:p>
    <w:p w14:paraId="1907EA34">
      <w:pPr>
        <w:adjustRightInd w:val="0"/>
        <w:snapToGrid w:val="0"/>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1.供应商直接或者间接从采购人或者采购代理机构处获得其他供应商的相关信息并修改其投标文件或者响应文件;</w:t>
      </w:r>
    </w:p>
    <w:p w14:paraId="7CD1BD2F">
      <w:pPr>
        <w:adjustRightInd w:val="0"/>
        <w:snapToGrid w:val="0"/>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2.供应商按照采购人或者采购代理机构的授意撤换、修改投标文件或者响应文件;</w:t>
      </w:r>
    </w:p>
    <w:p w14:paraId="5939EF8D">
      <w:pPr>
        <w:adjustRightInd w:val="0"/>
        <w:snapToGrid w:val="0"/>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3.供应商之间协商报价、技术方案等投标文件或者响应文件的实质性内容;</w:t>
      </w:r>
    </w:p>
    <w:p w14:paraId="235EC732">
      <w:pPr>
        <w:adjustRightInd w:val="0"/>
        <w:snapToGrid w:val="0"/>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14:paraId="276DC5FE">
      <w:pPr>
        <w:adjustRightInd w:val="0"/>
        <w:snapToGrid w:val="0"/>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4D76CED2">
      <w:pPr>
        <w:adjustRightInd w:val="0"/>
        <w:snapToGrid w:val="0"/>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14:paraId="3A167F2E">
      <w:pPr>
        <w:adjustRightInd w:val="0"/>
        <w:snapToGrid w:val="0"/>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14:paraId="45847611">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供应商存在以上恶意串通情形的，根据《中华人民共和国政府采购法》第七十二条及《中华人民共和国政府采购法实施条例》第七十四条规定进行处理。</w:t>
      </w:r>
    </w:p>
    <w:p w14:paraId="347D6FC6">
      <w:pPr>
        <w:pStyle w:val="13"/>
        <w:adjustRightInd w:val="0"/>
        <w:snapToGrid w:val="0"/>
        <w:spacing w:line="360" w:lineRule="exact"/>
        <w:ind w:firstLine="422" w:firstLineChars="200"/>
        <w:rPr>
          <w:rFonts w:hAnsi="宋体"/>
          <w:b/>
          <w:color w:val="auto"/>
          <w:sz w:val="21"/>
          <w:highlight w:val="none"/>
        </w:rPr>
      </w:pPr>
      <w:r>
        <w:rPr>
          <w:rFonts w:hint="eastAsia" w:hAnsi="宋体"/>
          <w:b/>
          <w:color w:val="auto"/>
          <w:sz w:val="21"/>
          <w:highlight w:val="none"/>
        </w:rPr>
        <w:t>（十）废标</w:t>
      </w:r>
    </w:p>
    <w:p w14:paraId="55617400">
      <w:pPr>
        <w:pStyle w:val="13"/>
        <w:adjustRightInd w:val="0"/>
        <w:snapToGrid w:val="0"/>
        <w:spacing w:line="360" w:lineRule="exact"/>
        <w:ind w:firstLine="422" w:firstLineChars="200"/>
        <w:rPr>
          <w:rFonts w:hAnsi="宋体"/>
          <w:b/>
          <w:color w:val="auto"/>
          <w:sz w:val="21"/>
          <w:highlight w:val="none"/>
        </w:rPr>
      </w:pPr>
      <w:r>
        <w:rPr>
          <w:rFonts w:hint="eastAsia" w:hAnsi="宋体"/>
          <w:b/>
          <w:color w:val="auto"/>
          <w:sz w:val="21"/>
          <w:highlight w:val="none"/>
        </w:rPr>
        <w:t>1.</w:t>
      </w:r>
      <w:r>
        <w:rPr>
          <w:rFonts w:hAnsi="宋体"/>
          <w:b/>
          <w:color w:val="auto"/>
          <w:sz w:val="21"/>
          <w:highlight w:val="none"/>
        </w:rPr>
        <w:t>招标采购</w:t>
      </w:r>
      <w:r>
        <w:rPr>
          <w:rFonts w:hint="eastAsia" w:hAnsi="宋体"/>
          <w:b/>
          <w:color w:val="auto"/>
          <w:sz w:val="21"/>
          <w:highlight w:val="none"/>
        </w:rPr>
        <w:t>项目</w:t>
      </w:r>
      <w:r>
        <w:rPr>
          <w:rFonts w:hAnsi="宋体"/>
          <w:b/>
          <w:color w:val="auto"/>
          <w:sz w:val="21"/>
          <w:highlight w:val="none"/>
        </w:rPr>
        <w:t>出现下列情形之一的，</w:t>
      </w:r>
      <w:r>
        <w:rPr>
          <w:rFonts w:hint="eastAsia" w:hAnsi="宋体"/>
          <w:b/>
          <w:color w:val="auto"/>
          <w:sz w:val="21"/>
          <w:highlight w:val="none"/>
        </w:rPr>
        <w:t>将</w:t>
      </w:r>
      <w:r>
        <w:rPr>
          <w:rFonts w:hAnsi="宋体"/>
          <w:b/>
          <w:color w:val="auto"/>
          <w:sz w:val="21"/>
          <w:highlight w:val="none"/>
        </w:rPr>
        <w:t>予废标：</w:t>
      </w:r>
    </w:p>
    <w:p w14:paraId="2520662F">
      <w:pPr>
        <w:widowControl/>
        <w:adjustRightInd w:val="0"/>
        <w:snapToGrid w:val="0"/>
        <w:spacing w:line="360" w:lineRule="exact"/>
        <w:ind w:firstLine="514" w:firstLineChars="245"/>
        <w:jc w:val="left"/>
        <w:rPr>
          <w:rFonts w:ascii="宋体" w:hAnsi="宋体"/>
          <w:color w:val="auto"/>
          <w:szCs w:val="21"/>
          <w:highlight w:val="none"/>
        </w:rPr>
      </w:pPr>
      <w:r>
        <w:rPr>
          <w:rFonts w:hint="eastAsia" w:ascii="宋体" w:hAnsi="宋体"/>
          <w:color w:val="auto"/>
          <w:szCs w:val="21"/>
          <w:highlight w:val="none"/>
        </w:rPr>
        <w:t>（1）截标后整个招标项目的投标人不足三家的或实质性响应不足法定三家的；</w:t>
      </w:r>
    </w:p>
    <w:p w14:paraId="32930408">
      <w:pPr>
        <w:widowControl/>
        <w:adjustRightInd w:val="0"/>
        <w:snapToGrid w:val="0"/>
        <w:spacing w:line="360" w:lineRule="exact"/>
        <w:ind w:firstLine="514" w:firstLineChars="245"/>
        <w:jc w:val="left"/>
        <w:rPr>
          <w:rFonts w:ascii="宋体" w:hAnsi="宋体"/>
          <w:bCs/>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p>
    <w:p w14:paraId="27F37FB5">
      <w:pPr>
        <w:widowControl/>
        <w:adjustRightInd w:val="0"/>
        <w:snapToGrid w:val="0"/>
        <w:spacing w:line="360" w:lineRule="exact"/>
        <w:ind w:firstLine="514" w:firstLineChars="245"/>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投标人的报价均</w:t>
      </w:r>
      <w:r>
        <w:rPr>
          <w:rFonts w:hint="eastAsia" w:ascii="宋体" w:hAnsi="宋体"/>
          <w:color w:val="auto"/>
          <w:szCs w:val="21"/>
          <w:highlight w:val="none"/>
        </w:rPr>
        <w:t>超过了最高限价或</w:t>
      </w:r>
      <w:r>
        <w:rPr>
          <w:rFonts w:ascii="宋体" w:hAnsi="宋体"/>
          <w:color w:val="auto"/>
          <w:szCs w:val="21"/>
          <w:highlight w:val="none"/>
        </w:rPr>
        <w:t>超过了采购预算，采购人不能支付的；</w:t>
      </w:r>
    </w:p>
    <w:p w14:paraId="4580713A">
      <w:pPr>
        <w:widowControl/>
        <w:adjustRightInd w:val="0"/>
        <w:snapToGrid w:val="0"/>
        <w:spacing w:line="360" w:lineRule="exact"/>
        <w:ind w:firstLine="514" w:firstLineChars="245"/>
        <w:jc w:val="left"/>
        <w:rPr>
          <w:rFonts w:ascii="宋体" w:hAnsi="宋体"/>
          <w:bCs/>
          <w:color w:val="auto"/>
          <w:szCs w:val="21"/>
          <w:highlight w:val="none"/>
        </w:rPr>
      </w:pPr>
      <w:r>
        <w:rPr>
          <w:rFonts w:hint="eastAsia" w:ascii="宋体" w:hAnsi="宋体"/>
          <w:bCs/>
          <w:color w:val="auto"/>
          <w:szCs w:val="21"/>
          <w:highlight w:val="none"/>
        </w:rPr>
        <w:t>（4）</w:t>
      </w:r>
      <w:r>
        <w:rPr>
          <w:rFonts w:ascii="宋体" w:hAnsi="宋体"/>
          <w:bCs/>
          <w:color w:val="auto"/>
          <w:szCs w:val="21"/>
          <w:highlight w:val="none"/>
        </w:rPr>
        <w:t>因重大变故，采购任务取消的。</w:t>
      </w:r>
    </w:p>
    <w:p w14:paraId="38A042CB">
      <w:pPr>
        <w:pStyle w:val="11"/>
        <w:adjustRightInd w:val="0"/>
        <w:snapToGrid w:val="0"/>
        <w:spacing w:line="360" w:lineRule="exact"/>
        <w:ind w:firstLine="422" w:firstLineChars="200"/>
        <w:rPr>
          <w:rFonts w:ascii="宋体" w:hAnsi="宋体" w:eastAsia="宋体"/>
          <w:b/>
          <w:bCs/>
          <w:color w:val="auto"/>
          <w:kern w:val="2"/>
          <w:sz w:val="21"/>
          <w:szCs w:val="21"/>
          <w:highlight w:val="none"/>
        </w:rPr>
      </w:pPr>
      <w:r>
        <w:rPr>
          <w:rFonts w:hint="eastAsia" w:ascii="宋体" w:hAnsi="宋体" w:eastAsia="宋体"/>
          <w:b/>
          <w:bCs/>
          <w:color w:val="auto"/>
          <w:kern w:val="2"/>
          <w:sz w:val="21"/>
          <w:szCs w:val="21"/>
          <w:highlight w:val="none"/>
        </w:rPr>
        <w:t>2.</w:t>
      </w:r>
      <w:r>
        <w:rPr>
          <w:rFonts w:ascii="宋体" w:hAnsi="宋体" w:eastAsia="宋体"/>
          <w:b/>
          <w:bCs/>
          <w:color w:val="auto"/>
          <w:kern w:val="2"/>
          <w:sz w:val="21"/>
          <w:szCs w:val="21"/>
          <w:highlight w:val="none"/>
        </w:rPr>
        <w:t>废标后，</w:t>
      </w:r>
      <w:r>
        <w:rPr>
          <w:rFonts w:hint="eastAsia" w:ascii="宋体" w:hAnsi="宋体" w:eastAsia="宋体"/>
          <w:b/>
          <w:bCs/>
          <w:color w:val="auto"/>
          <w:kern w:val="2"/>
          <w:sz w:val="21"/>
          <w:szCs w:val="21"/>
          <w:highlight w:val="none"/>
        </w:rPr>
        <w:t>本公司</w:t>
      </w:r>
      <w:r>
        <w:rPr>
          <w:rFonts w:ascii="宋体" w:hAnsi="宋体" w:eastAsia="宋体"/>
          <w:b/>
          <w:bCs/>
          <w:color w:val="auto"/>
          <w:kern w:val="2"/>
          <w:sz w:val="21"/>
          <w:szCs w:val="21"/>
          <w:highlight w:val="none"/>
        </w:rPr>
        <w:t>将</w:t>
      </w:r>
      <w:r>
        <w:rPr>
          <w:rFonts w:hint="eastAsia" w:ascii="宋体" w:hAnsi="宋体" w:eastAsia="宋体"/>
          <w:b/>
          <w:bCs/>
          <w:color w:val="auto"/>
          <w:kern w:val="2"/>
          <w:sz w:val="21"/>
          <w:szCs w:val="21"/>
          <w:highlight w:val="none"/>
        </w:rPr>
        <w:t>把</w:t>
      </w:r>
      <w:r>
        <w:rPr>
          <w:rFonts w:ascii="宋体" w:hAnsi="宋体" w:eastAsia="宋体"/>
          <w:b/>
          <w:bCs/>
          <w:color w:val="auto"/>
          <w:kern w:val="2"/>
          <w:sz w:val="21"/>
          <w:szCs w:val="21"/>
          <w:highlight w:val="none"/>
        </w:rPr>
        <w:t>废标理由通知所有投标人</w:t>
      </w:r>
      <w:r>
        <w:rPr>
          <w:rFonts w:hint="eastAsia" w:ascii="宋体" w:hAnsi="宋体" w:eastAsia="宋体"/>
          <w:b/>
          <w:bCs/>
          <w:color w:val="auto"/>
          <w:kern w:val="2"/>
          <w:sz w:val="21"/>
          <w:szCs w:val="21"/>
          <w:highlight w:val="none"/>
        </w:rPr>
        <w:t>。</w:t>
      </w:r>
    </w:p>
    <w:p w14:paraId="01E9D8CB">
      <w:pPr>
        <w:pStyle w:val="11"/>
        <w:snapToGrid w:val="0"/>
        <w:spacing w:line="360" w:lineRule="exact"/>
        <w:ind w:firstLine="413" w:firstLineChars="196"/>
        <w:rPr>
          <w:rFonts w:ascii="宋体" w:hAnsi="宋体" w:eastAsia="宋体"/>
          <w:b/>
          <w:snapToGrid w:val="0"/>
          <w:color w:val="auto"/>
          <w:sz w:val="21"/>
          <w:szCs w:val="21"/>
          <w:highlight w:val="none"/>
        </w:rPr>
      </w:pPr>
      <w:bookmarkStart w:id="8" w:name="_Toc254970685"/>
      <w:bookmarkStart w:id="9" w:name="_Toc254970544"/>
      <w:r>
        <w:rPr>
          <w:rFonts w:hint="eastAsia" w:ascii="宋体" w:hAnsi="宋体" w:eastAsia="宋体"/>
          <w:b/>
          <w:color w:val="auto"/>
          <w:sz w:val="21"/>
          <w:szCs w:val="21"/>
          <w:highlight w:val="none"/>
        </w:rPr>
        <w:t>四、开标</w:t>
      </w:r>
      <w:bookmarkEnd w:id="8"/>
      <w:bookmarkEnd w:id="9"/>
    </w:p>
    <w:p w14:paraId="747542FA">
      <w:pPr>
        <w:pStyle w:val="13"/>
        <w:snapToGrid w:val="0"/>
        <w:spacing w:line="360" w:lineRule="exact"/>
        <w:ind w:firstLine="413" w:firstLineChars="196"/>
        <w:rPr>
          <w:rFonts w:hAnsi="宋体"/>
          <w:b/>
          <w:color w:val="auto"/>
          <w:sz w:val="21"/>
          <w:highlight w:val="none"/>
        </w:rPr>
      </w:pPr>
      <w:r>
        <w:rPr>
          <w:rFonts w:hint="eastAsia" w:hAnsi="宋体"/>
          <w:b/>
          <w:color w:val="auto"/>
          <w:sz w:val="21"/>
          <w:highlight w:val="none"/>
        </w:rPr>
        <w:t>（一）开标准备</w:t>
      </w:r>
    </w:p>
    <w:p w14:paraId="35AF2B87">
      <w:pPr>
        <w:pStyle w:val="13"/>
        <w:snapToGrid w:val="0"/>
        <w:spacing w:line="360" w:lineRule="exact"/>
        <w:ind w:firstLine="420" w:firstLineChars="200"/>
        <w:rPr>
          <w:rFonts w:hAnsi="宋体"/>
          <w:bCs/>
          <w:color w:val="auto"/>
          <w:sz w:val="21"/>
          <w:highlight w:val="none"/>
        </w:rPr>
      </w:pPr>
      <w:r>
        <w:rPr>
          <w:rFonts w:hint="eastAsia" w:hAnsi="宋体"/>
          <w:bCs/>
          <w:color w:val="auto"/>
          <w:sz w:val="21"/>
          <w:highlight w:val="none"/>
        </w:rPr>
        <w:t>本公司将在规定的时间和地点进行开标，投标人的法定代表人（负责人）或其授权代表应参加开标会。投标人的法定代表人（负责人）或其授权代表未按时参加的，视同放弃开标监督权利、认可开标结果。</w:t>
      </w:r>
    </w:p>
    <w:p w14:paraId="531BE9A7">
      <w:pPr>
        <w:pStyle w:val="13"/>
        <w:snapToGrid w:val="0"/>
        <w:spacing w:line="360" w:lineRule="exact"/>
        <w:ind w:firstLine="413" w:firstLineChars="196"/>
        <w:rPr>
          <w:rFonts w:hAnsi="宋体"/>
          <w:b/>
          <w:color w:val="auto"/>
          <w:sz w:val="21"/>
          <w:highlight w:val="none"/>
        </w:rPr>
      </w:pPr>
      <w:r>
        <w:rPr>
          <w:rFonts w:hint="eastAsia" w:hAnsi="宋体"/>
          <w:b/>
          <w:color w:val="auto"/>
          <w:sz w:val="21"/>
          <w:highlight w:val="none"/>
        </w:rPr>
        <w:t>（二） 开标程序</w:t>
      </w:r>
    </w:p>
    <w:p w14:paraId="48A109D2">
      <w:pPr>
        <w:pStyle w:val="13"/>
        <w:snapToGrid w:val="0"/>
        <w:spacing w:line="360" w:lineRule="exact"/>
        <w:ind w:firstLine="413" w:firstLineChars="196"/>
        <w:rPr>
          <w:rFonts w:hAnsi="宋体"/>
          <w:b/>
          <w:color w:val="auto"/>
          <w:sz w:val="21"/>
          <w:highlight w:val="none"/>
        </w:rPr>
      </w:pPr>
      <w:bookmarkStart w:id="10" w:name="_Toc254970545"/>
      <w:bookmarkStart w:id="11" w:name="_Toc254970686"/>
      <w:r>
        <w:rPr>
          <w:rFonts w:hint="eastAsia" w:hAnsi="宋体"/>
          <w:b/>
          <w:color w:val="auto"/>
          <w:sz w:val="21"/>
          <w:highlight w:val="none"/>
        </w:rPr>
        <w:t>（一）开标准备</w:t>
      </w:r>
    </w:p>
    <w:p w14:paraId="4C7C4964">
      <w:pPr>
        <w:pStyle w:val="13"/>
        <w:snapToGrid w:val="0"/>
        <w:spacing w:line="360" w:lineRule="exact"/>
        <w:ind w:firstLine="420" w:firstLineChars="200"/>
        <w:rPr>
          <w:rFonts w:hAnsi="宋体"/>
          <w:color w:val="auto"/>
          <w:sz w:val="21"/>
          <w:highlight w:val="none"/>
        </w:rPr>
      </w:pPr>
      <w:r>
        <w:rPr>
          <w:rFonts w:hint="eastAsia" w:hAnsi="宋体"/>
          <w:color w:val="auto"/>
          <w:sz w:val="21"/>
          <w:highlight w:val="none"/>
        </w:rPr>
        <w:t>1.开标的准备工作由本公司负责落实；</w:t>
      </w:r>
    </w:p>
    <w:p w14:paraId="656CBA36">
      <w:pPr>
        <w:pStyle w:val="13"/>
        <w:snapToGrid w:val="0"/>
        <w:spacing w:line="360" w:lineRule="exact"/>
        <w:ind w:firstLine="420" w:firstLineChars="200"/>
        <w:rPr>
          <w:rFonts w:hAnsi="宋体"/>
          <w:color w:val="auto"/>
          <w:sz w:val="21"/>
          <w:highlight w:val="none"/>
        </w:rPr>
      </w:pPr>
      <w:r>
        <w:rPr>
          <w:rFonts w:hint="eastAsia" w:hAnsi="宋体"/>
          <w:color w:val="auto"/>
          <w:sz w:val="21"/>
          <w:highlight w:val="none"/>
        </w:rPr>
        <w:t>2.本公司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78475515">
      <w:pPr>
        <w:pStyle w:val="13"/>
        <w:snapToGrid w:val="0"/>
        <w:spacing w:line="360" w:lineRule="exact"/>
        <w:ind w:firstLine="413" w:firstLineChars="196"/>
        <w:rPr>
          <w:rFonts w:hAnsi="宋体"/>
          <w:b/>
          <w:color w:val="auto"/>
          <w:sz w:val="21"/>
          <w:highlight w:val="none"/>
        </w:rPr>
      </w:pPr>
      <w:r>
        <w:rPr>
          <w:rFonts w:hint="eastAsia" w:hAnsi="宋体"/>
          <w:b/>
          <w:color w:val="auto"/>
          <w:sz w:val="21"/>
          <w:highlight w:val="none"/>
        </w:rPr>
        <w:t>（二） 开标程序</w:t>
      </w:r>
    </w:p>
    <w:p w14:paraId="3E99CAB9">
      <w:pPr>
        <w:pStyle w:val="13"/>
        <w:snapToGrid w:val="0"/>
        <w:spacing w:line="360" w:lineRule="exact"/>
        <w:ind w:firstLine="422" w:firstLineChars="200"/>
        <w:rPr>
          <w:rFonts w:hAnsi="宋体"/>
          <w:b/>
          <w:color w:val="auto"/>
          <w:sz w:val="21"/>
          <w:highlight w:val="none"/>
        </w:rPr>
      </w:pPr>
      <w:r>
        <w:rPr>
          <w:rFonts w:hint="eastAsia" w:hAnsi="宋体"/>
          <w:b/>
          <w:color w:val="auto"/>
          <w:sz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14:paraId="05C35CEE">
      <w:pPr>
        <w:pStyle w:val="13"/>
        <w:snapToGrid w:val="0"/>
        <w:spacing w:line="360" w:lineRule="exact"/>
        <w:ind w:firstLine="422" w:firstLineChars="200"/>
        <w:rPr>
          <w:rFonts w:hAnsi="宋体"/>
          <w:b/>
          <w:color w:val="auto"/>
          <w:sz w:val="21"/>
          <w:highlight w:val="none"/>
        </w:rPr>
      </w:pPr>
      <w:r>
        <w:rPr>
          <w:rFonts w:hint="eastAsia" w:hAnsi="宋体"/>
          <w:b/>
          <w:color w:val="auto"/>
          <w:sz w:val="21"/>
          <w:highlight w:val="none"/>
        </w:rPr>
        <w:t>2.投标文件解密结束后，开标活动组织人员在线开启投标文件。</w:t>
      </w:r>
    </w:p>
    <w:p w14:paraId="69DEFF07">
      <w:pPr>
        <w:pStyle w:val="13"/>
        <w:snapToGrid w:val="0"/>
        <w:spacing w:line="360" w:lineRule="exact"/>
        <w:ind w:firstLine="422" w:firstLineChars="200"/>
        <w:rPr>
          <w:rFonts w:hAnsi="宋体"/>
          <w:b/>
          <w:color w:val="auto"/>
          <w:sz w:val="21"/>
          <w:highlight w:val="none"/>
        </w:rPr>
      </w:pPr>
      <w:r>
        <w:rPr>
          <w:rFonts w:hint="eastAsia" w:hAnsi="宋体"/>
          <w:b/>
          <w:color w:val="auto"/>
          <w:sz w:val="21"/>
          <w:highlight w:val="none"/>
        </w:rPr>
        <w:t>开标结束后，如发现开标结果与报价文件不一致者，由评标委员会根据报价文件内容进行修正。</w:t>
      </w:r>
    </w:p>
    <w:p w14:paraId="1CE1681A">
      <w:pPr>
        <w:pStyle w:val="13"/>
        <w:snapToGrid w:val="0"/>
        <w:spacing w:line="360" w:lineRule="exact"/>
        <w:ind w:firstLine="422" w:firstLineChars="200"/>
        <w:rPr>
          <w:rFonts w:hAnsi="宋体"/>
          <w:color w:val="auto"/>
          <w:sz w:val="21"/>
          <w:highlight w:val="none"/>
        </w:rPr>
      </w:pPr>
      <w:r>
        <w:rPr>
          <w:rFonts w:hint="eastAsia" w:hAnsi="宋体"/>
          <w:b/>
          <w:color w:val="auto"/>
          <w:sz w:val="21"/>
          <w:highlight w:val="none"/>
        </w:rPr>
        <w:t>特别说明：如遇“政府采购云平台”电子化开标或评审程序调整的，按调整后程序执行。</w:t>
      </w:r>
    </w:p>
    <w:p w14:paraId="06D6B8BA">
      <w:pPr>
        <w:pStyle w:val="13"/>
        <w:snapToGrid w:val="0"/>
        <w:spacing w:line="360" w:lineRule="exact"/>
        <w:ind w:left="772" w:leftChars="267" w:hanging="211" w:hangingChars="100"/>
        <w:rPr>
          <w:rFonts w:hAnsi="宋体"/>
          <w:b/>
          <w:color w:val="auto"/>
          <w:sz w:val="21"/>
          <w:highlight w:val="none"/>
        </w:rPr>
      </w:pPr>
      <w:r>
        <w:rPr>
          <w:rFonts w:hint="eastAsia" w:hAnsi="宋体"/>
          <w:b/>
          <w:color w:val="auto"/>
          <w:sz w:val="21"/>
          <w:highlight w:val="none"/>
        </w:rPr>
        <w:t>五、评标</w:t>
      </w:r>
      <w:bookmarkEnd w:id="10"/>
      <w:bookmarkEnd w:id="11"/>
    </w:p>
    <w:p w14:paraId="38B57598">
      <w:pPr>
        <w:pStyle w:val="13"/>
        <w:snapToGrid w:val="0"/>
        <w:spacing w:line="360" w:lineRule="exact"/>
        <w:ind w:left="690" w:leftChars="228" w:hanging="211" w:hangingChars="100"/>
        <w:rPr>
          <w:rFonts w:hAnsi="宋体"/>
          <w:b/>
          <w:color w:val="auto"/>
          <w:sz w:val="21"/>
          <w:highlight w:val="none"/>
        </w:rPr>
      </w:pPr>
      <w:r>
        <w:rPr>
          <w:rFonts w:hint="eastAsia" w:hAnsi="宋体"/>
          <w:b/>
          <w:color w:val="auto"/>
          <w:sz w:val="21"/>
          <w:highlight w:val="none"/>
        </w:rPr>
        <w:t>（一）组建评标委员会</w:t>
      </w:r>
    </w:p>
    <w:p w14:paraId="1C9B3608">
      <w:pPr>
        <w:pStyle w:val="13"/>
        <w:snapToGrid w:val="0"/>
        <w:spacing w:line="360" w:lineRule="exact"/>
        <w:ind w:firstLine="420" w:firstLineChars="200"/>
        <w:rPr>
          <w:rFonts w:hAnsi="宋体"/>
          <w:color w:val="auto"/>
          <w:sz w:val="21"/>
          <w:highlight w:val="none"/>
        </w:rPr>
      </w:pPr>
      <w:r>
        <w:rPr>
          <w:rFonts w:hint="eastAsia" w:hAnsi="宋体"/>
          <w:bCs/>
          <w:color w:val="auto"/>
          <w:sz w:val="21"/>
          <w:highlight w:val="none"/>
        </w:rPr>
        <w:t>本招标采购项目的评标委员会由采购人代表和有关技术、经济等方面的专家组成，成员人数应当为五人以上单数。其中，技术、经济等方面的专家不得少于成员总数的三分之二</w:t>
      </w:r>
      <w:r>
        <w:rPr>
          <w:rFonts w:hint="eastAsia" w:hAnsi="宋体"/>
          <w:color w:val="auto"/>
          <w:sz w:val="21"/>
          <w:highlight w:val="none"/>
        </w:rPr>
        <w:t>。</w:t>
      </w:r>
    </w:p>
    <w:p w14:paraId="4A7E750A">
      <w:pPr>
        <w:pStyle w:val="13"/>
        <w:snapToGrid w:val="0"/>
        <w:spacing w:line="360" w:lineRule="exact"/>
        <w:ind w:left="690" w:leftChars="228" w:hanging="211" w:hangingChars="100"/>
        <w:rPr>
          <w:rFonts w:hAnsi="宋体"/>
          <w:b/>
          <w:color w:val="auto"/>
          <w:sz w:val="21"/>
          <w:highlight w:val="none"/>
        </w:rPr>
      </w:pPr>
      <w:r>
        <w:rPr>
          <w:rFonts w:hint="eastAsia" w:hAnsi="宋体"/>
          <w:b/>
          <w:color w:val="auto"/>
          <w:sz w:val="21"/>
          <w:highlight w:val="none"/>
        </w:rPr>
        <w:t>（二）评标的方式</w:t>
      </w:r>
    </w:p>
    <w:p w14:paraId="27555BA6">
      <w:pPr>
        <w:pStyle w:val="13"/>
        <w:snapToGrid w:val="0"/>
        <w:spacing w:line="360" w:lineRule="exact"/>
        <w:ind w:left="689" w:leftChars="228" w:hanging="210" w:hangingChars="100"/>
        <w:rPr>
          <w:rFonts w:hAnsi="宋体"/>
          <w:color w:val="auto"/>
          <w:sz w:val="21"/>
          <w:highlight w:val="none"/>
        </w:rPr>
      </w:pPr>
      <w:r>
        <w:rPr>
          <w:rFonts w:hint="eastAsia" w:hAnsi="宋体"/>
          <w:color w:val="auto"/>
          <w:sz w:val="21"/>
          <w:highlight w:val="none"/>
        </w:rPr>
        <w:t>本项目采用不公开方式评标，评标的依据为招标文件和投标文件。</w:t>
      </w:r>
    </w:p>
    <w:p w14:paraId="24FBFA71">
      <w:pPr>
        <w:pStyle w:val="13"/>
        <w:snapToGrid w:val="0"/>
        <w:spacing w:line="360" w:lineRule="exact"/>
        <w:ind w:left="690" w:leftChars="228" w:hanging="211" w:hangingChars="100"/>
        <w:rPr>
          <w:rFonts w:hAnsi="宋体"/>
          <w:b/>
          <w:color w:val="auto"/>
          <w:sz w:val="21"/>
          <w:highlight w:val="none"/>
        </w:rPr>
      </w:pPr>
      <w:r>
        <w:rPr>
          <w:rFonts w:hint="eastAsia" w:hAnsi="宋体"/>
          <w:b/>
          <w:color w:val="auto"/>
          <w:sz w:val="21"/>
          <w:highlight w:val="none"/>
        </w:rPr>
        <w:t>（三）</w:t>
      </w:r>
      <w:r>
        <w:rPr>
          <w:rFonts w:hint="eastAsia" w:hAnsi="宋体"/>
          <w:b/>
          <w:bCs/>
          <w:color w:val="auto"/>
          <w:sz w:val="21"/>
          <w:highlight w:val="none"/>
        </w:rPr>
        <w:t>评标程序</w:t>
      </w:r>
    </w:p>
    <w:p w14:paraId="4255A7D8">
      <w:pPr>
        <w:snapToGrid w:val="0"/>
        <w:spacing w:line="36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1.资格审查</w:t>
      </w:r>
    </w:p>
    <w:p w14:paraId="3DB0D290">
      <w:pPr>
        <w:snapToGrid w:val="0"/>
        <w:spacing w:line="360" w:lineRule="exact"/>
        <w:ind w:firstLine="630" w:firstLineChars="300"/>
        <w:rPr>
          <w:rFonts w:ascii="宋体" w:hAnsi="宋体"/>
          <w:b/>
          <w:color w:val="auto"/>
          <w:spacing w:val="-4"/>
          <w:szCs w:val="21"/>
          <w:highlight w:val="none"/>
        </w:rPr>
      </w:pPr>
      <w:r>
        <w:rPr>
          <w:rFonts w:hint="eastAsia" w:ascii="宋体" w:hAnsi="宋体"/>
          <w:color w:val="auto"/>
          <w:szCs w:val="21"/>
          <w:highlight w:val="none"/>
        </w:rPr>
        <w:t>采购人依法对投标人的资格进行审查。审查的依据是投标人递交的投标文件及本公司依照相关规定通过“信用中国”网站（www.creditchina.gov.cn）和中国政府采购网（www.ccgp.gov.cn）查询的相关供应商主体信用记录。合格投标人不足3家的，不得评标。</w:t>
      </w:r>
    </w:p>
    <w:p w14:paraId="6F8F1655">
      <w:pPr>
        <w:snapToGrid w:val="0"/>
        <w:spacing w:line="36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2.实质审查与比较</w:t>
      </w:r>
    </w:p>
    <w:p w14:paraId="59AFB30C">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（1）评标委员会审查、评价投标文件是否符合招标文件的商务、技术等实质性要求。</w:t>
      </w:r>
    </w:p>
    <w:p w14:paraId="62BBFF6F">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（2）评标委员会对投标文件进行比较和评价,如有疑问,将要求投标人对投标文件有关事项作出澄清或者说明。投标人向评标委员会澄清或者说明有关问题,并最终以书面形式进行答复。</w:t>
      </w:r>
    </w:p>
    <w:p w14:paraId="0E69D71C">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投标人代表未到场或者拒绝澄清或者澄清的内容改变了投标文件的实质性内容的，评标委员会有权视该投标文件无效。</w:t>
      </w:r>
    </w:p>
    <w:p w14:paraId="78CB9590">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14:paraId="2A5E3F93">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（4）本公司工作人员协助评标委员会根据本项目的评分标准计算各投标人的商务报价得分。</w:t>
      </w:r>
    </w:p>
    <w:p w14:paraId="43ABDF99">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（5）评标委员会完成评标后,评委对各部分得分汇总,计算出本项目最终得分、评标价等。评标委员会按评标原则推荐中标候选人同时起草评标报告。</w:t>
      </w:r>
    </w:p>
    <w:p w14:paraId="69D41416">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（四）澄清问题的形式</w:t>
      </w:r>
    </w:p>
    <w:p w14:paraId="22EB8357">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7F40FCAC">
      <w:pPr>
        <w:pStyle w:val="13"/>
        <w:snapToGrid w:val="0"/>
        <w:spacing w:line="360" w:lineRule="exact"/>
        <w:ind w:left="690" w:leftChars="228" w:hanging="211" w:hangingChars="100"/>
        <w:rPr>
          <w:rFonts w:hAnsi="宋体"/>
          <w:b/>
          <w:color w:val="auto"/>
          <w:sz w:val="21"/>
          <w:highlight w:val="none"/>
        </w:rPr>
      </w:pPr>
      <w:r>
        <w:rPr>
          <w:rFonts w:hint="eastAsia" w:hAnsi="宋体"/>
          <w:b/>
          <w:color w:val="auto"/>
          <w:sz w:val="21"/>
          <w:highlight w:val="none"/>
        </w:rPr>
        <w:t>（五）错误修正</w:t>
      </w:r>
    </w:p>
    <w:p w14:paraId="45FEAAB3">
      <w:pPr>
        <w:pStyle w:val="13"/>
        <w:snapToGrid w:val="0"/>
        <w:spacing w:line="360" w:lineRule="exact"/>
        <w:ind w:left="689" w:leftChars="228" w:hanging="210" w:hangingChars="100"/>
        <w:rPr>
          <w:rFonts w:hAnsi="宋体"/>
          <w:color w:val="auto"/>
          <w:sz w:val="21"/>
          <w:highlight w:val="none"/>
        </w:rPr>
      </w:pPr>
      <w:r>
        <w:rPr>
          <w:rFonts w:hint="eastAsia" w:hAnsi="宋体"/>
          <w:color w:val="auto"/>
          <w:sz w:val="21"/>
          <w:highlight w:val="none"/>
        </w:rPr>
        <w:t>投标文件如果出现计算或表达上的错误，修正错误的原则如下：</w:t>
      </w:r>
    </w:p>
    <w:p w14:paraId="530897D1">
      <w:pPr>
        <w:pStyle w:val="13"/>
        <w:snapToGrid w:val="0"/>
        <w:spacing w:line="340" w:lineRule="exact"/>
        <w:ind w:firstLine="420" w:firstLineChars="200"/>
        <w:rPr>
          <w:rFonts w:hAnsi="宋体"/>
          <w:color w:val="auto"/>
          <w:sz w:val="21"/>
          <w:highlight w:val="none"/>
        </w:rPr>
      </w:pPr>
      <w:r>
        <w:rPr>
          <w:rFonts w:hint="eastAsia" w:hAnsi="宋体"/>
          <w:color w:val="auto"/>
          <w:sz w:val="21"/>
          <w:highlight w:val="none"/>
        </w:rPr>
        <w:t>1.投标文件中投标报价表内容与投标文件中相应内容不一致的，以投标报价表为准；</w:t>
      </w:r>
    </w:p>
    <w:p w14:paraId="63DD27A4">
      <w:pPr>
        <w:pStyle w:val="13"/>
        <w:snapToGrid w:val="0"/>
        <w:spacing w:line="340" w:lineRule="exact"/>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383C0B35">
      <w:pPr>
        <w:pStyle w:val="13"/>
        <w:snapToGrid w:val="0"/>
        <w:spacing w:line="340" w:lineRule="exact"/>
        <w:ind w:firstLine="420" w:firstLineChars="200"/>
        <w:rPr>
          <w:rFonts w:hAnsi="宋体"/>
          <w:color w:val="auto"/>
          <w:sz w:val="21"/>
          <w:highlight w:val="none"/>
        </w:rPr>
      </w:pPr>
      <w:r>
        <w:rPr>
          <w:rFonts w:hint="eastAsia" w:hAnsi="宋体"/>
          <w:color w:val="auto"/>
          <w:sz w:val="21"/>
          <w:highlight w:val="none"/>
        </w:rPr>
        <w:t>3.单价金额小数点或者百分比有明显错位的，以报价表的总价为准，并修改单价；</w:t>
      </w:r>
    </w:p>
    <w:p w14:paraId="61B66419">
      <w:pPr>
        <w:pStyle w:val="13"/>
        <w:snapToGrid w:val="0"/>
        <w:spacing w:line="340" w:lineRule="exact"/>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3EBAA139">
      <w:pPr>
        <w:pStyle w:val="13"/>
        <w:snapToGrid w:val="0"/>
        <w:spacing w:line="340" w:lineRule="exact"/>
        <w:ind w:firstLine="420" w:firstLineChars="200"/>
        <w:rPr>
          <w:rFonts w:hAnsi="宋体"/>
          <w:color w:val="auto"/>
          <w:sz w:val="21"/>
          <w:highlight w:val="none"/>
        </w:rPr>
      </w:pPr>
      <w:r>
        <w:rPr>
          <w:rFonts w:hint="eastAsia" w:hAnsi="宋体"/>
          <w:color w:val="auto"/>
          <w:sz w:val="21"/>
          <w:highlight w:val="none"/>
        </w:rPr>
        <w:t>5.对不同文字文本投标文件的解释发生异议的，以中文文本为准。</w:t>
      </w:r>
    </w:p>
    <w:p w14:paraId="79A200B7">
      <w:pPr>
        <w:pStyle w:val="13"/>
        <w:snapToGrid w:val="0"/>
        <w:spacing w:line="340" w:lineRule="exact"/>
        <w:ind w:firstLine="420" w:firstLineChars="200"/>
        <w:rPr>
          <w:rFonts w:hAnsi="宋体"/>
          <w:color w:val="auto"/>
          <w:sz w:val="21"/>
          <w:highlight w:val="none"/>
        </w:rPr>
      </w:pPr>
      <w:r>
        <w:rPr>
          <w:rFonts w:hint="eastAsia" w:hAnsi="宋体"/>
          <w:color w:val="auto"/>
          <w:sz w:val="21"/>
          <w:highlight w:val="none"/>
        </w:rPr>
        <w:t>同时出现两种以上不一致的，按照前款规定的顺序修正。</w:t>
      </w:r>
    </w:p>
    <w:p w14:paraId="2E97162F">
      <w:pPr>
        <w:pStyle w:val="13"/>
        <w:snapToGrid w:val="0"/>
        <w:spacing w:line="340" w:lineRule="exact"/>
        <w:ind w:firstLine="422" w:firstLineChars="200"/>
        <w:rPr>
          <w:rFonts w:hAnsi="宋体"/>
          <w:b/>
          <w:bCs/>
          <w:color w:val="auto"/>
          <w:sz w:val="21"/>
          <w:highlight w:val="none"/>
        </w:rPr>
      </w:pPr>
      <w:r>
        <w:rPr>
          <w:rFonts w:hint="eastAsia" w:hAnsi="宋体"/>
          <w:b/>
          <w:bCs/>
          <w:color w:val="auto"/>
          <w:sz w:val="21"/>
          <w:highlight w:val="none"/>
        </w:rPr>
        <w:t>按上述修正错误的原则及方法调整或修正投标文件的投标报价，投标人同意并签字或盖章确认后，调整后的投标报价对投标人具有约束作用。如果投标人不接受修正后的报价，则其投标将作为无效投标处理。</w:t>
      </w:r>
    </w:p>
    <w:p w14:paraId="63D9C0AC">
      <w:pPr>
        <w:pStyle w:val="13"/>
        <w:tabs>
          <w:tab w:val="left" w:pos="630"/>
        </w:tabs>
        <w:snapToGrid w:val="0"/>
        <w:spacing w:line="340" w:lineRule="exact"/>
        <w:rPr>
          <w:rFonts w:hAnsi="宋体"/>
          <w:b/>
          <w:color w:val="auto"/>
          <w:sz w:val="21"/>
          <w:highlight w:val="none"/>
        </w:rPr>
      </w:pPr>
      <w:r>
        <w:rPr>
          <w:rFonts w:hint="eastAsia" w:hAnsi="宋体"/>
          <w:b/>
          <w:color w:val="auto"/>
          <w:sz w:val="21"/>
          <w:highlight w:val="none"/>
        </w:rPr>
        <w:t xml:space="preserve">    （六）评标原则和评标办法</w:t>
      </w:r>
    </w:p>
    <w:p w14:paraId="23860E5D">
      <w:pPr>
        <w:pStyle w:val="13"/>
        <w:snapToGrid w:val="0"/>
        <w:spacing w:line="340" w:lineRule="exact"/>
        <w:ind w:firstLine="420" w:firstLineChars="200"/>
        <w:rPr>
          <w:rFonts w:hAnsi="宋体"/>
          <w:color w:val="auto"/>
          <w:sz w:val="21"/>
          <w:highlight w:val="none"/>
        </w:rPr>
      </w:pPr>
      <w:r>
        <w:rPr>
          <w:rFonts w:hint="eastAsia" w:hAnsi="宋体"/>
          <w:color w:val="auto"/>
          <w:sz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6B0205E">
      <w:pPr>
        <w:pStyle w:val="13"/>
        <w:snapToGrid w:val="0"/>
        <w:spacing w:line="340" w:lineRule="exact"/>
        <w:ind w:firstLine="420" w:firstLineChars="200"/>
        <w:rPr>
          <w:rFonts w:hAnsi="宋体"/>
          <w:color w:val="auto"/>
          <w:sz w:val="21"/>
          <w:highlight w:val="none"/>
        </w:rPr>
      </w:pPr>
      <w:r>
        <w:rPr>
          <w:rFonts w:hint="eastAsia" w:hAnsi="宋体"/>
          <w:color w:val="auto"/>
          <w:sz w:val="21"/>
          <w:highlight w:val="none"/>
        </w:rPr>
        <w:t>2.评标办法。本项目评标办法是</w:t>
      </w:r>
      <w:r>
        <w:rPr>
          <w:rFonts w:hint="eastAsia" w:hAnsi="宋体"/>
          <w:b/>
          <w:color w:val="auto"/>
          <w:sz w:val="21"/>
          <w:highlight w:val="none"/>
          <w:u w:val="single"/>
        </w:rPr>
        <w:t>综合评分法</w:t>
      </w:r>
      <w:r>
        <w:rPr>
          <w:rFonts w:hint="eastAsia" w:hAnsi="宋体"/>
          <w:color w:val="auto"/>
          <w:sz w:val="21"/>
          <w:highlight w:val="none"/>
        </w:rPr>
        <w:t>，具体评标内容及评分标准等详见第六章：评标方法及评定标准。</w:t>
      </w:r>
    </w:p>
    <w:p w14:paraId="4D54D203">
      <w:pPr>
        <w:pStyle w:val="13"/>
        <w:snapToGrid w:val="0"/>
        <w:spacing w:line="340" w:lineRule="exact"/>
        <w:rPr>
          <w:rFonts w:hAnsi="宋体"/>
          <w:b/>
          <w:color w:val="auto"/>
          <w:sz w:val="21"/>
          <w:highlight w:val="none"/>
        </w:rPr>
      </w:pPr>
      <w:r>
        <w:rPr>
          <w:rFonts w:hint="eastAsia" w:hAnsi="宋体"/>
          <w:b/>
          <w:color w:val="auto"/>
          <w:sz w:val="21"/>
          <w:highlight w:val="none"/>
        </w:rPr>
        <w:t xml:space="preserve">  （七）评标过程中出现争议时处理办法</w:t>
      </w:r>
    </w:p>
    <w:p w14:paraId="52E3124F">
      <w:pPr>
        <w:pStyle w:val="13"/>
        <w:snapToGrid w:val="0"/>
        <w:spacing w:line="340" w:lineRule="exact"/>
        <w:ind w:firstLine="420" w:firstLineChars="200"/>
        <w:rPr>
          <w:rFonts w:hAnsi="宋体"/>
          <w:color w:val="auto"/>
          <w:sz w:val="21"/>
          <w:highlight w:val="none"/>
        </w:rPr>
      </w:pPr>
      <w:r>
        <w:rPr>
          <w:rFonts w:hAnsi="宋体"/>
          <w:color w:val="auto"/>
          <w:sz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3FED39D">
      <w:pPr>
        <w:pStyle w:val="13"/>
        <w:snapToGrid w:val="0"/>
        <w:spacing w:line="340" w:lineRule="exact"/>
        <w:rPr>
          <w:rFonts w:hAnsi="宋体"/>
          <w:b/>
          <w:color w:val="auto"/>
          <w:sz w:val="21"/>
          <w:highlight w:val="none"/>
        </w:rPr>
      </w:pPr>
      <w:r>
        <w:rPr>
          <w:rFonts w:hint="eastAsia" w:hAnsi="宋体"/>
          <w:b/>
          <w:color w:val="auto"/>
          <w:sz w:val="21"/>
          <w:highlight w:val="none"/>
        </w:rPr>
        <w:t xml:space="preserve">  （八）评标过程的监控</w:t>
      </w:r>
    </w:p>
    <w:p w14:paraId="5D2DDA0F">
      <w:pPr>
        <w:pStyle w:val="13"/>
        <w:snapToGrid w:val="0"/>
        <w:spacing w:line="340" w:lineRule="exact"/>
        <w:ind w:firstLine="420" w:firstLineChars="200"/>
        <w:rPr>
          <w:rFonts w:hAnsi="宋体"/>
          <w:color w:val="auto"/>
          <w:sz w:val="21"/>
          <w:highlight w:val="none"/>
        </w:rPr>
      </w:pPr>
      <w:r>
        <w:rPr>
          <w:rFonts w:hint="eastAsia" w:hAnsi="宋体"/>
          <w:color w:val="auto"/>
          <w:sz w:val="21"/>
          <w:highlight w:val="none"/>
        </w:rPr>
        <w:t>本项目评标过程实行全程录音、录像监控，投标人在评标过程中所进行的试图影响评标结果的不公正</w:t>
      </w:r>
      <w:r>
        <w:rPr>
          <w:rFonts w:hint="eastAsia" w:hAnsi="宋体"/>
          <w:color w:val="auto"/>
          <w:sz w:val="21"/>
          <w:highlight w:val="none"/>
        </w:rPr>
        <w:t>活动，可能导致其投标被拒绝。</w:t>
      </w:r>
    </w:p>
    <w:p w14:paraId="3BC23BFF">
      <w:pPr>
        <w:pStyle w:val="13"/>
        <w:snapToGrid w:val="0"/>
        <w:spacing w:line="340" w:lineRule="exact"/>
        <w:ind w:firstLine="413" w:firstLineChars="196"/>
        <w:rPr>
          <w:rFonts w:hAnsi="宋体"/>
          <w:b/>
          <w:color w:val="auto"/>
          <w:sz w:val="21"/>
          <w:highlight w:val="none"/>
        </w:rPr>
      </w:pPr>
      <w:bookmarkStart w:id="12" w:name="_Toc254970687"/>
      <w:bookmarkStart w:id="13" w:name="_Toc254970546"/>
      <w:r>
        <w:rPr>
          <w:rFonts w:hint="eastAsia" w:hAnsi="宋体"/>
          <w:b/>
          <w:color w:val="auto"/>
          <w:sz w:val="21"/>
          <w:highlight w:val="none"/>
        </w:rPr>
        <w:t>六、评标结果</w:t>
      </w:r>
      <w:bookmarkEnd w:id="12"/>
      <w:bookmarkEnd w:id="13"/>
    </w:p>
    <w:p w14:paraId="4CABCEA8">
      <w:pPr>
        <w:pStyle w:val="13"/>
        <w:spacing w:line="340" w:lineRule="exact"/>
        <w:ind w:firstLine="420"/>
        <w:rPr>
          <w:rFonts w:hAnsi="宋体"/>
          <w:color w:val="auto"/>
          <w:sz w:val="21"/>
          <w:highlight w:val="none"/>
        </w:rPr>
      </w:pPr>
      <w:r>
        <w:rPr>
          <w:rFonts w:hint="eastAsia" w:hAnsi="宋体"/>
          <w:b/>
          <w:bCs/>
          <w:color w:val="auto"/>
          <w:sz w:val="21"/>
          <w:highlight w:val="none"/>
        </w:rPr>
        <w:t>（一）</w:t>
      </w:r>
      <w:r>
        <w:rPr>
          <w:rFonts w:hint="eastAsia" w:hAnsi="宋体"/>
          <w:color w:val="auto"/>
          <w:sz w:val="21"/>
          <w:highlight w:val="none"/>
        </w:rPr>
        <w:t>本公司将在评标结束后2个工作日内将评标报告送采购人，采购人在五个工作日内按照评标报告中推荐的中标候选供应商顺序确定中标供应商。采购人也可以事先授权评标委员会直接确定中标供应商。</w:t>
      </w:r>
    </w:p>
    <w:p w14:paraId="7C93471B">
      <w:pPr>
        <w:pStyle w:val="13"/>
        <w:spacing w:line="340" w:lineRule="exact"/>
        <w:ind w:firstLine="420"/>
        <w:rPr>
          <w:rFonts w:hAnsi="宋体"/>
          <w:color w:val="auto"/>
          <w:sz w:val="21"/>
          <w:highlight w:val="none"/>
        </w:rPr>
      </w:pPr>
      <w:r>
        <w:rPr>
          <w:rFonts w:hint="eastAsia" w:hAnsi="宋体"/>
          <w:color w:val="auto"/>
          <w:sz w:val="21"/>
          <w:highlight w:val="none"/>
        </w:rPr>
        <w:t>（二）中标供应商确定后，在发布招标公告网站上发布中标公告。</w:t>
      </w:r>
    </w:p>
    <w:p w14:paraId="6167AE4A">
      <w:pPr>
        <w:pStyle w:val="13"/>
        <w:spacing w:line="340" w:lineRule="exact"/>
        <w:ind w:firstLine="420"/>
        <w:rPr>
          <w:rFonts w:hAnsi="宋体"/>
          <w:color w:val="auto"/>
          <w:sz w:val="21"/>
          <w:highlight w:val="none"/>
        </w:rPr>
      </w:pPr>
      <w:r>
        <w:rPr>
          <w:rFonts w:hint="eastAsia" w:hAnsi="宋体"/>
          <w:color w:val="auto"/>
          <w:sz w:val="21"/>
          <w:highlight w:val="none"/>
        </w:rPr>
        <w:t>（三）在发布中标公告的同时，向中标供应商发出中标通知书。对未通过资格审查的投标人，本公司告知其未通过的原因；采用综合评分法评审的，本公司告知未中标人本人的评审得分与排序。</w:t>
      </w:r>
    </w:p>
    <w:p w14:paraId="35E6E74E">
      <w:pPr>
        <w:pStyle w:val="13"/>
        <w:spacing w:line="340" w:lineRule="exact"/>
        <w:ind w:firstLine="420" w:firstLineChars="200"/>
        <w:rPr>
          <w:rFonts w:hAnsi="宋体"/>
          <w:bCs/>
          <w:color w:val="auto"/>
          <w:sz w:val="21"/>
          <w:highlight w:val="none"/>
        </w:rPr>
      </w:pPr>
      <w:r>
        <w:rPr>
          <w:rFonts w:hint="eastAsia" w:hAnsi="宋体"/>
          <w:color w:val="auto"/>
          <w:sz w:val="21"/>
          <w:highlight w:val="none"/>
        </w:rPr>
        <w:t>（四）</w:t>
      </w:r>
      <w:r>
        <w:rPr>
          <w:rFonts w:hint="eastAsia" w:hAnsi="宋体"/>
          <w:bCs/>
          <w:color w:val="auto"/>
          <w:sz w:val="21"/>
          <w:highlight w:val="none"/>
        </w:rPr>
        <w:t>投标人认为招标文件、招标过程和中标结果使自己的权益受到损害的，可以在知道或者应知其权益受到损害之日起七个工作日内，以书面形式向本公司质疑，并及时索要书面回执。</w:t>
      </w:r>
    </w:p>
    <w:p w14:paraId="550FAE16">
      <w:pPr>
        <w:pStyle w:val="13"/>
        <w:spacing w:line="340" w:lineRule="exact"/>
        <w:ind w:firstLine="420"/>
        <w:rPr>
          <w:rFonts w:hAnsi="宋体"/>
          <w:color w:val="auto"/>
          <w:sz w:val="21"/>
          <w:highlight w:val="none"/>
        </w:rPr>
      </w:pPr>
      <w:r>
        <w:rPr>
          <w:rFonts w:hint="eastAsia" w:hAnsi="宋体"/>
          <w:color w:val="auto"/>
          <w:sz w:val="21"/>
          <w:highlight w:val="none"/>
        </w:rPr>
        <w:t>（五）</w:t>
      </w:r>
      <w:r>
        <w:rPr>
          <w:rFonts w:hint="eastAsia" w:hAnsi="宋体"/>
          <w:bCs/>
          <w:color w:val="auto"/>
          <w:sz w:val="21"/>
          <w:highlight w:val="none"/>
        </w:rPr>
        <w:t>本公司应当按照有关规定就采购人委托授权范围内的事项在收到投标人的书面质疑后七个工作日内作出答复，但答复的内容不得涉及商业秘密。</w:t>
      </w:r>
    </w:p>
    <w:p w14:paraId="3F11EDFA">
      <w:pPr>
        <w:pStyle w:val="13"/>
        <w:spacing w:line="340" w:lineRule="exact"/>
        <w:ind w:firstLine="422" w:firstLineChars="200"/>
        <w:rPr>
          <w:rFonts w:hAnsi="宋体"/>
          <w:b/>
          <w:color w:val="auto"/>
          <w:sz w:val="21"/>
          <w:highlight w:val="none"/>
        </w:rPr>
      </w:pPr>
      <w:r>
        <w:rPr>
          <w:rFonts w:hint="eastAsia" w:hAnsi="宋体"/>
          <w:b/>
          <w:color w:val="auto"/>
          <w:sz w:val="21"/>
          <w:highlight w:val="none"/>
        </w:rPr>
        <w:t>七 、签订合同</w:t>
      </w:r>
    </w:p>
    <w:p w14:paraId="71CA5310">
      <w:pPr>
        <w:adjustRightInd w:val="0"/>
        <w:snapToGrid w:val="0"/>
        <w:spacing w:line="340" w:lineRule="exact"/>
        <w:ind w:firstLine="310" w:firstLineChars="147"/>
        <w:rPr>
          <w:rFonts w:ascii="黑体" w:hAnsi="黑体" w:eastAsia="黑体"/>
          <w:b/>
          <w:bCs/>
          <w:color w:val="auto"/>
          <w:szCs w:val="21"/>
          <w:highlight w:val="none"/>
        </w:rPr>
      </w:pPr>
      <w:r>
        <w:rPr>
          <w:rFonts w:hint="eastAsia" w:hAnsi="宋体"/>
          <w:b/>
          <w:color w:val="auto"/>
          <w:highlight w:val="none"/>
        </w:rPr>
        <w:t xml:space="preserve"> </w:t>
      </w:r>
      <w:r>
        <w:rPr>
          <w:rFonts w:hint="eastAsia" w:ascii="宋体" w:hAnsi="宋体"/>
          <w:b/>
          <w:color w:val="auto"/>
          <w:kern w:val="0"/>
          <w:szCs w:val="21"/>
          <w:highlight w:val="none"/>
        </w:rPr>
        <w:t>（一）合同授予标准</w:t>
      </w:r>
    </w:p>
    <w:p w14:paraId="55B73A46">
      <w:pPr>
        <w:spacing w:line="340" w:lineRule="exact"/>
        <w:ind w:firstLine="420"/>
        <w:rPr>
          <w:rFonts w:ascii="宋体" w:hAnsi="宋体" w:cs="Courier New"/>
          <w:color w:val="auto"/>
          <w:kern w:val="0"/>
          <w:szCs w:val="21"/>
          <w:highlight w:val="none"/>
        </w:rPr>
      </w:pPr>
      <w:r>
        <w:rPr>
          <w:rFonts w:hint="eastAsia" w:ascii="宋体" w:hAnsi="宋体" w:cs="Courier New"/>
          <w:color w:val="auto"/>
          <w:kern w:val="0"/>
          <w:szCs w:val="21"/>
          <w:highlight w:val="none"/>
        </w:rPr>
        <w:t>合同将授予被确定投标文件满足招标文件全部实质性要求，具备履行合同能力，评审得分最高，综合评分排名第一的供应商。</w:t>
      </w:r>
    </w:p>
    <w:p w14:paraId="1C0445B7">
      <w:pPr>
        <w:spacing w:line="340" w:lineRule="exact"/>
        <w:rPr>
          <w:rFonts w:ascii="宋体" w:hAnsi="宋体" w:cs="Courier New"/>
          <w:color w:val="auto"/>
          <w:kern w:val="0"/>
          <w:szCs w:val="21"/>
          <w:highlight w:val="none"/>
        </w:rPr>
      </w:pPr>
      <w:r>
        <w:rPr>
          <w:rFonts w:hint="eastAsia" w:ascii="宋体" w:hAnsi="宋体" w:cs="Courier New"/>
          <w:b/>
          <w:color w:val="auto"/>
          <w:kern w:val="0"/>
          <w:szCs w:val="21"/>
          <w:highlight w:val="none"/>
        </w:rPr>
        <w:t xml:space="preserve">    （二）签订合同</w:t>
      </w:r>
    </w:p>
    <w:p w14:paraId="7834003E">
      <w:pPr>
        <w:spacing w:line="34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1.中标通知书发出后，采购人不得违法改变中标结果，中标人无正当理由不得放弃中标。</w:t>
      </w:r>
    </w:p>
    <w:p w14:paraId="243E989D">
      <w:pPr>
        <w:spacing w:line="34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2.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应当赔偿损失，并作为不良行为记录在案。</w:t>
      </w:r>
    </w:p>
    <w:p w14:paraId="1ECB184F">
      <w:pPr>
        <w:spacing w:line="340" w:lineRule="exact"/>
        <w:ind w:firstLine="422" w:firstLineChars="200"/>
        <w:rPr>
          <w:rFonts w:ascii="宋体" w:hAnsi="宋体" w:cs="Courier New"/>
          <w:color w:val="auto"/>
          <w:kern w:val="0"/>
          <w:szCs w:val="21"/>
          <w:highlight w:val="none"/>
        </w:rPr>
      </w:pPr>
      <w:r>
        <w:rPr>
          <w:rFonts w:hint="eastAsia" w:ascii="宋体" w:hAnsi="宋体" w:cs="Courier New"/>
          <w:b/>
          <w:color w:val="auto"/>
          <w:kern w:val="0"/>
          <w:szCs w:val="21"/>
          <w:highlight w:val="none"/>
        </w:rPr>
        <w:t>3.采购人应当自中标通知书发出之日起8个工作日内，按照招标文件和中标人投标文件的规定，与中标人签订书面合同。</w:t>
      </w:r>
      <w:r>
        <w:rPr>
          <w:rFonts w:hint="eastAsia" w:ascii="宋体" w:hAnsi="宋体" w:cs="Courier New"/>
          <w:color w:val="auto"/>
          <w:kern w:val="0"/>
          <w:szCs w:val="21"/>
          <w:highlight w:val="none"/>
        </w:rPr>
        <w:t>所签订的合同不得对招标文件确定的事项和中标人投标文件作实质性修改。采购人不得向中标人提出任何不合理的要求作为签订合同的条件。</w:t>
      </w:r>
    </w:p>
    <w:p w14:paraId="603351D8">
      <w:pPr>
        <w:spacing w:line="34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4.政府采购合同应当包括采购人与中标人的名称和住所、标的、数量、质量、价款或者报酬、履行期限及地点和方式、验收要求、违约责任、解决争议的方法等内容。政府采购合同签订之日起1个工作日内，将政府采购合同送本公司备案。</w:t>
      </w:r>
    </w:p>
    <w:p w14:paraId="50BBB4EE">
      <w:pPr>
        <w:spacing w:line="34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5.采购人与中标人应当根据合同的约定依法履行合同义务。政府采购合同的履行、违约责任和解决争议的方法等适用《中华人民共和国民法典》。</w:t>
      </w:r>
    </w:p>
    <w:p w14:paraId="45032CB1">
      <w:pPr>
        <w:spacing w:line="34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6.采购人应当及时对采购项目进行验收。采购人可以邀请参加本项目的其他投标人或者第三方机构参与验收。参与验收的投标人或者第三方机构的意见作为验收书的参考资料一并存档。</w:t>
      </w:r>
    </w:p>
    <w:p w14:paraId="41898438">
      <w:pPr>
        <w:spacing w:line="34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7.采购人应当加强对中标人的履约管理，并按照采购合同约定，及时向中标人支付采购资金。对于中标人违反采购合同约定的行为，采购人应当及时处理，依法追究其违约责任。</w:t>
      </w:r>
    </w:p>
    <w:p w14:paraId="2B262692">
      <w:pPr>
        <w:spacing w:line="340" w:lineRule="exact"/>
        <w:ind w:firstLine="316" w:firstLineChars="150"/>
        <w:rPr>
          <w:rFonts w:ascii="宋体" w:hAnsi="宋体" w:cs="Courier New"/>
          <w:b/>
          <w:color w:val="auto"/>
          <w:kern w:val="0"/>
          <w:szCs w:val="21"/>
          <w:highlight w:val="none"/>
        </w:rPr>
      </w:pPr>
      <w:r>
        <w:rPr>
          <w:rFonts w:hint="eastAsia" w:ascii="宋体" w:hAnsi="宋体" w:cs="Courier New"/>
          <w:b/>
          <w:color w:val="auto"/>
          <w:kern w:val="0"/>
          <w:szCs w:val="21"/>
          <w:highlight w:val="none"/>
        </w:rPr>
        <w:t>（三）补充合同</w:t>
      </w:r>
    </w:p>
    <w:p w14:paraId="690ABEAD">
      <w:pPr>
        <w:spacing w:line="3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政府采购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2E3CF5AD">
      <w:pPr>
        <w:spacing w:line="340" w:lineRule="exact"/>
        <w:ind w:firstLine="316" w:firstLineChars="150"/>
        <w:rPr>
          <w:rFonts w:ascii="宋体" w:hAnsi="宋体"/>
          <w:b/>
          <w:color w:val="auto"/>
          <w:kern w:val="0"/>
          <w:szCs w:val="21"/>
          <w:highlight w:val="none"/>
        </w:rPr>
      </w:pPr>
      <w:r>
        <w:rPr>
          <w:rFonts w:hint="eastAsia" w:hAnsi="宋体"/>
          <w:b/>
          <w:color w:val="auto"/>
          <w:highlight w:val="none"/>
        </w:rPr>
        <w:t>（四）</w:t>
      </w:r>
      <w:r>
        <w:rPr>
          <w:rFonts w:hint="eastAsia" w:ascii="宋体" w:hAnsi="宋体"/>
          <w:b/>
          <w:color w:val="auto"/>
          <w:kern w:val="0"/>
          <w:szCs w:val="21"/>
          <w:highlight w:val="none"/>
        </w:rPr>
        <w:t>合同公告</w:t>
      </w:r>
    </w:p>
    <w:p w14:paraId="6B4D5D4C">
      <w:pPr>
        <w:pStyle w:val="13"/>
        <w:spacing w:line="340" w:lineRule="exact"/>
        <w:ind w:firstLine="422" w:firstLineChars="200"/>
        <w:rPr>
          <w:rFonts w:hAnsi="宋体"/>
          <w:b/>
          <w:color w:val="auto"/>
          <w:sz w:val="21"/>
          <w:highlight w:val="none"/>
        </w:rPr>
      </w:pPr>
      <w:r>
        <w:rPr>
          <w:rFonts w:hint="eastAsia" w:ascii="Times New Roman" w:hAnsi="宋体"/>
          <w:b/>
          <w:color w:val="auto"/>
          <w:kern w:val="2"/>
          <w:sz w:val="21"/>
          <w:szCs w:val="24"/>
          <w:highlight w:val="none"/>
        </w:rPr>
        <w:t>采购人应当自政府采购合同签订（双方当事人均已签字盖章）之日起</w:t>
      </w:r>
      <w:r>
        <w:rPr>
          <w:rFonts w:ascii="Times New Roman" w:hAnsi="宋体"/>
          <w:b/>
          <w:color w:val="auto"/>
          <w:kern w:val="2"/>
          <w:sz w:val="21"/>
          <w:szCs w:val="24"/>
          <w:highlight w:val="none"/>
        </w:rPr>
        <w:t>1</w:t>
      </w:r>
      <w:r>
        <w:rPr>
          <w:rFonts w:hint="eastAsia" w:ascii="Times New Roman" w:hAnsi="宋体"/>
          <w:b/>
          <w:color w:val="auto"/>
          <w:kern w:val="2"/>
          <w:sz w:val="21"/>
          <w:szCs w:val="24"/>
          <w:highlight w:val="none"/>
        </w:rPr>
        <w:t>个工作日内，将政府采购合同在省级以上人民政府财政部门指定的媒体上公告</w:t>
      </w:r>
      <w:r>
        <w:rPr>
          <w:rFonts w:hint="eastAsia" w:ascii="Times New Roman" w:hAnsi="宋体"/>
          <w:color w:val="auto"/>
          <w:kern w:val="2"/>
          <w:sz w:val="21"/>
          <w:szCs w:val="24"/>
          <w:highlight w:val="none"/>
        </w:rPr>
        <w:t>（广西壮族自治区政府采购网），但政府采购合同中涉及国家秘密、商业秘密的内容除外。</w:t>
      </w:r>
    </w:p>
    <w:p w14:paraId="03F8DBF8">
      <w:pPr>
        <w:pStyle w:val="13"/>
        <w:spacing w:line="340" w:lineRule="exact"/>
        <w:ind w:firstLine="422" w:firstLineChars="200"/>
        <w:rPr>
          <w:rFonts w:hAnsi="宋体"/>
          <w:b/>
          <w:color w:val="auto"/>
          <w:kern w:val="2"/>
          <w:sz w:val="21"/>
          <w:highlight w:val="none"/>
        </w:rPr>
      </w:pPr>
      <w:r>
        <w:rPr>
          <w:rFonts w:hint="eastAsia" w:hAnsi="宋体"/>
          <w:b/>
          <w:color w:val="auto"/>
          <w:kern w:val="2"/>
          <w:sz w:val="21"/>
          <w:highlight w:val="none"/>
        </w:rPr>
        <w:t>八、履约担保</w:t>
      </w:r>
    </w:p>
    <w:p w14:paraId="081CBBD2">
      <w:pPr>
        <w:pStyle w:val="13"/>
        <w:spacing w:line="340" w:lineRule="exact"/>
        <w:ind w:firstLine="420" w:firstLineChars="200"/>
        <w:rPr>
          <w:rFonts w:hAnsi="宋体"/>
          <w:color w:val="auto"/>
          <w:sz w:val="21"/>
          <w:highlight w:val="none"/>
        </w:rPr>
      </w:pPr>
      <w:r>
        <w:rPr>
          <w:rFonts w:hint="eastAsia" w:hAnsi="宋体"/>
          <w:color w:val="auto"/>
          <w:sz w:val="21"/>
          <w:highlight w:val="none"/>
        </w:rPr>
        <w:t>1. 在签订合同前，中标人应按投标人须知前附表规定的金额、担保形式、提交时限向</w:t>
      </w:r>
      <w:r>
        <w:rPr>
          <w:rFonts w:hint="eastAsia" w:hAnsi="宋体" w:cs="宋体"/>
          <w:color w:val="auto"/>
          <w:sz w:val="21"/>
          <w:highlight w:val="none"/>
          <w:lang w:bidi="ar"/>
        </w:rPr>
        <w:t>采购</w:t>
      </w:r>
      <w:r>
        <w:rPr>
          <w:rFonts w:hint="eastAsia" w:hAnsi="宋体"/>
          <w:color w:val="auto"/>
          <w:sz w:val="21"/>
          <w:highlight w:val="none"/>
        </w:rPr>
        <w:t>人提交履约担保。</w:t>
      </w:r>
    </w:p>
    <w:p w14:paraId="0D28CA7C">
      <w:pPr>
        <w:pStyle w:val="13"/>
        <w:spacing w:line="340" w:lineRule="exact"/>
        <w:ind w:firstLine="420" w:firstLineChars="200"/>
        <w:rPr>
          <w:rFonts w:hAnsi="宋体"/>
          <w:color w:val="auto"/>
          <w:sz w:val="21"/>
          <w:highlight w:val="none"/>
        </w:rPr>
      </w:pPr>
      <w:r>
        <w:rPr>
          <w:rFonts w:hint="eastAsia" w:hAnsi="宋体"/>
          <w:color w:val="auto"/>
          <w:sz w:val="21"/>
          <w:highlight w:val="none"/>
        </w:rPr>
        <w:t>2.中标人不能按规定提交履约担保的，视为放弃中标，给</w:t>
      </w:r>
      <w:r>
        <w:rPr>
          <w:rFonts w:hint="eastAsia" w:hAnsi="宋体" w:cs="宋体"/>
          <w:color w:val="auto"/>
          <w:sz w:val="21"/>
          <w:highlight w:val="none"/>
          <w:lang w:bidi="ar"/>
        </w:rPr>
        <w:t>采购</w:t>
      </w:r>
      <w:r>
        <w:rPr>
          <w:rFonts w:hint="eastAsia" w:hAnsi="宋体"/>
          <w:color w:val="auto"/>
          <w:sz w:val="21"/>
          <w:highlight w:val="none"/>
        </w:rPr>
        <w:t>人造成损失，中标人还应当予以赔偿。</w:t>
      </w:r>
    </w:p>
    <w:p w14:paraId="3FD67044">
      <w:pPr>
        <w:pStyle w:val="13"/>
        <w:spacing w:line="340" w:lineRule="exact"/>
        <w:ind w:firstLine="420" w:firstLineChars="200"/>
        <w:rPr>
          <w:rFonts w:hAnsi="宋体"/>
          <w:b/>
          <w:color w:val="auto"/>
          <w:kern w:val="2"/>
          <w:sz w:val="21"/>
          <w:highlight w:val="none"/>
        </w:rPr>
      </w:pPr>
      <w:r>
        <w:rPr>
          <w:rFonts w:hint="eastAsia" w:hAnsi="宋体"/>
          <w:color w:val="auto"/>
          <w:sz w:val="21"/>
          <w:highlight w:val="none"/>
        </w:rPr>
        <w:t>3.服务期满后无违约行为的30天内，</w:t>
      </w:r>
      <w:r>
        <w:rPr>
          <w:rFonts w:hint="eastAsia" w:hAnsi="宋体" w:cs="宋体"/>
          <w:color w:val="auto"/>
          <w:sz w:val="21"/>
          <w:highlight w:val="none"/>
          <w:lang w:bidi="ar"/>
        </w:rPr>
        <w:t>采购</w:t>
      </w:r>
      <w:r>
        <w:rPr>
          <w:rFonts w:hint="eastAsia" w:hAnsi="宋体"/>
          <w:color w:val="auto"/>
          <w:sz w:val="21"/>
          <w:highlight w:val="none"/>
        </w:rPr>
        <w:t xml:space="preserve">人将如数（无息）退回。【注：现金形式缴纳的服务期满30天内退还，非现金形式缴纳的服务期满为止。】。     </w:t>
      </w:r>
      <w:r>
        <w:rPr>
          <w:rFonts w:hint="eastAsia"/>
          <w:color w:val="auto"/>
          <w:highlight w:val="none"/>
        </w:rPr>
        <w:t xml:space="preserve">           </w:t>
      </w:r>
    </w:p>
    <w:p w14:paraId="305A58C1">
      <w:pPr>
        <w:pStyle w:val="13"/>
        <w:adjustRightInd w:val="0"/>
        <w:snapToGrid w:val="0"/>
        <w:spacing w:line="340" w:lineRule="exact"/>
        <w:ind w:firstLine="422" w:firstLineChars="200"/>
        <w:rPr>
          <w:rFonts w:hAnsi="宋体"/>
          <w:b/>
          <w:color w:val="auto"/>
          <w:sz w:val="21"/>
          <w:highlight w:val="none"/>
        </w:rPr>
      </w:pPr>
      <w:r>
        <w:rPr>
          <w:rFonts w:hint="eastAsia" w:hAnsi="宋体"/>
          <w:b/>
          <w:color w:val="auto"/>
          <w:sz w:val="21"/>
          <w:highlight w:val="none"/>
        </w:rPr>
        <w:t>九、其他事项</w:t>
      </w:r>
    </w:p>
    <w:p w14:paraId="71C4FBB3">
      <w:pPr>
        <w:pStyle w:val="13"/>
        <w:adjustRightInd w:val="0"/>
        <w:snapToGrid w:val="0"/>
        <w:spacing w:line="340" w:lineRule="exact"/>
        <w:ind w:firstLine="422" w:firstLineChars="200"/>
        <w:rPr>
          <w:rFonts w:hAnsi="宋体"/>
          <w:b/>
          <w:color w:val="auto"/>
          <w:kern w:val="2"/>
          <w:sz w:val="21"/>
          <w:highlight w:val="none"/>
        </w:rPr>
      </w:pPr>
      <w:r>
        <w:rPr>
          <w:rFonts w:hint="eastAsia" w:hAnsi="宋体"/>
          <w:b/>
          <w:color w:val="auto"/>
          <w:kern w:val="2"/>
          <w:sz w:val="21"/>
          <w:highlight w:val="none"/>
        </w:rPr>
        <w:t>1.解释权：</w:t>
      </w:r>
      <w:r>
        <w:rPr>
          <w:rFonts w:hint="eastAsia" w:hAnsi="宋体"/>
          <w:color w:val="auto"/>
          <w:kern w:val="2"/>
          <w:sz w:val="21"/>
          <w:highlight w:val="none"/>
        </w:rPr>
        <w:t>本招标文件解释权属采购人或本公司</w:t>
      </w:r>
      <w:r>
        <w:rPr>
          <w:rFonts w:hint="eastAsia" w:hAnsi="宋体"/>
          <w:b/>
          <w:color w:val="auto"/>
          <w:kern w:val="2"/>
          <w:sz w:val="21"/>
          <w:highlight w:val="none"/>
        </w:rPr>
        <w:t>。</w:t>
      </w:r>
    </w:p>
    <w:p w14:paraId="1A031032">
      <w:pPr>
        <w:pStyle w:val="13"/>
        <w:adjustRightInd w:val="0"/>
        <w:snapToGrid w:val="0"/>
        <w:spacing w:line="340" w:lineRule="exact"/>
        <w:ind w:firstLine="422" w:firstLineChars="200"/>
        <w:rPr>
          <w:rFonts w:hAnsi="宋体"/>
          <w:b/>
          <w:color w:val="auto"/>
          <w:kern w:val="2"/>
          <w:sz w:val="21"/>
          <w:highlight w:val="none"/>
        </w:rPr>
      </w:pPr>
      <w:r>
        <w:rPr>
          <w:rFonts w:hint="eastAsia" w:hAnsi="宋体"/>
          <w:b/>
          <w:color w:val="auto"/>
          <w:kern w:val="2"/>
          <w:sz w:val="21"/>
          <w:highlight w:val="none"/>
        </w:rPr>
        <w:t>2.有关事宜</w:t>
      </w:r>
    </w:p>
    <w:p w14:paraId="7FEAFB30">
      <w:pPr>
        <w:pStyle w:val="13"/>
        <w:adjustRightInd w:val="0"/>
        <w:snapToGrid w:val="0"/>
        <w:spacing w:line="340" w:lineRule="exact"/>
        <w:ind w:firstLine="420" w:firstLineChars="200"/>
        <w:rPr>
          <w:rFonts w:hAnsi="宋体"/>
          <w:color w:val="auto"/>
          <w:kern w:val="2"/>
          <w:sz w:val="21"/>
          <w:highlight w:val="none"/>
        </w:rPr>
      </w:pPr>
      <w:r>
        <w:rPr>
          <w:rFonts w:hint="eastAsia" w:hAnsi="宋体"/>
          <w:color w:val="auto"/>
          <w:kern w:val="2"/>
          <w:sz w:val="21"/>
          <w:highlight w:val="none"/>
        </w:rPr>
        <w:t>所有与本招标文件有关的函件请按下列通讯地址联系：广西向海韵工程咨询有限公司</w:t>
      </w:r>
    </w:p>
    <w:p w14:paraId="722A915C">
      <w:pPr>
        <w:pStyle w:val="13"/>
        <w:tabs>
          <w:tab w:val="left" w:pos="1990"/>
        </w:tabs>
        <w:adjustRightInd w:val="0"/>
        <w:snapToGrid w:val="0"/>
        <w:spacing w:line="340" w:lineRule="exact"/>
        <w:rPr>
          <w:rFonts w:hAnsi="宋体"/>
          <w:color w:val="auto"/>
          <w:kern w:val="2"/>
          <w:sz w:val="21"/>
          <w:highlight w:val="none"/>
        </w:rPr>
      </w:pPr>
      <w:r>
        <w:rPr>
          <w:rFonts w:hint="eastAsia" w:hAnsi="宋体"/>
          <w:color w:val="auto"/>
          <w:kern w:val="2"/>
          <w:sz w:val="21"/>
          <w:highlight w:val="none"/>
        </w:rPr>
        <w:t>通讯地址：合浦县廉州镇廉阳大道103号香溪花园一期6幢2号楼三楼。</w:t>
      </w:r>
    </w:p>
    <w:p w14:paraId="7CA63C1D">
      <w:pPr>
        <w:rPr>
          <w:color w:val="auto"/>
          <w:highlight w:val="none"/>
        </w:rPr>
      </w:pPr>
      <w:r>
        <w:rPr>
          <w:rFonts w:hint="eastAsia"/>
          <w:color w:val="auto"/>
          <w:highlight w:val="none"/>
        </w:rPr>
        <w:t>项目联系人：符琼鑫              </w:t>
      </w:r>
    </w:p>
    <w:p w14:paraId="2518FF91">
      <w:pPr>
        <w:rPr>
          <w:color w:val="auto"/>
          <w:highlight w:val="none"/>
        </w:rPr>
      </w:pPr>
      <w:r>
        <w:rPr>
          <w:rFonts w:hint="eastAsia"/>
          <w:color w:val="auto"/>
          <w:highlight w:val="none"/>
        </w:rPr>
        <w:t>项目联系方式：0779-7296939</w:t>
      </w:r>
    </w:p>
    <w:p w14:paraId="53D4C304">
      <w:pPr>
        <w:rPr>
          <w:color w:val="auto"/>
          <w:highlight w:val="none"/>
        </w:rPr>
      </w:pPr>
    </w:p>
    <w:p w14:paraId="3452287B">
      <w:pPr>
        <w:pStyle w:val="3"/>
        <w:jc w:val="center"/>
        <w:rPr>
          <w:rFonts w:ascii="宋体" w:hAnsi="宋体"/>
          <w:color w:val="auto"/>
          <w:highlight w:val="none"/>
        </w:rPr>
      </w:pPr>
      <w:bookmarkStart w:id="14" w:name="_Toc615"/>
    </w:p>
    <w:p w14:paraId="7A2F6F29">
      <w:pPr>
        <w:pStyle w:val="3"/>
        <w:jc w:val="center"/>
        <w:rPr>
          <w:rFonts w:ascii="宋体" w:hAnsi="宋体"/>
          <w:color w:val="auto"/>
          <w:highlight w:val="none"/>
        </w:rPr>
      </w:pPr>
    </w:p>
    <w:p w14:paraId="5A1A0574">
      <w:pPr>
        <w:pStyle w:val="3"/>
        <w:jc w:val="center"/>
        <w:rPr>
          <w:rFonts w:ascii="宋体" w:hAnsi="宋体"/>
          <w:color w:val="auto"/>
          <w:highlight w:val="none"/>
        </w:rPr>
      </w:pPr>
      <w:r>
        <w:rPr>
          <w:rFonts w:hint="eastAsia" w:ascii="宋体" w:hAnsi="宋体"/>
          <w:color w:val="auto"/>
          <w:highlight w:val="none"/>
        </w:rPr>
        <w:t>第三章  招标项目采购需求</w:t>
      </w:r>
      <w:bookmarkEnd w:id="14"/>
    </w:p>
    <w:p w14:paraId="19CE351D">
      <w:pPr>
        <w:jc w:val="center"/>
        <w:rPr>
          <w:rFonts w:ascii="宋体" w:hAnsi="宋体"/>
          <w:color w:val="auto"/>
          <w:highlight w:val="none"/>
        </w:rPr>
      </w:pPr>
      <w:r>
        <w:rPr>
          <w:rFonts w:hint="eastAsia" w:ascii="宋体" w:hAnsi="宋体"/>
          <w:color w:val="auto"/>
          <w:highlight w:val="none"/>
        </w:rPr>
        <w:br w:type="page"/>
      </w:r>
      <w:r>
        <w:rPr>
          <w:rFonts w:hint="eastAsia" w:ascii="宋体" w:hAnsi="宋体"/>
          <w:b/>
          <w:bCs/>
          <w:color w:val="auto"/>
          <w:sz w:val="36"/>
          <w:szCs w:val="36"/>
          <w:highlight w:val="none"/>
        </w:rPr>
        <w:t>采购需求</w:t>
      </w:r>
    </w:p>
    <w:p w14:paraId="7C9BA109">
      <w:pPr>
        <w:spacing w:line="300" w:lineRule="auto"/>
        <w:jc w:val="left"/>
        <w:rPr>
          <w:rFonts w:asci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招标项目概况</w:t>
      </w:r>
    </w:p>
    <w:p w14:paraId="12653410">
      <w:pPr>
        <w:snapToGrid w:val="0"/>
        <w:spacing w:line="360" w:lineRule="auto"/>
        <w:rPr>
          <w:rFonts w:ascii="宋体" w:cs="Arial"/>
          <w:b/>
          <w:bCs/>
          <w:color w:val="auto"/>
          <w:sz w:val="24"/>
          <w:highlight w:val="none"/>
        </w:rPr>
      </w:pPr>
      <w:r>
        <w:rPr>
          <w:rFonts w:ascii="宋体" w:hAnsi="宋体" w:cs="Arial"/>
          <w:b/>
          <w:bCs/>
          <w:color w:val="auto"/>
          <w:sz w:val="24"/>
          <w:highlight w:val="none"/>
        </w:rPr>
        <w:t xml:space="preserve">1.1 </w:t>
      </w:r>
      <w:r>
        <w:rPr>
          <w:rFonts w:hint="eastAsia" w:ascii="宋体" w:hAnsi="宋体" w:cs="Arial"/>
          <w:b/>
          <w:bCs/>
          <w:color w:val="auto"/>
          <w:sz w:val="24"/>
          <w:highlight w:val="none"/>
        </w:rPr>
        <w:t>农村公路基本情况</w:t>
      </w:r>
    </w:p>
    <w:p w14:paraId="334A4332">
      <w:pPr>
        <w:snapToGrid w:val="0"/>
        <w:spacing w:line="360" w:lineRule="auto"/>
        <w:ind w:firstLine="480" w:firstLineChars="200"/>
        <w:rPr>
          <w:rFonts w:ascii="宋体" w:cs="Arial"/>
          <w:bCs/>
          <w:color w:val="auto"/>
          <w:sz w:val="24"/>
          <w:highlight w:val="none"/>
        </w:rPr>
      </w:pPr>
      <w:r>
        <w:rPr>
          <w:rFonts w:hint="eastAsia" w:ascii="宋体" w:hAnsi="宋体" w:cs="Arial"/>
          <w:bCs/>
          <w:color w:val="auto"/>
          <w:sz w:val="24"/>
          <w:highlight w:val="none"/>
        </w:rPr>
        <w:t>合浦县农村公路日常养护服务项目公开招标，其中</w:t>
      </w:r>
      <w:r>
        <w:rPr>
          <w:rFonts w:ascii="宋体" w:hAnsi="宋体" w:cs="Arial"/>
          <w:bCs/>
          <w:color w:val="auto"/>
          <w:sz w:val="24"/>
          <w:highlight w:val="none"/>
        </w:rPr>
        <w:t>:</w:t>
      </w:r>
    </w:p>
    <w:p w14:paraId="2584A10C">
      <w:pPr>
        <w:snapToGrid w:val="0"/>
        <w:spacing w:line="360" w:lineRule="auto"/>
        <w:ind w:firstLine="480" w:firstLineChars="200"/>
        <w:rPr>
          <w:rFonts w:ascii="宋体" w:hAnsi="宋体" w:cs="Arial"/>
          <w:bCs/>
          <w:color w:val="auto"/>
          <w:sz w:val="24"/>
          <w:highlight w:val="none"/>
        </w:rPr>
      </w:pPr>
      <w:r>
        <w:rPr>
          <w:rFonts w:hint="eastAsia" w:ascii="宋体" w:hAnsi="宋体" w:cs="Arial"/>
          <w:bCs/>
          <w:color w:val="auto"/>
          <w:sz w:val="24"/>
          <w:highlight w:val="none"/>
        </w:rPr>
        <w:t>包括公馆、山口、白沙、沙田、闸口、曲樟、石康、常乐、廉州、石湾、党江、星岛湖、沙岗、西场、乌家等15个乡镇，</w:t>
      </w:r>
      <w:r>
        <w:rPr>
          <w:rFonts w:hint="eastAsia" w:ascii="宋体" w:hAnsi="宋体" w:cs="Arial"/>
          <w:bCs/>
          <w:color w:val="auto"/>
          <w:sz w:val="24"/>
          <w:highlight w:val="none"/>
        </w:rPr>
        <w:t>管养农村公路共2387.836公里，其中县道162.887公里、乡道1063.396公里、村道1161.553公里，桥梁（在册）共6919.84延米/177座。</w:t>
      </w:r>
      <w:r>
        <w:rPr>
          <w:rFonts w:hint="eastAsia" w:ascii="宋体" w:hAnsi="宋体"/>
          <w:color w:val="auto"/>
          <w:szCs w:val="21"/>
          <w:highlight w:val="none"/>
        </w:rPr>
        <w:t>以及根据合浦县人民政府或合浦县交通运输局要求增加的其他道路、桥梁。</w:t>
      </w:r>
    </w:p>
    <w:p w14:paraId="4E48E28A">
      <w:pPr>
        <w:snapToGrid w:val="0"/>
        <w:spacing w:line="360" w:lineRule="auto"/>
        <w:ind w:firstLine="480" w:firstLineChars="200"/>
        <w:rPr>
          <w:rFonts w:ascii="宋体" w:cs="Arial"/>
          <w:bCs/>
          <w:color w:val="auto"/>
          <w:sz w:val="24"/>
          <w:highlight w:val="none"/>
        </w:rPr>
      </w:pPr>
      <w:r>
        <w:rPr>
          <w:rFonts w:hint="eastAsia" w:ascii="宋体" w:cs="Arial"/>
          <w:bCs/>
          <w:color w:val="auto"/>
          <w:sz w:val="24"/>
          <w:highlight w:val="none"/>
        </w:rPr>
        <w:t>路线基本情况表另附。</w:t>
      </w:r>
    </w:p>
    <w:p w14:paraId="5574EE30">
      <w:pPr>
        <w:spacing w:line="300" w:lineRule="auto"/>
        <w:jc w:val="left"/>
        <w:rPr>
          <w:b/>
          <w:color w:val="auto"/>
          <w:sz w:val="24"/>
          <w:highlight w:val="none"/>
        </w:rPr>
      </w:pPr>
      <w:r>
        <w:rPr>
          <w:b/>
          <w:color w:val="auto"/>
          <w:sz w:val="24"/>
          <w:highlight w:val="none"/>
        </w:rPr>
        <w:t xml:space="preserve">1.2 </w:t>
      </w:r>
      <w:r>
        <w:rPr>
          <w:rFonts w:hint="eastAsia"/>
          <w:b/>
          <w:color w:val="auto"/>
          <w:sz w:val="24"/>
          <w:highlight w:val="none"/>
        </w:rPr>
        <w:t>农村公路管理机构（即采购人）基本情况</w:t>
      </w:r>
    </w:p>
    <w:p w14:paraId="29F0B476">
      <w:pPr>
        <w:spacing w:line="300" w:lineRule="auto"/>
        <w:ind w:firstLine="570"/>
        <w:jc w:val="left"/>
        <w:rPr>
          <w:color w:val="auto"/>
          <w:sz w:val="24"/>
          <w:highlight w:val="none"/>
        </w:rPr>
      </w:pPr>
      <w:r>
        <w:rPr>
          <w:rFonts w:hint="eastAsia" w:ascii="宋体" w:hAnsi="宋体" w:cs="宋体"/>
          <w:color w:val="auto"/>
          <w:szCs w:val="21"/>
          <w:highlight w:val="none"/>
          <w:lang w:bidi="ar"/>
        </w:rPr>
        <w:t>采购</w:t>
      </w:r>
      <w:r>
        <w:rPr>
          <w:rFonts w:hint="eastAsia"/>
          <w:color w:val="auto"/>
          <w:sz w:val="24"/>
          <w:highlight w:val="none"/>
        </w:rPr>
        <w:t>人名称：</w:t>
      </w:r>
      <w:r>
        <w:rPr>
          <w:color w:val="auto"/>
          <w:sz w:val="24"/>
          <w:highlight w:val="none"/>
          <w:u w:val="single"/>
        </w:rPr>
        <w:t xml:space="preserve"> </w:t>
      </w:r>
      <w:r>
        <w:rPr>
          <w:rFonts w:hint="eastAsia"/>
          <w:color w:val="auto"/>
          <w:sz w:val="24"/>
          <w:highlight w:val="none"/>
          <w:u w:val="single"/>
        </w:rPr>
        <w:t>合浦县公路发展服务中心</w:t>
      </w:r>
      <w:r>
        <w:rPr>
          <w:color w:val="auto"/>
          <w:sz w:val="24"/>
          <w:highlight w:val="none"/>
          <w:u w:val="single"/>
        </w:rPr>
        <w:t xml:space="preserve">     </w:t>
      </w:r>
    </w:p>
    <w:p w14:paraId="39C83C14">
      <w:pPr>
        <w:spacing w:line="300" w:lineRule="auto"/>
        <w:ind w:firstLine="570"/>
        <w:jc w:val="left"/>
        <w:rPr>
          <w:color w:val="auto"/>
          <w:sz w:val="24"/>
          <w:highlight w:val="none"/>
        </w:rPr>
      </w:pPr>
      <w:r>
        <w:rPr>
          <w:rFonts w:hint="eastAsia"/>
          <w:color w:val="auto"/>
          <w:sz w:val="24"/>
          <w:highlight w:val="none"/>
        </w:rPr>
        <w:t>采购人地址：</w:t>
      </w:r>
      <w:r>
        <w:rPr>
          <w:rFonts w:hint="eastAsia"/>
          <w:color w:val="auto"/>
          <w:sz w:val="24"/>
          <w:highlight w:val="none"/>
          <w:u w:val="single"/>
        </w:rPr>
        <w:t>合浦县廉州镇还珠中路85号</w:t>
      </w:r>
      <w:r>
        <w:rPr>
          <w:color w:val="auto"/>
          <w:sz w:val="24"/>
          <w:highlight w:val="none"/>
          <w:u w:val="single"/>
        </w:rPr>
        <w:t xml:space="preserve">   </w:t>
      </w:r>
    </w:p>
    <w:p w14:paraId="27608A2D">
      <w:pPr>
        <w:spacing w:line="300" w:lineRule="auto"/>
        <w:ind w:firstLine="570"/>
        <w:jc w:val="left"/>
        <w:rPr>
          <w:color w:val="auto"/>
          <w:sz w:val="24"/>
          <w:highlight w:val="none"/>
        </w:rPr>
      </w:pPr>
      <w:r>
        <w:rPr>
          <w:rFonts w:hint="eastAsia"/>
          <w:color w:val="auto"/>
          <w:sz w:val="24"/>
          <w:highlight w:val="none"/>
        </w:rPr>
        <w:t>邮政编码：</w:t>
      </w:r>
      <w:r>
        <w:rPr>
          <w:color w:val="auto"/>
          <w:sz w:val="24"/>
          <w:highlight w:val="none"/>
        </w:rPr>
        <w:t xml:space="preserve">  </w:t>
      </w:r>
      <w:r>
        <w:rPr>
          <w:color w:val="auto"/>
          <w:sz w:val="24"/>
          <w:highlight w:val="none"/>
          <w:u w:val="single"/>
        </w:rPr>
        <w:t xml:space="preserve">536100                      </w:t>
      </w:r>
    </w:p>
    <w:p w14:paraId="68C5C593">
      <w:pPr>
        <w:spacing w:line="300" w:lineRule="auto"/>
        <w:jc w:val="left"/>
        <w:rPr>
          <w:rFonts w:ascii="宋体" w:hAnsi="宋体"/>
          <w:b/>
          <w:color w:val="auto"/>
          <w:sz w:val="24"/>
          <w:highlight w:val="none"/>
        </w:rPr>
      </w:pPr>
      <w:r>
        <w:rPr>
          <w:b/>
          <w:color w:val="auto"/>
          <w:sz w:val="24"/>
          <w:highlight w:val="none"/>
        </w:rPr>
        <w:t xml:space="preserve">1.3 </w:t>
      </w:r>
      <w:r>
        <w:rPr>
          <w:rFonts w:hint="eastAsia" w:ascii="宋体" w:hAnsi="宋体"/>
          <w:b/>
          <w:color w:val="auto"/>
          <w:sz w:val="24"/>
          <w:highlight w:val="none"/>
        </w:rPr>
        <w:t>招标项目资金来源</w:t>
      </w:r>
    </w:p>
    <w:p w14:paraId="7037053B">
      <w:pPr>
        <w:spacing w:line="300" w:lineRule="auto"/>
        <w:ind w:firstLine="570"/>
        <w:jc w:val="left"/>
        <w:rPr>
          <w:rFonts w:ascii="宋体" w:hAnsi="宋体"/>
          <w:color w:val="auto"/>
          <w:sz w:val="24"/>
          <w:highlight w:val="none"/>
        </w:rPr>
      </w:pPr>
      <w:r>
        <w:rPr>
          <w:rFonts w:hint="eastAsia" w:ascii="宋体" w:hAnsi="宋体"/>
          <w:color w:val="auto"/>
          <w:sz w:val="24"/>
          <w:highlight w:val="none"/>
        </w:rPr>
        <w:t>本招标项目资金主要根据《合浦县人民政府办公室关于印发合浦县深化农村公路管理养护体制改革推进“四好农村路”高质量发展实施方案的通知》（合政办</w:t>
      </w:r>
      <w:r>
        <w:rPr>
          <w:rFonts w:ascii="宋体" w:hAnsi="宋体"/>
          <w:color w:val="auto"/>
          <w:sz w:val="24"/>
          <w:highlight w:val="none"/>
        </w:rPr>
        <w:t>[</w:t>
      </w:r>
      <w:r>
        <w:rPr>
          <w:rFonts w:hint="eastAsia" w:ascii="宋体" w:hAnsi="宋体"/>
          <w:color w:val="auto"/>
          <w:sz w:val="24"/>
          <w:highlight w:val="none"/>
        </w:rPr>
        <w:t>2021</w:t>
      </w:r>
      <w:r>
        <w:rPr>
          <w:rFonts w:ascii="宋体" w:hAnsi="宋体"/>
          <w:color w:val="auto"/>
          <w:sz w:val="24"/>
          <w:highlight w:val="none"/>
        </w:rPr>
        <w:t>]</w:t>
      </w:r>
      <w:r>
        <w:rPr>
          <w:rFonts w:hint="eastAsia" w:ascii="宋体" w:hAnsi="宋体"/>
          <w:color w:val="auto"/>
          <w:sz w:val="24"/>
          <w:highlight w:val="none"/>
        </w:rPr>
        <w:t>57号）、《北海市人民政府办公室关于印发北海市深化农村公路管理养护体制改革推进“四好农村路”高质量发展实施方案的通知》（北政办</w:t>
      </w:r>
      <w:r>
        <w:rPr>
          <w:rFonts w:ascii="宋体" w:hAnsi="宋体"/>
          <w:color w:val="auto"/>
          <w:sz w:val="24"/>
          <w:highlight w:val="none"/>
        </w:rPr>
        <w:t>[</w:t>
      </w:r>
      <w:r>
        <w:rPr>
          <w:rFonts w:hint="eastAsia" w:ascii="宋体" w:hAnsi="宋体"/>
          <w:color w:val="auto"/>
          <w:sz w:val="24"/>
          <w:highlight w:val="none"/>
        </w:rPr>
        <w:t>2021</w:t>
      </w:r>
      <w:r>
        <w:rPr>
          <w:rFonts w:ascii="宋体" w:hAnsi="宋体"/>
          <w:color w:val="auto"/>
          <w:sz w:val="24"/>
          <w:highlight w:val="none"/>
        </w:rPr>
        <w:t>]</w:t>
      </w:r>
      <w:r>
        <w:rPr>
          <w:rFonts w:hint="eastAsia" w:ascii="宋体" w:hAnsi="宋体"/>
          <w:color w:val="auto"/>
          <w:sz w:val="24"/>
          <w:highlight w:val="none"/>
        </w:rPr>
        <w:t>62号）、《广西壮族自治区人民政府办公厅关于印发广西深化农村公路管理养护体制改革推进“四好农村路”高质量发展实施方案的通知》（桂政办发[2020]25号）文件精神，日常养护资金除自治区补助外、其余由</w:t>
      </w:r>
      <w:r>
        <w:rPr>
          <w:rFonts w:hint="eastAsia" w:ascii="宋体" w:hAnsi="宋体"/>
          <w:color w:val="auto"/>
          <w:sz w:val="24"/>
          <w:highlight w:val="none"/>
          <w:u w:val="single"/>
        </w:rPr>
        <w:t>北海市</w:t>
      </w:r>
      <w:r>
        <w:rPr>
          <w:rFonts w:hint="eastAsia" w:ascii="宋体" w:hAnsi="宋体"/>
          <w:color w:val="auto"/>
          <w:sz w:val="24"/>
          <w:highlight w:val="none"/>
        </w:rPr>
        <w:t>财政和</w:t>
      </w:r>
      <w:r>
        <w:rPr>
          <w:rFonts w:hint="eastAsia" w:ascii="宋体" w:hAnsi="宋体"/>
          <w:color w:val="auto"/>
          <w:sz w:val="24"/>
          <w:highlight w:val="none"/>
          <w:u w:val="single"/>
        </w:rPr>
        <w:t>合浦县</w:t>
      </w:r>
      <w:r>
        <w:rPr>
          <w:rFonts w:hint="eastAsia" w:ascii="宋体" w:hAnsi="宋体"/>
          <w:color w:val="auto"/>
          <w:sz w:val="24"/>
          <w:highlight w:val="none"/>
        </w:rPr>
        <w:t>财政承担。</w:t>
      </w:r>
    </w:p>
    <w:p w14:paraId="00EE998F">
      <w:pPr>
        <w:spacing w:line="300" w:lineRule="auto"/>
        <w:jc w:val="left"/>
        <w:rPr>
          <w:b/>
          <w:color w:val="auto"/>
          <w:sz w:val="24"/>
          <w:highlight w:val="none"/>
        </w:rPr>
      </w:pPr>
      <w:r>
        <w:rPr>
          <w:b/>
          <w:color w:val="auto"/>
          <w:sz w:val="24"/>
          <w:highlight w:val="none"/>
        </w:rPr>
        <w:t xml:space="preserve">1.4 </w:t>
      </w:r>
      <w:r>
        <w:rPr>
          <w:rFonts w:hint="eastAsia"/>
          <w:b/>
          <w:color w:val="auto"/>
          <w:sz w:val="24"/>
          <w:highlight w:val="none"/>
        </w:rPr>
        <w:t>招标项目服务期</w:t>
      </w:r>
    </w:p>
    <w:p w14:paraId="013A1019">
      <w:pPr>
        <w:spacing w:line="300" w:lineRule="auto"/>
        <w:ind w:firstLine="570"/>
        <w:jc w:val="left"/>
        <w:rPr>
          <w:color w:val="auto"/>
          <w:sz w:val="24"/>
          <w:highlight w:val="none"/>
        </w:rPr>
      </w:pPr>
      <w:r>
        <w:rPr>
          <w:rFonts w:hint="eastAsia"/>
          <w:color w:val="auto"/>
          <w:sz w:val="24"/>
          <w:highlight w:val="none"/>
        </w:rPr>
        <w:t>本招标项目服务期为</w:t>
      </w:r>
      <w:r>
        <w:rPr>
          <w:rFonts w:hint="eastAsia" w:ascii="宋体" w:hAnsi="宋体"/>
          <w:color w:val="auto"/>
          <w:szCs w:val="21"/>
          <w:highlight w:val="none"/>
        </w:rPr>
        <w:t>8个月</w:t>
      </w:r>
      <w:r>
        <w:rPr>
          <w:rFonts w:hint="eastAsia"/>
          <w:color w:val="auto"/>
          <w:sz w:val="24"/>
          <w:highlight w:val="none"/>
        </w:rPr>
        <w:t>，</w:t>
      </w:r>
      <w:r>
        <w:rPr>
          <w:rFonts w:hint="eastAsia"/>
          <w:color w:val="auto"/>
          <w:sz w:val="24"/>
          <w:highlight w:val="none"/>
        </w:rPr>
        <w:t>服务合同签订后，采购人将以“服务通知书”的形式，向中标人明确服务期的起止时间，以及授权管理人。</w:t>
      </w:r>
    </w:p>
    <w:p w14:paraId="77597CBA">
      <w:pPr>
        <w:spacing w:line="300" w:lineRule="auto"/>
        <w:jc w:val="left"/>
        <w:rPr>
          <w:b/>
          <w:color w:val="auto"/>
          <w:sz w:val="24"/>
          <w:highlight w:val="none"/>
        </w:rPr>
      </w:pPr>
      <w:r>
        <w:rPr>
          <w:b/>
          <w:color w:val="auto"/>
          <w:sz w:val="24"/>
          <w:highlight w:val="none"/>
        </w:rPr>
        <w:t>2.</w:t>
      </w:r>
      <w:r>
        <w:rPr>
          <w:rFonts w:hint="eastAsia"/>
          <w:b/>
          <w:color w:val="auto"/>
          <w:sz w:val="24"/>
          <w:highlight w:val="none"/>
        </w:rPr>
        <w:t>招标范围和主要内容</w:t>
      </w:r>
    </w:p>
    <w:p w14:paraId="421254D5">
      <w:pPr>
        <w:widowControl/>
        <w:wordWrap w:val="0"/>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按照采购人及上级交通运输主管部门的要求，依据《农村公路养护技术规范》（</w:t>
      </w:r>
      <w:r>
        <w:rPr>
          <w:rFonts w:ascii="宋体" w:hAnsi="宋体" w:cs="宋体"/>
          <w:color w:val="auto"/>
          <w:kern w:val="0"/>
          <w:sz w:val="24"/>
          <w:highlight w:val="none"/>
        </w:rPr>
        <w:t>JTG/T5190-2019</w:t>
      </w:r>
      <w:r>
        <w:rPr>
          <w:rFonts w:hint="eastAsia" w:ascii="宋体" w:hAnsi="宋体" w:cs="宋体"/>
          <w:color w:val="auto"/>
          <w:kern w:val="0"/>
          <w:sz w:val="24"/>
          <w:highlight w:val="none"/>
        </w:rPr>
        <w:t>）及《北海市交通运输局推进农村公路养护“四化”工作指导意见》（北交发</w:t>
      </w:r>
      <w:r>
        <w:rPr>
          <w:rFonts w:ascii="宋体" w:hAnsi="宋体" w:cs="宋体"/>
          <w:color w:val="auto"/>
          <w:kern w:val="0"/>
          <w:sz w:val="24"/>
          <w:highlight w:val="none"/>
        </w:rPr>
        <w:t>[2018]120</w:t>
      </w:r>
      <w:r>
        <w:rPr>
          <w:rFonts w:hint="eastAsia" w:ascii="宋体" w:hAnsi="宋体" w:cs="宋体"/>
          <w:color w:val="auto"/>
          <w:kern w:val="0"/>
          <w:sz w:val="24"/>
          <w:highlight w:val="none"/>
        </w:rPr>
        <w:t>号），组织实施招标范围（即本章项目需求明确的农村公路范围）内的农村公路日常养护服务，主要包含以下各部分工作：</w:t>
      </w:r>
    </w:p>
    <w:p w14:paraId="5A32B500">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）按《农村公路养护技术规范》（</w:t>
      </w:r>
      <w:r>
        <w:rPr>
          <w:rFonts w:ascii="宋体" w:hAnsi="宋体" w:cs="宋体"/>
          <w:color w:val="auto"/>
          <w:kern w:val="0"/>
          <w:sz w:val="24"/>
          <w:highlight w:val="none"/>
        </w:rPr>
        <w:t>JTG/T5190-2019</w:t>
      </w:r>
      <w:r>
        <w:rPr>
          <w:rFonts w:hint="eastAsia" w:ascii="宋体" w:hAnsi="宋体" w:cs="宋体"/>
          <w:color w:val="auto"/>
          <w:kern w:val="0"/>
          <w:sz w:val="24"/>
          <w:highlight w:val="none"/>
        </w:rPr>
        <w:t>）及《北海市交通运输局推进农村公路养护“四化”工作指导意见》（北交发</w:t>
      </w:r>
      <w:r>
        <w:rPr>
          <w:rFonts w:ascii="宋体" w:hAnsi="宋体" w:cs="宋体"/>
          <w:color w:val="auto"/>
          <w:kern w:val="0"/>
          <w:sz w:val="24"/>
          <w:highlight w:val="none"/>
        </w:rPr>
        <w:t>[2018]120</w:t>
      </w:r>
      <w:r>
        <w:rPr>
          <w:rFonts w:hint="eastAsia" w:ascii="宋体" w:hAnsi="宋体" w:cs="宋体"/>
          <w:color w:val="auto"/>
          <w:kern w:val="0"/>
          <w:sz w:val="24"/>
          <w:highlight w:val="none"/>
        </w:rPr>
        <w:t>号）及其他农村公路养护政策和技术文件的要求，开展日常养护、小修和应急；</w:t>
      </w:r>
    </w:p>
    <w:p w14:paraId="610B0FC0">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（2）按照合同文件和上级部门和当地政府的有关要求，开展路域环境整治及“城乡清洁工程”等各项工作；</w:t>
      </w:r>
    </w:p>
    <w:p w14:paraId="0F3C06FB">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（3）服从采购人要求，开展农村公路水毁抢修、公路抢通保通等各项应急工作。</w:t>
      </w:r>
    </w:p>
    <w:p w14:paraId="70C4FB9E">
      <w:pPr>
        <w:spacing w:line="360" w:lineRule="auto"/>
        <w:jc w:val="left"/>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服务质量、工作标准和计量支付</w:t>
      </w:r>
    </w:p>
    <w:p w14:paraId="40C3258C">
      <w:pPr>
        <w:spacing w:line="360" w:lineRule="auto"/>
        <w:jc w:val="left"/>
        <w:rPr>
          <w:b/>
          <w:color w:val="auto"/>
          <w:sz w:val="24"/>
          <w:highlight w:val="none"/>
        </w:rPr>
      </w:pPr>
      <w:r>
        <w:rPr>
          <w:b/>
          <w:color w:val="auto"/>
          <w:sz w:val="24"/>
          <w:highlight w:val="none"/>
        </w:rPr>
        <w:t xml:space="preserve">3.1 </w:t>
      </w:r>
      <w:r>
        <w:rPr>
          <w:rFonts w:hint="eastAsia"/>
          <w:b/>
          <w:color w:val="auto"/>
          <w:sz w:val="24"/>
          <w:highlight w:val="none"/>
        </w:rPr>
        <w:t>日常巡查</w:t>
      </w:r>
    </w:p>
    <w:p w14:paraId="5F0EDD7D">
      <w:pPr>
        <w:spacing w:line="360" w:lineRule="auto"/>
        <w:ind w:firstLine="480" w:firstLineChars="200"/>
        <w:jc w:val="left"/>
        <w:rPr>
          <w:color w:val="auto"/>
          <w:sz w:val="24"/>
          <w:highlight w:val="none"/>
        </w:rPr>
      </w:pPr>
      <w:r>
        <w:rPr>
          <w:color w:val="auto"/>
          <w:sz w:val="24"/>
          <w:highlight w:val="none"/>
        </w:rPr>
        <w:t xml:space="preserve">3.1.1 </w:t>
      </w:r>
      <w:r>
        <w:rPr>
          <w:rFonts w:hint="eastAsia"/>
          <w:color w:val="auto"/>
          <w:sz w:val="24"/>
          <w:highlight w:val="none"/>
        </w:rPr>
        <w:t>日常巡查是指对农村公路及其所属设施损坏、污染及其他影响正常通行的情况，开展日常检查、查看和记录工作。现场处理巡查中发现的能现场处理的问题（包括但不限于散落公路上的杂物，标志标牌倾倒、歪斜、变形，树木倾倒，路面污染，以及其他影响行车安全的因素）；不能现场处理的向采购人提出处理书面建议；对破坏公路设施、擅自增设平交道口、在公路建筑控制区内建设建筑物、构筑物等违反《中华人民共和国公路法》《公路安全保护条例》等违法违规行为进行初步采证，并向采购人提交书面报告，由采购人报送执法部门。</w:t>
      </w:r>
    </w:p>
    <w:p w14:paraId="310CDC8C">
      <w:pPr>
        <w:spacing w:line="360" w:lineRule="auto"/>
        <w:ind w:firstLine="480" w:firstLineChars="200"/>
        <w:jc w:val="left"/>
        <w:rPr>
          <w:color w:val="auto"/>
          <w:sz w:val="24"/>
          <w:highlight w:val="none"/>
        </w:rPr>
      </w:pPr>
      <w:r>
        <w:rPr>
          <w:color w:val="auto"/>
          <w:sz w:val="24"/>
          <w:highlight w:val="none"/>
        </w:rPr>
        <w:t xml:space="preserve">3.1.2  </w:t>
      </w:r>
      <w:r>
        <w:rPr>
          <w:rFonts w:hint="eastAsia"/>
          <w:color w:val="auto"/>
          <w:sz w:val="24"/>
          <w:highlight w:val="none"/>
        </w:rPr>
        <w:t>公路巡查占比、频率为：每月县道100%巡查，每月4次；乡道、村道每月巡查1次。其中：乡道50%巡查，2个月100%完成；村道25%巡查，4个月100%完成（乡道、村道 采购人特别要求加强巡查的路段，每月不少于4次）。“五一”、“十一”、“春节”、“三月三”等节假日前应根据采购人要求进行全面巡查，以保证公路安全畅通。</w:t>
      </w:r>
    </w:p>
    <w:p w14:paraId="2AB94662">
      <w:pPr>
        <w:spacing w:line="360" w:lineRule="auto"/>
        <w:ind w:firstLine="480" w:firstLineChars="200"/>
        <w:jc w:val="left"/>
        <w:rPr>
          <w:color w:val="auto"/>
          <w:sz w:val="24"/>
          <w:highlight w:val="none"/>
        </w:rPr>
      </w:pPr>
      <w:r>
        <w:rPr>
          <w:color w:val="auto"/>
          <w:sz w:val="24"/>
          <w:highlight w:val="none"/>
        </w:rPr>
        <w:t xml:space="preserve">3.1.3  </w:t>
      </w:r>
      <w:r>
        <w:rPr>
          <w:rFonts w:hint="eastAsia"/>
          <w:color w:val="auto"/>
          <w:sz w:val="24"/>
          <w:highlight w:val="none"/>
        </w:rPr>
        <w:t>日常巡查工作要求：</w:t>
      </w:r>
    </w:p>
    <w:p w14:paraId="2D6C2D53">
      <w:pPr>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）在巡查路线起点和终点，采用一块小白板（或小黑板）标记路线名称、路线编码、巡查日期、巡查天气，小白板（或小黑板）和巡查人员同框拍摄一张照片作为巡查工作留痕的证据。</w:t>
      </w:r>
    </w:p>
    <w:p w14:paraId="26988463">
      <w:pPr>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）在发现公路病害、人为损害部位，采用小白板（或小黑板）标记路线名称、路线编码、巡查日期、巡查天气，与病害或损害部位同框拍摄照片或视频。</w:t>
      </w:r>
    </w:p>
    <w:p w14:paraId="3FD00B8E">
      <w:pPr>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）病害或损害部位的登记桩号与实际里程桩号允许误差为</w:t>
      </w:r>
      <w:r>
        <w:rPr>
          <w:color w:val="auto"/>
          <w:sz w:val="24"/>
          <w:highlight w:val="none"/>
        </w:rPr>
        <w:t>100</w:t>
      </w:r>
      <w:r>
        <w:rPr>
          <w:rFonts w:hint="eastAsia"/>
          <w:color w:val="auto"/>
          <w:sz w:val="24"/>
          <w:highlight w:val="none"/>
        </w:rPr>
        <w:t>米。</w:t>
      </w:r>
    </w:p>
    <w:p w14:paraId="58B38BCF">
      <w:pPr>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）按采购人提供的巡查记录表格式，填写当天巡查情况记录（一路一表），并附拍摄的照片（彩色打印在普通纸上即可）。</w:t>
      </w:r>
    </w:p>
    <w:p w14:paraId="58ED49D3">
      <w:pPr>
        <w:spacing w:line="360" w:lineRule="auto"/>
        <w:ind w:firstLine="480" w:firstLineChars="200"/>
        <w:jc w:val="left"/>
        <w:rPr>
          <w:color w:val="auto"/>
          <w:sz w:val="24"/>
          <w:highlight w:val="none"/>
        </w:rPr>
      </w:pPr>
      <w:r>
        <w:rPr>
          <w:color w:val="auto"/>
          <w:sz w:val="24"/>
          <w:highlight w:val="none"/>
        </w:rPr>
        <w:t>3.1.</w:t>
      </w:r>
      <w:r>
        <w:rPr>
          <w:rFonts w:hint="eastAsia"/>
          <w:color w:val="auto"/>
          <w:sz w:val="24"/>
          <w:highlight w:val="none"/>
        </w:rPr>
        <w:t>4</w:t>
      </w:r>
      <w:r>
        <w:rPr>
          <w:color w:val="auto"/>
          <w:sz w:val="24"/>
          <w:highlight w:val="none"/>
        </w:rPr>
        <w:t xml:space="preserve">  </w:t>
      </w:r>
      <w:r>
        <w:rPr>
          <w:rFonts w:hint="eastAsia"/>
          <w:color w:val="auto"/>
          <w:sz w:val="24"/>
          <w:highlight w:val="none"/>
        </w:rPr>
        <w:t>新发现病害或人为损害即时报告：对新发现的路基、路面、桥涵及安全设施等中度、重度病害进行书面记录，拍摄照片或视频，在巡查</w:t>
      </w:r>
      <w:r>
        <w:rPr>
          <w:color w:val="auto"/>
          <w:sz w:val="24"/>
          <w:highlight w:val="none"/>
        </w:rPr>
        <w:t>24</w:t>
      </w:r>
      <w:r>
        <w:rPr>
          <w:rFonts w:hint="eastAsia"/>
          <w:color w:val="auto"/>
          <w:sz w:val="24"/>
          <w:highlight w:val="none"/>
        </w:rPr>
        <w:t>小时内报告采购人；对新发现的人为损害公路结构物状况进行记录、拍摄照片或视频，在巡查</w:t>
      </w:r>
      <w:r>
        <w:rPr>
          <w:color w:val="auto"/>
          <w:sz w:val="24"/>
          <w:highlight w:val="none"/>
        </w:rPr>
        <w:t>24</w:t>
      </w:r>
      <w:r>
        <w:rPr>
          <w:rFonts w:hint="eastAsia"/>
          <w:color w:val="auto"/>
          <w:sz w:val="24"/>
          <w:highlight w:val="none"/>
        </w:rPr>
        <w:t>小时内报告采购人。</w:t>
      </w:r>
    </w:p>
    <w:p w14:paraId="46D26FF9">
      <w:pPr>
        <w:spacing w:line="360" w:lineRule="auto"/>
        <w:ind w:firstLine="480" w:firstLineChars="200"/>
        <w:jc w:val="left"/>
        <w:rPr>
          <w:color w:val="auto"/>
          <w:sz w:val="24"/>
          <w:highlight w:val="none"/>
        </w:rPr>
      </w:pPr>
      <w:r>
        <w:rPr>
          <w:color w:val="auto"/>
          <w:sz w:val="24"/>
          <w:highlight w:val="none"/>
        </w:rPr>
        <w:t>3.1.</w:t>
      </w:r>
      <w:r>
        <w:rPr>
          <w:rFonts w:hint="eastAsia"/>
          <w:color w:val="auto"/>
          <w:sz w:val="24"/>
          <w:highlight w:val="none"/>
        </w:rPr>
        <w:t>5</w:t>
      </w:r>
      <w:r>
        <w:rPr>
          <w:color w:val="auto"/>
          <w:sz w:val="24"/>
          <w:highlight w:val="none"/>
        </w:rPr>
        <w:t xml:space="preserve">  </w:t>
      </w:r>
      <w:r>
        <w:rPr>
          <w:rFonts w:hint="eastAsia"/>
          <w:color w:val="auto"/>
          <w:sz w:val="24"/>
          <w:highlight w:val="none"/>
        </w:rPr>
        <w:t>日常巡查记录编制和报告提交要求：每月</w:t>
      </w:r>
      <w:r>
        <w:rPr>
          <w:color w:val="auto"/>
          <w:sz w:val="24"/>
          <w:highlight w:val="none"/>
        </w:rPr>
        <w:t>5</w:t>
      </w:r>
      <w:r>
        <w:rPr>
          <w:rFonts w:hint="eastAsia"/>
          <w:color w:val="auto"/>
          <w:sz w:val="24"/>
          <w:highlight w:val="none"/>
        </w:rPr>
        <w:t>日前（如遇法定节假日则延顺到节假日结束后第</w:t>
      </w:r>
      <w:r>
        <w:rPr>
          <w:color w:val="auto"/>
          <w:sz w:val="24"/>
          <w:highlight w:val="none"/>
        </w:rPr>
        <w:t>3</w:t>
      </w:r>
      <w:r>
        <w:rPr>
          <w:rFonts w:hint="eastAsia"/>
          <w:color w:val="auto"/>
          <w:sz w:val="24"/>
          <w:highlight w:val="none"/>
        </w:rPr>
        <w:t>日），中标人应将上月巡查记录整理成册，提交给采购人，同时提交巡查记录册的电子版（可通过电子邮件提交）。</w:t>
      </w:r>
    </w:p>
    <w:p w14:paraId="210A6421">
      <w:pPr>
        <w:spacing w:line="360" w:lineRule="auto"/>
        <w:ind w:firstLine="480" w:firstLineChars="200"/>
        <w:jc w:val="left"/>
        <w:rPr>
          <w:color w:val="auto"/>
          <w:sz w:val="24"/>
          <w:highlight w:val="none"/>
        </w:rPr>
      </w:pPr>
      <w:r>
        <w:rPr>
          <w:color w:val="auto"/>
          <w:sz w:val="24"/>
          <w:highlight w:val="none"/>
        </w:rPr>
        <w:t>3.1.</w:t>
      </w:r>
      <w:r>
        <w:rPr>
          <w:rFonts w:hint="eastAsia"/>
          <w:color w:val="auto"/>
          <w:sz w:val="24"/>
          <w:highlight w:val="none"/>
        </w:rPr>
        <w:t>6</w:t>
      </w:r>
      <w:r>
        <w:rPr>
          <w:color w:val="auto"/>
          <w:sz w:val="24"/>
          <w:highlight w:val="none"/>
        </w:rPr>
        <w:t xml:space="preserve">  </w:t>
      </w:r>
      <w:r>
        <w:rPr>
          <w:rFonts w:hint="eastAsia"/>
          <w:color w:val="auto"/>
          <w:sz w:val="24"/>
          <w:highlight w:val="none"/>
        </w:rPr>
        <w:t>日常巡查计量：</w:t>
      </w:r>
    </w:p>
    <w:p w14:paraId="774CCC10">
      <w:pPr>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采购人收到中标人提交的日常巡查记录，应安排人员进行核实，并签署核实意见，核实意见必须明确当月完成巡查里程的百分比，巡查记录准确性和完善性。（核实意见一式两份，采购人自留一份，返还中标人一份供其编制计量支付文件使用）。</w:t>
      </w:r>
    </w:p>
    <w:p w14:paraId="47B0F031">
      <w:pPr>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）确认中标人已按合同要求完成当月巡查任务的，全部计量当月巡查工作。</w:t>
      </w:r>
    </w:p>
    <w:p w14:paraId="54886E73">
      <w:pPr>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）中标人未完成当月巡查任务的，按照已实际巡查的里程除以辖区总里程的百分比，部分计量当月巡查工作。</w:t>
      </w:r>
    </w:p>
    <w:p w14:paraId="0369508F">
      <w:pPr>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每条路线的巡查频率不够、每次巡查起终点照片缺漏、病害或人为损坏部位照片缺失、照片内容糊模不清或小白板（小黑板）标记内容不全或无小白板（小黑板）、记录表格填写内容与照片不符的，均视为本次巡查无效。</w:t>
      </w:r>
    </w:p>
    <w:p w14:paraId="0528BA16">
      <w:pPr>
        <w:spacing w:line="360" w:lineRule="auto"/>
        <w:ind w:firstLine="482" w:firstLineChars="200"/>
        <w:jc w:val="left"/>
        <w:rPr>
          <w:b/>
          <w:color w:val="auto"/>
          <w:sz w:val="24"/>
          <w:highlight w:val="none"/>
        </w:rPr>
      </w:pPr>
      <w:r>
        <w:rPr>
          <w:rFonts w:hint="eastAsia"/>
          <w:b/>
          <w:color w:val="auto"/>
          <w:sz w:val="24"/>
          <w:highlight w:val="none"/>
        </w:rPr>
        <w:t>（</w:t>
      </w:r>
      <w:r>
        <w:rPr>
          <w:b/>
          <w:color w:val="auto"/>
          <w:sz w:val="24"/>
          <w:highlight w:val="none"/>
        </w:rPr>
        <w:t>5</w:t>
      </w:r>
      <w:r>
        <w:rPr>
          <w:rFonts w:hint="eastAsia"/>
          <w:b/>
          <w:color w:val="auto"/>
          <w:sz w:val="24"/>
          <w:highlight w:val="none"/>
        </w:rPr>
        <w:t>）发现一次巡查记录或一条路线的巡查记录造假的，即视为该月所有巡查造假，当月巡查工作不得计量。判别造假的主要方法有：小白板（小黑）板标记的天气与实际不符、巡查人员与出勤登记表不对应、标记内容与照片背景不符、巡查记录表内容与采购人掌握的情况不符等情况。</w:t>
      </w:r>
    </w:p>
    <w:p w14:paraId="76A2002B">
      <w:pPr>
        <w:spacing w:line="360" w:lineRule="auto"/>
        <w:jc w:val="left"/>
        <w:rPr>
          <w:b/>
          <w:color w:val="auto"/>
          <w:sz w:val="24"/>
          <w:highlight w:val="none"/>
        </w:rPr>
      </w:pPr>
      <w:r>
        <w:rPr>
          <w:b/>
          <w:color w:val="auto"/>
          <w:sz w:val="24"/>
          <w:highlight w:val="none"/>
        </w:rPr>
        <w:t xml:space="preserve">3.2 </w:t>
      </w:r>
      <w:r>
        <w:rPr>
          <w:rFonts w:hint="eastAsia"/>
          <w:b/>
          <w:color w:val="auto"/>
          <w:sz w:val="24"/>
          <w:highlight w:val="none"/>
        </w:rPr>
        <w:t>日常保养、维修专项费</w:t>
      </w:r>
    </w:p>
    <w:p w14:paraId="6BD1BF60">
      <w:pPr>
        <w:spacing w:line="360" w:lineRule="auto"/>
        <w:ind w:firstLine="570"/>
        <w:jc w:val="left"/>
        <w:rPr>
          <w:color w:val="auto"/>
          <w:sz w:val="24"/>
          <w:highlight w:val="none"/>
        </w:rPr>
      </w:pPr>
      <w:r>
        <w:rPr>
          <w:rFonts w:ascii="宋体" w:hAnsi="宋体"/>
          <w:color w:val="auto"/>
          <w:sz w:val="24"/>
          <w:highlight w:val="none"/>
        </w:rPr>
        <w:t>3.</w:t>
      </w:r>
      <w:r>
        <w:rPr>
          <w:rFonts w:hint="eastAsia" w:ascii="宋体" w:hAnsi="宋体"/>
          <w:color w:val="auto"/>
          <w:sz w:val="24"/>
          <w:highlight w:val="none"/>
        </w:rPr>
        <w:t>2</w:t>
      </w:r>
      <w:r>
        <w:rPr>
          <w:rFonts w:ascii="宋体" w:hAnsi="宋体"/>
          <w:color w:val="auto"/>
          <w:sz w:val="24"/>
          <w:highlight w:val="none"/>
        </w:rPr>
        <w:t xml:space="preserve">.1 </w:t>
      </w:r>
      <w:r>
        <w:rPr>
          <w:color w:val="auto"/>
          <w:sz w:val="24"/>
          <w:highlight w:val="none"/>
        </w:rPr>
        <w:t xml:space="preserve"> </w:t>
      </w:r>
      <w:r>
        <w:rPr>
          <w:rFonts w:hint="eastAsia"/>
          <w:color w:val="auto"/>
          <w:sz w:val="24"/>
          <w:highlight w:val="none"/>
        </w:rPr>
        <w:t>日常保养、维修专项费</w:t>
      </w:r>
    </w:p>
    <w:p w14:paraId="229CAD55">
      <w:pPr>
        <w:spacing w:line="360" w:lineRule="auto"/>
        <w:ind w:firstLine="570"/>
        <w:jc w:val="left"/>
        <w:rPr>
          <w:color w:val="auto"/>
          <w:sz w:val="24"/>
          <w:highlight w:val="none"/>
        </w:rPr>
      </w:pPr>
      <w:r>
        <w:rPr>
          <w:rFonts w:hint="eastAsia"/>
          <w:color w:val="auto"/>
          <w:sz w:val="24"/>
          <w:highlight w:val="none"/>
        </w:rPr>
        <w:t>日常保养是对农村公路及其所属设施进行经常性维护保养作业（部分作业内容与路基、路面、桥涵小修及维护结合处置）。本招标项目的日常保养作业内容和质量标准如下表：</w:t>
      </w:r>
    </w:p>
    <w:p w14:paraId="7DA49690">
      <w:pPr>
        <w:spacing w:line="360" w:lineRule="auto"/>
        <w:jc w:val="center"/>
        <w:rPr>
          <w:b/>
          <w:color w:val="auto"/>
          <w:sz w:val="24"/>
          <w:highlight w:val="none"/>
        </w:rPr>
      </w:pPr>
      <w:r>
        <w:rPr>
          <w:rFonts w:hint="eastAsia"/>
          <w:b/>
          <w:color w:val="auto"/>
          <w:sz w:val="24"/>
          <w:highlight w:val="none"/>
        </w:rPr>
        <w:t>合浦县农村公路日常保养作业内容和质量标准</w:t>
      </w:r>
    </w:p>
    <w:tbl>
      <w:tblPr>
        <w:tblStyle w:val="2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664"/>
        <w:gridCol w:w="3183"/>
        <w:gridCol w:w="3657"/>
        <w:gridCol w:w="1800"/>
      </w:tblGrid>
      <w:tr w14:paraId="7105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gridSpan w:val="2"/>
          </w:tcPr>
          <w:p w14:paraId="230361C4">
            <w:pPr>
              <w:jc w:val="center"/>
              <w:rPr>
                <w:color w:val="auto"/>
                <w:sz w:val="24"/>
                <w:highlight w:val="none"/>
              </w:rPr>
            </w:pPr>
            <w:r>
              <w:rPr>
                <w:rFonts w:hint="eastAsia"/>
                <w:color w:val="auto"/>
                <w:sz w:val="24"/>
                <w:highlight w:val="none"/>
              </w:rPr>
              <w:t>养护项目</w:t>
            </w:r>
          </w:p>
        </w:tc>
        <w:tc>
          <w:tcPr>
            <w:tcW w:w="3183" w:type="dxa"/>
          </w:tcPr>
          <w:p w14:paraId="44564D18">
            <w:pPr>
              <w:jc w:val="center"/>
              <w:rPr>
                <w:color w:val="auto"/>
                <w:sz w:val="24"/>
                <w:highlight w:val="none"/>
              </w:rPr>
            </w:pPr>
            <w:r>
              <w:rPr>
                <w:rFonts w:hint="eastAsia"/>
                <w:color w:val="auto"/>
                <w:sz w:val="24"/>
                <w:highlight w:val="none"/>
              </w:rPr>
              <w:t>工作内容</w:t>
            </w:r>
          </w:p>
        </w:tc>
        <w:tc>
          <w:tcPr>
            <w:tcW w:w="3657" w:type="dxa"/>
          </w:tcPr>
          <w:p w14:paraId="2F993618">
            <w:pPr>
              <w:jc w:val="center"/>
              <w:rPr>
                <w:color w:val="auto"/>
                <w:sz w:val="24"/>
                <w:highlight w:val="none"/>
              </w:rPr>
            </w:pPr>
            <w:r>
              <w:rPr>
                <w:rFonts w:hint="eastAsia"/>
                <w:color w:val="auto"/>
                <w:sz w:val="24"/>
                <w:highlight w:val="none"/>
              </w:rPr>
              <w:t>工作要求和质量标准</w:t>
            </w:r>
          </w:p>
        </w:tc>
        <w:tc>
          <w:tcPr>
            <w:tcW w:w="1800" w:type="dxa"/>
          </w:tcPr>
          <w:p w14:paraId="2B922EF9">
            <w:pPr>
              <w:jc w:val="center"/>
              <w:rPr>
                <w:color w:val="auto"/>
                <w:sz w:val="24"/>
                <w:highlight w:val="none"/>
              </w:rPr>
            </w:pPr>
            <w:r>
              <w:rPr>
                <w:rFonts w:hint="eastAsia"/>
                <w:color w:val="auto"/>
                <w:sz w:val="24"/>
                <w:highlight w:val="none"/>
              </w:rPr>
              <w:t>作业频率</w:t>
            </w:r>
          </w:p>
        </w:tc>
      </w:tr>
      <w:tr w14:paraId="7DE3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restart"/>
            <w:vAlign w:val="center"/>
          </w:tcPr>
          <w:p w14:paraId="27455861">
            <w:pPr>
              <w:jc w:val="center"/>
              <w:rPr>
                <w:color w:val="auto"/>
                <w:sz w:val="24"/>
                <w:highlight w:val="none"/>
              </w:rPr>
            </w:pPr>
            <w:r>
              <w:rPr>
                <w:rFonts w:hint="eastAsia"/>
                <w:color w:val="auto"/>
                <w:sz w:val="24"/>
                <w:highlight w:val="none"/>
              </w:rPr>
              <w:t>路基</w:t>
            </w:r>
          </w:p>
        </w:tc>
        <w:tc>
          <w:tcPr>
            <w:tcW w:w="664" w:type="dxa"/>
            <w:vAlign w:val="center"/>
          </w:tcPr>
          <w:p w14:paraId="702E796B">
            <w:pPr>
              <w:jc w:val="center"/>
              <w:rPr>
                <w:color w:val="auto"/>
                <w:sz w:val="24"/>
                <w:highlight w:val="none"/>
              </w:rPr>
            </w:pPr>
            <w:r>
              <w:rPr>
                <w:rFonts w:hint="eastAsia"/>
                <w:color w:val="auto"/>
                <w:sz w:val="24"/>
                <w:highlight w:val="none"/>
              </w:rPr>
              <w:t>路肩</w:t>
            </w:r>
          </w:p>
        </w:tc>
        <w:tc>
          <w:tcPr>
            <w:tcW w:w="3183" w:type="dxa"/>
            <w:vAlign w:val="center"/>
          </w:tcPr>
          <w:p w14:paraId="409F634B">
            <w:pPr>
              <w:numPr>
                <w:ilvl w:val="0"/>
                <w:numId w:val="2"/>
              </w:numPr>
              <w:tabs>
                <w:tab w:val="left" w:pos="72"/>
              </w:tabs>
              <w:rPr>
                <w:color w:val="auto"/>
                <w:sz w:val="24"/>
                <w:highlight w:val="none"/>
              </w:rPr>
            </w:pPr>
            <w:r>
              <w:rPr>
                <w:rFonts w:hint="eastAsia"/>
                <w:color w:val="auto"/>
                <w:sz w:val="24"/>
                <w:highlight w:val="none"/>
              </w:rPr>
              <w:t>填培、整修路肩；局部加固路肩；</w:t>
            </w:r>
          </w:p>
          <w:p w14:paraId="0C88431F">
            <w:pPr>
              <w:numPr>
                <w:ilvl w:val="0"/>
                <w:numId w:val="2"/>
              </w:numPr>
              <w:tabs>
                <w:tab w:val="left" w:pos="72"/>
              </w:tabs>
              <w:rPr>
                <w:color w:val="auto"/>
                <w:sz w:val="24"/>
                <w:highlight w:val="none"/>
              </w:rPr>
            </w:pPr>
            <w:r>
              <w:rPr>
                <w:rFonts w:hint="eastAsia"/>
                <w:color w:val="auto"/>
                <w:sz w:val="24"/>
                <w:highlight w:val="none"/>
              </w:rPr>
              <w:t>修剪、清除路肩杂草、灌木。</w:t>
            </w:r>
          </w:p>
        </w:tc>
        <w:tc>
          <w:tcPr>
            <w:tcW w:w="3657" w:type="dxa"/>
            <w:vAlign w:val="center"/>
          </w:tcPr>
          <w:p w14:paraId="601A47C3">
            <w:pPr>
              <w:numPr>
                <w:ilvl w:val="0"/>
                <w:numId w:val="3"/>
              </w:numPr>
              <w:tabs>
                <w:tab w:val="left" w:pos="72"/>
              </w:tabs>
              <w:ind w:left="-108" w:firstLine="0"/>
              <w:rPr>
                <w:color w:val="auto"/>
                <w:sz w:val="24"/>
                <w:highlight w:val="none"/>
              </w:rPr>
            </w:pPr>
            <w:r>
              <w:rPr>
                <w:rFonts w:hint="eastAsia"/>
                <w:color w:val="auto"/>
                <w:sz w:val="24"/>
                <w:highlight w:val="none"/>
              </w:rPr>
              <w:t>路肩上无沟槽、车辙、沉陷、缺口、翻浆等，无堆积砂土或隆起部位，横坡适宜，无影响路面排水情况，边线直顺明朗，路肩上无农作物秸杆等堆积物；</w:t>
            </w:r>
          </w:p>
          <w:p w14:paraId="6A4FDF98">
            <w:pPr>
              <w:numPr>
                <w:ilvl w:val="0"/>
                <w:numId w:val="3"/>
              </w:numPr>
              <w:tabs>
                <w:tab w:val="left" w:pos="-108"/>
                <w:tab w:val="left" w:pos="72"/>
                <w:tab w:val="clear" w:pos="252"/>
              </w:tabs>
              <w:ind w:left="-108" w:firstLine="0"/>
              <w:rPr>
                <w:color w:val="auto"/>
                <w:sz w:val="24"/>
                <w:highlight w:val="none"/>
              </w:rPr>
            </w:pPr>
            <w:r>
              <w:rPr>
                <w:rFonts w:hint="eastAsia"/>
                <w:color w:val="auto"/>
                <w:sz w:val="24"/>
                <w:highlight w:val="none"/>
              </w:rPr>
              <w:t>路肩上杂草灌木整体高度不超过</w:t>
            </w:r>
            <w:r>
              <w:rPr>
                <w:color w:val="auto"/>
                <w:sz w:val="24"/>
                <w:highlight w:val="none"/>
              </w:rPr>
              <w:t>15</w:t>
            </w:r>
            <w:r>
              <w:rPr>
                <w:rFonts w:hint="eastAsia"/>
                <w:color w:val="auto"/>
                <w:sz w:val="24"/>
                <w:highlight w:val="none"/>
              </w:rPr>
              <w:t>厘米，平交路口前后</w:t>
            </w:r>
            <w:r>
              <w:rPr>
                <w:color w:val="auto"/>
                <w:sz w:val="24"/>
                <w:highlight w:val="none"/>
              </w:rPr>
              <w:t>30</w:t>
            </w:r>
            <w:r>
              <w:rPr>
                <w:rFonts w:hint="eastAsia"/>
                <w:color w:val="auto"/>
                <w:sz w:val="24"/>
                <w:highlight w:val="none"/>
              </w:rPr>
              <w:t>米范围内无影响视线的杂草灌木。</w:t>
            </w:r>
          </w:p>
        </w:tc>
        <w:tc>
          <w:tcPr>
            <w:tcW w:w="1800" w:type="dxa"/>
            <w:vAlign w:val="center"/>
          </w:tcPr>
          <w:p w14:paraId="5733F857">
            <w:pPr>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568D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continue"/>
          </w:tcPr>
          <w:p w14:paraId="476E879F">
            <w:pPr>
              <w:rPr>
                <w:color w:val="auto"/>
                <w:sz w:val="24"/>
                <w:highlight w:val="none"/>
              </w:rPr>
            </w:pPr>
          </w:p>
        </w:tc>
        <w:tc>
          <w:tcPr>
            <w:tcW w:w="664" w:type="dxa"/>
            <w:vAlign w:val="center"/>
          </w:tcPr>
          <w:p w14:paraId="2480AD2D">
            <w:pPr>
              <w:jc w:val="center"/>
              <w:rPr>
                <w:color w:val="auto"/>
                <w:sz w:val="24"/>
                <w:highlight w:val="none"/>
              </w:rPr>
            </w:pPr>
            <w:r>
              <w:rPr>
                <w:rFonts w:hint="eastAsia"/>
                <w:color w:val="auto"/>
                <w:sz w:val="24"/>
                <w:highlight w:val="none"/>
              </w:rPr>
              <w:t>边沟</w:t>
            </w:r>
          </w:p>
        </w:tc>
        <w:tc>
          <w:tcPr>
            <w:tcW w:w="3183" w:type="dxa"/>
            <w:vAlign w:val="center"/>
          </w:tcPr>
          <w:p w14:paraId="6E466FF1">
            <w:pPr>
              <w:numPr>
                <w:ilvl w:val="0"/>
                <w:numId w:val="4"/>
              </w:numPr>
              <w:tabs>
                <w:tab w:val="left" w:pos="72"/>
              </w:tabs>
              <w:rPr>
                <w:color w:val="auto"/>
                <w:sz w:val="24"/>
                <w:highlight w:val="none"/>
              </w:rPr>
            </w:pPr>
            <w:r>
              <w:rPr>
                <w:rFonts w:hint="eastAsia"/>
                <w:color w:val="auto"/>
                <w:sz w:val="24"/>
                <w:highlight w:val="none"/>
              </w:rPr>
              <w:t>清理、疏通已有边沟，恢复边沟截面和沟底纵坡；</w:t>
            </w:r>
          </w:p>
          <w:p w14:paraId="6AD26BE8">
            <w:pPr>
              <w:numPr>
                <w:ilvl w:val="0"/>
                <w:numId w:val="4"/>
              </w:numPr>
              <w:tabs>
                <w:tab w:val="left" w:pos="72"/>
              </w:tabs>
              <w:rPr>
                <w:color w:val="auto"/>
                <w:sz w:val="24"/>
                <w:highlight w:val="none"/>
              </w:rPr>
            </w:pPr>
            <w:r>
              <w:rPr>
                <w:rFonts w:hint="eastAsia"/>
                <w:color w:val="auto"/>
                <w:sz w:val="24"/>
                <w:highlight w:val="none"/>
              </w:rPr>
              <w:t>小段开挖边沟、截水沟。</w:t>
            </w:r>
          </w:p>
        </w:tc>
        <w:tc>
          <w:tcPr>
            <w:tcW w:w="3657" w:type="dxa"/>
            <w:vAlign w:val="center"/>
          </w:tcPr>
          <w:p w14:paraId="4F181637">
            <w:pPr>
              <w:numPr>
                <w:ilvl w:val="0"/>
                <w:numId w:val="5"/>
              </w:numPr>
              <w:tabs>
                <w:tab w:val="left" w:pos="-108"/>
                <w:tab w:val="left" w:pos="72"/>
                <w:tab w:val="clear" w:pos="252"/>
              </w:tabs>
              <w:ind w:left="-108" w:firstLine="0"/>
              <w:rPr>
                <w:color w:val="auto"/>
                <w:sz w:val="24"/>
                <w:highlight w:val="none"/>
              </w:rPr>
            </w:pPr>
            <w:r>
              <w:rPr>
                <w:rFonts w:hint="eastAsia"/>
                <w:color w:val="auto"/>
                <w:sz w:val="24"/>
                <w:highlight w:val="none"/>
              </w:rPr>
              <w:t>已有边沟及外边缘</w:t>
            </w:r>
            <w:r>
              <w:rPr>
                <w:color w:val="auto"/>
                <w:sz w:val="24"/>
                <w:highlight w:val="none"/>
              </w:rPr>
              <w:t>0.5</w:t>
            </w:r>
            <w:r>
              <w:rPr>
                <w:rFonts w:hint="eastAsia"/>
                <w:color w:val="auto"/>
                <w:sz w:val="24"/>
                <w:highlight w:val="none"/>
              </w:rPr>
              <w:t>米范围内，杂草灌木高度不超过</w:t>
            </w:r>
            <w:r>
              <w:rPr>
                <w:color w:val="auto"/>
                <w:sz w:val="24"/>
                <w:highlight w:val="none"/>
              </w:rPr>
              <w:t>15</w:t>
            </w:r>
            <w:r>
              <w:rPr>
                <w:rFonts w:hint="eastAsia"/>
                <w:color w:val="auto"/>
                <w:sz w:val="24"/>
                <w:highlight w:val="none"/>
              </w:rPr>
              <w:t>厘米，边沟边棱明朗直顺，截面尺寸基本统一，沟内无积水和阻水杂物；</w:t>
            </w:r>
          </w:p>
          <w:p w14:paraId="3475BF8C">
            <w:pPr>
              <w:numPr>
                <w:ilvl w:val="0"/>
                <w:numId w:val="5"/>
              </w:numPr>
              <w:tabs>
                <w:tab w:val="left" w:pos="-108"/>
                <w:tab w:val="left" w:pos="72"/>
                <w:tab w:val="clear" w:pos="252"/>
              </w:tabs>
              <w:ind w:left="-108" w:firstLine="0"/>
              <w:rPr>
                <w:color w:val="auto"/>
                <w:sz w:val="24"/>
                <w:highlight w:val="none"/>
              </w:rPr>
            </w:pPr>
            <w:r>
              <w:rPr>
                <w:rFonts w:hint="eastAsia"/>
                <w:color w:val="auto"/>
                <w:sz w:val="24"/>
                <w:highlight w:val="none"/>
              </w:rPr>
              <w:t>管养路段无断头边沟和截水沟，开挖边沟时要挂线放样施工，机械开挖后要人工整修坡面和沟底，作业段内边沟截面形状和尺寸一致，沟底纵坡顺畅。</w:t>
            </w:r>
          </w:p>
        </w:tc>
        <w:tc>
          <w:tcPr>
            <w:tcW w:w="1800" w:type="dxa"/>
            <w:vAlign w:val="center"/>
          </w:tcPr>
          <w:p w14:paraId="3013C352">
            <w:pPr>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20C8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continue"/>
          </w:tcPr>
          <w:p w14:paraId="55887787">
            <w:pPr>
              <w:rPr>
                <w:color w:val="auto"/>
                <w:sz w:val="24"/>
                <w:highlight w:val="none"/>
              </w:rPr>
            </w:pPr>
          </w:p>
        </w:tc>
        <w:tc>
          <w:tcPr>
            <w:tcW w:w="664" w:type="dxa"/>
            <w:vAlign w:val="center"/>
          </w:tcPr>
          <w:p w14:paraId="4A82B13C">
            <w:pPr>
              <w:jc w:val="center"/>
              <w:rPr>
                <w:color w:val="auto"/>
                <w:sz w:val="24"/>
                <w:highlight w:val="none"/>
              </w:rPr>
            </w:pPr>
            <w:r>
              <w:rPr>
                <w:rFonts w:hint="eastAsia"/>
                <w:color w:val="auto"/>
                <w:sz w:val="24"/>
                <w:highlight w:val="none"/>
              </w:rPr>
              <w:t>边坡</w:t>
            </w:r>
          </w:p>
        </w:tc>
        <w:tc>
          <w:tcPr>
            <w:tcW w:w="3183" w:type="dxa"/>
            <w:vAlign w:val="center"/>
          </w:tcPr>
          <w:p w14:paraId="45C63941">
            <w:pPr>
              <w:numPr>
                <w:ilvl w:val="0"/>
                <w:numId w:val="6"/>
              </w:numPr>
              <w:tabs>
                <w:tab w:val="left" w:pos="72"/>
              </w:tabs>
              <w:rPr>
                <w:color w:val="auto"/>
                <w:sz w:val="24"/>
                <w:highlight w:val="none"/>
              </w:rPr>
            </w:pPr>
            <w:r>
              <w:rPr>
                <w:rFonts w:hint="eastAsia"/>
                <w:color w:val="auto"/>
                <w:sz w:val="24"/>
                <w:highlight w:val="none"/>
              </w:rPr>
              <w:t>处治边坡冲沟，填补路基缺口；</w:t>
            </w:r>
          </w:p>
          <w:p w14:paraId="7F223FAC">
            <w:pPr>
              <w:numPr>
                <w:ilvl w:val="0"/>
                <w:numId w:val="6"/>
              </w:numPr>
              <w:tabs>
                <w:tab w:val="left" w:pos="72"/>
              </w:tabs>
              <w:rPr>
                <w:color w:val="auto"/>
                <w:sz w:val="24"/>
                <w:highlight w:val="none"/>
              </w:rPr>
            </w:pPr>
            <w:r>
              <w:rPr>
                <w:rFonts w:hint="eastAsia"/>
                <w:color w:val="auto"/>
                <w:sz w:val="24"/>
                <w:highlight w:val="none"/>
              </w:rPr>
              <w:t>清除零星塌方，整修恢复边坡坡面。</w:t>
            </w:r>
          </w:p>
        </w:tc>
        <w:tc>
          <w:tcPr>
            <w:tcW w:w="3657" w:type="dxa"/>
          </w:tcPr>
          <w:p w14:paraId="352FA39F">
            <w:pPr>
              <w:tabs>
                <w:tab w:val="left" w:pos="72"/>
              </w:tabs>
              <w:ind w:left="-108"/>
              <w:rPr>
                <w:color w:val="auto"/>
                <w:sz w:val="24"/>
                <w:highlight w:val="none"/>
              </w:rPr>
            </w:pPr>
            <w:r>
              <w:rPr>
                <w:color w:val="auto"/>
                <w:sz w:val="24"/>
                <w:highlight w:val="none"/>
              </w:rPr>
              <w:t>1.</w:t>
            </w:r>
            <w:r>
              <w:rPr>
                <w:rFonts w:hint="eastAsia"/>
                <w:color w:val="auto"/>
                <w:sz w:val="24"/>
                <w:highlight w:val="none"/>
              </w:rPr>
              <w:t>清除路基冲沟、缺口周边松散和软弱部位，开挖台阶，分层回填夯实，整修捶实坡面，植草防护，整治后坡面与原来一致；</w:t>
            </w:r>
          </w:p>
          <w:p w14:paraId="38C34A97">
            <w:pPr>
              <w:tabs>
                <w:tab w:val="left" w:pos="72"/>
              </w:tabs>
              <w:ind w:left="-108"/>
              <w:rPr>
                <w:color w:val="auto"/>
                <w:sz w:val="24"/>
                <w:highlight w:val="none"/>
              </w:rPr>
            </w:pPr>
            <w:r>
              <w:rPr>
                <w:color w:val="auto"/>
                <w:sz w:val="24"/>
                <w:highlight w:val="none"/>
              </w:rPr>
              <w:t>2.</w:t>
            </w:r>
            <w:r>
              <w:rPr>
                <w:rFonts w:hint="eastAsia"/>
                <w:color w:val="auto"/>
                <w:sz w:val="24"/>
                <w:highlight w:val="none"/>
              </w:rPr>
              <w:t>清除路面、路肩和边沟内的零星坍塌土石，恢复路面、路肩和边沟原状，清除坡脚部位的软弱土石。</w:t>
            </w:r>
          </w:p>
        </w:tc>
        <w:tc>
          <w:tcPr>
            <w:tcW w:w="1800" w:type="dxa"/>
            <w:vAlign w:val="center"/>
          </w:tcPr>
          <w:p w14:paraId="3A52D8FB">
            <w:pPr>
              <w:jc w:val="center"/>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145C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continue"/>
          </w:tcPr>
          <w:p w14:paraId="61958585">
            <w:pPr>
              <w:rPr>
                <w:color w:val="auto"/>
                <w:sz w:val="24"/>
                <w:highlight w:val="none"/>
              </w:rPr>
            </w:pPr>
          </w:p>
        </w:tc>
        <w:tc>
          <w:tcPr>
            <w:tcW w:w="664" w:type="dxa"/>
            <w:vAlign w:val="center"/>
          </w:tcPr>
          <w:p w14:paraId="149A41C1">
            <w:pPr>
              <w:jc w:val="center"/>
              <w:rPr>
                <w:color w:val="auto"/>
                <w:sz w:val="24"/>
                <w:highlight w:val="none"/>
              </w:rPr>
            </w:pPr>
            <w:r>
              <w:rPr>
                <w:rFonts w:hint="eastAsia"/>
                <w:color w:val="auto"/>
                <w:sz w:val="24"/>
                <w:highlight w:val="none"/>
              </w:rPr>
              <w:t>防护</w:t>
            </w:r>
          </w:p>
          <w:p w14:paraId="4883D644">
            <w:pPr>
              <w:jc w:val="center"/>
              <w:rPr>
                <w:color w:val="auto"/>
                <w:sz w:val="24"/>
                <w:highlight w:val="none"/>
              </w:rPr>
            </w:pPr>
            <w:r>
              <w:rPr>
                <w:rFonts w:hint="eastAsia"/>
                <w:color w:val="auto"/>
                <w:sz w:val="24"/>
                <w:highlight w:val="none"/>
              </w:rPr>
              <w:t>结构</w:t>
            </w:r>
          </w:p>
        </w:tc>
        <w:tc>
          <w:tcPr>
            <w:tcW w:w="3183" w:type="dxa"/>
            <w:vAlign w:val="center"/>
          </w:tcPr>
          <w:p w14:paraId="5DEEC3BB">
            <w:pPr>
              <w:numPr>
                <w:ilvl w:val="0"/>
                <w:numId w:val="7"/>
              </w:numPr>
              <w:tabs>
                <w:tab w:val="left" w:pos="-108"/>
                <w:tab w:val="left" w:pos="72"/>
                <w:tab w:val="clear" w:pos="252"/>
              </w:tabs>
              <w:ind w:left="-108" w:firstLine="0"/>
              <w:rPr>
                <w:color w:val="auto"/>
                <w:sz w:val="24"/>
                <w:highlight w:val="none"/>
              </w:rPr>
            </w:pPr>
            <w:r>
              <w:rPr>
                <w:rFonts w:hint="eastAsia"/>
                <w:color w:val="auto"/>
                <w:sz w:val="24"/>
                <w:highlight w:val="none"/>
              </w:rPr>
              <w:t>清除挡土墙、护坡、锥坡等路基结构物上杂草、灌木等；</w:t>
            </w:r>
          </w:p>
          <w:p w14:paraId="4193F261">
            <w:pPr>
              <w:numPr>
                <w:ilvl w:val="0"/>
                <w:numId w:val="7"/>
              </w:numPr>
              <w:tabs>
                <w:tab w:val="left" w:pos="-108"/>
                <w:tab w:val="left" w:pos="72"/>
                <w:tab w:val="clear" w:pos="252"/>
              </w:tabs>
              <w:ind w:left="-108" w:firstLine="0"/>
              <w:rPr>
                <w:color w:val="auto"/>
                <w:sz w:val="24"/>
                <w:highlight w:val="none"/>
              </w:rPr>
            </w:pPr>
            <w:r>
              <w:rPr>
                <w:rFonts w:hint="eastAsia"/>
                <w:color w:val="auto"/>
                <w:sz w:val="24"/>
                <w:highlight w:val="none"/>
              </w:rPr>
              <w:t>修理挡土墙、护坡、泄水槽、砌体边沟、锥坡等路基结构物局部损坏。</w:t>
            </w:r>
          </w:p>
        </w:tc>
        <w:tc>
          <w:tcPr>
            <w:tcW w:w="3657" w:type="dxa"/>
          </w:tcPr>
          <w:p w14:paraId="1228E428">
            <w:pPr>
              <w:tabs>
                <w:tab w:val="left" w:pos="72"/>
              </w:tabs>
              <w:ind w:left="-108"/>
              <w:rPr>
                <w:color w:val="auto"/>
                <w:sz w:val="24"/>
                <w:highlight w:val="none"/>
              </w:rPr>
            </w:pPr>
            <w:r>
              <w:rPr>
                <w:color w:val="auto"/>
                <w:sz w:val="24"/>
                <w:highlight w:val="none"/>
              </w:rPr>
              <w:t>1.</w:t>
            </w:r>
            <w:r>
              <w:rPr>
                <w:rFonts w:hint="eastAsia"/>
                <w:color w:val="auto"/>
                <w:sz w:val="24"/>
                <w:highlight w:val="none"/>
              </w:rPr>
              <w:t>挡土墙、护坡、锥坡等结构物上无高度超过</w:t>
            </w:r>
            <w:r>
              <w:rPr>
                <w:color w:val="auto"/>
                <w:sz w:val="24"/>
                <w:highlight w:val="none"/>
              </w:rPr>
              <w:t>30</w:t>
            </w:r>
            <w:r>
              <w:rPr>
                <w:rFonts w:hint="eastAsia"/>
                <w:color w:val="auto"/>
                <w:sz w:val="24"/>
                <w:highlight w:val="none"/>
              </w:rPr>
              <w:t>厘米的杂草、灌木，无残留影响结构物稳定的树根、茎等；</w:t>
            </w:r>
          </w:p>
          <w:p w14:paraId="20D13894">
            <w:pPr>
              <w:tabs>
                <w:tab w:val="left" w:pos="72"/>
              </w:tabs>
              <w:ind w:left="-108"/>
              <w:rPr>
                <w:color w:val="auto"/>
                <w:sz w:val="24"/>
                <w:highlight w:val="none"/>
              </w:rPr>
            </w:pPr>
            <w:r>
              <w:rPr>
                <w:color w:val="auto"/>
                <w:sz w:val="24"/>
                <w:highlight w:val="none"/>
              </w:rPr>
              <w:t>2.</w:t>
            </w:r>
            <w:r>
              <w:rPr>
                <w:rFonts w:hint="eastAsia"/>
                <w:color w:val="auto"/>
                <w:sz w:val="24"/>
                <w:highlight w:val="none"/>
              </w:rPr>
              <w:t>整修伸缩缝、沉降缝，清理松动脱落及严重变形结构，按原结构型式砌筑砖石或浇筑混凝土恢复结构，疏通泄水孔，补缝勾缝，回填夯实台背墙背空洞部位。</w:t>
            </w:r>
          </w:p>
        </w:tc>
        <w:tc>
          <w:tcPr>
            <w:tcW w:w="1800" w:type="dxa"/>
            <w:vAlign w:val="center"/>
          </w:tcPr>
          <w:p w14:paraId="3E7691C3">
            <w:pPr>
              <w:jc w:val="left"/>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0091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restart"/>
            <w:vAlign w:val="center"/>
          </w:tcPr>
          <w:p w14:paraId="05FE8BC6">
            <w:pPr>
              <w:jc w:val="center"/>
              <w:rPr>
                <w:color w:val="auto"/>
                <w:sz w:val="24"/>
                <w:highlight w:val="none"/>
              </w:rPr>
            </w:pPr>
            <w:r>
              <w:rPr>
                <w:rFonts w:hint="eastAsia"/>
                <w:color w:val="auto"/>
                <w:sz w:val="24"/>
                <w:highlight w:val="none"/>
              </w:rPr>
              <w:t>路面</w:t>
            </w:r>
          </w:p>
        </w:tc>
        <w:tc>
          <w:tcPr>
            <w:tcW w:w="664" w:type="dxa"/>
            <w:vAlign w:val="center"/>
          </w:tcPr>
          <w:p w14:paraId="5D9D8079">
            <w:pPr>
              <w:jc w:val="center"/>
              <w:rPr>
                <w:color w:val="auto"/>
                <w:sz w:val="24"/>
                <w:highlight w:val="none"/>
              </w:rPr>
            </w:pPr>
            <w:r>
              <w:rPr>
                <w:rFonts w:hint="eastAsia"/>
                <w:color w:val="auto"/>
                <w:sz w:val="24"/>
                <w:highlight w:val="none"/>
              </w:rPr>
              <w:t>水泥</w:t>
            </w:r>
          </w:p>
          <w:p w14:paraId="18FED4A5">
            <w:pPr>
              <w:jc w:val="center"/>
              <w:rPr>
                <w:color w:val="auto"/>
                <w:sz w:val="24"/>
                <w:highlight w:val="none"/>
              </w:rPr>
            </w:pPr>
            <w:r>
              <w:rPr>
                <w:rFonts w:hint="eastAsia"/>
                <w:color w:val="auto"/>
                <w:sz w:val="24"/>
                <w:highlight w:val="none"/>
              </w:rPr>
              <w:t>路面</w:t>
            </w:r>
          </w:p>
        </w:tc>
        <w:tc>
          <w:tcPr>
            <w:tcW w:w="3183" w:type="dxa"/>
            <w:vAlign w:val="center"/>
          </w:tcPr>
          <w:p w14:paraId="1DE7AE1F">
            <w:pPr>
              <w:rPr>
                <w:color w:val="auto"/>
                <w:sz w:val="24"/>
                <w:highlight w:val="none"/>
              </w:rPr>
            </w:pPr>
            <w:r>
              <w:rPr>
                <w:color w:val="auto"/>
                <w:sz w:val="24"/>
                <w:highlight w:val="none"/>
              </w:rPr>
              <w:t>1.</w:t>
            </w:r>
            <w:r>
              <w:rPr>
                <w:rFonts w:hint="eastAsia"/>
                <w:color w:val="auto"/>
                <w:sz w:val="24"/>
                <w:highlight w:val="none"/>
              </w:rPr>
              <w:t>清理路面积砂积土、零星砂土、杂物等，保持路面整洁；</w:t>
            </w:r>
          </w:p>
          <w:p w14:paraId="5FA260FB">
            <w:pPr>
              <w:rPr>
                <w:color w:val="auto"/>
                <w:sz w:val="24"/>
                <w:highlight w:val="none"/>
              </w:rPr>
            </w:pPr>
            <w:r>
              <w:rPr>
                <w:color w:val="auto"/>
                <w:sz w:val="24"/>
                <w:highlight w:val="none"/>
              </w:rPr>
              <w:t>2.</w:t>
            </w:r>
            <w:r>
              <w:rPr>
                <w:rFonts w:hint="eastAsia"/>
                <w:color w:val="auto"/>
                <w:sz w:val="24"/>
                <w:highlight w:val="none"/>
              </w:rPr>
              <w:t>局部修理破损路面板块；</w:t>
            </w:r>
          </w:p>
          <w:p w14:paraId="71EDAB4E">
            <w:pPr>
              <w:rPr>
                <w:color w:val="auto"/>
                <w:sz w:val="24"/>
                <w:highlight w:val="none"/>
              </w:rPr>
            </w:pPr>
            <w:r>
              <w:rPr>
                <w:color w:val="auto"/>
                <w:sz w:val="24"/>
                <w:highlight w:val="none"/>
              </w:rPr>
              <w:t>3.</w:t>
            </w:r>
            <w:r>
              <w:rPr>
                <w:rFonts w:hint="eastAsia"/>
                <w:color w:val="auto"/>
                <w:sz w:val="24"/>
                <w:highlight w:val="none"/>
              </w:rPr>
              <w:t>排除路面积水。</w:t>
            </w:r>
          </w:p>
        </w:tc>
        <w:tc>
          <w:tcPr>
            <w:tcW w:w="3657" w:type="dxa"/>
          </w:tcPr>
          <w:p w14:paraId="75C16585">
            <w:pPr>
              <w:tabs>
                <w:tab w:val="left" w:pos="72"/>
                <w:tab w:val="left" w:pos="252"/>
              </w:tabs>
              <w:ind w:left="252" w:hanging="360"/>
              <w:rPr>
                <w:color w:val="auto"/>
                <w:sz w:val="24"/>
                <w:highlight w:val="none"/>
              </w:rPr>
            </w:pPr>
            <w:r>
              <w:rPr>
                <w:color w:val="auto"/>
                <w:sz w:val="24"/>
                <w:highlight w:val="none"/>
              </w:rPr>
              <w:t>1.</w:t>
            </w:r>
            <w:r>
              <w:rPr>
                <w:rFonts w:hint="eastAsia"/>
                <w:color w:val="auto"/>
                <w:sz w:val="24"/>
                <w:highlight w:val="none"/>
              </w:rPr>
              <w:t>路面上无积砂积土，无零星散落砂土、杂物，无人为堆积砂、土、石等；路面整洁无扬尘，路面边缘线清晰明朗；</w:t>
            </w:r>
          </w:p>
          <w:p w14:paraId="78C7CA78">
            <w:pPr>
              <w:tabs>
                <w:tab w:val="left" w:pos="72"/>
                <w:tab w:val="left" w:pos="252"/>
              </w:tabs>
              <w:ind w:left="252" w:hanging="360"/>
              <w:rPr>
                <w:color w:val="auto"/>
                <w:sz w:val="24"/>
                <w:highlight w:val="none"/>
              </w:rPr>
            </w:pPr>
            <w:r>
              <w:rPr>
                <w:color w:val="auto"/>
                <w:sz w:val="24"/>
                <w:highlight w:val="none"/>
              </w:rPr>
              <w:t>2.</w:t>
            </w:r>
            <w:r>
              <w:rPr>
                <w:rFonts w:hint="eastAsia"/>
                <w:color w:val="auto"/>
                <w:sz w:val="24"/>
                <w:highlight w:val="none"/>
              </w:rPr>
              <w:t>采用乳化沥青冷拌冷铺法或贯入法处治路面破损部位，处治部位平整密实无松散、无明显跳车现象。</w:t>
            </w:r>
          </w:p>
        </w:tc>
        <w:tc>
          <w:tcPr>
            <w:tcW w:w="1800" w:type="dxa"/>
            <w:vAlign w:val="center"/>
          </w:tcPr>
          <w:p w14:paraId="45551A5C">
            <w:pPr>
              <w:tabs>
                <w:tab w:val="left" w:pos="72"/>
                <w:tab w:val="left" w:pos="252"/>
              </w:tabs>
              <w:ind w:left="-108"/>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4935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continue"/>
          </w:tcPr>
          <w:p w14:paraId="07A20535">
            <w:pPr>
              <w:rPr>
                <w:color w:val="auto"/>
                <w:sz w:val="24"/>
                <w:highlight w:val="none"/>
              </w:rPr>
            </w:pPr>
          </w:p>
        </w:tc>
        <w:tc>
          <w:tcPr>
            <w:tcW w:w="664" w:type="dxa"/>
            <w:vAlign w:val="center"/>
          </w:tcPr>
          <w:p w14:paraId="1B81B366">
            <w:pPr>
              <w:jc w:val="center"/>
              <w:rPr>
                <w:color w:val="auto"/>
                <w:sz w:val="24"/>
                <w:highlight w:val="none"/>
              </w:rPr>
            </w:pPr>
            <w:r>
              <w:rPr>
                <w:rFonts w:hint="eastAsia"/>
                <w:color w:val="auto"/>
                <w:sz w:val="24"/>
                <w:highlight w:val="none"/>
              </w:rPr>
              <w:t>沥青</w:t>
            </w:r>
          </w:p>
          <w:p w14:paraId="61C2C0F5">
            <w:pPr>
              <w:jc w:val="center"/>
              <w:rPr>
                <w:color w:val="auto"/>
                <w:sz w:val="24"/>
                <w:highlight w:val="none"/>
              </w:rPr>
            </w:pPr>
            <w:r>
              <w:rPr>
                <w:rFonts w:hint="eastAsia"/>
                <w:color w:val="auto"/>
                <w:sz w:val="24"/>
                <w:highlight w:val="none"/>
              </w:rPr>
              <w:t>路面</w:t>
            </w:r>
          </w:p>
        </w:tc>
        <w:tc>
          <w:tcPr>
            <w:tcW w:w="3183" w:type="dxa"/>
            <w:vAlign w:val="center"/>
          </w:tcPr>
          <w:p w14:paraId="2127B5D4">
            <w:pPr>
              <w:rPr>
                <w:color w:val="auto"/>
                <w:sz w:val="24"/>
                <w:highlight w:val="none"/>
              </w:rPr>
            </w:pPr>
            <w:r>
              <w:rPr>
                <w:color w:val="auto"/>
                <w:sz w:val="24"/>
                <w:highlight w:val="none"/>
              </w:rPr>
              <w:t>1.</w:t>
            </w:r>
            <w:r>
              <w:rPr>
                <w:rFonts w:hint="eastAsia"/>
                <w:color w:val="auto"/>
                <w:sz w:val="24"/>
                <w:highlight w:val="none"/>
              </w:rPr>
              <w:t>清理路面积砂积土、零星砂土、杂物等，保持路面整洁；</w:t>
            </w:r>
          </w:p>
          <w:p w14:paraId="7450F6FF">
            <w:pPr>
              <w:rPr>
                <w:color w:val="auto"/>
                <w:sz w:val="24"/>
                <w:highlight w:val="none"/>
              </w:rPr>
            </w:pPr>
            <w:r>
              <w:rPr>
                <w:color w:val="auto"/>
                <w:sz w:val="24"/>
                <w:highlight w:val="none"/>
              </w:rPr>
              <w:t>2.</w:t>
            </w:r>
            <w:r>
              <w:rPr>
                <w:rFonts w:hint="eastAsia"/>
                <w:color w:val="auto"/>
                <w:sz w:val="24"/>
                <w:highlight w:val="none"/>
              </w:rPr>
              <w:t>处理泛油、拥包、裂缝、松散等病害；</w:t>
            </w:r>
          </w:p>
          <w:p w14:paraId="3E2FBFF6">
            <w:pPr>
              <w:rPr>
                <w:color w:val="auto"/>
                <w:sz w:val="24"/>
                <w:highlight w:val="none"/>
              </w:rPr>
            </w:pPr>
            <w:r>
              <w:rPr>
                <w:color w:val="auto"/>
                <w:sz w:val="24"/>
                <w:highlight w:val="none"/>
              </w:rPr>
              <w:t>3.</w:t>
            </w:r>
            <w:r>
              <w:rPr>
                <w:rFonts w:hint="eastAsia"/>
                <w:color w:val="auto"/>
                <w:sz w:val="24"/>
                <w:highlight w:val="none"/>
              </w:rPr>
              <w:t>修补坑槽坑洞、沉陷、局部龟裂、啃边等病害；</w:t>
            </w:r>
          </w:p>
          <w:p w14:paraId="2A962AEE">
            <w:pPr>
              <w:rPr>
                <w:color w:val="auto"/>
                <w:sz w:val="24"/>
                <w:highlight w:val="none"/>
              </w:rPr>
            </w:pPr>
            <w:r>
              <w:rPr>
                <w:color w:val="auto"/>
                <w:sz w:val="24"/>
                <w:highlight w:val="none"/>
              </w:rPr>
              <w:t>4.</w:t>
            </w:r>
            <w:r>
              <w:rPr>
                <w:rFonts w:hint="eastAsia"/>
                <w:color w:val="auto"/>
                <w:sz w:val="24"/>
                <w:highlight w:val="none"/>
              </w:rPr>
              <w:t>排除路面积水。</w:t>
            </w:r>
          </w:p>
        </w:tc>
        <w:tc>
          <w:tcPr>
            <w:tcW w:w="3657" w:type="dxa"/>
          </w:tcPr>
          <w:p w14:paraId="44F5B855">
            <w:pPr>
              <w:tabs>
                <w:tab w:val="left" w:pos="72"/>
                <w:tab w:val="left" w:pos="252"/>
              </w:tabs>
              <w:ind w:left="252" w:hanging="360"/>
              <w:rPr>
                <w:color w:val="auto"/>
                <w:sz w:val="24"/>
                <w:highlight w:val="none"/>
              </w:rPr>
            </w:pPr>
            <w:r>
              <w:rPr>
                <w:color w:val="auto"/>
                <w:sz w:val="24"/>
                <w:highlight w:val="none"/>
              </w:rPr>
              <w:t xml:space="preserve">1. </w:t>
            </w:r>
            <w:r>
              <w:rPr>
                <w:rFonts w:hint="eastAsia"/>
                <w:color w:val="auto"/>
                <w:sz w:val="24"/>
                <w:highlight w:val="none"/>
              </w:rPr>
              <w:t>路面上无积砂积土，无零星散落砂土、杂物，无人为堆积砂、土、石等；路面整洁无扬尘，路面边缘线清晰明朗；</w:t>
            </w:r>
          </w:p>
          <w:p w14:paraId="69332AD6">
            <w:pPr>
              <w:tabs>
                <w:tab w:val="left" w:pos="72"/>
                <w:tab w:val="left" w:pos="252"/>
              </w:tabs>
              <w:ind w:left="252" w:hanging="360"/>
              <w:rPr>
                <w:color w:val="auto"/>
                <w:sz w:val="24"/>
                <w:highlight w:val="none"/>
              </w:rPr>
            </w:pPr>
            <w:r>
              <w:rPr>
                <w:color w:val="auto"/>
                <w:sz w:val="24"/>
                <w:highlight w:val="none"/>
              </w:rPr>
              <w:t>2.</w:t>
            </w:r>
            <w:r>
              <w:rPr>
                <w:rFonts w:hint="eastAsia"/>
                <w:color w:val="auto"/>
                <w:sz w:val="24"/>
                <w:highlight w:val="none"/>
              </w:rPr>
              <w:t>挖除拥包、龟裂路面，及坑槽周边软弱松散材料，采用乳化沥青冷拌冷铺或贯入法补平路面；</w:t>
            </w:r>
          </w:p>
          <w:p w14:paraId="2E74E1D7">
            <w:pPr>
              <w:tabs>
                <w:tab w:val="left" w:pos="72"/>
                <w:tab w:val="left" w:pos="252"/>
              </w:tabs>
              <w:ind w:left="252" w:hanging="360"/>
              <w:rPr>
                <w:color w:val="auto"/>
                <w:sz w:val="24"/>
                <w:highlight w:val="none"/>
              </w:rPr>
            </w:pPr>
            <w:r>
              <w:rPr>
                <w:color w:val="auto"/>
                <w:sz w:val="24"/>
                <w:highlight w:val="none"/>
              </w:rPr>
              <w:t>3.</w:t>
            </w:r>
            <w:r>
              <w:rPr>
                <w:rFonts w:hint="eastAsia"/>
                <w:color w:val="auto"/>
                <w:sz w:val="24"/>
                <w:highlight w:val="none"/>
              </w:rPr>
              <w:t>采用加撒粗砂、石屑等方式处治路面泛油部位；</w:t>
            </w:r>
          </w:p>
          <w:p w14:paraId="6B64A48B">
            <w:pPr>
              <w:tabs>
                <w:tab w:val="left" w:pos="72"/>
                <w:tab w:val="left" w:pos="252"/>
              </w:tabs>
              <w:ind w:left="252" w:hanging="360"/>
              <w:rPr>
                <w:color w:val="auto"/>
                <w:sz w:val="24"/>
                <w:highlight w:val="none"/>
              </w:rPr>
            </w:pPr>
            <w:r>
              <w:rPr>
                <w:color w:val="auto"/>
                <w:sz w:val="24"/>
                <w:highlight w:val="none"/>
              </w:rPr>
              <w:t>4.</w:t>
            </w:r>
            <w:r>
              <w:rPr>
                <w:rFonts w:hint="eastAsia"/>
                <w:color w:val="auto"/>
                <w:sz w:val="24"/>
                <w:highlight w:val="none"/>
              </w:rPr>
              <w:t>采用乳化沥青封层法处治裂缝和松散等病害。</w:t>
            </w:r>
          </w:p>
        </w:tc>
        <w:tc>
          <w:tcPr>
            <w:tcW w:w="1800" w:type="dxa"/>
            <w:vAlign w:val="center"/>
          </w:tcPr>
          <w:p w14:paraId="41977C29">
            <w:pPr>
              <w:tabs>
                <w:tab w:val="left" w:pos="72"/>
                <w:tab w:val="left" w:pos="252"/>
              </w:tabs>
              <w:ind w:left="-108"/>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1969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continue"/>
          </w:tcPr>
          <w:p w14:paraId="77762035">
            <w:pPr>
              <w:rPr>
                <w:color w:val="auto"/>
                <w:sz w:val="24"/>
                <w:highlight w:val="none"/>
              </w:rPr>
            </w:pPr>
          </w:p>
        </w:tc>
        <w:tc>
          <w:tcPr>
            <w:tcW w:w="664" w:type="dxa"/>
            <w:vAlign w:val="center"/>
          </w:tcPr>
          <w:p w14:paraId="1FDDA97C">
            <w:pPr>
              <w:jc w:val="center"/>
              <w:rPr>
                <w:color w:val="auto"/>
                <w:sz w:val="24"/>
                <w:highlight w:val="none"/>
              </w:rPr>
            </w:pPr>
            <w:r>
              <w:rPr>
                <w:rFonts w:hint="eastAsia"/>
                <w:color w:val="auto"/>
                <w:sz w:val="24"/>
                <w:highlight w:val="none"/>
              </w:rPr>
              <w:t>砂土</w:t>
            </w:r>
          </w:p>
          <w:p w14:paraId="5F8414C5">
            <w:pPr>
              <w:jc w:val="center"/>
              <w:rPr>
                <w:color w:val="auto"/>
                <w:sz w:val="24"/>
                <w:highlight w:val="none"/>
              </w:rPr>
            </w:pPr>
            <w:r>
              <w:rPr>
                <w:rFonts w:hint="eastAsia"/>
                <w:color w:val="auto"/>
                <w:sz w:val="24"/>
                <w:highlight w:val="none"/>
              </w:rPr>
              <w:t>路面</w:t>
            </w:r>
          </w:p>
        </w:tc>
        <w:tc>
          <w:tcPr>
            <w:tcW w:w="3183" w:type="dxa"/>
            <w:vAlign w:val="center"/>
          </w:tcPr>
          <w:p w14:paraId="6AA9BF49">
            <w:pPr>
              <w:jc w:val="center"/>
              <w:rPr>
                <w:color w:val="auto"/>
                <w:sz w:val="24"/>
                <w:highlight w:val="none"/>
              </w:rPr>
            </w:pPr>
            <w:r>
              <w:rPr>
                <w:color w:val="auto"/>
                <w:sz w:val="24"/>
                <w:highlight w:val="none"/>
              </w:rPr>
              <w:t>1.</w:t>
            </w:r>
            <w:r>
              <w:rPr>
                <w:rFonts w:hint="eastAsia"/>
                <w:color w:val="auto"/>
                <w:sz w:val="24"/>
                <w:highlight w:val="none"/>
              </w:rPr>
              <w:t>清理路面杂物，保持路面整洁；</w:t>
            </w:r>
          </w:p>
          <w:p w14:paraId="237A2D3D">
            <w:pPr>
              <w:jc w:val="center"/>
              <w:rPr>
                <w:color w:val="auto"/>
                <w:sz w:val="24"/>
                <w:highlight w:val="none"/>
              </w:rPr>
            </w:pPr>
            <w:r>
              <w:rPr>
                <w:color w:val="auto"/>
                <w:sz w:val="24"/>
                <w:highlight w:val="none"/>
              </w:rPr>
              <w:t>2.</w:t>
            </w:r>
            <w:r>
              <w:rPr>
                <w:rFonts w:hint="eastAsia"/>
                <w:color w:val="auto"/>
                <w:sz w:val="24"/>
                <w:highlight w:val="none"/>
              </w:rPr>
              <w:t>修补路面坑槽、沉陷、车辙，添加稳定料处理翻浆变形，刮平路面；</w:t>
            </w:r>
          </w:p>
          <w:p w14:paraId="2ABFD37A">
            <w:pPr>
              <w:jc w:val="center"/>
              <w:rPr>
                <w:color w:val="auto"/>
                <w:sz w:val="24"/>
                <w:highlight w:val="none"/>
              </w:rPr>
            </w:pPr>
            <w:r>
              <w:rPr>
                <w:color w:val="auto"/>
                <w:sz w:val="24"/>
                <w:highlight w:val="none"/>
              </w:rPr>
              <w:t>3.</w:t>
            </w:r>
            <w:r>
              <w:rPr>
                <w:rFonts w:hint="eastAsia"/>
                <w:color w:val="auto"/>
                <w:sz w:val="24"/>
                <w:highlight w:val="none"/>
              </w:rPr>
              <w:t>添加粗砂或石屑磨耗层，刮砂回砂；</w:t>
            </w:r>
          </w:p>
          <w:p w14:paraId="0E014C7E">
            <w:pPr>
              <w:jc w:val="center"/>
              <w:rPr>
                <w:color w:val="auto"/>
                <w:sz w:val="24"/>
                <w:highlight w:val="none"/>
              </w:rPr>
            </w:pPr>
            <w:r>
              <w:rPr>
                <w:color w:val="auto"/>
                <w:sz w:val="24"/>
                <w:highlight w:val="none"/>
              </w:rPr>
              <w:t>4.</w:t>
            </w:r>
            <w:r>
              <w:rPr>
                <w:rFonts w:hint="eastAsia"/>
                <w:color w:val="auto"/>
                <w:sz w:val="24"/>
                <w:highlight w:val="none"/>
              </w:rPr>
              <w:t>排除路面积水。</w:t>
            </w:r>
          </w:p>
        </w:tc>
        <w:tc>
          <w:tcPr>
            <w:tcW w:w="3657" w:type="dxa"/>
          </w:tcPr>
          <w:p w14:paraId="4E745D27">
            <w:pPr>
              <w:tabs>
                <w:tab w:val="left" w:pos="72"/>
                <w:tab w:val="left" w:pos="252"/>
              </w:tabs>
              <w:ind w:left="252" w:hanging="360"/>
              <w:rPr>
                <w:color w:val="auto"/>
                <w:sz w:val="24"/>
                <w:highlight w:val="none"/>
              </w:rPr>
            </w:pPr>
            <w:r>
              <w:rPr>
                <w:color w:val="auto"/>
                <w:sz w:val="24"/>
                <w:highlight w:val="none"/>
              </w:rPr>
              <w:t>1.</w:t>
            </w:r>
            <w:r>
              <w:rPr>
                <w:rFonts w:hint="eastAsia"/>
                <w:color w:val="auto"/>
                <w:sz w:val="24"/>
                <w:highlight w:val="none"/>
              </w:rPr>
              <w:t>路面上无人为堆积砂、土、石及其他杂物等；</w:t>
            </w:r>
          </w:p>
          <w:p w14:paraId="3297686A">
            <w:pPr>
              <w:tabs>
                <w:tab w:val="left" w:pos="72"/>
                <w:tab w:val="left" w:pos="252"/>
              </w:tabs>
              <w:ind w:left="252" w:hanging="360"/>
              <w:rPr>
                <w:color w:val="auto"/>
                <w:sz w:val="24"/>
                <w:highlight w:val="none"/>
              </w:rPr>
            </w:pPr>
            <w:r>
              <w:rPr>
                <w:color w:val="auto"/>
                <w:sz w:val="24"/>
                <w:highlight w:val="none"/>
              </w:rPr>
              <w:t>2.</w:t>
            </w:r>
            <w:r>
              <w:rPr>
                <w:rFonts w:hint="eastAsia"/>
                <w:color w:val="auto"/>
                <w:sz w:val="24"/>
                <w:highlight w:val="none"/>
              </w:rPr>
              <w:t>路面平整、无明显坑槽、沉陷等影响行车安全舒适的病害；</w:t>
            </w:r>
          </w:p>
          <w:p w14:paraId="0A56B141">
            <w:pPr>
              <w:tabs>
                <w:tab w:val="left" w:pos="72"/>
                <w:tab w:val="left" w:pos="252"/>
              </w:tabs>
              <w:ind w:left="252" w:hanging="360"/>
              <w:rPr>
                <w:color w:val="auto"/>
                <w:sz w:val="24"/>
                <w:highlight w:val="none"/>
              </w:rPr>
            </w:pPr>
            <w:r>
              <w:rPr>
                <w:color w:val="auto"/>
                <w:sz w:val="24"/>
                <w:highlight w:val="none"/>
              </w:rPr>
              <w:t>3.</w:t>
            </w:r>
            <w:r>
              <w:rPr>
                <w:rFonts w:hint="eastAsia"/>
                <w:color w:val="auto"/>
                <w:sz w:val="24"/>
                <w:highlight w:val="none"/>
              </w:rPr>
              <w:t>路面无积水、翻浆、变形等影响车辆行人通行的现象；</w:t>
            </w:r>
          </w:p>
          <w:p w14:paraId="4B7AB7BB">
            <w:pPr>
              <w:tabs>
                <w:tab w:val="left" w:pos="72"/>
                <w:tab w:val="left" w:pos="252"/>
              </w:tabs>
              <w:ind w:left="252" w:hanging="360"/>
              <w:rPr>
                <w:color w:val="auto"/>
                <w:sz w:val="24"/>
                <w:highlight w:val="none"/>
              </w:rPr>
            </w:pPr>
            <w:r>
              <w:rPr>
                <w:color w:val="auto"/>
                <w:sz w:val="24"/>
                <w:highlight w:val="none"/>
              </w:rPr>
              <w:t>4.</w:t>
            </w:r>
            <w:r>
              <w:rPr>
                <w:rFonts w:hint="eastAsia"/>
                <w:color w:val="auto"/>
                <w:sz w:val="24"/>
                <w:highlight w:val="none"/>
              </w:rPr>
              <w:t>磨耗层厚度适宜，撒布均匀、平整。</w:t>
            </w:r>
          </w:p>
        </w:tc>
        <w:tc>
          <w:tcPr>
            <w:tcW w:w="1800" w:type="dxa"/>
            <w:vAlign w:val="center"/>
          </w:tcPr>
          <w:p w14:paraId="4EF49B91">
            <w:pPr>
              <w:tabs>
                <w:tab w:val="left" w:pos="72"/>
                <w:tab w:val="left" w:pos="252"/>
              </w:tabs>
              <w:ind w:left="-108"/>
              <w:rPr>
                <w:color w:val="auto"/>
                <w:sz w:val="24"/>
                <w:highlight w:val="none"/>
              </w:rPr>
            </w:pPr>
            <w:r>
              <w:rPr>
                <w:rFonts w:hint="eastAsia"/>
                <w:color w:val="auto"/>
                <w:sz w:val="24"/>
                <w:highlight w:val="none"/>
              </w:rPr>
              <w:t>清理路面为日常工作；</w:t>
            </w:r>
          </w:p>
          <w:p w14:paraId="449B8F37">
            <w:pPr>
              <w:tabs>
                <w:tab w:val="left" w:pos="72"/>
                <w:tab w:val="left" w:pos="252"/>
              </w:tabs>
              <w:ind w:left="-108"/>
              <w:rPr>
                <w:color w:val="auto"/>
                <w:sz w:val="24"/>
                <w:highlight w:val="none"/>
              </w:rPr>
            </w:pPr>
            <w:r>
              <w:rPr>
                <w:rFonts w:hint="eastAsia"/>
                <w:color w:val="auto"/>
                <w:sz w:val="24"/>
                <w:highlight w:val="none"/>
              </w:rPr>
              <w:t>添加磨耗层每半年一次；</w:t>
            </w:r>
          </w:p>
          <w:p w14:paraId="42F4D39B">
            <w:pPr>
              <w:tabs>
                <w:tab w:val="left" w:pos="72"/>
                <w:tab w:val="left" w:pos="252"/>
              </w:tabs>
              <w:ind w:left="-108"/>
              <w:rPr>
                <w:color w:val="auto"/>
                <w:sz w:val="24"/>
                <w:highlight w:val="none"/>
              </w:rPr>
            </w:pPr>
            <w:r>
              <w:rPr>
                <w:rFonts w:hint="eastAsia"/>
                <w:color w:val="auto"/>
                <w:sz w:val="24"/>
                <w:highlight w:val="none"/>
              </w:rPr>
              <w:t>修复路面病害根据需要安排。</w:t>
            </w:r>
          </w:p>
        </w:tc>
      </w:tr>
      <w:tr w14:paraId="0345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continue"/>
          </w:tcPr>
          <w:p w14:paraId="0914F1F9">
            <w:pPr>
              <w:rPr>
                <w:color w:val="auto"/>
                <w:sz w:val="24"/>
                <w:highlight w:val="none"/>
              </w:rPr>
            </w:pPr>
          </w:p>
        </w:tc>
        <w:tc>
          <w:tcPr>
            <w:tcW w:w="664" w:type="dxa"/>
            <w:vAlign w:val="center"/>
          </w:tcPr>
          <w:p w14:paraId="3C59F24F">
            <w:pPr>
              <w:jc w:val="center"/>
              <w:rPr>
                <w:color w:val="auto"/>
                <w:sz w:val="24"/>
                <w:highlight w:val="none"/>
              </w:rPr>
            </w:pPr>
            <w:r>
              <w:rPr>
                <w:rFonts w:hint="eastAsia"/>
                <w:color w:val="auto"/>
                <w:sz w:val="24"/>
                <w:highlight w:val="none"/>
              </w:rPr>
              <w:t>路缘石</w:t>
            </w:r>
          </w:p>
        </w:tc>
        <w:tc>
          <w:tcPr>
            <w:tcW w:w="3183" w:type="dxa"/>
            <w:vAlign w:val="center"/>
          </w:tcPr>
          <w:p w14:paraId="388C2447">
            <w:pPr>
              <w:jc w:val="center"/>
              <w:rPr>
                <w:color w:val="auto"/>
                <w:sz w:val="24"/>
                <w:highlight w:val="none"/>
              </w:rPr>
            </w:pPr>
            <w:r>
              <w:rPr>
                <w:color w:val="auto"/>
                <w:sz w:val="24"/>
                <w:highlight w:val="none"/>
              </w:rPr>
              <w:t>1</w:t>
            </w:r>
            <w:r>
              <w:rPr>
                <w:rFonts w:hint="eastAsia"/>
                <w:color w:val="auto"/>
                <w:sz w:val="24"/>
                <w:highlight w:val="none"/>
              </w:rPr>
              <w:t>局部修理路缘石；</w:t>
            </w:r>
          </w:p>
          <w:p w14:paraId="2613CCE5">
            <w:pPr>
              <w:jc w:val="center"/>
              <w:rPr>
                <w:color w:val="auto"/>
                <w:sz w:val="24"/>
                <w:highlight w:val="none"/>
              </w:rPr>
            </w:pPr>
            <w:r>
              <w:rPr>
                <w:color w:val="auto"/>
                <w:sz w:val="24"/>
                <w:highlight w:val="none"/>
              </w:rPr>
              <w:t>2.</w:t>
            </w:r>
            <w:r>
              <w:rPr>
                <w:rFonts w:hint="eastAsia"/>
                <w:color w:val="auto"/>
                <w:sz w:val="24"/>
                <w:highlight w:val="none"/>
              </w:rPr>
              <w:t>刷白路缘石。</w:t>
            </w:r>
          </w:p>
        </w:tc>
        <w:tc>
          <w:tcPr>
            <w:tcW w:w="3657" w:type="dxa"/>
          </w:tcPr>
          <w:p w14:paraId="58701402">
            <w:pPr>
              <w:tabs>
                <w:tab w:val="left" w:pos="72"/>
                <w:tab w:val="left" w:pos="252"/>
              </w:tabs>
              <w:ind w:left="252" w:hanging="360"/>
              <w:rPr>
                <w:color w:val="auto"/>
                <w:sz w:val="24"/>
                <w:highlight w:val="none"/>
              </w:rPr>
            </w:pPr>
            <w:r>
              <w:rPr>
                <w:color w:val="auto"/>
                <w:sz w:val="24"/>
                <w:highlight w:val="none"/>
              </w:rPr>
              <w:t>1.</w:t>
            </w:r>
            <w:r>
              <w:rPr>
                <w:rFonts w:hint="eastAsia"/>
                <w:color w:val="auto"/>
                <w:sz w:val="24"/>
                <w:highlight w:val="none"/>
              </w:rPr>
              <w:t>局部修理缺损、变形路缘石，路缘石线型平、直，圆顺，连续，无缺损。</w:t>
            </w:r>
          </w:p>
          <w:p w14:paraId="746439D3">
            <w:pPr>
              <w:tabs>
                <w:tab w:val="left" w:pos="72"/>
                <w:tab w:val="left" w:pos="252"/>
              </w:tabs>
              <w:ind w:left="252" w:hanging="360"/>
              <w:rPr>
                <w:color w:val="auto"/>
                <w:sz w:val="24"/>
                <w:highlight w:val="none"/>
              </w:rPr>
            </w:pPr>
            <w:r>
              <w:rPr>
                <w:color w:val="auto"/>
                <w:sz w:val="24"/>
                <w:highlight w:val="none"/>
              </w:rPr>
              <w:t>2.</w:t>
            </w:r>
            <w:r>
              <w:rPr>
                <w:rFonts w:hint="eastAsia"/>
                <w:color w:val="auto"/>
                <w:sz w:val="24"/>
                <w:highlight w:val="none"/>
              </w:rPr>
              <w:t>采用石灰水刷白路缘石，色泽明显、统一。</w:t>
            </w:r>
          </w:p>
        </w:tc>
        <w:tc>
          <w:tcPr>
            <w:tcW w:w="1800" w:type="dxa"/>
            <w:vAlign w:val="center"/>
          </w:tcPr>
          <w:p w14:paraId="54C12457">
            <w:pPr>
              <w:tabs>
                <w:tab w:val="left" w:pos="72"/>
                <w:tab w:val="left" w:pos="252"/>
              </w:tabs>
              <w:ind w:left="-108"/>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6CC7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restart"/>
            <w:vAlign w:val="center"/>
          </w:tcPr>
          <w:p w14:paraId="6884DBF2">
            <w:pPr>
              <w:jc w:val="center"/>
              <w:rPr>
                <w:color w:val="auto"/>
                <w:sz w:val="24"/>
                <w:highlight w:val="none"/>
              </w:rPr>
            </w:pPr>
            <w:r>
              <w:rPr>
                <w:rFonts w:hint="eastAsia"/>
                <w:color w:val="auto"/>
                <w:sz w:val="24"/>
                <w:highlight w:val="none"/>
              </w:rPr>
              <w:t>桥梁、</w:t>
            </w:r>
          </w:p>
          <w:p w14:paraId="0AF1FDBB">
            <w:pPr>
              <w:jc w:val="center"/>
              <w:rPr>
                <w:color w:val="auto"/>
                <w:sz w:val="24"/>
                <w:highlight w:val="none"/>
              </w:rPr>
            </w:pPr>
            <w:r>
              <w:rPr>
                <w:rFonts w:hint="eastAsia"/>
                <w:color w:val="auto"/>
                <w:sz w:val="24"/>
                <w:highlight w:val="none"/>
              </w:rPr>
              <w:t>涵洞</w:t>
            </w:r>
          </w:p>
        </w:tc>
        <w:tc>
          <w:tcPr>
            <w:tcW w:w="664" w:type="dxa"/>
            <w:vAlign w:val="center"/>
          </w:tcPr>
          <w:p w14:paraId="7B1D8BEB">
            <w:pPr>
              <w:jc w:val="center"/>
              <w:rPr>
                <w:color w:val="auto"/>
                <w:sz w:val="24"/>
                <w:highlight w:val="none"/>
              </w:rPr>
            </w:pPr>
            <w:r>
              <w:rPr>
                <w:rFonts w:hint="eastAsia"/>
                <w:color w:val="auto"/>
                <w:sz w:val="24"/>
                <w:highlight w:val="none"/>
              </w:rPr>
              <w:t>桥面</w:t>
            </w:r>
          </w:p>
        </w:tc>
        <w:tc>
          <w:tcPr>
            <w:tcW w:w="3183" w:type="dxa"/>
            <w:vAlign w:val="center"/>
          </w:tcPr>
          <w:p w14:paraId="64A238D0">
            <w:pPr>
              <w:rPr>
                <w:color w:val="auto"/>
                <w:sz w:val="24"/>
                <w:highlight w:val="none"/>
              </w:rPr>
            </w:pPr>
            <w:r>
              <w:rPr>
                <w:color w:val="auto"/>
                <w:sz w:val="24"/>
                <w:highlight w:val="none"/>
              </w:rPr>
              <w:t>1.</w:t>
            </w:r>
            <w:r>
              <w:rPr>
                <w:rFonts w:hint="eastAsia"/>
                <w:color w:val="auto"/>
                <w:sz w:val="24"/>
                <w:highlight w:val="none"/>
              </w:rPr>
              <w:t>清理桥面积砂积土、杂物等，保持桥面清洁；</w:t>
            </w:r>
          </w:p>
          <w:p w14:paraId="17A58859">
            <w:pPr>
              <w:rPr>
                <w:color w:val="auto"/>
                <w:sz w:val="24"/>
                <w:highlight w:val="none"/>
              </w:rPr>
            </w:pPr>
            <w:r>
              <w:rPr>
                <w:color w:val="auto"/>
                <w:sz w:val="24"/>
                <w:highlight w:val="none"/>
              </w:rPr>
              <w:t>2.</w:t>
            </w:r>
            <w:r>
              <w:rPr>
                <w:rFonts w:hint="eastAsia"/>
                <w:color w:val="auto"/>
                <w:sz w:val="24"/>
                <w:highlight w:val="none"/>
              </w:rPr>
              <w:t>疏通桥面泄水孔、排水孔；</w:t>
            </w:r>
          </w:p>
          <w:p w14:paraId="06F83A70">
            <w:pPr>
              <w:rPr>
                <w:color w:val="auto"/>
                <w:sz w:val="24"/>
                <w:highlight w:val="none"/>
              </w:rPr>
            </w:pPr>
            <w:r>
              <w:rPr>
                <w:color w:val="auto"/>
                <w:sz w:val="24"/>
                <w:highlight w:val="none"/>
              </w:rPr>
              <w:t>3.</w:t>
            </w:r>
            <w:r>
              <w:rPr>
                <w:rFonts w:hint="eastAsia"/>
                <w:color w:val="auto"/>
                <w:sz w:val="24"/>
                <w:highlight w:val="none"/>
              </w:rPr>
              <w:t>清理伸缩缝；</w:t>
            </w:r>
          </w:p>
          <w:p w14:paraId="76191F57">
            <w:pPr>
              <w:rPr>
                <w:color w:val="auto"/>
                <w:sz w:val="24"/>
                <w:highlight w:val="none"/>
              </w:rPr>
            </w:pPr>
            <w:r>
              <w:rPr>
                <w:color w:val="auto"/>
                <w:sz w:val="24"/>
                <w:highlight w:val="none"/>
              </w:rPr>
              <w:t>4.</w:t>
            </w:r>
            <w:r>
              <w:rPr>
                <w:rFonts w:hint="eastAsia"/>
                <w:color w:val="auto"/>
                <w:sz w:val="24"/>
                <w:highlight w:val="none"/>
              </w:rPr>
              <w:t>清理拦杆、护栏、防撞墙间隙砂土、杂草等；</w:t>
            </w:r>
          </w:p>
          <w:p w14:paraId="131B265F">
            <w:pPr>
              <w:rPr>
                <w:color w:val="auto"/>
                <w:sz w:val="24"/>
                <w:highlight w:val="none"/>
              </w:rPr>
            </w:pPr>
            <w:r>
              <w:rPr>
                <w:color w:val="auto"/>
                <w:sz w:val="24"/>
                <w:highlight w:val="none"/>
              </w:rPr>
              <w:t>5.</w:t>
            </w:r>
            <w:r>
              <w:rPr>
                <w:rFonts w:hint="eastAsia"/>
                <w:color w:val="auto"/>
                <w:sz w:val="24"/>
                <w:highlight w:val="none"/>
              </w:rPr>
              <w:t>修理桥面铺装层轻微损坏。</w:t>
            </w:r>
          </w:p>
        </w:tc>
        <w:tc>
          <w:tcPr>
            <w:tcW w:w="3657" w:type="dxa"/>
          </w:tcPr>
          <w:p w14:paraId="564ECC83">
            <w:pPr>
              <w:tabs>
                <w:tab w:val="left" w:pos="72"/>
                <w:tab w:val="left" w:pos="252"/>
              </w:tabs>
              <w:ind w:left="252" w:hanging="360"/>
              <w:rPr>
                <w:color w:val="auto"/>
                <w:sz w:val="24"/>
                <w:highlight w:val="none"/>
              </w:rPr>
            </w:pPr>
            <w:r>
              <w:rPr>
                <w:color w:val="auto"/>
                <w:sz w:val="24"/>
                <w:highlight w:val="none"/>
              </w:rPr>
              <w:t>1.</w:t>
            </w:r>
            <w:r>
              <w:rPr>
                <w:rFonts w:hint="eastAsia"/>
                <w:color w:val="auto"/>
                <w:sz w:val="24"/>
                <w:highlight w:val="none"/>
              </w:rPr>
              <w:t>桥面上无积砂积土，无砂石杂物等；</w:t>
            </w:r>
          </w:p>
          <w:p w14:paraId="795CBFCF">
            <w:pPr>
              <w:tabs>
                <w:tab w:val="left" w:pos="72"/>
                <w:tab w:val="left" w:pos="252"/>
              </w:tabs>
              <w:ind w:left="252" w:hanging="360"/>
              <w:rPr>
                <w:color w:val="auto"/>
                <w:sz w:val="24"/>
                <w:highlight w:val="none"/>
              </w:rPr>
            </w:pPr>
            <w:r>
              <w:rPr>
                <w:color w:val="auto"/>
                <w:sz w:val="24"/>
                <w:highlight w:val="none"/>
              </w:rPr>
              <w:t>2.</w:t>
            </w:r>
            <w:r>
              <w:rPr>
                <w:rFonts w:hint="eastAsia"/>
                <w:color w:val="auto"/>
                <w:sz w:val="24"/>
                <w:highlight w:val="none"/>
              </w:rPr>
              <w:t>桥面泄水孔、排水孔通畅；</w:t>
            </w:r>
          </w:p>
          <w:p w14:paraId="3C217FF5">
            <w:pPr>
              <w:tabs>
                <w:tab w:val="left" w:pos="72"/>
                <w:tab w:val="left" w:pos="252"/>
              </w:tabs>
              <w:ind w:left="252" w:hanging="360"/>
              <w:rPr>
                <w:color w:val="auto"/>
                <w:sz w:val="24"/>
                <w:highlight w:val="none"/>
              </w:rPr>
            </w:pPr>
            <w:r>
              <w:rPr>
                <w:color w:val="auto"/>
                <w:sz w:val="24"/>
                <w:highlight w:val="none"/>
              </w:rPr>
              <w:t>3.</w:t>
            </w:r>
            <w:r>
              <w:rPr>
                <w:rFonts w:hint="eastAsia"/>
                <w:color w:val="auto"/>
                <w:sz w:val="24"/>
                <w:highlight w:val="none"/>
              </w:rPr>
              <w:t>伸缩缝内无砂土杂物，干净清洁；</w:t>
            </w:r>
          </w:p>
          <w:p w14:paraId="772EEA25">
            <w:pPr>
              <w:tabs>
                <w:tab w:val="left" w:pos="72"/>
                <w:tab w:val="left" w:pos="252"/>
              </w:tabs>
              <w:ind w:left="252" w:hanging="360"/>
              <w:rPr>
                <w:color w:val="auto"/>
                <w:sz w:val="24"/>
                <w:highlight w:val="none"/>
              </w:rPr>
            </w:pPr>
            <w:r>
              <w:rPr>
                <w:color w:val="auto"/>
                <w:sz w:val="24"/>
                <w:highlight w:val="none"/>
              </w:rPr>
              <w:t>4.</w:t>
            </w:r>
            <w:r>
              <w:rPr>
                <w:rFonts w:hint="eastAsia"/>
                <w:color w:val="auto"/>
                <w:sz w:val="24"/>
                <w:highlight w:val="none"/>
              </w:rPr>
              <w:t>栏杆、护栏、防撞墙等间隙无砂土、杂草；</w:t>
            </w:r>
          </w:p>
          <w:p w14:paraId="255FDF8D">
            <w:pPr>
              <w:tabs>
                <w:tab w:val="left" w:pos="72"/>
                <w:tab w:val="left" w:pos="252"/>
              </w:tabs>
              <w:ind w:left="252" w:hanging="360"/>
              <w:rPr>
                <w:color w:val="auto"/>
                <w:sz w:val="24"/>
                <w:highlight w:val="none"/>
              </w:rPr>
            </w:pPr>
            <w:r>
              <w:rPr>
                <w:color w:val="auto"/>
                <w:sz w:val="24"/>
                <w:highlight w:val="none"/>
              </w:rPr>
              <w:t>5.</w:t>
            </w:r>
            <w:r>
              <w:rPr>
                <w:rFonts w:hint="eastAsia"/>
                <w:color w:val="auto"/>
                <w:sz w:val="24"/>
                <w:highlight w:val="none"/>
              </w:rPr>
              <w:t>采用沥青封层法或沥青混合料修补桥面铺装层坑洞、龟裂、松散等病害。</w:t>
            </w:r>
          </w:p>
        </w:tc>
        <w:tc>
          <w:tcPr>
            <w:tcW w:w="1800" w:type="dxa"/>
            <w:vAlign w:val="center"/>
          </w:tcPr>
          <w:p w14:paraId="04397443">
            <w:pPr>
              <w:tabs>
                <w:tab w:val="left" w:pos="72"/>
                <w:tab w:val="left" w:pos="252"/>
              </w:tabs>
              <w:ind w:left="-108"/>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6ABB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continue"/>
          </w:tcPr>
          <w:p w14:paraId="1B3D3CA6">
            <w:pPr>
              <w:rPr>
                <w:color w:val="auto"/>
                <w:sz w:val="24"/>
                <w:highlight w:val="none"/>
              </w:rPr>
            </w:pPr>
          </w:p>
        </w:tc>
        <w:tc>
          <w:tcPr>
            <w:tcW w:w="664" w:type="dxa"/>
            <w:vAlign w:val="center"/>
          </w:tcPr>
          <w:p w14:paraId="3D512D80">
            <w:pPr>
              <w:jc w:val="center"/>
              <w:rPr>
                <w:color w:val="auto"/>
                <w:sz w:val="24"/>
                <w:highlight w:val="none"/>
              </w:rPr>
            </w:pPr>
            <w:r>
              <w:rPr>
                <w:rFonts w:hint="eastAsia"/>
                <w:color w:val="auto"/>
                <w:sz w:val="24"/>
                <w:highlight w:val="none"/>
              </w:rPr>
              <w:t>桥梁</w:t>
            </w:r>
          </w:p>
          <w:p w14:paraId="26D67CE7">
            <w:pPr>
              <w:jc w:val="center"/>
              <w:rPr>
                <w:color w:val="auto"/>
                <w:sz w:val="24"/>
                <w:highlight w:val="none"/>
              </w:rPr>
            </w:pPr>
            <w:r>
              <w:rPr>
                <w:rFonts w:hint="eastAsia"/>
                <w:color w:val="auto"/>
                <w:sz w:val="24"/>
                <w:highlight w:val="none"/>
              </w:rPr>
              <w:t>上构</w:t>
            </w:r>
          </w:p>
        </w:tc>
        <w:tc>
          <w:tcPr>
            <w:tcW w:w="3183" w:type="dxa"/>
            <w:vAlign w:val="center"/>
          </w:tcPr>
          <w:p w14:paraId="06C37F29">
            <w:pPr>
              <w:rPr>
                <w:color w:val="auto"/>
                <w:sz w:val="24"/>
                <w:highlight w:val="none"/>
              </w:rPr>
            </w:pPr>
            <w:r>
              <w:rPr>
                <w:color w:val="auto"/>
                <w:sz w:val="24"/>
                <w:highlight w:val="none"/>
              </w:rPr>
              <w:t>1.</w:t>
            </w:r>
            <w:r>
              <w:rPr>
                <w:rFonts w:hint="eastAsia"/>
                <w:color w:val="auto"/>
                <w:sz w:val="24"/>
                <w:highlight w:val="none"/>
              </w:rPr>
              <w:t>定期清除上构表面污垢，清理圬工结构表面杂草等；</w:t>
            </w:r>
          </w:p>
          <w:p w14:paraId="3190915C">
            <w:pPr>
              <w:rPr>
                <w:color w:val="auto"/>
                <w:sz w:val="24"/>
                <w:highlight w:val="none"/>
              </w:rPr>
            </w:pPr>
            <w:r>
              <w:rPr>
                <w:color w:val="auto"/>
                <w:sz w:val="24"/>
                <w:highlight w:val="none"/>
              </w:rPr>
              <w:t>2.</w:t>
            </w:r>
            <w:r>
              <w:rPr>
                <w:rFonts w:hint="eastAsia"/>
                <w:color w:val="auto"/>
                <w:sz w:val="24"/>
                <w:highlight w:val="none"/>
              </w:rPr>
              <w:t>修补混凝土或圬工结构空洞、破损、剥落及裂缝等病害；</w:t>
            </w:r>
          </w:p>
          <w:p w14:paraId="66DEF108">
            <w:pPr>
              <w:rPr>
                <w:color w:val="auto"/>
                <w:sz w:val="24"/>
                <w:highlight w:val="none"/>
              </w:rPr>
            </w:pPr>
            <w:r>
              <w:rPr>
                <w:color w:val="auto"/>
                <w:sz w:val="24"/>
                <w:highlight w:val="none"/>
              </w:rPr>
              <w:t>3.</w:t>
            </w:r>
            <w:r>
              <w:rPr>
                <w:rFonts w:hint="eastAsia"/>
                <w:color w:val="auto"/>
                <w:sz w:val="24"/>
                <w:highlight w:val="none"/>
              </w:rPr>
              <w:t>清除暴露钢筋的锈渍、恢复保护层。</w:t>
            </w:r>
          </w:p>
        </w:tc>
        <w:tc>
          <w:tcPr>
            <w:tcW w:w="3657" w:type="dxa"/>
          </w:tcPr>
          <w:p w14:paraId="78B9E755">
            <w:pPr>
              <w:tabs>
                <w:tab w:val="left" w:pos="72"/>
                <w:tab w:val="left" w:pos="252"/>
              </w:tabs>
              <w:ind w:left="252" w:hanging="360"/>
              <w:rPr>
                <w:color w:val="auto"/>
                <w:sz w:val="24"/>
                <w:highlight w:val="none"/>
              </w:rPr>
            </w:pPr>
            <w:r>
              <w:rPr>
                <w:color w:val="auto"/>
                <w:sz w:val="24"/>
                <w:highlight w:val="none"/>
              </w:rPr>
              <w:t>1.</w:t>
            </w:r>
            <w:r>
              <w:rPr>
                <w:rFonts w:hint="eastAsia"/>
                <w:color w:val="auto"/>
                <w:sz w:val="24"/>
                <w:highlight w:val="none"/>
              </w:rPr>
              <w:t>上构表面无明显污垢、水渍、锈渍，无杂草、苔藓、藤蔓滋生；</w:t>
            </w:r>
          </w:p>
          <w:p w14:paraId="4028B54A">
            <w:pPr>
              <w:tabs>
                <w:tab w:val="left" w:pos="72"/>
                <w:tab w:val="left" w:pos="252"/>
              </w:tabs>
              <w:ind w:left="252" w:hanging="360"/>
              <w:rPr>
                <w:color w:val="auto"/>
                <w:sz w:val="24"/>
                <w:highlight w:val="none"/>
              </w:rPr>
            </w:pPr>
            <w:r>
              <w:rPr>
                <w:color w:val="auto"/>
                <w:sz w:val="24"/>
                <w:highlight w:val="none"/>
              </w:rPr>
              <w:t>2.</w:t>
            </w:r>
            <w:r>
              <w:rPr>
                <w:rFonts w:hint="eastAsia"/>
                <w:color w:val="auto"/>
                <w:sz w:val="24"/>
                <w:highlight w:val="none"/>
              </w:rPr>
              <w:t>按《公路桥梁养护规范》日常养护部分的要求修补混凝土或圬工结构病害；</w:t>
            </w:r>
          </w:p>
        </w:tc>
        <w:tc>
          <w:tcPr>
            <w:tcW w:w="1800" w:type="dxa"/>
            <w:vAlign w:val="center"/>
          </w:tcPr>
          <w:p w14:paraId="4237B053">
            <w:pPr>
              <w:tabs>
                <w:tab w:val="left" w:pos="72"/>
                <w:tab w:val="left" w:pos="252"/>
              </w:tabs>
              <w:ind w:left="-108"/>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0491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continue"/>
          </w:tcPr>
          <w:p w14:paraId="5F71AFA1">
            <w:pPr>
              <w:rPr>
                <w:color w:val="auto"/>
                <w:sz w:val="24"/>
                <w:highlight w:val="none"/>
              </w:rPr>
            </w:pPr>
          </w:p>
        </w:tc>
        <w:tc>
          <w:tcPr>
            <w:tcW w:w="664" w:type="dxa"/>
            <w:vAlign w:val="center"/>
          </w:tcPr>
          <w:p w14:paraId="3D499450">
            <w:pPr>
              <w:jc w:val="center"/>
              <w:rPr>
                <w:color w:val="auto"/>
                <w:sz w:val="24"/>
                <w:highlight w:val="none"/>
              </w:rPr>
            </w:pPr>
            <w:r>
              <w:rPr>
                <w:rFonts w:hint="eastAsia"/>
                <w:color w:val="auto"/>
                <w:sz w:val="24"/>
                <w:highlight w:val="none"/>
              </w:rPr>
              <w:t>桥梁</w:t>
            </w:r>
          </w:p>
          <w:p w14:paraId="18CF1409">
            <w:pPr>
              <w:jc w:val="center"/>
              <w:rPr>
                <w:color w:val="auto"/>
                <w:sz w:val="24"/>
                <w:highlight w:val="none"/>
              </w:rPr>
            </w:pPr>
            <w:r>
              <w:rPr>
                <w:rFonts w:hint="eastAsia"/>
                <w:color w:val="auto"/>
                <w:sz w:val="24"/>
                <w:highlight w:val="none"/>
              </w:rPr>
              <w:t>下构</w:t>
            </w:r>
          </w:p>
        </w:tc>
        <w:tc>
          <w:tcPr>
            <w:tcW w:w="3183" w:type="dxa"/>
            <w:vAlign w:val="center"/>
          </w:tcPr>
          <w:p w14:paraId="3BA39C05">
            <w:pPr>
              <w:rPr>
                <w:color w:val="auto"/>
                <w:sz w:val="24"/>
                <w:highlight w:val="none"/>
              </w:rPr>
            </w:pPr>
            <w:r>
              <w:rPr>
                <w:color w:val="auto"/>
                <w:sz w:val="24"/>
                <w:highlight w:val="none"/>
              </w:rPr>
              <w:t>1.</w:t>
            </w:r>
            <w:r>
              <w:rPr>
                <w:rFonts w:hint="eastAsia"/>
                <w:color w:val="auto"/>
                <w:sz w:val="24"/>
                <w:highlight w:val="none"/>
              </w:rPr>
              <w:t>定期清除下构表面污垢，清理表面滋生的杂草、苔藓、藤蔓，以及周边可能影响结构安全稳定的树木等；</w:t>
            </w:r>
          </w:p>
          <w:p w14:paraId="12F052AB">
            <w:pPr>
              <w:rPr>
                <w:color w:val="auto"/>
                <w:sz w:val="24"/>
                <w:highlight w:val="none"/>
              </w:rPr>
            </w:pPr>
            <w:r>
              <w:rPr>
                <w:color w:val="auto"/>
                <w:sz w:val="24"/>
                <w:highlight w:val="none"/>
              </w:rPr>
              <w:t>2.</w:t>
            </w:r>
            <w:r>
              <w:rPr>
                <w:rFonts w:hint="eastAsia"/>
                <w:color w:val="auto"/>
                <w:sz w:val="24"/>
                <w:highlight w:val="none"/>
              </w:rPr>
              <w:t>修补混凝土或圬工结构空洞、破损、剥落及裂缝等病害；</w:t>
            </w:r>
          </w:p>
          <w:p w14:paraId="65EB249F">
            <w:pPr>
              <w:rPr>
                <w:color w:val="auto"/>
                <w:sz w:val="24"/>
                <w:highlight w:val="none"/>
              </w:rPr>
            </w:pPr>
            <w:r>
              <w:rPr>
                <w:color w:val="auto"/>
                <w:sz w:val="24"/>
                <w:highlight w:val="none"/>
              </w:rPr>
              <w:t>3.</w:t>
            </w:r>
            <w:r>
              <w:rPr>
                <w:rFonts w:hint="eastAsia"/>
                <w:color w:val="auto"/>
                <w:sz w:val="24"/>
                <w:highlight w:val="none"/>
              </w:rPr>
              <w:t>清除暴露钢筋的锈渍、恢复保护层；</w:t>
            </w:r>
          </w:p>
          <w:p w14:paraId="5DAEBFA9">
            <w:pPr>
              <w:rPr>
                <w:color w:val="auto"/>
                <w:sz w:val="24"/>
                <w:highlight w:val="none"/>
              </w:rPr>
            </w:pPr>
            <w:r>
              <w:rPr>
                <w:color w:val="auto"/>
                <w:sz w:val="24"/>
                <w:highlight w:val="none"/>
              </w:rPr>
              <w:t>4.</w:t>
            </w:r>
            <w:r>
              <w:rPr>
                <w:rFonts w:hint="eastAsia"/>
                <w:color w:val="auto"/>
                <w:sz w:val="24"/>
                <w:highlight w:val="none"/>
              </w:rPr>
              <w:t>清除墩台盖梁顶、承台上淤积的砂土、杂物，清除利用桥梁结构架设的电线、管线等。</w:t>
            </w:r>
          </w:p>
        </w:tc>
        <w:tc>
          <w:tcPr>
            <w:tcW w:w="3657" w:type="dxa"/>
          </w:tcPr>
          <w:p w14:paraId="5230E7C0">
            <w:pPr>
              <w:tabs>
                <w:tab w:val="left" w:pos="72"/>
                <w:tab w:val="left" w:pos="252"/>
              </w:tabs>
              <w:ind w:left="252" w:hanging="360"/>
              <w:rPr>
                <w:color w:val="auto"/>
                <w:sz w:val="24"/>
                <w:highlight w:val="none"/>
              </w:rPr>
            </w:pPr>
            <w:r>
              <w:rPr>
                <w:color w:val="auto"/>
                <w:sz w:val="24"/>
                <w:highlight w:val="none"/>
              </w:rPr>
              <w:t>1.</w:t>
            </w:r>
            <w:r>
              <w:rPr>
                <w:rFonts w:hint="eastAsia"/>
                <w:color w:val="auto"/>
                <w:sz w:val="24"/>
                <w:highlight w:val="none"/>
              </w:rPr>
              <w:t>下构表面无明显污垢，无杂草、苔藓、藤蔓滋生，周边无灌木、乔木生长；</w:t>
            </w:r>
          </w:p>
          <w:p w14:paraId="6501E061">
            <w:pPr>
              <w:tabs>
                <w:tab w:val="left" w:pos="72"/>
                <w:tab w:val="left" w:pos="252"/>
              </w:tabs>
              <w:ind w:left="252" w:hanging="360"/>
              <w:rPr>
                <w:color w:val="auto"/>
                <w:sz w:val="24"/>
                <w:highlight w:val="none"/>
              </w:rPr>
            </w:pPr>
            <w:r>
              <w:rPr>
                <w:color w:val="auto"/>
                <w:sz w:val="24"/>
                <w:highlight w:val="none"/>
              </w:rPr>
              <w:t>2.</w:t>
            </w:r>
            <w:r>
              <w:rPr>
                <w:rFonts w:hint="eastAsia"/>
                <w:color w:val="auto"/>
                <w:sz w:val="24"/>
                <w:highlight w:val="none"/>
              </w:rPr>
              <w:t>按《公路桥梁养护规范》日常养护部分的要求修补混凝土或圬工结构病害；</w:t>
            </w:r>
          </w:p>
          <w:p w14:paraId="56E7F2BD">
            <w:pPr>
              <w:tabs>
                <w:tab w:val="left" w:pos="72"/>
                <w:tab w:val="left" w:pos="252"/>
              </w:tabs>
              <w:ind w:left="252" w:hanging="360"/>
              <w:rPr>
                <w:color w:val="auto"/>
                <w:sz w:val="24"/>
                <w:highlight w:val="none"/>
              </w:rPr>
            </w:pPr>
            <w:r>
              <w:rPr>
                <w:color w:val="auto"/>
                <w:sz w:val="24"/>
                <w:highlight w:val="none"/>
              </w:rPr>
              <w:t>3.</w:t>
            </w:r>
            <w:r>
              <w:rPr>
                <w:rFonts w:hint="eastAsia"/>
                <w:color w:val="auto"/>
                <w:sz w:val="24"/>
                <w:highlight w:val="none"/>
              </w:rPr>
              <w:t>墩台盖梁清洁干燥，无淤积砂土、杂物，桥下无人为搭建窝棚、无违法架设电线、管线等。</w:t>
            </w:r>
          </w:p>
        </w:tc>
        <w:tc>
          <w:tcPr>
            <w:tcW w:w="1800" w:type="dxa"/>
            <w:vAlign w:val="center"/>
          </w:tcPr>
          <w:p w14:paraId="291BB00B">
            <w:pPr>
              <w:tabs>
                <w:tab w:val="left" w:pos="72"/>
                <w:tab w:val="left" w:pos="252"/>
              </w:tabs>
              <w:ind w:left="-108"/>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2E1D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continue"/>
          </w:tcPr>
          <w:p w14:paraId="79354B6F">
            <w:pPr>
              <w:rPr>
                <w:color w:val="auto"/>
                <w:sz w:val="24"/>
                <w:highlight w:val="none"/>
              </w:rPr>
            </w:pPr>
          </w:p>
        </w:tc>
        <w:tc>
          <w:tcPr>
            <w:tcW w:w="664" w:type="dxa"/>
            <w:vAlign w:val="center"/>
          </w:tcPr>
          <w:p w14:paraId="46527B62">
            <w:pPr>
              <w:jc w:val="center"/>
              <w:rPr>
                <w:color w:val="auto"/>
                <w:sz w:val="24"/>
                <w:highlight w:val="none"/>
              </w:rPr>
            </w:pPr>
            <w:r>
              <w:rPr>
                <w:rFonts w:hint="eastAsia"/>
                <w:color w:val="auto"/>
                <w:sz w:val="24"/>
                <w:highlight w:val="none"/>
              </w:rPr>
              <w:t>桥梁附属结构</w:t>
            </w:r>
          </w:p>
        </w:tc>
        <w:tc>
          <w:tcPr>
            <w:tcW w:w="3183" w:type="dxa"/>
            <w:vAlign w:val="center"/>
          </w:tcPr>
          <w:p w14:paraId="640F50A1">
            <w:pPr>
              <w:rPr>
                <w:color w:val="auto"/>
                <w:sz w:val="24"/>
                <w:highlight w:val="none"/>
              </w:rPr>
            </w:pPr>
            <w:r>
              <w:rPr>
                <w:color w:val="auto"/>
                <w:sz w:val="24"/>
                <w:highlight w:val="none"/>
              </w:rPr>
              <w:t>1.</w:t>
            </w:r>
            <w:r>
              <w:rPr>
                <w:rFonts w:hint="eastAsia"/>
                <w:color w:val="auto"/>
                <w:sz w:val="24"/>
                <w:highlight w:val="none"/>
              </w:rPr>
              <w:t>伸缩缝养护；</w:t>
            </w:r>
          </w:p>
          <w:p w14:paraId="0C3FAF07">
            <w:pPr>
              <w:rPr>
                <w:color w:val="auto"/>
                <w:sz w:val="24"/>
                <w:highlight w:val="none"/>
              </w:rPr>
            </w:pPr>
            <w:r>
              <w:rPr>
                <w:color w:val="auto"/>
                <w:sz w:val="24"/>
                <w:highlight w:val="none"/>
              </w:rPr>
              <w:t>2.</w:t>
            </w:r>
            <w:r>
              <w:rPr>
                <w:rFonts w:hint="eastAsia"/>
                <w:color w:val="auto"/>
                <w:sz w:val="24"/>
                <w:highlight w:val="none"/>
              </w:rPr>
              <w:t>刷白或油漆栏杆，局部修理栏杆；</w:t>
            </w:r>
          </w:p>
          <w:p w14:paraId="79252B88">
            <w:pPr>
              <w:rPr>
                <w:color w:val="auto"/>
                <w:sz w:val="24"/>
                <w:highlight w:val="none"/>
              </w:rPr>
            </w:pPr>
            <w:r>
              <w:rPr>
                <w:color w:val="auto"/>
                <w:sz w:val="24"/>
                <w:highlight w:val="none"/>
              </w:rPr>
              <w:t>3.</w:t>
            </w:r>
            <w:r>
              <w:rPr>
                <w:rFonts w:hint="eastAsia"/>
                <w:color w:val="auto"/>
                <w:sz w:val="24"/>
                <w:highlight w:val="none"/>
              </w:rPr>
              <w:t>修理锥坡、检查梯、河床铺砌、调治结构等轻损坏；</w:t>
            </w:r>
          </w:p>
          <w:p w14:paraId="65903A39">
            <w:pPr>
              <w:rPr>
                <w:color w:val="auto"/>
                <w:sz w:val="24"/>
                <w:highlight w:val="none"/>
              </w:rPr>
            </w:pPr>
            <w:r>
              <w:rPr>
                <w:color w:val="auto"/>
                <w:sz w:val="24"/>
                <w:highlight w:val="none"/>
              </w:rPr>
              <w:t>4.</w:t>
            </w:r>
            <w:r>
              <w:rPr>
                <w:rFonts w:hint="eastAsia"/>
                <w:color w:val="auto"/>
                <w:sz w:val="24"/>
                <w:highlight w:val="none"/>
              </w:rPr>
              <w:t>处治锥坡、搭板内部小范围脱空、空洞等，或封闭渗洞、渗管、裂缝等；</w:t>
            </w:r>
          </w:p>
          <w:p w14:paraId="399B52B9">
            <w:pPr>
              <w:rPr>
                <w:color w:val="auto"/>
                <w:sz w:val="24"/>
                <w:highlight w:val="none"/>
              </w:rPr>
            </w:pPr>
            <w:r>
              <w:rPr>
                <w:color w:val="auto"/>
                <w:sz w:val="24"/>
                <w:highlight w:val="none"/>
              </w:rPr>
              <w:t>5.</w:t>
            </w:r>
            <w:r>
              <w:rPr>
                <w:rFonts w:hint="eastAsia"/>
                <w:color w:val="auto"/>
                <w:sz w:val="24"/>
                <w:highlight w:val="none"/>
              </w:rPr>
              <w:t>对其他附属结构物预护性养护。</w:t>
            </w:r>
          </w:p>
        </w:tc>
        <w:tc>
          <w:tcPr>
            <w:tcW w:w="3657" w:type="dxa"/>
          </w:tcPr>
          <w:p w14:paraId="0AB1D0E6">
            <w:pPr>
              <w:tabs>
                <w:tab w:val="left" w:pos="72"/>
                <w:tab w:val="left" w:pos="252"/>
              </w:tabs>
              <w:ind w:left="252" w:hanging="360"/>
              <w:rPr>
                <w:color w:val="auto"/>
                <w:sz w:val="24"/>
                <w:highlight w:val="none"/>
              </w:rPr>
            </w:pPr>
            <w:r>
              <w:rPr>
                <w:color w:val="auto"/>
                <w:sz w:val="24"/>
                <w:highlight w:val="none"/>
              </w:rPr>
              <w:t>1.</w:t>
            </w:r>
            <w:r>
              <w:rPr>
                <w:rFonts w:hint="eastAsia"/>
                <w:color w:val="auto"/>
                <w:sz w:val="24"/>
                <w:highlight w:val="none"/>
              </w:rPr>
              <w:t>伸缩缝无脱开、翘起、变形等病害，螺栓等紧固件齐全，橡胶条、止水条等完好无缺损；</w:t>
            </w:r>
          </w:p>
          <w:p w14:paraId="1C148621">
            <w:pPr>
              <w:tabs>
                <w:tab w:val="left" w:pos="72"/>
                <w:tab w:val="left" w:pos="252"/>
              </w:tabs>
              <w:ind w:left="252" w:hanging="360"/>
              <w:rPr>
                <w:color w:val="auto"/>
                <w:sz w:val="24"/>
                <w:highlight w:val="none"/>
              </w:rPr>
            </w:pPr>
            <w:r>
              <w:rPr>
                <w:color w:val="auto"/>
                <w:sz w:val="24"/>
                <w:highlight w:val="none"/>
              </w:rPr>
              <w:t>2.</w:t>
            </w:r>
            <w:r>
              <w:rPr>
                <w:rFonts w:hint="eastAsia"/>
                <w:color w:val="auto"/>
                <w:sz w:val="24"/>
                <w:highlight w:val="none"/>
              </w:rPr>
              <w:t>栏杆齐全，稳固，无变形，表面防护层完好；</w:t>
            </w:r>
          </w:p>
          <w:p w14:paraId="102DB8E3">
            <w:pPr>
              <w:tabs>
                <w:tab w:val="left" w:pos="72"/>
                <w:tab w:val="left" w:pos="252"/>
              </w:tabs>
              <w:ind w:left="252" w:hanging="360"/>
              <w:rPr>
                <w:color w:val="auto"/>
                <w:sz w:val="24"/>
                <w:highlight w:val="none"/>
              </w:rPr>
            </w:pPr>
            <w:r>
              <w:rPr>
                <w:color w:val="auto"/>
                <w:sz w:val="24"/>
                <w:highlight w:val="none"/>
              </w:rPr>
              <w:t>3.</w:t>
            </w:r>
            <w:r>
              <w:rPr>
                <w:rFonts w:hint="eastAsia"/>
                <w:color w:val="auto"/>
                <w:sz w:val="24"/>
                <w:highlight w:val="none"/>
              </w:rPr>
              <w:t>使用水泥砂浆、砖石、小石子混凝土等材料修复锥坡、检查梯、河床铺砌、调治结构裂缝、局部破损、勾缝脱落、结构空洞等病害；</w:t>
            </w:r>
          </w:p>
          <w:p w14:paraId="49DEF6A2">
            <w:pPr>
              <w:tabs>
                <w:tab w:val="left" w:pos="72"/>
                <w:tab w:val="left" w:pos="252"/>
              </w:tabs>
              <w:ind w:left="252" w:hanging="360"/>
              <w:rPr>
                <w:color w:val="auto"/>
                <w:sz w:val="24"/>
                <w:highlight w:val="none"/>
              </w:rPr>
            </w:pPr>
            <w:r>
              <w:rPr>
                <w:color w:val="auto"/>
                <w:sz w:val="24"/>
                <w:highlight w:val="none"/>
              </w:rPr>
              <w:t>4.</w:t>
            </w:r>
            <w:r>
              <w:rPr>
                <w:rFonts w:hint="eastAsia"/>
                <w:color w:val="auto"/>
                <w:sz w:val="24"/>
                <w:highlight w:val="none"/>
              </w:rPr>
              <w:t>采用钻孔压注浆法处治锥坡、搭板内脱空等病害，或采用同一工艺封闭渗洞、裂缝等。</w:t>
            </w:r>
          </w:p>
        </w:tc>
        <w:tc>
          <w:tcPr>
            <w:tcW w:w="1800" w:type="dxa"/>
            <w:vAlign w:val="center"/>
          </w:tcPr>
          <w:p w14:paraId="3B448377">
            <w:pPr>
              <w:tabs>
                <w:tab w:val="left" w:pos="72"/>
                <w:tab w:val="left" w:pos="252"/>
              </w:tabs>
              <w:ind w:left="-108"/>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4E21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continue"/>
          </w:tcPr>
          <w:p w14:paraId="2542B2E6">
            <w:pPr>
              <w:rPr>
                <w:color w:val="auto"/>
                <w:sz w:val="24"/>
                <w:highlight w:val="none"/>
              </w:rPr>
            </w:pPr>
          </w:p>
        </w:tc>
        <w:tc>
          <w:tcPr>
            <w:tcW w:w="664" w:type="dxa"/>
            <w:vAlign w:val="center"/>
          </w:tcPr>
          <w:p w14:paraId="31B04A46">
            <w:pPr>
              <w:jc w:val="center"/>
              <w:rPr>
                <w:color w:val="auto"/>
                <w:sz w:val="24"/>
                <w:highlight w:val="none"/>
              </w:rPr>
            </w:pPr>
            <w:r>
              <w:rPr>
                <w:rFonts w:hint="eastAsia"/>
                <w:color w:val="auto"/>
                <w:sz w:val="24"/>
                <w:highlight w:val="none"/>
              </w:rPr>
              <w:t>涵洞</w:t>
            </w:r>
          </w:p>
        </w:tc>
        <w:tc>
          <w:tcPr>
            <w:tcW w:w="3183" w:type="dxa"/>
            <w:vAlign w:val="center"/>
          </w:tcPr>
          <w:p w14:paraId="04A64A3A">
            <w:pPr>
              <w:numPr>
                <w:ilvl w:val="0"/>
                <w:numId w:val="8"/>
              </w:numPr>
              <w:tabs>
                <w:tab w:val="left" w:pos="-108"/>
                <w:tab w:val="left" w:pos="72"/>
                <w:tab w:val="clear" w:pos="252"/>
              </w:tabs>
              <w:ind w:left="-108" w:firstLine="0"/>
              <w:rPr>
                <w:color w:val="auto"/>
                <w:sz w:val="24"/>
                <w:highlight w:val="none"/>
              </w:rPr>
            </w:pPr>
            <w:r>
              <w:rPr>
                <w:rFonts w:hint="eastAsia"/>
                <w:color w:val="auto"/>
                <w:sz w:val="24"/>
                <w:highlight w:val="none"/>
              </w:rPr>
              <w:t>定期疏通涵管，清理进出水口范围内淤积砂土等，清理进出水口范围内的杂草、灌木；</w:t>
            </w:r>
          </w:p>
          <w:p w14:paraId="5E09DE7F">
            <w:pPr>
              <w:numPr>
                <w:ilvl w:val="0"/>
                <w:numId w:val="8"/>
              </w:numPr>
              <w:tabs>
                <w:tab w:val="left" w:pos="72"/>
              </w:tabs>
              <w:rPr>
                <w:color w:val="auto"/>
                <w:sz w:val="24"/>
                <w:highlight w:val="none"/>
              </w:rPr>
            </w:pPr>
            <w:r>
              <w:rPr>
                <w:rFonts w:hint="eastAsia"/>
                <w:color w:val="auto"/>
                <w:sz w:val="24"/>
                <w:highlight w:val="none"/>
              </w:rPr>
              <w:t>定期刷白涵帽，刷白或油漆明涵护栏等；</w:t>
            </w:r>
          </w:p>
          <w:p w14:paraId="16BB19BF">
            <w:pPr>
              <w:numPr>
                <w:ilvl w:val="0"/>
                <w:numId w:val="8"/>
              </w:numPr>
              <w:tabs>
                <w:tab w:val="left" w:pos="72"/>
              </w:tabs>
              <w:rPr>
                <w:color w:val="auto"/>
                <w:sz w:val="24"/>
                <w:highlight w:val="none"/>
              </w:rPr>
            </w:pPr>
            <w:r>
              <w:rPr>
                <w:rFonts w:hint="eastAsia"/>
                <w:color w:val="auto"/>
                <w:sz w:val="24"/>
                <w:highlight w:val="none"/>
              </w:rPr>
              <w:t>加固、修理进出水口铺砌等结构；</w:t>
            </w:r>
          </w:p>
        </w:tc>
        <w:tc>
          <w:tcPr>
            <w:tcW w:w="3657" w:type="dxa"/>
          </w:tcPr>
          <w:p w14:paraId="61FE95E3">
            <w:pPr>
              <w:tabs>
                <w:tab w:val="left" w:pos="72"/>
                <w:tab w:val="left" w:pos="252"/>
              </w:tabs>
              <w:ind w:left="252" w:hanging="360"/>
              <w:rPr>
                <w:color w:val="auto"/>
                <w:sz w:val="24"/>
                <w:highlight w:val="none"/>
              </w:rPr>
            </w:pPr>
            <w:r>
              <w:rPr>
                <w:color w:val="auto"/>
                <w:sz w:val="24"/>
                <w:highlight w:val="none"/>
              </w:rPr>
              <w:t>1.</w:t>
            </w:r>
            <w:r>
              <w:rPr>
                <w:rFonts w:hint="eastAsia"/>
                <w:color w:val="auto"/>
                <w:sz w:val="24"/>
                <w:highlight w:val="none"/>
              </w:rPr>
              <w:t>涵洞内无积砂积土、垃圾等杂物；</w:t>
            </w:r>
          </w:p>
          <w:p w14:paraId="2E893F84">
            <w:pPr>
              <w:tabs>
                <w:tab w:val="left" w:pos="72"/>
                <w:tab w:val="left" w:pos="252"/>
              </w:tabs>
              <w:ind w:left="252" w:hanging="360"/>
              <w:rPr>
                <w:color w:val="auto"/>
                <w:sz w:val="24"/>
                <w:highlight w:val="none"/>
              </w:rPr>
            </w:pPr>
            <w:r>
              <w:rPr>
                <w:color w:val="auto"/>
                <w:sz w:val="24"/>
                <w:highlight w:val="none"/>
              </w:rPr>
              <w:t>2.</w:t>
            </w:r>
            <w:r>
              <w:rPr>
                <w:rFonts w:hint="eastAsia"/>
                <w:color w:val="auto"/>
                <w:sz w:val="24"/>
                <w:highlight w:val="none"/>
              </w:rPr>
              <w:t>进出水口无淤积砂土，无杂草、灌木，无杂物垃圾，排水顺畅。</w:t>
            </w:r>
          </w:p>
          <w:p w14:paraId="53EF128A">
            <w:pPr>
              <w:tabs>
                <w:tab w:val="left" w:pos="72"/>
                <w:tab w:val="left" w:pos="252"/>
              </w:tabs>
              <w:ind w:left="252" w:hanging="360"/>
              <w:rPr>
                <w:color w:val="auto"/>
                <w:sz w:val="24"/>
                <w:highlight w:val="none"/>
              </w:rPr>
            </w:pPr>
            <w:r>
              <w:rPr>
                <w:color w:val="auto"/>
                <w:sz w:val="24"/>
                <w:highlight w:val="none"/>
              </w:rPr>
              <w:t>3.</w:t>
            </w:r>
            <w:r>
              <w:rPr>
                <w:rFonts w:hint="eastAsia"/>
                <w:color w:val="auto"/>
                <w:sz w:val="24"/>
                <w:highlight w:val="none"/>
              </w:rPr>
              <w:t>涵帽齐全，明涵护栏等齐全、稳固，防护层完好；</w:t>
            </w:r>
          </w:p>
          <w:p w14:paraId="4EB79308">
            <w:pPr>
              <w:tabs>
                <w:tab w:val="left" w:pos="72"/>
                <w:tab w:val="left" w:pos="252"/>
              </w:tabs>
              <w:ind w:left="252" w:hanging="360"/>
              <w:rPr>
                <w:color w:val="auto"/>
                <w:sz w:val="24"/>
                <w:highlight w:val="none"/>
              </w:rPr>
            </w:pPr>
            <w:r>
              <w:rPr>
                <w:color w:val="auto"/>
                <w:sz w:val="24"/>
                <w:highlight w:val="none"/>
              </w:rPr>
              <w:t>4.</w:t>
            </w:r>
            <w:r>
              <w:rPr>
                <w:rFonts w:hint="eastAsia"/>
                <w:color w:val="auto"/>
                <w:sz w:val="24"/>
                <w:highlight w:val="none"/>
              </w:rPr>
              <w:t>进出水口结构完整，与排水沟渠联接平顺。</w:t>
            </w:r>
          </w:p>
        </w:tc>
        <w:tc>
          <w:tcPr>
            <w:tcW w:w="1800" w:type="dxa"/>
            <w:vAlign w:val="center"/>
          </w:tcPr>
          <w:p w14:paraId="780D247C">
            <w:pPr>
              <w:tabs>
                <w:tab w:val="left" w:pos="72"/>
                <w:tab w:val="left" w:pos="252"/>
              </w:tabs>
              <w:ind w:left="-108"/>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7F6B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14:paraId="4E94A1BB">
            <w:pPr>
              <w:rPr>
                <w:color w:val="auto"/>
                <w:sz w:val="24"/>
                <w:highlight w:val="none"/>
              </w:rPr>
            </w:pPr>
          </w:p>
        </w:tc>
        <w:tc>
          <w:tcPr>
            <w:tcW w:w="664" w:type="dxa"/>
            <w:vAlign w:val="center"/>
          </w:tcPr>
          <w:p w14:paraId="03323811">
            <w:pPr>
              <w:jc w:val="center"/>
              <w:rPr>
                <w:color w:val="auto"/>
                <w:sz w:val="24"/>
                <w:highlight w:val="none"/>
              </w:rPr>
            </w:pPr>
            <w:r>
              <w:rPr>
                <w:rFonts w:hint="eastAsia"/>
                <w:color w:val="auto"/>
                <w:sz w:val="24"/>
                <w:highlight w:val="none"/>
              </w:rPr>
              <w:t>桥涵</w:t>
            </w:r>
          </w:p>
          <w:p w14:paraId="581BF855">
            <w:pPr>
              <w:jc w:val="center"/>
              <w:rPr>
                <w:color w:val="auto"/>
                <w:sz w:val="24"/>
                <w:highlight w:val="none"/>
              </w:rPr>
            </w:pPr>
            <w:r>
              <w:rPr>
                <w:rFonts w:hint="eastAsia"/>
                <w:color w:val="auto"/>
                <w:sz w:val="24"/>
                <w:highlight w:val="none"/>
              </w:rPr>
              <w:t>河槽</w:t>
            </w:r>
          </w:p>
        </w:tc>
        <w:tc>
          <w:tcPr>
            <w:tcW w:w="3183" w:type="dxa"/>
            <w:vAlign w:val="center"/>
          </w:tcPr>
          <w:p w14:paraId="1263BF3B">
            <w:pPr>
              <w:tabs>
                <w:tab w:val="left" w:pos="72"/>
              </w:tabs>
              <w:ind w:left="-108"/>
              <w:rPr>
                <w:color w:val="auto"/>
                <w:sz w:val="24"/>
                <w:highlight w:val="none"/>
              </w:rPr>
            </w:pPr>
            <w:r>
              <w:rPr>
                <w:color w:val="auto"/>
                <w:sz w:val="24"/>
                <w:highlight w:val="none"/>
              </w:rPr>
              <w:t>1.</w:t>
            </w:r>
            <w:r>
              <w:rPr>
                <w:rFonts w:hint="eastAsia"/>
                <w:color w:val="auto"/>
                <w:sz w:val="24"/>
                <w:highlight w:val="none"/>
              </w:rPr>
              <w:t>疏通、整治桥下河槽。</w:t>
            </w:r>
          </w:p>
        </w:tc>
        <w:tc>
          <w:tcPr>
            <w:tcW w:w="3657" w:type="dxa"/>
          </w:tcPr>
          <w:p w14:paraId="5F142683">
            <w:pPr>
              <w:tabs>
                <w:tab w:val="left" w:pos="72"/>
              </w:tabs>
              <w:ind w:left="-108"/>
              <w:rPr>
                <w:color w:val="auto"/>
                <w:sz w:val="24"/>
                <w:highlight w:val="none"/>
              </w:rPr>
            </w:pPr>
            <w:r>
              <w:rPr>
                <w:color w:val="auto"/>
                <w:sz w:val="24"/>
                <w:highlight w:val="none"/>
              </w:rPr>
              <w:t>1.</w:t>
            </w:r>
            <w:r>
              <w:rPr>
                <w:rFonts w:hint="eastAsia"/>
                <w:color w:val="auto"/>
                <w:sz w:val="24"/>
                <w:highlight w:val="none"/>
              </w:rPr>
              <w:t>桥下河槽无堵水、壅水、局部深坑，以及深度冲刷桥梁基础情况；</w:t>
            </w:r>
          </w:p>
          <w:p w14:paraId="31B6DD9A">
            <w:pPr>
              <w:tabs>
                <w:tab w:val="left" w:pos="72"/>
              </w:tabs>
              <w:ind w:left="-108"/>
              <w:rPr>
                <w:color w:val="auto"/>
                <w:sz w:val="24"/>
                <w:highlight w:val="none"/>
              </w:rPr>
            </w:pPr>
            <w:r>
              <w:rPr>
                <w:color w:val="auto"/>
                <w:sz w:val="24"/>
                <w:highlight w:val="none"/>
              </w:rPr>
              <w:t>2.</w:t>
            </w:r>
            <w:r>
              <w:rPr>
                <w:rFonts w:hint="eastAsia"/>
                <w:color w:val="auto"/>
                <w:sz w:val="24"/>
                <w:highlight w:val="none"/>
              </w:rPr>
              <w:t>路桥连接部位挡土墙、护坡、锥坡周边无密集灌木及乔木生长；</w:t>
            </w:r>
          </w:p>
          <w:p w14:paraId="18514E9C">
            <w:pPr>
              <w:tabs>
                <w:tab w:val="left" w:pos="72"/>
              </w:tabs>
              <w:ind w:left="-108"/>
              <w:rPr>
                <w:color w:val="auto"/>
                <w:sz w:val="24"/>
                <w:highlight w:val="none"/>
              </w:rPr>
            </w:pPr>
            <w:r>
              <w:rPr>
                <w:color w:val="auto"/>
                <w:sz w:val="24"/>
                <w:highlight w:val="none"/>
              </w:rPr>
              <w:t>3.</w:t>
            </w:r>
            <w:r>
              <w:rPr>
                <w:rFonts w:hint="eastAsia"/>
                <w:color w:val="auto"/>
                <w:sz w:val="24"/>
                <w:highlight w:val="none"/>
              </w:rPr>
              <w:t>锥坡等结构物基础埋置适当，无暴露基础或基础沟空悬空现象；</w:t>
            </w:r>
          </w:p>
          <w:p w14:paraId="49E1FA37">
            <w:pPr>
              <w:tabs>
                <w:tab w:val="left" w:pos="72"/>
              </w:tabs>
              <w:ind w:left="-108"/>
              <w:rPr>
                <w:color w:val="auto"/>
                <w:sz w:val="24"/>
                <w:highlight w:val="none"/>
              </w:rPr>
            </w:pPr>
            <w:r>
              <w:rPr>
                <w:color w:val="auto"/>
                <w:sz w:val="24"/>
                <w:highlight w:val="none"/>
              </w:rPr>
              <w:t>4.</w:t>
            </w:r>
            <w:r>
              <w:rPr>
                <w:rFonts w:hint="eastAsia"/>
                <w:color w:val="auto"/>
                <w:sz w:val="24"/>
                <w:highlight w:val="none"/>
              </w:rPr>
              <w:t>桥下无堆积容易引发火灾的草木柴禾等杂物，无影响行洪泄洪砂土堆及非公路、水利结构物。</w:t>
            </w:r>
          </w:p>
        </w:tc>
        <w:tc>
          <w:tcPr>
            <w:tcW w:w="1800" w:type="dxa"/>
            <w:vAlign w:val="center"/>
          </w:tcPr>
          <w:p w14:paraId="6E61D48F">
            <w:pPr>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0BA4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restart"/>
            <w:vAlign w:val="center"/>
          </w:tcPr>
          <w:p w14:paraId="3AFC64EA">
            <w:pPr>
              <w:jc w:val="center"/>
              <w:rPr>
                <w:color w:val="auto"/>
                <w:sz w:val="24"/>
                <w:highlight w:val="none"/>
              </w:rPr>
            </w:pPr>
            <w:r>
              <w:rPr>
                <w:rFonts w:hint="eastAsia"/>
                <w:color w:val="auto"/>
                <w:sz w:val="24"/>
                <w:highlight w:val="none"/>
              </w:rPr>
              <w:t>交通</w:t>
            </w:r>
          </w:p>
          <w:p w14:paraId="120062E3">
            <w:pPr>
              <w:jc w:val="center"/>
              <w:rPr>
                <w:color w:val="auto"/>
                <w:sz w:val="24"/>
                <w:highlight w:val="none"/>
              </w:rPr>
            </w:pPr>
            <w:r>
              <w:rPr>
                <w:rFonts w:hint="eastAsia"/>
                <w:color w:val="auto"/>
                <w:sz w:val="24"/>
                <w:highlight w:val="none"/>
              </w:rPr>
              <w:t>工程</w:t>
            </w:r>
          </w:p>
          <w:p w14:paraId="13B45E14">
            <w:pPr>
              <w:jc w:val="center"/>
              <w:rPr>
                <w:color w:val="auto"/>
                <w:sz w:val="24"/>
                <w:highlight w:val="none"/>
              </w:rPr>
            </w:pPr>
            <w:r>
              <w:rPr>
                <w:rFonts w:hint="eastAsia"/>
                <w:color w:val="auto"/>
                <w:sz w:val="24"/>
                <w:highlight w:val="none"/>
              </w:rPr>
              <w:t>及</w:t>
            </w:r>
          </w:p>
          <w:p w14:paraId="3FA137F4">
            <w:pPr>
              <w:jc w:val="center"/>
              <w:rPr>
                <w:color w:val="auto"/>
                <w:sz w:val="24"/>
                <w:highlight w:val="none"/>
              </w:rPr>
            </w:pPr>
            <w:r>
              <w:rPr>
                <w:rFonts w:hint="eastAsia"/>
                <w:color w:val="auto"/>
                <w:sz w:val="24"/>
                <w:highlight w:val="none"/>
              </w:rPr>
              <w:t>沿线</w:t>
            </w:r>
          </w:p>
          <w:p w14:paraId="16AFBF26">
            <w:pPr>
              <w:jc w:val="center"/>
              <w:rPr>
                <w:color w:val="auto"/>
                <w:sz w:val="24"/>
                <w:highlight w:val="none"/>
              </w:rPr>
            </w:pPr>
            <w:r>
              <w:rPr>
                <w:rFonts w:hint="eastAsia"/>
                <w:color w:val="auto"/>
                <w:sz w:val="24"/>
                <w:highlight w:val="none"/>
              </w:rPr>
              <w:t>设施</w:t>
            </w:r>
          </w:p>
        </w:tc>
        <w:tc>
          <w:tcPr>
            <w:tcW w:w="664" w:type="dxa"/>
            <w:vAlign w:val="center"/>
          </w:tcPr>
          <w:p w14:paraId="30FA73C0">
            <w:pPr>
              <w:jc w:val="center"/>
              <w:rPr>
                <w:color w:val="auto"/>
                <w:sz w:val="24"/>
                <w:highlight w:val="none"/>
              </w:rPr>
            </w:pPr>
            <w:r>
              <w:rPr>
                <w:rFonts w:hint="eastAsia"/>
                <w:color w:val="auto"/>
                <w:sz w:val="24"/>
                <w:highlight w:val="none"/>
              </w:rPr>
              <w:t>交通</w:t>
            </w:r>
          </w:p>
          <w:p w14:paraId="1E111FAF">
            <w:pPr>
              <w:jc w:val="center"/>
              <w:rPr>
                <w:color w:val="auto"/>
                <w:sz w:val="24"/>
                <w:highlight w:val="none"/>
              </w:rPr>
            </w:pPr>
            <w:r>
              <w:rPr>
                <w:rFonts w:hint="eastAsia"/>
                <w:color w:val="auto"/>
                <w:sz w:val="24"/>
                <w:highlight w:val="none"/>
              </w:rPr>
              <w:t>标志和标线、</w:t>
            </w:r>
          </w:p>
          <w:p w14:paraId="66F74737">
            <w:pPr>
              <w:jc w:val="center"/>
              <w:rPr>
                <w:color w:val="auto"/>
                <w:sz w:val="24"/>
                <w:highlight w:val="none"/>
              </w:rPr>
            </w:pPr>
            <w:r>
              <w:rPr>
                <w:rFonts w:hint="eastAsia"/>
                <w:color w:val="auto"/>
                <w:sz w:val="24"/>
                <w:highlight w:val="none"/>
              </w:rPr>
              <w:t>柱轮</w:t>
            </w:r>
          </w:p>
          <w:p w14:paraId="7C351E0A">
            <w:pPr>
              <w:jc w:val="center"/>
              <w:rPr>
                <w:color w:val="auto"/>
                <w:sz w:val="24"/>
                <w:highlight w:val="none"/>
              </w:rPr>
            </w:pPr>
            <w:r>
              <w:rPr>
                <w:rFonts w:hint="eastAsia"/>
                <w:color w:val="auto"/>
                <w:sz w:val="24"/>
                <w:highlight w:val="none"/>
              </w:rPr>
              <w:t>廓标</w:t>
            </w:r>
          </w:p>
        </w:tc>
        <w:tc>
          <w:tcPr>
            <w:tcW w:w="3183" w:type="dxa"/>
            <w:vAlign w:val="center"/>
          </w:tcPr>
          <w:p w14:paraId="5F5F5740">
            <w:pPr>
              <w:tabs>
                <w:tab w:val="left" w:pos="72"/>
              </w:tabs>
              <w:ind w:left="-108"/>
              <w:rPr>
                <w:color w:val="auto"/>
                <w:sz w:val="24"/>
                <w:highlight w:val="none"/>
              </w:rPr>
            </w:pPr>
            <w:r>
              <w:rPr>
                <w:color w:val="auto"/>
                <w:sz w:val="24"/>
                <w:highlight w:val="none"/>
              </w:rPr>
              <w:t>1.</w:t>
            </w:r>
            <w:r>
              <w:rPr>
                <w:rFonts w:hint="eastAsia"/>
                <w:color w:val="auto"/>
                <w:sz w:val="24"/>
                <w:highlight w:val="none"/>
              </w:rPr>
              <w:t>砍伐、修剪遮挡标志、轮廓标、道口标柱的竹木、树梢、灌木、杂草等；</w:t>
            </w:r>
          </w:p>
          <w:p w14:paraId="414C5333">
            <w:pPr>
              <w:tabs>
                <w:tab w:val="left" w:pos="72"/>
              </w:tabs>
              <w:ind w:left="-108"/>
              <w:rPr>
                <w:color w:val="auto"/>
                <w:sz w:val="24"/>
                <w:highlight w:val="none"/>
              </w:rPr>
            </w:pPr>
            <w:r>
              <w:rPr>
                <w:color w:val="auto"/>
                <w:sz w:val="24"/>
                <w:highlight w:val="none"/>
              </w:rPr>
              <w:t>2.</w:t>
            </w:r>
            <w:r>
              <w:rPr>
                <w:rFonts w:hint="eastAsia"/>
                <w:color w:val="auto"/>
                <w:sz w:val="24"/>
                <w:highlight w:val="none"/>
              </w:rPr>
              <w:t>定期清洗交通标志、柱式轮廓标、道口标柱；</w:t>
            </w:r>
          </w:p>
          <w:p w14:paraId="138CDCDE">
            <w:pPr>
              <w:tabs>
                <w:tab w:val="left" w:pos="72"/>
              </w:tabs>
              <w:ind w:left="-108"/>
              <w:rPr>
                <w:color w:val="auto"/>
                <w:sz w:val="24"/>
                <w:highlight w:val="none"/>
              </w:rPr>
            </w:pPr>
            <w:r>
              <w:rPr>
                <w:color w:val="auto"/>
                <w:sz w:val="24"/>
                <w:highlight w:val="none"/>
              </w:rPr>
              <w:t>3..</w:t>
            </w:r>
            <w:r>
              <w:rPr>
                <w:rFonts w:hint="eastAsia"/>
                <w:color w:val="auto"/>
                <w:sz w:val="24"/>
                <w:highlight w:val="none"/>
              </w:rPr>
              <w:t>定期更新交通标志反光膜标志内容；</w:t>
            </w:r>
          </w:p>
          <w:p w14:paraId="6BCEE363">
            <w:pPr>
              <w:tabs>
                <w:tab w:val="left" w:pos="72"/>
              </w:tabs>
              <w:ind w:left="-108"/>
              <w:rPr>
                <w:color w:val="auto"/>
                <w:sz w:val="24"/>
                <w:highlight w:val="none"/>
              </w:rPr>
            </w:pPr>
            <w:r>
              <w:rPr>
                <w:color w:val="auto"/>
                <w:sz w:val="24"/>
                <w:highlight w:val="none"/>
              </w:rPr>
              <w:t>4.</w:t>
            </w:r>
            <w:r>
              <w:rPr>
                <w:rFonts w:hint="eastAsia"/>
                <w:color w:val="auto"/>
                <w:sz w:val="24"/>
                <w:highlight w:val="none"/>
              </w:rPr>
              <w:t>扶正、纠正、加固、修理、维护交通标志；</w:t>
            </w:r>
          </w:p>
          <w:p w14:paraId="55D1CA55">
            <w:pPr>
              <w:tabs>
                <w:tab w:val="left" w:pos="72"/>
              </w:tabs>
              <w:ind w:left="-108"/>
              <w:rPr>
                <w:color w:val="auto"/>
                <w:sz w:val="24"/>
                <w:highlight w:val="none"/>
              </w:rPr>
            </w:pPr>
            <w:r>
              <w:rPr>
                <w:color w:val="auto"/>
                <w:sz w:val="24"/>
                <w:highlight w:val="none"/>
              </w:rPr>
              <w:t>5.</w:t>
            </w:r>
            <w:r>
              <w:rPr>
                <w:rFonts w:hint="eastAsia"/>
                <w:color w:val="auto"/>
                <w:sz w:val="24"/>
                <w:highlight w:val="none"/>
              </w:rPr>
              <w:t>局部补画路面标线；</w:t>
            </w:r>
          </w:p>
          <w:p w14:paraId="6466989B">
            <w:pPr>
              <w:tabs>
                <w:tab w:val="left" w:pos="72"/>
              </w:tabs>
              <w:ind w:left="-108"/>
              <w:rPr>
                <w:color w:val="auto"/>
                <w:sz w:val="24"/>
                <w:highlight w:val="none"/>
              </w:rPr>
            </w:pPr>
            <w:r>
              <w:rPr>
                <w:color w:val="auto"/>
                <w:sz w:val="24"/>
                <w:highlight w:val="none"/>
              </w:rPr>
              <w:t>6.</w:t>
            </w:r>
            <w:r>
              <w:rPr>
                <w:rFonts w:hint="eastAsia"/>
                <w:color w:val="auto"/>
                <w:sz w:val="24"/>
                <w:highlight w:val="none"/>
              </w:rPr>
              <w:t>修理或部分添置、更换柱式轮廓标、道口标柱。</w:t>
            </w:r>
          </w:p>
        </w:tc>
        <w:tc>
          <w:tcPr>
            <w:tcW w:w="3657" w:type="dxa"/>
          </w:tcPr>
          <w:p w14:paraId="4FC16277">
            <w:pPr>
              <w:tabs>
                <w:tab w:val="left" w:pos="72"/>
              </w:tabs>
              <w:ind w:left="-108"/>
              <w:rPr>
                <w:color w:val="auto"/>
                <w:sz w:val="24"/>
                <w:highlight w:val="none"/>
              </w:rPr>
            </w:pPr>
            <w:r>
              <w:rPr>
                <w:color w:val="auto"/>
                <w:sz w:val="24"/>
                <w:highlight w:val="none"/>
              </w:rPr>
              <w:t>1.</w:t>
            </w:r>
            <w:r>
              <w:rPr>
                <w:rFonts w:hint="eastAsia"/>
                <w:color w:val="auto"/>
                <w:sz w:val="24"/>
                <w:highlight w:val="none"/>
              </w:rPr>
              <w:t>标志设置位置正确，立杆竖直，版面内容规范，版面无灰尘遮掩，反光效果符合规范要求；</w:t>
            </w:r>
          </w:p>
          <w:p w14:paraId="49E52D2D">
            <w:pPr>
              <w:tabs>
                <w:tab w:val="left" w:pos="72"/>
              </w:tabs>
              <w:ind w:left="-108"/>
              <w:rPr>
                <w:color w:val="auto"/>
                <w:sz w:val="24"/>
                <w:highlight w:val="none"/>
              </w:rPr>
            </w:pPr>
            <w:r>
              <w:rPr>
                <w:color w:val="auto"/>
                <w:sz w:val="24"/>
                <w:highlight w:val="none"/>
              </w:rPr>
              <w:t>2.</w:t>
            </w:r>
            <w:r>
              <w:rPr>
                <w:rFonts w:hint="eastAsia"/>
                <w:color w:val="auto"/>
                <w:sz w:val="24"/>
                <w:highlight w:val="none"/>
              </w:rPr>
              <w:t>柱式轮廓标、道口标柱齐全无缺失，柱体竖直稳固；</w:t>
            </w:r>
          </w:p>
          <w:p w14:paraId="0B8C8D46">
            <w:pPr>
              <w:tabs>
                <w:tab w:val="left" w:pos="72"/>
              </w:tabs>
              <w:ind w:left="-108"/>
              <w:rPr>
                <w:color w:val="auto"/>
                <w:sz w:val="24"/>
                <w:highlight w:val="none"/>
              </w:rPr>
            </w:pPr>
            <w:r>
              <w:rPr>
                <w:color w:val="auto"/>
                <w:sz w:val="24"/>
                <w:highlight w:val="none"/>
              </w:rPr>
              <w:t>3.</w:t>
            </w:r>
            <w:r>
              <w:rPr>
                <w:rFonts w:hint="eastAsia"/>
                <w:color w:val="auto"/>
                <w:sz w:val="24"/>
                <w:highlight w:val="none"/>
              </w:rPr>
              <w:t>路面标线齐全，无明显缺失、磨损。</w:t>
            </w:r>
          </w:p>
        </w:tc>
        <w:tc>
          <w:tcPr>
            <w:tcW w:w="1800" w:type="dxa"/>
            <w:vAlign w:val="center"/>
          </w:tcPr>
          <w:p w14:paraId="5912A5A1">
            <w:pPr>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3CF0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continue"/>
          </w:tcPr>
          <w:p w14:paraId="455231EF">
            <w:pPr>
              <w:rPr>
                <w:color w:val="auto"/>
                <w:sz w:val="24"/>
                <w:highlight w:val="none"/>
              </w:rPr>
            </w:pPr>
          </w:p>
        </w:tc>
        <w:tc>
          <w:tcPr>
            <w:tcW w:w="664" w:type="dxa"/>
            <w:vAlign w:val="center"/>
          </w:tcPr>
          <w:p w14:paraId="5A809659">
            <w:pPr>
              <w:jc w:val="center"/>
              <w:rPr>
                <w:color w:val="auto"/>
                <w:sz w:val="24"/>
                <w:highlight w:val="none"/>
              </w:rPr>
            </w:pPr>
            <w:r>
              <w:rPr>
                <w:rFonts w:hint="eastAsia"/>
                <w:color w:val="auto"/>
                <w:sz w:val="24"/>
                <w:highlight w:val="none"/>
              </w:rPr>
              <w:t>里程碑、百米桩、公路</w:t>
            </w:r>
          </w:p>
          <w:p w14:paraId="085BDD8A">
            <w:pPr>
              <w:jc w:val="center"/>
              <w:rPr>
                <w:color w:val="auto"/>
                <w:sz w:val="24"/>
                <w:highlight w:val="none"/>
              </w:rPr>
            </w:pPr>
            <w:r>
              <w:rPr>
                <w:rFonts w:hint="eastAsia"/>
                <w:color w:val="auto"/>
                <w:sz w:val="24"/>
                <w:highlight w:val="none"/>
              </w:rPr>
              <w:t>界碑</w:t>
            </w:r>
          </w:p>
        </w:tc>
        <w:tc>
          <w:tcPr>
            <w:tcW w:w="3183" w:type="dxa"/>
            <w:vAlign w:val="center"/>
          </w:tcPr>
          <w:p w14:paraId="31287BD7">
            <w:pPr>
              <w:tabs>
                <w:tab w:val="left" w:pos="72"/>
              </w:tabs>
              <w:ind w:left="-108"/>
              <w:rPr>
                <w:color w:val="auto"/>
                <w:sz w:val="24"/>
                <w:highlight w:val="none"/>
              </w:rPr>
            </w:pPr>
            <w:r>
              <w:rPr>
                <w:color w:val="auto"/>
                <w:sz w:val="24"/>
                <w:highlight w:val="none"/>
              </w:rPr>
              <w:t>1.</w:t>
            </w:r>
            <w:r>
              <w:rPr>
                <w:rFonts w:hint="eastAsia"/>
                <w:color w:val="auto"/>
                <w:sz w:val="24"/>
                <w:highlight w:val="none"/>
              </w:rPr>
              <w:t>清理、修剪遮挡里程碑、百米桩和界碑杂草、灌木；</w:t>
            </w:r>
          </w:p>
          <w:p w14:paraId="11C0CDD4">
            <w:pPr>
              <w:tabs>
                <w:tab w:val="left" w:pos="72"/>
              </w:tabs>
              <w:ind w:left="-108"/>
              <w:rPr>
                <w:color w:val="auto"/>
                <w:sz w:val="24"/>
                <w:highlight w:val="none"/>
              </w:rPr>
            </w:pPr>
            <w:r>
              <w:rPr>
                <w:color w:val="auto"/>
                <w:sz w:val="24"/>
                <w:highlight w:val="none"/>
              </w:rPr>
              <w:t>2.</w:t>
            </w:r>
            <w:r>
              <w:rPr>
                <w:rFonts w:hint="eastAsia"/>
                <w:color w:val="auto"/>
                <w:sz w:val="24"/>
                <w:highlight w:val="none"/>
              </w:rPr>
              <w:t>定期清洗里程碑、百米桩、界碑；</w:t>
            </w:r>
          </w:p>
          <w:p w14:paraId="34799EE9">
            <w:pPr>
              <w:tabs>
                <w:tab w:val="left" w:pos="72"/>
              </w:tabs>
              <w:ind w:left="-108"/>
              <w:rPr>
                <w:color w:val="auto"/>
                <w:sz w:val="24"/>
                <w:highlight w:val="none"/>
              </w:rPr>
            </w:pPr>
            <w:r>
              <w:rPr>
                <w:color w:val="auto"/>
                <w:sz w:val="24"/>
                <w:highlight w:val="none"/>
              </w:rPr>
              <w:t>3.</w:t>
            </w:r>
            <w:r>
              <w:rPr>
                <w:rFonts w:hint="eastAsia"/>
                <w:color w:val="auto"/>
                <w:sz w:val="24"/>
                <w:highlight w:val="none"/>
              </w:rPr>
              <w:t>扶正、加固、维护里程碑、百米桩、界碑；</w:t>
            </w:r>
          </w:p>
          <w:p w14:paraId="7349600C">
            <w:pPr>
              <w:tabs>
                <w:tab w:val="left" w:pos="72"/>
              </w:tabs>
              <w:ind w:left="-108"/>
              <w:rPr>
                <w:color w:val="auto"/>
                <w:sz w:val="24"/>
                <w:highlight w:val="none"/>
              </w:rPr>
            </w:pPr>
            <w:r>
              <w:rPr>
                <w:color w:val="auto"/>
                <w:sz w:val="24"/>
                <w:highlight w:val="none"/>
              </w:rPr>
              <w:t>4.</w:t>
            </w:r>
            <w:r>
              <w:rPr>
                <w:rFonts w:hint="eastAsia"/>
                <w:color w:val="auto"/>
                <w:sz w:val="24"/>
                <w:highlight w:val="none"/>
              </w:rPr>
              <w:t>部分添置、更换里程碑、百米桩、界碑；</w:t>
            </w:r>
          </w:p>
          <w:p w14:paraId="617FAFBD">
            <w:pPr>
              <w:tabs>
                <w:tab w:val="left" w:pos="72"/>
              </w:tabs>
              <w:ind w:left="-108"/>
              <w:rPr>
                <w:color w:val="auto"/>
                <w:sz w:val="24"/>
                <w:highlight w:val="none"/>
              </w:rPr>
            </w:pPr>
            <w:r>
              <w:rPr>
                <w:color w:val="auto"/>
                <w:sz w:val="24"/>
                <w:highlight w:val="none"/>
              </w:rPr>
              <w:t>5.</w:t>
            </w:r>
            <w:r>
              <w:rPr>
                <w:rFonts w:hint="eastAsia"/>
                <w:color w:val="auto"/>
                <w:sz w:val="24"/>
                <w:highlight w:val="none"/>
              </w:rPr>
              <w:t>定期刷白和描新里程碑、百米桩、界碑内容。</w:t>
            </w:r>
          </w:p>
        </w:tc>
        <w:tc>
          <w:tcPr>
            <w:tcW w:w="3657" w:type="dxa"/>
          </w:tcPr>
          <w:p w14:paraId="13F881B4">
            <w:pPr>
              <w:tabs>
                <w:tab w:val="left" w:pos="72"/>
              </w:tabs>
              <w:ind w:left="-108"/>
              <w:rPr>
                <w:color w:val="auto"/>
                <w:sz w:val="24"/>
                <w:highlight w:val="none"/>
              </w:rPr>
            </w:pPr>
            <w:r>
              <w:rPr>
                <w:color w:val="auto"/>
                <w:sz w:val="24"/>
                <w:highlight w:val="none"/>
              </w:rPr>
              <w:t>1.</w:t>
            </w:r>
            <w:r>
              <w:rPr>
                <w:rFonts w:hint="eastAsia"/>
                <w:color w:val="auto"/>
                <w:sz w:val="24"/>
                <w:highlight w:val="none"/>
              </w:rPr>
              <w:t>里程碑、百米桩位置、界碑位置正确，竖直稳固，齐全无缺失，无遮挡；</w:t>
            </w:r>
          </w:p>
          <w:p w14:paraId="5FF12887">
            <w:pPr>
              <w:tabs>
                <w:tab w:val="left" w:pos="72"/>
              </w:tabs>
              <w:ind w:left="-108"/>
              <w:rPr>
                <w:color w:val="auto"/>
                <w:sz w:val="24"/>
                <w:highlight w:val="none"/>
              </w:rPr>
            </w:pPr>
            <w:r>
              <w:rPr>
                <w:color w:val="auto"/>
                <w:sz w:val="24"/>
                <w:highlight w:val="none"/>
              </w:rPr>
              <w:t>2.</w:t>
            </w:r>
            <w:r>
              <w:rPr>
                <w:rFonts w:hint="eastAsia"/>
                <w:color w:val="auto"/>
                <w:sz w:val="24"/>
                <w:highlight w:val="none"/>
              </w:rPr>
              <w:t>里程碑、百米桩和界碑内容清晰明确。</w:t>
            </w:r>
          </w:p>
        </w:tc>
        <w:tc>
          <w:tcPr>
            <w:tcW w:w="1800" w:type="dxa"/>
            <w:vAlign w:val="center"/>
          </w:tcPr>
          <w:p w14:paraId="00BEAFE2">
            <w:pPr>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267F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continue"/>
          </w:tcPr>
          <w:p w14:paraId="33CB28DA">
            <w:pPr>
              <w:rPr>
                <w:color w:val="auto"/>
                <w:sz w:val="24"/>
                <w:highlight w:val="none"/>
              </w:rPr>
            </w:pPr>
          </w:p>
        </w:tc>
        <w:tc>
          <w:tcPr>
            <w:tcW w:w="664" w:type="dxa"/>
            <w:vAlign w:val="center"/>
          </w:tcPr>
          <w:p w14:paraId="55C4D583">
            <w:pPr>
              <w:jc w:val="center"/>
              <w:rPr>
                <w:color w:val="auto"/>
                <w:sz w:val="24"/>
                <w:highlight w:val="none"/>
              </w:rPr>
            </w:pPr>
            <w:r>
              <w:rPr>
                <w:rFonts w:hint="eastAsia"/>
                <w:color w:val="auto"/>
                <w:sz w:val="24"/>
                <w:highlight w:val="none"/>
              </w:rPr>
              <w:t>护栏</w:t>
            </w:r>
          </w:p>
        </w:tc>
        <w:tc>
          <w:tcPr>
            <w:tcW w:w="3183" w:type="dxa"/>
            <w:vAlign w:val="center"/>
          </w:tcPr>
          <w:p w14:paraId="316529FB">
            <w:pPr>
              <w:tabs>
                <w:tab w:val="left" w:pos="72"/>
              </w:tabs>
              <w:ind w:left="-108"/>
              <w:rPr>
                <w:color w:val="auto"/>
                <w:sz w:val="24"/>
                <w:highlight w:val="none"/>
              </w:rPr>
            </w:pPr>
            <w:r>
              <w:rPr>
                <w:color w:val="auto"/>
                <w:sz w:val="24"/>
                <w:highlight w:val="none"/>
              </w:rPr>
              <w:t>1.</w:t>
            </w:r>
            <w:r>
              <w:rPr>
                <w:rFonts w:hint="eastAsia"/>
                <w:color w:val="auto"/>
                <w:sz w:val="24"/>
                <w:highlight w:val="none"/>
              </w:rPr>
              <w:t>定期清理周边杂草、灌木、积土积土及杂物等；</w:t>
            </w:r>
          </w:p>
          <w:p w14:paraId="7B7497C2">
            <w:pPr>
              <w:tabs>
                <w:tab w:val="left" w:pos="72"/>
              </w:tabs>
              <w:ind w:left="-108"/>
              <w:rPr>
                <w:color w:val="auto"/>
                <w:sz w:val="24"/>
                <w:highlight w:val="none"/>
              </w:rPr>
            </w:pPr>
            <w:r>
              <w:rPr>
                <w:color w:val="auto"/>
                <w:sz w:val="24"/>
                <w:highlight w:val="none"/>
              </w:rPr>
              <w:t>2.</w:t>
            </w:r>
            <w:r>
              <w:rPr>
                <w:rFonts w:hint="eastAsia"/>
                <w:color w:val="auto"/>
                <w:sz w:val="24"/>
                <w:highlight w:val="none"/>
              </w:rPr>
              <w:t>定期清理护栏伸缩缝和沉降缝；</w:t>
            </w:r>
          </w:p>
          <w:p w14:paraId="5E193524">
            <w:pPr>
              <w:tabs>
                <w:tab w:val="left" w:pos="72"/>
              </w:tabs>
              <w:ind w:left="-108"/>
              <w:rPr>
                <w:color w:val="auto"/>
                <w:sz w:val="24"/>
                <w:highlight w:val="none"/>
              </w:rPr>
            </w:pPr>
            <w:r>
              <w:rPr>
                <w:color w:val="auto"/>
                <w:sz w:val="24"/>
                <w:highlight w:val="none"/>
              </w:rPr>
              <w:t>3.</w:t>
            </w:r>
            <w:r>
              <w:rPr>
                <w:rFonts w:hint="eastAsia"/>
                <w:color w:val="auto"/>
                <w:sz w:val="24"/>
                <w:highlight w:val="none"/>
              </w:rPr>
              <w:t>修理、添设波形梁钢护栏变形、缺损部位，对锈蚀构件进行除锈油漆，补充和维护附着式轮廓标；</w:t>
            </w:r>
          </w:p>
          <w:p w14:paraId="008205E7">
            <w:pPr>
              <w:tabs>
                <w:tab w:val="left" w:pos="72"/>
              </w:tabs>
              <w:ind w:left="-108"/>
              <w:rPr>
                <w:color w:val="auto"/>
                <w:sz w:val="24"/>
                <w:highlight w:val="none"/>
              </w:rPr>
            </w:pPr>
            <w:r>
              <w:rPr>
                <w:color w:val="auto"/>
                <w:sz w:val="24"/>
                <w:highlight w:val="none"/>
              </w:rPr>
              <w:t>4.</w:t>
            </w:r>
            <w:r>
              <w:rPr>
                <w:rFonts w:hint="eastAsia"/>
                <w:color w:val="auto"/>
                <w:sz w:val="24"/>
                <w:highlight w:val="none"/>
              </w:rPr>
              <w:t>局部修复圬工或混凝土护栏缺损、裂缝等病害。</w:t>
            </w:r>
          </w:p>
        </w:tc>
        <w:tc>
          <w:tcPr>
            <w:tcW w:w="3657" w:type="dxa"/>
          </w:tcPr>
          <w:p w14:paraId="7F675D60">
            <w:pPr>
              <w:tabs>
                <w:tab w:val="left" w:pos="72"/>
              </w:tabs>
              <w:ind w:left="-108"/>
              <w:rPr>
                <w:color w:val="auto"/>
                <w:sz w:val="24"/>
                <w:highlight w:val="none"/>
              </w:rPr>
            </w:pPr>
            <w:r>
              <w:rPr>
                <w:color w:val="auto"/>
                <w:sz w:val="24"/>
                <w:highlight w:val="none"/>
              </w:rPr>
              <w:t>1.</w:t>
            </w:r>
            <w:r>
              <w:rPr>
                <w:rFonts w:hint="eastAsia"/>
                <w:color w:val="auto"/>
                <w:sz w:val="24"/>
                <w:highlight w:val="none"/>
              </w:rPr>
              <w:t>护栏明显，周边无积土积砂，无杂草灌木滋生；</w:t>
            </w:r>
          </w:p>
          <w:p w14:paraId="7315AE86">
            <w:pPr>
              <w:tabs>
                <w:tab w:val="left" w:pos="72"/>
              </w:tabs>
              <w:ind w:left="-108"/>
              <w:rPr>
                <w:color w:val="auto"/>
                <w:sz w:val="24"/>
                <w:highlight w:val="none"/>
              </w:rPr>
            </w:pPr>
            <w:r>
              <w:rPr>
                <w:color w:val="auto"/>
                <w:sz w:val="24"/>
                <w:highlight w:val="none"/>
              </w:rPr>
              <w:t>2.</w:t>
            </w:r>
            <w:r>
              <w:rPr>
                <w:rFonts w:hint="eastAsia"/>
                <w:color w:val="auto"/>
                <w:sz w:val="24"/>
                <w:highlight w:val="none"/>
              </w:rPr>
              <w:t>波形梁护栏无变形、缺损，附着式轮廓标齐全，无明显锈渍；</w:t>
            </w:r>
          </w:p>
          <w:p w14:paraId="2357114C">
            <w:pPr>
              <w:tabs>
                <w:tab w:val="left" w:pos="72"/>
              </w:tabs>
              <w:ind w:left="-108"/>
              <w:rPr>
                <w:color w:val="auto"/>
                <w:sz w:val="24"/>
                <w:highlight w:val="none"/>
              </w:rPr>
            </w:pPr>
            <w:r>
              <w:rPr>
                <w:color w:val="auto"/>
                <w:sz w:val="24"/>
                <w:highlight w:val="none"/>
              </w:rPr>
              <w:t>3.</w:t>
            </w:r>
            <w:r>
              <w:rPr>
                <w:rFonts w:hint="eastAsia"/>
                <w:color w:val="auto"/>
                <w:sz w:val="24"/>
                <w:highlight w:val="none"/>
              </w:rPr>
              <w:t>圬工或混凝土护栏伸缩缝、沉降缝干净清洁，无杂草滋生。</w:t>
            </w:r>
          </w:p>
        </w:tc>
        <w:tc>
          <w:tcPr>
            <w:tcW w:w="1800" w:type="dxa"/>
            <w:vAlign w:val="center"/>
          </w:tcPr>
          <w:p w14:paraId="3FD78B37">
            <w:pPr>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3832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continue"/>
          </w:tcPr>
          <w:p w14:paraId="6A6AA7F4">
            <w:pPr>
              <w:rPr>
                <w:color w:val="auto"/>
                <w:sz w:val="24"/>
                <w:highlight w:val="none"/>
              </w:rPr>
            </w:pPr>
          </w:p>
        </w:tc>
        <w:tc>
          <w:tcPr>
            <w:tcW w:w="664" w:type="dxa"/>
            <w:vAlign w:val="center"/>
          </w:tcPr>
          <w:p w14:paraId="121EF9E6">
            <w:pPr>
              <w:jc w:val="center"/>
              <w:rPr>
                <w:color w:val="auto"/>
                <w:sz w:val="24"/>
                <w:highlight w:val="none"/>
              </w:rPr>
            </w:pPr>
            <w:r>
              <w:rPr>
                <w:rFonts w:hint="eastAsia"/>
                <w:color w:val="auto"/>
                <w:sz w:val="24"/>
                <w:highlight w:val="none"/>
              </w:rPr>
              <w:t>其他</w:t>
            </w:r>
          </w:p>
          <w:p w14:paraId="620E5F15">
            <w:pPr>
              <w:jc w:val="center"/>
              <w:rPr>
                <w:color w:val="auto"/>
                <w:sz w:val="24"/>
                <w:highlight w:val="none"/>
              </w:rPr>
            </w:pPr>
            <w:r>
              <w:rPr>
                <w:rFonts w:hint="eastAsia"/>
                <w:color w:val="auto"/>
                <w:sz w:val="24"/>
                <w:highlight w:val="none"/>
              </w:rPr>
              <w:t>公路</w:t>
            </w:r>
          </w:p>
          <w:p w14:paraId="15F726B9">
            <w:pPr>
              <w:jc w:val="center"/>
              <w:rPr>
                <w:color w:val="auto"/>
                <w:sz w:val="24"/>
                <w:highlight w:val="none"/>
              </w:rPr>
            </w:pPr>
            <w:r>
              <w:rPr>
                <w:rFonts w:hint="eastAsia"/>
                <w:color w:val="auto"/>
                <w:sz w:val="24"/>
                <w:highlight w:val="none"/>
              </w:rPr>
              <w:t>设施</w:t>
            </w:r>
          </w:p>
        </w:tc>
        <w:tc>
          <w:tcPr>
            <w:tcW w:w="3183" w:type="dxa"/>
            <w:vAlign w:val="center"/>
          </w:tcPr>
          <w:p w14:paraId="14E14753">
            <w:pPr>
              <w:tabs>
                <w:tab w:val="left" w:pos="72"/>
              </w:tabs>
              <w:ind w:left="-108"/>
              <w:rPr>
                <w:color w:val="auto"/>
                <w:sz w:val="24"/>
                <w:highlight w:val="none"/>
              </w:rPr>
            </w:pPr>
            <w:r>
              <w:rPr>
                <w:color w:val="auto"/>
                <w:sz w:val="24"/>
                <w:highlight w:val="none"/>
              </w:rPr>
              <w:t>1.</w:t>
            </w:r>
            <w:r>
              <w:rPr>
                <w:rFonts w:hint="eastAsia"/>
                <w:color w:val="auto"/>
                <w:sz w:val="24"/>
                <w:highlight w:val="none"/>
              </w:rPr>
              <w:t>修理、部分添置或更换其他公路设施；</w:t>
            </w:r>
          </w:p>
          <w:p w14:paraId="6D45840D">
            <w:pPr>
              <w:tabs>
                <w:tab w:val="left" w:pos="72"/>
              </w:tabs>
              <w:ind w:left="-108"/>
              <w:rPr>
                <w:color w:val="auto"/>
                <w:sz w:val="24"/>
                <w:highlight w:val="none"/>
              </w:rPr>
            </w:pPr>
            <w:r>
              <w:rPr>
                <w:color w:val="auto"/>
                <w:sz w:val="24"/>
                <w:highlight w:val="none"/>
              </w:rPr>
              <w:t>2.</w:t>
            </w:r>
            <w:r>
              <w:rPr>
                <w:rFonts w:hint="eastAsia"/>
                <w:color w:val="auto"/>
                <w:sz w:val="24"/>
                <w:highlight w:val="none"/>
              </w:rPr>
              <w:t>按农村公路管理养护规范化要求，统一设立管理养护公示牌。</w:t>
            </w:r>
          </w:p>
        </w:tc>
        <w:tc>
          <w:tcPr>
            <w:tcW w:w="3657" w:type="dxa"/>
          </w:tcPr>
          <w:p w14:paraId="6B37D1D5">
            <w:pPr>
              <w:tabs>
                <w:tab w:val="left" w:pos="72"/>
              </w:tabs>
              <w:ind w:left="-108"/>
              <w:rPr>
                <w:color w:val="auto"/>
                <w:sz w:val="24"/>
                <w:highlight w:val="none"/>
              </w:rPr>
            </w:pPr>
            <w:r>
              <w:rPr>
                <w:color w:val="auto"/>
                <w:sz w:val="24"/>
                <w:highlight w:val="none"/>
              </w:rPr>
              <w:t>1.</w:t>
            </w:r>
            <w:r>
              <w:rPr>
                <w:rFonts w:hint="eastAsia"/>
                <w:color w:val="auto"/>
                <w:sz w:val="24"/>
                <w:highlight w:val="none"/>
              </w:rPr>
              <w:t>恢复设施功能</w:t>
            </w:r>
          </w:p>
          <w:p w14:paraId="7018F6A3">
            <w:pPr>
              <w:tabs>
                <w:tab w:val="left" w:pos="72"/>
              </w:tabs>
              <w:ind w:left="-108"/>
              <w:rPr>
                <w:color w:val="auto"/>
                <w:sz w:val="24"/>
                <w:highlight w:val="none"/>
              </w:rPr>
            </w:pPr>
            <w:r>
              <w:rPr>
                <w:color w:val="auto"/>
                <w:sz w:val="24"/>
                <w:highlight w:val="none"/>
              </w:rPr>
              <w:t>2.</w:t>
            </w:r>
            <w:r>
              <w:rPr>
                <w:rFonts w:hint="eastAsia"/>
                <w:color w:val="auto"/>
                <w:sz w:val="24"/>
                <w:highlight w:val="none"/>
              </w:rPr>
              <w:t>实施农村公路管理养护信息公开。</w:t>
            </w:r>
          </w:p>
        </w:tc>
        <w:tc>
          <w:tcPr>
            <w:tcW w:w="1800" w:type="dxa"/>
            <w:vAlign w:val="center"/>
          </w:tcPr>
          <w:p w14:paraId="15CB7EA9">
            <w:pPr>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7D49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restart"/>
            <w:vAlign w:val="center"/>
          </w:tcPr>
          <w:p w14:paraId="09DFE87F">
            <w:pPr>
              <w:jc w:val="center"/>
              <w:rPr>
                <w:color w:val="auto"/>
                <w:sz w:val="24"/>
                <w:highlight w:val="none"/>
              </w:rPr>
            </w:pPr>
            <w:r>
              <w:rPr>
                <w:rFonts w:hint="eastAsia"/>
                <w:color w:val="auto"/>
                <w:sz w:val="24"/>
                <w:highlight w:val="none"/>
              </w:rPr>
              <w:t>绿化</w:t>
            </w:r>
          </w:p>
          <w:p w14:paraId="12EE34FB">
            <w:pPr>
              <w:jc w:val="center"/>
              <w:rPr>
                <w:color w:val="auto"/>
                <w:sz w:val="24"/>
                <w:highlight w:val="none"/>
              </w:rPr>
            </w:pPr>
            <w:r>
              <w:rPr>
                <w:rFonts w:hint="eastAsia"/>
                <w:color w:val="auto"/>
                <w:sz w:val="24"/>
                <w:highlight w:val="none"/>
              </w:rPr>
              <w:t>及</w:t>
            </w:r>
          </w:p>
          <w:p w14:paraId="53543859">
            <w:pPr>
              <w:jc w:val="center"/>
              <w:rPr>
                <w:color w:val="auto"/>
                <w:sz w:val="24"/>
                <w:highlight w:val="none"/>
              </w:rPr>
            </w:pPr>
            <w:r>
              <w:rPr>
                <w:rFonts w:hint="eastAsia"/>
                <w:color w:val="auto"/>
                <w:sz w:val="24"/>
                <w:highlight w:val="none"/>
              </w:rPr>
              <w:t>路容</w:t>
            </w:r>
          </w:p>
          <w:p w14:paraId="229575D1">
            <w:pPr>
              <w:jc w:val="center"/>
              <w:rPr>
                <w:color w:val="auto"/>
                <w:sz w:val="24"/>
                <w:highlight w:val="none"/>
              </w:rPr>
            </w:pPr>
            <w:r>
              <w:rPr>
                <w:rFonts w:hint="eastAsia"/>
                <w:color w:val="auto"/>
                <w:sz w:val="24"/>
                <w:highlight w:val="none"/>
              </w:rPr>
              <w:t>路貌</w:t>
            </w:r>
          </w:p>
        </w:tc>
        <w:tc>
          <w:tcPr>
            <w:tcW w:w="664" w:type="dxa"/>
            <w:vAlign w:val="center"/>
          </w:tcPr>
          <w:p w14:paraId="33C815C0">
            <w:pPr>
              <w:jc w:val="center"/>
              <w:rPr>
                <w:color w:val="auto"/>
                <w:sz w:val="24"/>
                <w:highlight w:val="none"/>
              </w:rPr>
            </w:pPr>
            <w:r>
              <w:rPr>
                <w:rFonts w:hint="eastAsia"/>
                <w:color w:val="auto"/>
                <w:sz w:val="24"/>
                <w:highlight w:val="none"/>
              </w:rPr>
              <w:t>公路</w:t>
            </w:r>
          </w:p>
          <w:p w14:paraId="17045AB1">
            <w:pPr>
              <w:jc w:val="center"/>
              <w:rPr>
                <w:color w:val="auto"/>
                <w:sz w:val="24"/>
                <w:highlight w:val="none"/>
              </w:rPr>
            </w:pPr>
            <w:r>
              <w:rPr>
                <w:rFonts w:hint="eastAsia"/>
                <w:color w:val="auto"/>
                <w:sz w:val="24"/>
                <w:highlight w:val="none"/>
              </w:rPr>
              <w:t>绿化</w:t>
            </w:r>
          </w:p>
        </w:tc>
        <w:tc>
          <w:tcPr>
            <w:tcW w:w="3183" w:type="dxa"/>
            <w:vAlign w:val="center"/>
          </w:tcPr>
          <w:p w14:paraId="316C8F59">
            <w:pPr>
              <w:tabs>
                <w:tab w:val="left" w:pos="72"/>
              </w:tabs>
              <w:ind w:left="-108"/>
              <w:rPr>
                <w:color w:val="auto"/>
                <w:sz w:val="24"/>
                <w:highlight w:val="none"/>
              </w:rPr>
            </w:pPr>
            <w:r>
              <w:rPr>
                <w:color w:val="auto"/>
                <w:sz w:val="24"/>
                <w:highlight w:val="none"/>
              </w:rPr>
              <w:t>1.</w:t>
            </w:r>
            <w:r>
              <w:rPr>
                <w:rFonts w:hint="eastAsia"/>
                <w:color w:val="auto"/>
                <w:sz w:val="24"/>
                <w:highlight w:val="none"/>
              </w:rPr>
              <w:t>公路行道树、绿化花草的抚育、修剪、治虫、施肥、缺株补植；</w:t>
            </w:r>
          </w:p>
          <w:p w14:paraId="3CF8C1D7">
            <w:pPr>
              <w:tabs>
                <w:tab w:val="left" w:pos="72"/>
              </w:tabs>
              <w:ind w:left="-108"/>
              <w:rPr>
                <w:color w:val="auto"/>
                <w:sz w:val="24"/>
                <w:highlight w:val="none"/>
              </w:rPr>
            </w:pPr>
            <w:r>
              <w:rPr>
                <w:color w:val="auto"/>
                <w:sz w:val="24"/>
                <w:highlight w:val="none"/>
              </w:rPr>
              <w:t>2.</w:t>
            </w:r>
            <w:r>
              <w:rPr>
                <w:rFonts w:hint="eastAsia"/>
                <w:color w:val="auto"/>
                <w:sz w:val="24"/>
                <w:highlight w:val="none"/>
              </w:rPr>
              <w:t>行道树秋冬季刷白。</w:t>
            </w:r>
          </w:p>
        </w:tc>
        <w:tc>
          <w:tcPr>
            <w:tcW w:w="3657" w:type="dxa"/>
          </w:tcPr>
          <w:p w14:paraId="7E0FA895">
            <w:pPr>
              <w:tabs>
                <w:tab w:val="left" w:pos="72"/>
              </w:tabs>
              <w:ind w:left="-108"/>
              <w:rPr>
                <w:color w:val="auto"/>
                <w:sz w:val="24"/>
                <w:highlight w:val="none"/>
              </w:rPr>
            </w:pPr>
            <w:r>
              <w:rPr>
                <w:color w:val="auto"/>
                <w:sz w:val="24"/>
                <w:highlight w:val="none"/>
              </w:rPr>
              <w:t>1.</w:t>
            </w:r>
            <w:r>
              <w:rPr>
                <w:rFonts w:hint="eastAsia"/>
                <w:color w:val="auto"/>
                <w:sz w:val="24"/>
                <w:highlight w:val="none"/>
              </w:rPr>
              <w:t>适宜绿化路段应种植绿化树木、花草，空白间距不超过</w:t>
            </w:r>
            <w:r>
              <w:rPr>
                <w:color w:val="auto"/>
                <w:sz w:val="24"/>
                <w:highlight w:val="none"/>
              </w:rPr>
              <w:t>20</w:t>
            </w:r>
            <w:r>
              <w:rPr>
                <w:rFonts w:hint="eastAsia"/>
                <w:color w:val="auto"/>
                <w:sz w:val="24"/>
                <w:highlight w:val="none"/>
              </w:rPr>
              <w:t>米；</w:t>
            </w:r>
          </w:p>
          <w:p w14:paraId="0F551B50">
            <w:pPr>
              <w:tabs>
                <w:tab w:val="left" w:pos="72"/>
              </w:tabs>
              <w:ind w:left="-108"/>
              <w:rPr>
                <w:color w:val="auto"/>
                <w:sz w:val="24"/>
                <w:highlight w:val="none"/>
              </w:rPr>
            </w:pPr>
            <w:r>
              <w:rPr>
                <w:color w:val="auto"/>
                <w:sz w:val="24"/>
                <w:highlight w:val="none"/>
              </w:rPr>
              <w:t>2.</w:t>
            </w:r>
            <w:r>
              <w:rPr>
                <w:rFonts w:hint="eastAsia"/>
                <w:color w:val="auto"/>
                <w:sz w:val="24"/>
                <w:highlight w:val="none"/>
              </w:rPr>
              <w:t>绿化树木、花草的修枝、造型整齐、统一、美观；</w:t>
            </w:r>
          </w:p>
          <w:p w14:paraId="0FBDFFF0">
            <w:pPr>
              <w:tabs>
                <w:tab w:val="left" w:pos="72"/>
              </w:tabs>
              <w:ind w:left="-108"/>
              <w:rPr>
                <w:color w:val="auto"/>
                <w:sz w:val="24"/>
                <w:highlight w:val="none"/>
              </w:rPr>
            </w:pPr>
            <w:r>
              <w:rPr>
                <w:color w:val="auto"/>
                <w:sz w:val="24"/>
                <w:highlight w:val="none"/>
              </w:rPr>
              <w:t>3.</w:t>
            </w:r>
            <w:r>
              <w:rPr>
                <w:rFonts w:hint="eastAsia"/>
                <w:color w:val="auto"/>
                <w:sz w:val="24"/>
                <w:highlight w:val="none"/>
              </w:rPr>
              <w:t>绿化树木、花草的枝梢等不得侵入公路净空，不得影响交通视线；</w:t>
            </w:r>
          </w:p>
          <w:p w14:paraId="7D41035C">
            <w:pPr>
              <w:tabs>
                <w:tab w:val="left" w:pos="72"/>
              </w:tabs>
              <w:ind w:left="-108"/>
              <w:rPr>
                <w:color w:val="auto"/>
                <w:sz w:val="24"/>
                <w:highlight w:val="none"/>
              </w:rPr>
            </w:pPr>
            <w:r>
              <w:rPr>
                <w:color w:val="auto"/>
                <w:sz w:val="24"/>
                <w:highlight w:val="none"/>
              </w:rPr>
              <w:t>4.</w:t>
            </w:r>
            <w:r>
              <w:rPr>
                <w:rFonts w:hint="eastAsia"/>
                <w:color w:val="auto"/>
                <w:sz w:val="24"/>
                <w:highlight w:val="none"/>
              </w:rPr>
              <w:t>绿化树木（包括路侧非公路树）秋冬季树干挂线刷白，刷白高度统一，纵面线型直顺，不出现漏刷、只刷朝路单边的现象；</w:t>
            </w:r>
          </w:p>
          <w:p w14:paraId="5A25D757">
            <w:pPr>
              <w:tabs>
                <w:tab w:val="left" w:pos="72"/>
              </w:tabs>
              <w:ind w:left="-108"/>
              <w:rPr>
                <w:color w:val="auto"/>
                <w:sz w:val="24"/>
                <w:highlight w:val="none"/>
              </w:rPr>
            </w:pPr>
            <w:r>
              <w:rPr>
                <w:color w:val="auto"/>
                <w:sz w:val="24"/>
                <w:highlight w:val="none"/>
              </w:rPr>
              <w:t>5.</w:t>
            </w:r>
            <w:r>
              <w:rPr>
                <w:rFonts w:hint="eastAsia"/>
                <w:color w:val="auto"/>
                <w:sz w:val="24"/>
                <w:highlight w:val="none"/>
              </w:rPr>
              <w:t>定期治虫、施肥。</w:t>
            </w:r>
          </w:p>
        </w:tc>
        <w:tc>
          <w:tcPr>
            <w:tcW w:w="1800" w:type="dxa"/>
            <w:vAlign w:val="center"/>
          </w:tcPr>
          <w:p w14:paraId="452F30D7">
            <w:pPr>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p w14:paraId="5F2EF2E7">
            <w:pPr>
              <w:pStyle w:val="2"/>
              <w:rPr>
                <w:color w:val="auto"/>
                <w:highlight w:val="none"/>
              </w:rPr>
            </w:pPr>
          </w:p>
        </w:tc>
      </w:tr>
      <w:tr w14:paraId="381A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Merge w:val="continue"/>
          </w:tcPr>
          <w:p w14:paraId="64A5CFBA">
            <w:pPr>
              <w:rPr>
                <w:color w:val="auto"/>
                <w:sz w:val="24"/>
                <w:highlight w:val="none"/>
              </w:rPr>
            </w:pPr>
          </w:p>
        </w:tc>
        <w:tc>
          <w:tcPr>
            <w:tcW w:w="664" w:type="dxa"/>
            <w:vAlign w:val="center"/>
          </w:tcPr>
          <w:p w14:paraId="4C8BCD35">
            <w:pPr>
              <w:jc w:val="center"/>
              <w:rPr>
                <w:color w:val="auto"/>
                <w:sz w:val="24"/>
                <w:highlight w:val="none"/>
              </w:rPr>
            </w:pPr>
            <w:r>
              <w:rPr>
                <w:rFonts w:hint="eastAsia"/>
                <w:color w:val="auto"/>
                <w:sz w:val="24"/>
                <w:highlight w:val="none"/>
              </w:rPr>
              <w:t>路侧</w:t>
            </w:r>
          </w:p>
          <w:p w14:paraId="40E64234">
            <w:pPr>
              <w:jc w:val="center"/>
              <w:rPr>
                <w:color w:val="auto"/>
                <w:sz w:val="24"/>
                <w:highlight w:val="none"/>
              </w:rPr>
            </w:pPr>
            <w:r>
              <w:rPr>
                <w:rFonts w:hint="eastAsia"/>
                <w:color w:val="auto"/>
                <w:sz w:val="24"/>
                <w:highlight w:val="none"/>
              </w:rPr>
              <w:t>竹木</w:t>
            </w:r>
          </w:p>
          <w:p w14:paraId="4B089401">
            <w:pPr>
              <w:jc w:val="center"/>
              <w:rPr>
                <w:color w:val="auto"/>
                <w:sz w:val="24"/>
                <w:highlight w:val="none"/>
              </w:rPr>
            </w:pPr>
            <w:r>
              <w:rPr>
                <w:rFonts w:hint="eastAsia"/>
                <w:color w:val="auto"/>
                <w:sz w:val="24"/>
                <w:highlight w:val="none"/>
              </w:rPr>
              <w:t>及</w:t>
            </w:r>
          </w:p>
          <w:p w14:paraId="3837147A">
            <w:pPr>
              <w:jc w:val="center"/>
              <w:rPr>
                <w:color w:val="auto"/>
                <w:sz w:val="24"/>
                <w:highlight w:val="none"/>
              </w:rPr>
            </w:pPr>
            <w:r>
              <w:rPr>
                <w:rFonts w:hint="eastAsia"/>
                <w:color w:val="auto"/>
                <w:sz w:val="24"/>
                <w:highlight w:val="none"/>
              </w:rPr>
              <w:t>农作物</w:t>
            </w:r>
          </w:p>
        </w:tc>
        <w:tc>
          <w:tcPr>
            <w:tcW w:w="3183" w:type="dxa"/>
            <w:vAlign w:val="center"/>
          </w:tcPr>
          <w:p w14:paraId="6CA05354">
            <w:pPr>
              <w:tabs>
                <w:tab w:val="left" w:pos="72"/>
              </w:tabs>
              <w:ind w:left="-108"/>
              <w:rPr>
                <w:color w:val="auto"/>
                <w:sz w:val="24"/>
                <w:highlight w:val="none"/>
              </w:rPr>
            </w:pPr>
            <w:r>
              <w:rPr>
                <w:color w:val="auto"/>
                <w:sz w:val="24"/>
                <w:highlight w:val="none"/>
              </w:rPr>
              <w:t>1.</w:t>
            </w:r>
            <w:r>
              <w:rPr>
                <w:rFonts w:hint="eastAsia"/>
                <w:color w:val="auto"/>
                <w:sz w:val="24"/>
                <w:highlight w:val="none"/>
              </w:rPr>
              <w:t>定期修剪侵入公路净空的路侧非公路竹木，保证公路净空和交通视线不受阻；</w:t>
            </w:r>
          </w:p>
          <w:p w14:paraId="0AC0C211">
            <w:pPr>
              <w:tabs>
                <w:tab w:val="left" w:pos="72"/>
              </w:tabs>
              <w:ind w:left="-108"/>
              <w:rPr>
                <w:color w:val="auto"/>
                <w:sz w:val="24"/>
                <w:highlight w:val="none"/>
              </w:rPr>
            </w:pPr>
            <w:r>
              <w:rPr>
                <w:color w:val="auto"/>
                <w:sz w:val="24"/>
                <w:highlight w:val="none"/>
              </w:rPr>
              <w:t>2.</w:t>
            </w:r>
            <w:r>
              <w:rPr>
                <w:rFonts w:hint="eastAsia"/>
                <w:color w:val="auto"/>
                <w:sz w:val="24"/>
                <w:highlight w:val="none"/>
              </w:rPr>
              <w:t>台风过后及时修剪、砍伐影响交通的竹木；</w:t>
            </w:r>
          </w:p>
          <w:p w14:paraId="5F22C3B9">
            <w:pPr>
              <w:tabs>
                <w:tab w:val="left" w:pos="72"/>
              </w:tabs>
              <w:ind w:left="-108"/>
              <w:rPr>
                <w:color w:val="auto"/>
                <w:sz w:val="24"/>
                <w:highlight w:val="none"/>
              </w:rPr>
            </w:pPr>
            <w:r>
              <w:rPr>
                <w:color w:val="auto"/>
                <w:sz w:val="24"/>
                <w:highlight w:val="none"/>
              </w:rPr>
              <w:t>3.</w:t>
            </w:r>
            <w:r>
              <w:rPr>
                <w:rFonts w:hint="eastAsia"/>
                <w:color w:val="auto"/>
                <w:sz w:val="24"/>
                <w:highlight w:val="none"/>
              </w:rPr>
              <w:t>定期清理、整治侵入公路范围的路侧农作物。</w:t>
            </w:r>
          </w:p>
        </w:tc>
        <w:tc>
          <w:tcPr>
            <w:tcW w:w="3657" w:type="dxa"/>
          </w:tcPr>
          <w:p w14:paraId="672EF957">
            <w:pPr>
              <w:tabs>
                <w:tab w:val="left" w:pos="72"/>
              </w:tabs>
              <w:ind w:left="-108"/>
              <w:rPr>
                <w:color w:val="auto"/>
                <w:sz w:val="24"/>
                <w:highlight w:val="none"/>
              </w:rPr>
            </w:pPr>
            <w:r>
              <w:rPr>
                <w:color w:val="auto"/>
                <w:sz w:val="24"/>
                <w:highlight w:val="none"/>
              </w:rPr>
              <w:t>1.</w:t>
            </w:r>
            <w:r>
              <w:rPr>
                <w:rFonts w:hint="eastAsia"/>
                <w:color w:val="auto"/>
                <w:sz w:val="24"/>
                <w:highlight w:val="none"/>
              </w:rPr>
              <w:t>公路全线无侵入公路净空的竹木，平交路口前后至少</w:t>
            </w:r>
            <w:r>
              <w:rPr>
                <w:color w:val="auto"/>
                <w:sz w:val="24"/>
                <w:highlight w:val="none"/>
              </w:rPr>
              <w:t>50</w:t>
            </w:r>
            <w:r>
              <w:rPr>
                <w:rFonts w:hint="eastAsia"/>
                <w:color w:val="auto"/>
                <w:sz w:val="24"/>
                <w:highlight w:val="none"/>
              </w:rPr>
              <w:t>米范围内阻挡交通视线竹木；</w:t>
            </w:r>
          </w:p>
          <w:p w14:paraId="1BB9D00F">
            <w:pPr>
              <w:tabs>
                <w:tab w:val="left" w:pos="72"/>
              </w:tabs>
              <w:ind w:left="-108"/>
              <w:rPr>
                <w:color w:val="auto"/>
                <w:sz w:val="24"/>
                <w:highlight w:val="none"/>
              </w:rPr>
            </w:pPr>
            <w:r>
              <w:rPr>
                <w:color w:val="auto"/>
                <w:sz w:val="24"/>
                <w:highlight w:val="none"/>
              </w:rPr>
              <w:t>2.</w:t>
            </w:r>
            <w:r>
              <w:rPr>
                <w:rFonts w:hint="eastAsia"/>
                <w:color w:val="auto"/>
                <w:sz w:val="24"/>
                <w:highlight w:val="none"/>
              </w:rPr>
              <w:t>公路全线无侵入公路范围的农作物。</w:t>
            </w:r>
          </w:p>
        </w:tc>
        <w:tc>
          <w:tcPr>
            <w:tcW w:w="1800" w:type="dxa"/>
            <w:vAlign w:val="center"/>
          </w:tcPr>
          <w:p w14:paraId="50083421">
            <w:pPr>
              <w:rPr>
                <w:color w:val="auto"/>
                <w:sz w:val="24"/>
                <w:highlight w:val="none"/>
              </w:rPr>
            </w:pPr>
            <w:r>
              <w:rPr>
                <w:rFonts w:hint="eastAsia"/>
                <w:color w:val="auto"/>
                <w:sz w:val="24"/>
                <w:highlight w:val="none"/>
              </w:rPr>
              <w:t>根据中标人提交的巡查记录表以及其他需求，由采购人按需要安排，费用在日常保养、维修专项费计量。</w:t>
            </w:r>
          </w:p>
        </w:tc>
      </w:tr>
      <w:tr w14:paraId="4267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14:paraId="7CC24F48">
            <w:pPr>
              <w:rPr>
                <w:color w:val="auto"/>
                <w:sz w:val="24"/>
                <w:highlight w:val="none"/>
              </w:rPr>
            </w:pPr>
          </w:p>
        </w:tc>
        <w:tc>
          <w:tcPr>
            <w:tcW w:w="664" w:type="dxa"/>
            <w:vAlign w:val="center"/>
          </w:tcPr>
          <w:p w14:paraId="14D7CEF1">
            <w:pPr>
              <w:jc w:val="center"/>
              <w:rPr>
                <w:color w:val="auto"/>
                <w:sz w:val="24"/>
                <w:highlight w:val="none"/>
              </w:rPr>
            </w:pPr>
            <w:r>
              <w:rPr>
                <w:rFonts w:hint="eastAsia"/>
                <w:color w:val="auto"/>
                <w:sz w:val="24"/>
                <w:highlight w:val="none"/>
              </w:rPr>
              <w:t>路域</w:t>
            </w:r>
          </w:p>
          <w:p w14:paraId="1906F1F2">
            <w:pPr>
              <w:jc w:val="center"/>
              <w:rPr>
                <w:color w:val="auto"/>
                <w:sz w:val="24"/>
                <w:highlight w:val="none"/>
              </w:rPr>
            </w:pPr>
            <w:r>
              <w:rPr>
                <w:rFonts w:hint="eastAsia"/>
                <w:color w:val="auto"/>
                <w:sz w:val="24"/>
                <w:highlight w:val="none"/>
              </w:rPr>
              <w:t>地面</w:t>
            </w:r>
          </w:p>
          <w:p w14:paraId="19B9DF79">
            <w:pPr>
              <w:jc w:val="center"/>
              <w:rPr>
                <w:color w:val="auto"/>
                <w:sz w:val="24"/>
                <w:highlight w:val="none"/>
              </w:rPr>
            </w:pPr>
            <w:r>
              <w:rPr>
                <w:rFonts w:hint="eastAsia"/>
                <w:color w:val="auto"/>
                <w:sz w:val="24"/>
                <w:highlight w:val="none"/>
              </w:rPr>
              <w:t>环境</w:t>
            </w:r>
          </w:p>
        </w:tc>
        <w:tc>
          <w:tcPr>
            <w:tcW w:w="3183" w:type="dxa"/>
            <w:vAlign w:val="center"/>
          </w:tcPr>
          <w:p w14:paraId="2BA0E07D">
            <w:pPr>
              <w:tabs>
                <w:tab w:val="left" w:pos="72"/>
              </w:tabs>
              <w:ind w:left="-108"/>
              <w:rPr>
                <w:color w:val="auto"/>
                <w:sz w:val="24"/>
                <w:highlight w:val="none"/>
              </w:rPr>
            </w:pPr>
            <w:r>
              <w:rPr>
                <w:color w:val="auto"/>
                <w:sz w:val="24"/>
                <w:highlight w:val="none"/>
              </w:rPr>
              <w:t>1.</w:t>
            </w:r>
            <w:r>
              <w:rPr>
                <w:rFonts w:hint="eastAsia"/>
                <w:color w:val="auto"/>
                <w:sz w:val="24"/>
                <w:highlight w:val="none"/>
              </w:rPr>
              <w:t>定期清理公路路域范围砂土堆、垃圾堆、粪堆、临时窝棚、非公路标志、广告牌等；</w:t>
            </w:r>
          </w:p>
          <w:p w14:paraId="22FB247A">
            <w:pPr>
              <w:tabs>
                <w:tab w:val="left" w:pos="72"/>
              </w:tabs>
              <w:ind w:left="-108"/>
              <w:rPr>
                <w:color w:val="auto"/>
                <w:sz w:val="24"/>
                <w:highlight w:val="none"/>
              </w:rPr>
            </w:pPr>
            <w:r>
              <w:rPr>
                <w:color w:val="auto"/>
                <w:sz w:val="24"/>
                <w:highlight w:val="none"/>
              </w:rPr>
              <w:t>2.</w:t>
            </w:r>
            <w:r>
              <w:rPr>
                <w:rFonts w:hint="eastAsia"/>
                <w:color w:val="auto"/>
                <w:sz w:val="24"/>
                <w:highlight w:val="none"/>
              </w:rPr>
              <w:t>定期清理路域范围地面垃圾，定期修剪杂草灌木；</w:t>
            </w:r>
          </w:p>
          <w:p w14:paraId="1B06E878">
            <w:pPr>
              <w:tabs>
                <w:tab w:val="left" w:pos="72"/>
              </w:tabs>
              <w:ind w:left="-108"/>
              <w:rPr>
                <w:color w:val="auto"/>
                <w:sz w:val="24"/>
                <w:highlight w:val="none"/>
              </w:rPr>
            </w:pPr>
            <w:r>
              <w:rPr>
                <w:color w:val="auto"/>
                <w:sz w:val="24"/>
                <w:highlight w:val="none"/>
              </w:rPr>
              <w:t>3.</w:t>
            </w:r>
            <w:r>
              <w:rPr>
                <w:rFonts w:hint="eastAsia"/>
                <w:color w:val="auto"/>
                <w:sz w:val="24"/>
                <w:highlight w:val="none"/>
              </w:rPr>
              <w:t>清理整平路域范围地面，或整修成挡水坝造型，或实施路田分家、路宅分家措施；</w:t>
            </w:r>
          </w:p>
          <w:p w14:paraId="659CB29B">
            <w:pPr>
              <w:tabs>
                <w:tab w:val="left" w:pos="72"/>
              </w:tabs>
              <w:ind w:left="-108"/>
              <w:rPr>
                <w:color w:val="auto"/>
                <w:sz w:val="24"/>
                <w:highlight w:val="none"/>
              </w:rPr>
            </w:pPr>
            <w:r>
              <w:rPr>
                <w:color w:val="auto"/>
                <w:sz w:val="24"/>
                <w:highlight w:val="none"/>
              </w:rPr>
              <w:t>4.</w:t>
            </w:r>
            <w:r>
              <w:rPr>
                <w:rFonts w:hint="eastAsia"/>
                <w:color w:val="auto"/>
                <w:sz w:val="24"/>
                <w:highlight w:val="none"/>
              </w:rPr>
              <w:t>结合村屯绿化工作，开展植树绿化等。</w:t>
            </w:r>
          </w:p>
        </w:tc>
        <w:tc>
          <w:tcPr>
            <w:tcW w:w="3657" w:type="dxa"/>
          </w:tcPr>
          <w:p w14:paraId="5799730A">
            <w:pPr>
              <w:tabs>
                <w:tab w:val="left" w:pos="72"/>
              </w:tabs>
              <w:ind w:left="-108"/>
              <w:rPr>
                <w:color w:val="auto"/>
                <w:sz w:val="24"/>
                <w:highlight w:val="none"/>
              </w:rPr>
            </w:pPr>
            <w:r>
              <w:rPr>
                <w:color w:val="auto"/>
                <w:sz w:val="24"/>
                <w:highlight w:val="none"/>
              </w:rPr>
              <w:t>1.</w:t>
            </w:r>
            <w:r>
              <w:rPr>
                <w:rFonts w:hint="eastAsia"/>
                <w:color w:val="auto"/>
                <w:sz w:val="24"/>
                <w:highlight w:val="none"/>
              </w:rPr>
              <w:t>在上级主管单位、部门统一领导下开展工作。</w:t>
            </w:r>
          </w:p>
        </w:tc>
        <w:tc>
          <w:tcPr>
            <w:tcW w:w="1800" w:type="dxa"/>
          </w:tcPr>
          <w:p w14:paraId="039458BB">
            <w:pPr>
              <w:rPr>
                <w:color w:val="auto"/>
                <w:sz w:val="24"/>
                <w:highlight w:val="none"/>
              </w:rPr>
            </w:pPr>
          </w:p>
        </w:tc>
      </w:tr>
    </w:tbl>
    <w:p w14:paraId="496941A5">
      <w:pPr>
        <w:tabs>
          <w:tab w:val="left" w:pos="540"/>
        </w:tabs>
        <w:spacing w:line="360" w:lineRule="auto"/>
        <w:jc w:val="left"/>
        <w:rPr>
          <w:color w:val="auto"/>
          <w:sz w:val="24"/>
          <w:highlight w:val="none"/>
        </w:rPr>
      </w:pPr>
    </w:p>
    <w:p w14:paraId="5CBFA259">
      <w:pPr>
        <w:tabs>
          <w:tab w:val="left" w:pos="540"/>
        </w:tabs>
        <w:spacing w:line="360" w:lineRule="auto"/>
        <w:jc w:val="left"/>
        <w:rPr>
          <w:color w:val="auto"/>
          <w:sz w:val="24"/>
          <w:highlight w:val="none"/>
        </w:rPr>
      </w:pPr>
      <w:r>
        <w:rPr>
          <w:color w:val="auto"/>
          <w:sz w:val="24"/>
          <w:highlight w:val="none"/>
        </w:rPr>
        <w:t xml:space="preserve">    3.</w:t>
      </w: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 xml:space="preserve">  </w:t>
      </w:r>
      <w:r>
        <w:rPr>
          <w:rFonts w:hint="eastAsia"/>
          <w:color w:val="auto"/>
          <w:sz w:val="24"/>
          <w:highlight w:val="none"/>
        </w:rPr>
        <w:t>日常保养工作要求：</w:t>
      </w:r>
    </w:p>
    <w:p w14:paraId="771B22CD">
      <w:pPr>
        <w:spacing w:line="360" w:lineRule="auto"/>
        <w:ind w:firstLine="570"/>
        <w:jc w:val="left"/>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）日常保养主要采用“任务单”形式实行月度工作安排和绩效考核，每月</w:t>
      </w:r>
      <w:r>
        <w:rPr>
          <w:color w:val="auto"/>
          <w:sz w:val="24"/>
          <w:highlight w:val="none"/>
        </w:rPr>
        <w:t>25</w:t>
      </w:r>
      <w:r>
        <w:rPr>
          <w:rFonts w:hint="eastAsia"/>
          <w:color w:val="auto"/>
          <w:sz w:val="24"/>
          <w:highlight w:val="none"/>
        </w:rPr>
        <w:t>日前（如遇节假日或周末，可延期到</w:t>
      </w:r>
      <w:r>
        <w:rPr>
          <w:color w:val="auto"/>
          <w:sz w:val="24"/>
          <w:highlight w:val="none"/>
        </w:rPr>
        <w:t>29</w:t>
      </w:r>
      <w:r>
        <w:rPr>
          <w:rFonts w:hint="eastAsia"/>
          <w:color w:val="auto"/>
          <w:sz w:val="24"/>
          <w:highlight w:val="none"/>
        </w:rPr>
        <w:t>日前），中标人根据工作实际需要、采购人的要求和服务合同约定，向采购人提交次月养护任务计划表，采购人接到计划表后，应认真审核和修改（主要审核月度工作量是否适当、工作安排是否符合采购人要求、各分项工作权重等经济技术问题），签署意见后返还中标人，作为中标人次月的养护工作安排和绩效考核依据。</w:t>
      </w:r>
    </w:p>
    <w:p w14:paraId="5FA1CA5C">
      <w:pPr>
        <w:spacing w:line="360" w:lineRule="auto"/>
        <w:ind w:firstLine="570"/>
        <w:jc w:val="left"/>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每个班组在开展当天日常保养作业前，采用一块小白板（或小黑板）标记路线名称、桩号、日期、天气和作业内容，小白板（或小黑板）和班组全部出工人员（拍摄人员除外）同框拍摄一张以作业路段为背景的照片，在作业中至少拍摄一张体现作业内容的照片，两张照片共同组成当天当班组开展作业的留痕证据。</w:t>
      </w:r>
    </w:p>
    <w:p w14:paraId="71AF4F5E">
      <w:pPr>
        <w:spacing w:line="360" w:lineRule="auto"/>
        <w:ind w:firstLine="570"/>
        <w:jc w:val="left"/>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）项目统计员必须及时完成当天的养护作业信息统计记录工作，并按采购人的要求及时反馈。</w:t>
      </w:r>
    </w:p>
    <w:p w14:paraId="1BA48BDC">
      <w:pPr>
        <w:spacing w:line="360" w:lineRule="auto"/>
        <w:ind w:firstLine="570"/>
        <w:jc w:val="left"/>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）养护作业过程中，发现路上新出现危及交通安全的道路病害、人为损坏道路设施、交通事故等，应及时清理整治，并拍摄照片或视频即时报告采购人。</w:t>
      </w:r>
    </w:p>
    <w:p w14:paraId="1F5B7789">
      <w:pPr>
        <w:spacing w:line="360" w:lineRule="auto"/>
        <w:ind w:firstLine="570"/>
        <w:jc w:val="left"/>
        <w:rPr>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w:t>
      </w:r>
      <w:r>
        <w:rPr>
          <w:rFonts w:hint="eastAsia"/>
          <w:color w:val="auto"/>
          <w:sz w:val="24"/>
          <w:highlight w:val="none"/>
        </w:rPr>
        <w:t>3</w:t>
      </w:r>
      <w:r>
        <w:rPr>
          <w:color w:val="auto"/>
          <w:sz w:val="24"/>
          <w:highlight w:val="none"/>
        </w:rPr>
        <w:t xml:space="preserve">  </w:t>
      </w:r>
      <w:r>
        <w:rPr>
          <w:rFonts w:hint="eastAsia"/>
          <w:color w:val="auto"/>
          <w:sz w:val="24"/>
          <w:highlight w:val="none"/>
        </w:rPr>
        <w:t>月度养护报表编制和提交要求：每月</w:t>
      </w:r>
      <w:r>
        <w:rPr>
          <w:color w:val="auto"/>
          <w:sz w:val="24"/>
          <w:highlight w:val="none"/>
        </w:rPr>
        <w:t>5</w:t>
      </w:r>
      <w:r>
        <w:rPr>
          <w:rFonts w:hint="eastAsia"/>
          <w:color w:val="auto"/>
          <w:sz w:val="24"/>
          <w:highlight w:val="none"/>
        </w:rPr>
        <w:t>日前（如遇法定节假日则延顺到节假日结束后第</w:t>
      </w:r>
      <w:r>
        <w:rPr>
          <w:color w:val="auto"/>
          <w:sz w:val="24"/>
          <w:highlight w:val="none"/>
        </w:rPr>
        <w:t>3</w:t>
      </w:r>
      <w:r>
        <w:rPr>
          <w:rFonts w:hint="eastAsia"/>
          <w:color w:val="auto"/>
          <w:sz w:val="24"/>
          <w:highlight w:val="none"/>
        </w:rPr>
        <w:t>日），中标人应将上月养护作业整理成册，提交给采购人，同时提交电子版文件（可通过电子邮件提交）。</w:t>
      </w:r>
    </w:p>
    <w:p w14:paraId="36E67337">
      <w:pPr>
        <w:spacing w:line="360" w:lineRule="auto"/>
        <w:ind w:firstLine="480" w:firstLineChars="200"/>
        <w:jc w:val="left"/>
        <w:rPr>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w:t>
      </w:r>
      <w:r>
        <w:rPr>
          <w:rFonts w:hint="eastAsia"/>
          <w:color w:val="auto"/>
          <w:sz w:val="24"/>
          <w:highlight w:val="none"/>
        </w:rPr>
        <w:t>4</w:t>
      </w:r>
      <w:r>
        <w:rPr>
          <w:color w:val="auto"/>
          <w:sz w:val="24"/>
          <w:highlight w:val="none"/>
        </w:rPr>
        <w:t xml:space="preserve">  </w:t>
      </w:r>
      <w:r>
        <w:rPr>
          <w:rFonts w:hint="eastAsia"/>
          <w:color w:val="auto"/>
          <w:sz w:val="24"/>
          <w:highlight w:val="none"/>
        </w:rPr>
        <w:t>日常保养计量：</w:t>
      </w:r>
    </w:p>
    <w:p w14:paraId="79D077C3">
      <w:pPr>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）采购人收到中标人提交的月度养护报表，应安排人员进行核实，并签署核实意见，核实意见必须明确当月日常保养完成工作量的综合百分比（综合百分比</w:t>
      </w:r>
      <w:r>
        <w:rPr>
          <w:color w:val="auto"/>
          <w:sz w:val="24"/>
          <w:highlight w:val="none"/>
        </w:rPr>
        <w:t>=</w:t>
      </w:r>
      <w:r>
        <w:rPr>
          <w:rFonts w:hint="eastAsia"/>
          <w:color w:val="auto"/>
          <w:sz w:val="24"/>
          <w:highlight w:val="none"/>
        </w:rPr>
        <w:t>分项工作完成率×分项工作权</w:t>
      </w:r>
      <w:r>
        <w:rPr>
          <w:rFonts w:hint="eastAsia" w:ascii="宋体" w:hAnsi="宋体"/>
          <w:color w:val="auto"/>
          <w:sz w:val="24"/>
          <w:highlight w:val="none"/>
        </w:rPr>
        <w:t>重÷</w:t>
      </w:r>
      <w:r>
        <w:rPr>
          <w:rFonts w:hint="eastAsia"/>
          <w:color w:val="auto"/>
          <w:sz w:val="24"/>
          <w:highlight w:val="none"/>
        </w:rPr>
        <w:t>权重总数，分项工作权重由采购人根据当月各分项工作重要性自拟，并在月度工作计划表予以明确）和工作质量简要评价。（核实意见一式两份，采购人自留一份，返还中标人一份供其编制计量支付文件使用）。</w:t>
      </w:r>
    </w:p>
    <w:p w14:paraId="2F522B23">
      <w:pPr>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）确认中标人已按合同要求完成当月日常保养任务的，全部计量当月日常保养工作；中标人未完成当月任务的，按照实际完成部分计量当月日常保养工作。</w:t>
      </w:r>
    </w:p>
    <w:p w14:paraId="727037DB">
      <w:pPr>
        <w:spacing w:line="360" w:lineRule="auto"/>
        <w:ind w:firstLine="480" w:firstLineChars="200"/>
        <w:jc w:val="left"/>
        <w:rPr>
          <w:b/>
          <w:bCs/>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rFonts w:hint="eastAsia"/>
          <w:b/>
          <w:bCs/>
          <w:color w:val="auto"/>
          <w:sz w:val="24"/>
          <w:highlight w:val="none"/>
        </w:rPr>
        <w:t>每月工作天数统一按21.75天计算。</w:t>
      </w:r>
    </w:p>
    <w:p w14:paraId="169438C2">
      <w:pPr>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）采购人遇到特殊任务（如抗灾抢险、应急抢通等）需要调集中标人工人参与的，应按中标人参与特殊任务的人数和天数，调整中标人当月应完成各分项工作计划完成量。</w:t>
      </w:r>
    </w:p>
    <w:p w14:paraId="6CC7B7A6">
      <w:pPr>
        <w:spacing w:line="360" w:lineRule="auto"/>
        <w:ind w:firstLine="482" w:firstLineChars="200"/>
        <w:jc w:val="left"/>
        <w:rPr>
          <w:b/>
          <w:color w:val="auto"/>
          <w:sz w:val="24"/>
          <w:highlight w:val="none"/>
        </w:rPr>
      </w:pPr>
      <w:r>
        <w:rPr>
          <w:b/>
          <w:color w:val="auto"/>
          <w:sz w:val="24"/>
          <w:highlight w:val="none"/>
        </w:rPr>
        <w:t>3.</w:t>
      </w:r>
      <w:r>
        <w:rPr>
          <w:rFonts w:hint="eastAsia"/>
          <w:b/>
          <w:color w:val="auto"/>
          <w:sz w:val="24"/>
          <w:highlight w:val="none"/>
        </w:rPr>
        <w:t>2.5</w:t>
      </w:r>
      <w:r>
        <w:rPr>
          <w:b/>
          <w:color w:val="auto"/>
          <w:sz w:val="24"/>
          <w:highlight w:val="none"/>
        </w:rPr>
        <w:t xml:space="preserve"> </w:t>
      </w:r>
      <w:r>
        <w:rPr>
          <w:rFonts w:hint="eastAsia"/>
          <w:b/>
          <w:color w:val="auto"/>
          <w:sz w:val="24"/>
          <w:highlight w:val="none"/>
        </w:rPr>
        <w:t>日常保养、维修专项费</w:t>
      </w:r>
    </w:p>
    <w:p w14:paraId="784ACE7A">
      <w:pPr>
        <w:spacing w:line="360" w:lineRule="auto"/>
        <w:ind w:firstLine="480" w:firstLineChars="200"/>
        <w:jc w:val="left"/>
        <w:rPr>
          <w:color w:val="auto"/>
          <w:sz w:val="24"/>
          <w:highlight w:val="none"/>
        </w:rPr>
      </w:pPr>
      <w:r>
        <w:rPr>
          <w:rFonts w:hint="eastAsia"/>
          <w:color w:val="auto"/>
          <w:sz w:val="24"/>
          <w:highlight w:val="none"/>
        </w:rPr>
        <w:t>日常保养、维修专项费是指对农村公路及其附属设施进行修补其轻微损坏部分的养护作业。本招标项目小修作业范围和内容除日常保养、维修专项费外，其他原则上参照现行《公路养护技术规范》附录</w:t>
      </w:r>
      <w:r>
        <w:rPr>
          <w:color w:val="auto"/>
          <w:sz w:val="24"/>
          <w:highlight w:val="none"/>
        </w:rPr>
        <w:t xml:space="preserve">B </w:t>
      </w:r>
      <w:r>
        <w:rPr>
          <w:rFonts w:hint="eastAsia"/>
          <w:color w:val="auto"/>
          <w:sz w:val="24"/>
          <w:highlight w:val="none"/>
        </w:rPr>
        <w:t>公路养护工程作业内容表。</w:t>
      </w:r>
    </w:p>
    <w:p w14:paraId="619B6150">
      <w:pPr>
        <w:spacing w:line="360" w:lineRule="auto"/>
        <w:ind w:firstLine="480" w:firstLineChars="200"/>
        <w:jc w:val="left"/>
        <w:rPr>
          <w:color w:val="auto"/>
          <w:sz w:val="24"/>
          <w:highlight w:val="none"/>
        </w:rPr>
      </w:pPr>
      <w:r>
        <w:rPr>
          <w:rFonts w:hint="eastAsia"/>
          <w:color w:val="auto"/>
          <w:sz w:val="24"/>
          <w:highlight w:val="none"/>
        </w:rPr>
        <w:t>（1）</w:t>
      </w:r>
      <w:r>
        <w:rPr>
          <w:color w:val="auto"/>
          <w:sz w:val="24"/>
          <w:highlight w:val="none"/>
        </w:rPr>
        <w:t xml:space="preserve">  </w:t>
      </w:r>
      <w:r>
        <w:rPr>
          <w:rFonts w:hint="eastAsia"/>
          <w:color w:val="auto"/>
          <w:sz w:val="24"/>
          <w:highlight w:val="none"/>
        </w:rPr>
        <w:t>日常保养、维修专项费</w:t>
      </w:r>
    </w:p>
    <w:p w14:paraId="1961B862">
      <w:pPr>
        <w:spacing w:line="360" w:lineRule="auto"/>
        <w:jc w:val="left"/>
        <w:rPr>
          <w:color w:val="auto"/>
          <w:sz w:val="24"/>
          <w:highlight w:val="none"/>
        </w:rPr>
      </w:pPr>
      <w:r>
        <w:rPr>
          <w:color w:val="auto"/>
          <w:sz w:val="24"/>
          <w:highlight w:val="none"/>
        </w:rPr>
        <w:t xml:space="preserve">   </w:t>
      </w:r>
      <w:r>
        <w:rPr>
          <w:rFonts w:hint="eastAsia"/>
          <w:color w:val="auto"/>
          <w:sz w:val="24"/>
          <w:highlight w:val="none"/>
        </w:rPr>
        <w:t>本招标项目的小修是指按照采购人要求，采用修筑水泥混凝土路面或乳化沥青冷拌冷铺、上拌下贯、罩面（封层），或采用石油沥青混合料热拌热铺的方法来小规模处治路面分散病害，以提高路面通行能力、延缓损坏的养护作业。</w:t>
      </w:r>
    </w:p>
    <w:p w14:paraId="0088B63B">
      <w:pPr>
        <w:spacing w:line="360" w:lineRule="auto"/>
        <w:ind w:firstLine="570"/>
        <w:jc w:val="left"/>
        <w:rPr>
          <w:color w:val="auto"/>
          <w:sz w:val="24"/>
          <w:highlight w:val="none"/>
        </w:rPr>
      </w:pPr>
      <w:r>
        <w:rPr>
          <w:rFonts w:hint="eastAsia"/>
          <w:color w:val="auto"/>
          <w:sz w:val="24"/>
          <w:highlight w:val="none"/>
        </w:rPr>
        <w:t>（2）</w:t>
      </w:r>
      <w:r>
        <w:rPr>
          <w:color w:val="auto"/>
          <w:sz w:val="24"/>
          <w:highlight w:val="none"/>
        </w:rPr>
        <w:t xml:space="preserve"> </w:t>
      </w:r>
      <w:r>
        <w:rPr>
          <w:rFonts w:hint="eastAsia"/>
          <w:color w:val="auto"/>
          <w:sz w:val="24"/>
          <w:highlight w:val="none"/>
        </w:rPr>
        <w:t>小修作业内容和质量要求</w:t>
      </w:r>
    </w:p>
    <w:p w14:paraId="768A53E0">
      <w:pPr>
        <w:spacing w:line="360" w:lineRule="auto"/>
        <w:ind w:firstLine="570"/>
        <w:jc w:val="left"/>
        <w:rPr>
          <w:color w:val="auto"/>
          <w:sz w:val="24"/>
          <w:highlight w:val="none"/>
        </w:rPr>
      </w:pPr>
      <w:r>
        <w:rPr>
          <w:rFonts w:hint="eastAsia"/>
          <w:color w:val="auto"/>
          <w:sz w:val="24"/>
          <w:highlight w:val="none"/>
        </w:rPr>
        <w:t>1）</w:t>
      </w:r>
      <w:r>
        <w:rPr>
          <w:color w:val="auto"/>
          <w:highlight w:val="none"/>
        </w:rPr>
        <w:fldChar w:fldCharType="begin"/>
      </w:r>
      <w:r>
        <w:rPr>
          <w:color w:val="auto"/>
          <w:highlight w:val="none"/>
        </w:rPr>
        <w:instrText xml:space="preserve"> HYPERLINK "http://www.so.com/s?q=%E6%B7%B7%E5%87%9D%E5%9C%9F%E6%B5%87%E7%AD%91&amp;ie=utf-8&amp;src=internal_wenda_recommend_textn" \t "_blank" </w:instrText>
      </w:r>
      <w:r>
        <w:rPr>
          <w:color w:val="auto"/>
          <w:highlight w:val="none"/>
        </w:rPr>
        <w:fldChar w:fldCharType="separate"/>
      </w:r>
      <w:r>
        <w:rPr>
          <w:color w:val="auto"/>
          <w:sz w:val="24"/>
          <w:highlight w:val="none"/>
        </w:rPr>
        <w:t>混凝土浇筑</w:t>
      </w:r>
      <w:r>
        <w:rPr>
          <w:color w:val="auto"/>
          <w:sz w:val="24"/>
          <w:highlight w:val="none"/>
        </w:rPr>
        <w:fldChar w:fldCharType="end"/>
      </w:r>
      <w:r>
        <w:rPr>
          <w:color w:val="auto"/>
          <w:sz w:val="24"/>
          <w:highlight w:val="none"/>
        </w:rPr>
        <w:t> </w:t>
      </w:r>
    </w:p>
    <w:p w14:paraId="67A0D26C">
      <w:pPr>
        <w:spacing w:line="360" w:lineRule="auto"/>
        <w:ind w:firstLine="570"/>
        <w:jc w:val="left"/>
        <w:rPr>
          <w:color w:val="auto"/>
          <w:sz w:val="24"/>
          <w:highlight w:val="none"/>
        </w:rPr>
      </w:pPr>
      <w:r>
        <w:rPr>
          <w:rFonts w:hint="eastAsia"/>
          <w:color w:val="auto"/>
          <w:sz w:val="24"/>
          <w:highlight w:val="none"/>
        </w:rPr>
        <w:t>a、</w:t>
      </w:r>
      <w:r>
        <w:rPr>
          <w:color w:val="auto"/>
          <w:sz w:val="24"/>
          <w:highlight w:val="none"/>
        </w:rPr>
        <w:t>准备工作 </w:t>
      </w:r>
    </w:p>
    <w:p w14:paraId="18AE309A">
      <w:pPr>
        <w:spacing w:line="360" w:lineRule="auto"/>
        <w:ind w:firstLine="570"/>
        <w:jc w:val="left"/>
        <w:rPr>
          <w:color w:val="auto"/>
          <w:sz w:val="24"/>
          <w:highlight w:val="none"/>
        </w:rPr>
      </w:pPr>
      <w:r>
        <w:rPr>
          <w:rFonts w:hint="eastAsia"/>
          <w:color w:val="auto"/>
          <w:sz w:val="24"/>
          <w:highlight w:val="none"/>
        </w:rPr>
        <w:t xml:space="preserve">a.1 </w:t>
      </w:r>
      <w:r>
        <w:rPr>
          <w:color w:val="auto"/>
          <w:highlight w:val="none"/>
        </w:rPr>
        <w:fldChar w:fldCharType="begin"/>
      </w:r>
      <w:r>
        <w:rPr>
          <w:color w:val="auto"/>
          <w:highlight w:val="none"/>
        </w:rPr>
        <w:instrText xml:space="preserve"> HYPERLINK "http://www.so.com/s?q=%E5%8E%9F%E6%9D%90%E6%96%99&amp;ie=utf-8&amp;src=internal_wenda_recommend_textn" \t "_blank" </w:instrText>
      </w:r>
      <w:r>
        <w:rPr>
          <w:color w:val="auto"/>
          <w:highlight w:val="none"/>
        </w:rPr>
        <w:fldChar w:fldCharType="separate"/>
      </w:r>
      <w:r>
        <w:rPr>
          <w:color w:val="auto"/>
          <w:sz w:val="24"/>
          <w:highlight w:val="none"/>
        </w:rPr>
        <w:t>原材料</w:t>
      </w:r>
      <w:r>
        <w:rPr>
          <w:color w:val="auto"/>
          <w:sz w:val="24"/>
          <w:highlight w:val="none"/>
        </w:rPr>
        <w:fldChar w:fldCharType="end"/>
      </w:r>
      <w:r>
        <w:rPr>
          <w:color w:val="auto"/>
          <w:sz w:val="24"/>
          <w:highlight w:val="none"/>
        </w:rPr>
        <w:t>的准备</w:t>
      </w:r>
    </w:p>
    <w:p w14:paraId="0D13AC9F">
      <w:pPr>
        <w:spacing w:line="360" w:lineRule="auto"/>
        <w:ind w:firstLine="570"/>
        <w:jc w:val="left"/>
        <w:rPr>
          <w:color w:val="auto"/>
          <w:sz w:val="24"/>
          <w:highlight w:val="none"/>
        </w:rPr>
      </w:pPr>
      <w:r>
        <w:rPr>
          <w:rFonts w:hint="eastAsia"/>
          <w:color w:val="auto"/>
          <w:sz w:val="24"/>
          <w:highlight w:val="none"/>
        </w:rPr>
        <w:t xml:space="preserve">① </w:t>
      </w:r>
      <w:r>
        <w:rPr>
          <w:color w:val="auto"/>
          <w:highlight w:val="none"/>
        </w:rPr>
        <w:fldChar w:fldCharType="begin"/>
      </w:r>
      <w:r>
        <w:rPr>
          <w:color w:val="auto"/>
          <w:highlight w:val="none"/>
        </w:rPr>
        <w:instrText xml:space="preserve"> HYPERLINK "http://www.so.com/s?q=%E9%9B%86%E6%96%99&amp;ie=utf-8&amp;src=internal_wenda_recommend_textn" \t "_blank" </w:instrText>
      </w:r>
      <w:r>
        <w:rPr>
          <w:color w:val="auto"/>
          <w:highlight w:val="none"/>
        </w:rPr>
        <w:fldChar w:fldCharType="separate"/>
      </w:r>
      <w:r>
        <w:rPr>
          <w:color w:val="auto"/>
          <w:sz w:val="24"/>
          <w:highlight w:val="none"/>
        </w:rPr>
        <w:t>集料</w:t>
      </w:r>
      <w:r>
        <w:rPr>
          <w:color w:val="auto"/>
          <w:sz w:val="24"/>
          <w:highlight w:val="none"/>
        </w:rPr>
        <w:fldChar w:fldCharType="end"/>
      </w:r>
      <w:r>
        <w:rPr>
          <w:color w:val="auto"/>
          <w:sz w:val="24"/>
          <w:highlight w:val="none"/>
        </w:rPr>
        <w:t>:</w:t>
      </w:r>
      <w:r>
        <w:rPr>
          <w:color w:val="auto"/>
          <w:highlight w:val="none"/>
        </w:rPr>
        <w:fldChar w:fldCharType="begin"/>
      </w:r>
      <w:r>
        <w:rPr>
          <w:color w:val="auto"/>
          <w:highlight w:val="none"/>
        </w:rPr>
        <w:instrText xml:space="preserve"> HYPERLINK "http://www.so.com/s?q=%E8%B4%A8%E5%9C%B0&amp;ie=utf-8&amp;src=internal_wenda_recommend_textn" \t "_blank" </w:instrText>
      </w:r>
      <w:r>
        <w:rPr>
          <w:color w:val="auto"/>
          <w:highlight w:val="none"/>
        </w:rPr>
        <w:fldChar w:fldCharType="separate"/>
      </w:r>
      <w:r>
        <w:rPr>
          <w:color w:val="auto"/>
          <w:sz w:val="24"/>
          <w:highlight w:val="none"/>
        </w:rPr>
        <w:t>质地</w:t>
      </w:r>
      <w:r>
        <w:rPr>
          <w:color w:val="auto"/>
          <w:sz w:val="24"/>
          <w:highlight w:val="none"/>
        </w:rPr>
        <w:fldChar w:fldCharType="end"/>
      </w:r>
      <w:r>
        <w:rPr>
          <w:color w:val="auto"/>
          <w:sz w:val="24"/>
          <w:highlight w:val="none"/>
        </w:rPr>
        <w:t>坚硬、清洁、无风化,</w:t>
      </w:r>
      <w:r>
        <w:rPr>
          <w:color w:val="auto"/>
          <w:highlight w:val="none"/>
        </w:rPr>
        <w:fldChar w:fldCharType="begin"/>
      </w:r>
      <w:r>
        <w:rPr>
          <w:color w:val="auto"/>
          <w:highlight w:val="none"/>
        </w:rPr>
        <w:instrText xml:space="preserve"> HYPERLINK "http://www.so.com/s?q=%E9%92%88%E7%89%87%E7%8A%B6%E9%A2%97%E7%B2%92&amp;ie=utf-8&amp;src=internal_wenda_recommend_textn" \t "_blank" </w:instrText>
      </w:r>
      <w:r>
        <w:rPr>
          <w:color w:val="auto"/>
          <w:highlight w:val="none"/>
        </w:rPr>
        <w:fldChar w:fldCharType="separate"/>
      </w:r>
      <w:r>
        <w:rPr>
          <w:color w:val="auto"/>
          <w:sz w:val="24"/>
          <w:highlight w:val="none"/>
        </w:rPr>
        <w:t>针片状颗粒</w:t>
      </w:r>
      <w:r>
        <w:rPr>
          <w:color w:val="auto"/>
          <w:sz w:val="24"/>
          <w:highlight w:val="none"/>
        </w:rPr>
        <w:fldChar w:fldCharType="end"/>
      </w:r>
      <w:r>
        <w:rPr>
          <w:color w:val="auto"/>
          <w:sz w:val="24"/>
          <w:highlight w:val="none"/>
        </w:rPr>
        <w:t>、</w:t>
      </w:r>
      <w:r>
        <w:rPr>
          <w:color w:val="auto"/>
          <w:highlight w:val="none"/>
        </w:rPr>
        <w:fldChar w:fldCharType="begin"/>
      </w:r>
      <w:r>
        <w:rPr>
          <w:color w:val="auto"/>
          <w:highlight w:val="none"/>
        </w:rPr>
        <w:instrText xml:space="preserve"> HYPERLINK "http://www.so.com/s?q=%E5%90%AB%E6%B3%A5%E9%87%8F&amp;ie=utf-8&amp;src=internal_wenda_recommend_textn" \t "_blank" </w:instrText>
      </w:r>
      <w:r>
        <w:rPr>
          <w:color w:val="auto"/>
          <w:highlight w:val="none"/>
        </w:rPr>
        <w:fldChar w:fldCharType="separate"/>
      </w:r>
      <w:r>
        <w:rPr>
          <w:color w:val="auto"/>
          <w:sz w:val="24"/>
          <w:highlight w:val="none"/>
        </w:rPr>
        <w:t>含泥量</w:t>
      </w:r>
      <w:r>
        <w:rPr>
          <w:color w:val="auto"/>
          <w:sz w:val="24"/>
          <w:highlight w:val="none"/>
        </w:rPr>
        <w:fldChar w:fldCharType="end"/>
      </w:r>
      <w:r>
        <w:rPr>
          <w:color w:val="auto"/>
          <w:sz w:val="24"/>
          <w:highlight w:val="none"/>
        </w:rPr>
        <w:t>、有机质含量符合规范要求,集料</w:t>
      </w:r>
      <w:r>
        <w:rPr>
          <w:color w:val="auto"/>
          <w:highlight w:val="none"/>
        </w:rPr>
        <w:fldChar w:fldCharType="begin"/>
      </w:r>
      <w:r>
        <w:rPr>
          <w:color w:val="auto"/>
          <w:highlight w:val="none"/>
        </w:rPr>
        <w:instrText xml:space="preserve"> HYPERLINK "http://www.so.com/s?q=%E7%BA%A7%E9%85%8D&amp;ie=utf-8&amp;src=internal_wenda_recommend_textn" \t "_blank" </w:instrText>
      </w:r>
      <w:r>
        <w:rPr>
          <w:color w:val="auto"/>
          <w:highlight w:val="none"/>
        </w:rPr>
        <w:fldChar w:fldCharType="separate"/>
      </w:r>
      <w:r>
        <w:rPr>
          <w:color w:val="auto"/>
          <w:sz w:val="24"/>
          <w:highlight w:val="none"/>
        </w:rPr>
        <w:t>级配</w:t>
      </w:r>
      <w:r>
        <w:rPr>
          <w:color w:val="auto"/>
          <w:sz w:val="24"/>
          <w:highlight w:val="none"/>
        </w:rPr>
        <w:fldChar w:fldCharType="end"/>
      </w:r>
      <w:r>
        <w:rPr>
          <w:color w:val="auto"/>
          <w:sz w:val="24"/>
          <w:highlight w:val="none"/>
        </w:rPr>
        <w:t>符合设计及规范要求</w:t>
      </w:r>
      <w:r>
        <w:rPr>
          <w:rFonts w:hint="eastAsia"/>
          <w:color w:val="auto"/>
          <w:sz w:val="24"/>
          <w:highlight w:val="none"/>
        </w:rPr>
        <w:t>。</w:t>
      </w:r>
    </w:p>
    <w:p w14:paraId="509BE674">
      <w:pPr>
        <w:spacing w:line="360" w:lineRule="auto"/>
        <w:ind w:firstLine="570"/>
        <w:jc w:val="left"/>
        <w:rPr>
          <w:color w:val="auto"/>
          <w:sz w:val="24"/>
          <w:highlight w:val="none"/>
        </w:rPr>
      </w:pPr>
      <w:r>
        <w:rPr>
          <w:rFonts w:hint="eastAsia"/>
          <w:color w:val="auto"/>
          <w:sz w:val="24"/>
          <w:highlight w:val="none"/>
        </w:rPr>
        <w:t xml:space="preserve">② </w:t>
      </w:r>
      <w:r>
        <w:rPr>
          <w:color w:val="auto"/>
          <w:highlight w:val="none"/>
        </w:rPr>
        <w:fldChar w:fldCharType="begin"/>
      </w:r>
      <w:r>
        <w:rPr>
          <w:color w:val="auto"/>
          <w:highlight w:val="none"/>
        </w:rPr>
        <w:instrText xml:space="preserve"> HYPERLINK "http://www.so.com/s?q=%E6%B0%B4%E6%B3%A5&amp;ie=utf-8&amp;src=internal_wenda_recommend_textn" \t "_blank" </w:instrText>
      </w:r>
      <w:r>
        <w:rPr>
          <w:color w:val="auto"/>
          <w:highlight w:val="none"/>
        </w:rPr>
        <w:fldChar w:fldCharType="separate"/>
      </w:r>
      <w:r>
        <w:rPr>
          <w:color w:val="auto"/>
          <w:sz w:val="24"/>
          <w:highlight w:val="none"/>
        </w:rPr>
        <w:t>水泥</w:t>
      </w:r>
      <w:r>
        <w:rPr>
          <w:color w:val="auto"/>
          <w:sz w:val="24"/>
          <w:highlight w:val="none"/>
        </w:rPr>
        <w:fldChar w:fldCharType="end"/>
      </w:r>
      <w:r>
        <w:rPr>
          <w:color w:val="auto"/>
          <w:sz w:val="24"/>
          <w:highlight w:val="none"/>
        </w:rPr>
        <w:t>:</w:t>
      </w:r>
      <w:r>
        <w:rPr>
          <w:color w:val="auto"/>
          <w:highlight w:val="none"/>
        </w:rPr>
        <w:fldChar w:fldCharType="begin"/>
      </w:r>
      <w:r>
        <w:rPr>
          <w:color w:val="auto"/>
          <w:highlight w:val="none"/>
        </w:rPr>
        <w:instrText xml:space="preserve"> HYPERLINK "http://www.so.com/s?q=%E5%AE%89%E5%AE%9A%E6%80%A7&amp;ie=utf-8&amp;src=internal_wenda_recommend_textn" \t "_blank" </w:instrText>
      </w:r>
      <w:r>
        <w:rPr>
          <w:color w:val="auto"/>
          <w:highlight w:val="none"/>
        </w:rPr>
        <w:fldChar w:fldCharType="separate"/>
      </w:r>
      <w:r>
        <w:rPr>
          <w:color w:val="auto"/>
          <w:sz w:val="24"/>
          <w:highlight w:val="none"/>
        </w:rPr>
        <w:t>安定性</w:t>
      </w:r>
      <w:r>
        <w:rPr>
          <w:color w:val="auto"/>
          <w:sz w:val="24"/>
          <w:highlight w:val="none"/>
        </w:rPr>
        <w:fldChar w:fldCharType="end"/>
      </w:r>
      <w:r>
        <w:rPr>
          <w:color w:val="auto"/>
          <w:sz w:val="24"/>
          <w:highlight w:val="none"/>
        </w:rPr>
        <w:t>、</w:t>
      </w:r>
      <w:r>
        <w:rPr>
          <w:color w:val="auto"/>
          <w:highlight w:val="none"/>
        </w:rPr>
        <w:fldChar w:fldCharType="begin"/>
      </w:r>
      <w:r>
        <w:rPr>
          <w:color w:val="auto"/>
          <w:highlight w:val="none"/>
        </w:rPr>
        <w:instrText xml:space="preserve"> HYPERLINK "http://www.so.com/s?q=%E7%BB%86%E5%BA%A6%E6%A8%A1%E6%95%B0&amp;ie=utf-8&amp;src=internal_wenda_recommend_textn" \t "_blank" </w:instrText>
      </w:r>
      <w:r>
        <w:rPr>
          <w:color w:val="auto"/>
          <w:highlight w:val="none"/>
        </w:rPr>
        <w:fldChar w:fldCharType="separate"/>
      </w:r>
      <w:r>
        <w:rPr>
          <w:color w:val="auto"/>
          <w:sz w:val="24"/>
          <w:highlight w:val="none"/>
        </w:rPr>
        <w:t>细度模数</w:t>
      </w:r>
      <w:r>
        <w:rPr>
          <w:color w:val="auto"/>
          <w:sz w:val="24"/>
          <w:highlight w:val="none"/>
        </w:rPr>
        <w:fldChar w:fldCharType="end"/>
      </w:r>
      <w:r>
        <w:rPr>
          <w:color w:val="auto"/>
          <w:sz w:val="24"/>
          <w:highlight w:val="none"/>
        </w:rPr>
        <w:t>、初</w:t>
      </w:r>
      <w:r>
        <w:rPr>
          <w:color w:val="auto"/>
          <w:highlight w:val="none"/>
        </w:rPr>
        <w:fldChar w:fldCharType="begin"/>
      </w:r>
      <w:r>
        <w:rPr>
          <w:color w:val="auto"/>
          <w:highlight w:val="none"/>
        </w:rPr>
        <w:instrText xml:space="preserve"> HYPERLINK "http://www.so.com/s?q=%E7%BB%88%E5%87%9D%E6%97%B6%E9%97%B4&amp;ie=utf-8&amp;src=internal_wenda_recommend_textn" \t "_blank" </w:instrText>
      </w:r>
      <w:r>
        <w:rPr>
          <w:color w:val="auto"/>
          <w:highlight w:val="none"/>
        </w:rPr>
        <w:fldChar w:fldCharType="separate"/>
      </w:r>
      <w:r>
        <w:rPr>
          <w:color w:val="auto"/>
          <w:sz w:val="24"/>
          <w:highlight w:val="none"/>
        </w:rPr>
        <w:t>终凝时间</w:t>
      </w:r>
      <w:r>
        <w:rPr>
          <w:color w:val="auto"/>
          <w:sz w:val="24"/>
          <w:highlight w:val="none"/>
        </w:rPr>
        <w:fldChar w:fldCharType="end"/>
      </w:r>
      <w:r>
        <w:rPr>
          <w:color w:val="auto"/>
          <w:sz w:val="24"/>
          <w:highlight w:val="none"/>
        </w:rPr>
        <w:t>等各项指标符合设计及规范要求</w:t>
      </w:r>
      <w:r>
        <w:rPr>
          <w:rFonts w:hint="eastAsia"/>
          <w:color w:val="auto"/>
          <w:sz w:val="24"/>
          <w:highlight w:val="none"/>
        </w:rPr>
        <w:t>。</w:t>
      </w:r>
    </w:p>
    <w:p w14:paraId="1B60809C">
      <w:pPr>
        <w:spacing w:line="360" w:lineRule="auto"/>
        <w:ind w:firstLine="570"/>
        <w:jc w:val="left"/>
        <w:rPr>
          <w:color w:val="auto"/>
          <w:sz w:val="24"/>
          <w:highlight w:val="none"/>
        </w:rPr>
      </w:pPr>
      <w:r>
        <w:rPr>
          <w:rFonts w:hint="eastAsia"/>
          <w:color w:val="auto"/>
          <w:sz w:val="24"/>
          <w:highlight w:val="none"/>
        </w:rPr>
        <w:t xml:space="preserve">③ </w:t>
      </w:r>
      <w:r>
        <w:rPr>
          <w:color w:val="auto"/>
          <w:highlight w:val="none"/>
        </w:rPr>
        <w:fldChar w:fldCharType="begin"/>
      </w:r>
      <w:r>
        <w:rPr>
          <w:color w:val="auto"/>
          <w:highlight w:val="none"/>
        </w:rPr>
        <w:instrText xml:space="preserve"> HYPERLINK "http://www.so.com/s?q=%E7%9F%B3%E6%96%99&amp;ie=utf-8&amp;src=internal_wenda_recommend_textn" \t "_blank" </w:instrText>
      </w:r>
      <w:r>
        <w:rPr>
          <w:color w:val="auto"/>
          <w:highlight w:val="none"/>
        </w:rPr>
        <w:fldChar w:fldCharType="separate"/>
      </w:r>
      <w:r>
        <w:rPr>
          <w:color w:val="auto"/>
          <w:sz w:val="24"/>
          <w:highlight w:val="none"/>
        </w:rPr>
        <w:t>石料</w:t>
      </w:r>
      <w:r>
        <w:rPr>
          <w:color w:val="auto"/>
          <w:sz w:val="24"/>
          <w:highlight w:val="none"/>
        </w:rPr>
        <w:fldChar w:fldCharType="end"/>
      </w:r>
      <w:r>
        <w:rPr>
          <w:color w:val="auto"/>
          <w:sz w:val="24"/>
          <w:highlight w:val="none"/>
        </w:rPr>
        <w:t>:质地坚硬、清洁、密实、无风化,极限抗压强度等各项物理力学指标符合设计规定,几何</w:t>
      </w:r>
      <w:r>
        <w:rPr>
          <w:color w:val="auto"/>
          <w:highlight w:val="none"/>
        </w:rPr>
        <w:fldChar w:fldCharType="begin"/>
      </w:r>
      <w:r>
        <w:rPr>
          <w:color w:val="auto"/>
          <w:highlight w:val="none"/>
        </w:rPr>
        <w:instrText xml:space="preserve"> HYPERLINK "http://www.so.com/s?q=%E5%B0%BA%E5%AF%B8&amp;ie=utf-8&amp;src=internal_wenda_recommend_textn" \t "_blank" </w:instrText>
      </w:r>
      <w:r>
        <w:rPr>
          <w:color w:val="auto"/>
          <w:highlight w:val="none"/>
        </w:rPr>
        <w:fldChar w:fldCharType="separate"/>
      </w:r>
      <w:r>
        <w:rPr>
          <w:color w:val="auto"/>
          <w:sz w:val="24"/>
          <w:highlight w:val="none"/>
        </w:rPr>
        <w:t>尺寸</w:t>
      </w:r>
      <w:r>
        <w:rPr>
          <w:color w:val="auto"/>
          <w:sz w:val="24"/>
          <w:highlight w:val="none"/>
        </w:rPr>
        <w:fldChar w:fldCharType="end"/>
      </w:r>
      <w:r>
        <w:rPr>
          <w:color w:val="auto"/>
          <w:sz w:val="24"/>
          <w:highlight w:val="none"/>
        </w:rPr>
        <w:t>等</w:t>
      </w:r>
      <w:r>
        <w:rPr>
          <w:color w:val="auto"/>
          <w:highlight w:val="none"/>
        </w:rPr>
        <w:fldChar w:fldCharType="begin"/>
      </w:r>
      <w:r>
        <w:rPr>
          <w:color w:val="auto"/>
          <w:highlight w:val="none"/>
        </w:rPr>
        <w:instrText xml:space="preserve"> HYPERLINK "http://www.so.com/s?q=%E5%A4%96%E8%A7%82&amp;ie=utf-8&amp;src=internal_wenda_recommend_textn" \t "_blank" </w:instrText>
      </w:r>
      <w:r>
        <w:rPr>
          <w:color w:val="auto"/>
          <w:highlight w:val="none"/>
        </w:rPr>
        <w:fldChar w:fldCharType="separate"/>
      </w:r>
      <w:r>
        <w:rPr>
          <w:color w:val="auto"/>
          <w:sz w:val="24"/>
          <w:highlight w:val="none"/>
        </w:rPr>
        <w:t>外观</w:t>
      </w:r>
      <w:r>
        <w:rPr>
          <w:color w:val="auto"/>
          <w:sz w:val="24"/>
          <w:highlight w:val="none"/>
        </w:rPr>
        <w:fldChar w:fldCharType="end"/>
      </w:r>
      <w:r>
        <w:rPr>
          <w:color w:val="auto"/>
          <w:sz w:val="24"/>
          <w:highlight w:val="none"/>
        </w:rPr>
        <w:t>指标符合规范要求</w:t>
      </w:r>
      <w:r>
        <w:rPr>
          <w:rFonts w:hint="eastAsia"/>
          <w:color w:val="auto"/>
          <w:sz w:val="24"/>
          <w:highlight w:val="none"/>
        </w:rPr>
        <w:t>。</w:t>
      </w:r>
    </w:p>
    <w:p w14:paraId="3754E125">
      <w:pPr>
        <w:spacing w:line="360" w:lineRule="auto"/>
        <w:ind w:firstLine="570"/>
        <w:jc w:val="left"/>
        <w:rPr>
          <w:color w:val="auto"/>
          <w:sz w:val="24"/>
          <w:highlight w:val="none"/>
        </w:rPr>
      </w:pPr>
      <w:r>
        <w:rPr>
          <w:rFonts w:hint="eastAsia"/>
          <w:color w:val="auto"/>
          <w:sz w:val="24"/>
          <w:highlight w:val="none"/>
        </w:rPr>
        <w:t xml:space="preserve">④ </w:t>
      </w:r>
      <w:r>
        <w:rPr>
          <w:color w:val="auto"/>
          <w:highlight w:val="none"/>
        </w:rPr>
        <w:fldChar w:fldCharType="begin"/>
      </w:r>
      <w:r>
        <w:rPr>
          <w:color w:val="auto"/>
          <w:highlight w:val="none"/>
        </w:rPr>
        <w:instrText xml:space="preserve"> HYPERLINK "http://www.so.com/s?q=%E6%B7%B7%E5%87%9D%E5%9C%9F%E9%85%8D%E5%90%88%E6%AF%94&amp;ie=utf-8&amp;src=internal_wenda_recommend_textn" \t "_blank" </w:instrText>
      </w:r>
      <w:r>
        <w:rPr>
          <w:color w:val="auto"/>
          <w:highlight w:val="none"/>
        </w:rPr>
        <w:fldChar w:fldCharType="separate"/>
      </w:r>
      <w:r>
        <w:rPr>
          <w:color w:val="auto"/>
          <w:sz w:val="24"/>
          <w:highlight w:val="none"/>
        </w:rPr>
        <w:t>混凝土配合比</w:t>
      </w:r>
      <w:r>
        <w:rPr>
          <w:color w:val="auto"/>
          <w:sz w:val="24"/>
          <w:highlight w:val="none"/>
        </w:rPr>
        <w:fldChar w:fldCharType="end"/>
      </w:r>
      <w:r>
        <w:rPr>
          <w:color w:val="auto"/>
          <w:sz w:val="24"/>
          <w:highlight w:val="none"/>
        </w:rPr>
        <w:t> </w:t>
      </w:r>
    </w:p>
    <w:p w14:paraId="77C5CCB4">
      <w:pPr>
        <w:spacing w:line="360" w:lineRule="auto"/>
        <w:ind w:firstLine="570"/>
        <w:jc w:val="left"/>
        <w:rPr>
          <w:color w:val="auto"/>
          <w:sz w:val="24"/>
          <w:highlight w:val="none"/>
        </w:rPr>
      </w:pPr>
      <w:r>
        <w:rPr>
          <w:rFonts w:hint="eastAsia"/>
          <w:color w:val="auto"/>
          <w:sz w:val="24"/>
          <w:highlight w:val="none"/>
        </w:rPr>
        <w:t>建议采用商品混凝土，由商品混凝土公司提供相关合格证明。</w:t>
      </w:r>
    </w:p>
    <w:p w14:paraId="6AEAE0A3">
      <w:pPr>
        <w:spacing w:line="360" w:lineRule="auto"/>
        <w:ind w:firstLine="570"/>
        <w:jc w:val="left"/>
        <w:rPr>
          <w:color w:val="auto"/>
          <w:sz w:val="24"/>
          <w:highlight w:val="none"/>
        </w:rPr>
      </w:pPr>
      <w:r>
        <w:rPr>
          <w:rFonts w:hint="eastAsia"/>
          <w:color w:val="auto"/>
          <w:sz w:val="24"/>
          <w:highlight w:val="none"/>
        </w:rPr>
        <w:t>a.2 基层准备</w:t>
      </w:r>
    </w:p>
    <w:p w14:paraId="083149D9">
      <w:pPr>
        <w:spacing w:line="360" w:lineRule="auto"/>
        <w:ind w:firstLine="570"/>
        <w:jc w:val="left"/>
        <w:rPr>
          <w:color w:val="auto"/>
          <w:sz w:val="24"/>
          <w:highlight w:val="none"/>
        </w:rPr>
      </w:pPr>
      <w:r>
        <w:rPr>
          <w:rFonts w:hint="eastAsia"/>
          <w:color w:val="auto"/>
          <w:sz w:val="24"/>
          <w:highlight w:val="none"/>
        </w:rPr>
        <w:t>① 在铺筑水泥混凝土面层前应将基层上的</w:t>
      </w:r>
      <w:r>
        <w:rPr>
          <w:color w:val="auto"/>
          <w:highlight w:val="none"/>
        </w:rPr>
        <w:fldChar w:fldCharType="begin"/>
      </w:r>
      <w:r>
        <w:rPr>
          <w:color w:val="auto"/>
          <w:highlight w:val="none"/>
        </w:rPr>
        <w:instrText xml:space="preserve"> HYPERLINK "http://www.so.com/s?q=%E6%B5%AE%E7%9F%B3&amp;ie=utf-8&amp;src=internal_wenda_recommend_textn" \t "_blank" </w:instrText>
      </w:r>
      <w:r>
        <w:rPr>
          <w:color w:val="auto"/>
          <w:highlight w:val="none"/>
        </w:rPr>
        <w:fldChar w:fldCharType="separate"/>
      </w:r>
      <w:r>
        <w:rPr>
          <w:rFonts w:hint="eastAsia"/>
          <w:color w:val="auto"/>
          <w:sz w:val="24"/>
          <w:highlight w:val="none"/>
        </w:rPr>
        <w:t>浮石</w:t>
      </w:r>
      <w:r>
        <w:rPr>
          <w:rFonts w:hint="eastAsia"/>
          <w:color w:val="auto"/>
          <w:sz w:val="24"/>
          <w:highlight w:val="none"/>
        </w:rPr>
        <w:fldChar w:fldCharType="end"/>
      </w:r>
      <w:r>
        <w:rPr>
          <w:rFonts w:hint="eastAsia"/>
          <w:color w:val="auto"/>
          <w:sz w:val="24"/>
          <w:highlight w:val="none"/>
        </w:rPr>
        <w:t>、</w:t>
      </w:r>
      <w:r>
        <w:rPr>
          <w:color w:val="auto"/>
          <w:highlight w:val="none"/>
        </w:rPr>
        <w:fldChar w:fldCharType="begin"/>
      </w:r>
      <w:r>
        <w:rPr>
          <w:color w:val="auto"/>
          <w:highlight w:val="none"/>
        </w:rPr>
        <w:instrText xml:space="preserve"> HYPERLINK "http://www.so.com/s?q=%E6%9D%82%E7%89%A9&amp;ie=utf-8&amp;src=internal_wenda_recommend_textn" \t "_blank" </w:instrText>
      </w:r>
      <w:r>
        <w:rPr>
          <w:color w:val="auto"/>
          <w:highlight w:val="none"/>
        </w:rPr>
        <w:fldChar w:fldCharType="separate"/>
      </w:r>
      <w:r>
        <w:rPr>
          <w:rFonts w:hint="eastAsia"/>
          <w:color w:val="auto"/>
          <w:sz w:val="24"/>
          <w:highlight w:val="none"/>
        </w:rPr>
        <w:t>杂物</w:t>
      </w:r>
      <w:r>
        <w:rPr>
          <w:rFonts w:hint="eastAsia"/>
          <w:color w:val="auto"/>
          <w:sz w:val="24"/>
          <w:highlight w:val="none"/>
        </w:rPr>
        <w:fldChar w:fldCharType="end"/>
      </w:r>
      <w:r>
        <w:rPr>
          <w:rFonts w:hint="eastAsia"/>
          <w:color w:val="auto"/>
          <w:sz w:val="24"/>
          <w:highlight w:val="none"/>
        </w:rPr>
        <w:t>、</w:t>
      </w:r>
      <w:r>
        <w:rPr>
          <w:color w:val="auto"/>
          <w:highlight w:val="none"/>
        </w:rPr>
        <w:fldChar w:fldCharType="begin"/>
      </w:r>
      <w:r>
        <w:rPr>
          <w:color w:val="auto"/>
          <w:highlight w:val="none"/>
        </w:rPr>
        <w:instrText xml:space="preserve"> HYPERLINK "http://www.so.com/s?q=%E5%B0%98%E5%9C%9F&amp;ie=utf-8&amp;src=internal_wenda_recommend_textn" \t "_blank" </w:instrText>
      </w:r>
      <w:r>
        <w:rPr>
          <w:color w:val="auto"/>
          <w:highlight w:val="none"/>
        </w:rPr>
        <w:fldChar w:fldCharType="separate"/>
      </w:r>
      <w:r>
        <w:rPr>
          <w:rFonts w:hint="eastAsia"/>
          <w:color w:val="auto"/>
          <w:sz w:val="24"/>
          <w:highlight w:val="none"/>
        </w:rPr>
        <w:t>尘土</w:t>
      </w:r>
      <w:r>
        <w:rPr>
          <w:rFonts w:hint="eastAsia"/>
          <w:color w:val="auto"/>
          <w:sz w:val="24"/>
          <w:highlight w:val="none"/>
        </w:rPr>
        <w:fldChar w:fldCharType="end"/>
      </w:r>
      <w:r>
        <w:rPr>
          <w:rFonts w:hint="eastAsia"/>
          <w:color w:val="auto"/>
          <w:sz w:val="24"/>
          <w:highlight w:val="none"/>
        </w:rPr>
        <w:t>等全部清除保持表面整洁并整理排水</w:t>
      </w:r>
      <w:r>
        <w:rPr>
          <w:color w:val="auto"/>
          <w:highlight w:val="none"/>
        </w:rPr>
        <w:fldChar w:fldCharType="begin"/>
      </w:r>
      <w:r>
        <w:rPr>
          <w:color w:val="auto"/>
          <w:highlight w:val="none"/>
        </w:rPr>
        <w:instrText xml:space="preserve"> HYPERLINK "http://www.so.com/s?q=%E8%AE%BE%E6%96%BD&amp;ie=utf-8&amp;src=internal_wenda_recommend_textn" \t "_blank" </w:instrText>
      </w:r>
      <w:r>
        <w:rPr>
          <w:color w:val="auto"/>
          <w:highlight w:val="none"/>
        </w:rPr>
        <w:fldChar w:fldCharType="separate"/>
      </w:r>
      <w:r>
        <w:rPr>
          <w:rFonts w:hint="eastAsia"/>
          <w:color w:val="auto"/>
          <w:sz w:val="24"/>
          <w:highlight w:val="none"/>
        </w:rPr>
        <w:t>设施</w:t>
      </w:r>
      <w:r>
        <w:rPr>
          <w:rFonts w:hint="eastAsia"/>
          <w:color w:val="auto"/>
          <w:sz w:val="24"/>
          <w:highlight w:val="none"/>
        </w:rPr>
        <w:fldChar w:fldCharType="end"/>
      </w:r>
      <w:r>
        <w:rPr>
          <w:rFonts w:hint="eastAsia"/>
          <w:color w:val="auto"/>
          <w:sz w:val="24"/>
          <w:highlight w:val="none"/>
        </w:rPr>
        <w:t>。</w:t>
      </w:r>
    </w:p>
    <w:p w14:paraId="43DEC614">
      <w:pPr>
        <w:spacing w:line="360" w:lineRule="auto"/>
        <w:ind w:firstLine="570"/>
        <w:jc w:val="left"/>
        <w:rPr>
          <w:color w:val="auto"/>
          <w:sz w:val="24"/>
          <w:highlight w:val="none"/>
        </w:rPr>
      </w:pPr>
      <w:r>
        <w:rPr>
          <w:rFonts w:hint="eastAsia"/>
          <w:color w:val="auto"/>
          <w:sz w:val="24"/>
          <w:highlight w:val="none"/>
        </w:rPr>
        <w:t>② 基层如有</w:t>
      </w:r>
      <w:r>
        <w:rPr>
          <w:color w:val="auto"/>
          <w:highlight w:val="none"/>
        </w:rPr>
        <w:fldChar w:fldCharType="begin"/>
      </w:r>
      <w:r>
        <w:rPr>
          <w:color w:val="auto"/>
          <w:highlight w:val="none"/>
        </w:rPr>
        <w:instrText xml:space="preserve"> HYPERLINK "http://www.so.com/s?q=%E8%BD%A6%E8%BE%99&amp;ie=utf-8&amp;src=internal_wenda_recommend_textn" \t "_blank" </w:instrText>
      </w:r>
      <w:r>
        <w:rPr>
          <w:color w:val="auto"/>
          <w:highlight w:val="none"/>
        </w:rPr>
        <w:fldChar w:fldCharType="separate"/>
      </w:r>
      <w:r>
        <w:rPr>
          <w:rFonts w:hint="eastAsia"/>
          <w:color w:val="auto"/>
          <w:sz w:val="24"/>
          <w:highlight w:val="none"/>
        </w:rPr>
        <w:t>车辙</w:t>
      </w:r>
      <w:r>
        <w:rPr>
          <w:rFonts w:hint="eastAsia"/>
          <w:color w:val="auto"/>
          <w:sz w:val="24"/>
          <w:highlight w:val="none"/>
        </w:rPr>
        <w:fldChar w:fldCharType="end"/>
      </w:r>
      <w:r>
        <w:rPr>
          <w:rFonts w:hint="eastAsia"/>
          <w:color w:val="auto"/>
          <w:sz w:val="24"/>
          <w:highlight w:val="none"/>
        </w:rPr>
        <w:t>、松软及其他不符规定要求的部位。均应翻挖、清除并以同类混合料填补、碾压并符合密实度的要求.</w:t>
      </w:r>
    </w:p>
    <w:p w14:paraId="5483F309">
      <w:pPr>
        <w:spacing w:line="360" w:lineRule="auto"/>
        <w:ind w:firstLine="570"/>
        <w:jc w:val="left"/>
        <w:rPr>
          <w:color w:val="auto"/>
          <w:sz w:val="24"/>
          <w:highlight w:val="none"/>
        </w:rPr>
      </w:pPr>
      <w:r>
        <w:rPr>
          <w:rFonts w:hint="eastAsia"/>
          <w:color w:val="auto"/>
          <w:sz w:val="24"/>
          <w:highlight w:val="none"/>
        </w:rPr>
        <w:t>a.3 施工机械准备</w:t>
      </w:r>
    </w:p>
    <w:p w14:paraId="48DB2F3D">
      <w:pPr>
        <w:spacing w:line="360" w:lineRule="auto"/>
        <w:ind w:firstLine="480" w:firstLineChars="200"/>
        <w:jc w:val="left"/>
        <w:rPr>
          <w:color w:val="auto"/>
          <w:sz w:val="24"/>
          <w:highlight w:val="none"/>
        </w:rPr>
      </w:pPr>
      <w:r>
        <w:rPr>
          <w:color w:val="auto"/>
          <w:sz w:val="24"/>
          <w:highlight w:val="none"/>
        </w:rPr>
        <w:t>根据工程规模、施工质量和进度要求配置合适的施工机械其技术性能应满足混凝土路面施工的要求。并应将</w:t>
      </w:r>
      <w:r>
        <w:rPr>
          <w:color w:val="auto"/>
          <w:highlight w:val="none"/>
        </w:rPr>
        <w:fldChar w:fldCharType="begin"/>
      </w:r>
      <w:r>
        <w:rPr>
          <w:color w:val="auto"/>
          <w:highlight w:val="none"/>
        </w:rPr>
        <w:instrText xml:space="preserve"> HYPERLINK "http://www.so.com/s?q=%E5%B7%A5%E5%9C%B0&amp;ie=utf-8&amp;src=internal_wenda_recommend_textn" \t "_blank" </w:instrText>
      </w:r>
      <w:r>
        <w:rPr>
          <w:color w:val="auto"/>
          <w:highlight w:val="none"/>
        </w:rPr>
        <w:fldChar w:fldCharType="separate"/>
      </w:r>
      <w:r>
        <w:rPr>
          <w:color w:val="auto"/>
          <w:sz w:val="24"/>
          <w:highlight w:val="none"/>
        </w:rPr>
        <w:t>工地</w:t>
      </w:r>
      <w:r>
        <w:rPr>
          <w:color w:val="auto"/>
          <w:sz w:val="24"/>
          <w:highlight w:val="none"/>
        </w:rPr>
        <w:fldChar w:fldCharType="end"/>
      </w:r>
      <w:r>
        <w:rPr>
          <w:color w:val="auto"/>
          <w:sz w:val="24"/>
          <w:highlight w:val="none"/>
        </w:rPr>
        <w:t>配置的各种施工机械的名称、机型、规格、数量等列表报</w:t>
      </w:r>
      <w:r>
        <w:rPr>
          <w:rFonts w:hint="eastAsia"/>
          <w:color w:val="auto"/>
          <w:sz w:val="24"/>
          <w:highlight w:val="none"/>
        </w:rPr>
        <w:t>发包人</w:t>
      </w:r>
      <w:r>
        <w:rPr>
          <w:color w:val="auto"/>
          <w:sz w:val="24"/>
          <w:highlight w:val="none"/>
        </w:rPr>
        <w:t>认可。</w:t>
      </w:r>
    </w:p>
    <w:p w14:paraId="4915D3CC">
      <w:pPr>
        <w:spacing w:line="360" w:lineRule="auto"/>
        <w:ind w:firstLine="480" w:firstLineChars="200"/>
        <w:jc w:val="left"/>
        <w:rPr>
          <w:color w:val="auto"/>
          <w:sz w:val="24"/>
          <w:highlight w:val="none"/>
        </w:rPr>
      </w:pPr>
      <w:r>
        <w:rPr>
          <w:rFonts w:hint="eastAsia"/>
          <w:color w:val="auto"/>
          <w:sz w:val="24"/>
          <w:highlight w:val="none"/>
        </w:rPr>
        <w:t xml:space="preserve">a.4 </w:t>
      </w:r>
      <w:r>
        <w:rPr>
          <w:color w:val="auto"/>
          <w:sz w:val="24"/>
          <w:highlight w:val="none"/>
        </w:rPr>
        <w:t>模板 </w:t>
      </w:r>
    </w:p>
    <w:p w14:paraId="35014F4B">
      <w:pPr>
        <w:spacing w:line="360" w:lineRule="auto"/>
        <w:ind w:firstLine="480" w:firstLineChars="200"/>
        <w:jc w:val="left"/>
        <w:rPr>
          <w:color w:val="auto"/>
          <w:sz w:val="24"/>
          <w:highlight w:val="none"/>
        </w:rPr>
      </w:pPr>
      <w:r>
        <w:rPr>
          <w:rFonts w:hint="eastAsia"/>
          <w:color w:val="auto"/>
          <w:sz w:val="24"/>
          <w:highlight w:val="none"/>
        </w:rPr>
        <w:t xml:space="preserve">① </w:t>
      </w:r>
      <w:r>
        <w:rPr>
          <w:color w:val="auto"/>
          <w:sz w:val="24"/>
          <w:highlight w:val="none"/>
        </w:rPr>
        <w:t>模板以钢板材料制成并配有合适的</w:t>
      </w:r>
      <w:r>
        <w:rPr>
          <w:color w:val="auto"/>
          <w:highlight w:val="none"/>
        </w:rPr>
        <w:fldChar w:fldCharType="begin"/>
      </w:r>
      <w:r>
        <w:rPr>
          <w:color w:val="auto"/>
          <w:highlight w:val="none"/>
        </w:rPr>
        <w:instrText xml:space="preserve"> HYPERLINK "http://www.so.com/s?q=%E8%A3%85%E7%BD%AE&amp;ie=utf-8&amp;src=internal_wenda_recommend_textn" \t "_blank" </w:instrText>
      </w:r>
      <w:r>
        <w:rPr>
          <w:color w:val="auto"/>
          <w:highlight w:val="none"/>
        </w:rPr>
        <w:fldChar w:fldCharType="separate"/>
      </w:r>
      <w:r>
        <w:rPr>
          <w:color w:val="auto"/>
          <w:sz w:val="24"/>
          <w:highlight w:val="none"/>
        </w:rPr>
        <w:t>装置</w:t>
      </w:r>
      <w:r>
        <w:rPr>
          <w:color w:val="auto"/>
          <w:sz w:val="24"/>
          <w:highlight w:val="none"/>
        </w:rPr>
        <w:fldChar w:fldCharType="end"/>
      </w:r>
      <w:r>
        <w:rPr>
          <w:color w:val="auto"/>
          <w:sz w:val="24"/>
          <w:highlight w:val="none"/>
        </w:rPr>
        <w:t>以保证模板连接牢固可靠使在浇注混凝土时能经受捣实和饰面设备的冲击和振动。</w:t>
      </w:r>
    </w:p>
    <w:p w14:paraId="57F5B83B">
      <w:pPr>
        <w:spacing w:line="360" w:lineRule="auto"/>
        <w:ind w:firstLine="480" w:firstLineChars="200"/>
        <w:jc w:val="left"/>
        <w:rPr>
          <w:color w:val="auto"/>
          <w:sz w:val="24"/>
          <w:highlight w:val="none"/>
        </w:rPr>
      </w:pPr>
      <w:r>
        <w:rPr>
          <w:rFonts w:hint="eastAsia"/>
          <w:color w:val="auto"/>
          <w:sz w:val="24"/>
          <w:highlight w:val="none"/>
        </w:rPr>
        <w:t xml:space="preserve">② </w:t>
      </w:r>
      <w:r>
        <w:rPr>
          <w:color w:val="auto"/>
          <w:sz w:val="24"/>
          <w:highlight w:val="none"/>
        </w:rPr>
        <w:t>模板安装应顺直无扭曲相邻钢模应平头锁接方式紧密联接不得漏浆模板接缝在任何方向都应不能活动。模板</w:t>
      </w:r>
      <w:r>
        <w:rPr>
          <w:color w:val="auto"/>
          <w:highlight w:val="none"/>
        </w:rPr>
        <w:fldChar w:fldCharType="begin"/>
      </w:r>
      <w:r>
        <w:rPr>
          <w:color w:val="auto"/>
          <w:highlight w:val="none"/>
        </w:rPr>
        <w:instrText xml:space="preserve"> HYPERLINK "http://www.so.com/s?q=%E9%AB%98%E5%BA%A6&amp;ie=utf-8&amp;src=internal_wenda_recommend_textn" \t "_blank" </w:instrText>
      </w:r>
      <w:r>
        <w:rPr>
          <w:color w:val="auto"/>
          <w:highlight w:val="none"/>
        </w:rPr>
        <w:fldChar w:fldCharType="separate"/>
      </w:r>
      <w:r>
        <w:rPr>
          <w:color w:val="auto"/>
          <w:sz w:val="24"/>
          <w:highlight w:val="none"/>
        </w:rPr>
        <w:t>高度</w:t>
      </w:r>
      <w:r>
        <w:rPr>
          <w:color w:val="auto"/>
          <w:sz w:val="24"/>
          <w:highlight w:val="none"/>
        </w:rPr>
        <w:fldChar w:fldCharType="end"/>
      </w:r>
      <w:r>
        <w:rPr>
          <w:color w:val="auto"/>
          <w:sz w:val="24"/>
          <w:highlight w:val="none"/>
        </w:rPr>
        <w:t>应与混凝土路面厚度相同误差为+0,-5mm。</w:t>
      </w:r>
    </w:p>
    <w:p w14:paraId="59E2E4BA">
      <w:pPr>
        <w:spacing w:line="360" w:lineRule="auto"/>
        <w:ind w:firstLine="480" w:firstLineChars="200"/>
        <w:jc w:val="left"/>
        <w:rPr>
          <w:color w:val="auto"/>
          <w:sz w:val="24"/>
          <w:highlight w:val="none"/>
        </w:rPr>
      </w:pPr>
      <w:r>
        <w:rPr>
          <w:rFonts w:hint="eastAsia"/>
          <w:color w:val="auto"/>
          <w:sz w:val="24"/>
          <w:highlight w:val="none"/>
        </w:rPr>
        <w:t xml:space="preserve">③ </w:t>
      </w:r>
      <w:r>
        <w:rPr>
          <w:color w:val="auto"/>
          <w:sz w:val="24"/>
          <w:highlight w:val="none"/>
        </w:rPr>
        <w:t>用于</w:t>
      </w:r>
      <w:r>
        <w:rPr>
          <w:color w:val="auto"/>
          <w:highlight w:val="none"/>
        </w:rPr>
        <w:fldChar w:fldCharType="begin"/>
      </w:r>
      <w:r>
        <w:rPr>
          <w:color w:val="auto"/>
          <w:highlight w:val="none"/>
        </w:rPr>
        <w:instrText xml:space="preserve"> HYPERLINK "http://www.so.com/s?q=%E8%83%80%E7%BC%9D&amp;ie=utf-8&amp;src=internal_wenda_recommend_textn" \t "_blank" </w:instrText>
      </w:r>
      <w:r>
        <w:rPr>
          <w:color w:val="auto"/>
          <w:highlight w:val="none"/>
        </w:rPr>
        <w:fldChar w:fldCharType="separate"/>
      </w:r>
      <w:r>
        <w:rPr>
          <w:color w:val="auto"/>
          <w:sz w:val="24"/>
          <w:highlight w:val="none"/>
        </w:rPr>
        <w:t>胀缝</w:t>
      </w:r>
      <w:r>
        <w:rPr>
          <w:color w:val="auto"/>
          <w:sz w:val="24"/>
          <w:highlight w:val="none"/>
        </w:rPr>
        <w:fldChar w:fldCharType="end"/>
      </w:r>
      <w:r>
        <w:rPr>
          <w:color w:val="auto"/>
          <w:sz w:val="24"/>
          <w:highlight w:val="none"/>
        </w:rPr>
        <w:t>和施工缝的模板根据传力杆和拉杆的设计位置放样钻孔。</w:t>
      </w:r>
    </w:p>
    <w:p w14:paraId="62677928">
      <w:pPr>
        <w:spacing w:line="360" w:lineRule="auto"/>
        <w:ind w:firstLine="480" w:firstLineChars="200"/>
        <w:jc w:val="left"/>
        <w:rPr>
          <w:color w:val="auto"/>
          <w:sz w:val="24"/>
          <w:highlight w:val="none"/>
        </w:rPr>
      </w:pPr>
      <w:r>
        <w:rPr>
          <w:rFonts w:hint="eastAsia"/>
          <w:color w:val="auto"/>
          <w:sz w:val="24"/>
          <w:highlight w:val="none"/>
        </w:rPr>
        <w:t xml:space="preserve">④ </w:t>
      </w:r>
      <w:r>
        <w:rPr>
          <w:color w:val="auto"/>
          <w:sz w:val="24"/>
          <w:highlight w:val="none"/>
        </w:rPr>
        <w:t>模板在整个</w:t>
      </w:r>
      <w:r>
        <w:rPr>
          <w:color w:val="auto"/>
          <w:highlight w:val="none"/>
        </w:rPr>
        <w:fldChar w:fldCharType="begin"/>
      </w:r>
      <w:r>
        <w:rPr>
          <w:color w:val="auto"/>
          <w:highlight w:val="none"/>
        </w:rPr>
        <w:instrText xml:space="preserve"> HYPERLINK "http://www.so.com/s?q=%E9%95%BF%E5%BA%A6&amp;ie=utf-8&amp;src=internal_wenda_recommend_textn" \t "_blank" </w:instrText>
      </w:r>
      <w:r>
        <w:rPr>
          <w:color w:val="auto"/>
          <w:highlight w:val="none"/>
        </w:rPr>
        <w:fldChar w:fldCharType="separate"/>
      </w:r>
      <w:r>
        <w:rPr>
          <w:color w:val="auto"/>
          <w:sz w:val="24"/>
          <w:highlight w:val="none"/>
        </w:rPr>
        <w:t>长度</w:t>
      </w:r>
      <w:r>
        <w:rPr>
          <w:color w:val="auto"/>
          <w:sz w:val="24"/>
          <w:highlight w:val="none"/>
        </w:rPr>
        <w:fldChar w:fldCharType="end"/>
      </w:r>
      <w:r>
        <w:rPr>
          <w:color w:val="auto"/>
          <w:sz w:val="24"/>
          <w:highlight w:val="none"/>
        </w:rPr>
        <w:t>完全紧压在基层上并正确地按完成后的</w:t>
      </w:r>
      <w:r>
        <w:rPr>
          <w:color w:val="auto"/>
          <w:highlight w:val="none"/>
        </w:rPr>
        <w:fldChar w:fldCharType="begin"/>
      </w:r>
      <w:r>
        <w:rPr>
          <w:color w:val="auto"/>
          <w:highlight w:val="none"/>
        </w:rPr>
        <w:instrText xml:space="preserve"> HYPERLINK "http://www.so.com/s?q=%E8%B7%AF%E9%9D%A2&amp;ie=utf-8&amp;src=internal_wenda_recommend_textn" \t "_blank" </w:instrText>
      </w:r>
      <w:r>
        <w:rPr>
          <w:color w:val="auto"/>
          <w:highlight w:val="none"/>
        </w:rPr>
        <w:fldChar w:fldCharType="separate"/>
      </w:r>
      <w:r>
        <w:rPr>
          <w:color w:val="auto"/>
          <w:sz w:val="24"/>
          <w:highlight w:val="none"/>
        </w:rPr>
        <w:t>路面</w:t>
      </w:r>
      <w:r>
        <w:rPr>
          <w:color w:val="auto"/>
          <w:sz w:val="24"/>
          <w:highlight w:val="none"/>
        </w:rPr>
        <w:fldChar w:fldCharType="end"/>
      </w:r>
      <w:r>
        <w:rPr>
          <w:color w:val="auto"/>
          <w:sz w:val="24"/>
          <w:highlight w:val="none"/>
        </w:rPr>
        <w:t>边缘要求的坡度和纵向安置。</w:t>
      </w:r>
    </w:p>
    <w:p w14:paraId="30F6214F">
      <w:pPr>
        <w:spacing w:line="360" w:lineRule="auto"/>
        <w:ind w:firstLine="480" w:firstLineChars="200"/>
        <w:jc w:val="left"/>
        <w:rPr>
          <w:color w:val="auto"/>
          <w:sz w:val="24"/>
          <w:highlight w:val="none"/>
        </w:rPr>
      </w:pPr>
      <w:r>
        <w:rPr>
          <w:rFonts w:hint="eastAsia"/>
          <w:color w:val="auto"/>
          <w:sz w:val="24"/>
          <w:highlight w:val="none"/>
        </w:rPr>
        <w:t xml:space="preserve">⑤ </w:t>
      </w:r>
      <w:r>
        <w:rPr>
          <w:color w:val="auto"/>
          <w:sz w:val="24"/>
          <w:highlight w:val="none"/>
        </w:rPr>
        <w:t>模板要彻底清扫干净并在每次浇注混凝土之前涂</w:t>
      </w:r>
      <w:r>
        <w:rPr>
          <w:color w:val="auto"/>
          <w:highlight w:val="none"/>
        </w:rPr>
        <w:fldChar w:fldCharType="begin"/>
      </w:r>
      <w:r>
        <w:rPr>
          <w:color w:val="auto"/>
          <w:highlight w:val="none"/>
        </w:rPr>
        <w:instrText xml:space="preserve"> HYPERLINK "http://www.so.com/s?q=%E9%9A%94%E7%A6%BB%E5%89%82&amp;ie=utf-8&amp;src=internal_wenda_recommend_textn" \t "_blank" </w:instrText>
      </w:r>
      <w:r>
        <w:rPr>
          <w:color w:val="auto"/>
          <w:highlight w:val="none"/>
        </w:rPr>
        <w:fldChar w:fldCharType="separate"/>
      </w:r>
      <w:r>
        <w:rPr>
          <w:color w:val="auto"/>
          <w:sz w:val="24"/>
          <w:highlight w:val="none"/>
        </w:rPr>
        <w:t>隔离剂</w:t>
      </w:r>
      <w:r>
        <w:rPr>
          <w:color w:val="auto"/>
          <w:sz w:val="24"/>
          <w:highlight w:val="none"/>
        </w:rPr>
        <w:fldChar w:fldCharType="end"/>
      </w:r>
      <w:r>
        <w:rPr>
          <w:color w:val="auto"/>
          <w:sz w:val="24"/>
          <w:highlight w:val="none"/>
        </w:rPr>
        <w:t>。</w:t>
      </w:r>
    </w:p>
    <w:p w14:paraId="79522AE4">
      <w:pPr>
        <w:spacing w:line="360" w:lineRule="auto"/>
        <w:ind w:firstLine="480" w:firstLineChars="200"/>
        <w:jc w:val="left"/>
        <w:rPr>
          <w:color w:val="auto"/>
          <w:sz w:val="24"/>
          <w:highlight w:val="none"/>
        </w:rPr>
      </w:pPr>
      <w:r>
        <w:rPr>
          <w:rFonts w:hint="eastAsia"/>
          <w:color w:val="auto"/>
          <w:sz w:val="24"/>
          <w:highlight w:val="none"/>
        </w:rPr>
        <w:t xml:space="preserve">a.5 </w:t>
      </w:r>
      <w:r>
        <w:rPr>
          <w:color w:val="auto"/>
          <w:sz w:val="24"/>
          <w:highlight w:val="none"/>
        </w:rPr>
        <w:t>钢筋设置</w:t>
      </w:r>
    </w:p>
    <w:p w14:paraId="1144B1BD">
      <w:pPr>
        <w:spacing w:line="360" w:lineRule="auto"/>
        <w:ind w:firstLine="420" w:firstLineChars="200"/>
        <w:jc w:val="left"/>
        <w:rPr>
          <w:color w:val="auto"/>
          <w:sz w:val="24"/>
          <w:highlight w:val="none"/>
        </w:rPr>
      </w:pPr>
      <w:r>
        <w:rPr>
          <w:color w:val="auto"/>
          <w:highlight w:val="none"/>
        </w:rPr>
        <w:fldChar w:fldCharType="begin"/>
      </w:r>
      <w:r>
        <w:rPr>
          <w:color w:val="auto"/>
          <w:highlight w:val="none"/>
        </w:rPr>
        <w:instrText xml:space="preserve"> HYPERLINK "http://www.so.com/s?q=%E9%92%A2%E7%AD%8B%E7%BD%91&amp;ie=utf-8&amp;src=internal_wenda_recommend_textn" \t "_blank" </w:instrText>
      </w:r>
      <w:r>
        <w:rPr>
          <w:color w:val="auto"/>
          <w:highlight w:val="none"/>
        </w:rPr>
        <w:fldChar w:fldCharType="separate"/>
      </w:r>
      <w:r>
        <w:rPr>
          <w:color w:val="auto"/>
          <w:sz w:val="24"/>
          <w:highlight w:val="none"/>
        </w:rPr>
        <w:t>钢筋网</w:t>
      </w:r>
      <w:r>
        <w:rPr>
          <w:color w:val="auto"/>
          <w:sz w:val="24"/>
          <w:highlight w:val="none"/>
        </w:rPr>
        <w:fldChar w:fldCharType="end"/>
      </w:r>
      <w:r>
        <w:rPr>
          <w:color w:val="auto"/>
          <w:sz w:val="24"/>
          <w:highlight w:val="none"/>
        </w:rPr>
        <w:t>片、</w:t>
      </w:r>
      <w:r>
        <w:rPr>
          <w:color w:val="auto"/>
          <w:highlight w:val="none"/>
        </w:rPr>
        <w:fldChar w:fldCharType="begin"/>
      </w:r>
      <w:r>
        <w:rPr>
          <w:color w:val="auto"/>
          <w:highlight w:val="none"/>
        </w:rPr>
        <w:instrText xml:space="preserve"> HYPERLINK "http://www.so.com/s?q=%E8%A7%92%E9%9A%85%E9%92%A2%E7%AD%8B&amp;ie=utf-8&amp;src=internal_wenda_recommend_textn" \t "_blank" </w:instrText>
      </w:r>
      <w:r>
        <w:rPr>
          <w:color w:val="auto"/>
          <w:highlight w:val="none"/>
        </w:rPr>
        <w:fldChar w:fldCharType="separate"/>
      </w:r>
      <w:r>
        <w:rPr>
          <w:color w:val="auto"/>
          <w:sz w:val="24"/>
          <w:highlight w:val="none"/>
        </w:rPr>
        <w:t>角隅钢筋</w:t>
      </w:r>
      <w:r>
        <w:rPr>
          <w:color w:val="auto"/>
          <w:sz w:val="24"/>
          <w:highlight w:val="none"/>
        </w:rPr>
        <w:fldChar w:fldCharType="end"/>
      </w:r>
      <w:r>
        <w:rPr>
          <w:color w:val="auto"/>
          <w:sz w:val="24"/>
          <w:highlight w:val="none"/>
        </w:rPr>
        <w:t>、边缘钢筋的安设均要符合有关规范的规定。</w:t>
      </w:r>
    </w:p>
    <w:p w14:paraId="6BA27435">
      <w:pPr>
        <w:spacing w:line="360" w:lineRule="auto"/>
        <w:ind w:firstLine="480" w:firstLineChars="200"/>
        <w:jc w:val="left"/>
        <w:rPr>
          <w:color w:val="auto"/>
          <w:sz w:val="24"/>
          <w:highlight w:val="none"/>
        </w:rPr>
      </w:pPr>
      <w:r>
        <w:rPr>
          <w:rFonts w:hint="eastAsia"/>
          <w:color w:val="auto"/>
          <w:sz w:val="24"/>
          <w:highlight w:val="none"/>
        </w:rPr>
        <w:t>b</w:t>
      </w:r>
      <w:r>
        <w:rPr>
          <w:color w:val="auto"/>
          <w:sz w:val="24"/>
          <w:highlight w:val="none"/>
        </w:rPr>
        <w:t>、混凝土摊铺</w:t>
      </w:r>
    </w:p>
    <w:p w14:paraId="0D424620">
      <w:pPr>
        <w:spacing w:line="360" w:lineRule="auto"/>
        <w:ind w:firstLine="480" w:firstLineChars="200"/>
        <w:jc w:val="left"/>
        <w:rPr>
          <w:color w:val="auto"/>
          <w:sz w:val="24"/>
          <w:highlight w:val="none"/>
        </w:rPr>
      </w:pPr>
      <w:r>
        <w:rPr>
          <w:rFonts w:hint="eastAsia"/>
          <w:color w:val="auto"/>
          <w:sz w:val="24"/>
          <w:highlight w:val="none"/>
        </w:rPr>
        <w:t xml:space="preserve">① </w:t>
      </w:r>
      <w:r>
        <w:rPr>
          <w:color w:val="auto"/>
          <w:sz w:val="24"/>
          <w:highlight w:val="none"/>
        </w:rPr>
        <w:t>混凝土混合料摊铺前对模板的</w:t>
      </w:r>
      <w:r>
        <w:rPr>
          <w:color w:val="auto"/>
          <w:highlight w:val="none"/>
        </w:rPr>
        <w:fldChar w:fldCharType="begin"/>
      </w:r>
      <w:r>
        <w:rPr>
          <w:color w:val="auto"/>
          <w:highlight w:val="none"/>
        </w:rPr>
        <w:instrText xml:space="preserve"> HYPERLINK "http://www.so.com/s?q=%E9%97%B4%E8%B7%9D&amp;ie=utf-8&amp;src=internal_wenda_recommend_textn" \t "_blank" </w:instrText>
      </w:r>
      <w:r>
        <w:rPr>
          <w:color w:val="auto"/>
          <w:highlight w:val="none"/>
        </w:rPr>
        <w:fldChar w:fldCharType="separate"/>
      </w:r>
      <w:r>
        <w:rPr>
          <w:color w:val="auto"/>
          <w:sz w:val="24"/>
          <w:highlight w:val="none"/>
        </w:rPr>
        <w:t>间距</w:t>
      </w:r>
      <w:r>
        <w:rPr>
          <w:color w:val="auto"/>
          <w:sz w:val="24"/>
          <w:highlight w:val="none"/>
        </w:rPr>
        <w:fldChar w:fldCharType="end"/>
      </w:r>
      <w:r>
        <w:rPr>
          <w:color w:val="auto"/>
          <w:sz w:val="24"/>
          <w:highlight w:val="none"/>
        </w:rPr>
        <w:t>、高度、润滑、支撑稳固情况以及钢筋、传力杆、拉杆安装位置进行全面检查。</w:t>
      </w:r>
    </w:p>
    <w:p w14:paraId="2409D127">
      <w:pPr>
        <w:spacing w:line="360" w:lineRule="auto"/>
        <w:ind w:firstLine="480" w:firstLineChars="200"/>
        <w:jc w:val="left"/>
        <w:rPr>
          <w:color w:val="auto"/>
          <w:sz w:val="24"/>
          <w:highlight w:val="none"/>
        </w:rPr>
      </w:pPr>
      <w:r>
        <w:rPr>
          <w:rFonts w:hint="eastAsia"/>
          <w:color w:val="auto"/>
          <w:sz w:val="24"/>
          <w:highlight w:val="none"/>
        </w:rPr>
        <w:t xml:space="preserve">② </w:t>
      </w:r>
      <w:r>
        <w:rPr>
          <w:color w:val="auto"/>
          <w:sz w:val="24"/>
          <w:highlight w:val="none"/>
        </w:rPr>
        <w:t>混凝土采用批准的</w:t>
      </w:r>
      <w:r>
        <w:rPr>
          <w:color w:val="auto"/>
          <w:highlight w:val="none"/>
        </w:rPr>
        <w:fldChar w:fldCharType="begin"/>
      </w:r>
      <w:r>
        <w:rPr>
          <w:color w:val="auto"/>
          <w:highlight w:val="none"/>
        </w:rPr>
        <w:instrText xml:space="preserve"> HYPERLINK "http://www.so.com/s?q=%E6%91%8A%E9%93%BA%E6%9C%BA&amp;ie=utf-8&amp;src=internal_wenda_recommend_textn" \t "_blank" </w:instrText>
      </w:r>
      <w:r>
        <w:rPr>
          <w:color w:val="auto"/>
          <w:highlight w:val="none"/>
        </w:rPr>
        <w:fldChar w:fldCharType="separate"/>
      </w:r>
      <w:r>
        <w:rPr>
          <w:color w:val="auto"/>
          <w:sz w:val="24"/>
          <w:highlight w:val="none"/>
        </w:rPr>
        <w:t>摊铺机</w:t>
      </w:r>
      <w:r>
        <w:rPr>
          <w:color w:val="auto"/>
          <w:sz w:val="24"/>
          <w:highlight w:val="none"/>
        </w:rPr>
        <w:fldChar w:fldCharType="end"/>
      </w:r>
      <w:r>
        <w:rPr>
          <w:color w:val="auto"/>
          <w:sz w:val="24"/>
          <w:highlight w:val="none"/>
        </w:rPr>
        <w:t>具进行</w:t>
      </w:r>
      <w:r>
        <w:rPr>
          <w:rFonts w:hint="eastAsia"/>
          <w:color w:val="auto"/>
          <w:sz w:val="24"/>
          <w:highlight w:val="none"/>
        </w:rPr>
        <w:t>摊铺</w:t>
      </w:r>
      <w:r>
        <w:rPr>
          <w:color w:val="auto"/>
          <w:sz w:val="24"/>
          <w:highlight w:val="none"/>
        </w:rPr>
        <w:t>连续进行如因任何原因发生中途停工应设置施工缝。</w:t>
      </w:r>
    </w:p>
    <w:p w14:paraId="48C92EE6">
      <w:pPr>
        <w:spacing w:line="360" w:lineRule="auto"/>
        <w:ind w:firstLine="480" w:firstLineChars="200"/>
        <w:jc w:val="left"/>
        <w:rPr>
          <w:color w:val="auto"/>
          <w:sz w:val="24"/>
          <w:highlight w:val="none"/>
        </w:rPr>
      </w:pPr>
      <w:r>
        <w:rPr>
          <w:rFonts w:hint="eastAsia"/>
          <w:color w:val="auto"/>
          <w:sz w:val="24"/>
          <w:highlight w:val="none"/>
        </w:rPr>
        <w:t xml:space="preserve">③ </w:t>
      </w:r>
      <w:r>
        <w:rPr>
          <w:color w:val="auto"/>
          <w:sz w:val="24"/>
          <w:highlight w:val="none"/>
        </w:rPr>
        <w:t>拌好后的混凝土用插入式振捣器沿模板各表面在模板整个长度内及所有胀缝装置两边加以充分振捣。振捣器不许接触接缝装置及边模并不得触及钢筋网、传力杆和拉杆在任一位置上振捣时间不宜小于规范要求再用平板振捣器振捣。然后用振动整平梁振动整平振动梁应平行移动往返振平2—3遍。</w:t>
      </w:r>
    </w:p>
    <w:p w14:paraId="4B38614F">
      <w:pPr>
        <w:spacing w:line="360" w:lineRule="auto"/>
        <w:ind w:firstLine="480" w:firstLineChars="200"/>
        <w:jc w:val="left"/>
        <w:rPr>
          <w:color w:val="auto"/>
          <w:sz w:val="24"/>
          <w:highlight w:val="none"/>
        </w:rPr>
      </w:pPr>
      <w:r>
        <w:rPr>
          <w:rFonts w:hint="eastAsia"/>
          <w:color w:val="auto"/>
          <w:sz w:val="24"/>
          <w:highlight w:val="none"/>
        </w:rPr>
        <w:t>c</w:t>
      </w:r>
      <w:r>
        <w:rPr>
          <w:color w:val="auto"/>
          <w:sz w:val="24"/>
          <w:highlight w:val="none"/>
        </w:rPr>
        <w:t>、表面修整</w:t>
      </w:r>
    </w:p>
    <w:p w14:paraId="3DF9809F">
      <w:pPr>
        <w:spacing w:line="360" w:lineRule="auto"/>
        <w:ind w:firstLine="480" w:firstLineChars="200"/>
        <w:jc w:val="left"/>
        <w:rPr>
          <w:color w:val="auto"/>
          <w:sz w:val="24"/>
          <w:highlight w:val="none"/>
        </w:rPr>
      </w:pPr>
      <w:r>
        <w:rPr>
          <w:rFonts w:hint="eastAsia"/>
          <w:color w:val="auto"/>
          <w:sz w:val="24"/>
          <w:highlight w:val="none"/>
        </w:rPr>
        <w:t xml:space="preserve">① </w:t>
      </w:r>
      <w:r>
        <w:rPr>
          <w:color w:val="auto"/>
          <w:sz w:val="24"/>
          <w:highlight w:val="none"/>
        </w:rPr>
        <w:t>混凝土摊铺、捣实、</w:t>
      </w:r>
      <w:r>
        <w:rPr>
          <w:color w:val="auto"/>
          <w:highlight w:val="none"/>
        </w:rPr>
        <w:fldChar w:fldCharType="begin"/>
      </w:r>
      <w:r>
        <w:rPr>
          <w:color w:val="auto"/>
          <w:highlight w:val="none"/>
        </w:rPr>
        <w:instrText xml:space="preserve"> HYPERLINK "http://www.so.com/s?q=%E5%88%AE%E5%B9%B3&amp;ie=utf-8&amp;src=internal_wenda_recommend_textn" \t "_blank" </w:instrText>
      </w:r>
      <w:r>
        <w:rPr>
          <w:color w:val="auto"/>
          <w:highlight w:val="none"/>
        </w:rPr>
        <w:fldChar w:fldCharType="separate"/>
      </w:r>
      <w:r>
        <w:rPr>
          <w:color w:val="auto"/>
          <w:sz w:val="24"/>
          <w:highlight w:val="none"/>
        </w:rPr>
        <w:t>刮平</w:t>
      </w:r>
      <w:r>
        <w:rPr>
          <w:color w:val="auto"/>
          <w:sz w:val="24"/>
          <w:highlight w:val="none"/>
        </w:rPr>
        <w:fldChar w:fldCharType="end"/>
      </w:r>
      <w:r>
        <w:rPr>
          <w:color w:val="auto"/>
          <w:sz w:val="24"/>
          <w:highlight w:val="none"/>
        </w:rPr>
        <w:t>作业完成后用批准的修整设备进一步整平使混凝土表面达到要求的</w:t>
      </w:r>
      <w:r>
        <w:rPr>
          <w:color w:val="auto"/>
          <w:highlight w:val="none"/>
        </w:rPr>
        <w:fldChar w:fldCharType="begin"/>
      </w:r>
      <w:r>
        <w:rPr>
          <w:color w:val="auto"/>
          <w:highlight w:val="none"/>
        </w:rPr>
        <w:instrText xml:space="preserve"> HYPERLINK "http://www.so.com/s?q=%E6%A8%AA%E5%9D%A1%E5%BA%A6&amp;ie=utf-8&amp;src=internal_wenda_recommend_textn" \t "_blank" </w:instrText>
      </w:r>
      <w:r>
        <w:rPr>
          <w:color w:val="auto"/>
          <w:highlight w:val="none"/>
        </w:rPr>
        <w:fldChar w:fldCharType="separate"/>
      </w:r>
      <w:r>
        <w:rPr>
          <w:color w:val="auto"/>
          <w:sz w:val="24"/>
          <w:highlight w:val="none"/>
        </w:rPr>
        <w:t>横坡度</w:t>
      </w:r>
      <w:r>
        <w:rPr>
          <w:color w:val="auto"/>
          <w:sz w:val="24"/>
          <w:highlight w:val="none"/>
        </w:rPr>
        <w:fldChar w:fldCharType="end"/>
      </w:r>
      <w:r>
        <w:rPr>
          <w:color w:val="auto"/>
          <w:sz w:val="24"/>
          <w:highlight w:val="none"/>
        </w:rPr>
        <w:t>和</w:t>
      </w:r>
      <w:r>
        <w:rPr>
          <w:color w:val="auto"/>
          <w:highlight w:val="none"/>
        </w:rPr>
        <w:fldChar w:fldCharType="begin"/>
      </w:r>
      <w:r>
        <w:rPr>
          <w:color w:val="auto"/>
          <w:highlight w:val="none"/>
        </w:rPr>
        <w:instrText xml:space="preserve"> HYPERLINK "http://www.so.com/s?q=%E5%B9%B3%E6%95%B4%E5%BA%A6&amp;ie=utf-8&amp;src=internal_wenda_recommend_textn" \t "_blank" </w:instrText>
      </w:r>
      <w:r>
        <w:rPr>
          <w:color w:val="auto"/>
          <w:highlight w:val="none"/>
        </w:rPr>
        <w:fldChar w:fldCharType="separate"/>
      </w:r>
      <w:r>
        <w:rPr>
          <w:color w:val="auto"/>
          <w:sz w:val="24"/>
          <w:highlight w:val="none"/>
        </w:rPr>
        <w:t>平整度</w:t>
      </w:r>
      <w:r>
        <w:rPr>
          <w:color w:val="auto"/>
          <w:sz w:val="24"/>
          <w:highlight w:val="none"/>
        </w:rPr>
        <w:fldChar w:fldCharType="end"/>
      </w:r>
      <w:r>
        <w:rPr>
          <w:color w:val="auto"/>
          <w:sz w:val="24"/>
          <w:highlight w:val="none"/>
        </w:rPr>
        <w:t>。</w:t>
      </w:r>
    </w:p>
    <w:p w14:paraId="30AC61A9">
      <w:pPr>
        <w:spacing w:line="360" w:lineRule="auto"/>
        <w:ind w:firstLine="480" w:firstLineChars="200"/>
        <w:jc w:val="left"/>
        <w:rPr>
          <w:color w:val="auto"/>
          <w:sz w:val="24"/>
          <w:highlight w:val="none"/>
        </w:rPr>
      </w:pPr>
      <w:r>
        <w:rPr>
          <w:rFonts w:hint="eastAsia"/>
          <w:color w:val="auto"/>
          <w:sz w:val="24"/>
          <w:highlight w:val="none"/>
        </w:rPr>
        <w:t xml:space="preserve">② </w:t>
      </w:r>
      <w:r>
        <w:rPr>
          <w:color w:val="auto"/>
          <w:sz w:val="24"/>
          <w:highlight w:val="none"/>
        </w:rPr>
        <w:t>修整作业时不得在混凝土表面洒水。</w:t>
      </w:r>
    </w:p>
    <w:p w14:paraId="399FBBF3">
      <w:pPr>
        <w:spacing w:line="360" w:lineRule="auto"/>
        <w:ind w:firstLine="480" w:firstLineChars="200"/>
        <w:jc w:val="left"/>
        <w:rPr>
          <w:color w:val="auto"/>
          <w:sz w:val="24"/>
          <w:highlight w:val="none"/>
        </w:rPr>
      </w:pPr>
      <w:r>
        <w:rPr>
          <w:rFonts w:hint="eastAsia"/>
          <w:color w:val="auto"/>
          <w:sz w:val="24"/>
          <w:highlight w:val="none"/>
        </w:rPr>
        <w:t xml:space="preserve">③ </w:t>
      </w:r>
      <w:r>
        <w:rPr>
          <w:color w:val="auto"/>
          <w:sz w:val="24"/>
          <w:highlight w:val="none"/>
        </w:rPr>
        <w:t>修整作业在混凝土仍保持</w:t>
      </w:r>
      <w:r>
        <w:rPr>
          <w:color w:val="auto"/>
          <w:highlight w:val="none"/>
        </w:rPr>
        <w:fldChar w:fldCharType="begin"/>
      </w:r>
      <w:r>
        <w:rPr>
          <w:color w:val="auto"/>
          <w:highlight w:val="none"/>
        </w:rPr>
        <w:instrText xml:space="preserve"> HYPERLINK "http://www.so.com/s?q=%E5%A1%91%E6%80%A7&amp;ie=utf-8&amp;src=internal_wenda_recommend_textn" \t "_blank" </w:instrText>
      </w:r>
      <w:r>
        <w:rPr>
          <w:color w:val="auto"/>
          <w:highlight w:val="none"/>
        </w:rPr>
        <w:fldChar w:fldCharType="separate"/>
      </w:r>
      <w:r>
        <w:rPr>
          <w:color w:val="auto"/>
          <w:sz w:val="24"/>
          <w:highlight w:val="none"/>
        </w:rPr>
        <w:t>塑性</w:t>
      </w:r>
      <w:r>
        <w:rPr>
          <w:color w:val="auto"/>
          <w:sz w:val="24"/>
          <w:highlight w:val="none"/>
        </w:rPr>
        <w:fldChar w:fldCharType="end"/>
      </w:r>
      <w:r>
        <w:rPr>
          <w:color w:val="auto"/>
          <w:sz w:val="24"/>
          <w:highlight w:val="none"/>
        </w:rPr>
        <w:t>和具有</w:t>
      </w:r>
      <w:r>
        <w:rPr>
          <w:color w:val="auto"/>
          <w:highlight w:val="none"/>
        </w:rPr>
        <w:fldChar w:fldCharType="begin"/>
      </w:r>
      <w:r>
        <w:rPr>
          <w:color w:val="auto"/>
          <w:highlight w:val="none"/>
        </w:rPr>
        <w:instrText xml:space="preserve"> HYPERLINK "http://www.so.com/s?q=%E5%92%8C%E6%98%93%E6%80%A7&amp;ie=utf-8&amp;src=internal_wenda_recommend_textn" \t "_blank" </w:instrText>
      </w:r>
      <w:r>
        <w:rPr>
          <w:color w:val="auto"/>
          <w:highlight w:val="none"/>
        </w:rPr>
        <w:fldChar w:fldCharType="separate"/>
      </w:r>
      <w:r>
        <w:rPr>
          <w:color w:val="auto"/>
          <w:sz w:val="24"/>
          <w:highlight w:val="none"/>
        </w:rPr>
        <w:t>和易性</w:t>
      </w:r>
      <w:r>
        <w:rPr>
          <w:color w:val="auto"/>
          <w:sz w:val="24"/>
          <w:highlight w:val="none"/>
        </w:rPr>
        <w:fldChar w:fldCharType="end"/>
      </w:r>
      <w:r>
        <w:rPr>
          <w:color w:val="auto"/>
          <w:sz w:val="24"/>
          <w:highlight w:val="none"/>
        </w:rPr>
        <w:t>的时候进行以确保从混凝土表面上清除水分和浮浆。在表面低洼处严禁洒水、撒干水泥必须以新拌制的混凝土填补与修整。</w:t>
      </w:r>
    </w:p>
    <w:p w14:paraId="289464E0">
      <w:pPr>
        <w:spacing w:line="360" w:lineRule="auto"/>
        <w:ind w:firstLine="480" w:firstLineChars="200"/>
        <w:jc w:val="left"/>
        <w:rPr>
          <w:color w:val="auto"/>
          <w:sz w:val="24"/>
          <w:highlight w:val="none"/>
        </w:rPr>
      </w:pPr>
      <w:r>
        <w:rPr>
          <w:rFonts w:hint="eastAsia"/>
          <w:color w:val="auto"/>
          <w:sz w:val="24"/>
          <w:highlight w:val="none"/>
        </w:rPr>
        <w:t>d</w:t>
      </w:r>
      <w:r>
        <w:rPr>
          <w:color w:val="auto"/>
          <w:sz w:val="24"/>
          <w:highlight w:val="none"/>
        </w:rPr>
        <w:t>、接缝</w:t>
      </w:r>
    </w:p>
    <w:p w14:paraId="785F02E0">
      <w:pPr>
        <w:spacing w:line="360" w:lineRule="auto"/>
        <w:ind w:firstLine="480" w:firstLineChars="200"/>
        <w:jc w:val="left"/>
        <w:rPr>
          <w:color w:val="auto"/>
          <w:sz w:val="24"/>
          <w:highlight w:val="none"/>
        </w:rPr>
      </w:pPr>
      <w:r>
        <w:rPr>
          <w:rFonts w:hint="eastAsia"/>
          <w:color w:val="auto"/>
          <w:sz w:val="24"/>
          <w:highlight w:val="none"/>
        </w:rPr>
        <w:t xml:space="preserve">d.1 </w:t>
      </w:r>
      <w:r>
        <w:rPr>
          <w:color w:val="auto"/>
          <w:sz w:val="24"/>
          <w:highlight w:val="none"/>
        </w:rPr>
        <w:t>纵缝</w:t>
      </w:r>
    </w:p>
    <w:p w14:paraId="3A038DC3">
      <w:pPr>
        <w:spacing w:line="360" w:lineRule="auto"/>
        <w:ind w:firstLine="480" w:firstLineChars="200"/>
        <w:jc w:val="left"/>
        <w:rPr>
          <w:color w:val="auto"/>
          <w:sz w:val="24"/>
          <w:highlight w:val="none"/>
        </w:rPr>
      </w:pPr>
      <w:r>
        <w:rPr>
          <w:color w:val="auto"/>
          <w:sz w:val="24"/>
          <w:highlight w:val="none"/>
        </w:rPr>
        <w:t>按</w:t>
      </w:r>
      <w:r>
        <w:rPr>
          <w:color w:val="auto"/>
          <w:highlight w:val="none"/>
        </w:rPr>
        <w:fldChar w:fldCharType="begin"/>
      </w:r>
      <w:r>
        <w:rPr>
          <w:color w:val="auto"/>
          <w:highlight w:val="none"/>
        </w:rPr>
        <w:instrText xml:space="preserve"> HYPERLINK "http://www.so.com/s?q=%E5%9B%BE%E7%BA%B8&amp;ie=utf-8&amp;src=internal_wenda_recommend_textn" \t "_blank" </w:instrText>
      </w:r>
      <w:r>
        <w:rPr>
          <w:color w:val="auto"/>
          <w:highlight w:val="none"/>
        </w:rPr>
        <w:fldChar w:fldCharType="separate"/>
      </w:r>
      <w:r>
        <w:rPr>
          <w:color w:val="auto"/>
          <w:sz w:val="24"/>
          <w:highlight w:val="none"/>
        </w:rPr>
        <w:t>图纸</w:t>
      </w:r>
      <w:r>
        <w:rPr>
          <w:color w:val="auto"/>
          <w:sz w:val="24"/>
          <w:highlight w:val="none"/>
        </w:rPr>
        <w:fldChar w:fldCharType="end"/>
      </w:r>
      <w:r>
        <w:rPr>
          <w:color w:val="auto"/>
          <w:sz w:val="24"/>
          <w:highlight w:val="none"/>
        </w:rPr>
        <w:t>设置纵向施工缝。纵向施工缝采用</w:t>
      </w:r>
      <w:r>
        <w:rPr>
          <w:color w:val="auto"/>
          <w:highlight w:val="none"/>
        </w:rPr>
        <w:fldChar w:fldCharType="begin"/>
      </w:r>
      <w:r>
        <w:rPr>
          <w:color w:val="auto"/>
          <w:highlight w:val="none"/>
        </w:rPr>
        <w:instrText xml:space="preserve"> HYPERLINK "http://www.so.com/s?q=%E5%B9%B3%E7%BC%9D&amp;ie=utf-8&amp;src=internal_wenda_recommend_textn" \t "_blank" </w:instrText>
      </w:r>
      <w:r>
        <w:rPr>
          <w:color w:val="auto"/>
          <w:highlight w:val="none"/>
        </w:rPr>
        <w:fldChar w:fldCharType="separate"/>
      </w:r>
      <w:r>
        <w:rPr>
          <w:color w:val="auto"/>
          <w:sz w:val="24"/>
          <w:highlight w:val="none"/>
        </w:rPr>
        <w:t>平缝</w:t>
      </w:r>
      <w:r>
        <w:rPr>
          <w:color w:val="auto"/>
          <w:sz w:val="24"/>
          <w:highlight w:val="none"/>
        </w:rPr>
        <w:fldChar w:fldCharType="end"/>
      </w:r>
      <w:r>
        <w:rPr>
          <w:color w:val="auto"/>
          <w:sz w:val="24"/>
          <w:highlight w:val="none"/>
        </w:rPr>
        <w:t>加拉杆型并按图纸的要求设置拉杆拉杆采用螺纹钢设置在板厚的中间平行于板面并与缝壁垂直。在半幅面板完成后在缝壁涂刷沥青但不得污染拉杆。</w:t>
      </w:r>
    </w:p>
    <w:p w14:paraId="75B0BB4C">
      <w:pPr>
        <w:spacing w:line="360" w:lineRule="auto"/>
        <w:ind w:firstLine="480" w:firstLineChars="200"/>
        <w:jc w:val="left"/>
        <w:rPr>
          <w:color w:val="auto"/>
          <w:sz w:val="24"/>
          <w:highlight w:val="none"/>
        </w:rPr>
      </w:pPr>
      <w:r>
        <w:rPr>
          <w:rFonts w:hint="eastAsia"/>
          <w:color w:val="auto"/>
          <w:sz w:val="24"/>
          <w:highlight w:val="none"/>
        </w:rPr>
        <w:t xml:space="preserve">d2 </w:t>
      </w:r>
      <w:r>
        <w:rPr>
          <w:color w:val="auto"/>
          <w:sz w:val="24"/>
          <w:highlight w:val="none"/>
        </w:rPr>
        <w:t>横胀缝</w:t>
      </w:r>
    </w:p>
    <w:p w14:paraId="5859626B">
      <w:pPr>
        <w:spacing w:line="360" w:lineRule="auto"/>
        <w:ind w:firstLine="480" w:firstLineChars="200"/>
        <w:jc w:val="left"/>
        <w:rPr>
          <w:color w:val="auto"/>
          <w:sz w:val="24"/>
          <w:highlight w:val="none"/>
        </w:rPr>
      </w:pPr>
      <w:r>
        <w:rPr>
          <w:rFonts w:hint="eastAsia"/>
          <w:color w:val="auto"/>
          <w:sz w:val="24"/>
          <w:highlight w:val="none"/>
        </w:rPr>
        <w:t>①</w:t>
      </w:r>
      <w:r>
        <w:rPr>
          <w:color w:val="auto"/>
          <w:sz w:val="24"/>
          <w:highlight w:val="none"/>
        </w:rPr>
        <w:t>、按图纸要求的型式设置胀缝胀缝与路面中心线垂直缝壁必须垂直相邻车道的胀缝设在同一横断面上缝隙宽度应一致。胀缝</w:t>
      </w:r>
      <w:r>
        <w:rPr>
          <w:color w:val="auto"/>
          <w:highlight w:val="none"/>
        </w:rPr>
        <w:fldChar w:fldCharType="begin"/>
      </w:r>
      <w:r>
        <w:rPr>
          <w:color w:val="auto"/>
          <w:highlight w:val="none"/>
        </w:rPr>
        <w:instrText xml:space="preserve"> HYPERLINK "http://www.so.com/s?q=%E4%B8%8B%E9%83%A8&amp;ie=utf-8&amp;src=internal_wenda_recommend_textn" \t "_blank" </w:instrText>
      </w:r>
      <w:r>
        <w:rPr>
          <w:color w:val="auto"/>
          <w:highlight w:val="none"/>
        </w:rPr>
        <w:fldChar w:fldCharType="separate"/>
      </w:r>
      <w:r>
        <w:rPr>
          <w:color w:val="auto"/>
          <w:sz w:val="24"/>
          <w:highlight w:val="none"/>
        </w:rPr>
        <w:t>下部</w:t>
      </w:r>
      <w:r>
        <w:rPr>
          <w:color w:val="auto"/>
          <w:sz w:val="24"/>
          <w:highlight w:val="none"/>
        </w:rPr>
        <w:fldChar w:fldCharType="end"/>
      </w:r>
      <w:r>
        <w:rPr>
          <w:color w:val="auto"/>
          <w:sz w:val="24"/>
          <w:highlight w:val="none"/>
        </w:rPr>
        <w:t>设置胀缝板上部浇灌填缝料。缝隙内任何处均不准塞有混凝土和其他杂物。</w:t>
      </w:r>
    </w:p>
    <w:p w14:paraId="1137325D">
      <w:pPr>
        <w:spacing w:line="360" w:lineRule="auto"/>
        <w:ind w:firstLine="480" w:firstLineChars="200"/>
        <w:jc w:val="left"/>
        <w:rPr>
          <w:color w:val="auto"/>
          <w:sz w:val="24"/>
          <w:highlight w:val="none"/>
        </w:rPr>
      </w:pPr>
      <w:r>
        <w:rPr>
          <w:rFonts w:hint="eastAsia"/>
          <w:color w:val="auto"/>
          <w:sz w:val="24"/>
          <w:highlight w:val="none"/>
        </w:rPr>
        <w:t>②</w:t>
      </w:r>
      <w:r>
        <w:rPr>
          <w:color w:val="auto"/>
          <w:sz w:val="24"/>
          <w:highlight w:val="none"/>
        </w:rPr>
        <w:t>、胀缝传力杆活动端可设在缝的一端亦可交错设置。传力杆活动端的套筒由金属或塑料制成套筒的内径与传力杆之间的最大间隙为1.5mm能使传力杆自由活动传力杆的滑动端要涂上油脂或润滑剂以防止传力杆与混凝土粘结在一起。</w:t>
      </w:r>
    </w:p>
    <w:p w14:paraId="63DC8606">
      <w:pPr>
        <w:spacing w:line="360" w:lineRule="auto"/>
        <w:ind w:firstLine="480" w:firstLineChars="200"/>
        <w:jc w:val="left"/>
        <w:rPr>
          <w:color w:val="auto"/>
          <w:sz w:val="24"/>
          <w:highlight w:val="none"/>
        </w:rPr>
      </w:pPr>
      <w:r>
        <w:rPr>
          <w:rFonts w:hint="eastAsia"/>
          <w:color w:val="auto"/>
          <w:sz w:val="24"/>
          <w:highlight w:val="none"/>
        </w:rPr>
        <w:t>③</w:t>
      </w:r>
      <w:r>
        <w:rPr>
          <w:color w:val="auto"/>
          <w:sz w:val="24"/>
          <w:highlight w:val="none"/>
        </w:rPr>
        <w:t>、传力杆与套筒端部</w:t>
      </w:r>
      <w:r>
        <w:rPr>
          <w:color w:val="auto"/>
          <w:highlight w:val="none"/>
        </w:rPr>
        <w:fldChar w:fldCharType="begin"/>
      </w:r>
      <w:r>
        <w:rPr>
          <w:color w:val="auto"/>
          <w:highlight w:val="none"/>
        </w:rPr>
        <w:instrText xml:space="preserve"> HYPERLINK "http://www.so.com/s?q=%E7%A9%BA%E9%9A%99&amp;ie=utf-8&amp;src=internal_wenda_recommend_textn" \t "_blank" </w:instrText>
      </w:r>
      <w:r>
        <w:rPr>
          <w:color w:val="auto"/>
          <w:highlight w:val="none"/>
        </w:rPr>
        <w:fldChar w:fldCharType="separate"/>
      </w:r>
      <w:r>
        <w:rPr>
          <w:color w:val="auto"/>
          <w:sz w:val="24"/>
          <w:highlight w:val="none"/>
        </w:rPr>
        <w:t>空隙</w:t>
      </w:r>
      <w:r>
        <w:rPr>
          <w:color w:val="auto"/>
          <w:sz w:val="24"/>
          <w:highlight w:val="none"/>
        </w:rPr>
        <w:fldChar w:fldCharType="end"/>
      </w:r>
      <w:r>
        <w:rPr>
          <w:color w:val="auto"/>
          <w:highlight w:val="none"/>
        </w:rPr>
        <w:fldChar w:fldCharType="begin"/>
      </w:r>
      <w:r>
        <w:rPr>
          <w:color w:val="auto"/>
          <w:highlight w:val="none"/>
        </w:rPr>
        <w:instrText xml:space="preserve"> HYPERLINK "http://www.so.com/s?q=%E9%83%A8%E5%88%86&amp;ie=utf-8&amp;src=internal_wenda_recommend_textn" \t "_blank" </w:instrText>
      </w:r>
      <w:r>
        <w:rPr>
          <w:color w:val="auto"/>
          <w:highlight w:val="none"/>
        </w:rPr>
        <w:fldChar w:fldCharType="separate"/>
      </w:r>
      <w:r>
        <w:rPr>
          <w:color w:val="auto"/>
          <w:sz w:val="24"/>
          <w:highlight w:val="none"/>
        </w:rPr>
        <w:t>部分</w:t>
      </w:r>
      <w:r>
        <w:rPr>
          <w:color w:val="auto"/>
          <w:sz w:val="24"/>
          <w:highlight w:val="none"/>
        </w:rPr>
        <w:fldChar w:fldCharType="end"/>
      </w:r>
      <w:r>
        <w:rPr>
          <w:color w:val="auto"/>
          <w:highlight w:val="none"/>
        </w:rPr>
        <w:fldChar w:fldCharType="begin"/>
      </w:r>
      <w:r>
        <w:rPr>
          <w:color w:val="auto"/>
          <w:highlight w:val="none"/>
        </w:rPr>
        <w:instrText xml:space="preserve"> HYPERLINK "http://www.so.com/s?q=%E5%A1%AB%E5%A1%9E&amp;ie=utf-8&amp;src=internal_wenda_recommend_textn" \t "_blank" </w:instrText>
      </w:r>
      <w:r>
        <w:rPr>
          <w:color w:val="auto"/>
          <w:highlight w:val="none"/>
        </w:rPr>
        <w:fldChar w:fldCharType="separate"/>
      </w:r>
      <w:r>
        <w:rPr>
          <w:color w:val="auto"/>
          <w:sz w:val="24"/>
          <w:highlight w:val="none"/>
        </w:rPr>
        <w:t>填塞</w:t>
      </w:r>
      <w:r>
        <w:rPr>
          <w:color w:val="auto"/>
          <w:sz w:val="24"/>
          <w:highlight w:val="none"/>
        </w:rPr>
        <w:fldChar w:fldCharType="end"/>
      </w:r>
      <w:r>
        <w:rPr>
          <w:color w:val="auto"/>
          <w:sz w:val="24"/>
          <w:highlight w:val="none"/>
        </w:rPr>
        <w:t>沥青麻絮。</w:t>
      </w:r>
    </w:p>
    <w:p w14:paraId="1B3C24FB">
      <w:pPr>
        <w:spacing w:line="360" w:lineRule="auto"/>
        <w:ind w:firstLine="480" w:firstLineChars="200"/>
        <w:jc w:val="left"/>
        <w:rPr>
          <w:color w:val="auto"/>
          <w:sz w:val="24"/>
          <w:highlight w:val="none"/>
        </w:rPr>
      </w:pPr>
      <w:r>
        <w:rPr>
          <w:rFonts w:hint="eastAsia"/>
          <w:color w:val="auto"/>
          <w:sz w:val="24"/>
          <w:highlight w:val="none"/>
        </w:rPr>
        <w:t>④</w:t>
      </w:r>
      <w:r>
        <w:rPr>
          <w:color w:val="auto"/>
          <w:sz w:val="24"/>
          <w:highlight w:val="none"/>
        </w:rPr>
        <w:t>、传力杆的固定装置设置方法报请监理工程师认可固定后的传力杆必须平行于路面中心线</w:t>
      </w:r>
      <w:r>
        <w:rPr>
          <w:rFonts w:hint="eastAsia"/>
          <w:color w:val="auto"/>
          <w:sz w:val="24"/>
          <w:highlight w:val="none"/>
        </w:rPr>
        <w:t>混凝土浇筑</w:t>
      </w:r>
      <w:r>
        <w:rPr>
          <w:color w:val="auto"/>
          <w:sz w:val="24"/>
          <w:highlight w:val="none"/>
        </w:rPr>
        <w:t>时严禁组装件</w:t>
      </w:r>
      <w:r>
        <w:rPr>
          <w:color w:val="auto"/>
          <w:highlight w:val="none"/>
        </w:rPr>
        <w:fldChar w:fldCharType="begin"/>
      </w:r>
      <w:r>
        <w:rPr>
          <w:color w:val="auto"/>
          <w:highlight w:val="none"/>
        </w:rPr>
        <w:instrText xml:space="preserve"> HYPERLINK "http://www.so.com/s?q=%E4%BD%8D%E7%A7%BB&amp;ie=utf-8&amp;src=internal_wenda_recommend_textn" \t "_blank" </w:instrText>
      </w:r>
      <w:r>
        <w:rPr>
          <w:color w:val="auto"/>
          <w:highlight w:val="none"/>
        </w:rPr>
        <w:fldChar w:fldCharType="separate"/>
      </w:r>
      <w:r>
        <w:rPr>
          <w:color w:val="auto"/>
          <w:sz w:val="24"/>
          <w:highlight w:val="none"/>
        </w:rPr>
        <w:t>位移</w:t>
      </w:r>
      <w:r>
        <w:rPr>
          <w:color w:val="auto"/>
          <w:sz w:val="24"/>
          <w:highlight w:val="none"/>
        </w:rPr>
        <w:fldChar w:fldCharType="end"/>
      </w:r>
      <w:r>
        <w:rPr>
          <w:color w:val="auto"/>
          <w:sz w:val="24"/>
          <w:highlight w:val="none"/>
        </w:rPr>
        <w:t>。</w:t>
      </w:r>
    </w:p>
    <w:p w14:paraId="677AE45B">
      <w:pPr>
        <w:spacing w:line="360" w:lineRule="auto"/>
        <w:ind w:firstLine="480" w:firstLineChars="200"/>
        <w:jc w:val="left"/>
        <w:rPr>
          <w:color w:val="auto"/>
          <w:sz w:val="24"/>
          <w:highlight w:val="none"/>
        </w:rPr>
      </w:pPr>
      <w:r>
        <w:rPr>
          <w:rFonts w:hint="eastAsia"/>
          <w:color w:val="auto"/>
          <w:sz w:val="24"/>
          <w:highlight w:val="none"/>
        </w:rPr>
        <w:t xml:space="preserve">d.3 </w:t>
      </w:r>
      <w:r>
        <w:rPr>
          <w:color w:val="auto"/>
          <w:sz w:val="24"/>
          <w:highlight w:val="none"/>
        </w:rPr>
        <w:t>横缩缝</w:t>
      </w:r>
    </w:p>
    <w:p w14:paraId="284AAA98">
      <w:pPr>
        <w:spacing w:line="360" w:lineRule="auto"/>
        <w:ind w:firstLine="480" w:firstLineChars="200"/>
        <w:jc w:val="left"/>
        <w:rPr>
          <w:color w:val="auto"/>
          <w:sz w:val="24"/>
          <w:highlight w:val="none"/>
        </w:rPr>
      </w:pPr>
      <w:r>
        <w:rPr>
          <w:rFonts w:hint="eastAsia"/>
          <w:color w:val="auto"/>
          <w:sz w:val="24"/>
          <w:highlight w:val="none"/>
        </w:rPr>
        <w:t>①</w:t>
      </w:r>
      <w:r>
        <w:rPr>
          <w:color w:val="auto"/>
          <w:sz w:val="24"/>
          <w:highlight w:val="none"/>
        </w:rPr>
        <w:t>、缩缝的</w:t>
      </w:r>
      <w:r>
        <w:rPr>
          <w:color w:val="auto"/>
          <w:highlight w:val="none"/>
        </w:rPr>
        <w:fldChar w:fldCharType="begin"/>
      </w:r>
      <w:r>
        <w:rPr>
          <w:color w:val="auto"/>
          <w:highlight w:val="none"/>
        </w:rPr>
        <w:instrText xml:space="preserve"> HYPERLINK "http://www.so.com/s?q=%E5%BD%A2%E5%BC%8F&amp;ie=utf-8&amp;src=internal_wenda_recommend_textn" \t "_blank" </w:instrText>
      </w:r>
      <w:r>
        <w:rPr>
          <w:color w:val="auto"/>
          <w:highlight w:val="none"/>
        </w:rPr>
        <w:fldChar w:fldCharType="separate"/>
      </w:r>
      <w:r>
        <w:rPr>
          <w:color w:val="auto"/>
          <w:sz w:val="24"/>
          <w:highlight w:val="none"/>
        </w:rPr>
        <w:t>形式</w:t>
      </w:r>
      <w:r>
        <w:rPr>
          <w:color w:val="auto"/>
          <w:sz w:val="24"/>
          <w:highlight w:val="none"/>
        </w:rPr>
        <w:fldChar w:fldCharType="end"/>
      </w:r>
      <w:r>
        <w:rPr>
          <w:color w:val="auto"/>
          <w:sz w:val="24"/>
          <w:highlight w:val="none"/>
        </w:rPr>
        <w:t>、尺寸、间距应按图纸的规定要求设置。</w:t>
      </w:r>
    </w:p>
    <w:p w14:paraId="1CA17BDE">
      <w:pPr>
        <w:spacing w:line="360" w:lineRule="auto"/>
        <w:ind w:firstLine="480" w:firstLineChars="200"/>
        <w:jc w:val="left"/>
        <w:rPr>
          <w:color w:val="auto"/>
          <w:sz w:val="24"/>
          <w:highlight w:val="none"/>
        </w:rPr>
      </w:pPr>
      <w:r>
        <w:rPr>
          <w:rFonts w:hint="eastAsia"/>
          <w:color w:val="auto"/>
          <w:sz w:val="24"/>
          <w:highlight w:val="none"/>
        </w:rPr>
        <w:t>②</w:t>
      </w:r>
      <w:r>
        <w:rPr>
          <w:color w:val="auto"/>
          <w:sz w:val="24"/>
          <w:highlight w:val="none"/>
        </w:rPr>
        <w:t>、锯缝用混凝土锯缝机切割锯缝时间根据使用水泥类型、气候条件来决定一般在混凝土强度达到11.5MPa时锯缝为宜每条的锯缝作业必须一次完成。</w:t>
      </w:r>
    </w:p>
    <w:p w14:paraId="123174D4">
      <w:pPr>
        <w:spacing w:line="360" w:lineRule="auto"/>
        <w:ind w:firstLine="480" w:firstLineChars="200"/>
        <w:jc w:val="left"/>
        <w:rPr>
          <w:color w:val="auto"/>
          <w:sz w:val="24"/>
          <w:highlight w:val="none"/>
        </w:rPr>
      </w:pPr>
      <w:r>
        <w:rPr>
          <w:color w:val="auto"/>
          <w:sz w:val="24"/>
          <w:highlight w:val="none"/>
        </w:rPr>
        <w:t>缝内的粉料和杂物彻底清除。</w:t>
      </w:r>
    </w:p>
    <w:p w14:paraId="62E22659">
      <w:pPr>
        <w:spacing w:line="360" w:lineRule="auto"/>
        <w:ind w:firstLine="480" w:firstLineChars="200"/>
        <w:jc w:val="left"/>
        <w:rPr>
          <w:color w:val="auto"/>
          <w:sz w:val="24"/>
          <w:highlight w:val="none"/>
        </w:rPr>
      </w:pPr>
      <w:r>
        <w:rPr>
          <w:rFonts w:hint="eastAsia"/>
          <w:color w:val="auto"/>
          <w:sz w:val="24"/>
          <w:highlight w:val="none"/>
        </w:rPr>
        <w:t>③</w:t>
      </w:r>
      <w:r>
        <w:rPr>
          <w:color w:val="auto"/>
          <w:sz w:val="24"/>
          <w:highlight w:val="none"/>
        </w:rPr>
        <w:t>、当缘石与混凝土路面整体施工时接缝应延伸到缘石上面</w:t>
      </w:r>
      <w:r>
        <w:rPr>
          <w:color w:val="auto"/>
          <w:highlight w:val="none"/>
        </w:rPr>
        <w:fldChar w:fldCharType="begin"/>
      </w:r>
      <w:r>
        <w:rPr>
          <w:color w:val="auto"/>
          <w:highlight w:val="none"/>
        </w:rPr>
        <w:instrText xml:space="preserve"> HYPERLINK "http://www.so.com/s?q=5cm&amp;ie=utf-8&amp;src=internal_wenda_recommend_textn" \t "_blank" </w:instrText>
      </w:r>
      <w:r>
        <w:rPr>
          <w:color w:val="auto"/>
          <w:highlight w:val="none"/>
        </w:rPr>
        <w:fldChar w:fldCharType="separate"/>
      </w:r>
      <w:r>
        <w:rPr>
          <w:color w:val="auto"/>
          <w:sz w:val="24"/>
          <w:highlight w:val="none"/>
        </w:rPr>
        <w:t>5cm</w:t>
      </w:r>
      <w:r>
        <w:rPr>
          <w:color w:val="auto"/>
          <w:sz w:val="24"/>
          <w:highlight w:val="none"/>
        </w:rPr>
        <w:fldChar w:fldCharType="end"/>
      </w:r>
      <w:r>
        <w:rPr>
          <w:color w:val="auto"/>
          <w:sz w:val="24"/>
          <w:highlight w:val="none"/>
        </w:rPr>
        <w:t>。</w:t>
      </w:r>
    </w:p>
    <w:p w14:paraId="2CD98B4C">
      <w:pPr>
        <w:spacing w:line="360" w:lineRule="auto"/>
        <w:ind w:firstLine="480" w:firstLineChars="200"/>
        <w:jc w:val="left"/>
        <w:rPr>
          <w:color w:val="auto"/>
          <w:sz w:val="24"/>
          <w:highlight w:val="none"/>
        </w:rPr>
      </w:pPr>
      <w:r>
        <w:rPr>
          <w:rFonts w:hint="eastAsia"/>
          <w:color w:val="auto"/>
          <w:sz w:val="24"/>
          <w:highlight w:val="none"/>
        </w:rPr>
        <w:t xml:space="preserve">d.4 </w:t>
      </w:r>
      <w:r>
        <w:rPr>
          <w:color w:val="auto"/>
          <w:sz w:val="24"/>
          <w:highlight w:val="none"/>
        </w:rPr>
        <w:t>横向施工缝</w:t>
      </w:r>
    </w:p>
    <w:p w14:paraId="4DB00CF1">
      <w:pPr>
        <w:spacing w:line="360" w:lineRule="auto"/>
        <w:ind w:firstLine="480" w:firstLineChars="200"/>
        <w:jc w:val="left"/>
        <w:rPr>
          <w:color w:val="auto"/>
          <w:sz w:val="24"/>
          <w:highlight w:val="none"/>
        </w:rPr>
      </w:pPr>
      <w:r>
        <w:rPr>
          <w:rFonts w:hint="eastAsia"/>
          <w:color w:val="auto"/>
          <w:sz w:val="24"/>
          <w:highlight w:val="none"/>
        </w:rPr>
        <w:t>①</w:t>
      </w:r>
      <w:r>
        <w:rPr>
          <w:color w:val="auto"/>
          <w:sz w:val="24"/>
          <w:highlight w:val="none"/>
        </w:rPr>
        <w:t>、每天工作结束或当浇注</w:t>
      </w:r>
      <w:r>
        <w:rPr>
          <w:color w:val="auto"/>
          <w:highlight w:val="none"/>
        </w:rPr>
        <w:fldChar w:fldCharType="begin"/>
      </w:r>
      <w:r>
        <w:rPr>
          <w:color w:val="auto"/>
          <w:highlight w:val="none"/>
        </w:rPr>
        <w:instrText xml:space="preserve"> HYPERLINK "http://www.so.com/s?q=%E5%B7%A5%E5%BA%8F&amp;ie=utf-8&amp;src=internal_wenda_recommend_textn" \t "_blank" </w:instrText>
      </w:r>
      <w:r>
        <w:rPr>
          <w:color w:val="auto"/>
          <w:highlight w:val="none"/>
        </w:rPr>
        <w:fldChar w:fldCharType="separate"/>
      </w:r>
      <w:r>
        <w:rPr>
          <w:color w:val="auto"/>
          <w:sz w:val="24"/>
          <w:highlight w:val="none"/>
        </w:rPr>
        <w:t>工序</w:t>
      </w:r>
      <w:r>
        <w:rPr>
          <w:color w:val="auto"/>
          <w:sz w:val="24"/>
          <w:highlight w:val="none"/>
        </w:rPr>
        <w:fldChar w:fldCharType="end"/>
      </w:r>
      <w:r>
        <w:rPr>
          <w:color w:val="auto"/>
          <w:sz w:val="24"/>
          <w:highlight w:val="none"/>
        </w:rPr>
        <w:t>中断超过30分钟时则应设置垂直于路中线的平接施工缝。 </w:t>
      </w:r>
    </w:p>
    <w:p w14:paraId="5ACFBC78">
      <w:pPr>
        <w:spacing w:line="360" w:lineRule="auto"/>
        <w:ind w:firstLine="480" w:firstLineChars="200"/>
        <w:jc w:val="left"/>
        <w:rPr>
          <w:color w:val="auto"/>
          <w:sz w:val="24"/>
          <w:highlight w:val="none"/>
        </w:rPr>
      </w:pPr>
      <w:r>
        <w:rPr>
          <w:rFonts w:hint="eastAsia"/>
          <w:color w:val="auto"/>
          <w:sz w:val="24"/>
          <w:highlight w:val="none"/>
        </w:rPr>
        <w:t>②</w:t>
      </w:r>
      <w:r>
        <w:rPr>
          <w:color w:val="auto"/>
          <w:sz w:val="24"/>
          <w:highlight w:val="none"/>
        </w:rPr>
        <w:t>、施工缝的位置尽可能与胀缝或缩缝相吻合设在胀缝处按胀缝形式施工。</w:t>
      </w:r>
    </w:p>
    <w:p w14:paraId="2FCD7E44">
      <w:pPr>
        <w:spacing w:line="360" w:lineRule="auto"/>
        <w:ind w:firstLine="480" w:firstLineChars="200"/>
        <w:jc w:val="left"/>
        <w:rPr>
          <w:color w:val="auto"/>
          <w:sz w:val="24"/>
          <w:highlight w:val="none"/>
        </w:rPr>
      </w:pPr>
      <w:r>
        <w:rPr>
          <w:rFonts w:hint="eastAsia"/>
          <w:color w:val="auto"/>
          <w:sz w:val="24"/>
          <w:highlight w:val="none"/>
        </w:rPr>
        <w:t>③</w:t>
      </w:r>
      <w:r>
        <w:rPr>
          <w:color w:val="auto"/>
          <w:sz w:val="24"/>
          <w:highlight w:val="none"/>
        </w:rPr>
        <w:t>、按设计要求设传力杆或拉杆传力杆或拉杆必须与路中心线平行并垂直缝壁。</w:t>
      </w:r>
    </w:p>
    <w:p w14:paraId="57694177">
      <w:pPr>
        <w:spacing w:line="360" w:lineRule="auto"/>
        <w:ind w:firstLine="480" w:firstLineChars="200"/>
        <w:jc w:val="left"/>
        <w:rPr>
          <w:color w:val="auto"/>
          <w:sz w:val="24"/>
          <w:highlight w:val="none"/>
        </w:rPr>
      </w:pPr>
      <w:r>
        <w:rPr>
          <w:rFonts w:hint="eastAsia"/>
          <w:color w:val="auto"/>
          <w:sz w:val="24"/>
          <w:highlight w:val="none"/>
        </w:rPr>
        <w:t>④</w:t>
      </w:r>
      <w:r>
        <w:rPr>
          <w:color w:val="auto"/>
          <w:sz w:val="24"/>
          <w:highlight w:val="none"/>
        </w:rPr>
        <w:t>、采用平缝加传力杆形式时。传力杆长度的一半锚固于混凝土中另一半涂油脂或润滑剂允许活动采用平缝加拉杆形式时两端锚固。</w:t>
      </w:r>
    </w:p>
    <w:p w14:paraId="28076D09">
      <w:pPr>
        <w:spacing w:line="360" w:lineRule="auto"/>
        <w:ind w:firstLine="480" w:firstLineChars="200"/>
        <w:jc w:val="left"/>
        <w:rPr>
          <w:color w:val="auto"/>
          <w:sz w:val="24"/>
          <w:highlight w:val="none"/>
        </w:rPr>
      </w:pPr>
      <w:r>
        <w:rPr>
          <w:rFonts w:hint="eastAsia"/>
          <w:color w:val="auto"/>
          <w:sz w:val="24"/>
          <w:highlight w:val="none"/>
        </w:rPr>
        <w:t>⑤</w:t>
      </w:r>
      <w:r>
        <w:rPr>
          <w:color w:val="auto"/>
          <w:sz w:val="24"/>
          <w:highlight w:val="none"/>
        </w:rPr>
        <w:t>、铺筑邻板时对已浇注混凝土</w:t>
      </w:r>
      <w:r>
        <w:rPr>
          <w:color w:val="auto"/>
          <w:highlight w:val="none"/>
        </w:rPr>
        <w:fldChar w:fldCharType="begin"/>
      </w:r>
      <w:r>
        <w:rPr>
          <w:color w:val="auto"/>
          <w:highlight w:val="none"/>
        </w:rPr>
        <w:instrText xml:space="preserve"> HYPERLINK "http://www.so.com/s?q=%E9%9D%A2%E6%9D%BF&amp;ie=utf-8&amp;src=internal_wenda_recommend_textn" \t "_blank" </w:instrText>
      </w:r>
      <w:r>
        <w:rPr>
          <w:color w:val="auto"/>
          <w:highlight w:val="none"/>
        </w:rPr>
        <w:fldChar w:fldCharType="separate"/>
      </w:r>
      <w:r>
        <w:rPr>
          <w:color w:val="auto"/>
          <w:sz w:val="24"/>
          <w:highlight w:val="none"/>
        </w:rPr>
        <w:t>面板</w:t>
      </w:r>
      <w:r>
        <w:rPr>
          <w:color w:val="auto"/>
          <w:sz w:val="24"/>
          <w:highlight w:val="none"/>
        </w:rPr>
        <w:fldChar w:fldCharType="end"/>
      </w:r>
      <w:r>
        <w:rPr>
          <w:color w:val="auto"/>
          <w:sz w:val="24"/>
          <w:highlight w:val="none"/>
        </w:rPr>
        <w:t>的缝壁应涂沥青但不得污染拉杆或传力杆。</w:t>
      </w:r>
    </w:p>
    <w:p w14:paraId="1769370F">
      <w:pPr>
        <w:spacing w:line="360" w:lineRule="auto"/>
        <w:ind w:firstLine="480" w:firstLineChars="200"/>
        <w:jc w:val="left"/>
        <w:rPr>
          <w:color w:val="auto"/>
          <w:sz w:val="24"/>
          <w:highlight w:val="none"/>
        </w:rPr>
      </w:pPr>
      <w:r>
        <w:rPr>
          <w:rFonts w:hint="eastAsia"/>
          <w:color w:val="auto"/>
          <w:sz w:val="24"/>
          <w:highlight w:val="none"/>
        </w:rPr>
        <w:t>e、</w:t>
      </w:r>
      <w:r>
        <w:rPr>
          <w:color w:val="auto"/>
          <w:highlight w:val="none"/>
        </w:rPr>
        <w:fldChar w:fldCharType="begin"/>
      </w:r>
      <w:r>
        <w:rPr>
          <w:color w:val="auto"/>
          <w:highlight w:val="none"/>
        </w:rPr>
        <w:instrText xml:space="preserve"> HYPERLINK "http://www.so.com/s?q=%E6%8B%86%E6%A8%A1&amp;ie=utf-8&amp;src=internal_wenda_recommend_textn" \t "_blank" </w:instrText>
      </w:r>
      <w:r>
        <w:rPr>
          <w:color w:val="auto"/>
          <w:highlight w:val="none"/>
        </w:rPr>
        <w:fldChar w:fldCharType="separate"/>
      </w:r>
      <w:r>
        <w:rPr>
          <w:color w:val="auto"/>
          <w:sz w:val="24"/>
          <w:highlight w:val="none"/>
        </w:rPr>
        <w:t>拆模</w:t>
      </w:r>
      <w:r>
        <w:rPr>
          <w:color w:val="auto"/>
          <w:sz w:val="24"/>
          <w:highlight w:val="none"/>
        </w:rPr>
        <w:fldChar w:fldCharType="end"/>
      </w:r>
    </w:p>
    <w:p w14:paraId="777EB010">
      <w:pPr>
        <w:spacing w:line="360" w:lineRule="auto"/>
        <w:ind w:firstLine="480" w:firstLineChars="200"/>
        <w:jc w:val="left"/>
        <w:rPr>
          <w:color w:val="auto"/>
          <w:sz w:val="24"/>
          <w:highlight w:val="none"/>
        </w:rPr>
      </w:pPr>
      <w:r>
        <w:rPr>
          <w:rFonts w:hint="eastAsia"/>
          <w:color w:val="auto"/>
          <w:sz w:val="24"/>
          <w:highlight w:val="none"/>
        </w:rPr>
        <w:t>①</w:t>
      </w:r>
      <w:r>
        <w:rPr>
          <w:color w:val="auto"/>
          <w:sz w:val="24"/>
          <w:highlight w:val="none"/>
        </w:rPr>
        <w:t>、在混凝土强度达到设计强度的有关规范要求时进行拆模并取得</w:t>
      </w:r>
      <w:r>
        <w:rPr>
          <w:rFonts w:hint="eastAsia"/>
          <w:color w:val="auto"/>
          <w:sz w:val="24"/>
          <w:highlight w:val="none"/>
        </w:rPr>
        <w:t>发包人</w:t>
      </w:r>
      <w:r>
        <w:rPr>
          <w:color w:val="auto"/>
          <w:sz w:val="24"/>
          <w:highlight w:val="none"/>
        </w:rPr>
        <w:t>同意。</w:t>
      </w:r>
    </w:p>
    <w:p w14:paraId="3C5EBA07">
      <w:pPr>
        <w:spacing w:line="360" w:lineRule="auto"/>
        <w:ind w:firstLine="480" w:firstLineChars="200"/>
        <w:jc w:val="left"/>
        <w:rPr>
          <w:color w:val="auto"/>
          <w:sz w:val="24"/>
          <w:highlight w:val="none"/>
        </w:rPr>
      </w:pPr>
      <w:r>
        <w:rPr>
          <w:rFonts w:hint="eastAsia"/>
          <w:color w:val="auto"/>
          <w:sz w:val="24"/>
          <w:highlight w:val="none"/>
        </w:rPr>
        <w:t>②</w:t>
      </w:r>
      <w:r>
        <w:rPr>
          <w:color w:val="auto"/>
          <w:sz w:val="24"/>
          <w:highlight w:val="none"/>
        </w:rPr>
        <w:t>、拆模后任何蜂窝、</w:t>
      </w:r>
      <w:r>
        <w:rPr>
          <w:color w:val="auto"/>
          <w:highlight w:val="none"/>
        </w:rPr>
        <w:fldChar w:fldCharType="begin"/>
      </w:r>
      <w:r>
        <w:rPr>
          <w:color w:val="auto"/>
          <w:highlight w:val="none"/>
        </w:rPr>
        <w:instrText xml:space="preserve"> HYPERLINK "http://www.so.com/s?q=%E9%BA%BB%E9%9D%A2&amp;ie=utf-8&amp;src=internal_wenda_recommend_textn" \t "_blank" </w:instrText>
      </w:r>
      <w:r>
        <w:rPr>
          <w:color w:val="auto"/>
          <w:highlight w:val="none"/>
        </w:rPr>
        <w:fldChar w:fldCharType="separate"/>
      </w:r>
      <w:r>
        <w:rPr>
          <w:color w:val="auto"/>
          <w:sz w:val="24"/>
          <w:highlight w:val="none"/>
        </w:rPr>
        <w:t>麻面</w:t>
      </w:r>
      <w:r>
        <w:rPr>
          <w:color w:val="auto"/>
          <w:sz w:val="24"/>
          <w:highlight w:val="none"/>
        </w:rPr>
        <w:fldChar w:fldCharType="end"/>
      </w:r>
      <w:r>
        <w:rPr>
          <w:color w:val="auto"/>
          <w:sz w:val="24"/>
          <w:highlight w:val="none"/>
        </w:rPr>
        <w:t>及板边的损坏应予整修并及时将横向胀缝沿混凝土面板边缘通开至全部</w:t>
      </w:r>
      <w:r>
        <w:rPr>
          <w:color w:val="auto"/>
          <w:highlight w:val="none"/>
        </w:rPr>
        <w:fldChar w:fldCharType="begin"/>
      </w:r>
      <w:r>
        <w:rPr>
          <w:color w:val="auto"/>
          <w:highlight w:val="none"/>
        </w:rPr>
        <w:instrText xml:space="preserve"> HYPERLINK "http://www.so.com/s?q=%E6%B7%B1%E5%BA%A6&amp;ie=utf-8&amp;src=internal_wenda_recommend_textn" \t "_blank" </w:instrText>
      </w:r>
      <w:r>
        <w:rPr>
          <w:color w:val="auto"/>
          <w:highlight w:val="none"/>
        </w:rPr>
        <w:fldChar w:fldCharType="separate"/>
      </w:r>
      <w:r>
        <w:rPr>
          <w:color w:val="auto"/>
          <w:sz w:val="24"/>
          <w:highlight w:val="none"/>
        </w:rPr>
        <w:t>深度</w:t>
      </w:r>
      <w:r>
        <w:rPr>
          <w:color w:val="auto"/>
          <w:sz w:val="24"/>
          <w:highlight w:val="none"/>
        </w:rPr>
        <w:fldChar w:fldCharType="end"/>
      </w:r>
      <w:r>
        <w:rPr>
          <w:color w:val="auto"/>
          <w:sz w:val="24"/>
          <w:highlight w:val="none"/>
        </w:rPr>
        <w:t>。</w:t>
      </w:r>
    </w:p>
    <w:p w14:paraId="1916663D">
      <w:pPr>
        <w:spacing w:line="360" w:lineRule="auto"/>
        <w:ind w:firstLine="480" w:firstLineChars="200"/>
        <w:jc w:val="left"/>
        <w:rPr>
          <w:color w:val="auto"/>
          <w:sz w:val="24"/>
          <w:highlight w:val="none"/>
        </w:rPr>
      </w:pPr>
      <w:r>
        <w:rPr>
          <w:rFonts w:hint="eastAsia"/>
          <w:color w:val="auto"/>
          <w:sz w:val="24"/>
          <w:highlight w:val="none"/>
        </w:rPr>
        <w:t>f、</w:t>
      </w:r>
      <w:r>
        <w:rPr>
          <w:color w:val="auto"/>
          <w:sz w:val="24"/>
          <w:highlight w:val="none"/>
        </w:rPr>
        <w:t>养生</w:t>
      </w:r>
    </w:p>
    <w:p w14:paraId="43D2B448">
      <w:pPr>
        <w:spacing w:line="360" w:lineRule="auto"/>
        <w:ind w:firstLine="480" w:firstLineChars="200"/>
        <w:jc w:val="left"/>
        <w:rPr>
          <w:color w:val="auto"/>
          <w:sz w:val="24"/>
          <w:highlight w:val="none"/>
        </w:rPr>
      </w:pPr>
      <w:r>
        <w:rPr>
          <w:color w:val="auto"/>
          <w:sz w:val="24"/>
          <w:highlight w:val="none"/>
        </w:rPr>
        <w:t>水泥砼路面割缝完成后即可进行保温养护采用土工布浸湿后覆盖浇水养护每天洒水次数根据气候而定水泥砼面层一般养护期为14</w:t>
      </w:r>
      <w:r>
        <w:rPr>
          <w:rFonts w:hint="eastAsia"/>
          <w:color w:val="auto"/>
          <w:sz w:val="24"/>
          <w:highlight w:val="none"/>
        </w:rPr>
        <w:t>、</w:t>
      </w:r>
      <w:r>
        <w:rPr>
          <w:color w:val="auto"/>
          <w:sz w:val="24"/>
          <w:highlight w:val="none"/>
        </w:rPr>
        <w:t>21天气温低时适当延长。养护期间禁止车辆运行在达到设计强度后方可开放交通。</w:t>
      </w:r>
    </w:p>
    <w:p w14:paraId="6691B559">
      <w:pPr>
        <w:spacing w:line="360" w:lineRule="auto"/>
        <w:ind w:firstLine="480" w:firstLineChars="200"/>
        <w:jc w:val="left"/>
        <w:rPr>
          <w:color w:val="auto"/>
          <w:sz w:val="24"/>
          <w:highlight w:val="none"/>
        </w:rPr>
      </w:pPr>
      <w:r>
        <w:rPr>
          <w:rFonts w:hint="eastAsia"/>
          <w:color w:val="auto"/>
          <w:sz w:val="24"/>
          <w:highlight w:val="none"/>
        </w:rPr>
        <w:t>g、</w:t>
      </w:r>
      <w:r>
        <w:rPr>
          <w:color w:val="auto"/>
          <w:sz w:val="24"/>
          <w:highlight w:val="none"/>
        </w:rPr>
        <w:t>封缝</w:t>
      </w:r>
    </w:p>
    <w:p w14:paraId="57CC40BE">
      <w:pPr>
        <w:spacing w:line="360" w:lineRule="auto"/>
        <w:ind w:firstLine="480" w:firstLineChars="200"/>
        <w:jc w:val="left"/>
        <w:rPr>
          <w:color w:val="auto"/>
          <w:sz w:val="24"/>
          <w:highlight w:val="none"/>
        </w:rPr>
      </w:pPr>
      <w:r>
        <w:rPr>
          <w:rFonts w:hint="eastAsia"/>
          <w:color w:val="auto"/>
          <w:sz w:val="24"/>
          <w:highlight w:val="none"/>
        </w:rPr>
        <w:t>①</w:t>
      </w:r>
      <w:r>
        <w:rPr>
          <w:color w:val="auto"/>
          <w:sz w:val="24"/>
          <w:highlight w:val="none"/>
        </w:rPr>
        <w:t>、混凝土面板中所有接缝缝槽均按设计图纸的要求和部位用填缝料封缝。</w:t>
      </w:r>
    </w:p>
    <w:p w14:paraId="51000AC9">
      <w:pPr>
        <w:spacing w:line="360" w:lineRule="auto"/>
        <w:ind w:firstLine="480" w:firstLineChars="200"/>
        <w:jc w:val="left"/>
        <w:rPr>
          <w:color w:val="auto"/>
          <w:sz w:val="24"/>
          <w:highlight w:val="none"/>
        </w:rPr>
      </w:pPr>
      <w:r>
        <w:rPr>
          <w:rFonts w:hint="eastAsia"/>
          <w:color w:val="auto"/>
          <w:sz w:val="24"/>
          <w:highlight w:val="none"/>
        </w:rPr>
        <w:t>②</w:t>
      </w:r>
      <w:r>
        <w:rPr>
          <w:color w:val="auto"/>
          <w:sz w:val="24"/>
          <w:highlight w:val="none"/>
        </w:rPr>
        <w:t>、接缝缝槽要求干燥、无尘土、无混凝土</w:t>
      </w:r>
      <w:r>
        <w:rPr>
          <w:color w:val="auto"/>
          <w:highlight w:val="none"/>
        </w:rPr>
        <w:fldChar w:fldCharType="begin"/>
      </w:r>
      <w:r>
        <w:rPr>
          <w:color w:val="auto"/>
          <w:highlight w:val="none"/>
        </w:rPr>
        <w:instrText xml:space="preserve"> HYPERLINK "http://www.so.com/s?q=%E7%A2%8E%E5%B1%91&amp;ie=utf-8&amp;src=internal_wenda_recommend_textn" \t "_blank" </w:instrText>
      </w:r>
      <w:r>
        <w:rPr>
          <w:color w:val="auto"/>
          <w:highlight w:val="none"/>
        </w:rPr>
        <w:fldChar w:fldCharType="separate"/>
      </w:r>
      <w:r>
        <w:rPr>
          <w:color w:val="auto"/>
          <w:sz w:val="24"/>
          <w:highlight w:val="none"/>
        </w:rPr>
        <w:t>碎屑</w:t>
      </w:r>
      <w:r>
        <w:rPr>
          <w:color w:val="auto"/>
          <w:sz w:val="24"/>
          <w:highlight w:val="none"/>
        </w:rPr>
        <w:fldChar w:fldCharType="end"/>
      </w:r>
      <w:r>
        <w:rPr>
          <w:color w:val="auto"/>
          <w:sz w:val="24"/>
          <w:highlight w:val="none"/>
        </w:rPr>
        <w:t>或其他杂物。</w:t>
      </w:r>
    </w:p>
    <w:p w14:paraId="06CF7757">
      <w:pPr>
        <w:spacing w:line="360" w:lineRule="auto"/>
        <w:ind w:firstLine="480" w:firstLineChars="200"/>
        <w:jc w:val="left"/>
        <w:rPr>
          <w:color w:val="auto"/>
          <w:sz w:val="24"/>
          <w:highlight w:val="none"/>
        </w:rPr>
      </w:pPr>
      <w:r>
        <w:rPr>
          <w:rFonts w:hint="eastAsia"/>
          <w:color w:val="auto"/>
          <w:sz w:val="24"/>
          <w:highlight w:val="none"/>
        </w:rPr>
        <w:t>③</w:t>
      </w:r>
      <w:r>
        <w:rPr>
          <w:color w:val="auto"/>
          <w:sz w:val="24"/>
          <w:highlight w:val="none"/>
        </w:rPr>
        <w:t>、填缝料要按照生产厂推荐的方法加热和灌缝填缝料与混凝土缝壁粘附紧密不渗水。</w:t>
      </w:r>
    </w:p>
    <w:p w14:paraId="5461D052">
      <w:pPr>
        <w:spacing w:line="360" w:lineRule="auto"/>
        <w:ind w:firstLine="480" w:firstLineChars="200"/>
        <w:jc w:val="left"/>
        <w:rPr>
          <w:color w:val="auto"/>
          <w:sz w:val="24"/>
          <w:highlight w:val="none"/>
        </w:rPr>
      </w:pPr>
      <w:r>
        <w:rPr>
          <w:rFonts w:hint="eastAsia"/>
          <w:color w:val="auto"/>
          <w:sz w:val="24"/>
          <w:highlight w:val="none"/>
        </w:rPr>
        <w:t>④</w:t>
      </w:r>
      <w:r>
        <w:rPr>
          <w:color w:val="auto"/>
          <w:sz w:val="24"/>
          <w:highlight w:val="none"/>
        </w:rPr>
        <w:t>、填缝料应由槽</w:t>
      </w:r>
      <w:r>
        <w:rPr>
          <w:color w:val="auto"/>
          <w:highlight w:val="none"/>
        </w:rPr>
        <w:fldChar w:fldCharType="begin"/>
      </w:r>
      <w:r>
        <w:rPr>
          <w:color w:val="auto"/>
          <w:highlight w:val="none"/>
        </w:rPr>
        <w:instrText xml:space="preserve"> HYPERLINK "http://www.so.com/s?q=%E5%BA%95%E9%83%A8&amp;ie=utf-8&amp;src=internal_wenda_recommend_textn" \t "_blank" </w:instrText>
      </w:r>
      <w:r>
        <w:rPr>
          <w:color w:val="auto"/>
          <w:highlight w:val="none"/>
        </w:rPr>
        <w:fldChar w:fldCharType="separate"/>
      </w:r>
      <w:r>
        <w:rPr>
          <w:color w:val="auto"/>
          <w:sz w:val="24"/>
          <w:highlight w:val="none"/>
        </w:rPr>
        <w:t>底部</w:t>
      </w:r>
      <w:r>
        <w:rPr>
          <w:color w:val="auto"/>
          <w:sz w:val="24"/>
          <w:highlight w:val="none"/>
        </w:rPr>
        <w:fldChar w:fldCharType="end"/>
      </w:r>
      <w:r>
        <w:rPr>
          <w:color w:val="auto"/>
          <w:sz w:val="24"/>
          <w:highlight w:val="none"/>
        </w:rPr>
        <w:t>灌填至路表面深度大于2.5cm的缝槽最少分二层填缝每层厚度大致相等。</w:t>
      </w:r>
    </w:p>
    <w:p w14:paraId="09D6CFE7">
      <w:pPr>
        <w:spacing w:line="360" w:lineRule="auto"/>
        <w:ind w:firstLine="480" w:firstLineChars="200"/>
        <w:jc w:val="left"/>
        <w:rPr>
          <w:color w:val="auto"/>
          <w:sz w:val="24"/>
          <w:highlight w:val="none"/>
        </w:rPr>
      </w:pPr>
      <w:r>
        <w:rPr>
          <w:rFonts w:hint="eastAsia"/>
          <w:color w:val="auto"/>
          <w:sz w:val="24"/>
          <w:highlight w:val="none"/>
        </w:rPr>
        <w:t>⑤</w:t>
      </w:r>
      <w:r>
        <w:rPr>
          <w:color w:val="auto"/>
          <w:sz w:val="24"/>
          <w:highlight w:val="none"/>
        </w:rPr>
        <w:t>、灌缝作业在</w:t>
      </w:r>
      <w:r>
        <w:rPr>
          <w:color w:val="auto"/>
          <w:highlight w:val="none"/>
        </w:rPr>
        <w:fldChar w:fldCharType="begin"/>
      </w:r>
      <w:r>
        <w:rPr>
          <w:color w:val="auto"/>
          <w:highlight w:val="none"/>
        </w:rPr>
        <w:instrText xml:space="preserve"> HYPERLINK "http://www.so.com/s?q=%E9%AB%98%E6%B8%A9%E5%AD%A3%E8%8A%82&amp;ie=utf-8&amp;src=internal_wenda_recommend_textn" \t "_blank" </w:instrText>
      </w:r>
      <w:r>
        <w:rPr>
          <w:color w:val="auto"/>
          <w:highlight w:val="none"/>
        </w:rPr>
        <w:fldChar w:fldCharType="separate"/>
      </w:r>
      <w:r>
        <w:rPr>
          <w:color w:val="auto"/>
          <w:sz w:val="24"/>
          <w:highlight w:val="none"/>
        </w:rPr>
        <w:t>高温季节</w:t>
      </w:r>
      <w:r>
        <w:rPr>
          <w:color w:val="auto"/>
          <w:sz w:val="24"/>
          <w:highlight w:val="none"/>
        </w:rPr>
        <w:fldChar w:fldCharType="end"/>
      </w:r>
      <w:r>
        <w:rPr>
          <w:color w:val="auto"/>
          <w:sz w:val="24"/>
          <w:highlight w:val="none"/>
        </w:rPr>
        <w:t>使填缝料灌至路表面齐平在低温季节则稍低于路表面。</w:t>
      </w:r>
    </w:p>
    <w:p w14:paraId="7731166F">
      <w:pPr>
        <w:spacing w:line="360" w:lineRule="auto"/>
        <w:ind w:firstLine="480" w:firstLineChars="200"/>
        <w:jc w:val="left"/>
        <w:rPr>
          <w:color w:val="auto"/>
          <w:sz w:val="24"/>
          <w:highlight w:val="none"/>
        </w:rPr>
      </w:pPr>
      <w:r>
        <w:rPr>
          <w:rFonts w:hint="eastAsia"/>
          <w:color w:val="auto"/>
          <w:sz w:val="24"/>
          <w:highlight w:val="none"/>
        </w:rPr>
        <w:t>⑥</w:t>
      </w:r>
      <w:r>
        <w:rPr>
          <w:color w:val="auto"/>
          <w:sz w:val="24"/>
          <w:highlight w:val="none"/>
        </w:rPr>
        <w:t>、填缝随工程的进度使在开放交通前填缝料要有充分时间的</w:t>
      </w:r>
      <w:r>
        <w:rPr>
          <w:color w:val="auto"/>
          <w:highlight w:val="none"/>
        </w:rPr>
        <w:fldChar w:fldCharType="begin"/>
      </w:r>
      <w:r>
        <w:rPr>
          <w:color w:val="auto"/>
          <w:highlight w:val="none"/>
        </w:rPr>
        <w:instrText xml:space="preserve"> HYPERLINK "http://www.so.com/s?q=%E7%A1%AC%E7%BB%93&amp;ie=utf-8&amp;src=internal_wenda_recommend_textn" \t "_blank" </w:instrText>
      </w:r>
      <w:r>
        <w:rPr>
          <w:color w:val="auto"/>
          <w:highlight w:val="none"/>
        </w:rPr>
        <w:fldChar w:fldCharType="separate"/>
      </w:r>
      <w:r>
        <w:rPr>
          <w:color w:val="auto"/>
          <w:sz w:val="24"/>
          <w:highlight w:val="none"/>
        </w:rPr>
        <w:t>硬结</w:t>
      </w:r>
      <w:r>
        <w:rPr>
          <w:color w:val="auto"/>
          <w:sz w:val="24"/>
          <w:highlight w:val="none"/>
        </w:rPr>
        <w:fldChar w:fldCharType="end"/>
      </w:r>
      <w:r>
        <w:rPr>
          <w:color w:val="auto"/>
          <w:sz w:val="24"/>
          <w:highlight w:val="none"/>
        </w:rPr>
        <w:t>。</w:t>
      </w:r>
    </w:p>
    <w:p w14:paraId="209923C0">
      <w:pPr>
        <w:spacing w:line="360" w:lineRule="auto"/>
        <w:ind w:firstLine="480" w:firstLineChars="200"/>
        <w:jc w:val="left"/>
        <w:rPr>
          <w:color w:val="auto"/>
          <w:sz w:val="24"/>
          <w:highlight w:val="none"/>
        </w:rPr>
      </w:pPr>
      <w:r>
        <w:rPr>
          <w:rFonts w:hint="eastAsia"/>
          <w:color w:val="auto"/>
          <w:sz w:val="24"/>
          <w:highlight w:val="none"/>
        </w:rPr>
        <w:t>h</w:t>
      </w:r>
      <w:r>
        <w:rPr>
          <w:color w:val="auto"/>
          <w:sz w:val="24"/>
          <w:highlight w:val="none"/>
        </w:rPr>
        <w:t>、质量控制</w:t>
      </w:r>
    </w:p>
    <w:p w14:paraId="541E3859">
      <w:pPr>
        <w:spacing w:line="360" w:lineRule="auto"/>
        <w:ind w:firstLine="480" w:firstLineChars="200"/>
        <w:jc w:val="left"/>
        <w:rPr>
          <w:color w:val="auto"/>
          <w:sz w:val="24"/>
          <w:highlight w:val="none"/>
        </w:rPr>
      </w:pPr>
      <w:r>
        <w:rPr>
          <w:rFonts w:hint="eastAsia"/>
          <w:color w:val="auto"/>
          <w:sz w:val="24"/>
          <w:highlight w:val="none"/>
        </w:rPr>
        <w:t>①</w:t>
      </w:r>
      <w:r>
        <w:rPr>
          <w:color w:val="auto"/>
          <w:sz w:val="24"/>
          <w:highlight w:val="none"/>
        </w:rPr>
        <w:t>、施工过程中混凝土混合料按规范要求检验混凝土的抗压与弯拉强度以及混合料中各种组成材料用量的允许偏差。并按规范中有关规定评定混凝土合格强度。</w:t>
      </w:r>
    </w:p>
    <w:p w14:paraId="4B3B0EDE">
      <w:pPr>
        <w:spacing w:line="360" w:lineRule="auto"/>
        <w:ind w:firstLine="480" w:firstLineChars="200"/>
        <w:jc w:val="left"/>
        <w:rPr>
          <w:color w:val="auto"/>
          <w:sz w:val="24"/>
          <w:highlight w:val="none"/>
        </w:rPr>
      </w:pPr>
      <w:r>
        <w:rPr>
          <w:rFonts w:hint="eastAsia"/>
          <w:color w:val="auto"/>
          <w:sz w:val="24"/>
          <w:highlight w:val="none"/>
        </w:rPr>
        <w:t>②</w:t>
      </w:r>
      <w:r>
        <w:rPr>
          <w:color w:val="auto"/>
          <w:sz w:val="24"/>
          <w:highlight w:val="none"/>
        </w:rPr>
        <w:t>、外观上路面侧石直顺、曲线圆滑接缝填筑饱满密实。 </w:t>
      </w:r>
    </w:p>
    <w:p w14:paraId="36B6792F">
      <w:pPr>
        <w:spacing w:line="360" w:lineRule="auto"/>
        <w:ind w:firstLine="480" w:firstLineChars="200"/>
        <w:jc w:val="left"/>
        <w:rPr>
          <w:color w:val="auto"/>
          <w:sz w:val="24"/>
          <w:highlight w:val="none"/>
        </w:rPr>
      </w:pPr>
      <w:r>
        <w:rPr>
          <w:rFonts w:hint="eastAsia"/>
          <w:color w:val="auto"/>
          <w:sz w:val="24"/>
          <w:highlight w:val="none"/>
        </w:rPr>
        <w:t>（2）乳化沥青和石油沥青</w:t>
      </w:r>
    </w:p>
    <w:p w14:paraId="78195F55">
      <w:pPr>
        <w:spacing w:line="360" w:lineRule="auto"/>
        <w:ind w:firstLine="480" w:firstLineChars="200"/>
        <w:jc w:val="left"/>
        <w:rPr>
          <w:color w:val="auto"/>
          <w:sz w:val="24"/>
          <w:highlight w:val="none"/>
        </w:rPr>
      </w:pPr>
      <w:r>
        <w:rPr>
          <w:color w:val="auto"/>
          <w:sz w:val="24"/>
          <w:highlight w:val="none"/>
        </w:rPr>
        <w:t xml:space="preserve">a. </w:t>
      </w:r>
      <w:r>
        <w:rPr>
          <w:rFonts w:hint="eastAsia"/>
          <w:color w:val="auto"/>
          <w:sz w:val="24"/>
          <w:highlight w:val="none"/>
        </w:rPr>
        <w:t>沥青材料</w:t>
      </w:r>
    </w:p>
    <w:p w14:paraId="67469114">
      <w:pPr>
        <w:spacing w:line="360" w:lineRule="auto"/>
        <w:ind w:firstLine="480" w:firstLineChars="200"/>
        <w:jc w:val="left"/>
        <w:rPr>
          <w:color w:val="auto"/>
          <w:sz w:val="24"/>
          <w:highlight w:val="none"/>
        </w:rPr>
      </w:pPr>
      <w:r>
        <w:rPr>
          <w:rFonts w:hint="eastAsia"/>
          <w:color w:val="auto"/>
          <w:sz w:val="24"/>
          <w:highlight w:val="none"/>
        </w:rPr>
        <w:t>乳化沥青和石油沥青质量应符合《公路沥青路面施工技术规范》的要求，且乳化沥青蒸馏残余量不得小于</w:t>
      </w:r>
      <w:r>
        <w:rPr>
          <w:color w:val="auto"/>
          <w:sz w:val="24"/>
          <w:highlight w:val="none"/>
        </w:rPr>
        <w:t>50%</w:t>
      </w:r>
      <w:r>
        <w:rPr>
          <w:rFonts w:hint="eastAsia"/>
          <w:color w:val="auto"/>
          <w:sz w:val="24"/>
          <w:highlight w:val="none"/>
        </w:rPr>
        <w:t>，石油沥青标号符合</w:t>
      </w:r>
      <w:r>
        <w:rPr>
          <w:color w:val="auto"/>
          <w:sz w:val="24"/>
          <w:highlight w:val="none"/>
        </w:rPr>
        <w:t>70#</w:t>
      </w:r>
      <w:r>
        <w:rPr>
          <w:rFonts w:hint="eastAsia"/>
          <w:color w:val="auto"/>
          <w:sz w:val="24"/>
          <w:highlight w:val="none"/>
        </w:rPr>
        <w:t>技术标准。</w:t>
      </w:r>
    </w:p>
    <w:p w14:paraId="0F860A94">
      <w:pPr>
        <w:spacing w:line="360" w:lineRule="auto"/>
        <w:ind w:firstLine="480" w:firstLineChars="200"/>
        <w:jc w:val="left"/>
        <w:rPr>
          <w:color w:val="auto"/>
          <w:sz w:val="24"/>
          <w:highlight w:val="none"/>
        </w:rPr>
      </w:pPr>
      <w:r>
        <w:rPr>
          <w:color w:val="auto"/>
          <w:sz w:val="24"/>
          <w:highlight w:val="none"/>
        </w:rPr>
        <w:t xml:space="preserve">b. </w:t>
      </w:r>
      <w:r>
        <w:rPr>
          <w:rFonts w:hint="eastAsia"/>
          <w:color w:val="auto"/>
          <w:sz w:val="24"/>
          <w:highlight w:val="none"/>
        </w:rPr>
        <w:t>碎石、石屑、砂</w:t>
      </w:r>
    </w:p>
    <w:p w14:paraId="131BDCB9">
      <w:pPr>
        <w:spacing w:line="360" w:lineRule="auto"/>
        <w:ind w:firstLine="480" w:firstLineChars="200"/>
        <w:jc w:val="left"/>
        <w:rPr>
          <w:color w:val="auto"/>
          <w:sz w:val="24"/>
          <w:highlight w:val="none"/>
        </w:rPr>
      </w:pPr>
      <w:r>
        <w:rPr>
          <w:rFonts w:hint="eastAsia"/>
          <w:color w:val="auto"/>
          <w:sz w:val="24"/>
          <w:highlight w:val="none"/>
        </w:rPr>
        <w:t>碎石、石屑为机械轧制而成，应选用坚硬、碱性的石灰岩和玄武岩。碎石、石屑应清洁、干燥、无风化、无杂质，</w:t>
      </w:r>
      <w:r>
        <w:rPr>
          <w:color w:val="auto"/>
          <w:sz w:val="24"/>
          <w:highlight w:val="none"/>
        </w:rPr>
        <w:t xml:space="preserve"> </w:t>
      </w:r>
      <w:r>
        <w:rPr>
          <w:rFonts w:hint="eastAsia"/>
          <w:color w:val="auto"/>
          <w:sz w:val="24"/>
          <w:highlight w:val="none"/>
        </w:rPr>
        <w:t>水洗法</w:t>
      </w:r>
      <w:r>
        <w:rPr>
          <w:color w:val="auto"/>
          <w:sz w:val="24"/>
          <w:highlight w:val="none"/>
        </w:rPr>
        <w:t>0.075mm</w:t>
      </w:r>
      <w:r>
        <w:rPr>
          <w:rFonts w:hint="eastAsia"/>
          <w:color w:val="auto"/>
          <w:sz w:val="24"/>
          <w:highlight w:val="none"/>
        </w:rPr>
        <w:t>方孔筛通过率不得超过</w:t>
      </w:r>
      <w:r>
        <w:rPr>
          <w:color w:val="auto"/>
          <w:sz w:val="24"/>
          <w:highlight w:val="none"/>
        </w:rPr>
        <w:t>3%</w:t>
      </w:r>
      <w:r>
        <w:rPr>
          <w:rFonts w:hint="eastAsia"/>
          <w:color w:val="auto"/>
          <w:sz w:val="24"/>
          <w:highlight w:val="none"/>
        </w:rPr>
        <w:t>，级配良好。</w:t>
      </w:r>
    </w:p>
    <w:p w14:paraId="446F3C88">
      <w:pPr>
        <w:spacing w:line="360" w:lineRule="auto"/>
        <w:ind w:firstLine="480" w:firstLineChars="200"/>
        <w:jc w:val="left"/>
        <w:rPr>
          <w:color w:val="auto"/>
          <w:sz w:val="24"/>
          <w:highlight w:val="none"/>
        </w:rPr>
      </w:pPr>
      <w:r>
        <w:rPr>
          <w:rFonts w:hint="eastAsia"/>
          <w:color w:val="auto"/>
          <w:sz w:val="24"/>
          <w:highlight w:val="none"/>
        </w:rPr>
        <w:t>砂应选用洁净、坚硬、干燥、无风化、无杂质的河砂，其泥土杂物含量不得超过</w:t>
      </w:r>
      <w:r>
        <w:rPr>
          <w:color w:val="auto"/>
          <w:sz w:val="24"/>
          <w:highlight w:val="none"/>
        </w:rPr>
        <w:t>3%</w:t>
      </w:r>
      <w:r>
        <w:rPr>
          <w:rFonts w:hint="eastAsia"/>
          <w:color w:val="auto"/>
          <w:sz w:val="24"/>
          <w:highlight w:val="none"/>
        </w:rPr>
        <w:t>。</w:t>
      </w:r>
    </w:p>
    <w:p w14:paraId="2E457057">
      <w:pPr>
        <w:spacing w:line="360" w:lineRule="auto"/>
        <w:ind w:firstLine="480" w:firstLineChars="200"/>
        <w:jc w:val="left"/>
        <w:rPr>
          <w:color w:val="auto"/>
          <w:sz w:val="24"/>
          <w:highlight w:val="none"/>
        </w:rPr>
      </w:pPr>
      <w:r>
        <w:rPr>
          <w:rFonts w:hint="eastAsia"/>
          <w:color w:val="auto"/>
          <w:sz w:val="24"/>
          <w:highlight w:val="none"/>
        </w:rPr>
        <w:t>碎石、石屑、砂的物理技术指标应符合《公路沥青路面施工技术规范》的要求。</w:t>
      </w:r>
    </w:p>
    <w:p w14:paraId="01C733C2">
      <w:pPr>
        <w:spacing w:line="360" w:lineRule="auto"/>
        <w:ind w:firstLine="480" w:firstLineChars="200"/>
        <w:jc w:val="left"/>
        <w:rPr>
          <w:color w:val="auto"/>
          <w:sz w:val="24"/>
          <w:highlight w:val="none"/>
        </w:rPr>
      </w:pPr>
      <w:r>
        <w:rPr>
          <w:color w:val="auto"/>
          <w:sz w:val="24"/>
          <w:highlight w:val="none"/>
        </w:rPr>
        <w:t xml:space="preserve">c. </w:t>
      </w:r>
      <w:r>
        <w:rPr>
          <w:rFonts w:hint="eastAsia"/>
          <w:color w:val="auto"/>
          <w:sz w:val="24"/>
          <w:highlight w:val="none"/>
        </w:rPr>
        <w:t>沥青混合料</w:t>
      </w:r>
    </w:p>
    <w:p w14:paraId="6EFE098E">
      <w:pPr>
        <w:spacing w:line="360" w:lineRule="auto"/>
        <w:ind w:firstLine="480" w:firstLineChars="200"/>
        <w:jc w:val="left"/>
        <w:rPr>
          <w:color w:val="auto"/>
          <w:sz w:val="24"/>
          <w:highlight w:val="none"/>
        </w:rPr>
      </w:pPr>
      <w:r>
        <w:rPr>
          <w:rFonts w:hint="eastAsia"/>
          <w:color w:val="auto"/>
          <w:sz w:val="24"/>
          <w:highlight w:val="none"/>
        </w:rPr>
        <w:t>沥青混合料为</w:t>
      </w:r>
      <w:r>
        <w:rPr>
          <w:color w:val="auto"/>
          <w:sz w:val="24"/>
          <w:highlight w:val="none"/>
        </w:rPr>
        <w:t>AC-10</w:t>
      </w:r>
      <w:r>
        <w:rPr>
          <w:rFonts w:hint="eastAsia"/>
          <w:color w:val="auto"/>
          <w:sz w:val="24"/>
          <w:highlight w:val="none"/>
        </w:rPr>
        <w:t>或</w:t>
      </w:r>
      <w:r>
        <w:rPr>
          <w:color w:val="auto"/>
          <w:sz w:val="24"/>
          <w:highlight w:val="none"/>
        </w:rPr>
        <w:t>AC-13</w:t>
      </w:r>
      <w:r>
        <w:rPr>
          <w:rFonts w:hint="eastAsia"/>
          <w:color w:val="auto"/>
          <w:sz w:val="24"/>
          <w:highlight w:val="none"/>
        </w:rPr>
        <w:t>，混合料级配、沥青结合料用量（用油量）及混合料的稳定度、流值、空隙率、动稳定度、残留稳定度等符合《公路沥青路面施工技术规范》的要求。</w:t>
      </w:r>
    </w:p>
    <w:p w14:paraId="5027A090">
      <w:pPr>
        <w:spacing w:line="360" w:lineRule="auto"/>
        <w:ind w:firstLine="480" w:firstLineChars="200"/>
        <w:jc w:val="left"/>
        <w:rPr>
          <w:color w:val="auto"/>
          <w:sz w:val="24"/>
          <w:highlight w:val="none"/>
        </w:rPr>
      </w:pPr>
      <w:r>
        <w:rPr>
          <w:rFonts w:hint="eastAsia"/>
          <w:color w:val="auto"/>
          <w:sz w:val="24"/>
          <w:highlight w:val="none"/>
        </w:rPr>
        <w:t>沥青混合料拌和、运输符合《公路沥青路面施工技术规范》的要求。</w:t>
      </w:r>
    </w:p>
    <w:p w14:paraId="08303F04">
      <w:pPr>
        <w:spacing w:line="360" w:lineRule="auto"/>
        <w:ind w:firstLine="480" w:firstLineChars="200"/>
        <w:jc w:val="left"/>
        <w:rPr>
          <w:color w:val="auto"/>
          <w:sz w:val="24"/>
          <w:highlight w:val="none"/>
        </w:rPr>
      </w:pPr>
      <w:r>
        <w:rPr>
          <w:rFonts w:hint="eastAsia"/>
          <w:color w:val="auto"/>
          <w:sz w:val="24"/>
          <w:highlight w:val="none"/>
        </w:rPr>
        <w:t>（3）工艺及质量要求</w:t>
      </w:r>
    </w:p>
    <w:p w14:paraId="36F3D4FD">
      <w:pPr>
        <w:spacing w:line="360" w:lineRule="auto"/>
        <w:ind w:firstLine="480" w:firstLineChars="200"/>
        <w:jc w:val="left"/>
        <w:rPr>
          <w:color w:val="auto"/>
          <w:sz w:val="24"/>
          <w:highlight w:val="none"/>
        </w:rPr>
      </w:pPr>
      <w:r>
        <w:rPr>
          <w:rFonts w:hint="eastAsia"/>
          <w:color w:val="auto"/>
          <w:sz w:val="24"/>
          <w:highlight w:val="none"/>
        </w:rPr>
        <w:t>沥青路面维修工艺包括挖除拥包及软弱部位，铣刨松散面层，清理清扫路底、洒布沥青黏层、铺筑面层料、碾压成型等。</w:t>
      </w:r>
    </w:p>
    <w:p w14:paraId="747E596F">
      <w:pPr>
        <w:spacing w:line="360" w:lineRule="auto"/>
        <w:ind w:firstLine="480" w:firstLineChars="200"/>
        <w:jc w:val="left"/>
        <w:rPr>
          <w:color w:val="auto"/>
          <w:sz w:val="24"/>
          <w:highlight w:val="none"/>
        </w:rPr>
      </w:pPr>
      <w:r>
        <w:rPr>
          <w:color w:val="auto"/>
          <w:sz w:val="24"/>
          <w:highlight w:val="none"/>
        </w:rPr>
        <w:t xml:space="preserve">a. </w:t>
      </w:r>
      <w:r>
        <w:rPr>
          <w:rFonts w:hint="eastAsia"/>
          <w:color w:val="auto"/>
          <w:sz w:val="24"/>
          <w:highlight w:val="none"/>
        </w:rPr>
        <w:t>清理整治路底</w:t>
      </w:r>
    </w:p>
    <w:p w14:paraId="3088A49C">
      <w:pPr>
        <w:spacing w:line="360" w:lineRule="auto"/>
        <w:ind w:firstLine="480" w:firstLineChars="200"/>
        <w:jc w:val="left"/>
        <w:rPr>
          <w:color w:val="auto"/>
          <w:sz w:val="24"/>
          <w:highlight w:val="none"/>
        </w:rPr>
      </w:pPr>
      <w:r>
        <w:rPr>
          <w:rFonts w:hint="eastAsia"/>
          <w:color w:val="auto"/>
          <w:sz w:val="24"/>
          <w:highlight w:val="none"/>
        </w:rPr>
        <w:t>对拥包及软弱部位要开挖整修成规则的矩形，对松散部位也要铣刨整修成规则矩形，对路面及裂缝中的砂石尘土等清扫干净，如无法清扫干净，应采用鼓风机吹净或用水冲洗净。</w:t>
      </w:r>
    </w:p>
    <w:p w14:paraId="1B7DF335">
      <w:pPr>
        <w:spacing w:line="360" w:lineRule="auto"/>
        <w:ind w:firstLine="480" w:firstLineChars="200"/>
        <w:jc w:val="left"/>
        <w:rPr>
          <w:color w:val="auto"/>
          <w:sz w:val="24"/>
          <w:highlight w:val="none"/>
        </w:rPr>
      </w:pPr>
      <w:r>
        <w:rPr>
          <w:color w:val="auto"/>
          <w:sz w:val="24"/>
          <w:highlight w:val="none"/>
        </w:rPr>
        <w:t xml:space="preserve">b. </w:t>
      </w:r>
      <w:r>
        <w:rPr>
          <w:rFonts w:hint="eastAsia"/>
          <w:color w:val="auto"/>
          <w:sz w:val="24"/>
          <w:highlight w:val="none"/>
        </w:rPr>
        <w:t>洒布沥青黏层</w:t>
      </w:r>
    </w:p>
    <w:p w14:paraId="045BFC7C">
      <w:pPr>
        <w:spacing w:line="360" w:lineRule="auto"/>
        <w:ind w:firstLine="480" w:firstLineChars="200"/>
        <w:jc w:val="left"/>
        <w:rPr>
          <w:color w:val="auto"/>
          <w:sz w:val="24"/>
          <w:highlight w:val="none"/>
        </w:rPr>
      </w:pPr>
      <w:r>
        <w:rPr>
          <w:rFonts w:hint="eastAsia"/>
          <w:color w:val="auto"/>
          <w:sz w:val="24"/>
          <w:highlight w:val="none"/>
        </w:rPr>
        <w:t>较大面积病害部位应采用沥青洒布机喷洒沥青黏层，小面积病害部位可以采用人员淋洒。沥青黏层洒布用油量应为</w:t>
      </w:r>
      <w:r>
        <w:rPr>
          <w:color w:val="auto"/>
          <w:sz w:val="24"/>
          <w:highlight w:val="none"/>
        </w:rPr>
        <w:t>0.6</w:t>
      </w:r>
      <w:r>
        <w:rPr>
          <w:rFonts w:hint="eastAsia"/>
          <w:color w:val="auto"/>
          <w:sz w:val="24"/>
          <w:highlight w:val="none"/>
        </w:rPr>
        <w:t>～</w:t>
      </w:r>
      <w:r>
        <w:rPr>
          <w:color w:val="auto"/>
          <w:sz w:val="24"/>
          <w:highlight w:val="none"/>
        </w:rPr>
        <w:t>0.8kg/m2</w:t>
      </w:r>
      <w:r>
        <w:rPr>
          <w:rFonts w:hint="eastAsia"/>
          <w:color w:val="auto"/>
          <w:sz w:val="24"/>
          <w:highlight w:val="none"/>
        </w:rPr>
        <w:t>，洒布要均匀覆盖路底，不得出现露白等现象。</w:t>
      </w:r>
    </w:p>
    <w:p w14:paraId="1924B1E6">
      <w:pPr>
        <w:spacing w:line="360" w:lineRule="auto"/>
        <w:ind w:firstLine="480" w:firstLineChars="200"/>
        <w:jc w:val="left"/>
        <w:rPr>
          <w:color w:val="auto"/>
          <w:sz w:val="24"/>
          <w:highlight w:val="none"/>
        </w:rPr>
      </w:pPr>
      <w:r>
        <w:rPr>
          <w:color w:val="auto"/>
          <w:sz w:val="24"/>
          <w:highlight w:val="none"/>
        </w:rPr>
        <w:t xml:space="preserve">c. </w:t>
      </w:r>
      <w:r>
        <w:rPr>
          <w:rFonts w:hint="eastAsia"/>
          <w:color w:val="auto"/>
          <w:sz w:val="24"/>
          <w:highlight w:val="none"/>
        </w:rPr>
        <w:t>冷拌冷铺处理病害</w:t>
      </w:r>
    </w:p>
    <w:p w14:paraId="5C911865">
      <w:pPr>
        <w:spacing w:line="360" w:lineRule="auto"/>
        <w:ind w:firstLine="480" w:firstLineChars="200"/>
        <w:jc w:val="left"/>
        <w:rPr>
          <w:color w:val="auto"/>
          <w:sz w:val="24"/>
          <w:highlight w:val="none"/>
        </w:rPr>
      </w:pPr>
      <w:r>
        <w:rPr>
          <w:rFonts w:hint="eastAsia"/>
          <w:color w:val="auto"/>
          <w:sz w:val="24"/>
          <w:highlight w:val="none"/>
        </w:rPr>
        <w:t>冷拌冷铺法处理病害仅适用于分散的小型坑洞、坑槽及裂缝部位，病害较深的，应分层处治，下层采用较粗集料拌和铺筑，上层采用较细的集料拌和铺筑。每层铺筑后应采用冲击夯分层夯实夯平。上面层夯实夯平后，应均匀洒布少量乳化沥青，并撒洒细砂填隙养护，避免被行车粘连带走混合料。</w:t>
      </w:r>
    </w:p>
    <w:p w14:paraId="4CA8B2F8">
      <w:pPr>
        <w:spacing w:line="360" w:lineRule="auto"/>
        <w:ind w:firstLine="480" w:firstLineChars="200"/>
        <w:jc w:val="left"/>
        <w:rPr>
          <w:color w:val="auto"/>
          <w:sz w:val="24"/>
          <w:highlight w:val="none"/>
        </w:rPr>
      </w:pPr>
      <w:r>
        <w:rPr>
          <w:color w:val="auto"/>
          <w:sz w:val="24"/>
          <w:highlight w:val="none"/>
        </w:rPr>
        <w:t xml:space="preserve">d. </w:t>
      </w:r>
      <w:r>
        <w:rPr>
          <w:rFonts w:hint="eastAsia"/>
          <w:color w:val="auto"/>
          <w:sz w:val="24"/>
          <w:highlight w:val="none"/>
        </w:rPr>
        <w:t>热拌热铺罩面处理病害</w:t>
      </w:r>
    </w:p>
    <w:p w14:paraId="289DB22E">
      <w:pPr>
        <w:spacing w:line="360" w:lineRule="auto"/>
        <w:ind w:firstLine="480" w:firstLineChars="200"/>
        <w:jc w:val="left"/>
        <w:rPr>
          <w:color w:val="auto"/>
          <w:sz w:val="24"/>
          <w:highlight w:val="none"/>
        </w:rPr>
      </w:pPr>
      <w:r>
        <w:rPr>
          <w:rFonts w:hint="eastAsia"/>
          <w:color w:val="auto"/>
          <w:sz w:val="24"/>
          <w:highlight w:val="none"/>
        </w:rPr>
        <w:t>热拌热铺沥青混合料罩面适用于较大面积路面病害，铺筑厚度应为粗骨料的</w:t>
      </w:r>
      <w:r>
        <w:rPr>
          <w:color w:val="auto"/>
          <w:sz w:val="24"/>
          <w:highlight w:val="none"/>
        </w:rPr>
        <w:t>2.5</w:t>
      </w:r>
      <w:r>
        <w:rPr>
          <w:rFonts w:hint="eastAsia"/>
          <w:color w:val="auto"/>
          <w:sz w:val="24"/>
          <w:highlight w:val="none"/>
        </w:rPr>
        <w:t>倍为宜。铺筑工艺应符合《公路沥青路面施工技术规范》的要求，路面平整度应不大于</w:t>
      </w:r>
      <w:r>
        <w:rPr>
          <w:color w:val="auto"/>
          <w:sz w:val="24"/>
          <w:highlight w:val="none"/>
        </w:rPr>
        <w:t>10mm</w:t>
      </w:r>
      <w:r>
        <w:rPr>
          <w:rFonts w:hint="eastAsia"/>
          <w:color w:val="auto"/>
          <w:sz w:val="24"/>
          <w:highlight w:val="none"/>
        </w:rPr>
        <w:t>，与相邻路面高差不大于</w:t>
      </w:r>
      <w:r>
        <w:rPr>
          <w:color w:val="auto"/>
          <w:sz w:val="24"/>
          <w:highlight w:val="none"/>
        </w:rPr>
        <w:t>20mm</w:t>
      </w:r>
      <w:r>
        <w:rPr>
          <w:rFonts w:hint="eastAsia"/>
          <w:color w:val="auto"/>
          <w:sz w:val="24"/>
          <w:highlight w:val="none"/>
        </w:rPr>
        <w:t>，边线直顺、密实，行车</w:t>
      </w:r>
      <w:r>
        <w:rPr>
          <w:color w:val="auto"/>
          <w:sz w:val="24"/>
          <w:highlight w:val="none"/>
        </w:rPr>
        <w:t>15</w:t>
      </w:r>
      <w:r>
        <w:rPr>
          <w:rFonts w:hint="eastAsia"/>
          <w:color w:val="auto"/>
          <w:sz w:val="24"/>
          <w:highlight w:val="none"/>
        </w:rPr>
        <w:t>天后出现的边缘松散、啃边不应超过</w:t>
      </w:r>
      <w:r>
        <w:rPr>
          <w:color w:val="auto"/>
          <w:sz w:val="24"/>
          <w:highlight w:val="none"/>
        </w:rPr>
        <w:t>15%</w:t>
      </w:r>
      <w:r>
        <w:rPr>
          <w:rFonts w:hint="eastAsia"/>
          <w:color w:val="auto"/>
          <w:sz w:val="24"/>
          <w:highlight w:val="none"/>
        </w:rPr>
        <w:t>。热拌热铺沥青混合料油石比应大于</w:t>
      </w:r>
      <w:r>
        <w:rPr>
          <w:color w:val="auto"/>
          <w:sz w:val="24"/>
          <w:highlight w:val="none"/>
        </w:rPr>
        <w:t>5.5%</w:t>
      </w:r>
      <w:r>
        <w:rPr>
          <w:rFonts w:hint="eastAsia"/>
          <w:color w:val="auto"/>
          <w:sz w:val="24"/>
          <w:highlight w:val="none"/>
        </w:rPr>
        <w:t>。</w:t>
      </w:r>
    </w:p>
    <w:p w14:paraId="335A6074">
      <w:pPr>
        <w:spacing w:line="360" w:lineRule="auto"/>
        <w:ind w:firstLine="480" w:firstLineChars="200"/>
        <w:jc w:val="left"/>
        <w:rPr>
          <w:color w:val="auto"/>
          <w:sz w:val="24"/>
          <w:highlight w:val="none"/>
        </w:rPr>
      </w:pPr>
      <w:r>
        <w:rPr>
          <w:rFonts w:hint="eastAsia"/>
          <w:color w:val="auto"/>
          <w:sz w:val="24"/>
          <w:highlight w:val="none"/>
        </w:rPr>
        <w:t>（3）</w:t>
      </w:r>
      <w:r>
        <w:rPr>
          <w:color w:val="auto"/>
          <w:sz w:val="24"/>
          <w:highlight w:val="none"/>
        </w:rPr>
        <w:t xml:space="preserve"> </w:t>
      </w:r>
      <w:r>
        <w:rPr>
          <w:rFonts w:hint="eastAsia"/>
          <w:color w:val="auto"/>
          <w:sz w:val="24"/>
          <w:highlight w:val="none"/>
        </w:rPr>
        <w:t>日常保养、维修专项费工作要求：</w:t>
      </w:r>
    </w:p>
    <w:p w14:paraId="1AFE4974">
      <w:pPr>
        <w:spacing w:line="360" w:lineRule="auto"/>
        <w:ind w:firstLine="480" w:firstLineChars="200"/>
        <w:jc w:val="left"/>
        <w:rPr>
          <w:color w:val="auto"/>
          <w:sz w:val="24"/>
          <w:highlight w:val="none"/>
        </w:rPr>
      </w:pPr>
      <w:r>
        <w:rPr>
          <w:color w:val="auto"/>
          <w:sz w:val="24"/>
          <w:highlight w:val="none"/>
        </w:rPr>
        <w:t>1</w:t>
      </w:r>
      <w:r>
        <w:rPr>
          <w:rFonts w:hint="eastAsia"/>
          <w:color w:val="auto"/>
          <w:sz w:val="24"/>
          <w:highlight w:val="none"/>
        </w:rPr>
        <w:t>）在开展日常保养、维修专项费作业前，采购人应编制小修项目实施方案，明确维修范围、维修工程量、材料及工艺、质量要求、工期要求、费用计量支付方案、安全生产要求等，并到现场把病害部位和维修范围用红油漆标记清楚，组织中标人到现场进行交底（把实施方案向中标人书面交底，双方签字确认）。</w:t>
      </w:r>
    </w:p>
    <w:p w14:paraId="2A6F4E69">
      <w:pPr>
        <w:spacing w:line="360" w:lineRule="auto"/>
        <w:ind w:firstLine="480" w:firstLineChars="200"/>
        <w:jc w:val="left"/>
        <w:rPr>
          <w:color w:val="auto"/>
          <w:sz w:val="24"/>
          <w:highlight w:val="none"/>
        </w:rPr>
      </w:pPr>
      <w:r>
        <w:rPr>
          <w:color w:val="auto"/>
          <w:sz w:val="24"/>
          <w:highlight w:val="none"/>
        </w:rPr>
        <w:t>2</w:t>
      </w:r>
      <w:r>
        <w:rPr>
          <w:rFonts w:hint="eastAsia"/>
          <w:color w:val="auto"/>
          <w:sz w:val="24"/>
          <w:highlight w:val="none"/>
        </w:rPr>
        <w:t>）中标人根据日常保养、维修专项费实施方案要求，组织工人进行技术和安全交底，按方案要求组织材料、机械进场，并做好安全生产准备工作。</w:t>
      </w:r>
    </w:p>
    <w:p w14:paraId="46BEBBDC">
      <w:pPr>
        <w:spacing w:line="360" w:lineRule="auto"/>
        <w:ind w:firstLine="480" w:firstLineChars="200"/>
        <w:jc w:val="left"/>
        <w:rPr>
          <w:color w:val="auto"/>
          <w:sz w:val="24"/>
          <w:highlight w:val="none"/>
        </w:rPr>
      </w:pPr>
      <w:r>
        <w:rPr>
          <w:color w:val="auto"/>
          <w:sz w:val="24"/>
          <w:highlight w:val="none"/>
        </w:rPr>
        <w:t>3</w:t>
      </w:r>
      <w:r>
        <w:rPr>
          <w:rFonts w:hint="eastAsia"/>
          <w:color w:val="auto"/>
          <w:sz w:val="24"/>
          <w:highlight w:val="none"/>
        </w:rPr>
        <w:t>）中标人按实施方案要求组织开展路面维修及专项维护作业，作业前通知采购人到现场监督指导。作业过程中要拍摄各工序、工艺照片，采用一块小白板（或小黑板）标记维修路线名称、桩号范围、日期、天气和作业内容，与作业现场同框拍摄以作业路段为背景的照片，作为日常保养、维修专项费的留痕证据。</w:t>
      </w:r>
    </w:p>
    <w:p w14:paraId="49602341">
      <w:pPr>
        <w:spacing w:line="360" w:lineRule="auto"/>
        <w:ind w:firstLine="480" w:firstLineChars="200"/>
        <w:jc w:val="left"/>
        <w:rPr>
          <w:color w:val="auto"/>
          <w:sz w:val="24"/>
          <w:highlight w:val="none"/>
        </w:rPr>
      </w:pPr>
      <w:r>
        <w:rPr>
          <w:color w:val="auto"/>
          <w:sz w:val="24"/>
          <w:highlight w:val="none"/>
        </w:rPr>
        <w:t>4</w:t>
      </w:r>
      <w:r>
        <w:rPr>
          <w:rFonts w:hint="eastAsia"/>
          <w:color w:val="auto"/>
          <w:sz w:val="24"/>
          <w:highlight w:val="none"/>
        </w:rPr>
        <w:t>）完成日常保养、维修专项费作业后</w:t>
      </w:r>
      <w:r>
        <w:rPr>
          <w:color w:val="auto"/>
          <w:sz w:val="24"/>
          <w:highlight w:val="none"/>
        </w:rPr>
        <w:t>15</w:t>
      </w:r>
      <w:r>
        <w:rPr>
          <w:rFonts w:hint="eastAsia"/>
          <w:color w:val="auto"/>
          <w:sz w:val="24"/>
          <w:highlight w:val="none"/>
        </w:rPr>
        <w:t>天，中标人通知采购人到现场验收和收方，并采用一块小白板（或小黑板）标记路线名称、桩号范围、验收日期、验收内容，与主要验收人员同框拍摄以验收路段为背景的照片，作为完成日常保养、维修专项费的留痕证据。</w:t>
      </w:r>
    </w:p>
    <w:p w14:paraId="43CAC554">
      <w:pPr>
        <w:spacing w:line="360" w:lineRule="auto"/>
        <w:ind w:firstLine="570"/>
        <w:jc w:val="left"/>
        <w:rPr>
          <w:color w:val="auto"/>
          <w:sz w:val="24"/>
          <w:highlight w:val="none"/>
        </w:rPr>
      </w:pPr>
      <w:r>
        <w:rPr>
          <w:rFonts w:hint="eastAsia"/>
          <w:color w:val="auto"/>
          <w:sz w:val="24"/>
          <w:highlight w:val="none"/>
        </w:rPr>
        <w:t>（4）</w:t>
      </w:r>
      <w:r>
        <w:rPr>
          <w:color w:val="auto"/>
          <w:sz w:val="24"/>
          <w:highlight w:val="none"/>
        </w:rPr>
        <w:t xml:space="preserve">  </w:t>
      </w:r>
      <w:r>
        <w:rPr>
          <w:rFonts w:hint="eastAsia"/>
          <w:color w:val="auto"/>
          <w:sz w:val="24"/>
          <w:highlight w:val="none"/>
        </w:rPr>
        <w:t>日常保养、维修专项费实施工作报告和计量支付材料提交：</w:t>
      </w:r>
    </w:p>
    <w:p w14:paraId="7B4363FE">
      <w:pPr>
        <w:spacing w:line="360" w:lineRule="auto"/>
        <w:ind w:firstLine="570"/>
        <w:jc w:val="left"/>
        <w:rPr>
          <w:color w:val="auto"/>
          <w:sz w:val="24"/>
          <w:highlight w:val="none"/>
        </w:rPr>
      </w:pPr>
      <w:r>
        <w:rPr>
          <w:rFonts w:hint="eastAsia"/>
          <w:color w:val="auto"/>
          <w:sz w:val="24"/>
          <w:highlight w:val="none"/>
        </w:rPr>
        <w:t>每次日常保养、维修专项费通过验收和工程量收方后，中标人向采购人提交日常保养、维修专项费实施工作报告，并同时提交电子版文件（可通过电子邮件提交）。采购人应安排专人及时对工作报告进行核实并签署意见。</w:t>
      </w:r>
    </w:p>
    <w:p w14:paraId="79AA159C">
      <w:pPr>
        <w:spacing w:line="360" w:lineRule="auto"/>
        <w:ind w:firstLine="480" w:firstLineChars="200"/>
        <w:jc w:val="left"/>
        <w:rPr>
          <w:color w:val="auto"/>
          <w:sz w:val="24"/>
          <w:highlight w:val="none"/>
        </w:rPr>
      </w:pPr>
      <w:r>
        <w:rPr>
          <w:rFonts w:hint="eastAsia"/>
          <w:color w:val="auto"/>
          <w:sz w:val="24"/>
          <w:highlight w:val="none"/>
        </w:rPr>
        <w:t>（5）</w:t>
      </w:r>
      <w:r>
        <w:rPr>
          <w:color w:val="auto"/>
          <w:sz w:val="24"/>
          <w:highlight w:val="none"/>
        </w:rPr>
        <w:t xml:space="preserve"> </w:t>
      </w:r>
      <w:r>
        <w:rPr>
          <w:rFonts w:hint="eastAsia"/>
          <w:color w:val="auto"/>
          <w:sz w:val="24"/>
          <w:highlight w:val="none"/>
        </w:rPr>
        <w:t>日常保养、维修专项费计量支付：</w:t>
      </w:r>
    </w:p>
    <w:p w14:paraId="2D780699">
      <w:pPr>
        <w:spacing w:line="360" w:lineRule="auto"/>
        <w:ind w:firstLine="480" w:firstLineChars="200"/>
        <w:jc w:val="left"/>
        <w:rPr>
          <w:color w:val="auto"/>
          <w:sz w:val="24"/>
          <w:highlight w:val="none"/>
        </w:rPr>
      </w:pPr>
      <w:r>
        <w:rPr>
          <w:color w:val="auto"/>
          <w:sz w:val="24"/>
          <w:highlight w:val="none"/>
        </w:rPr>
        <w:t>1</w:t>
      </w:r>
      <w:r>
        <w:rPr>
          <w:rFonts w:hint="eastAsia"/>
          <w:color w:val="auto"/>
          <w:sz w:val="24"/>
          <w:highlight w:val="none"/>
        </w:rPr>
        <w:t>）采购人同意中标人的工作报告后，中标人应及时按本招标文件要求和合同文件约定编制小修计量支付文件，并提交采购人一式三份，采购人在收到计量支付文件</w:t>
      </w:r>
      <w:r>
        <w:rPr>
          <w:color w:val="auto"/>
          <w:sz w:val="24"/>
          <w:highlight w:val="none"/>
        </w:rPr>
        <w:t>5</w:t>
      </w:r>
      <w:r>
        <w:rPr>
          <w:rFonts w:hint="eastAsia"/>
          <w:color w:val="auto"/>
          <w:sz w:val="24"/>
          <w:highlight w:val="none"/>
        </w:rPr>
        <w:t>个工作日内完成审核签字，返还两份给中标人。</w:t>
      </w:r>
    </w:p>
    <w:p w14:paraId="2E5C7C99">
      <w:pPr>
        <w:spacing w:line="360" w:lineRule="auto"/>
        <w:ind w:firstLine="480" w:firstLineChars="200"/>
        <w:jc w:val="left"/>
        <w:rPr>
          <w:color w:val="auto"/>
          <w:sz w:val="24"/>
          <w:highlight w:val="none"/>
        </w:rPr>
      </w:pPr>
      <w:r>
        <w:rPr>
          <w:color w:val="auto"/>
          <w:sz w:val="24"/>
          <w:highlight w:val="none"/>
        </w:rPr>
        <w:t>2</w:t>
      </w:r>
      <w:r>
        <w:rPr>
          <w:rFonts w:hint="eastAsia"/>
          <w:color w:val="auto"/>
          <w:sz w:val="24"/>
          <w:highlight w:val="none"/>
        </w:rPr>
        <w:t>）中标人向采人提交维修工程发票后</w:t>
      </w:r>
      <w:r>
        <w:rPr>
          <w:color w:val="auto"/>
          <w:sz w:val="24"/>
          <w:highlight w:val="none"/>
        </w:rPr>
        <w:t>14</w:t>
      </w:r>
      <w:r>
        <w:rPr>
          <w:rFonts w:hint="eastAsia"/>
          <w:color w:val="auto"/>
          <w:sz w:val="24"/>
          <w:highlight w:val="none"/>
        </w:rPr>
        <w:t>个工作日内，采购人应向中标人拨付本次维修费用。</w:t>
      </w:r>
    </w:p>
    <w:p w14:paraId="7D7FD6B6">
      <w:pPr>
        <w:spacing w:line="360" w:lineRule="auto"/>
        <w:ind w:firstLine="480" w:firstLineChars="200"/>
        <w:jc w:val="left"/>
        <w:rPr>
          <w:color w:val="auto"/>
          <w:sz w:val="24"/>
          <w:highlight w:val="none"/>
        </w:rPr>
      </w:pPr>
      <w:r>
        <w:rPr>
          <w:color w:val="auto"/>
          <w:sz w:val="24"/>
          <w:highlight w:val="none"/>
        </w:rPr>
        <w:t>3</w:t>
      </w:r>
      <w:r>
        <w:rPr>
          <w:rFonts w:hint="eastAsia"/>
          <w:color w:val="auto"/>
          <w:sz w:val="24"/>
          <w:highlight w:val="none"/>
        </w:rPr>
        <w:t>）采购人不得对日常保养、维修专项费项目工程款扣减质量保证金、审计预留金、农民工资保证金等，但单次实施的单项小修保养及专项维护价格超过1</w:t>
      </w:r>
      <w:r>
        <w:rPr>
          <w:color w:val="auto"/>
          <w:sz w:val="24"/>
          <w:highlight w:val="none"/>
        </w:rPr>
        <w:t>0</w:t>
      </w:r>
      <w:r>
        <w:rPr>
          <w:rFonts w:hint="eastAsia"/>
          <w:color w:val="auto"/>
          <w:sz w:val="24"/>
          <w:highlight w:val="none"/>
        </w:rPr>
        <w:t>万元的除外。</w:t>
      </w:r>
    </w:p>
    <w:p w14:paraId="2D902387">
      <w:pPr>
        <w:spacing w:line="360" w:lineRule="auto"/>
        <w:jc w:val="left"/>
        <w:rPr>
          <w:b/>
          <w:color w:val="auto"/>
          <w:sz w:val="24"/>
          <w:highlight w:val="none"/>
        </w:rPr>
      </w:pPr>
      <w:r>
        <w:rPr>
          <w:rFonts w:ascii="宋体" w:cs="宋体"/>
          <w:color w:val="auto"/>
          <w:kern w:val="0"/>
          <w:sz w:val="24"/>
          <w:highlight w:val="none"/>
        </w:rPr>
        <w:t xml:space="preserve"> </w:t>
      </w:r>
      <w:r>
        <w:rPr>
          <w:rFonts w:hint="eastAsia" w:ascii="宋体" w:cs="宋体"/>
          <w:color w:val="auto"/>
          <w:kern w:val="0"/>
          <w:sz w:val="24"/>
          <w:highlight w:val="none"/>
        </w:rPr>
        <w:t xml:space="preserve"> </w:t>
      </w:r>
      <w:r>
        <w:rPr>
          <w:b/>
          <w:color w:val="auto"/>
          <w:sz w:val="24"/>
          <w:highlight w:val="none"/>
        </w:rPr>
        <w:t>3.</w:t>
      </w:r>
      <w:r>
        <w:rPr>
          <w:rFonts w:hint="eastAsia"/>
          <w:b/>
          <w:color w:val="auto"/>
          <w:sz w:val="24"/>
          <w:highlight w:val="none"/>
        </w:rPr>
        <w:t>2.6相关配合工作</w:t>
      </w:r>
    </w:p>
    <w:p w14:paraId="2FDB1204">
      <w:pPr>
        <w:spacing w:line="360" w:lineRule="auto"/>
        <w:ind w:firstLine="480" w:firstLineChars="200"/>
        <w:jc w:val="left"/>
        <w:rPr>
          <w:color w:val="auto"/>
          <w:sz w:val="24"/>
          <w:highlight w:val="none"/>
        </w:rPr>
      </w:pPr>
      <w:r>
        <w:rPr>
          <w:rFonts w:hint="eastAsia"/>
          <w:color w:val="auto"/>
          <w:sz w:val="24"/>
          <w:highlight w:val="none"/>
        </w:rPr>
        <w:t>（1）</w:t>
      </w:r>
      <w:r>
        <w:rPr>
          <w:color w:val="auto"/>
          <w:sz w:val="24"/>
          <w:highlight w:val="none"/>
        </w:rPr>
        <w:t xml:space="preserve"> </w:t>
      </w:r>
      <w:r>
        <w:rPr>
          <w:rFonts w:hint="eastAsia"/>
          <w:color w:val="auto"/>
          <w:sz w:val="24"/>
          <w:highlight w:val="none"/>
        </w:rPr>
        <w:t>中标人必须根据采购人的指示，安排人员、车辆参与公路安防调查、桥梁普查、危桥调查、地灾隐患调查、漫水险路调查等工作，以及拟实施安全生命防护工程的踏勘、调查等配合工作。</w:t>
      </w:r>
    </w:p>
    <w:p w14:paraId="42B05B23">
      <w:pPr>
        <w:spacing w:line="360" w:lineRule="auto"/>
        <w:ind w:firstLine="480" w:firstLineChars="200"/>
        <w:jc w:val="left"/>
        <w:rPr>
          <w:color w:val="auto"/>
          <w:sz w:val="24"/>
          <w:highlight w:val="none"/>
        </w:rPr>
      </w:pPr>
      <w:r>
        <w:rPr>
          <w:rFonts w:hint="eastAsia"/>
          <w:color w:val="auto"/>
          <w:sz w:val="24"/>
          <w:highlight w:val="none"/>
        </w:rPr>
        <w:t>（2）</w:t>
      </w:r>
      <w:r>
        <w:rPr>
          <w:color w:val="auto"/>
          <w:sz w:val="24"/>
          <w:highlight w:val="none"/>
        </w:rPr>
        <w:t xml:space="preserve"> </w:t>
      </w:r>
      <w:r>
        <w:rPr>
          <w:rFonts w:hint="eastAsia"/>
          <w:color w:val="auto"/>
          <w:sz w:val="24"/>
          <w:highlight w:val="none"/>
        </w:rPr>
        <w:t>安防工程配合工作视为中标人应尽义务，其工作已经包含在其他如日常保养等分项工作内，中标人必须按采购人要求完成，但不得到该项工作的计量支付。</w:t>
      </w:r>
    </w:p>
    <w:p w14:paraId="59B85210">
      <w:pPr>
        <w:spacing w:line="360" w:lineRule="auto"/>
        <w:ind w:firstLine="480" w:firstLineChars="200"/>
        <w:jc w:val="left"/>
        <w:rPr>
          <w:color w:val="auto"/>
          <w:sz w:val="24"/>
          <w:highlight w:val="none"/>
        </w:rPr>
      </w:pPr>
      <w:r>
        <w:rPr>
          <w:rFonts w:hint="eastAsia"/>
          <w:color w:val="auto"/>
          <w:sz w:val="24"/>
          <w:highlight w:val="none"/>
        </w:rPr>
        <w:t>（3）</w:t>
      </w:r>
      <w:r>
        <w:rPr>
          <w:color w:val="auto"/>
          <w:sz w:val="24"/>
          <w:highlight w:val="none"/>
        </w:rPr>
        <w:t xml:space="preserve"> </w:t>
      </w:r>
      <w:r>
        <w:rPr>
          <w:rFonts w:hint="eastAsia"/>
          <w:color w:val="auto"/>
          <w:sz w:val="24"/>
          <w:highlight w:val="none"/>
        </w:rPr>
        <w:t>采购人安排中标人配合安防工程工作的，应按中标人参与的人数和天数，调整中标人当月应完成各分项工作计划完成量。</w:t>
      </w:r>
    </w:p>
    <w:p w14:paraId="410F71AB">
      <w:pPr>
        <w:spacing w:line="360" w:lineRule="auto"/>
        <w:ind w:firstLine="482" w:firstLineChars="200"/>
        <w:jc w:val="left"/>
        <w:rPr>
          <w:b/>
          <w:color w:val="auto"/>
          <w:sz w:val="24"/>
          <w:highlight w:val="none"/>
        </w:rPr>
      </w:pPr>
      <w:r>
        <w:rPr>
          <w:b/>
          <w:color w:val="auto"/>
          <w:sz w:val="24"/>
          <w:highlight w:val="none"/>
        </w:rPr>
        <w:t>3.</w:t>
      </w:r>
      <w:r>
        <w:rPr>
          <w:rFonts w:hint="eastAsia"/>
          <w:b/>
          <w:color w:val="auto"/>
          <w:sz w:val="24"/>
          <w:highlight w:val="none"/>
        </w:rPr>
        <w:t>2.7</w:t>
      </w:r>
      <w:r>
        <w:rPr>
          <w:b/>
          <w:color w:val="auto"/>
          <w:sz w:val="24"/>
          <w:highlight w:val="none"/>
        </w:rPr>
        <w:t xml:space="preserve"> </w:t>
      </w:r>
      <w:r>
        <w:rPr>
          <w:rFonts w:hint="eastAsia"/>
          <w:b/>
          <w:color w:val="auto"/>
          <w:sz w:val="24"/>
          <w:highlight w:val="none"/>
        </w:rPr>
        <w:t>路域环境整治及城乡清洁工程</w:t>
      </w:r>
    </w:p>
    <w:p w14:paraId="0E63ED92">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1）中标人必须根据采购人的指示，组织指定数量的工人、机械机具和工具、安全生产设施和劳动保护用品等，在指定的时间、地点集合，按采购人现场交底指定的整治范围、内容和质量要求开展路域环境整治及城乡清洁工作。</w:t>
      </w:r>
    </w:p>
    <w:p w14:paraId="2A5594F3">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（2）</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整治或清洁工作效果要符合采购人指示，做到没有遗漏，整治或清洁产生的废渣、废料、砂土、垃圾等，按采购人指定的方式运弃到指定地点。整治效果要经受起采购人及上级部门检查，没有被通报、批评和要求返工整改等现象。</w:t>
      </w:r>
    </w:p>
    <w:p w14:paraId="14F573E9">
      <w:pPr>
        <w:spacing w:line="360" w:lineRule="auto"/>
        <w:ind w:firstLine="480" w:firstLineChars="200"/>
        <w:jc w:val="left"/>
        <w:rPr>
          <w:color w:val="auto"/>
          <w:sz w:val="24"/>
          <w:highlight w:val="none"/>
        </w:rPr>
      </w:pPr>
      <w:r>
        <w:rPr>
          <w:rFonts w:hint="eastAsia" w:ascii="宋体" w:hAnsi="宋体" w:cs="宋体"/>
          <w:color w:val="auto"/>
          <w:kern w:val="0"/>
          <w:sz w:val="24"/>
          <w:highlight w:val="none"/>
        </w:rPr>
        <w:t>（3）</w:t>
      </w:r>
      <w:r>
        <w:rPr>
          <w:color w:val="auto"/>
          <w:sz w:val="24"/>
          <w:highlight w:val="none"/>
        </w:rPr>
        <w:t xml:space="preserve"> </w:t>
      </w:r>
      <w:r>
        <w:rPr>
          <w:rFonts w:hint="eastAsia"/>
          <w:color w:val="auto"/>
          <w:sz w:val="24"/>
          <w:highlight w:val="none"/>
        </w:rPr>
        <w:t>路域环境整治及城乡清洁工程工作原则上视为中标人应尽义务，中标人承诺投入本招标项目的人员、机械设备、安全设施等参与整治清洁的，视为已经包含在其他如日常保养等分项工作内，中标人必须按采购人要求完成，但不得到该项工作的计量支付。采购人指示投入的人员、机械设备和安全设施等，已明显超出中标人承诺投入本项目的，超出部分应按</w:t>
      </w:r>
      <w:r>
        <w:rPr>
          <w:color w:val="auto"/>
          <w:sz w:val="24"/>
          <w:highlight w:val="none"/>
        </w:rPr>
        <w:t>3.7.6</w:t>
      </w:r>
      <w:r>
        <w:rPr>
          <w:rFonts w:hint="eastAsia"/>
          <w:color w:val="auto"/>
          <w:sz w:val="24"/>
          <w:highlight w:val="none"/>
        </w:rPr>
        <w:t>应急计量支付的规定计量支付中标人费用。</w:t>
      </w:r>
    </w:p>
    <w:p w14:paraId="183C1797">
      <w:pPr>
        <w:spacing w:line="360" w:lineRule="auto"/>
        <w:ind w:firstLine="480" w:firstLineChars="200"/>
        <w:jc w:val="left"/>
        <w:rPr>
          <w:color w:val="auto"/>
          <w:sz w:val="24"/>
          <w:highlight w:val="none"/>
        </w:rPr>
      </w:pPr>
      <w:r>
        <w:rPr>
          <w:rFonts w:hint="eastAsia" w:ascii="宋体" w:hAnsi="宋体" w:cs="宋体"/>
          <w:color w:val="auto"/>
          <w:kern w:val="0"/>
          <w:sz w:val="24"/>
          <w:highlight w:val="none"/>
        </w:rPr>
        <w:t>（4）</w:t>
      </w:r>
      <w:r>
        <w:rPr>
          <w:color w:val="auto"/>
          <w:sz w:val="24"/>
          <w:highlight w:val="none"/>
        </w:rPr>
        <w:t xml:space="preserve"> </w:t>
      </w:r>
      <w:r>
        <w:rPr>
          <w:rFonts w:hint="eastAsia"/>
          <w:color w:val="auto"/>
          <w:sz w:val="24"/>
          <w:highlight w:val="none"/>
        </w:rPr>
        <w:t>采购人安排中标人集中参与整治和清扫工作的，应按中标人参与的人数和天数，调整中标人当月应完成各分项工作计划完成量。</w:t>
      </w:r>
    </w:p>
    <w:p w14:paraId="3D3229D5">
      <w:pPr>
        <w:spacing w:line="360" w:lineRule="auto"/>
        <w:jc w:val="left"/>
        <w:rPr>
          <w:b/>
          <w:color w:val="auto"/>
          <w:sz w:val="24"/>
          <w:highlight w:val="none"/>
        </w:rPr>
      </w:pPr>
      <w:r>
        <w:rPr>
          <w:b/>
          <w:color w:val="auto"/>
          <w:sz w:val="24"/>
          <w:highlight w:val="none"/>
        </w:rPr>
        <w:t>3.</w:t>
      </w:r>
      <w:r>
        <w:rPr>
          <w:rFonts w:hint="eastAsia"/>
          <w:b/>
          <w:color w:val="auto"/>
          <w:sz w:val="24"/>
          <w:highlight w:val="none"/>
        </w:rPr>
        <w:t>3应急工作</w:t>
      </w:r>
    </w:p>
    <w:p w14:paraId="369EE789">
      <w:pPr>
        <w:spacing w:line="360" w:lineRule="auto"/>
        <w:ind w:firstLine="480" w:firstLineChars="200"/>
        <w:jc w:val="left"/>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3</w:t>
      </w:r>
      <w:r>
        <w:rPr>
          <w:rFonts w:ascii="宋体" w:hAnsi="宋体"/>
          <w:color w:val="auto"/>
          <w:sz w:val="24"/>
          <w:highlight w:val="none"/>
        </w:rPr>
        <w:t xml:space="preserve">.1  </w:t>
      </w:r>
      <w:r>
        <w:rPr>
          <w:rFonts w:hint="eastAsia" w:ascii="宋体" w:hAnsi="宋体" w:cs="宋体"/>
          <w:color w:val="auto"/>
          <w:kern w:val="0"/>
          <w:sz w:val="24"/>
          <w:highlight w:val="none"/>
        </w:rPr>
        <w:t>应急预案</w:t>
      </w:r>
    </w:p>
    <w:p w14:paraId="015084FD">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中标人应根据招标文件和采购人的要求，以及</w:t>
      </w:r>
      <w:r>
        <w:rPr>
          <w:rFonts w:hint="eastAsia" w:ascii="宋体" w:hAnsi="宋体" w:cs="宋体"/>
          <w:color w:val="auto"/>
          <w:kern w:val="0"/>
          <w:sz w:val="24"/>
          <w:highlight w:val="none"/>
          <w:u w:val="single"/>
        </w:rPr>
        <w:t>合浦县交通运输局</w:t>
      </w:r>
      <w:r>
        <w:rPr>
          <w:rFonts w:hint="eastAsia" w:ascii="宋体" w:hAnsi="宋体" w:cs="宋体"/>
          <w:color w:val="auto"/>
          <w:kern w:val="0"/>
          <w:sz w:val="24"/>
          <w:highlight w:val="none"/>
        </w:rPr>
        <w:t>应急预案的总体布置，在签订合同后</w:t>
      </w:r>
      <w:r>
        <w:rPr>
          <w:rFonts w:ascii="宋体" w:hAnsi="宋体" w:cs="宋体"/>
          <w:color w:val="auto"/>
          <w:kern w:val="0"/>
          <w:sz w:val="24"/>
          <w:highlight w:val="none"/>
          <w:u w:val="single"/>
        </w:rPr>
        <w:t>30</w:t>
      </w:r>
      <w:r>
        <w:rPr>
          <w:rFonts w:hint="eastAsia" w:ascii="宋体" w:hAnsi="宋体" w:cs="宋体"/>
          <w:color w:val="auto"/>
          <w:kern w:val="0"/>
          <w:sz w:val="24"/>
          <w:highlight w:val="none"/>
        </w:rPr>
        <w:t>天内，编制本招标项目的中标人应急预案报采购人审查备案。应急预案内容要包括应急组织机构、应急物资储备、应急动员、各类应急事件的应急处置方案等。</w:t>
      </w:r>
    </w:p>
    <w:p w14:paraId="27ADEB25">
      <w:pPr>
        <w:widowControl/>
        <w:adjustRightInd w:val="0"/>
        <w:snapToGrid w:val="0"/>
        <w:spacing w:line="360" w:lineRule="auto"/>
        <w:ind w:firstLine="484" w:firstLineChars="202"/>
        <w:jc w:val="left"/>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3</w:t>
      </w:r>
      <w:r>
        <w:rPr>
          <w:rFonts w:ascii="宋体" w:hAnsi="宋体" w:cs="宋体"/>
          <w:color w:val="auto"/>
          <w:kern w:val="0"/>
          <w:sz w:val="24"/>
          <w:highlight w:val="none"/>
        </w:rPr>
        <w:t xml:space="preserve">.2 </w:t>
      </w:r>
      <w:r>
        <w:rPr>
          <w:rFonts w:hint="eastAsia" w:ascii="宋体" w:hAnsi="宋体" w:cs="宋体"/>
          <w:color w:val="auto"/>
          <w:kern w:val="0"/>
          <w:sz w:val="24"/>
          <w:highlight w:val="none"/>
        </w:rPr>
        <w:t>应急工作通知</w:t>
      </w:r>
    </w:p>
    <w:p w14:paraId="5236A380">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出现灾害天气或发生特殊事故需要启动应急预案和布置相关应急工作时，采购人通知形式包含了本招标文件和合同中约定的书面形式外，还包括采购人采用电话通知、会议布置、微信或</w:t>
      </w:r>
      <w:r>
        <w:rPr>
          <w:rFonts w:ascii="宋体" w:hAnsi="宋体" w:cs="宋体"/>
          <w:color w:val="auto"/>
          <w:kern w:val="0"/>
          <w:sz w:val="24"/>
          <w:highlight w:val="none"/>
        </w:rPr>
        <w:t>QQ</w:t>
      </w:r>
      <w:r>
        <w:rPr>
          <w:rFonts w:hint="eastAsia" w:ascii="宋体" w:hAnsi="宋体" w:cs="宋体"/>
          <w:color w:val="auto"/>
          <w:kern w:val="0"/>
          <w:sz w:val="24"/>
          <w:highlight w:val="none"/>
        </w:rPr>
        <w:t>通知、短信通知等方式，这些非书面通知的效力与招标文件约定的书面通知一致。</w:t>
      </w:r>
    </w:p>
    <w:p w14:paraId="41069C71">
      <w:pPr>
        <w:widowControl/>
        <w:adjustRightInd w:val="0"/>
        <w:snapToGrid w:val="0"/>
        <w:spacing w:line="360" w:lineRule="auto"/>
        <w:ind w:firstLine="484" w:firstLineChars="202"/>
        <w:jc w:val="left"/>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3</w:t>
      </w:r>
      <w:r>
        <w:rPr>
          <w:rFonts w:ascii="宋体" w:hAnsi="宋体" w:cs="宋体"/>
          <w:color w:val="auto"/>
          <w:kern w:val="0"/>
          <w:sz w:val="24"/>
          <w:highlight w:val="none"/>
        </w:rPr>
        <w:t xml:space="preserve">.3  </w:t>
      </w:r>
      <w:r>
        <w:rPr>
          <w:rFonts w:hint="eastAsia" w:ascii="宋体" w:hAnsi="宋体" w:cs="宋体"/>
          <w:color w:val="auto"/>
          <w:kern w:val="0"/>
          <w:sz w:val="24"/>
          <w:highlight w:val="none"/>
        </w:rPr>
        <w:t>抗台抗汛巡查、值班</w:t>
      </w:r>
    </w:p>
    <w:p w14:paraId="1822E49C">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中标人应根据采购人的指示，编制汛期和台风期巡查、值班表，安排专人负责巡查、值班，并把巡查、值班情况及时向采购人报告。巡查、值班时发现的隐患等，能现场及时处置的应立即处置，不能现场处置的，应立即通知采购人。</w:t>
      </w:r>
    </w:p>
    <w:p w14:paraId="555342F7">
      <w:pPr>
        <w:widowControl/>
        <w:adjustRightInd w:val="0"/>
        <w:snapToGrid w:val="0"/>
        <w:spacing w:line="360" w:lineRule="auto"/>
        <w:ind w:firstLine="484" w:firstLineChars="202"/>
        <w:jc w:val="left"/>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3</w:t>
      </w:r>
      <w:r>
        <w:rPr>
          <w:rFonts w:ascii="宋体" w:hAnsi="宋体" w:cs="宋体"/>
          <w:color w:val="auto"/>
          <w:kern w:val="0"/>
          <w:sz w:val="24"/>
          <w:highlight w:val="none"/>
        </w:rPr>
        <w:t>.4</w:t>
      </w:r>
      <w:r>
        <w:rPr>
          <w:rFonts w:hint="eastAsia" w:ascii="宋体" w:hAnsi="宋体" w:cs="宋体"/>
          <w:color w:val="auto"/>
          <w:kern w:val="0"/>
          <w:sz w:val="24"/>
          <w:highlight w:val="none"/>
        </w:rPr>
        <w:t>道路抢通和排险、抢险</w:t>
      </w:r>
    </w:p>
    <w:p w14:paraId="16CBBC7D">
      <w:pPr>
        <w:spacing w:line="360" w:lineRule="auto"/>
        <w:ind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中标人根据采购人指示，组织人员、机械机具、材料等，在采购人统一组织下，开展道路抢通及排险、抢险工作。道路抢通及排险、抢险过程中，要加强组织纪律，提高工作效率，在规定的时间内完成规定的任务。</w:t>
      </w:r>
    </w:p>
    <w:p w14:paraId="6834F1D8">
      <w:pPr>
        <w:spacing w:line="360" w:lineRule="auto"/>
        <w:ind w:firstLine="480" w:firstLineChars="200"/>
        <w:jc w:val="left"/>
        <w:rPr>
          <w:rFonts w:ascii="宋体"/>
          <w:color w:val="auto"/>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3</w:t>
      </w:r>
      <w:r>
        <w:rPr>
          <w:rFonts w:ascii="宋体" w:hAnsi="宋体" w:cs="宋体"/>
          <w:color w:val="auto"/>
          <w:kern w:val="0"/>
          <w:sz w:val="24"/>
          <w:highlight w:val="none"/>
        </w:rPr>
        <w:t xml:space="preserve">.5  </w:t>
      </w:r>
      <w:r>
        <w:rPr>
          <w:rFonts w:hint="eastAsia" w:ascii="宋体" w:hAnsi="宋体" w:cs="宋体"/>
          <w:color w:val="auto"/>
          <w:kern w:val="0"/>
          <w:sz w:val="24"/>
          <w:highlight w:val="none"/>
        </w:rPr>
        <w:t>水毁抢修</w:t>
      </w:r>
    </w:p>
    <w:p w14:paraId="6A3C8DF3">
      <w:pPr>
        <w:spacing w:line="360" w:lineRule="auto"/>
        <w:ind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中标人根据采购人指示，组织指定数量的工人、机械机具和材料、安全生产设施和劳动保护用品等，按采购人提交的抢修方案或现场口头交底要求，开展水毁抢修工作，抢修工作质量和效果符合采购人要求，整治之后不再出现隐患。</w:t>
      </w:r>
    </w:p>
    <w:p w14:paraId="5BB3A329">
      <w:pPr>
        <w:spacing w:line="300" w:lineRule="auto"/>
        <w:ind w:firstLine="480" w:firstLineChars="200"/>
        <w:jc w:val="left"/>
        <w:rPr>
          <w:color w:val="auto"/>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3</w:t>
      </w:r>
      <w:r>
        <w:rPr>
          <w:rFonts w:ascii="宋体" w:hAnsi="宋体" w:cs="宋体"/>
          <w:color w:val="auto"/>
          <w:kern w:val="0"/>
          <w:sz w:val="24"/>
          <w:highlight w:val="none"/>
        </w:rPr>
        <w:t xml:space="preserve">.6  </w:t>
      </w:r>
      <w:r>
        <w:rPr>
          <w:rFonts w:hint="eastAsia" w:ascii="宋体" w:hAnsi="宋体" w:cs="宋体"/>
          <w:color w:val="auto"/>
          <w:kern w:val="0"/>
          <w:sz w:val="24"/>
          <w:highlight w:val="none"/>
        </w:rPr>
        <w:t>应急工作费计量支付</w:t>
      </w:r>
    </w:p>
    <w:p w14:paraId="6135B53C">
      <w:pPr>
        <w:widowControl/>
        <w:adjustRightInd w:val="0"/>
        <w:snapToGrid w:val="0"/>
        <w:spacing w:line="360" w:lineRule="auto"/>
        <w:ind w:firstLine="484" w:firstLineChars="202"/>
        <w:jc w:val="left"/>
        <w:rPr>
          <w:rFonts w:ascii="宋体" w:cs="宋体"/>
          <w:bCs/>
          <w:color w:val="auto"/>
          <w:kern w:val="0"/>
          <w:sz w:val="24"/>
          <w:highlight w:val="none"/>
        </w:rPr>
      </w:pPr>
      <w:r>
        <w:rPr>
          <w:rFonts w:hint="eastAsia" w:ascii="宋体" w:hAnsi="宋体" w:cs="宋体"/>
          <w:bCs/>
          <w:color w:val="auto"/>
          <w:kern w:val="0"/>
          <w:sz w:val="24"/>
          <w:highlight w:val="none"/>
        </w:rPr>
        <w:t>（</w:t>
      </w:r>
      <w:r>
        <w:rPr>
          <w:rFonts w:ascii="宋体" w:hAnsi="宋体" w:cs="宋体"/>
          <w:bCs/>
          <w:color w:val="auto"/>
          <w:kern w:val="0"/>
          <w:sz w:val="24"/>
          <w:highlight w:val="none"/>
        </w:rPr>
        <w:t>1</w:t>
      </w:r>
      <w:r>
        <w:rPr>
          <w:rFonts w:hint="eastAsia" w:ascii="宋体" w:hAnsi="宋体" w:cs="宋体"/>
          <w:bCs/>
          <w:color w:val="auto"/>
          <w:kern w:val="0"/>
          <w:sz w:val="24"/>
          <w:highlight w:val="none"/>
        </w:rPr>
        <w:t>）中标人根据采购人指示，组织或参与应急工作的，采购人应按以下标准或原则向中标人从应急专项费中计量支付相关费用。</w:t>
      </w:r>
    </w:p>
    <w:p w14:paraId="25497673">
      <w:pPr>
        <w:widowControl/>
        <w:adjustRightInd w:val="0"/>
        <w:snapToGrid w:val="0"/>
        <w:spacing w:line="360" w:lineRule="auto"/>
        <w:ind w:firstLine="484" w:firstLineChars="202"/>
        <w:jc w:val="left"/>
        <w:rPr>
          <w:rFonts w:ascii="宋体" w:cs="宋体"/>
          <w:bCs/>
          <w:color w:val="auto"/>
          <w:kern w:val="0"/>
          <w:sz w:val="24"/>
          <w:highlight w:val="none"/>
        </w:rPr>
      </w:pPr>
      <w:r>
        <w:rPr>
          <w:rFonts w:ascii="宋体" w:hAnsi="宋体" w:cs="宋体"/>
          <w:bCs/>
          <w:color w:val="auto"/>
          <w:kern w:val="0"/>
          <w:sz w:val="24"/>
          <w:highlight w:val="none"/>
        </w:rPr>
        <w:t xml:space="preserve">a. </w:t>
      </w:r>
      <w:r>
        <w:rPr>
          <w:rFonts w:hint="eastAsia" w:ascii="宋体" w:hAnsi="宋体" w:cs="宋体"/>
          <w:bCs/>
          <w:color w:val="auto"/>
          <w:kern w:val="0"/>
          <w:sz w:val="24"/>
          <w:highlight w:val="none"/>
        </w:rPr>
        <w:t>采购人要求中标提供参与应急工作的人员明显超过中标人承诺投入人员数量，导致中标人必须临时雇请农民工的，农民工人工费补贴标准为</w:t>
      </w:r>
      <w:r>
        <w:rPr>
          <w:rFonts w:hint="eastAsia" w:ascii="宋体" w:hAnsi="宋体" w:cs="宋体"/>
          <w:bCs/>
          <w:color w:val="auto"/>
          <w:kern w:val="0"/>
          <w:sz w:val="24"/>
          <w:highlight w:val="none"/>
          <w:u w:val="single"/>
          <w:lang w:val="en-US" w:eastAsia="zh-CN"/>
        </w:rPr>
        <w:t>19</w:t>
      </w:r>
      <w:r>
        <w:rPr>
          <w:rFonts w:hint="eastAsia" w:ascii="宋体" w:hAnsi="宋体" w:cs="宋体"/>
          <w:bCs/>
          <w:color w:val="auto"/>
          <w:kern w:val="0"/>
          <w:sz w:val="24"/>
          <w:highlight w:val="none"/>
        </w:rPr>
        <w:t>元</w:t>
      </w:r>
      <w:r>
        <w:rPr>
          <w:rFonts w:ascii="宋体" w:hAnsi="宋体" w:cs="宋体"/>
          <w:bCs/>
          <w:color w:val="auto"/>
          <w:kern w:val="0"/>
          <w:sz w:val="24"/>
          <w:highlight w:val="none"/>
        </w:rPr>
        <w:t>/</w:t>
      </w:r>
      <w:r>
        <w:rPr>
          <w:rFonts w:hint="eastAsia" w:ascii="宋体" w:hAnsi="宋体" w:cs="宋体"/>
          <w:bCs/>
          <w:color w:val="auto"/>
          <w:kern w:val="0"/>
          <w:sz w:val="24"/>
          <w:highlight w:val="none"/>
        </w:rPr>
        <w:t>小时·人（如果发生应急工作时，广西或北海人民政府调整了最低工资标准的，从其标准）。项目管理人员和签订劳动合同的农民工工资和加班费由中标人承担。中标人不得以采购人的人工费补贴标准作为发放农民工工资依据。</w:t>
      </w:r>
    </w:p>
    <w:p w14:paraId="644F91F2">
      <w:pPr>
        <w:widowControl/>
        <w:adjustRightInd w:val="0"/>
        <w:snapToGrid w:val="0"/>
        <w:spacing w:line="360" w:lineRule="auto"/>
        <w:ind w:firstLine="484" w:firstLineChars="202"/>
        <w:jc w:val="left"/>
        <w:rPr>
          <w:rFonts w:ascii="宋体" w:cs="宋体"/>
          <w:bCs/>
          <w:color w:val="auto"/>
          <w:kern w:val="0"/>
          <w:sz w:val="24"/>
          <w:highlight w:val="none"/>
        </w:rPr>
      </w:pPr>
      <w:r>
        <w:rPr>
          <w:rFonts w:ascii="宋体" w:hAnsi="宋体" w:cs="宋体"/>
          <w:bCs/>
          <w:color w:val="auto"/>
          <w:kern w:val="0"/>
          <w:sz w:val="24"/>
          <w:highlight w:val="none"/>
        </w:rPr>
        <w:t xml:space="preserve">b. </w:t>
      </w:r>
      <w:r>
        <w:rPr>
          <w:rFonts w:hint="eastAsia" w:ascii="宋体" w:hAnsi="宋体" w:cs="宋体"/>
          <w:bCs/>
          <w:color w:val="auto"/>
          <w:kern w:val="0"/>
          <w:sz w:val="24"/>
          <w:highlight w:val="none"/>
        </w:rPr>
        <w:t>中标人在本招标项目承诺投入的机械、车辆、设备等，采购人只计量支付燃油费。中标人在应急工作期间投入应急工作的机械、车辆、设备等加油的发票应当天送采购人签认。</w:t>
      </w:r>
    </w:p>
    <w:p w14:paraId="7F048F18">
      <w:pPr>
        <w:widowControl/>
        <w:adjustRightInd w:val="0"/>
        <w:snapToGrid w:val="0"/>
        <w:spacing w:line="360" w:lineRule="auto"/>
        <w:ind w:firstLine="484" w:firstLineChars="202"/>
        <w:jc w:val="left"/>
        <w:rPr>
          <w:rFonts w:ascii="宋体" w:cs="宋体"/>
          <w:bCs/>
          <w:color w:val="auto"/>
          <w:kern w:val="0"/>
          <w:sz w:val="24"/>
          <w:highlight w:val="none"/>
        </w:rPr>
      </w:pPr>
      <w:r>
        <w:rPr>
          <w:rFonts w:ascii="宋体" w:hAnsi="宋体" w:cs="宋体"/>
          <w:bCs/>
          <w:color w:val="auto"/>
          <w:kern w:val="0"/>
          <w:sz w:val="24"/>
          <w:highlight w:val="none"/>
        </w:rPr>
        <w:t xml:space="preserve">c. </w:t>
      </w:r>
      <w:r>
        <w:rPr>
          <w:rFonts w:hint="eastAsia" w:ascii="宋体" w:hAnsi="宋体" w:cs="宋体"/>
          <w:bCs/>
          <w:color w:val="auto"/>
          <w:kern w:val="0"/>
          <w:sz w:val="24"/>
          <w:highlight w:val="none"/>
        </w:rPr>
        <w:t>中标人经采购人同意临时雇请的机械、车辆、设备等，采购人依据中标人与提供机械、车辆、设备出租方的租赁合同及费用支付凭证或发票，向中标人计量支付相关费用。中标人在应急工作期雇请的机械、车辆、设备每天工作时间签证单应当天送采购人签认。</w:t>
      </w:r>
    </w:p>
    <w:p w14:paraId="43618FD2">
      <w:pPr>
        <w:widowControl/>
        <w:adjustRightInd w:val="0"/>
        <w:snapToGrid w:val="0"/>
        <w:spacing w:line="360" w:lineRule="auto"/>
        <w:ind w:firstLine="484" w:firstLineChars="202"/>
        <w:jc w:val="left"/>
        <w:rPr>
          <w:rFonts w:ascii="宋体" w:cs="宋体"/>
          <w:bCs/>
          <w:color w:val="auto"/>
          <w:kern w:val="0"/>
          <w:sz w:val="24"/>
          <w:highlight w:val="none"/>
        </w:rPr>
      </w:pPr>
      <w:r>
        <w:rPr>
          <w:rFonts w:ascii="宋体" w:hAnsi="宋体" w:cs="宋体"/>
          <w:bCs/>
          <w:color w:val="auto"/>
          <w:kern w:val="0"/>
          <w:sz w:val="24"/>
          <w:highlight w:val="none"/>
        </w:rPr>
        <w:t xml:space="preserve">d. </w:t>
      </w:r>
      <w:r>
        <w:rPr>
          <w:rFonts w:hint="eastAsia" w:ascii="宋体" w:hAnsi="宋体" w:cs="宋体"/>
          <w:bCs/>
          <w:color w:val="auto"/>
          <w:kern w:val="0"/>
          <w:sz w:val="24"/>
          <w:highlight w:val="none"/>
        </w:rPr>
        <w:t>中标人按采购人指示投入应急工作的材料价格按当期北海建设工程造价信息相应的材料价格（含税价）进行计量支付，投入材料的收方单应当天送采购人签认。信息价上没有的材料，由采购人在市场上调查确定。</w:t>
      </w:r>
    </w:p>
    <w:p w14:paraId="710F83F3">
      <w:pPr>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e. </w:t>
      </w:r>
      <w:r>
        <w:rPr>
          <w:rFonts w:hint="eastAsia" w:ascii="宋体" w:hAnsi="宋体" w:cs="宋体"/>
          <w:bCs/>
          <w:color w:val="auto"/>
          <w:kern w:val="0"/>
          <w:sz w:val="24"/>
          <w:highlight w:val="none"/>
        </w:rPr>
        <w:t>上述费用除人工费外，其他费用单价或总额价视为已经包含税金和采保费等，即中标人向采购人提供材料、机械费用发票后，采购人才向中标人支付费用，采购人不再向中标人计量支付应急工作的管理费、采保费、税金等。人工费部分中标人只需向采购人报送农民工工资发放表即可，不需要提供人工费发票。</w:t>
      </w:r>
    </w:p>
    <w:p w14:paraId="342926AC">
      <w:pPr>
        <w:spacing w:line="360" w:lineRule="auto"/>
        <w:ind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应急工作费支付时间为中标人按采购人指示，全部完成当期应急工作并经采购人确认后，中标人向采购人提交应急工作实际发生的工、料、机数量并本招标文件和合同约定的补贴标准填报费用支付证书，并提供发票后，采购人在五个工作日内向中标人支付，如遇节假日则相应延顺，延顺不超过</w:t>
      </w:r>
      <w:r>
        <w:rPr>
          <w:rFonts w:ascii="宋体" w:hAnsi="宋体" w:cs="宋体"/>
          <w:color w:val="auto"/>
          <w:kern w:val="0"/>
          <w:sz w:val="24"/>
          <w:highlight w:val="none"/>
        </w:rPr>
        <w:t>5</w:t>
      </w:r>
      <w:r>
        <w:rPr>
          <w:rFonts w:hint="eastAsia" w:ascii="宋体" w:hAnsi="宋体" w:cs="宋体"/>
          <w:color w:val="auto"/>
          <w:kern w:val="0"/>
          <w:sz w:val="24"/>
          <w:highlight w:val="none"/>
        </w:rPr>
        <w:t>天。</w:t>
      </w:r>
    </w:p>
    <w:p w14:paraId="71FC0C71">
      <w:pPr>
        <w:spacing w:line="360" w:lineRule="auto"/>
        <w:ind w:firstLine="482" w:firstLineChars="200"/>
        <w:jc w:val="left"/>
        <w:rPr>
          <w:b/>
          <w:color w:val="auto"/>
          <w:sz w:val="24"/>
          <w:highlight w:val="none"/>
        </w:rPr>
      </w:pPr>
      <w:r>
        <w:rPr>
          <w:rFonts w:hint="eastAsia"/>
          <w:b/>
          <w:color w:val="auto"/>
          <w:sz w:val="24"/>
          <w:highlight w:val="none"/>
        </w:rPr>
        <w:t>（</w:t>
      </w:r>
      <w:r>
        <w:rPr>
          <w:b/>
          <w:color w:val="auto"/>
          <w:sz w:val="24"/>
          <w:highlight w:val="none"/>
        </w:rPr>
        <w:t>3</w:t>
      </w:r>
      <w:r>
        <w:rPr>
          <w:rFonts w:hint="eastAsia"/>
          <w:b/>
          <w:color w:val="auto"/>
          <w:sz w:val="24"/>
          <w:highlight w:val="none"/>
        </w:rPr>
        <w:t>）采购人不得对应急工作费扣减质量保证金、审计预留金等。</w:t>
      </w:r>
    </w:p>
    <w:p w14:paraId="1BD1B19C">
      <w:pPr>
        <w:spacing w:line="360" w:lineRule="auto"/>
        <w:ind w:firstLine="482" w:firstLineChars="200"/>
        <w:jc w:val="left"/>
        <w:rPr>
          <w:b/>
          <w:color w:val="auto"/>
          <w:sz w:val="24"/>
          <w:highlight w:val="none"/>
        </w:rPr>
      </w:pPr>
      <w:r>
        <w:rPr>
          <w:rFonts w:hint="eastAsia"/>
          <w:b/>
          <w:color w:val="auto"/>
          <w:sz w:val="24"/>
          <w:highlight w:val="none"/>
        </w:rPr>
        <w:t>（</w:t>
      </w:r>
      <w:r>
        <w:rPr>
          <w:b/>
          <w:color w:val="auto"/>
          <w:sz w:val="24"/>
          <w:highlight w:val="none"/>
        </w:rPr>
        <w:t>4</w:t>
      </w:r>
      <w:r>
        <w:rPr>
          <w:rFonts w:hint="eastAsia"/>
          <w:b/>
          <w:color w:val="auto"/>
          <w:sz w:val="24"/>
          <w:highlight w:val="none"/>
        </w:rPr>
        <w:t>）应急工作费应列入费用拨付时间的当月服务费总额栏内，以反映养护承包费的实际开支情况，但应急工作费不计入当月服务费计费基数参与其他费率计算，也不参与日常保养当月工作量的综合百分比计算。</w:t>
      </w:r>
    </w:p>
    <w:p w14:paraId="4F495B4E">
      <w:pPr>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）采购人安排中标人参与应急工作的，应按中标人参与的人数和天数，调整中标人当月应完成各分项工作计划完成量。</w:t>
      </w:r>
    </w:p>
    <w:p w14:paraId="19AB7A41">
      <w:pPr>
        <w:widowControl/>
        <w:adjustRightInd w:val="0"/>
        <w:snapToGrid w:val="0"/>
        <w:spacing w:line="360" w:lineRule="auto"/>
        <w:jc w:val="left"/>
        <w:rPr>
          <w:rFonts w:ascii="宋体" w:cs="宋体"/>
          <w:b/>
          <w:bCs/>
          <w:color w:val="auto"/>
          <w:kern w:val="0"/>
          <w:sz w:val="24"/>
          <w:highlight w:val="none"/>
        </w:rPr>
      </w:pPr>
      <w:r>
        <w:rPr>
          <w:rFonts w:ascii="宋体" w:hAnsi="宋体" w:cs="宋体"/>
          <w:b/>
          <w:bCs/>
          <w:color w:val="auto"/>
          <w:kern w:val="0"/>
          <w:sz w:val="24"/>
          <w:highlight w:val="none"/>
        </w:rPr>
        <w:t>4.</w:t>
      </w:r>
      <w:r>
        <w:rPr>
          <w:rFonts w:hint="eastAsia" w:ascii="宋体" w:hAnsi="宋体" w:cs="宋体"/>
          <w:b/>
          <w:bCs/>
          <w:color w:val="auto"/>
          <w:kern w:val="0"/>
          <w:sz w:val="24"/>
          <w:highlight w:val="none"/>
        </w:rPr>
        <w:t>人员和机械设备最低标准</w:t>
      </w:r>
    </w:p>
    <w:p w14:paraId="02A2F16B">
      <w:pPr>
        <w:spacing w:line="360" w:lineRule="auto"/>
        <w:ind w:firstLine="480" w:firstLineChars="200"/>
        <w:jc w:val="left"/>
        <w:rPr>
          <w:color w:val="auto"/>
          <w:sz w:val="24"/>
          <w:highlight w:val="none"/>
        </w:rPr>
      </w:pPr>
      <w:r>
        <w:rPr>
          <w:rFonts w:hint="eastAsia"/>
          <w:color w:val="auto"/>
          <w:sz w:val="24"/>
          <w:highlight w:val="none"/>
        </w:rPr>
        <w:t>为了确保中标人能顺利完成本招标项目的服务，对中标人拟投入本项目的人员和机械设备提出最低标准要求如下：</w:t>
      </w:r>
    </w:p>
    <w:p w14:paraId="79A3456A">
      <w:pPr>
        <w:spacing w:line="360" w:lineRule="auto"/>
        <w:jc w:val="left"/>
        <w:rPr>
          <w:b/>
          <w:color w:val="auto"/>
          <w:sz w:val="24"/>
          <w:highlight w:val="none"/>
        </w:rPr>
      </w:pPr>
      <w:r>
        <w:rPr>
          <w:b/>
          <w:color w:val="auto"/>
          <w:sz w:val="24"/>
          <w:highlight w:val="none"/>
        </w:rPr>
        <w:t xml:space="preserve">4.1 </w:t>
      </w:r>
      <w:r>
        <w:rPr>
          <w:rFonts w:hint="eastAsia"/>
          <w:b/>
          <w:color w:val="auto"/>
          <w:sz w:val="24"/>
          <w:highlight w:val="none"/>
        </w:rPr>
        <w:t>人员最低要求</w:t>
      </w:r>
    </w:p>
    <w:p w14:paraId="33FC540A">
      <w:pPr>
        <w:spacing w:line="360" w:lineRule="auto"/>
        <w:ind w:firstLine="600"/>
        <w:rPr>
          <w:rFonts w:hAnsi="宋体"/>
          <w:bCs/>
          <w:color w:val="auto"/>
          <w:sz w:val="24"/>
          <w:highlight w:val="none"/>
        </w:rPr>
      </w:pPr>
      <w:r>
        <w:rPr>
          <w:rFonts w:hAnsi="宋体"/>
          <w:bCs/>
          <w:color w:val="auto"/>
          <w:sz w:val="24"/>
          <w:highlight w:val="none"/>
        </w:rPr>
        <w:t xml:space="preserve">4.1.1  </w:t>
      </w:r>
      <w:r>
        <w:rPr>
          <w:rFonts w:hint="eastAsia" w:hAnsi="宋体"/>
          <w:bCs/>
          <w:color w:val="auto"/>
          <w:sz w:val="24"/>
          <w:highlight w:val="none"/>
        </w:rPr>
        <w:t>投标人应承诺投入本招标项目的人员不低于以下标准，否则应视为投标人没有能力履行合同和提供合格服务。</w:t>
      </w:r>
    </w:p>
    <w:p w14:paraId="1F7D7B87">
      <w:pPr>
        <w:spacing w:line="360" w:lineRule="auto"/>
        <w:ind w:firstLine="600"/>
        <w:jc w:val="center"/>
        <w:rPr>
          <w:b/>
          <w:bCs/>
          <w:color w:val="auto"/>
          <w:sz w:val="24"/>
          <w:highlight w:val="none"/>
        </w:rPr>
      </w:pPr>
      <w:r>
        <w:rPr>
          <w:rFonts w:hint="eastAsia" w:hAnsi="宋体"/>
          <w:b/>
          <w:bCs/>
          <w:color w:val="auto"/>
          <w:sz w:val="24"/>
          <w:highlight w:val="none"/>
        </w:rPr>
        <w:t>拟投入本招标项目人员最低需求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054"/>
        <w:gridCol w:w="1680"/>
        <w:gridCol w:w="4680"/>
      </w:tblGrid>
      <w:tr w14:paraId="1F29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3" w:type="dxa"/>
            <w:vAlign w:val="center"/>
          </w:tcPr>
          <w:p w14:paraId="700A3A88">
            <w:pPr>
              <w:jc w:val="center"/>
              <w:rPr>
                <w:rFonts w:ascii="宋体"/>
                <w:color w:val="auto"/>
                <w:sz w:val="24"/>
                <w:highlight w:val="none"/>
              </w:rPr>
            </w:pPr>
            <w:r>
              <w:rPr>
                <w:rFonts w:hint="eastAsia" w:ascii="宋体" w:hAnsi="宋体"/>
                <w:color w:val="auto"/>
                <w:sz w:val="24"/>
                <w:highlight w:val="none"/>
              </w:rPr>
              <w:t>序号</w:t>
            </w:r>
          </w:p>
        </w:tc>
        <w:tc>
          <w:tcPr>
            <w:tcW w:w="2054" w:type="dxa"/>
            <w:vAlign w:val="center"/>
          </w:tcPr>
          <w:p w14:paraId="41DF3C52">
            <w:pPr>
              <w:jc w:val="center"/>
              <w:rPr>
                <w:color w:val="auto"/>
                <w:sz w:val="24"/>
                <w:highlight w:val="none"/>
              </w:rPr>
            </w:pPr>
            <w:r>
              <w:rPr>
                <w:rFonts w:hint="eastAsia" w:hAnsi="宋体"/>
                <w:color w:val="auto"/>
                <w:sz w:val="24"/>
                <w:highlight w:val="none"/>
              </w:rPr>
              <w:t>岗位</w:t>
            </w:r>
          </w:p>
        </w:tc>
        <w:tc>
          <w:tcPr>
            <w:tcW w:w="1680" w:type="dxa"/>
            <w:vAlign w:val="center"/>
          </w:tcPr>
          <w:p w14:paraId="6F2A862F">
            <w:pPr>
              <w:jc w:val="center"/>
              <w:rPr>
                <w:color w:val="auto"/>
                <w:sz w:val="24"/>
                <w:highlight w:val="none"/>
              </w:rPr>
            </w:pPr>
            <w:r>
              <w:rPr>
                <w:rFonts w:hint="eastAsia" w:hAnsi="宋体"/>
                <w:color w:val="auto"/>
                <w:sz w:val="24"/>
                <w:highlight w:val="none"/>
              </w:rPr>
              <w:t>最小人数</w:t>
            </w:r>
          </w:p>
        </w:tc>
        <w:tc>
          <w:tcPr>
            <w:tcW w:w="4680" w:type="dxa"/>
            <w:vAlign w:val="center"/>
          </w:tcPr>
          <w:p w14:paraId="63A78909">
            <w:pPr>
              <w:jc w:val="center"/>
              <w:rPr>
                <w:color w:val="auto"/>
                <w:sz w:val="24"/>
                <w:highlight w:val="none"/>
              </w:rPr>
            </w:pPr>
            <w:r>
              <w:rPr>
                <w:rFonts w:hint="eastAsia" w:hAnsi="宋体"/>
                <w:color w:val="auto"/>
                <w:sz w:val="24"/>
                <w:highlight w:val="none"/>
              </w:rPr>
              <w:t>资质要求</w:t>
            </w:r>
          </w:p>
        </w:tc>
      </w:tr>
      <w:tr w14:paraId="310A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03" w:type="dxa"/>
            <w:vAlign w:val="center"/>
          </w:tcPr>
          <w:p w14:paraId="1C3AD8CA">
            <w:pPr>
              <w:jc w:val="center"/>
              <w:rPr>
                <w:rFonts w:ascii="宋体"/>
                <w:color w:val="auto"/>
                <w:sz w:val="24"/>
                <w:highlight w:val="none"/>
              </w:rPr>
            </w:pPr>
            <w:r>
              <w:rPr>
                <w:rFonts w:ascii="宋体" w:hAnsi="宋体"/>
                <w:color w:val="auto"/>
                <w:sz w:val="24"/>
                <w:highlight w:val="none"/>
              </w:rPr>
              <w:t>1</w:t>
            </w:r>
          </w:p>
        </w:tc>
        <w:tc>
          <w:tcPr>
            <w:tcW w:w="2054" w:type="dxa"/>
            <w:vAlign w:val="center"/>
          </w:tcPr>
          <w:p w14:paraId="3695085D">
            <w:pPr>
              <w:jc w:val="center"/>
              <w:rPr>
                <w:color w:val="auto"/>
                <w:sz w:val="24"/>
                <w:highlight w:val="none"/>
              </w:rPr>
            </w:pPr>
            <w:r>
              <w:rPr>
                <w:rFonts w:hint="eastAsia"/>
                <w:color w:val="auto"/>
                <w:sz w:val="24"/>
                <w:highlight w:val="none"/>
              </w:rPr>
              <w:t>项目经理</w:t>
            </w:r>
          </w:p>
        </w:tc>
        <w:tc>
          <w:tcPr>
            <w:tcW w:w="1680" w:type="dxa"/>
            <w:vAlign w:val="center"/>
          </w:tcPr>
          <w:p w14:paraId="25EE881A">
            <w:pPr>
              <w:jc w:val="center"/>
              <w:rPr>
                <w:color w:val="auto"/>
                <w:sz w:val="24"/>
                <w:highlight w:val="none"/>
              </w:rPr>
            </w:pPr>
            <w:r>
              <w:rPr>
                <w:color w:val="auto"/>
                <w:sz w:val="24"/>
                <w:highlight w:val="none"/>
              </w:rPr>
              <w:t>1</w:t>
            </w:r>
            <w:r>
              <w:rPr>
                <w:rFonts w:hint="eastAsia"/>
                <w:color w:val="auto"/>
                <w:sz w:val="24"/>
                <w:highlight w:val="none"/>
              </w:rPr>
              <w:t>人</w:t>
            </w:r>
          </w:p>
        </w:tc>
        <w:tc>
          <w:tcPr>
            <w:tcW w:w="4680" w:type="dxa"/>
            <w:vAlign w:val="center"/>
          </w:tcPr>
          <w:p w14:paraId="6258717B">
            <w:pPr>
              <w:ind w:firstLine="12" w:firstLineChars="5"/>
              <w:jc w:val="left"/>
              <w:rPr>
                <w:color w:val="auto"/>
                <w:sz w:val="24"/>
                <w:highlight w:val="none"/>
              </w:rPr>
            </w:pPr>
            <w:r>
              <w:rPr>
                <w:rFonts w:hint="eastAsia"/>
                <w:color w:val="auto"/>
                <w:sz w:val="24"/>
                <w:highlight w:val="none"/>
              </w:rPr>
              <w:t>具有公路专业二级或以上建造师资质，经过安全生产培训考核，取得安全</w:t>
            </w:r>
            <w:r>
              <w:rPr>
                <w:color w:val="auto"/>
                <w:sz w:val="24"/>
                <w:highlight w:val="none"/>
              </w:rPr>
              <w:t>B</w:t>
            </w:r>
            <w:r>
              <w:rPr>
                <w:rFonts w:hint="eastAsia"/>
                <w:color w:val="auto"/>
                <w:sz w:val="24"/>
                <w:highlight w:val="none"/>
              </w:rPr>
              <w:t>证，并具有路桥类专业助理工程师或以上职称。</w:t>
            </w:r>
          </w:p>
        </w:tc>
      </w:tr>
      <w:tr w14:paraId="754B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03" w:type="dxa"/>
            <w:vAlign w:val="center"/>
          </w:tcPr>
          <w:p w14:paraId="76C38BA2">
            <w:pPr>
              <w:jc w:val="center"/>
              <w:rPr>
                <w:rFonts w:ascii="宋体"/>
                <w:color w:val="auto"/>
                <w:sz w:val="24"/>
                <w:highlight w:val="none"/>
              </w:rPr>
            </w:pPr>
            <w:r>
              <w:rPr>
                <w:rFonts w:ascii="宋体" w:hAnsi="宋体"/>
                <w:color w:val="auto"/>
                <w:sz w:val="24"/>
                <w:highlight w:val="none"/>
              </w:rPr>
              <w:t>2</w:t>
            </w:r>
          </w:p>
        </w:tc>
        <w:tc>
          <w:tcPr>
            <w:tcW w:w="2054" w:type="dxa"/>
            <w:vAlign w:val="center"/>
          </w:tcPr>
          <w:p w14:paraId="7FE6AF4C">
            <w:pPr>
              <w:jc w:val="center"/>
              <w:rPr>
                <w:color w:val="auto"/>
                <w:sz w:val="24"/>
                <w:highlight w:val="none"/>
              </w:rPr>
            </w:pPr>
            <w:r>
              <w:rPr>
                <w:rFonts w:hint="eastAsia"/>
                <w:color w:val="auto"/>
                <w:sz w:val="24"/>
                <w:highlight w:val="none"/>
              </w:rPr>
              <w:t>安全员</w:t>
            </w:r>
          </w:p>
        </w:tc>
        <w:tc>
          <w:tcPr>
            <w:tcW w:w="1680" w:type="dxa"/>
            <w:vAlign w:val="center"/>
          </w:tcPr>
          <w:p w14:paraId="76ED290B">
            <w:pPr>
              <w:jc w:val="center"/>
              <w:rPr>
                <w:color w:val="auto"/>
                <w:sz w:val="24"/>
                <w:highlight w:val="none"/>
              </w:rPr>
            </w:pPr>
            <w:r>
              <w:rPr>
                <w:color w:val="auto"/>
                <w:sz w:val="24"/>
                <w:highlight w:val="none"/>
              </w:rPr>
              <w:t>1</w:t>
            </w:r>
            <w:r>
              <w:rPr>
                <w:rFonts w:hint="eastAsia"/>
                <w:color w:val="auto"/>
                <w:sz w:val="24"/>
                <w:highlight w:val="none"/>
              </w:rPr>
              <w:t>人</w:t>
            </w:r>
          </w:p>
        </w:tc>
        <w:tc>
          <w:tcPr>
            <w:tcW w:w="4680" w:type="dxa"/>
            <w:vAlign w:val="center"/>
          </w:tcPr>
          <w:p w14:paraId="6A8E687E">
            <w:pPr>
              <w:rPr>
                <w:color w:val="auto"/>
                <w:sz w:val="24"/>
                <w:highlight w:val="none"/>
              </w:rPr>
            </w:pPr>
            <w:r>
              <w:rPr>
                <w:rFonts w:hint="eastAsia"/>
                <w:color w:val="auto"/>
                <w:sz w:val="24"/>
                <w:highlight w:val="none"/>
              </w:rPr>
              <w:t>高中（包括职高、中技、中专）或以上学历，经过安全生产培训考核，取得安全</w:t>
            </w:r>
            <w:r>
              <w:rPr>
                <w:color w:val="auto"/>
                <w:sz w:val="24"/>
                <w:highlight w:val="none"/>
              </w:rPr>
              <w:t>C</w:t>
            </w:r>
            <w:r>
              <w:rPr>
                <w:rFonts w:hint="eastAsia"/>
                <w:color w:val="auto"/>
                <w:sz w:val="24"/>
                <w:highlight w:val="none"/>
              </w:rPr>
              <w:t>证</w:t>
            </w:r>
          </w:p>
        </w:tc>
      </w:tr>
      <w:tr w14:paraId="58C8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03" w:type="dxa"/>
            <w:vAlign w:val="center"/>
          </w:tcPr>
          <w:p w14:paraId="0D9357C5">
            <w:pPr>
              <w:jc w:val="center"/>
              <w:rPr>
                <w:rFonts w:ascii="宋体" w:hAnsi="宋体"/>
                <w:color w:val="auto"/>
                <w:sz w:val="24"/>
                <w:highlight w:val="none"/>
              </w:rPr>
            </w:pPr>
            <w:r>
              <w:rPr>
                <w:rFonts w:hint="eastAsia" w:ascii="宋体" w:hAnsi="宋体"/>
                <w:color w:val="auto"/>
                <w:sz w:val="24"/>
                <w:highlight w:val="none"/>
              </w:rPr>
              <w:t>3</w:t>
            </w:r>
          </w:p>
        </w:tc>
        <w:tc>
          <w:tcPr>
            <w:tcW w:w="2054" w:type="dxa"/>
            <w:vAlign w:val="center"/>
          </w:tcPr>
          <w:p w14:paraId="2A3F0077">
            <w:pPr>
              <w:jc w:val="center"/>
              <w:rPr>
                <w:color w:val="auto"/>
                <w:sz w:val="24"/>
                <w:highlight w:val="none"/>
              </w:rPr>
            </w:pPr>
            <w:r>
              <w:rPr>
                <w:rFonts w:hint="eastAsia"/>
                <w:color w:val="auto"/>
                <w:sz w:val="24"/>
                <w:highlight w:val="none"/>
              </w:rPr>
              <w:t>资料员</w:t>
            </w:r>
          </w:p>
        </w:tc>
        <w:tc>
          <w:tcPr>
            <w:tcW w:w="1680" w:type="dxa"/>
            <w:vAlign w:val="center"/>
          </w:tcPr>
          <w:p w14:paraId="516350DA">
            <w:pPr>
              <w:jc w:val="center"/>
              <w:rPr>
                <w:color w:val="auto"/>
                <w:sz w:val="24"/>
                <w:highlight w:val="none"/>
              </w:rPr>
            </w:pPr>
            <w:r>
              <w:rPr>
                <w:rFonts w:hint="eastAsia"/>
                <w:color w:val="auto"/>
                <w:sz w:val="24"/>
                <w:highlight w:val="none"/>
              </w:rPr>
              <w:t>1人</w:t>
            </w:r>
          </w:p>
        </w:tc>
        <w:tc>
          <w:tcPr>
            <w:tcW w:w="4680" w:type="dxa"/>
            <w:vAlign w:val="center"/>
          </w:tcPr>
          <w:p w14:paraId="08030527">
            <w:pPr>
              <w:rPr>
                <w:color w:val="auto"/>
                <w:sz w:val="24"/>
                <w:highlight w:val="none"/>
              </w:rPr>
            </w:pPr>
            <w:r>
              <w:rPr>
                <w:rFonts w:hint="eastAsia"/>
                <w:color w:val="auto"/>
                <w:sz w:val="24"/>
                <w:highlight w:val="none"/>
              </w:rPr>
              <w:t>高中（包括职高、中技、中专）或以上学历，并具有路桥类专业助理工程师或以上职称。</w:t>
            </w:r>
          </w:p>
        </w:tc>
      </w:tr>
      <w:tr w14:paraId="424E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03" w:type="dxa"/>
            <w:vAlign w:val="center"/>
          </w:tcPr>
          <w:p w14:paraId="228AF7E5">
            <w:pPr>
              <w:jc w:val="center"/>
              <w:rPr>
                <w:rFonts w:ascii="宋体" w:hAnsi="宋体"/>
                <w:color w:val="auto"/>
                <w:sz w:val="24"/>
                <w:highlight w:val="none"/>
              </w:rPr>
            </w:pPr>
            <w:r>
              <w:rPr>
                <w:rFonts w:hint="eastAsia" w:ascii="宋体" w:hAnsi="宋体"/>
                <w:color w:val="auto"/>
                <w:sz w:val="24"/>
                <w:highlight w:val="none"/>
              </w:rPr>
              <w:t>4</w:t>
            </w:r>
          </w:p>
        </w:tc>
        <w:tc>
          <w:tcPr>
            <w:tcW w:w="2054" w:type="dxa"/>
            <w:vAlign w:val="center"/>
          </w:tcPr>
          <w:p w14:paraId="3E19819D">
            <w:pPr>
              <w:jc w:val="center"/>
              <w:rPr>
                <w:color w:val="auto"/>
                <w:sz w:val="24"/>
                <w:highlight w:val="none"/>
              </w:rPr>
            </w:pPr>
            <w:r>
              <w:rPr>
                <w:rFonts w:hint="eastAsia"/>
                <w:color w:val="auto"/>
                <w:sz w:val="24"/>
                <w:highlight w:val="none"/>
              </w:rPr>
              <w:t>计量员</w:t>
            </w:r>
          </w:p>
        </w:tc>
        <w:tc>
          <w:tcPr>
            <w:tcW w:w="1680" w:type="dxa"/>
            <w:vAlign w:val="center"/>
          </w:tcPr>
          <w:p w14:paraId="625EA73F">
            <w:pPr>
              <w:jc w:val="center"/>
              <w:rPr>
                <w:color w:val="auto"/>
                <w:sz w:val="24"/>
                <w:highlight w:val="none"/>
              </w:rPr>
            </w:pPr>
            <w:r>
              <w:rPr>
                <w:rFonts w:hint="eastAsia"/>
                <w:color w:val="auto"/>
                <w:sz w:val="24"/>
                <w:highlight w:val="none"/>
              </w:rPr>
              <w:t>1人</w:t>
            </w:r>
          </w:p>
        </w:tc>
        <w:tc>
          <w:tcPr>
            <w:tcW w:w="4680" w:type="dxa"/>
            <w:vAlign w:val="center"/>
          </w:tcPr>
          <w:p w14:paraId="15BFC8EE">
            <w:pPr>
              <w:rPr>
                <w:color w:val="auto"/>
                <w:sz w:val="24"/>
                <w:highlight w:val="none"/>
              </w:rPr>
            </w:pPr>
            <w:r>
              <w:rPr>
                <w:rFonts w:hint="eastAsia"/>
                <w:color w:val="auto"/>
                <w:sz w:val="24"/>
                <w:highlight w:val="none"/>
              </w:rPr>
              <w:t>高中（包括职高、中技、中专）或以上学历，并具有路桥类专业助理工程师或以上职称。</w:t>
            </w:r>
          </w:p>
        </w:tc>
      </w:tr>
      <w:tr w14:paraId="0D76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3" w:type="dxa"/>
            <w:vAlign w:val="center"/>
          </w:tcPr>
          <w:p w14:paraId="6A5E62D1">
            <w:pPr>
              <w:jc w:val="center"/>
              <w:rPr>
                <w:rFonts w:ascii="宋体"/>
                <w:color w:val="auto"/>
                <w:sz w:val="24"/>
                <w:highlight w:val="none"/>
              </w:rPr>
            </w:pPr>
            <w:r>
              <w:rPr>
                <w:rFonts w:hint="eastAsia" w:ascii="宋体"/>
                <w:color w:val="auto"/>
                <w:sz w:val="24"/>
                <w:highlight w:val="none"/>
              </w:rPr>
              <w:t>5</w:t>
            </w:r>
          </w:p>
        </w:tc>
        <w:tc>
          <w:tcPr>
            <w:tcW w:w="2054" w:type="dxa"/>
            <w:vAlign w:val="center"/>
          </w:tcPr>
          <w:p w14:paraId="7A859823">
            <w:pPr>
              <w:jc w:val="center"/>
              <w:rPr>
                <w:color w:val="auto"/>
                <w:sz w:val="24"/>
                <w:highlight w:val="none"/>
              </w:rPr>
            </w:pPr>
            <w:bookmarkStart w:id="15" w:name="OLE_LINK13"/>
            <w:r>
              <w:rPr>
                <w:rFonts w:hint="eastAsia"/>
                <w:color w:val="auto"/>
                <w:sz w:val="24"/>
                <w:highlight w:val="none"/>
              </w:rPr>
              <w:t>养护作业工人</w:t>
            </w:r>
            <w:bookmarkEnd w:id="15"/>
          </w:p>
        </w:tc>
        <w:tc>
          <w:tcPr>
            <w:tcW w:w="1680" w:type="dxa"/>
            <w:vAlign w:val="center"/>
          </w:tcPr>
          <w:p w14:paraId="647D4994">
            <w:pPr>
              <w:jc w:val="center"/>
              <w:rPr>
                <w:bCs/>
                <w:color w:val="auto"/>
                <w:sz w:val="24"/>
                <w:highlight w:val="none"/>
              </w:rPr>
            </w:pPr>
            <w:r>
              <w:rPr>
                <w:bCs/>
                <w:color w:val="auto"/>
                <w:sz w:val="24"/>
                <w:highlight w:val="none"/>
              </w:rPr>
              <w:t>40</w:t>
            </w:r>
            <w:r>
              <w:rPr>
                <w:rFonts w:hint="eastAsia"/>
                <w:bCs/>
                <w:color w:val="auto"/>
                <w:sz w:val="24"/>
                <w:highlight w:val="none"/>
              </w:rPr>
              <w:t>人</w:t>
            </w:r>
          </w:p>
        </w:tc>
        <w:tc>
          <w:tcPr>
            <w:tcW w:w="4680" w:type="dxa"/>
            <w:vAlign w:val="center"/>
          </w:tcPr>
          <w:p w14:paraId="29AD0D8A">
            <w:pPr>
              <w:rPr>
                <w:color w:val="auto"/>
                <w:sz w:val="24"/>
                <w:highlight w:val="none"/>
              </w:rPr>
            </w:pPr>
            <w:r>
              <w:rPr>
                <w:rFonts w:hint="eastAsia"/>
                <w:color w:val="auto"/>
                <w:sz w:val="24"/>
                <w:highlight w:val="none"/>
              </w:rPr>
              <w:t>身体健康，岗前体检无心血管疾病、无高血压、无低血糖、无深度近视、无色盲等不适宜公路养护行业的疾病，年龄</w:t>
            </w:r>
            <w:r>
              <w:rPr>
                <w:color w:val="auto"/>
                <w:sz w:val="24"/>
                <w:highlight w:val="none"/>
              </w:rPr>
              <w:t>65</w:t>
            </w:r>
            <w:r>
              <w:rPr>
                <w:rFonts w:hint="eastAsia"/>
                <w:color w:val="auto"/>
                <w:sz w:val="24"/>
                <w:highlight w:val="none"/>
              </w:rPr>
              <w:t>周岁以下。在同等条件下，建议优先雇佣脱贫户。</w:t>
            </w:r>
          </w:p>
        </w:tc>
      </w:tr>
    </w:tbl>
    <w:p w14:paraId="554F4FCC">
      <w:pPr>
        <w:spacing w:line="360" w:lineRule="auto"/>
        <w:jc w:val="left"/>
        <w:rPr>
          <w:b/>
          <w:color w:val="auto"/>
          <w:sz w:val="24"/>
          <w:highlight w:val="none"/>
        </w:rPr>
      </w:pPr>
    </w:p>
    <w:p w14:paraId="2583D215">
      <w:pPr>
        <w:spacing w:line="360" w:lineRule="auto"/>
        <w:ind w:left="1" w:firstLine="480" w:firstLineChars="200"/>
        <w:jc w:val="left"/>
        <w:rPr>
          <w:rFonts w:ascii="宋体"/>
          <w:color w:val="auto"/>
          <w:sz w:val="24"/>
          <w:highlight w:val="none"/>
        </w:rPr>
      </w:pPr>
      <w:r>
        <w:rPr>
          <w:rFonts w:ascii="宋体" w:hAnsi="宋体"/>
          <w:color w:val="auto"/>
          <w:sz w:val="24"/>
          <w:highlight w:val="none"/>
        </w:rPr>
        <w:t xml:space="preserve">4.1.2  </w:t>
      </w:r>
      <w:r>
        <w:rPr>
          <w:rFonts w:hint="eastAsia" w:ascii="宋体" w:hAnsi="宋体"/>
          <w:color w:val="auto"/>
          <w:sz w:val="24"/>
          <w:highlight w:val="none"/>
        </w:rPr>
        <w:t>项目经理和安全员必须是投标人本单位员工，投标人应持续为其缴纳社会保险超过</w:t>
      </w:r>
      <w:r>
        <w:rPr>
          <w:rFonts w:ascii="宋体" w:hAnsi="宋体"/>
          <w:color w:val="auto"/>
          <w:sz w:val="24"/>
          <w:highlight w:val="none"/>
        </w:rPr>
        <w:t>3</w:t>
      </w:r>
      <w:r>
        <w:rPr>
          <w:rFonts w:hint="eastAsia" w:ascii="宋体" w:hAnsi="宋体"/>
          <w:color w:val="auto"/>
          <w:sz w:val="24"/>
          <w:highlight w:val="none"/>
        </w:rPr>
        <w:t>个月，资质证书上注册单位为投标人。</w:t>
      </w:r>
    </w:p>
    <w:p w14:paraId="2D108BDA">
      <w:pPr>
        <w:spacing w:line="360" w:lineRule="auto"/>
        <w:ind w:left="1" w:firstLine="480" w:firstLineChars="200"/>
        <w:jc w:val="left"/>
        <w:rPr>
          <w:rFonts w:ascii="宋体"/>
          <w:color w:val="auto"/>
          <w:sz w:val="24"/>
          <w:highlight w:val="none"/>
        </w:rPr>
      </w:pPr>
      <w:r>
        <w:rPr>
          <w:rFonts w:ascii="宋体" w:hAnsi="宋体"/>
          <w:color w:val="auto"/>
          <w:sz w:val="24"/>
          <w:highlight w:val="none"/>
        </w:rPr>
        <w:t xml:space="preserve">4.1.3  </w:t>
      </w:r>
      <w:r>
        <w:rPr>
          <w:rFonts w:hint="eastAsia" w:ascii="宋体" w:hAnsi="宋体"/>
          <w:color w:val="auto"/>
          <w:sz w:val="24"/>
          <w:highlight w:val="none"/>
        </w:rPr>
        <w:t>项目经理和安全员每月驻现场（包括养护作业现场和项目部）服务时间不得小于</w:t>
      </w:r>
      <w:r>
        <w:rPr>
          <w:rFonts w:ascii="宋体" w:hAnsi="宋体"/>
          <w:color w:val="auto"/>
          <w:sz w:val="24"/>
          <w:highlight w:val="none"/>
        </w:rPr>
        <w:t>15</w:t>
      </w:r>
      <w:r>
        <w:rPr>
          <w:rFonts w:hint="eastAsia" w:ascii="宋体" w:hAnsi="宋体"/>
          <w:color w:val="auto"/>
          <w:sz w:val="24"/>
          <w:highlight w:val="none"/>
        </w:rPr>
        <w:t>天。</w:t>
      </w:r>
    </w:p>
    <w:p w14:paraId="6E77B39D">
      <w:pPr>
        <w:spacing w:line="360" w:lineRule="auto"/>
        <w:ind w:firstLine="480" w:firstLineChars="200"/>
        <w:jc w:val="left"/>
        <w:rPr>
          <w:color w:val="auto"/>
          <w:sz w:val="24"/>
          <w:highlight w:val="none"/>
        </w:rPr>
      </w:pPr>
      <w:r>
        <w:rPr>
          <w:rFonts w:ascii="宋体" w:hAnsi="宋体"/>
          <w:color w:val="auto"/>
          <w:sz w:val="24"/>
          <w:highlight w:val="none"/>
        </w:rPr>
        <w:t xml:space="preserve">4.1.4  </w:t>
      </w:r>
      <w:r>
        <w:rPr>
          <w:rFonts w:hint="eastAsia" w:ascii="宋体" w:hAnsi="宋体"/>
          <w:color w:val="auto"/>
          <w:sz w:val="24"/>
          <w:highlight w:val="none"/>
        </w:rPr>
        <w:t>根据乡村振兴政策及本项目本土化服务的需求，养护作业工人</w:t>
      </w:r>
      <w:r>
        <w:rPr>
          <w:rFonts w:hint="eastAsia"/>
          <w:color w:val="auto"/>
          <w:sz w:val="24"/>
          <w:highlight w:val="none"/>
        </w:rPr>
        <w:t>一般建议从项目辖区内招聘脱贫户等农村劳动人口。</w:t>
      </w:r>
    </w:p>
    <w:p w14:paraId="334C3860">
      <w:pPr>
        <w:spacing w:line="360" w:lineRule="auto"/>
        <w:ind w:firstLine="480" w:firstLineChars="200"/>
        <w:jc w:val="left"/>
        <w:rPr>
          <w:rFonts w:ascii="宋体"/>
          <w:color w:val="auto"/>
          <w:sz w:val="24"/>
          <w:highlight w:val="none"/>
        </w:rPr>
      </w:pPr>
      <w:r>
        <w:rPr>
          <w:rFonts w:ascii="宋体" w:hAnsi="宋体"/>
          <w:color w:val="auto"/>
          <w:sz w:val="24"/>
          <w:highlight w:val="none"/>
        </w:rPr>
        <w:t xml:space="preserve">4.1.5  </w:t>
      </w:r>
      <w:r>
        <w:rPr>
          <w:rFonts w:hint="eastAsia" w:ascii="宋体" w:hAnsi="宋体"/>
          <w:color w:val="auto"/>
          <w:sz w:val="24"/>
          <w:highlight w:val="none"/>
        </w:rPr>
        <w:t>中标人应与养护作业工人依法签订书面劳动合同，并购买人身意外保险。</w:t>
      </w:r>
    </w:p>
    <w:p w14:paraId="4DFF603D">
      <w:pPr>
        <w:spacing w:line="360" w:lineRule="auto"/>
        <w:ind w:firstLine="480" w:firstLineChars="200"/>
        <w:jc w:val="left"/>
        <w:rPr>
          <w:rFonts w:ascii="宋体"/>
          <w:color w:val="auto"/>
          <w:sz w:val="24"/>
          <w:highlight w:val="none"/>
        </w:rPr>
      </w:pPr>
      <w:r>
        <w:rPr>
          <w:rFonts w:ascii="宋体" w:hAnsi="宋体"/>
          <w:color w:val="auto"/>
          <w:sz w:val="24"/>
          <w:highlight w:val="none"/>
        </w:rPr>
        <w:t xml:space="preserve">4.1.6  </w:t>
      </w:r>
      <w:r>
        <w:rPr>
          <w:rFonts w:hint="eastAsia" w:ascii="宋体" w:hAnsi="宋体"/>
          <w:color w:val="auto"/>
          <w:sz w:val="24"/>
          <w:highlight w:val="none"/>
        </w:rPr>
        <w:t>中标人不准拖欠农民工工资，中标人违反保障农民工权益的法律和相关政策的，将被上报相关政府监督部门。</w:t>
      </w:r>
    </w:p>
    <w:p w14:paraId="763B6379">
      <w:pPr>
        <w:spacing w:line="360" w:lineRule="auto"/>
        <w:jc w:val="left"/>
        <w:rPr>
          <w:rFonts w:ascii="宋体"/>
          <w:b/>
          <w:color w:val="auto"/>
          <w:sz w:val="24"/>
          <w:highlight w:val="none"/>
        </w:rPr>
      </w:pPr>
      <w:r>
        <w:rPr>
          <w:rFonts w:ascii="宋体" w:hAnsi="宋体"/>
          <w:b/>
          <w:color w:val="auto"/>
          <w:sz w:val="24"/>
          <w:highlight w:val="none"/>
        </w:rPr>
        <w:t xml:space="preserve">4.2 </w:t>
      </w:r>
      <w:r>
        <w:rPr>
          <w:rFonts w:hint="eastAsia" w:ascii="宋体" w:hAnsi="宋体"/>
          <w:b/>
          <w:color w:val="auto"/>
          <w:sz w:val="24"/>
          <w:highlight w:val="none"/>
        </w:rPr>
        <w:t>机械设备最低要求</w:t>
      </w:r>
    </w:p>
    <w:p w14:paraId="7173C93A">
      <w:pPr>
        <w:spacing w:line="360" w:lineRule="auto"/>
        <w:ind w:firstLine="600"/>
        <w:rPr>
          <w:rFonts w:hAnsi="宋体"/>
          <w:bCs/>
          <w:color w:val="auto"/>
          <w:sz w:val="24"/>
          <w:highlight w:val="none"/>
        </w:rPr>
      </w:pPr>
      <w:r>
        <w:rPr>
          <w:rFonts w:hAnsi="宋体"/>
          <w:bCs/>
          <w:color w:val="auto"/>
          <w:sz w:val="24"/>
          <w:highlight w:val="none"/>
        </w:rPr>
        <w:t>4.2.1</w:t>
      </w:r>
      <w:r>
        <w:rPr>
          <w:rFonts w:hint="eastAsia" w:hAnsi="宋体"/>
          <w:bCs/>
          <w:color w:val="auto"/>
          <w:sz w:val="24"/>
          <w:highlight w:val="none"/>
        </w:rPr>
        <w:t>投标人应承诺投入本招标项目的机械设备不低于以下标准，否则应视为投标人没有能力履行合同和提供合格服务。</w:t>
      </w:r>
    </w:p>
    <w:p w14:paraId="5C786D5C">
      <w:pPr>
        <w:spacing w:line="360" w:lineRule="auto"/>
        <w:ind w:firstLine="600"/>
        <w:jc w:val="center"/>
        <w:rPr>
          <w:b/>
          <w:bCs/>
          <w:color w:val="auto"/>
          <w:sz w:val="24"/>
          <w:highlight w:val="none"/>
        </w:rPr>
      </w:pPr>
      <w:r>
        <w:rPr>
          <w:rFonts w:hint="eastAsia" w:hAnsi="宋体"/>
          <w:b/>
          <w:bCs/>
          <w:color w:val="auto"/>
          <w:sz w:val="24"/>
          <w:highlight w:val="none"/>
        </w:rPr>
        <w:t>拟投入本招标项目机械设备最低需求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2998"/>
        <w:gridCol w:w="2909"/>
        <w:gridCol w:w="1771"/>
      </w:tblGrid>
      <w:tr w14:paraId="4BCC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Align w:val="center"/>
          </w:tcPr>
          <w:p w14:paraId="1A2AF385">
            <w:pPr>
              <w:jc w:val="center"/>
              <w:rPr>
                <w:rFonts w:cs="Book Antiqua"/>
                <w:color w:val="auto"/>
                <w:sz w:val="24"/>
                <w:highlight w:val="none"/>
              </w:rPr>
            </w:pPr>
            <w:r>
              <w:rPr>
                <w:rFonts w:hint="eastAsia" w:cs="Book Antiqua"/>
                <w:color w:val="auto"/>
                <w:sz w:val="24"/>
                <w:highlight w:val="none"/>
              </w:rPr>
              <w:t>项目</w:t>
            </w:r>
          </w:p>
        </w:tc>
        <w:tc>
          <w:tcPr>
            <w:tcW w:w="2998" w:type="dxa"/>
            <w:vAlign w:val="center"/>
          </w:tcPr>
          <w:p w14:paraId="21DA965F">
            <w:pPr>
              <w:jc w:val="center"/>
              <w:rPr>
                <w:rFonts w:cs="Book Antiqua"/>
                <w:color w:val="auto"/>
                <w:sz w:val="24"/>
                <w:highlight w:val="none"/>
              </w:rPr>
            </w:pPr>
            <w:r>
              <w:rPr>
                <w:rFonts w:hint="eastAsia" w:cs="Book Antiqua"/>
                <w:color w:val="auto"/>
                <w:sz w:val="24"/>
                <w:highlight w:val="none"/>
              </w:rPr>
              <w:t>机械设备名称</w:t>
            </w:r>
          </w:p>
        </w:tc>
        <w:tc>
          <w:tcPr>
            <w:tcW w:w="2909" w:type="dxa"/>
            <w:vAlign w:val="center"/>
          </w:tcPr>
          <w:p w14:paraId="0AA93BD5">
            <w:pPr>
              <w:jc w:val="center"/>
              <w:rPr>
                <w:rFonts w:cs="Book Antiqua"/>
                <w:color w:val="auto"/>
                <w:sz w:val="24"/>
                <w:highlight w:val="none"/>
              </w:rPr>
            </w:pPr>
            <w:r>
              <w:rPr>
                <w:rFonts w:hint="eastAsia" w:cs="Book Antiqua"/>
                <w:color w:val="auto"/>
                <w:sz w:val="24"/>
                <w:highlight w:val="none"/>
              </w:rPr>
              <w:t>机械设备规格或型号</w:t>
            </w:r>
          </w:p>
        </w:tc>
        <w:tc>
          <w:tcPr>
            <w:tcW w:w="1771" w:type="dxa"/>
            <w:vAlign w:val="center"/>
          </w:tcPr>
          <w:p w14:paraId="1D57784D">
            <w:pPr>
              <w:jc w:val="center"/>
              <w:rPr>
                <w:rFonts w:cs="Book Antiqua"/>
                <w:color w:val="auto"/>
                <w:sz w:val="24"/>
                <w:highlight w:val="none"/>
              </w:rPr>
            </w:pPr>
            <w:r>
              <w:rPr>
                <w:rFonts w:hint="eastAsia" w:cs="Book Antiqua"/>
                <w:color w:val="auto"/>
                <w:sz w:val="24"/>
                <w:highlight w:val="none"/>
              </w:rPr>
              <w:t>配备数量</w:t>
            </w:r>
          </w:p>
        </w:tc>
      </w:tr>
      <w:tr w14:paraId="6D6C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546" w:type="dxa"/>
            <w:vMerge w:val="restart"/>
            <w:vAlign w:val="center"/>
          </w:tcPr>
          <w:p w14:paraId="549AAF88">
            <w:pPr>
              <w:jc w:val="center"/>
              <w:rPr>
                <w:rFonts w:ascii="宋体" w:cs="宋体"/>
                <w:color w:val="auto"/>
                <w:sz w:val="24"/>
                <w:highlight w:val="none"/>
              </w:rPr>
            </w:pPr>
            <w:r>
              <w:rPr>
                <w:rFonts w:hint="eastAsia" w:ascii="宋体" w:hAnsi="宋体" w:cs="宋体"/>
                <w:color w:val="auto"/>
                <w:sz w:val="24"/>
                <w:highlight w:val="none"/>
              </w:rPr>
              <w:t>中小型</w:t>
            </w:r>
          </w:p>
          <w:p w14:paraId="1470B588">
            <w:pPr>
              <w:jc w:val="center"/>
              <w:rPr>
                <w:rFonts w:ascii="宋体" w:cs="宋体"/>
                <w:color w:val="auto"/>
                <w:sz w:val="24"/>
                <w:highlight w:val="none"/>
              </w:rPr>
            </w:pPr>
            <w:r>
              <w:rPr>
                <w:rFonts w:hint="eastAsia" w:ascii="宋体" w:hAnsi="宋体" w:cs="宋体"/>
                <w:color w:val="auto"/>
                <w:sz w:val="24"/>
                <w:highlight w:val="none"/>
              </w:rPr>
              <w:t>机械、车辆</w:t>
            </w:r>
          </w:p>
        </w:tc>
        <w:tc>
          <w:tcPr>
            <w:tcW w:w="2998" w:type="dxa"/>
            <w:vAlign w:val="center"/>
          </w:tcPr>
          <w:p w14:paraId="4F97556F">
            <w:pPr>
              <w:rPr>
                <w:rFonts w:ascii="宋体" w:cs="宋体"/>
                <w:color w:val="auto"/>
                <w:sz w:val="24"/>
                <w:highlight w:val="none"/>
              </w:rPr>
            </w:pPr>
            <w:r>
              <w:rPr>
                <w:rFonts w:hint="eastAsia" w:ascii="宋体" w:hAnsi="宋体" w:cs="宋体"/>
                <w:color w:val="auto"/>
                <w:sz w:val="24"/>
                <w:highlight w:val="none"/>
              </w:rPr>
              <w:t>方向盘式拖拉机</w:t>
            </w:r>
          </w:p>
          <w:p w14:paraId="31721EDB">
            <w:pPr>
              <w:rPr>
                <w:rFonts w:ascii="宋体" w:cs="宋体"/>
                <w:color w:val="auto"/>
                <w:sz w:val="24"/>
                <w:highlight w:val="none"/>
              </w:rPr>
            </w:pPr>
            <w:r>
              <w:rPr>
                <w:rFonts w:hint="eastAsia" w:ascii="宋体" w:hAnsi="宋体" w:cs="宋体"/>
                <w:color w:val="auto"/>
                <w:sz w:val="24"/>
                <w:highlight w:val="none"/>
              </w:rPr>
              <w:t>或农用运输车</w:t>
            </w:r>
          </w:p>
        </w:tc>
        <w:tc>
          <w:tcPr>
            <w:tcW w:w="2909" w:type="dxa"/>
            <w:vAlign w:val="center"/>
          </w:tcPr>
          <w:p w14:paraId="3C419899">
            <w:pPr>
              <w:jc w:val="center"/>
              <w:rPr>
                <w:rFonts w:ascii="宋体" w:cs="宋体"/>
                <w:color w:val="auto"/>
                <w:sz w:val="24"/>
                <w:highlight w:val="none"/>
              </w:rPr>
            </w:pPr>
            <w:r>
              <w:rPr>
                <w:rFonts w:hint="eastAsia" w:ascii="宋体" w:hAnsi="宋体" w:cs="宋体"/>
                <w:color w:val="auto"/>
                <w:sz w:val="24"/>
                <w:highlight w:val="none"/>
              </w:rPr>
              <w:t>额定装载量</w:t>
            </w:r>
            <w:r>
              <w:rPr>
                <w:rFonts w:ascii="宋体" w:hAnsi="宋体" w:cs="宋体"/>
                <w:color w:val="auto"/>
                <w:sz w:val="24"/>
                <w:highlight w:val="none"/>
              </w:rPr>
              <w:t>0.5</w:t>
            </w:r>
            <w:r>
              <w:rPr>
                <w:rFonts w:hint="eastAsia" w:ascii="宋体" w:hAnsi="宋体" w:cs="宋体"/>
                <w:color w:val="auto"/>
                <w:sz w:val="24"/>
                <w:highlight w:val="none"/>
              </w:rPr>
              <w:t>～</w:t>
            </w:r>
            <w:r>
              <w:rPr>
                <w:rFonts w:ascii="宋体" w:hAnsi="宋体" w:cs="宋体"/>
                <w:color w:val="auto"/>
                <w:sz w:val="24"/>
                <w:highlight w:val="none"/>
              </w:rPr>
              <w:t>1.5</w:t>
            </w:r>
            <w:r>
              <w:rPr>
                <w:rFonts w:hint="eastAsia" w:ascii="宋体" w:hAnsi="宋体" w:cs="宋体"/>
                <w:color w:val="auto"/>
                <w:sz w:val="24"/>
                <w:highlight w:val="none"/>
              </w:rPr>
              <w:t>吨</w:t>
            </w:r>
          </w:p>
        </w:tc>
        <w:tc>
          <w:tcPr>
            <w:tcW w:w="1771" w:type="dxa"/>
            <w:vAlign w:val="center"/>
          </w:tcPr>
          <w:p w14:paraId="47DF3246">
            <w:pPr>
              <w:jc w:val="center"/>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辆</w:t>
            </w:r>
          </w:p>
        </w:tc>
      </w:tr>
      <w:tr w14:paraId="6C3C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7CA6F87D">
            <w:pPr>
              <w:rPr>
                <w:rFonts w:ascii="宋体" w:cs="宋体"/>
                <w:color w:val="auto"/>
                <w:sz w:val="24"/>
                <w:highlight w:val="none"/>
              </w:rPr>
            </w:pPr>
          </w:p>
        </w:tc>
        <w:tc>
          <w:tcPr>
            <w:tcW w:w="2998" w:type="dxa"/>
            <w:vAlign w:val="center"/>
          </w:tcPr>
          <w:p w14:paraId="27A51C7E">
            <w:pPr>
              <w:rPr>
                <w:rFonts w:ascii="宋体" w:cs="宋体"/>
                <w:color w:val="auto"/>
                <w:sz w:val="24"/>
                <w:highlight w:val="none"/>
              </w:rPr>
            </w:pPr>
            <w:r>
              <w:rPr>
                <w:rFonts w:hint="eastAsia" w:ascii="宋体" w:hAnsi="宋体" w:cs="宋体"/>
                <w:color w:val="auto"/>
                <w:sz w:val="24"/>
                <w:highlight w:val="none"/>
              </w:rPr>
              <w:t>中小型装载机</w:t>
            </w:r>
          </w:p>
          <w:p w14:paraId="1F881BE3">
            <w:pPr>
              <w:rPr>
                <w:rFonts w:ascii="宋体" w:cs="宋体"/>
                <w:color w:val="auto"/>
                <w:sz w:val="24"/>
                <w:highlight w:val="none"/>
              </w:rPr>
            </w:pPr>
          </w:p>
        </w:tc>
        <w:tc>
          <w:tcPr>
            <w:tcW w:w="2909" w:type="dxa"/>
            <w:vAlign w:val="center"/>
          </w:tcPr>
          <w:p w14:paraId="24C59FC8">
            <w:pPr>
              <w:jc w:val="center"/>
              <w:rPr>
                <w:rFonts w:ascii="宋体" w:cs="宋体"/>
                <w:color w:val="auto"/>
                <w:sz w:val="24"/>
                <w:highlight w:val="none"/>
              </w:rPr>
            </w:pPr>
            <w:r>
              <w:rPr>
                <w:rFonts w:hint="eastAsia" w:ascii="宋体" w:hAnsi="宋体" w:cs="宋体"/>
                <w:color w:val="auto"/>
                <w:sz w:val="24"/>
                <w:highlight w:val="none"/>
              </w:rPr>
              <w:t>斗容量</w:t>
            </w:r>
            <w:r>
              <w:rPr>
                <w:rFonts w:ascii="宋体" w:hAnsi="宋体" w:cs="宋体"/>
                <w:color w:val="auto"/>
                <w:sz w:val="24"/>
                <w:highlight w:val="none"/>
              </w:rPr>
              <w:t>0.5</w:t>
            </w:r>
            <w:r>
              <w:rPr>
                <w:rFonts w:hint="eastAsia" w:ascii="宋体" w:hAnsi="宋体" w:cs="宋体"/>
                <w:color w:val="auto"/>
                <w:sz w:val="24"/>
                <w:highlight w:val="none"/>
              </w:rPr>
              <w:t>～</w:t>
            </w:r>
            <w:r>
              <w:rPr>
                <w:rFonts w:ascii="宋体" w:hAnsi="宋体" w:cs="宋体"/>
                <w:color w:val="auto"/>
                <w:sz w:val="24"/>
                <w:highlight w:val="none"/>
              </w:rPr>
              <w:t>1m3</w:t>
            </w:r>
          </w:p>
        </w:tc>
        <w:tc>
          <w:tcPr>
            <w:tcW w:w="1771" w:type="dxa"/>
            <w:vAlign w:val="center"/>
          </w:tcPr>
          <w:p w14:paraId="3E6F2AF4">
            <w:pPr>
              <w:jc w:val="center"/>
              <w:rPr>
                <w:rFonts w:ascii="宋体" w:cs="宋体"/>
                <w:color w:val="auto"/>
                <w:sz w:val="24"/>
                <w:highlight w:val="none"/>
              </w:rPr>
            </w:pPr>
            <w:r>
              <w:rPr>
                <w:rFonts w:hint="eastAsia" w:ascii="宋体" w:hAnsi="宋体" w:cs="宋体"/>
                <w:color w:val="auto"/>
                <w:sz w:val="24"/>
                <w:highlight w:val="none"/>
              </w:rPr>
              <w:t>3台</w:t>
            </w:r>
          </w:p>
        </w:tc>
      </w:tr>
      <w:tr w14:paraId="6662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1B5DD61A">
            <w:pPr>
              <w:rPr>
                <w:rFonts w:ascii="宋体" w:cs="宋体"/>
                <w:color w:val="auto"/>
                <w:sz w:val="24"/>
                <w:highlight w:val="none"/>
              </w:rPr>
            </w:pPr>
          </w:p>
        </w:tc>
        <w:tc>
          <w:tcPr>
            <w:tcW w:w="2998" w:type="dxa"/>
            <w:vAlign w:val="center"/>
          </w:tcPr>
          <w:p w14:paraId="0B15EEC6">
            <w:pPr>
              <w:rPr>
                <w:rFonts w:ascii="宋体" w:cs="宋体"/>
                <w:color w:val="auto"/>
                <w:sz w:val="24"/>
                <w:highlight w:val="none"/>
              </w:rPr>
            </w:pPr>
            <w:r>
              <w:rPr>
                <w:rFonts w:hint="eastAsia" w:ascii="宋体" w:hAnsi="宋体" w:cs="宋体"/>
                <w:color w:val="auto"/>
                <w:sz w:val="24"/>
                <w:highlight w:val="none"/>
              </w:rPr>
              <w:t>中小型挖掘机</w:t>
            </w:r>
          </w:p>
        </w:tc>
        <w:tc>
          <w:tcPr>
            <w:tcW w:w="2909" w:type="dxa"/>
            <w:vAlign w:val="center"/>
          </w:tcPr>
          <w:p w14:paraId="705737DF">
            <w:pPr>
              <w:jc w:val="center"/>
              <w:rPr>
                <w:rFonts w:ascii="宋体" w:cs="宋体"/>
                <w:color w:val="auto"/>
                <w:sz w:val="24"/>
                <w:highlight w:val="none"/>
              </w:rPr>
            </w:pPr>
            <w:r>
              <w:rPr>
                <w:rFonts w:hint="eastAsia" w:ascii="宋体" w:hAnsi="宋体" w:cs="宋体"/>
                <w:color w:val="auto"/>
                <w:sz w:val="24"/>
                <w:highlight w:val="none"/>
              </w:rPr>
              <w:t>斗容量</w:t>
            </w:r>
            <w:r>
              <w:rPr>
                <w:rFonts w:ascii="宋体" w:cs="宋体"/>
                <w:color w:val="auto"/>
                <w:sz w:val="24"/>
                <w:highlight w:val="none"/>
              </w:rPr>
              <w:t>0.</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0.5 m3</w:t>
            </w:r>
          </w:p>
        </w:tc>
        <w:tc>
          <w:tcPr>
            <w:tcW w:w="1771" w:type="dxa"/>
            <w:vAlign w:val="center"/>
          </w:tcPr>
          <w:p w14:paraId="74C87526">
            <w:pPr>
              <w:jc w:val="center"/>
              <w:rPr>
                <w:rFonts w:ascii="宋体" w:cs="宋体"/>
                <w:color w:val="auto"/>
                <w:sz w:val="24"/>
                <w:highlight w:val="none"/>
              </w:rPr>
            </w:pPr>
            <w:r>
              <w:rPr>
                <w:rFonts w:hint="eastAsia" w:ascii="宋体" w:hAnsi="宋体" w:cs="宋体"/>
                <w:color w:val="auto"/>
                <w:sz w:val="24"/>
                <w:highlight w:val="none"/>
              </w:rPr>
              <w:t>2台</w:t>
            </w:r>
          </w:p>
        </w:tc>
      </w:tr>
      <w:tr w14:paraId="25C1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46" w:type="dxa"/>
            <w:vMerge w:val="continue"/>
          </w:tcPr>
          <w:p w14:paraId="1E921A5B">
            <w:pPr>
              <w:rPr>
                <w:rFonts w:ascii="宋体" w:cs="宋体"/>
                <w:color w:val="auto"/>
                <w:sz w:val="24"/>
                <w:highlight w:val="none"/>
              </w:rPr>
            </w:pPr>
          </w:p>
        </w:tc>
        <w:tc>
          <w:tcPr>
            <w:tcW w:w="2998" w:type="dxa"/>
          </w:tcPr>
          <w:p w14:paraId="48646412">
            <w:pPr>
              <w:rPr>
                <w:color w:val="auto"/>
                <w:szCs w:val="21"/>
                <w:highlight w:val="none"/>
              </w:rPr>
            </w:pPr>
            <w:r>
              <w:rPr>
                <w:rFonts w:hint="eastAsia"/>
                <w:color w:val="auto"/>
                <w:szCs w:val="21"/>
                <w:highlight w:val="none"/>
              </w:rPr>
              <w:t>起重机（汽车吊）</w:t>
            </w:r>
          </w:p>
        </w:tc>
        <w:tc>
          <w:tcPr>
            <w:tcW w:w="2909" w:type="dxa"/>
          </w:tcPr>
          <w:p w14:paraId="17095CF7">
            <w:pPr>
              <w:jc w:val="center"/>
              <w:rPr>
                <w:color w:val="auto"/>
                <w:szCs w:val="21"/>
                <w:highlight w:val="none"/>
              </w:rPr>
            </w:pPr>
            <w:r>
              <w:rPr>
                <w:rFonts w:hint="eastAsia"/>
                <w:color w:val="auto"/>
                <w:szCs w:val="21"/>
                <w:highlight w:val="none"/>
              </w:rPr>
              <w:t>最大起重12吨以上</w:t>
            </w:r>
          </w:p>
        </w:tc>
        <w:tc>
          <w:tcPr>
            <w:tcW w:w="1771" w:type="dxa"/>
          </w:tcPr>
          <w:p w14:paraId="6E1F2F6B">
            <w:pPr>
              <w:jc w:val="center"/>
              <w:rPr>
                <w:color w:val="auto"/>
                <w:szCs w:val="21"/>
                <w:highlight w:val="none"/>
              </w:rPr>
            </w:pPr>
            <w:r>
              <w:rPr>
                <w:rFonts w:hint="eastAsia"/>
                <w:color w:val="auto"/>
                <w:szCs w:val="21"/>
                <w:highlight w:val="none"/>
              </w:rPr>
              <w:t>1辆</w:t>
            </w:r>
          </w:p>
        </w:tc>
      </w:tr>
      <w:tr w14:paraId="4EDB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46" w:type="dxa"/>
            <w:vMerge w:val="continue"/>
          </w:tcPr>
          <w:p w14:paraId="5C83AC1D">
            <w:pPr>
              <w:rPr>
                <w:rFonts w:ascii="宋体" w:cs="宋体"/>
                <w:color w:val="auto"/>
                <w:sz w:val="24"/>
                <w:highlight w:val="none"/>
              </w:rPr>
            </w:pPr>
          </w:p>
        </w:tc>
        <w:tc>
          <w:tcPr>
            <w:tcW w:w="2998" w:type="dxa"/>
            <w:vAlign w:val="center"/>
          </w:tcPr>
          <w:p w14:paraId="0BEE502A">
            <w:pPr>
              <w:rPr>
                <w:rFonts w:ascii="宋体" w:cs="宋体"/>
                <w:color w:val="auto"/>
                <w:sz w:val="24"/>
                <w:highlight w:val="none"/>
              </w:rPr>
            </w:pPr>
            <w:r>
              <w:rPr>
                <w:rFonts w:hint="eastAsia" w:ascii="宋体" w:hAnsi="宋体" w:cs="宋体"/>
                <w:color w:val="auto"/>
                <w:sz w:val="24"/>
                <w:highlight w:val="none"/>
              </w:rPr>
              <w:t>压实机械</w:t>
            </w:r>
          </w:p>
        </w:tc>
        <w:tc>
          <w:tcPr>
            <w:tcW w:w="2909" w:type="dxa"/>
            <w:vAlign w:val="center"/>
          </w:tcPr>
          <w:p w14:paraId="61440CB7">
            <w:pP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总重≥</w:t>
            </w:r>
            <w:r>
              <w:rPr>
                <w:rFonts w:ascii="宋体" w:hAnsi="宋体" w:cs="宋体"/>
                <w:color w:val="auto"/>
                <w:sz w:val="24"/>
                <w:highlight w:val="none"/>
              </w:rPr>
              <w:t>3</w:t>
            </w:r>
            <w:r>
              <w:rPr>
                <w:rFonts w:hint="eastAsia" w:ascii="宋体" w:hAnsi="宋体" w:cs="宋体"/>
                <w:color w:val="auto"/>
                <w:sz w:val="24"/>
                <w:highlight w:val="none"/>
              </w:rPr>
              <w:t>吨，或带振动功能</w:t>
            </w:r>
          </w:p>
        </w:tc>
        <w:tc>
          <w:tcPr>
            <w:tcW w:w="1771" w:type="dxa"/>
            <w:vAlign w:val="center"/>
          </w:tcPr>
          <w:p w14:paraId="7F1D8AA7">
            <w:pPr>
              <w:jc w:val="center"/>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台</w:t>
            </w:r>
          </w:p>
        </w:tc>
      </w:tr>
      <w:tr w14:paraId="534E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restart"/>
            <w:vAlign w:val="center"/>
          </w:tcPr>
          <w:p w14:paraId="57FAB847">
            <w:pPr>
              <w:jc w:val="center"/>
              <w:rPr>
                <w:rFonts w:ascii="宋体" w:cs="宋体"/>
                <w:color w:val="auto"/>
                <w:sz w:val="24"/>
                <w:highlight w:val="none"/>
              </w:rPr>
            </w:pPr>
            <w:r>
              <w:rPr>
                <w:rFonts w:hint="eastAsia" w:ascii="宋体" w:hAnsi="宋体" w:cs="宋体"/>
                <w:color w:val="auto"/>
                <w:sz w:val="24"/>
                <w:highlight w:val="none"/>
              </w:rPr>
              <w:t>日常养护</w:t>
            </w:r>
          </w:p>
          <w:p w14:paraId="525CF367">
            <w:pPr>
              <w:jc w:val="center"/>
              <w:rPr>
                <w:rFonts w:ascii="宋体" w:cs="宋体"/>
                <w:color w:val="auto"/>
                <w:sz w:val="24"/>
                <w:highlight w:val="none"/>
              </w:rPr>
            </w:pPr>
            <w:r>
              <w:rPr>
                <w:rFonts w:hint="eastAsia" w:ascii="宋体" w:hAnsi="宋体" w:cs="宋体"/>
                <w:color w:val="auto"/>
                <w:sz w:val="24"/>
                <w:highlight w:val="none"/>
              </w:rPr>
              <w:t>机具、设施</w:t>
            </w:r>
          </w:p>
        </w:tc>
        <w:tc>
          <w:tcPr>
            <w:tcW w:w="2998" w:type="dxa"/>
          </w:tcPr>
          <w:p w14:paraId="3BA5DC00">
            <w:pPr>
              <w:jc w:val="center"/>
              <w:rPr>
                <w:color w:val="auto"/>
                <w:szCs w:val="21"/>
                <w:highlight w:val="none"/>
              </w:rPr>
            </w:pPr>
            <w:r>
              <w:rPr>
                <w:rFonts w:hint="eastAsia"/>
                <w:color w:val="auto"/>
                <w:szCs w:val="21"/>
                <w:highlight w:val="none"/>
              </w:rPr>
              <w:t>中粗砂（或石屑）</w:t>
            </w:r>
          </w:p>
        </w:tc>
        <w:tc>
          <w:tcPr>
            <w:tcW w:w="2909" w:type="dxa"/>
          </w:tcPr>
          <w:p w14:paraId="398B774D">
            <w:pPr>
              <w:jc w:val="center"/>
              <w:rPr>
                <w:color w:val="auto"/>
                <w:szCs w:val="21"/>
                <w:highlight w:val="none"/>
              </w:rPr>
            </w:pPr>
          </w:p>
        </w:tc>
        <w:tc>
          <w:tcPr>
            <w:tcW w:w="1771" w:type="dxa"/>
          </w:tcPr>
          <w:p w14:paraId="20C75B5A">
            <w:pPr>
              <w:jc w:val="center"/>
              <w:rPr>
                <w:color w:val="auto"/>
                <w:szCs w:val="21"/>
                <w:highlight w:val="none"/>
              </w:rPr>
            </w:pPr>
            <w:r>
              <w:rPr>
                <w:rFonts w:hint="eastAsia"/>
                <w:color w:val="auto"/>
                <w:szCs w:val="21"/>
                <w:highlight w:val="none"/>
              </w:rPr>
              <w:t>200m3</w:t>
            </w:r>
          </w:p>
        </w:tc>
      </w:tr>
      <w:tr w14:paraId="60DB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29590894">
            <w:pPr>
              <w:rPr>
                <w:rFonts w:ascii="宋体" w:cs="宋体"/>
                <w:color w:val="auto"/>
                <w:sz w:val="24"/>
                <w:highlight w:val="none"/>
              </w:rPr>
            </w:pPr>
          </w:p>
        </w:tc>
        <w:tc>
          <w:tcPr>
            <w:tcW w:w="2998" w:type="dxa"/>
          </w:tcPr>
          <w:p w14:paraId="404DA697">
            <w:pPr>
              <w:jc w:val="center"/>
              <w:rPr>
                <w:color w:val="auto"/>
                <w:szCs w:val="21"/>
                <w:highlight w:val="none"/>
              </w:rPr>
            </w:pPr>
            <w:r>
              <w:rPr>
                <w:rFonts w:hint="eastAsia"/>
                <w:color w:val="auto"/>
                <w:szCs w:val="21"/>
                <w:highlight w:val="none"/>
              </w:rPr>
              <w:t>碎石</w:t>
            </w:r>
          </w:p>
        </w:tc>
        <w:tc>
          <w:tcPr>
            <w:tcW w:w="2909" w:type="dxa"/>
          </w:tcPr>
          <w:p w14:paraId="20C968C6">
            <w:pPr>
              <w:jc w:val="center"/>
              <w:rPr>
                <w:color w:val="auto"/>
                <w:szCs w:val="21"/>
                <w:highlight w:val="none"/>
              </w:rPr>
            </w:pPr>
            <w:r>
              <w:rPr>
                <w:rFonts w:hint="eastAsia"/>
                <w:color w:val="auto"/>
                <w:szCs w:val="21"/>
                <w:highlight w:val="none"/>
              </w:rPr>
              <w:t>2-4cm</w:t>
            </w:r>
          </w:p>
        </w:tc>
        <w:tc>
          <w:tcPr>
            <w:tcW w:w="1771" w:type="dxa"/>
          </w:tcPr>
          <w:p w14:paraId="4FCDAF76">
            <w:pPr>
              <w:jc w:val="center"/>
              <w:rPr>
                <w:color w:val="auto"/>
                <w:szCs w:val="21"/>
                <w:highlight w:val="none"/>
              </w:rPr>
            </w:pPr>
            <w:r>
              <w:rPr>
                <w:rFonts w:hint="eastAsia"/>
                <w:color w:val="auto"/>
                <w:szCs w:val="21"/>
                <w:highlight w:val="none"/>
              </w:rPr>
              <w:t>200m3</w:t>
            </w:r>
          </w:p>
        </w:tc>
      </w:tr>
      <w:tr w14:paraId="0438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59C6D8EB">
            <w:pPr>
              <w:rPr>
                <w:rFonts w:ascii="宋体" w:cs="宋体"/>
                <w:color w:val="auto"/>
                <w:sz w:val="24"/>
                <w:highlight w:val="none"/>
              </w:rPr>
            </w:pPr>
          </w:p>
        </w:tc>
        <w:tc>
          <w:tcPr>
            <w:tcW w:w="2998" w:type="dxa"/>
          </w:tcPr>
          <w:p w14:paraId="46FB1F3B">
            <w:pPr>
              <w:jc w:val="center"/>
              <w:rPr>
                <w:color w:val="auto"/>
                <w:szCs w:val="21"/>
                <w:highlight w:val="none"/>
              </w:rPr>
            </w:pPr>
            <w:r>
              <w:rPr>
                <w:rFonts w:hint="eastAsia"/>
                <w:color w:val="auto"/>
                <w:szCs w:val="21"/>
                <w:highlight w:val="none"/>
              </w:rPr>
              <w:t>麻袋（或化纤袋）</w:t>
            </w:r>
          </w:p>
        </w:tc>
        <w:tc>
          <w:tcPr>
            <w:tcW w:w="2909" w:type="dxa"/>
          </w:tcPr>
          <w:p w14:paraId="21073199">
            <w:pPr>
              <w:jc w:val="center"/>
              <w:rPr>
                <w:color w:val="auto"/>
                <w:szCs w:val="21"/>
                <w:highlight w:val="none"/>
              </w:rPr>
            </w:pPr>
          </w:p>
        </w:tc>
        <w:tc>
          <w:tcPr>
            <w:tcW w:w="1771" w:type="dxa"/>
          </w:tcPr>
          <w:p w14:paraId="1012FE0B">
            <w:pPr>
              <w:jc w:val="center"/>
              <w:rPr>
                <w:color w:val="auto"/>
                <w:szCs w:val="21"/>
                <w:highlight w:val="none"/>
              </w:rPr>
            </w:pPr>
            <w:r>
              <w:rPr>
                <w:rFonts w:hint="eastAsia"/>
                <w:color w:val="auto"/>
                <w:szCs w:val="21"/>
                <w:highlight w:val="none"/>
              </w:rPr>
              <w:t>1000只</w:t>
            </w:r>
          </w:p>
        </w:tc>
      </w:tr>
      <w:tr w14:paraId="3C15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797D5D07">
            <w:pPr>
              <w:rPr>
                <w:rFonts w:ascii="宋体" w:cs="宋体"/>
                <w:color w:val="auto"/>
                <w:sz w:val="24"/>
                <w:highlight w:val="none"/>
              </w:rPr>
            </w:pPr>
          </w:p>
        </w:tc>
        <w:tc>
          <w:tcPr>
            <w:tcW w:w="2998" w:type="dxa"/>
          </w:tcPr>
          <w:p w14:paraId="73429B51">
            <w:pPr>
              <w:jc w:val="center"/>
              <w:rPr>
                <w:color w:val="auto"/>
                <w:szCs w:val="21"/>
                <w:highlight w:val="none"/>
              </w:rPr>
            </w:pPr>
            <w:r>
              <w:rPr>
                <w:rFonts w:hint="eastAsia"/>
                <w:color w:val="auto"/>
                <w:szCs w:val="21"/>
                <w:highlight w:val="none"/>
              </w:rPr>
              <w:t>铝合金伸缩梯</w:t>
            </w:r>
          </w:p>
        </w:tc>
        <w:tc>
          <w:tcPr>
            <w:tcW w:w="2909" w:type="dxa"/>
          </w:tcPr>
          <w:p w14:paraId="61BFB2B7">
            <w:pPr>
              <w:jc w:val="center"/>
              <w:rPr>
                <w:color w:val="auto"/>
                <w:szCs w:val="21"/>
                <w:highlight w:val="none"/>
              </w:rPr>
            </w:pPr>
            <w:r>
              <w:rPr>
                <w:rFonts w:hint="eastAsia"/>
                <w:color w:val="auto"/>
                <w:szCs w:val="21"/>
                <w:highlight w:val="none"/>
              </w:rPr>
              <w:t>高度7米以上</w:t>
            </w:r>
          </w:p>
        </w:tc>
        <w:tc>
          <w:tcPr>
            <w:tcW w:w="1771" w:type="dxa"/>
          </w:tcPr>
          <w:p w14:paraId="24EE27E8">
            <w:pPr>
              <w:jc w:val="center"/>
              <w:rPr>
                <w:color w:val="auto"/>
                <w:szCs w:val="21"/>
                <w:highlight w:val="none"/>
              </w:rPr>
            </w:pPr>
            <w:r>
              <w:rPr>
                <w:color w:val="auto"/>
                <w:szCs w:val="21"/>
                <w:highlight w:val="none"/>
              </w:rPr>
              <w:t>2</w:t>
            </w:r>
            <w:r>
              <w:rPr>
                <w:rFonts w:hint="eastAsia"/>
                <w:color w:val="auto"/>
                <w:szCs w:val="21"/>
                <w:highlight w:val="none"/>
              </w:rPr>
              <w:t>把</w:t>
            </w:r>
          </w:p>
        </w:tc>
      </w:tr>
      <w:tr w14:paraId="7E61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11281BE7">
            <w:pPr>
              <w:rPr>
                <w:rFonts w:ascii="宋体" w:cs="宋体"/>
                <w:color w:val="auto"/>
                <w:sz w:val="24"/>
                <w:highlight w:val="none"/>
              </w:rPr>
            </w:pPr>
          </w:p>
        </w:tc>
        <w:tc>
          <w:tcPr>
            <w:tcW w:w="2998" w:type="dxa"/>
          </w:tcPr>
          <w:p w14:paraId="49227175">
            <w:pPr>
              <w:jc w:val="center"/>
              <w:rPr>
                <w:color w:val="auto"/>
                <w:szCs w:val="21"/>
                <w:highlight w:val="none"/>
              </w:rPr>
            </w:pPr>
            <w:r>
              <w:rPr>
                <w:rFonts w:hint="eastAsia"/>
                <w:color w:val="auto"/>
                <w:szCs w:val="21"/>
                <w:highlight w:val="none"/>
              </w:rPr>
              <w:t>钢管</w:t>
            </w:r>
          </w:p>
        </w:tc>
        <w:tc>
          <w:tcPr>
            <w:tcW w:w="2909" w:type="dxa"/>
          </w:tcPr>
          <w:p w14:paraId="686D4C28">
            <w:pPr>
              <w:jc w:val="center"/>
              <w:rPr>
                <w:color w:val="auto"/>
                <w:szCs w:val="21"/>
                <w:highlight w:val="none"/>
              </w:rPr>
            </w:pPr>
            <w:r>
              <w:rPr>
                <w:rFonts w:hint="eastAsia"/>
                <w:color w:val="auto"/>
                <w:szCs w:val="21"/>
                <w:highlight w:val="none"/>
              </w:rPr>
              <w:t>外径4-6cm,长2-4m</w:t>
            </w:r>
          </w:p>
        </w:tc>
        <w:tc>
          <w:tcPr>
            <w:tcW w:w="1771" w:type="dxa"/>
          </w:tcPr>
          <w:p w14:paraId="50882CB8">
            <w:pPr>
              <w:jc w:val="center"/>
              <w:rPr>
                <w:color w:val="auto"/>
                <w:szCs w:val="21"/>
                <w:highlight w:val="none"/>
              </w:rPr>
            </w:pPr>
            <w:r>
              <w:rPr>
                <w:rFonts w:hint="eastAsia"/>
                <w:color w:val="auto"/>
                <w:szCs w:val="21"/>
                <w:highlight w:val="none"/>
              </w:rPr>
              <w:t>100根</w:t>
            </w:r>
          </w:p>
        </w:tc>
      </w:tr>
      <w:tr w14:paraId="1CE8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384076CF">
            <w:pPr>
              <w:rPr>
                <w:rFonts w:ascii="宋体" w:cs="宋体"/>
                <w:color w:val="auto"/>
                <w:sz w:val="24"/>
                <w:highlight w:val="none"/>
              </w:rPr>
            </w:pPr>
          </w:p>
        </w:tc>
        <w:tc>
          <w:tcPr>
            <w:tcW w:w="2998" w:type="dxa"/>
          </w:tcPr>
          <w:p w14:paraId="182F2B14">
            <w:pPr>
              <w:jc w:val="center"/>
              <w:rPr>
                <w:color w:val="auto"/>
                <w:szCs w:val="21"/>
                <w:highlight w:val="none"/>
              </w:rPr>
            </w:pPr>
            <w:r>
              <w:rPr>
                <w:rFonts w:hint="eastAsia"/>
                <w:color w:val="auto"/>
                <w:szCs w:val="21"/>
                <w:highlight w:val="none"/>
              </w:rPr>
              <w:t>禁止通行标志</w:t>
            </w:r>
          </w:p>
        </w:tc>
        <w:tc>
          <w:tcPr>
            <w:tcW w:w="2909" w:type="dxa"/>
          </w:tcPr>
          <w:p w14:paraId="7689BBB4">
            <w:pPr>
              <w:jc w:val="center"/>
              <w:rPr>
                <w:color w:val="auto"/>
                <w:szCs w:val="21"/>
                <w:highlight w:val="none"/>
              </w:rPr>
            </w:pPr>
          </w:p>
        </w:tc>
        <w:tc>
          <w:tcPr>
            <w:tcW w:w="1771" w:type="dxa"/>
          </w:tcPr>
          <w:p w14:paraId="6C54025B">
            <w:pPr>
              <w:jc w:val="center"/>
              <w:rPr>
                <w:color w:val="auto"/>
                <w:szCs w:val="21"/>
                <w:highlight w:val="none"/>
              </w:rPr>
            </w:pPr>
            <w:r>
              <w:rPr>
                <w:rFonts w:hint="eastAsia"/>
                <w:color w:val="auto"/>
                <w:szCs w:val="21"/>
                <w:highlight w:val="none"/>
              </w:rPr>
              <w:t>20只</w:t>
            </w:r>
          </w:p>
        </w:tc>
      </w:tr>
      <w:tr w14:paraId="79E9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22662DD6">
            <w:pPr>
              <w:rPr>
                <w:rFonts w:ascii="宋体" w:cs="宋体"/>
                <w:color w:val="auto"/>
                <w:sz w:val="24"/>
                <w:highlight w:val="none"/>
              </w:rPr>
            </w:pPr>
          </w:p>
        </w:tc>
        <w:tc>
          <w:tcPr>
            <w:tcW w:w="2998" w:type="dxa"/>
          </w:tcPr>
          <w:p w14:paraId="43872421">
            <w:pPr>
              <w:jc w:val="center"/>
              <w:rPr>
                <w:color w:val="auto"/>
                <w:szCs w:val="21"/>
                <w:highlight w:val="none"/>
              </w:rPr>
            </w:pPr>
            <w:r>
              <w:rPr>
                <w:rFonts w:hint="eastAsia"/>
                <w:color w:val="auto"/>
                <w:szCs w:val="21"/>
                <w:highlight w:val="none"/>
              </w:rPr>
              <w:t>限速、限载标志</w:t>
            </w:r>
          </w:p>
        </w:tc>
        <w:tc>
          <w:tcPr>
            <w:tcW w:w="2909" w:type="dxa"/>
          </w:tcPr>
          <w:p w14:paraId="76FD80FA">
            <w:pPr>
              <w:jc w:val="center"/>
              <w:rPr>
                <w:color w:val="auto"/>
                <w:szCs w:val="21"/>
                <w:highlight w:val="none"/>
              </w:rPr>
            </w:pPr>
          </w:p>
        </w:tc>
        <w:tc>
          <w:tcPr>
            <w:tcW w:w="1771" w:type="dxa"/>
          </w:tcPr>
          <w:p w14:paraId="50C10614">
            <w:pPr>
              <w:jc w:val="center"/>
              <w:rPr>
                <w:color w:val="auto"/>
                <w:szCs w:val="21"/>
                <w:highlight w:val="none"/>
              </w:rPr>
            </w:pPr>
            <w:r>
              <w:rPr>
                <w:rFonts w:hint="eastAsia"/>
                <w:color w:val="auto"/>
                <w:szCs w:val="21"/>
                <w:highlight w:val="none"/>
              </w:rPr>
              <w:t>20只</w:t>
            </w:r>
          </w:p>
        </w:tc>
      </w:tr>
      <w:tr w14:paraId="7EA8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1062A82B">
            <w:pPr>
              <w:rPr>
                <w:rFonts w:ascii="宋体" w:cs="宋体"/>
                <w:color w:val="auto"/>
                <w:sz w:val="24"/>
                <w:highlight w:val="none"/>
              </w:rPr>
            </w:pPr>
          </w:p>
        </w:tc>
        <w:tc>
          <w:tcPr>
            <w:tcW w:w="2998" w:type="dxa"/>
          </w:tcPr>
          <w:p w14:paraId="08249937">
            <w:pPr>
              <w:jc w:val="center"/>
              <w:rPr>
                <w:color w:val="auto"/>
                <w:szCs w:val="21"/>
                <w:highlight w:val="none"/>
              </w:rPr>
            </w:pPr>
            <w:r>
              <w:rPr>
                <w:rFonts w:hint="eastAsia"/>
                <w:color w:val="auto"/>
                <w:szCs w:val="21"/>
                <w:highlight w:val="none"/>
              </w:rPr>
              <w:t>彩钢板</w:t>
            </w:r>
          </w:p>
        </w:tc>
        <w:tc>
          <w:tcPr>
            <w:tcW w:w="2909" w:type="dxa"/>
          </w:tcPr>
          <w:p w14:paraId="10B4DC33">
            <w:pPr>
              <w:jc w:val="center"/>
              <w:rPr>
                <w:color w:val="auto"/>
                <w:szCs w:val="21"/>
                <w:highlight w:val="none"/>
              </w:rPr>
            </w:pPr>
            <w:r>
              <w:rPr>
                <w:rFonts w:hint="eastAsia"/>
                <w:color w:val="auto"/>
                <w:szCs w:val="21"/>
                <w:highlight w:val="none"/>
              </w:rPr>
              <w:t>中薄</w:t>
            </w:r>
          </w:p>
        </w:tc>
        <w:tc>
          <w:tcPr>
            <w:tcW w:w="1771" w:type="dxa"/>
          </w:tcPr>
          <w:p w14:paraId="3B20A261">
            <w:pPr>
              <w:jc w:val="center"/>
              <w:rPr>
                <w:color w:val="auto"/>
                <w:szCs w:val="21"/>
                <w:highlight w:val="none"/>
              </w:rPr>
            </w:pPr>
            <w:r>
              <w:rPr>
                <w:rFonts w:hint="eastAsia"/>
                <w:color w:val="auto"/>
                <w:szCs w:val="21"/>
                <w:highlight w:val="none"/>
              </w:rPr>
              <w:t>100m2</w:t>
            </w:r>
          </w:p>
        </w:tc>
      </w:tr>
      <w:tr w14:paraId="31B4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17DDF118">
            <w:pPr>
              <w:rPr>
                <w:rFonts w:ascii="宋体" w:cs="宋体"/>
                <w:color w:val="auto"/>
                <w:sz w:val="24"/>
                <w:highlight w:val="none"/>
              </w:rPr>
            </w:pPr>
          </w:p>
        </w:tc>
        <w:tc>
          <w:tcPr>
            <w:tcW w:w="2998" w:type="dxa"/>
          </w:tcPr>
          <w:p w14:paraId="75B55C42">
            <w:pPr>
              <w:jc w:val="center"/>
              <w:rPr>
                <w:color w:val="auto"/>
                <w:szCs w:val="21"/>
                <w:highlight w:val="none"/>
              </w:rPr>
            </w:pPr>
            <w:r>
              <w:rPr>
                <w:rFonts w:hint="eastAsia"/>
                <w:color w:val="auto"/>
                <w:szCs w:val="21"/>
                <w:highlight w:val="none"/>
              </w:rPr>
              <w:t>红或黄反光膜</w:t>
            </w:r>
          </w:p>
        </w:tc>
        <w:tc>
          <w:tcPr>
            <w:tcW w:w="2909" w:type="dxa"/>
          </w:tcPr>
          <w:p w14:paraId="77E203EE">
            <w:pPr>
              <w:jc w:val="center"/>
              <w:rPr>
                <w:color w:val="auto"/>
                <w:szCs w:val="21"/>
                <w:highlight w:val="none"/>
              </w:rPr>
            </w:pPr>
            <w:r>
              <w:rPr>
                <w:rFonts w:hint="eastAsia"/>
                <w:color w:val="auto"/>
                <w:szCs w:val="21"/>
                <w:highlight w:val="none"/>
              </w:rPr>
              <w:t>高强级</w:t>
            </w:r>
          </w:p>
        </w:tc>
        <w:tc>
          <w:tcPr>
            <w:tcW w:w="1771" w:type="dxa"/>
          </w:tcPr>
          <w:p w14:paraId="0C16E946">
            <w:pPr>
              <w:jc w:val="center"/>
              <w:rPr>
                <w:color w:val="auto"/>
                <w:szCs w:val="21"/>
                <w:highlight w:val="none"/>
              </w:rPr>
            </w:pPr>
            <w:r>
              <w:rPr>
                <w:rFonts w:hint="eastAsia"/>
                <w:color w:val="auto"/>
                <w:szCs w:val="21"/>
                <w:highlight w:val="none"/>
              </w:rPr>
              <w:t>20m2</w:t>
            </w:r>
          </w:p>
        </w:tc>
      </w:tr>
      <w:tr w14:paraId="2D9A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57145673">
            <w:pPr>
              <w:rPr>
                <w:rFonts w:ascii="宋体" w:cs="宋体"/>
                <w:color w:val="auto"/>
                <w:sz w:val="24"/>
                <w:highlight w:val="none"/>
              </w:rPr>
            </w:pPr>
          </w:p>
        </w:tc>
        <w:tc>
          <w:tcPr>
            <w:tcW w:w="2998" w:type="dxa"/>
          </w:tcPr>
          <w:p w14:paraId="5654D4BE">
            <w:pPr>
              <w:jc w:val="center"/>
              <w:rPr>
                <w:color w:val="auto"/>
                <w:szCs w:val="21"/>
                <w:highlight w:val="none"/>
              </w:rPr>
            </w:pPr>
            <w:r>
              <w:rPr>
                <w:rFonts w:hint="eastAsia"/>
                <w:color w:val="auto"/>
                <w:szCs w:val="21"/>
                <w:highlight w:val="none"/>
              </w:rPr>
              <w:t>塑料锥标</w:t>
            </w:r>
          </w:p>
        </w:tc>
        <w:tc>
          <w:tcPr>
            <w:tcW w:w="2909" w:type="dxa"/>
          </w:tcPr>
          <w:p w14:paraId="11566FF2">
            <w:pPr>
              <w:jc w:val="center"/>
              <w:rPr>
                <w:color w:val="auto"/>
                <w:szCs w:val="21"/>
                <w:highlight w:val="none"/>
              </w:rPr>
            </w:pPr>
          </w:p>
        </w:tc>
        <w:tc>
          <w:tcPr>
            <w:tcW w:w="1771" w:type="dxa"/>
          </w:tcPr>
          <w:p w14:paraId="0D2E0FCF">
            <w:pPr>
              <w:jc w:val="center"/>
              <w:rPr>
                <w:color w:val="auto"/>
                <w:szCs w:val="21"/>
                <w:highlight w:val="none"/>
              </w:rPr>
            </w:pPr>
            <w:r>
              <w:rPr>
                <w:rFonts w:hint="eastAsia"/>
                <w:color w:val="auto"/>
                <w:szCs w:val="21"/>
                <w:highlight w:val="none"/>
              </w:rPr>
              <w:t>300只</w:t>
            </w:r>
          </w:p>
        </w:tc>
      </w:tr>
      <w:tr w14:paraId="42AA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5EF735DE">
            <w:pPr>
              <w:rPr>
                <w:rFonts w:ascii="宋体" w:cs="宋体"/>
                <w:color w:val="auto"/>
                <w:sz w:val="24"/>
                <w:highlight w:val="none"/>
              </w:rPr>
            </w:pPr>
          </w:p>
        </w:tc>
        <w:tc>
          <w:tcPr>
            <w:tcW w:w="2998" w:type="dxa"/>
          </w:tcPr>
          <w:p w14:paraId="11906C24">
            <w:pPr>
              <w:jc w:val="center"/>
              <w:rPr>
                <w:color w:val="auto"/>
                <w:szCs w:val="21"/>
                <w:highlight w:val="none"/>
              </w:rPr>
            </w:pPr>
            <w:r>
              <w:rPr>
                <w:rFonts w:hint="eastAsia"/>
                <w:color w:val="auto"/>
                <w:szCs w:val="21"/>
                <w:highlight w:val="none"/>
              </w:rPr>
              <w:t>塑料水马或防撞桶</w:t>
            </w:r>
          </w:p>
        </w:tc>
        <w:tc>
          <w:tcPr>
            <w:tcW w:w="2909" w:type="dxa"/>
          </w:tcPr>
          <w:p w14:paraId="375C48C1">
            <w:pPr>
              <w:jc w:val="center"/>
              <w:rPr>
                <w:color w:val="auto"/>
                <w:szCs w:val="21"/>
                <w:highlight w:val="none"/>
              </w:rPr>
            </w:pPr>
          </w:p>
        </w:tc>
        <w:tc>
          <w:tcPr>
            <w:tcW w:w="1771" w:type="dxa"/>
          </w:tcPr>
          <w:p w14:paraId="4DB0A16F">
            <w:pPr>
              <w:jc w:val="center"/>
              <w:rPr>
                <w:color w:val="auto"/>
                <w:szCs w:val="21"/>
                <w:highlight w:val="none"/>
              </w:rPr>
            </w:pPr>
            <w:r>
              <w:rPr>
                <w:rFonts w:hint="eastAsia"/>
                <w:color w:val="auto"/>
                <w:szCs w:val="21"/>
                <w:highlight w:val="none"/>
              </w:rPr>
              <w:t>100只</w:t>
            </w:r>
          </w:p>
        </w:tc>
      </w:tr>
      <w:tr w14:paraId="65D7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2282D747">
            <w:pPr>
              <w:rPr>
                <w:rFonts w:ascii="宋体" w:cs="宋体"/>
                <w:color w:val="auto"/>
                <w:sz w:val="24"/>
                <w:highlight w:val="none"/>
              </w:rPr>
            </w:pPr>
          </w:p>
        </w:tc>
        <w:tc>
          <w:tcPr>
            <w:tcW w:w="2998" w:type="dxa"/>
          </w:tcPr>
          <w:p w14:paraId="27251596">
            <w:pPr>
              <w:jc w:val="center"/>
              <w:rPr>
                <w:color w:val="auto"/>
                <w:szCs w:val="21"/>
                <w:highlight w:val="none"/>
              </w:rPr>
            </w:pPr>
            <w:r>
              <w:rPr>
                <w:rFonts w:hint="eastAsia"/>
                <w:color w:val="auto"/>
                <w:szCs w:val="21"/>
                <w:highlight w:val="none"/>
              </w:rPr>
              <w:t>警戒带</w:t>
            </w:r>
          </w:p>
        </w:tc>
        <w:tc>
          <w:tcPr>
            <w:tcW w:w="2909" w:type="dxa"/>
          </w:tcPr>
          <w:p w14:paraId="0876982C">
            <w:pPr>
              <w:jc w:val="center"/>
              <w:rPr>
                <w:color w:val="auto"/>
                <w:szCs w:val="21"/>
                <w:highlight w:val="none"/>
              </w:rPr>
            </w:pPr>
          </w:p>
        </w:tc>
        <w:tc>
          <w:tcPr>
            <w:tcW w:w="1771" w:type="dxa"/>
          </w:tcPr>
          <w:p w14:paraId="4CBC995C">
            <w:pPr>
              <w:jc w:val="center"/>
              <w:rPr>
                <w:color w:val="auto"/>
                <w:szCs w:val="21"/>
                <w:highlight w:val="none"/>
              </w:rPr>
            </w:pPr>
            <w:r>
              <w:rPr>
                <w:rFonts w:hint="eastAsia"/>
                <w:color w:val="auto"/>
                <w:szCs w:val="21"/>
                <w:highlight w:val="none"/>
              </w:rPr>
              <w:t>50卷</w:t>
            </w:r>
          </w:p>
        </w:tc>
      </w:tr>
      <w:tr w14:paraId="262F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49848997">
            <w:pPr>
              <w:rPr>
                <w:rFonts w:ascii="宋体" w:cs="宋体"/>
                <w:color w:val="auto"/>
                <w:sz w:val="24"/>
                <w:highlight w:val="none"/>
              </w:rPr>
            </w:pPr>
          </w:p>
        </w:tc>
        <w:tc>
          <w:tcPr>
            <w:tcW w:w="2998" w:type="dxa"/>
          </w:tcPr>
          <w:p w14:paraId="0B88D653">
            <w:pPr>
              <w:jc w:val="center"/>
              <w:rPr>
                <w:color w:val="auto"/>
                <w:szCs w:val="21"/>
                <w:highlight w:val="none"/>
              </w:rPr>
            </w:pPr>
            <w:r>
              <w:rPr>
                <w:rFonts w:hint="eastAsia"/>
                <w:color w:val="auto"/>
                <w:szCs w:val="21"/>
                <w:highlight w:val="none"/>
              </w:rPr>
              <w:t>安全帽</w:t>
            </w:r>
          </w:p>
        </w:tc>
        <w:tc>
          <w:tcPr>
            <w:tcW w:w="2909" w:type="dxa"/>
          </w:tcPr>
          <w:p w14:paraId="1748A387">
            <w:pPr>
              <w:jc w:val="center"/>
              <w:rPr>
                <w:color w:val="auto"/>
                <w:szCs w:val="21"/>
                <w:highlight w:val="none"/>
              </w:rPr>
            </w:pPr>
          </w:p>
        </w:tc>
        <w:tc>
          <w:tcPr>
            <w:tcW w:w="1771" w:type="dxa"/>
          </w:tcPr>
          <w:p w14:paraId="6F44AF1F">
            <w:pPr>
              <w:jc w:val="center"/>
              <w:rPr>
                <w:color w:val="auto"/>
                <w:szCs w:val="21"/>
                <w:highlight w:val="none"/>
              </w:rPr>
            </w:pPr>
            <w:r>
              <w:rPr>
                <w:rFonts w:hint="eastAsia"/>
                <w:color w:val="auto"/>
                <w:szCs w:val="21"/>
                <w:highlight w:val="none"/>
              </w:rPr>
              <w:t>50顶</w:t>
            </w:r>
          </w:p>
        </w:tc>
      </w:tr>
      <w:tr w14:paraId="7BA9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210BE9C8">
            <w:pPr>
              <w:rPr>
                <w:rFonts w:ascii="宋体" w:cs="宋体"/>
                <w:color w:val="auto"/>
                <w:sz w:val="24"/>
                <w:highlight w:val="none"/>
              </w:rPr>
            </w:pPr>
          </w:p>
        </w:tc>
        <w:tc>
          <w:tcPr>
            <w:tcW w:w="2998" w:type="dxa"/>
          </w:tcPr>
          <w:p w14:paraId="2F06F63E">
            <w:pPr>
              <w:jc w:val="center"/>
              <w:rPr>
                <w:color w:val="auto"/>
                <w:szCs w:val="21"/>
                <w:highlight w:val="none"/>
              </w:rPr>
            </w:pPr>
            <w:r>
              <w:rPr>
                <w:rFonts w:hint="eastAsia"/>
                <w:color w:val="auto"/>
                <w:szCs w:val="21"/>
                <w:highlight w:val="none"/>
              </w:rPr>
              <w:t>安全绳</w:t>
            </w:r>
          </w:p>
        </w:tc>
        <w:tc>
          <w:tcPr>
            <w:tcW w:w="2909" w:type="dxa"/>
          </w:tcPr>
          <w:p w14:paraId="37CAF2FC">
            <w:pPr>
              <w:jc w:val="center"/>
              <w:rPr>
                <w:color w:val="auto"/>
                <w:szCs w:val="21"/>
                <w:highlight w:val="none"/>
              </w:rPr>
            </w:pPr>
          </w:p>
        </w:tc>
        <w:tc>
          <w:tcPr>
            <w:tcW w:w="1771" w:type="dxa"/>
          </w:tcPr>
          <w:p w14:paraId="4CEA9F09">
            <w:pPr>
              <w:jc w:val="center"/>
              <w:rPr>
                <w:color w:val="auto"/>
                <w:szCs w:val="21"/>
                <w:highlight w:val="none"/>
              </w:rPr>
            </w:pPr>
            <w:r>
              <w:rPr>
                <w:rFonts w:hint="eastAsia"/>
                <w:color w:val="auto"/>
                <w:szCs w:val="21"/>
                <w:highlight w:val="none"/>
              </w:rPr>
              <w:t>10套</w:t>
            </w:r>
          </w:p>
        </w:tc>
      </w:tr>
      <w:tr w14:paraId="5841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5F2E2B42">
            <w:pPr>
              <w:rPr>
                <w:rFonts w:ascii="宋体" w:cs="宋体"/>
                <w:color w:val="auto"/>
                <w:sz w:val="24"/>
                <w:highlight w:val="none"/>
              </w:rPr>
            </w:pPr>
          </w:p>
        </w:tc>
        <w:tc>
          <w:tcPr>
            <w:tcW w:w="2998" w:type="dxa"/>
          </w:tcPr>
          <w:p w14:paraId="03818953">
            <w:pPr>
              <w:jc w:val="center"/>
              <w:rPr>
                <w:color w:val="auto"/>
                <w:szCs w:val="21"/>
                <w:highlight w:val="none"/>
              </w:rPr>
            </w:pPr>
            <w:r>
              <w:rPr>
                <w:rFonts w:hint="eastAsia"/>
                <w:color w:val="auto"/>
                <w:szCs w:val="21"/>
                <w:highlight w:val="none"/>
              </w:rPr>
              <w:t>救生衣</w:t>
            </w:r>
          </w:p>
        </w:tc>
        <w:tc>
          <w:tcPr>
            <w:tcW w:w="2909" w:type="dxa"/>
          </w:tcPr>
          <w:p w14:paraId="09B87CB8">
            <w:pPr>
              <w:jc w:val="center"/>
              <w:rPr>
                <w:color w:val="auto"/>
                <w:szCs w:val="21"/>
                <w:highlight w:val="none"/>
              </w:rPr>
            </w:pPr>
          </w:p>
        </w:tc>
        <w:tc>
          <w:tcPr>
            <w:tcW w:w="1771" w:type="dxa"/>
          </w:tcPr>
          <w:p w14:paraId="326BFD3F">
            <w:pPr>
              <w:jc w:val="center"/>
              <w:rPr>
                <w:color w:val="auto"/>
                <w:szCs w:val="21"/>
                <w:highlight w:val="none"/>
              </w:rPr>
            </w:pPr>
            <w:r>
              <w:rPr>
                <w:rFonts w:hint="eastAsia"/>
                <w:color w:val="auto"/>
                <w:szCs w:val="21"/>
                <w:highlight w:val="none"/>
              </w:rPr>
              <w:t>10套</w:t>
            </w:r>
          </w:p>
        </w:tc>
      </w:tr>
      <w:tr w14:paraId="3B95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1CA02D26">
            <w:pPr>
              <w:rPr>
                <w:rFonts w:ascii="宋体" w:cs="宋体"/>
                <w:color w:val="auto"/>
                <w:sz w:val="24"/>
                <w:highlight w:val="none"/>
              </w:rPr>
            </w:pPr>
          </w:p>
        </w:tc>
        <w:tc>
          <w:tcPr>
            <w:tcW w:w="2998" w:type="dxa"/>
          </w:tcPr>
          <w:p w14:paraId="6EA02590">
            <w:pPr>
              <w:jc w:val="center"/>
              <w:rPr>
                <w:color w:val="auto"/>
                <w:szCs w:val="21"/>
                <w:highlight w:val="none"/>
              </w:rPr>
            </w:pPr>
            <w:r>
              <w:rPr>
                <w:rFonts w:hint="eastAsia"/>
                <w:color w:val="auto"/>
                <w:szCs w:val="21"/>
                <w:highlight w:val="none"/>
              </w:rPr>
              <w:t>反光马甲</w:t>
            </w:r>
          </w:p>
        </w:tc>
        <w:tc>
          <w:tcPr>
            <w:tcW w:w="2909" w:type="dxa"/>
          </w:tcPr>
          <w:p w14:paraId="4FFEDCEA">
            <w:pPr>
              <w:jc w:val="center"/>
              <w:rPr>
                <w:color w:val="auto"/>
                <w:szCs w:val="21"/>
                <w:highlight w:val="none"/>
              </w:rPr>
            </w:pPr>
          </w:p>
        </w:tc>
        <w:tc>
          <w:tcPr>
            <w:tcW w:w="1771" w:type="dxa"/>
          </w:tcPr>
          <w:p w14:paraId="4C535EEB">
            <w:pPr>
              <w:jc w:val="center"/>
              <w:rPr>
                <w:color w:val="auto"/>
                <w:szCs w:val="21"/>
                <w:highlight w:val="none"/>
              </w:rPr>
            </w:pPr>
            <w:r>
              <w:rPr>
                <w:rFonts w:hint="eastAsia"/>
                <w:color w:val="auto"/>
                <w:szCs w:val="21"/>
                <w:highlight w:val="none"/>
              </w:rPr>
              <w:t>100件</w:t>
            </w:r>
          </w:p>
        </w:tc>
      </w:tr>
      <w:tr w14:paraId="4A08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466F9353">
            <w:pPr>
              <w:rPr>
                <w:rFonts w:ascii="宋体" w:cs="宋体"/>
                <w:color w:val="auto"/>
                <w:sz w:val="24"/>
                <w:highlight w:val="none"/>
              </w:rPr>
            </w:pPr>
          </w:p>
        </w:tc>
        <w:tc>
          <w:tcPr>
            <w:tcW w:w="2998" w:type="dxa"/>
          </w:tcPr>
          <w:p w14:paraId="0DA8D737">
            <w:pPr>
              <w:jc w:val="center"/>
              <w:rPr>
                <w:color w:val="auto"/>
                <w:szCs w:val="21"/>
                <w:highlight w:val="none"/>
              </w:rPr>
            </w:pPr>
            <w:r>
              <w:rPr>
                <w:rFonts w:hint="eastAsia"/>
                <w:color w:val="auto"/>
                <w:szCs w:val="21"/>
                <w:highlight w:val="none"/>
              </w:rPr>
              <w:t>尼龙绳</w:t>
            </w:r>
          </w:p>
        </w:tc>
        <w:tc>
          <w:tcPr>
            <w:tcW w:w="2909" w:type="dxa"/>
          </w:tcPr>
          <w:p w14:paraId="432E3424">
            <w:pPr>
              <w:jc w:val="center"/>
              <w:rPr>
                <w:color w:val="auto"/>
                <w:szCs w:val="21"/>
                <w:highlight w:val="none"/>
              </w:rPr>
            </w:pPr>
          </w:p>
        </w:tc>
        <w:tc>
          <w:tcPr>
            <w:tcW w:w="1771" w:type="dxa"/>
          </w:tcPr>
          <w:p w14:paraId="02EEF5FD">
            <w:pPr>
              <w:jc w:val="center"/>
              <w:rPr>
                <w:color w:val="auto"/>
                <w:szCs w:val="21"/>
                <w:highlight w:val="none"/>
              </w:rPr>
            </w:pPr>
            <w:r>
              <w:rPr>
                <w:rFonts w:hint="eastAsia"/>
                <w:color w:val="auto"/>
                <w:szCs w:val="21"/>
                <w:highlight w:val="none"/>
              </w:rPr>
              <w:t>100米</w:t>
            </w:r>
          </w:p>
        </w:tc>
      </w:tr>
      <w:tr w14:paraId="2081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4844EC08">
            <w:pPr>
              <w:rPr>
                <w:rFonts w:ascii="宋体" w:cs="宋体"/>
                <w:color w:val="auto"/>
                <w:sz w:val="24"/>
                <w:highlight w:val="none"/>
              </w:rPr>
            </w:pPr>
          </w:p>
        </w:tc>
        <w:tc>
          <w:tcPr>
            <w:tcW w:w="2998" w:type="dxa"/>
          </w:tcPr>
          <w:p w14:paraId="00D83DE7">
            <w:pPr>
              <w:jc w:val="center"/>
              <w:rPr>
                <w:color w:val="auto"/>
                <w:szCs w:val="21"/>
                <w:highlight w:val="none"/>
              </w:rPr>
            </w:pPr>
            <w:r>
              <w:rPr>
                <w:rFonts w:hint="eastAsia"/>
                <w:color w:val="auto"/>
                <w:szCs w:val="21"/>
                <w:highlight w:val="none"/>
              </w:rPr>
              <w:t>大砍刀或斧头</w:t>
            </w:r>
          </w:p>
        </w:tc>
        <w:tc>
          <w:tcPr>
            <w:tcW w:w="2909" w:type="dxa"/>
          </w:tcPr>
          <w:p w14:paraId="124601A0">
            <w:pPr>
              <w:jc w:val="center"/>
              <w:rPr>
                <w:color w:val="auto"/>
                <w:szCs w:val="21"/>
                <w:highlight w:val="none"/>
              </w:rPr>
            </w:pPr>
          </w:p>
        </w:tc>
        <w:tc>
          <w:tcPr>
            <w:tcW w:w="1771" w:type="dxa"/>
          </w:tcPr>
          <w:p w14:paraId="255B7673">
            <w:pPr>
              <w:jc w:val="center"/>
              <w:rPr>
                <w:color w:val="auto"/>
                <w:szCs w:val="21"/>
                <w:highlight w:val="none"/>
              </w:rPr>
            </w:pPr>
            <w:r>
              <w:rPr>
                <w:rFonts w:hint="eastAsia"/>
                <w:color w:val="auto"/>
                <w:szCs w:val="21"/>
                <w:highlight w:val="none"/>
              </w:rPr>
              <w:t>20把</w:t>
            </w:r>
          </w:p>
        </w:tc>
      </w:tr>
      <w:tr w14:paraId="77A4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2005DE98">
            <w:pPr>
              <w:rPr>
                <w:rFonts w:ascii="宋体" w:cs="宋体"/>
                <w:color w:val="auto"/>
                <w:sz w:val="24"/>
                <w:highlight w:val="none"/>
              </w:rPr>
            </w:pPr>
          </w:p>
        </w:tc>
        <w:tc>
          <w:tcPr>
            <w:tcW w:w="2998" w:type="dxa"/>
          </w:tcPr>
          <w:p w14:paraId="5DD91853">
            <w:pPr>
              <w:jc w:val="center"/>
              <w:rPr>
                <w:color w:val="auto"/>
                <w:szCs w:val="21"/>
                <w:highlight w:val="none"/>
              </w:rPr>
            </w:pPr>
            <w:r>
              <w:rPr>
                <w:rFonts w:hint="eastAsia"/>
                <w:color w:val="auto"/>
                <w:szCs w:val="21"/>
                <w:highlight w:val="none"/>
              </w:rPr>
              <w:t>短油锯</w:t>
            </w:r>
          </w:p>
        </w:tc>
        <w:tc>
          <w:tcPr>
            <w:tcW w:w="2909" w:type="dxa"/>
          </w:tcPr>
          <w:p w14:paraId="346B953B">
            <w:pPr>
              <w:jc w:val="center"/>
              <w:rPr>
                <w:color w:val="auto"/>
                <w:szCs w:val="21"/>
                <w:highlight w:val="none"/>
              </w:rPr>
            </w:pPr>
          </w:p>
        </w:tc>
        <w:tc>
          <w:tcPr>
            <w:tcW w:w="1771" w:type="dxa"/>
          </w:tcPr>
          <w:p w14:paraId="01F9E870">
            <w:pPr>
              <w:jc w:val="center"/>
              <w:rPr>
                <w:color w:val="auto"/>
                <w:szCs w:val="21"/>
                <w:highlight w:val="none"/>
              </w:rPr>
            </w:pPr>
            <w:r>
              <w:rPr>
                <w:rFonts w:hint="eastAsia"/>
                <w:color w:val="auto"/>
                <w:szCs w:val="21"/>
                <w:highlight w:val="none"/>
              </w:rPr>
              <w:t>6台</w:t>
            </w:r>
          </w:p>
        </w:tc>
      </w:tr>
      <w:tr w14:paraId="5BCE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47665022">
            <w:pPr>
              <w:rPr>
                <w:rFonts w:ascii="宋体" w:cs="宋体"/>
                <w:color w:val="auto"/>
                <w:sz w:val="24"/>
                <w:highlight w:val="none"/>
              </w:rPr>
            </w:pPr>
          </w:p>
        </w:tc>
        <w:tc>
          <w:tcPr>
            <w:tcW w:w="2998" w:type="dxa"/>
          </w:tcPr>
          <w:p w14:paraId="53E4F7F1">
            <w:pPr>
              <w:jc w:val="center"/>
              <w:rPr>
                <w:color w:val="auto"/>
                <w:szCs w:val="21"/>
                <w:highlight w:val="none"/>
              </w:rPr>
            </w:pPr>
            <w:r>
              <w:rPr>
                <w:rFonts w:hint="eastAsia"/>
                <w:color w:val="auto"/>
                <w:szCs w:val="21"/>
                <w:highlight w:val="none"/>
              </w:rPr>
              <w:t>高枝油锯</w:t>
            </w:r>
          </w:p>
        </w:tc>
        <w:tc>
          <w:tcPr>
            <w:tcW w:w="2909" w:type="dxa"/>
          </w:tcPr>
          <w:p w14:paraId="77AFAD85">
            <w:pPr>
              <w:jc w:val="center"/>
              <w:rPr>
                <w:color w:val="auto"/>
                <w:szCs w:val="21"/>
                <w:highlight w:val="none"/>
              </w:rPr>
            </w:pPr>
          </w:p>
        </w:tc>
        <w:tc>
          <w:tcPr>
            <w:tcW w:w="1771" w:type="dxa"/>
          </w:tcPr>
          <w:p w14:paraId="47BE6D1D">
            <w:pPr>
              <w:jc w:val="center"/>
              <w:rPr>
                <w:color w:val="auto"/>
                <w:szCs w:val="21"/>
                <w:highlight w:val="none"/>
              </w:rPr>
            </w:pPr>
            <w:r>
              <w:rPr>
                <w:rFonts w:hint="eastAsia"/>
                <w:color w:val="auto"/>
                <w:szCs w:val="21"/>
                <w:highlight w:val="none"/>
              </w:rPr>
              <w:t>4台</w:t>
            </w:r>
          </w:p>
        </w:tc>
      </w:tr>
      <w:tr w14:paraId="4F5F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2DA53D97">
            <w:pPr>
              <w:rPr>
                <w:rFonts w:ascii="宋体" w:cs="宋体"/>
                <w:color w:val="auto"/>
                <w:sz w:val="24"/>
                <w:highlight w:val="none"/>
              </w:rPr>
            </w:pPr>
          </w:p>
        </w:tc>
        <w:tc>
          <w:tcPr>
            <w:tcW w:w="2998" w:type="dxa"/>
          </w:tcPr>
          <w:p w14:paraId="608FDC08">
            <w:pPr>
              <w:jc w:val="center"/>
              <w:rPr>
                <w:color w:val="auto"/>
                <w:szCs w:val="21"/>
                <w:highlight w:val="none"/>
              </w:rPr>
            </w:pPr>
            <w:r>
              <w:rPr>
                <w:rFonts w:hint="eastAsia"/>
                <w:color w:val="auto"/>
                <w:szCs w:val="21"/>
                <w:highlight w:val="none"/>
              </w:rPr>
              <w:t>手锯</w:t>
            </w:r>
          </w:p>
        </w:tc>
        <w:tc>
          <w:tcPr>
            <w:tcW w:w="2909" w:type="dxa"/>
          </w:tcPr>
          <w:p w14:paraId="0B7732A9">
            <w:pPr>
              <w:jc w:val="center"/>
              <w:rPr>
                <w:color w:val="auto"/>
                <w:szCs w:val="21"/>
                <w:highlight w:val="none"/>
              </w:rPr>
            </w:pPr>
          </w:p>
        </w:tc>
        <w:tc>
          <w:tcPr>
            <w:tcW w:w="1771" w:type="dxa"/>
          </w:tcPr>
          <w:p w14:paraId="6AB486FD">
            <w:pPr>
              <w:jc w:val="center"/>
              <w:rPr>
                <w:color w:val="auto"/>
                <w:szCs w:val="21"/>
                <w:highlight w:val="none"/>
              </w:rPr>
            </w:pPr>
            <w:r>
              <w:rPr>
                <w:rFonts w:hint="eastAsia"/>
                <w:color w:val="auto"/>
                <w:szCs w:val="21"/>
                <w:highlight w:val="none"/>
              </w:rPr>
              <w:t>5把</w:t>
            </w:r>
          </w:p>
        </w:tc>
      </w:tr>
      <w:tr w14:paraId="32BA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7EB9895A">
            <w:pPr>
              <w:rPr>
                <w:rFonts w:ascii="宋体" w:cs="宋体"/>
                <w:color w:val="auto"/>
                <w:sz w:val="24"/>
                <w:highlight w:val="none"/>
              </w:rPr>
            </w:pPr>
          </w:p>
        </w:tc>
        <w:tc>
          <w:tcPr>
            <w:tcW w:w="2998" w:type="dxa"/>
          </w:tcPr>
          <w:p w14:paraId="44FFE6E3">
            <w:pPr>
              <w:jc w:val="center"/>
              <w:rPr>
                <w:color w:val="auto"/>
                <w:szCs w:val="21"/>
                <w:highlight w:val="none"/>
              </w:rPr>
            </w:pPr>
            <w:r>
              <w:rPr>
                <w:rFonts w:hint="eastAsia"/>
                <w:color w:val="auto"/>
                <w:szCs w:val="21"/>
                <w:highlight w:val="none"/>
              </w:rPr>
              <w:t>干电池式频闪灯</w:t>
            </w:r>
          </w:p>
        </w:tc>
        <w:tc>
          <w:tcPr>
            <w:tcW w:w="2909" w:type="dxa"/>
          </w:tcPr>
          <w:p w14:paraId="7F942E2B">
            <w:pPr>
              <w:jc w:val="center"/>
              <w:rPr>
                <w:color w:val="auto"/>
                <w:szCs w:val="21"/>
                <w:highlight w:val="none"/>
              </w:rPr>
            </w:pPr>
          </w:p>
        </w:tc>
        <w:tc>
          <w:tcPr>
            <w:tcW w:w="1771" w:type="dxa"/>
          </w:tcPr>
          <w:p w14:paraId="4679B07D">
            <w:pPr>
              <w:jc w:val="center"/>
              <w:rPr>
                <w:color w:val="auto"/>
                <w:szCs w:val="21"/>
                <w:highlight w:val="none"/>
              </w:rPr>
            </w:pPr>
            <w:r>
              <w:rPr>
                <w:rFonts w:hint="eastAsia"/>
                <w:color w:val="auto"/>
                <w:szCs w:val="21"/>
                <w:highlight w:val="none"/>
              </w:rPr>
              <w:t>30只</w:t>
            </w:r>
          </w:p>
        </w:tc>
      </w:tr>
      <w:tr w14:paraId="474C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10FFCB7B">
            <w:pPr>
              <w:rPr>
                <w:rFonts w:ascii="宋体" w:cs="宋体"/>
                <w:color w:val="auto"/>
                <w:sz w:val="24"/>
                <w:highlight w:val="none"/>
              </w:rPr>
            </w:pPr>
          </w:p>
        </w:tc>
        <w:tc>
          <w:tcPr>
            <w:tcW w:w="2998" w:type="dxa"/>
          </w:tcPr>
          <w:p w14:paraId="7B0B174C">
            <w:pPr>
              <w:jc w:val="center"/>
              <w:rPr>
                <w:color w:val="auto"/>
                <w:szCs w:val="21"/>
                <w:highlight w:val="none"/>
              </w:rPr>
            </w:pPr>
            <w:r>
              <w:rPr>
                <w:rFonts w:hint="eastAsia"/>
                <w:color w:val="auto"/>
                <w:szCs w:val="21"/>
                <w:highlight w:val="none"/>
              </w:rPr>
              <w:t>太阳能爆闪灯</w:t>
            </w:r>
          </w:p>
        </w:tc>
        <w:tc>
          <w:tcPr>
            <w:tcW w:w="2909" w:type="dxa"/>
          </w:tcPr>
          <w:p w14:paraId="790B7637">
            <w:pPr>
              <w:jc w:val="center"/>
              <w:rPr>
                <w:color w:val="auto"/>
                <w:szCs w:val="21"/>
                <w:highlight w:val="none"/>
              </w:rPr>
            </w:pPr>
          </w:p>
        </w:tc>
        <w:tc>
          <w:tcPr>
            <w:tcW w:w="1771" w:type="dxa"/>
          </w:tcPr>
          <w:p w14:paraId="35D419E1">
            <w:pPr>
              <w:jc w:val="center"/>
              <w:rPr>
                <w:color w:val="auto"/>
                <w:szCs w:val="21"/>
                <w:highlight w:val="none"/>
              </w:rPr>
            </w:pPr>
            <w:r>
              <w:rPr>
                <w:rFonts w:hint="eastAsia"/>
                <w:color w:val="auto"/>
                <w:szCs w:val="21"/>
                <w:highlight w:val="none"/>
              </w:rPr>
              <w:t>4套</w:t>
            </w:r>
          </w:p>
        </w:tc>
      </w:tr>
      <w:tr w14:paraId="28D7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36BAF869">
            <w:pPr>
              <w:rPr>
                <w:rFonts w:ascii="宋体" w:cs="宋体"/>
                <w:color w:val="auto"/>
                <w:sz w:val="24"/>
                <w:highlight w:val="none"/>
              </w:rPr>
            </w:pPr>
            <w:bookmarkStart w:id="25" w:name="_GoBack" w:colFirst="1" w:colLast="1"/>
          </w:p>
        </w:tc>
        <w:tc>
          <w:tcPr>
            <w:tcW w:w="2998" w:type="dxa"/>
          </w:tcPr>
          <w:p w14:paraId="60101B16">
            <w:pPr>
              <w:jc w:val="center"/>
              <w:rPr>
                <w:color w:val="auto"/>
                <w:szCs w:val="21"/>
                <w:highlight w:val="none"/>
              </w:rPr>
            </w:pPr>
            <w:r>
              <w:rPr>
                <w:rFonts w:hint="eastAsia"/>
                <w:color w:val="auto"/>
                <w:szCs w:val="21"/>
                <w:highlight w:val="none"/>
              </w:rPr>
              <w:t>照明电筒</w:t>
            </w:r>
          </w:p>
        </w:tc>
        <w:tc>
          <w:tcPr>
            <w:tcW w:w="2909" w:type="dxa"/>
          </w:tcPr>
          <w:p w14:paraId="0BC5A04F">
            <w:pPr>
              <w:jc w:val="center"/>
              <w:rPr>
                <w:color w:val="auto"/>
                <w:szCs w:val="21"/>
                <w:highlight w:val="none"/>
              </w:rPr>
            </w:pPr>
          </w:p>
        </w:tc>
        <w:tc>
          <w:tcPr>
            <w:tcW w:w="1771" w:type="dxa"/>
          </w:tcPr>
          <w:p w14:paraId="6B5C5681">
            <w:pPr>
              <w:jc w:val="center"/>
              <w:rPr>
                <w:color w:val="auto"/>
                <w:szCs w:val="21"/>
                <w:highlight w:val="none"/>
              </w:rPr>
            </w:pPr>
            <w:r>
              <w:rPr>
                <w:rFonts w:hint="eastAsia"/>
                <w:color w:val="auto"/>
                <w:szCs w:val="21"/>
                <w:highlight w:val="none"/>
              </w:rPr>
              <w:t>20只</w:t>
            </w:r>
          </w:p>
        </w:tc>
      </w:tr>
      <w:bookmarkEnd w:id="25"/>
      <w:tr w14:paraId="770D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46B698C9">
            <w:pPr>
              <w:rPr>
                <w:rFonts w:ascii="宋体" w:cs="宋体"/>
                <w:color w:val="auto"/>
                <w:sz w:val="24"/>
                <w:highlight w:val="none"/>
              </w:rPr>
            </w:pPr>
          </w:p>
        </w:tc>
        <w:tc>
          <w:tcPr>
            <w:tcW w:w="2998" w:type="dxa"/>
          </w:tcPr>
          <w:p w14:paraId="5E9C91F7">
            <w:pPr>
              <w:jc w:val="center"/>
              <w:rPr>
                <w:color w:val="auto"/>
                <w:szCs w:val="21"/>
                <w:highlight w:val="none"/>
              </w:rPr>
            </w:pPr>
            <w:r>
              <w:rPr>
                <w:rFonts w:hint="eastAsia"/>
                <w:color w:val="auto"/>
                <w:szCs w:val="21"/>
                <w:highlight w:val="none"/>
              </w:rPr>
              <w:t>LED照明灯具</w:t>
            </w:r>
          </w:p>
        </w:tc>
        <w:tc>
          <w:tcPr>
            <w:tcW w:w="2909" w:type="dxa"/>
          </w:tcPr>
          <w:p w14:paraId="2370B1F7">
            <w:pPr>
              <w:jc w:val="center"/>
              <w:rPr>
                <w:color w:val="auto"/>
                <w:szCs w:val="21"/>
                <w:highlight w:val="none"/>
              </w:rPr>
            </w:pPr>
            <w:r>
              <w:rPr>
                <w:rFonts w:hint="eastAsia"/>
                <w:color w:val="auto"/>
                <w:szCs w:val="21"/>
                <w:highlight w:val="none"/>
              </w:rPr>
              <w:t>36W以上</w:t>
            </w:r>
          </w:p>
        </w:tc>
        <w:tc>
          <w:tcPr>
            <w:tcW w:w="1771" w:type="dxa"/>
          </w:tcPr>
          <w:p w14:paraId="5BB580C6">
            <w:pPr>
              <w:jc w:val="center"/>
              <w:rPr>
                <w:color w:val="auto"/>
                <w:szCs w:val="21"/>
                <w:highlight w:val="none"/>
              </w:rPr>
            </w:pPr>
            <w:r>
              <w:rPr>
                <w:rFonts w:hint="eastAsia"/>
                <w:color w:val="auto"/>
                <w:szCs w:val="21"/>
                <w:highlight w:val="none"/>
              </w:rPr>
              <w:t>2套</w:t>
            </w:r>
          </w:p>
        </w:tc>
      </w:tr>
      <w:tr w14:paraId="3413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6F8E8A1B">
            <w:pPr>
              <w:rPr>
                <w:rFonts w:ascii="宋体" w:cs="宋体"/>
                <w:color w:val="auto"/>
                <w:sz w:val="24"/>
                <w:highlight w:val="none"/>
              </w:rPr>
            </w:pPr>
          </w:p>
        </w:tc>
        <w:tc>
          <w:tcPr>
            <w:tcW w:w="2998" w:type="dxa"/>
          </w:tcPr>
          <w:p w14:paraId="465FE502">
            <w:pPr>
              <w:jc w:val="center"/>
              <w:rPr>
                <w:color w:val="auto"/>
                <w:szCs w:val="21"/>
                <w:highlight w:val="none"/>
              </w:rPr>
            </w:pPr>
            <w:r>
              <w:rPr>
                <w:rFonts w:hint="eastAsia"/>
                <w:color w:val="auto"/>
                <w:szCs w:val="21"/>
                <w:highlight w:val="none"/>
              </w:rPr>
              <w:t>5KW发电机</w:t>
            </w:r>
          </w:p>
        </w:tc>
        <w:tc>
          <w:tcPr>
            <w:tcW w:w="2909" w:type="dxa"/>
          </w:tcPr>
          <w:p w14:paraId="1B73FFAD">
            <w:pPr>
              <w:jc w:val="center"/>
              <w:rPr>
                <w:color w:val="auto"/>
                <w:szCs w:val="21"/>
                <w:highlight w:val="none"/>
              </w:rPr>
            </w:pPr>
          </w:p>
        </w:tc>
        <w:tc>
          <w:tcPr>
            <w:tcW w:w="1771" w:type="dxa"/>
          </w:tcPr>
          <w:p w14:paraId="1EDE56A0">
            <w:pPr>
              <w:jc w:val="center"/>
              <w:rPr>
                <w:color w:val="auto"/>
                <w:szCs w:val="21"/>
                <w:highlight w:val="none"/>
              </w:rPr>
            </w:pPr>
            <w:r>
              <w:rPr>
                <w:rFonts w:hint="eastAsia"/>
                <w:color w:val="auto"/>
                <w:szCs w:val="21"/>
                <w:highlight w:val="none"/>
              </w:rPr>
              <w:t>2台</w:t>
            </w:r>
          </w:p>
        </w:tc>
      </w:tr>
      <w:tr w14:paraId="1E96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11C0450D">
            <w:pPr>
              <w:rPr>
                <w:rFonts w:ascii="宋体" w:cs="宋体"/>
                <w:color w:val="auto"/>
                <w:sz w:val="24"/>
                <w:highlight w:val="none"/>
              </w:rPr>
            </w:pPr>
          </w:p>
        </w:tc>
        <w:tc>
          <w:tcPr>
            <w:tcW w:w="2998" w:type="dxa"/>
          </w:tcPr>
          <w:p w14:paraId="2B097D06">
            <w:pPr>
              <w:jc w:val="center"/>
              <w:rPr>
                <w:color w:val="auto"/>
                <w:szCs w:val="21"/>
                <w:highlight w:val="none"/>
              </w:rPr>
            </w:pPr>
            <w:r>
              <w:rPr>
                <w:rFonts w:hint="eastAsia"/>
                <w:color w:val="auto"/>
                <w:szCs w:val="21"/>
                <w:highlight w:val="none"/>
              </w:rPr>
              <w:t>电缆或2.5平方以上铜芯电线</w:t>
            </w:r>
          </w:p>
        </w:tc>
        <w:tc>
          <w:tcPr>
            <w:tcW w:w="2909" w:type="dxa"/>
          </w:tcPr>
          <w:p w14:paraId="1B2CFA86">
            <w:pPr>
              <w:jc w:val="center"/>
              <w:rPr>
                <w:color w:val="auto"/>
                <w:szCs w:val="21"/>
                <w:highlight w:val="none"/>
              </w:rPr>
            </w:pPr>
          </w:p>
        </w:tc>
        <w:tc>
          <w:tcPr>
            <w:tcW w:w="1771" w:type="dxa"/>
          </w:tcPr>
          <w:p w14:paraId="6315539C">
            <w:pPr>
              <w:jc w:val="center"/>
              <w:rPr>
                <w:color w:val="auto"/>
                <w:szCs w:val="21"/>
                <w:highlight w:val="none"/>
              </w:rPr>
            </w:pPr>
            <w:r>
              <w:rPr>
                <w:rFonts w:hint="eastAsia"/>
                <w:color w:val="auto"/>
                <w:szCs w:val="21"/>
                <w:highlight w:val="none"/>
              </w:rPr>
              <w:t>60米</w:t>
            </w:r>
          </w:p>
        </w:tc>
      </w:tr>
      <w:tr w14:paraId="49C3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53E2DB87">
            <w:pPr>
              <w:rPr>
                <w:rFonts w:ascii="宋体" w:cs="宋体"/>
                <w:color w:val="auto"/>
                <w:sz w:val="24"/>
                <w:highlight w:val="none"/>
              </w:rPr>
            </w:pPr>
          </w:p>
        </w:tc>
        <w:tc>
          <w:tcPr>
            <w:tcW w:w="2998" w:type="dxa"/>
          </w:tcPr>
          <w:p w14:paraId="3573B852">
            <w:pPr>
              <w:jc w:val="center"/>
              <w:rPr>
                <w:color w:val="auto"/>
                <w:szCs w:val="21"/>
                <w:highlight w:val="none"/>
              </w:rPr>
            </w:pPr>
            <w:r>
              <w:rPr>
                <w:rFonts w:hint="eastAsia"/>
                <w:color w:val="auto"/>
                <w:szCs w:val="21"/>
                <w:highlight w:val="none"/>
              </w:rPr>
              <w:t>防护口罩或防尘面具</w:t>
            </w:r>
          </w:p>
        </w:tc>
        <w:tc>
          <w:tcPr>
            <w:tcW w:w="2909" w:type="dxa"/>
          </w:tcPr>
          <w:p w14:paraId="265FB0C5">
            <w:pPr>
              <w:jc w:val="center"/>
              <w:rPr>
                <w:color w:val="auto"/>
                <w:szCs w:val="21"/>
                <w:highlight w:val="none"/>
              </w:rPr>
            </w:pPr>
          </w:p>
        </w:tc>
        <w:tc>
          <w:tcPr>
            <w:tcW w:w="1771" w:type="dxa"/>
          </w:tcPr>
          <w:p w14:paraId="3FB22726">
            <w:pPr>
              <w:jc w:val="center"/>
              <w:rPr>
                <w:color w:val="auto"/>
                <w:szCs w:val="21"/>
                <w:highlight w:val="none"/>
              </w:rPr>
            </w:pPr>
            <w:r>
              <w:rPr>
                <w:rFonts w:hint="eastAsia"/>
                <w:color w:val="auto"/>
                <w:szCs w:val="21"/>
                <w:highlight w:val="none"/>
              </w:rPr>
              <w:t>100只</w:t>
            </w:r>
          </w:p>
        </w:tc>
      </w:tr>
      <w:tr w14:paraId="57BE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4B29175A">
            <w:pPr>
              <w:rPr>
                <w:rFonts w:ascii="宋体" w:cs="宋体"/>
                <w:color w:val="auto"/>
                <w:sz w:val="24"/>
                <w:highlight w:val="none"/>
              </w:rPr>
            </w:pPr>
          </w:p>
        </w:tc>
        <w:tc>
          <w:tcPr>
            <w:tcW w:w="2998" w:type="dxa"/>
          </w:tcPr>
          <w:p w14:paraId="084CB792">
            <w:pPr>
              <w:jc w:val="center"/>
              <w:rPr>
                <w:color w:val="auto"/>
                <w:szCs w:val="21"/>
                <w:highlight w:val="none"/>
              </w:rPr>
            </w:pPr>
            <w:r>
              <w:rPr>
                <w:rFonts w:hint="eastAsia"/>
                <w:color w:val="auto"/>
                <w:szCs w:val="21"/>
                <w:highlight w:val="none"/>
              </w:rPr>
              <w:t>分体式水衣</w:t>
            </w:r>
          </w:p>
        </w:tc>
        <w:tc>
          <w:tcPr>
            <w:tcW w:w="2909" w:type="dxa"/>
          </w:tcPr>
          <w:p w14:paraId="3F6056BE">
            <w:pPr>
              <w:jc w:val="center"/>
              <w:rPr>
                <w:color w:val="auto"/>
                <w:szCs w:val="21"/>
                <w:highlight w:val="none"/>
              </w:rPr>
            </w:pPr>
          </w:p>
        </w:tc>
        <w:tc>
          <w:tcPr>
            <w:tcW w:w="1771" w:type="dxa"/>
          </w:tcPr>
          <w:p w14:paraId="5D0829D6">
            <w:pPr>
              <w:jc w:val="center"/>
              <w:rPr>
                <w:color w:val="auto"/>
                <w:szCs w:val="21"/>
                <w:highlight w:val="none"/>
              </w:rPr>
            </w:pPr>
            <w:r>
              <w:rPr>
                <w:rFonts w:hint="eastAsia"/>
                <w:color w:val="auto"/>
                <w:szCs w:val="21"/>
                <w:highlight w:val="none"/>
              </w:rPr>
              <w:t>50件</w:t>
            </w:r>
          </w:p>
        </w:tc>
      </w:tr>
      <w:tr w14:paraId="580F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74F562CE">
            <w:pPr>
              <w:rPr>
                <w:rFonts w:ascii="宋体" w:cs="宋体"/>
                <w:color w:val="auto"/>
                <w:sz w:val="24"/>
                <w:highlight w:val="none"/>
              </w:rPr>
            </w:pPr>
          </w:p>
        </w:tc>
        <w:tc>
          <w:tcPr>
            <w:tcW w:w="2998" w:type="dxa"/>
          </w:tcPr>
          <w:p w14:paraId="44776180">
            <w:pPr>
              <w:jc w:val="center"/>
              <w:rPr>
                <w:color w:val="auto"/>
                <w:szCs w:val="21"/>
                <w:highlight w:val="none"/>
              </w:rPr>
            </w:pPr>
            <w:r>
              <w:rPr>
                <w:rFonts w:hint="eastAsia"/>
                <w:color w:val="auto"/>
                <w:szCs w:val="21"/>
                <w:highlight w:val="none"/>
              </w:rPr>
              <w:t>水靴</w:t>
            </w:r>
          </w:p>
        </w:tc>
        <w:tc>
          <w:tcPr>
            <w:tcW w:w="2909" w:type="dxa"/>
          </w:tcPr>
          <w:p w14:paraId="281F8F07">
            <w:pPr>
              <w:jc w:val="center"/>
              <w:rPr>
                <w:color w:val="auto"/>
                <w:szCs w:val="21"/>
                <w:highlight w:val="none"/>
              </w:rPr>
            </w:pPr>
          </w:p>
        </w:tc>
        <w:tc>
          <w:tcPr>
            <w:tcW w:w="1771" w:type="dxa"/>
          </w:tcPr>
          <w:p w14:paraId="3817D656">
            <w:pPr>
              <w:jc w:val="center"/>
              <w:rPr>
                <w:color w:val="auto"/>
                <w:szCs w:val="21"/>
                <w:highlight w:val="none"/>
              </w:rPr>
            </w:pPr>
            <w:r>
              <w:rPr>
                <w:rFonts w:hint="eastAsia"/>
                <w:color w:val="auto"/>
                <w:szCs w:val="21"/>
                <w:highlight w:val="none"/>
              </w:rPr>
              <w:t>50对</w:t>
            </w:r>
          </w:p>
        </w:tc>
      </w:tr>
      <w:tr w14:paraId="1A59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56207793">
            <w:pPr>
              <w:rPr>
                <w:rFonts w:ascii="宋体" w:cs="宋体"/>
                <w:color w:val="auto"/>
                <w:sz w:val="24"/>
                <w:highlight w:val="none"/>
              </w:rPr>
            </w:pPr>
          </w:p>
        </w:tc>
        <w:tc>
          <w:tcPr>
            <w:tcW w:w="2998" w:type="dxa"/>
          </w:tcPr>
          <w:p w14:paraId="7EA2F325">
            <w:pPr>
              <w:jc w:val="center"/>
              <w:rPr>
                <w:color w:val="auto"/>
                <w:szCs w:val="21"/>
                <w:highlight w:val="none"/>
              </w:rPr>
            </w:pPr>
            <w:r>
              <w:rPr>
                <w:rFonts w:hint="eastAsia"/>
                <w:color w:val="auto"/>
                <w:szCs w:val="21"/>
                <w:highlight w:val="none"/>
              </w:rPr>
              <w:t>劳保鞋或解放鞋</w:t>
            </w:r>
          </w:p>
        </w:tc>
        <w:tc>
          <w:tcPr>
            <w:tcW w:w="2909" w:type="dxa"/>
          </w:tcPr>
          <w:p w14:paraId="7960B2EE">
            <w:pPr>
              <w:jc w:val="center"/>
              <w:rPr>
                <w:color w:val="auto"/>
                <w:szCs w:val="21"/>
                <w:highlight w:val="none"/>
              </w:rPr>
            </w:pPr>
          </w:p>
        </w:tc>
        <w:tc>
          <w:tcPr>
            <w:tcW w:w="1771" w:type="dxa"/>
          </w:tcPr>
          <w:p w14:paraId="6C872098">
            <w:pPr>
              <w:jc w:val="center"/>
              <w:rPr>
                <w:color w:val="auto"/>
                <w:szCs w:val="21"/>
                <w:highlight w:val="none"/>
              </w:rPr>
            </w:pPr>
            <w:r>
              <w:rPr>
                <w:rFonts w:hint="eastAsia"/>
                <w:color w:val="auto"/>
                <w:szCs w:val="21"/>
                <w:highlight w:val="none"/>
              </w:rPr>
              <w:t>50对</w:t>
            </w:r>
          </w:p>
        </w:tc>
      </w:tr>
      <w:tr w14:paraId="19A0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0DBF9560">
            <w:pPr>
              <w:rPr>
                <w:rFonts w:ascii="宋体" w:cs="宋体"/>
                <w:color w:val="auto"/>
                <w:sz w:val="24"/>
                <w:highlight w:val="none"/>
              </w:rPr>
            </w:pPr>
          </w:p>
        </w:tc>
        <w:tc>
          <w:tcPr>
            <w:tcW w:w="2998" w:type="dxa"/>
          </w:tcPr>
          <w:p w14:paraId="5BB2FA65">
            <w:pPr>
              <w:jc w:val="center"/>
              <w:rPr>
                <w:color w:val="auto"/>
                <w:szCs w:val="21"/>
                <w:highlight w:val="none"/>
              </w:rPr>
            </w:pPr>
            <w:r>
              <w:rPr>
                <w:rFonts w:hint="eastAsia"/>
                <w:color w:val="auto"/>
                <w:szCs w:val="21"/>
                <w:highlight w:val="none"/>
              </w:rPr>
              <w:t>应急药箱</w:t>
            </w:r>
          </w:p>
        </w:tc>
        <w:tc>
          <w:tcPr>
            <w:tcW w:w="2909" w:type="dxa"/>
          </w:tcPr>
          <w:p w14:paraId="585258D3">
            <w:pPr>
              <w:jc w:val="center"/>
              <w:rPr>
                <w:color w:val="auto"/>
                <w:szCs w:val="21"/>
                <w:highlight w:val="none"/>
              </w:rPr>
            </w:pPr>
            <w:r>
              <w:rPr>
                <w:rFonts w:hint="eastAsia"/>
                <w:color w:val="auto"/>
                <w:szCs w:val="21"/>
                <w:highlight w:val="none"/>
              </w:rPr>
              <w:t>内装止血带、止血贴、消毒水及外伤用药等</w:t>
            </w:r>
          </w:p>
        </w:tc>
        <w:tc>
          <w:tcPr>
            <w:tcW w:w="1771" w:type="dxa"/>
          </w:tcPr>
          <w:p w14:paraId="145F9D35">
            <w:pPr>
              <w:jc w:val="center"/>
              <w:rPr>
                <w:color w:val="auto"/>
                <w:szCs w:val="21"/>
                <w:highlight w:val="none"/>
              </w:rPr>
            </w:pPr>
            <w:r>
              <w:rPr>
                <w:rFonts w:hint="eastAsia"/>
                <w:color w:val="auto"/>
                <w:szCs w:val="21"/>
                <w:highlight w:val="none"/>
              </w:rPr>
              <w:t>4只</w:t>
            </w:r>
          </w:p>
        </w:tc>
      </w:tr>
      <w:tr w14:paraId="515F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2387964D">
            <w:pPr>
              <w:rPr>
                <w:rFonts w:ascii="宋体" w:cs="宋体"/>
                <w:color w:val="auto"/>
                <w:sz w:val="24"/>
                <w:highlight w:val="none"/>
              </w:rPr>
            </w:pPr>
          </w:p>
        </w:tc>
        <w:tc>
          <w:tcPr>
            <w:tcW w:w="2998" w:type="dxa"/>
          </w:tcPr>
          <w:p w14:paraId="3B1BA516">
            <w:pPr>
              <w:jc w:val="center"/>
              <w:rPr>
                <w:color w:val="auto"/>
                <w:szCs w:val="21"/>
                <w:highlight w:val="none"/>
              </w:rPr>
            </w:pPr>
            <w:r>
              <w:rPr>
                <w:rFonts w:hint="eastAsia"/>
                <w:color w:val="auto"/>
                <w:szCs w:val="21"/>
                <w:highlight w:val="none"/>
              </w:rPr>
              <w:t>勾刀</w:t>
            </w:r>
          </w:p>
        </w:tc>
        <w:tc>
          <w:tcPr>
            <w:tcW w:w="2909" w:type="dxa"/>
          </w:tcPr>
          <w:p w14:paraId="75F05D7F">
            <w:pPr>
              <w:jc w:val="center"/>
              <w:rPr>
                <w:color w:val="auto"/>
                <w:szCs w:val="21"/>
                <w:highlight w:val="none"/>
              </w:rPr>
            </w:pPr>
          </w:p>
        </w:tc>
        <w:tc>
          <w:tcPr>
            <w:tcW w:w="1771" w:type="dxa"/>
          </w:tcPr>
          <w:p w14:paraId="40F9653E">
            <w:pPr>
              <w:jc w:val="center"/>
              <w:rPr>
                <w:color w:val="auto"/>
                <w:szCs w:val="21"/>
                <w:highlight w:val="none"/>
              </w:rPr>
            </w:pPr>
            <w:r>
              <w:rPr>
                <w:rFonts w:hint="eastAsia"/>
                <w:color w:val="auto"/>
                <w:szCs w:val="21"/>
                <w:highlight w:val="none"/>
              </w:rPr>
              <w:t>10把</w:t>
            </w:r>
          </w:p>
        </w:tc>
      </w:tr>
      <w:tr w14:paraId="64EE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2E57D8AB">
            <w:pPr>
              <w:rPr>
                <w:rFonts w:ascii="宋体" w:cs="宋体"/>
                <w:color w:val="auto"/>
                <w:sz w:val="24"/>
                <w:highlight w:val="none"/>
              </w:rPr>
            </w:pPr>
          </w:p>
        </w:tc>
        <w:tc>
          <w:tcPr>
            <w:tcW w:w="2998" w:type="dxa"/>
          </w:tcPr>
          <w:p w14:paraId="31A79C6E">
            <w:pPr>
              <w:jc w:val="center"/>
              <w:rPr>
                <w:color w:val="auto"/>
                <w:szCs w:val="21"/>
                <w:highlight w:val="none"/>
              </w:rPr>
            </w:pPr>
            <w:r>
              <w:rPr>
                <w:rFonts w:hint="eastAsia"/>
                <w:color w:val="auto"/>
                <w:szCs w:val="21"/>
                <w:highlight w:val="none"/>
              </w:rPr>
              <w:t>铁铲</w:t>
            </w:r>
          </w:p>
        </w:tc>
        <w:tc>
          <w:tcPr>
            <w:tcW w:w="2909" w:type="dxa"/>
          </w:tcPr>
          <w:p w14:paraId="7FE3DC9D">
            <w:pPr>
              <w:jc w:val="center"/>
              <w:rPr>
                <w:color w:val="auto"/>
                <w:szCs w:val="21"/>
                <w:highlight w:val="none"/>
              </w:rPr>
            </w:pPr>
          </w:p>
        </w:tc>
        <w:tc>
          <w:tcPr>
            <w:tcW w:w="1771" w:type="dxa"/>
          </w:tcPr>
          <w:p w14:paraId="4C433D55">
            <w:pPr>
              <w:jc w:val="center"/>
              <w:rPr>
                <w:color w:val="auto"/>
                <w:szCs w:val="21"/>
                <w:highlight w:val="none"/>
              </w:rPr>
            </w:pPr>
            <w:r>
              <w:rPr>
                <w:rFonts w:hint="eastAsia"/>
                <w:color w:val="auto"/>
                <w:szCs w:val="21"/>
                <w:highlight w:val="none"/>
              </w:rPr>
              <w:t>40把</w:t>
            </w:r>
          </w:p>
        </w:tc>
      </w:tr>
      <w:tr w14:paraId="4EAC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297B0138">
            <w:pPr>
              <w:rPr>
                <w:rFonts w:ascii="宋体" w:cs="宋体"/>
                <w:color w:val="auto"/>
                <w:sz w:val="24"/>
                <w:highlight w:val="none"/>
              </w:rPr>
            </w:pPr>
          </w:p>
        </w:tc>
        <w:tc>
          <w:tcPr>
            <w:tcW w:w="2998" w:type="dxa"/>
          </w:tcPr>
          <w:p w14:paraId="4622B3B5">
            <w:pPr>
              <w:jc w:val="center"/>
              <w:rPr>
                <w:color w:val="auto"/>
                <w:szCs w:val="21"/>
                <w:highlight w:val="none"/>
              </w:rPr>
            </w:pPr>
            <w:r>
              <w:rPr>
                <w:rFonts w:hint="eastAsia"/>
                <w:color w:val="auto"/>
                <w:szCs w:val="21"/>
                <w:highlight w:val="none"/>
              </w:rPr>
              <w:t>钢钎</w:t>
            </w:r>
          </w:p>
        </w:tc>
        <w:tc>
          <w:tcPr>
            <w:tcW w:w="2909" w:type="dxa"/>
          </w:tcPr>
          <w:p w14:paraId="384F37D0">
            <w:pPr>
              <w:jc w:val="center"/>
              <w:rPr>
                <w:color w:val="auto"/>
                <w:szCs w:val="21"/>
                <w:highlight w:val="none"/>
              </w:rPr>
            </w:pPr>
            <w:r>
              <w:rPr>
                <w:rFonts w:hint="eastAsia"/>
                <w:color w:val="auto"/>
                <w:szCs w:val="21"/>
                <w:highlight w:val="none"/>
              </w:rPr>
              <w:t>长1.5米以上</w:t>
            </w:r>
          </w:p>
        </w:tc>
        <w:tc>
          <w:tcPr>
            <w:tcW w:w="1771" w:type="dxa"/>
          </w:tcPr>
          <w:p w14:paraId="1CF2F433">
            <w:pPr>
              <w:jc w:val="center"/>
              <w:rPr>
                <w:color w:val="auto"/>
                <w:szCs w:val="21"/>
                <w:highlight w:val="none"/>
              </w:rPr>
            </w:pPr>
            <w:r>
              <w:rPr>
                <w:rFonts w:hint="eastAsia"/>
                <w:color w:val="auto"/>
                <w:szCs w:val="21"/>
                <w:highlight w:val="none"/>
              </w:rPr>
              <w:t>5根</w:t>
            </w:r>
          </w:p>
        </w:tc>
      </w:tr>
      <w:tr w14:paraId="41A6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5D8FFBC0">
            <w:pPr>
              <w:rPr>
                <w:rFonts w:ascii="宋体" w:cs="宋体"/>
                <w:color w:val="auto"/>
                <w:sz w:val="24"/>
                <w:highlight w:val="none"/>
              </w:rPr>
            </w:pPr>
          </w:p>
        </w:tc>
        <w:tc>
          <w:tcPr>
            <w:tcW w:w="2998" w:type="dxa"/>
          </w:tcPr>
          <w:p w14:paraId="6246C186">
            <w:pPr>
              <w:jc w:val="center"/>
              <w:rPr>
                <w:color w:val="auto"/>
                <w:szCs w:val="21"/>
                <w:highlight w:val="none"/>
              </w:rPr>
            </w:pPr>
            <w:r>
              <w:rPr>
                <w:rFonts w:hint="eastAsia"/>
                <w:color w:val="auto"/>
                <w:szCs w:val="21"/>
                <w:highlight w:val="none"/>
              </w:rPr>
              <w:t>修车工具箱</w:t>
            </w:r>
          </w:p>
        </w:tc>
        <w:tc>
          <w:tcPr>
            <w:tcW w:w="2909" w:type="dxa"/>
          </w:tcPr>
          <w:p w14:paraId="7D2160EB">
            <w:pPr>
              <w:jc w:val="center"/>
              <w:rPr>
                <w:color w:val="auto"/>
                <w:szCs w:val="21"/>
                <w:highlight w:val="none"/>
              </w:rPr>
            </w:pPr>
            <w:r>
              <w:rPr>
                <w:rFonts w:hint="eastAsia"/>
                <w:color w:val="auto"/>
                <w:szCs w:val="21"/>
                <w:highlight w:val="none"/>
              </w:rPr>
              <w:t>内装各式扳手、螺丝刀等常用工具</w:t>
            </w:r>
          </w:p>
        </w:tc>
        <w:tc>
          <w:tcPr>
            <w:tcW w:w="1771" w:type="dxa"/>
          </w:tcPr>
          <w:p w14:paraId="3CCCD406">
            <w:pPr>
              <w:jc w:val="center"/>
              <w:rPr>
                <w:color w:val="auto"/>
                <w:szCs w:val="21"/>
                <w:highlight w:val="none"/>
              </w:rPr>
            </w:pPr>
            <w:r>
              <w:rPr>
                <w:rFonts w:hint="eastAsia"/>
                <w:color w:val="auto"/>
                <w:szCs w:val="21"/>
                <w:highlight w:val="none"/>
              </w:rPr>
              <w:t>2套</w:t>
            </w:r>
          </w:p>
        </w:tc>
      </w:tr>
      <w:tr w14:paraId="3B37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055C16A5">
            <w:pPr>
              <w:rPr>
                <w:rFonts w:ascii="宋体" w:cs="宋体"/>
                <w:color w:val="auto"/>
                <w:sz w:val="24"/>
                <w:highlight w:val="none"/>
              </w:rPr>
            </w:pPr>
          </w:p>
        </w:tc>
        <w:tc>
          <w:tcPr>
            <w:tcW w:w="2998" w:type="dxa"/>
          </w:tcPr>
          <w:p w14:paraId="352BA3DC">
            <w:pPr>
              <w:jc w:val="center"/>
              <w:rPr>
                <w:color w:val="auto"/>
                <w:szCs w:val="21"/>
                <w:highlight w:val="none"/>
              </w:rPr>
            </w:pPr>
            <w:r>
              <w:rPr>
                <w:rFonts w:hint="eastAsia"/>
                <w:color w:val="auto"/>
                <w:szCs w:val="21"/>
                <w:highlight w:val="none"/>
              </w:rPr>
              <w:t>电锤</w:t>
            </w:r>
          </w:p>
        </w:tc>
        <w:tc>
          <w:tcPr>
            <w:tcW w:w="2909" w:type="dxa"/>
          </w:tcPr>
          <w:p w14:paraId="021DD326">
            <w:pPr>
              <w:jc w:val="center"/>
              <w:rPr>
                <w:color w:val="auto"/>
                <w:szCs w:val="21"/>
                <w:highlight w:val="none"/>
              </w:rPr>
            </w:pPr>
            <w:r>
              <w:rPr>
                <w:rFonts w:hint="eastAsia"/>
                <w:color w:val="auto"/>
                <w:szCs w:val="21"/>
                <w:highlight w:val="none"/>
              </w:rPr>
              <w:t>钻、凿两用，3kw以上</w:t>
            </w:r>
          </w:p>
        </w:tc>
        <w:tc>
          <w:tcPr>
            <w:tcW w:w="1771" w:type="dxa"/>
          </w:tcPr>
          <w:p w14:paraId="718B03A3">
            <w:pPr>
              <w:jc w:val="center"/>
              <w:rPr>
                <w:color w:val="auto"/>
                <w:szCs w:val="21"/>
                <w:highlight w:val="none"/>
              </w:rPr>
            </w:pPr>
            <w:r>
              <w:rPr>
                <w:rFonts w:hint="eastAsia"/>
                <w:color w:val="auto"/>
                <w:szCs w:val="21"/>
                <w:highlight w:val="none"/>
              </w:rPr>
              <w:t>2把</w:t>
            </w:r>
          </w:p>
        </w:tc>
      </w:tr>
      <w:tr w14:paraId="4BB0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7D34F579">
            <w:pPr>
              <w:rPr>
                <w:rFonts w:ascii="宋体" w:cs="宋体"/>
                <w:color w:val="auto"/>
                <w:sz w:val="24"/>
                <w:highlight w:val="none"/>
              </w:rPr>
            </w:pPr>
          </w:p>
        </w:tc>
        <w:tc>
          <w:tcPr>
            <w:tcW w:w="2998" w:type="dxa"/>
          </w:tcPr>
          <w:p w14:paraId="0BDE373F">
            <w:pPr>
              <w:jc w:val="center"/>
              <w:rPr>
                <w:color w:val="auto"/>
                <w:szCs w:val="21"/>
                <w:highlight w:val="none"/>
              </w:rPr>
            </w:pPr>
            <w:r>
              <w:rPr>
                <w:rFonts w:hint="eastAsia"/>
                <w:color w:val="auto"/>
                <w:szCs w:val="21"/>
                <w:highlight w:val="none"/>
              </w:rPr>
              <w:t>彩条塑料布</w:t>
            </w:r>
          </w:p>
        </w:tc>
        <w:tc>
          <w:tcPr>
            <w:tcW w:w="2909" w:type="dxa"/>
          </w:tcPr>
          <w:p w14:paraId="2D8EE60A">
            <w:pPr>
              <w:jc w:val="center"/>
              <w:rPr>
                <w:color w:val="auto"/>
                <w:szCs w:val="21"/>
                <w:highlight w:val="none"/>
              </w:rPr>
            </w:pPr>
          </w:p>
        </w:tc>
        <w:tc>
          <w:tcPr>
            <w:tcW w:w="1771" w:type="dxa"/>
          </w:tcPr>
          <w:p w14:paraId="70F15795">
            <w:pPr>
              <w:jc w:val="center"/>
              <w:rPr>
                <w:color w:val="auto"/>
                <w:szCs w:val="21"/>
                <w:highlight w:val="none"/>
              </w:rPr>
            </w:pPr>
            <w:r>
              <w:rPr>
                <w:rFonts w:hint="eastAsia"/>
                <w:color w:val="auto"/>
                <w:szCs w:val="21"/>
                <w:highlight w:val="none"/>
              </w:rPr>
              <w:t>100m2</w:t>
            </w:r>
          </w:p>
        </w:tc>
      </w:tr>
      <w:tr w14:paraId="642E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restart"/>
            <w:vAlign w:val="center"/>
          </w:tcPr>
          <w:p w14:paraId="32F96250">
            <w:pPr>
              <w:jc w:val="center"/>
              <w:rPr>
                <w:rFonts w:ascii="宋体" w:cs="宋体"/>
                <w:color w:val="auto"/>
                <w:sz w:val="24"/>
                <w:highlight w:val="none"/>
              </w:rPr>
            </w:pPr>
            <w:r>
              <w:rPr>
                <w:rFonts w:hint="eastAsia" w:ascii="宋体" w:hAnsi="宋体" w:cs="宋体"/>
                <w:color w:val="auto"/>
                <w:sz w:val="24"/>
                <w:highlight w:val="none"/>
              </w:rPr>
              <w:t>养护管理办公条件</w:t>
            </w:r>
          </w:p>
        </w:tc>
        <w:tc>
          <w:tcPr>
            <w:tcW w:w="2998" w:type="dxa"/>
          </w:tcPr>
          <w:p w14:paraId="26EA4716">
            <w:pPr>
              <w:rPr>
                <w:rFonts w:ascii="宋体" w:cs="宋体"/>
                <w:color w:val="auto"/>
                <w:sz w:val="24"/>
                <w:highlight w:val="none"/>
              </w:rPr>
            </w:pPr>
            <w:r>
              <w:rPr>
                <w:rFonts w:hint="eastAsia" w:ascii="宋体" w:hAnsi="宋体" w:cs="宋体"/>
                <w:color w:val="auto"/>
                <w:sz w:val="24"/>
                <w:highlight w:val="none"/>
              </w:rPr>
              <w:t>小汽车</w:t>
            </w:r>
          </w:p>
        </w:tc>
        <w:tc>
          <w:tcPr>
            <w:tcW w:w="2909" w:type="dxa"/>
          </w:tcPr>
          <w:p w14:paraId="03096F8B">
            <w:pPr>
              <w:rPr>
                <w:rFonts w:ascii="宋体" w:cs="宋体"/>
                <w:color w:val="auto"/>
                <w:sz w:val="24"/>
                <w:highlight w:val="none"/>
              </w:rPr>
            </w:pPr>
          </w:p>
        </w:tc>
        <w:tc>
          <w:tcPr>
            <w:tcW w:w="1771" w:type="dxa"/>
          </w:tcPr>
          <w:p w14:paraId="52A5A54C">
            <w:pPr>
              <w:jc w:val="center"/>
              <w:rPr>
                <w:rFonts w:ascii="宋体" w:cs="宋体"/>
                <w:color w:val="auto"/>
                <w:sz w:val="24"/>
                <w:highlight w:val="none"/>
              </w:rPr>
            </w:pPr>
            <w:r>
              <w:rPr>
                <w:rFonts w:hint="eastAsia" w:ascii="宋体" w:hAnsi="宋体" w:cs="宋体"/>
                <w:color w:val="auto"/>
                <w:sz w:val="24"/>
                <w:highlight w:val="none"/>
              </w:rPr>
              <w:t>2</w:t>
            </w:r>
          </w:p>
        </w:tc>
      </w:tr>
      <w:tr w14:paraId="0335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vAlign w:val="center"/>
          </w:tcPr>
          <w:p w14:paraId="456844D1">
            <w:pPr>
              <w:jc w:val="center"/>
              <w:rPr>
                <w:rFonts w:ascii="宋体" w:cs="宋体"/>
                <w:color w:val="auto"/>
                <w:sz w:val="24"/>
                <w:highlight w:val="none"/>
              </w:rPr>
            </w:pPr>
          </w:p>
        </w:tc>
        <w:tc>
          <w:tcPr>
            <w:tcW w:w="2998" w:type="dxa"/>
          </w:tcPr>
          <w:p w14:paraId="30E5C33F">
            <w:pPr>
              <w:rPr>
                <w:rFonts w:ascii="宋体" w:cs="宋体"/>
                <w:color w:val="auto"/>
                <w:sz w:val="24"/>
                <w:highlight w:val="none"/>
              </w:rPr>
            </w:pPr>
            <w:r>
              <w:rPr>
                <w:rFonts w:hint="eastAsia" w:ascii="宋体" w:hAnsi="宋体" w:cs="宋体"/>
                <w:color w:val="auto"/>
                <w:sz w:val="24"/>
                <w:highlight w:val="none"/>
              </w:rPr>
              <w:t>台式电脑</w:t>
            </w:r>
          </w:p>
        </w:tc>
        <w:tc>
          <w:tcPr>
            <w:tcW w:w="2909" w:type="dxa"/>
          </w:tcPr>
          <w:p w14:paraId="3D3B8124">
            <w:pPr>
              <w:rPr>
                <w:rFonts w:ascii="宋体" w:cs="宋体"/>
                <w:color w:val="auto"/>
                <w:sz w:val="24"/>
                <w:highlight w:val="none"/>
              </w:rPr>
            </w:pPr>
          </w:p>
        </w:tc>
        <w:tc>
          <w:tcPr>
            <w:tcW w:w="1771" w:type="dxa"/>
          </w:tcPr>
          <w:p w14:paraId="7E90E7A5">
            <w:pPr>
              <w:jc w:val="center"/>
              <w:rPr>
                <w:rFonts w:ascii="宋体" w:cs="宋体"/>
                <w:color w:val="auto"/>
                <w:sz w:val="24"/>
                <w:highlight w:val="none"/>
              </w:rPr>
            </w:pPr>
            <w:r>
              <w:rPr>
                <w:rFonts w:ascii="宋体" w:hAnsi="宋体" w:cs="宋体"/>
                <w:color w:val="auto"/>
                <w:sz w:val="24"/>
                <w:highlight w:val="none"/>
              </w:rPr>
              <w:t>1</w:t>
            </w:r>
          </w:p>
        </w:tc>
      </w:tr>
      <w:tr w14:paraId="2907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46" w:type="dxa"/>
            <w:vMerge w:val="continue"/>
          </w:tcPr>
          <w:p w14:paraId="0DE0777C">
            <w:pPr>
              <w:rPr>
                <w:rFonts w:ascii="宋体" w:cs="宋体"/>
                <w:color w:val="auto"/>
                <w:sz w:val="24"/>
                <w:highlight w:val="none"/>
              </w:rPr>
            </w:pPr>
          </w:p>
        </w:tc>
        <w:tc>
          <w:tcPr>
            <w:tcW w:w="2998" w:type="dxa"/>
          </w:tcPr>
          <w:p w14:paraId="476B3D20">
            <w:pPr>
              <w:rPr>
                <w:rFonts w:ascii="宋体" w:hAnsi="宋体" w:cs="宋体"/>
                <w:color w:val="auto"/>
                <w:sz w:val="24"/>
                <w:highlight w:val="none"/>
              </w:rPr>
            </w:pPr>
            <w:r>
              <w:rPr>
                <w:rFonts w:hint="eastAsia" w:ascii="宋体" w:hAnsi="宋体" w:cs="宋体"/>
                <w:color w:val="auto"/>
                <w:sz w:val="24"/>
                <w:highlight w:val="none"/>
              </w:rPr>
              <w:t>专用相机或拍摄手机</w:t>
            </w:r>
          </w:p>
        </w:tc>
        <w:tc>
          <w:tcPr>
            <w:tcW w:w="2909" w:type="dxa"/>
          </w:tcPr>
          <w:p w14:paraId="41A314A5">
            <w:pPr>
              <w:rPr>
                <w:rFonts w:ascii="宋体" w:cs="宋体"/>
                <w:color w:val="auto"/>
                <w:sz w:val="24"/>
                <w:highlight w:val="none"/>
              </w:rPr>
            </w:pPr>
          </w:p>
        </w:tc>
        <w:tc>
          <w:tcPr>
            <w:tcW w:w="1771" w:type="dxa"/>
          </w:tcPr>
          <w:p w14:paraId="10B386B8">
            <w:pPr>
              <w:jc w:val="center"/>
              <w:rPr>
                <w:rFonts w:ascii="宋体" w:hAnsi="宋体" w:cs="宋体"/>
                <w:color w:val="auto"/>
                <w:sz w:val="24"/>
                <w:highlight w:val="none"/>
              </w:rPr>
            </w:pPr>
            <w:r>
              <w:rPr>
                <w:rFonts w:hint="eastAsia" w:ascii="宋体" w:hAnsi="宋体" w:cs="宋体"/>
                <w:color w:val="auto"/>
                <w:sz w:val="24"/>
                <w:highlight w:val="none"/>
              </w:rPr>
              <w:t>2</w:t>
            </w:r>
          </w:p>
        </w:tc>
      </w:tr>
      <w:tr w14:paraId="6397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46" w:type="dxa"/>
            <w:vMerge w:val="continue"/>
          </w:tcPr>
          <w:p w14:paraId="2994AED9">
            <w:pPr>
              <w:rPr>
                <w:rFonts w:ascii="宋体" w:cs="宋体"/>
                <w:color w:val="auto"/>
                <w:sz w:val="24"/>
                <w:highlight w:val="none"/>
              </w:rPr>
            </w:pPr>
          </w:p>
        </w:tc>
        <w:tc>
          <w:tcPr>
            <w:tcW w:w="2998" w:type="dxa"/>
          </w:tcPr>
          <w:p w14:paraId="6FD8BDC9">
            <w:pPr>
              <w:rPr>
                <w:rFonts w:ascii="宋体" w:cs="宋体"/>
                <w:color w:val="auto"/>
                <w:sz w:val="24"/>
                <w:highlight w:val="none"/>
              </w:rPr>
            </w:pPr>
            <w:r>
              <w:rPr>
                <w:rFonts w:hint="eastAsia" w:ascii="宋体" w:hAnsi="宋体" w:cs="宋体"/>
                <w:color w:val="auto"/>
                <w:sz w:val="24"/>
                <w:highlight w:val="none"/>
              </w:rPr>
              <w:t>彩色打印机</w:t>
            </w:r>
          </w:p>
        </w:tc>
        <w:tc>
          <w:tcPr>
            <w:tcW w:w="2909" w:type="dxa"/>
          </w:tcPr>
          <w:p w14:paraId="16717831">
            <w:pPr>
              <w:rPr>
                <w:rFonts w:ascii="宋体" w:cs="宋体"/>
                <w:color w:val="auto"/>
                <w:sz w:val="24"/>
                <w:highlight w:val="none"/>
              </w:rPr>
            </w:pPr>
          </w:p>
        </w:tc>
        <w:tc>
          <w:tcPr>
            <w:tcW w:w="1771" w:type="dxa"/>
          </w:tcPr>
          <w:p w14:paraId="0DF9BE4F">
            <w:pPr>
              <w:jc w:val="center"/>
              <w:rPr>
                <w:rFonts w:ascii="宋体" w:cs="宋体"/>
                <w:color w:val="auto"/>
                <w:sz w:val="24"/>
                <w:highlight w:val="none"/>
              </w:rPr>
            </w:pPr>
            <w:r>
              <w:rPr>
                <w:rFonts w:ascii="宋体" w:hAnsi="宋体" w:cs="宋体"/>
                <w:color w:val="auto"/>
                <w:sz w:val="24"/>
                <w:highlight w:val="none"/>
              </w:rPr>
              <w:t>1</w:t>
            </w:r>
          </w:p>
        </w:tc>
      </w:tr>
    </w:tbl>
    <w:p w14:paraId="2A5C4E7D">
      <w:pPr>
        <w:spacing w:line="360" w:lineRule="auto"/>
        <w:ind w:left="1" w:firstLine="480" w:firstLineChars="200"/>
        <w:jc w:val="left"/>
        <w:rPr>
          <w:rFonts w:ascii="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2中标人拟投入的机械设备应在签订合同后</w:t>
      </w:r>
      <w:r>
        <w:rPr>
          <w:rFonts w:ascii="宋体" w:hAnsi="宋体" w:cs="宋体"/>
          <w:color w:val="auto"/>
          <w:sz w:val="24"/>
          <w:highlight w:val="none"/>
        </w:rPr>
        <w:t>5</w:t>
      </w:r>
      <w:r>
        <w:rPr>
          <w:rFonts w:hint="eastAsia" w:ascii="宋体" w:hAnsi="宋体" w:cs="宋体"/>
          <w:color w:val="auto"/>
          <w:sz w:val="24"/>
          <w:highlight w:val="none"/>
        </w:rPr>
        <w:t>天内到达采购人指定地点，由采购人清点检查是否符合招标文件要求和投标文件承诺，如不符合的，中标人必须在</w:t>
      </w:r>
      <w:r>
        <w:rPr>
          <w:rFonts w:ascii="宋体" w:hAnsi="宋体" w:cs="宋体"/>
          <w:color w:val="auto"/>
          <w:sz w:val="24"/>
          <w:highlight w:val="none"/>
        </w:rPr>
        <w:t>3</w:t>
      </w:r>
      <w:r>
        <w:rPr>
          <w:rFonts w:hint="eastAsia" w:ascii="宋体" w:hAnsi="宋体" w:cs="宋体"/>
          <w:color w:val="auto"/>
          <w:sz w:val="24"/>
          <w:highlight w:val="none"/>
        </w:rPr>
        <w:t>天内无条件更换更新到位。投入的机械设备未经采购人同意不得调离，如需更换，须报经采购人同意，并不得低于原标准。</w:t>
      </w:r>
    </w:p>
    <w:p w14:paraId="22359974">
      <w:pPr>
        <w:spacing w:line="360" w:lineRule="auto"/>
        <w:ind w:firstLine="480" w:firstLineChars="200"/>
        <w:jc w:val="left"/>
        <w:rPr>
          <w:rFonts w:ascii="宋体"/>
          <w:color w:val="auto"/>
          <w:sz w:val="24"/>
          <w:highlight w:val="none"/>
        </w:rPr>
      </w:pPr>
      <w:r>
        <w:rPr>
          <w:rFonts w:ascii="宋体" w:hAnsi="宋体"/>
          <w:color w:val="auto"/>
          <w:sz w:val="24"/>
          <w:highlight w:val="none"/>
        </w:rPr>
        <w:t>4.2</w:t>
      </w:r>
      <w:r>
        <w:rPr>
          <w:rFonts w:ascii="宋体"/>
          <w:color w:val="auto"/>
          <w:sz w:val="24"/>
          <w:highlight w:val="none"/>
        </w:rPr>
        <w:t>.</w:t>
      </w:r>
      <w:r>
        <w:rPr>
          <w:rFonts w:hint="eastAsia" w:asci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采购人检查发现超过报废期、未依法年检审核、安全防护设施不全、机况较差不满足作业需求等机械设备，应严禁投入本项目，认定中标人未按要求投入该机械设备。</w:t>
      </w:r>
    </w:p>
    <w:p w14:paraId="0E19C96A">
      <w:pPr>
        <w:spacing w:line="360" w:lineRule="auto"/>
        <w:ind w:firstLine="480" w:firstLineChars="200"/>
        <w:jc w:val="left"/>
        <w:rPr>
          <w:color w:val="auto"/>
          <w:sz w:val="24"/>
          <w:highlight w:val="none"/>
        </w:rPr>
      </w:pPr>
      <w:r>
        <w:rPr>
          <w:rFonts w:ascii="宋体" w:hAnsi="宋体"/>
          <w:color w:val="auto"/>
          <w:sz w:val="24"/>
          <w:highlight w:val="none"/>
        </w:rPr>
        <w:t>4.2.</w:t>
      </w:r>
      <w:r>
        <w:rPr>
          <w:rFonts w:hint="eastAsia" w:ascii="宋体" w:hAnsi="宋体"/>
          <w:color w:val="auto"/>
          <w:sz w:val="24"/>
          <w:highlight w:val="none"/>
        </w:rPr>
        <w:t>4中标人应按招标文件要求和合同约定，加强对机械设备的保养维修，确保机况良好，满足养护作业需求，采购人在服务期间检查发现机况下降不能满足作业要求的，视为中标人当月不按要求开展机械设备标准化配置管理，并扣减标准化配置得分</w:t>
      </w:r>
      <w:r>
        <w:rPr>
          <w:rFonts w:hint="eastAsia"/>
          <w:color w:val="auto"/>
          <w:sz w:val="24"/>
          <w:highlight w:val="none"/>
        </w:rPr>
        <w:t>。</w:t>
      </w:r>
    </w:p>
    <w:p w14:paraId="152A6FB4">
      <w:pPr>
        <w:widowControl/>
        <w:adjustRightInd w:val="0"/>
        <w:snapToGrid w:val="0"/>
        <w:spacing w:line="360" w:lineRule="auto"/>
        <w:ind w:firstLine="484" w:firstLineChars="202"/>
        <w:jc w:val="left"/>
        <w:rPr>
          <w:rFonts w:ascii="宋体" w:cs="宋体"/>
          <w:color w:val="auto"/>
          <w:kern w:val="0"/>
          <w:sz w:val="24"/>
          <w:highlight w:val="none"/>
        </w:rPr>
      </w:pPr>
      <w:r>
        <w:rPr>
          <w:rFonts w:ascii="宋体" w:hAnsi="宋体"/>
          <w:color w:val="auto"/>
          <w:sz w:val="24"/>
          <w:highlight w:val="none"/>
        </w:rPr>
        <w:t>4.2.</w:t>
      </w:r>
      <w:r>
        <w:rPr>
          <w:rFonts w:hint="eastAsia" w:ascii="宋体" w:hAnsi="宋体"/>
          <w:color w:val="auto"/>
          <w:sz w:val="24"/>
          <w:highlight w:val="none"/>
        </w:rPr>
        <w:t>5</w:t>
      </w:r>
      <w:r>
        <w:rPr>
          <w:rFonts w:hint="eastAsia" w:ascii="宋体" w:hAnsi="宋体" w:cs="宋体"/>
          <w:color w:val="auto"/>
          <w:kern w:val="0"/>
          <w:sz w:val="24"/>
          <w:highlight w:val="none"/>
        </w:rPr>
        <w:t>中标人投入本项目的所有养护施工机械设备必须按规定悬挂作业警告标志或设施。</w:t>
      </w:r>
    </w:p>
    <w:p w14:paraId="29AC0AE5">
      <w:pPr>
        <w:spacing w:line="360" w:lineRule="auto"/>
        <w:jc w:val="left"/>
        <w:rPr>
          <w:rFonts w:ascii="宋体"/>
          <w:b/>
          <w:color w:val="auto"/>
          <w:sz w:val="24"/>
          <w:highlight w:val="none"/>
        </w:rPr>
      </w:pPr>
      <w:r>
        <w:rPr>
          <w:rFonts w:ascii="宋体" w:hAnsi="宋体"/>
          <w:b/>
          <w:color w:val="auto"/>
          <w:sz w:val="24"/>
          <w:highlight w:val="none"/>
        </w:rPr>
        <w:t xml:space="preserve">5. </w:t>
      </w:r>
      <w:r>
        <w:rPr>
          <w:rFonts w:hint="eastAsia" w:ascii="宋体" w:hAnsi="宋体"/>
          <w:b/>
          <w:color w:val="auto"/>
          <w:sz w:val="24"/>
          <w:highlight w:val="none"/>
        </w:rPr>
        <w:t>标准化管理</w:t>
      </w:r>
    </w:p>
    <w:p w14:paraId="603F81B2">
      <w:pPr>
        <w:widowControl/>
        <w:adjustRightInd w:val="0"/>
        <w:snapToGrid w:val="0"/>
        <w:spacing w:line="360" w:lineRule="auto"/>
        <w:jc w:val="left"/>
        <w:rPr>
          <w:rFonts w:ascii="宋体" w:cs="宋体"/>
          <w:b/>
          <w:bCs/>
          <w:color w:val="auto"/>
          <w:kern w:val="0"/>
          <w:sz w:val="24"/>
          <w:highlight w:val="none"/>
        </w:rPr>
      </w:pPr>
      <w:r>
        <w:rPr>
          <w:rFonts w:ascii="宋体" w:hAnsi="宋体" w:cs="宋体"/>
          <w:b/>
          <w:bCs/>
          <w:color w:val="auto"/>
          <w:kern w:val="0"/>
          <w:sz w:val="24"/>
          <w:highlight w:val="none"/>
        </w:rPr>
        <w:t xml:space="preserve">5.1 </w:t>
      </w:r>
      <w:r>
        <w:rPr>
          <w:rFonts w:hint="eastAsia" w:ascii="宋体" w:hAnsi="宋体" w:cs="宋体"/>
          <w:b/>
          <w:bCs/>
          <w:color w:val="auto"/>
          <w:kern w:val="0"/>
          <w:sz w:val="24"/>
          <w:highlight w:val="none"/>
        </w:rPr>
        <w:t>养护项目部建设</w:t>
      </w:r>
    </w:p>
    <w:p w14:paraId="3327F441">
      <w:pPr>
        <w:widowControl/>
        <w:adjustRightInd w:val="0"/>
        <w:snapToGrid w:val="0"/>
        <w:spacing w:line="360" w:lineRule="auto"/>
        <w:ind w:firstLine="484" w:firstLineChars="202"/>
        <w:jc w:val="left"/>
        <w:rPr>
          <w:rFonts w:ascii="宋体" w:cs="宋体"/>
          <w:color w:val="auto"/>
          <w:kern w:val="0"/>
          <w:sz w:val="24"/>
          <w:highlight w:val="none"/>
        </w:rPr>
      </w:pPr>
      <w:r>
        <w:rPr>
          <w:rFonts w:ascii="宋体" w:hAnsi="宋体" w:cs="宋体"/>
          <w:color w:val="auto"/>
          <w:kern w:val="0"/>
          <w:sz w:val="24"/>
          <w:highlight w:val="none"/>
        </w:rPr>
        <w:t xml:space="preserve">5.1.1  </w:t>
      </w:r>
      <w:r>
        <w:rPr>
          <w:rFonts w:hint="eastAsia" w:ascii="宋体" w:hAnsi="宋体" w:cs="宋体"/>
          <w:color w:val="auto"/>
          <w:kern w:val="0"/>
          <w:sz w:val="24"/>
          <w:highlight w:val="none"/>
        </w:rPr>
        <w:t>投标人应在签订合同后</w:t>
      </w:r>
      <w:r>
        <w:rPr>
          <w:rFonts w:ascii="宋体" w:hAnsi="宋体" w:cs="宋体"/>
          <w:color w:val="auto"/>
          <w:kern w:val="0"/>
          <w:sz w:val="24"/>
          <w:highlight w:val="none"/>
        </w:rPr>
        <w:t>5</w:t>
      </w:r>
      <w:r>
        <w:rPr>
          <w:rFonts w:hint="eastAsia" w:ascii="宋体" w:hAnsi="宋体" w:cs="宋体"/>
          <w:color w:val="auto"/>
          <w:kern w:val="0"/>
          <w:sz w:val="24"/>
          <w:highlight w:val="none"/>
        </w:rPr>
        <w:t>个工作日内，在服务辖区范围内设立养护项目部，设置固定办公场所，按招标文件、合同约定和采购人要求，配备必要的办公设施，把公路养护管理的相关图表上墙布置。</w:t>
      </w:r>
    </w:p>
    <w:p w14:paraId="1DDAC378">
      <w:pPr>
        <w:widowControl/>
        <w:adjustRightInd w:val="0"/>
        <w:snapToGrid w:val="0"/>
        <w:spacing w:line="360" w:lineRule="auto"/>
        <w:ind w:firstLine="484" w:firstLineChars="202"/>
        <w:jc w:val="left"/>
        <w:rPr>
          <w:rFonts w:ascii="宋体" w:cs="宋体"/>
          <w:color w:val="auto"/>
          <w:kern w:val="0"/>
          <w:sz w:val="24"/>
          <w:highlight w:val="none"/>
        </w:rPr>
      </w:pPr>
      <w:r>
        <w:rPr>
          <w:rFonts w:ascii="宋体" w:hAnsi="宋体" w:cs="宋体"/>
          <w:color w:val="auto"/>
          <w:kern w:val="0"/>
          <w:sz w:val="24"/>
          <w:highlight w:val="none"/>
        </w:rPr>
        <w:t xml:space="preserve">5.1.2  </w:t>
      </w:r>
      <w:r>
        <w:rPr>
          <w:rFonts w:hint="eastAsia" w:ascii="宋体" w:hAnsi="宋体" w:cs="宋体"/>
          <w:color w:val="auto"/>
          <w:kern w:val="0"/>
          <w:sz w:val="24"/>
          <w:highlight w:val="none"/>
        </w:rPr>
        <w:t>投标人的养护项目部应安排人员夜间值守，用火用电应符合相关技术规范要求，没有安全隐患。采购人每月应对养护项目部进行检查，发现问题的应通知中标人及时整改。</w:t>
      </w:r>
    </w:p>
    <w:p w14:paraId="65B035DF">
      <w:pPr>
        <w:widowControl/>
        <w:adjustRightInd w:val="0"/>
        <w:snapToGrid w:val="0"/>
        <w:spacing w:line="360" w:lineRule="auto"/>
        <w:ind w:firstLine="484" w:firstLineChars="202"/>
        <w:jc w:val="left"/>
        <w:rPr>
          <w:rFonts w:ascii="宋体" w:cs="宋体"/>
          <w:color w:val="auto"/>
          <w:kern w:val="0"/>
          <w:sz w:val="24"/>
          <w:highlight w:val="none"/>
        </w:rPr>
      </w:pPr>
      <w:r>
        <w:rPr>
          <w:rFonts w:ascii="宋体" w:hAnsi="宋体" w:cs="宋体"/>
          <w:color w:val="auto"/>
          <w:kern w:val="0"/>
          <w:sz w:val="24"/>
          <w:highlight w:val="none"/>
        </w:rPr>
        <w:t xml:space="preserve">5.1.3  </w:t>
      </w:r>
      <w:r>
        <w:rPr>
          <w:rFonts w:hint="eastAsia" w:ascii="宋体" w:hAnsi="宋体" w:cs="宋体"/>
          <w:color w:val="auto"/>
          <w:kern w:val="0"/>
          <w:sz w:val="24"/>
          <w:highlight w:val="none"/>
        </w:rPr>
        <w:t>养护项目部建设标准化要求如下表：</w:t>
      </w:r>
    </w:p>
    <w:p w14:paraId="330835AB">
      <w:pPr>
        <w:widowControl/>
        <w:adjustRightInd w:val="0"/>
        <w:snapToGrid w:val="0"/>
        <w:spacing w:line="360" w:lineRule="auto"/>
        <w:jc w:val="center"/>
        <w:rPr>
          <w:rFonts w:ascii="宋体" w:cs="宋体"/>
          <w:b/>
          <w:color w:val="auto"/>
          <w:kern w:val="0"/>
          <w:sz w:val="24"/>
          <w:highlight w:val="none"/>
        </w:rPr>
      </w:pPr>
      <w:r>
        <w:rPr>
          <w:rFonts w:hint="eastAsia" w:ascii="宋体" w:hAnsi="宋体" w:cs="宋体"/>
          <w:b/>
          <w:color w:val="auto"/>
          <w:kern w:val="0"/>
          <w:sz w:val="24"/>
          <w:highlight w:val="none"/>
        </w:rPr>
        <w:t>养护项目部建设标准化要求表</w:t>
      </w:r>
    </w:p>
    <w:tbl>
      <w:tblPr>
        <w:tblStyle w:val="21"/>
        <w:tblW w:w="101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996"/>
        <w:gridCol w:w="4883"/>
      </w:tblGrid>
      <w:tr w14:paraId="1A24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80" w:type="dxa"/>
          </w:tcPr>
          <w:p w14:paraId="4668A5DD">
            <w:pPr>
              <w:jc w:val="center"/>
              <w:rPr>
                <w:rFonts w:cs="Book Antiqua"/>
                <w:color w:val="auto"/>
                <w:sz w:val="24"/>
                <w:highlight w:val="none"/>
              </w:rPr>
            </w:pPr>
          </w:p>
          <w:p w14:paraId="0A033779">
            <w:pPr>
              <w:jc w:val="center"/>
              <w:rPr>
                <w:rFonts w:cs="Book Antiqua"/>
                <w:color w:val="auto"/>
                <w:sz w:val="24"/>
                <w:highlight w:val="none"/>
              </w:rPr>
            </w:pPr>
            <w:r>
              <w:rPr>
                <w:rFonts w:hint="eastAsia" w:cs="Book Antiqua"/>
                <w:color w:val="auto"/>
                <w:sz w:val="24"/>
                <w:highlight w:val="none"/>
              </w:rPr>
              <w:t>项目名称</w:t>
            </w:r>
          </w:p>
        </w:tc>
        <w:tc>
          <w:tcPr>
            <w:tcW w:w="3996" w:type="dxa"/>
          </w:tcPr>
          <w:p w14:paraId="5ED0CBD9">
            <w:pPr>
              <w:jc w:val="center"/>
              <w:rPr>
                <w:rFonts w:cs="Book Antiqua"/>
                <w:color w:val="auto"/>
                <w:sz w:val="24"/>
                <w:highlight w:val="none"/>
              </w:rPr>
            </w:pPr>
          </w:p>
          <w:p w14:paraId="0741E435">
            <w:pPr>
              <w:jc w:val="center"/>
              <w:rPr>
                <w:rFonts w:cs="Book Antiqua"/>
                <w:color w:val="auto"/>
                <w:sz w:val="24"/>
                <w:highlight w:val="none"/>
              </w:rPr>
            </w:pPr>
            <w:r>
              <w:rPr>
                <w:rFonts w:hint="eastAsia" w:cs="Book Antiqua"/>
                <w:color w:val="auto"/>
                <w:sz w:val="24"/>
                <w:highlight w:val="none"/>
              </w:rPr>
              <w:t>建设内容</w:t>
            </w:r>
          </w:p>
        </w:tc>
        <w:tc>
          <w:tcPr>
            <w:tcW w:w="4883" w:type="dxa"/>
          </w:tcPr>
          <w:p w14:paraId="7ED2F6DC">
            <w:pPr>
              <w:jc w:val="center"/>
              <w:rPr>
                <w:rFonts w:cs="Book Antiqua"/>
                <w:color w:val="auto"/>
                <w:sz w:val="24"/>
                <w:highlight w:val="none"/>
              </w:rPr>
            </w:pPr>
          </w:p>
          <w:p w14:paraId="4995B90F">
            <w:pPr>
              <w:jc w:val="center"/>
              <w:rPr>
                <w:rFonts w:cs="Book Antiqua"/>
                <w:color w:val="auto"/>
                <w:sz w:val="24"/>
                <w:highlight w:val="none"/>
              </w:rPr>
            </w:pPr>
            <w:r>
              <w:rPr>
                <w:rFonts w:hint="eastAsia" w:cs="Book Antiqua"/>
                <w:color w:val="auto"/>
                <w:sz w:val="24"/>
                <w:highlight w:val="none"/>
              </w:rPr>
              <w:t>工作要求和质量标准</w:t>
            </w:r>
          </w:p>
        </w:tc>
      </w:tr>
      <w:tr w14:paraId="5F9F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45F6072C">
            <w:pPr>
              <w:jc w:val="center"/>
              <w:rPr>
                <w:rFonts w:cs="Book Antiqua"/>
                <w:color w:val="auto"/>
                <w:sz w:val="24"/>
                <w:highlight w:val="none"/>
              </w:rPr>
            </w:pPr>
            <w:r>
              <w:rPr>
                <w:rFonts w:hint="eastAsia" w:cs="Book Antiqua"/>
                <w:color w:val="auto"/>
                <w:sz w:val="24"/>
                <w:highlight w:val="none"/>
              </w:rPr>
              <w:t>养护项目部建设</w:t>
            </w:r>
          </w:p>
        </w:tc>
        <w:tc>
          <w:tcPr>
            <w:tcW w:w="3996" w:type="dxa"/>
          </w:tcPr>
          <w:p w14:paraId="1F6D60B2">
            <w:pPr>
              <w:numPr>
                <w:ilvl w:val="1"/>
                <w:numId w:val="9"/>
              </w:numPr>
              <w:tabs>
                <w:tab w:val="left" w:pos="72"/>
                <w:tab w:val="clear" w:pos="1380"/>
              </w:tabs>
              <w:ind w:left="0" w:hanging="108"/>
              <w:rPr>
                <w:rFonts w:cs="Book Antiqua"/>
                <w:color w:val="auto"/>
                <w:sz w:val="24"/>
                <w:highlight w:val="none"/>
              </w:rPr>
            </w:pPr>
            <w:r>
              <w:rPr>
                <w:rFonts w:hint="eastAsia" w:cs="Book Antiqua"/>
                <w:color w:val="auto"/>
                <w:sz w:val="24"/>
                <w:highlight w:val="none"/>
              </w:rPr>
              <w:t>按相关规定上墙图表，包括养护机构概况、养护路段及里程示意图、养护人员及机械一览表、晴雨表等；</w:t>
            </w:r>
          </w:p>
          <w:p w14:paraId="30E6C96B">
            <w:pPr>
              <w:tabs>
                <w:tab w:val="left" w:pos="72"/>
              </w:tabs>
              <w:ind w:left="-108"/>
              <w:rPr>
                <w:rFonts w:cs="Book Antiqua"/>
                <w:color w:val="auto"/>
                <w:sz w:val="24"/>
                <w:highlight w:val="none"/>
              </w:rPr>
            </w:pPr>
            <w:r>
              <w:rPr>
                <w:rFonts w:cs="Book Antiqua"/>
                <w:color w:val="auto"/>
                <w:sz w:val="24"/>
                <w:highlight w:val="none"/>
              </w:rPr>
              <w:t>2.</w:t>
            </w:r>
            <w:r>
              <w:rPr>
                <w:rFonts w:hint="eastAsia" w:cs="Book Antiqua"/>
                <w:color w:val="auto"/>
                <w:sz w:val="24"/>
                <w:highlight w:val="none"/>
              </w:rPr>
              <w:t>有人每天驻班值守；</w:t>
            </w:r>
          </w:p>
          <w:p w14:paraId="475A583A">
            <w:pPr>
              <w:tabs>
                <w:tab w:val="left" w:pos="72"/>
              </w:tabs>
              <w:ind w:left="-108"/>
              <w:rPr>
                <w:rFonts w:cs="Book Antiqua"/>
                <w:color w:val="auto"/>
                <w:sz w:val="24"/>
                <w:highlight w:val="none"/>
              </w:rPr>
            </w:pPr>
            <w:r>
              <w:rPr>
                <w:rFonts w:cs="Book Antiqua"/>
                <w:color w:val="auto"/>
                <w:sz w:val="24"/>
                <w:highlight w:val="none"/>
              </w:rPr>
              <w:t>3.</w:t>
            </w:r>
            <w:r>
              <w:rPr>
                <w:rFonts w:hint="eastAsia" w:cs="Book Antiqua"/>
                <w:color w:val="auto"/>
                <w:sz w:val="24"/>
                <w:highlight w:val="none"/>
              </w:rPr>
              <w:t>对驻地及周边环境卫生整治和保洁；</w:t>
            </w:r>
          </w:p>
          <w:p w14:paraId="66A63C89">
            <w:pPr>
              <w:tabs>
                <w:tab w:val="left" w:pos="72"/>
              </w:tabs>
              <w:ind w:left="-108"/>
              <w:rPr>
                <w:rFonts w:cs="Book Antiqua"/>
                <w:color w:val="auto"/>
                <w:sz w:val="24"/>
                <w:highlight w:val="none"/>
              </w:rPr>
            </w:pPr>
            <w:r>
              <w:rPr>
                <w:rFonts w:cs="Book Antiqua"/>
                <w:color w:val="auto"/>
                <w:sz w:val="24"/>
                <w:highlight w:val="none"/>
              </w:rPr>
              <w:t>4.</w:t>
            </w:r>
            <w:r>
              <w:rPr>
                <w:rFonts w:hint="eastAsia" w:cs="Book Antiqua"/>
                <w:color w:val="auto"/>
                <w:sz w:val="24"/>
                <w:highlight w:val="none"/>
              </w:rPr>
              <w:t>明确宿舍、仓库、机料棚等，无危房，无安全隐患；</w:t>
            </w:r>
          </w:p>
          <w:p w14:paraId="74B5FC40">
            <w:pPr>
              <w:tabs>
                <w:tab w:val="left" w:pos="72"/>
              </w:tabs>
              <w:ind w:left="-108"/>
              <w:rPr>
                <w:rFonts w:cs="Book Antiqua"/>
                <w:color w:val="auto"/>
                <w:sz w:val="24"/>
                <w:highlight w:val="none"/>
              </w:rPr>
            </w:pPr>
            <w:r>
              <w:rPr>
                <w:rFonts w:cs="Book Antiqua"/>
                <w:color w:val="auto"/>
                <w:sz w:val="24"/>
                <w:highlight w:val="none"/>
              </w:rPr>
              <w:t>5.</w:t>
            </w:r>
            <w:r>
              <w:rPr>
                <w:rFonts w:hint="eastAsia" w:cs="Book Antiqua"/>
                <w:color w:val="auto"/>
                <w:sz w:val="24"/>
                <w:highlight w:val="none"/>
              </w:rPr>
              <w:t>消防通道符合要求，办公室、库房必须配备灭火器。</w:t>
            </w:r>
          </w:p>
        </w:tc>
        <w:tc>
          <w:tcPr>
            <w:tcW w:w="4883" w:type="dxa"/>
          </w:tcPr>
          <w:p w14:paraId="168B7D79">
            <w:pPr>
              <w:tabs>
                <w:tab w:val="left" w:pos="72"/>
              </w:tabs>
              <w:rPr>
                <w:rFonts w:cs="Book Antiqua"/>
                <w:color w:val="auto"/>
                <w:sz w:val="24"/>
                <w:highlight w:val="none"/>
              </w:rPr>
            </w:pPr>
            <w:r>
              <w:rPr>
                <w:rFonts w:cs="Book Antiqua"/>
                <w:color w:val="auto"/>
                <w:sz w:val="24"/>
                <w:highlight w:val="none"/>
              </w:rPr>
              <w:t>1.</w:t>
            </w:r>
            <w:r>
              <w:rPr>
                <w:rFonts w:hint="eastAsia" w:cs="Book Antiqua"/>
                <w:color w:val="auto"/>
                <w:sz w:val="24"/>
                <w:highlight w:val="none"/>
              </w:rPr>
              <w:t>有专门用于办公的场所，配备必要的办公</w:t>
            </w:r>
            <w:r>
              <w:rPr>
                <w:rFonts w:cs="Book Antiqua"/>
                <w:color w:val="auto"/>
                <w:sz w:val="24"/>
                <w:highlight w:val="none"/>
              </w:rPr>
              <w:t>/</w:t>
            </w:r>
            <w:r>
              <w:rPr>
                <w:rFonts w:hint="eastAsia" w:cs="Book Antiqua"/>
                <w:color w:val="auto"/>
                <w:sz w:val="24"/>
                <w:highlight w:val="none"/>
              </w:rPr>
              <w:t>会议桌椅；</w:t>
            </w:r>
          </w:p>
          <w:p w14:paraId="549A5F81">
            <w:pPr>
              <w:tabs>
                <w:tab w:val="left" w:pos="0"/>
                <w:tab w:val="left" w:pos="72"/>
              </w:tabs>
              <w:rPr>
                <w:rFonts w:cs="Book Antiqua"/>
                <w:color w:val="auto"/>
                <w:sz w:val="24"/>
                <w:highlight w:val="none"/>
              </w:rPr>
            </w:pPr>
            <w:r>
              <w:rPr>
                <w:rFonts w:cs="Book Antiqua"/>
                <w:color w:val="auto"/>
                <w:sz w:val="24"/>
                <w:highlight w:val="none"/>
              </w:rPr>
              <w:t>2.</w:t>
            </w:r>
            <w:r>
              <w:rPr>
                <w:rFonts w:hint="eastAsia" w:cs="Book Antiqua"/>
                <w:color w:val="auto"/>
                <w:sz w:val="24"/>
                <w:highlight w:val="none"/>
              </w:rPr>
              <w:t>上墙图表齐全，布置整齐大方，内容真实准确，填写更新及时准确；</w:t>
            </w:r>
          </w:p>
          <w:p w14:paraId="2C34518E">
            <w:pPr>
              <w:tabs>
                <w:tab w:val="left" w:pos="0"/>
                <w:tab w:val="left" w:pos="72"/>
              </w:tabs>
              <w:rPr>
                <w:rFonts w:cs="Book Antiqua"/>
                <w:color w:val="auto"/>
                <w:sz w:val="24"/>
                <w:highlight w:val="none"/>
              </w:rPr>
            </w:pPr>
            <w:r>
              <w:rPr>
                <w:rFonts w:cs="Book Antiqua"/>
                <w:color w:val="auto"/>
                <w:sz w:val="24"/>
                <w:highlight w:val="none"/>
              </w:rPr>
              <w:t>3.</w:t>
            </w:r>
            <w:r>
              <w:rPr>
                <w:rFonts w:hint="eastAsia" w:cs="Book Antiqua"/>
                <w:color w:val="auto"/>
                <w:sz w:val="24"/>
                <w:highlight w:val="none"/>
              </w:rPr>
              <w:t>机械机具停放有序，材料、构件分类整齐堆放；</w:t>
            </w:r>
          </w:p>
          <w:p w14:paraId="2FCF07A9">
            <w:pPr>
              <w:tabs>
                <w:tab w:val="left" w:pos="0"/>
                <w:tab w:val="left" w:pos="72"/>
              </w:tabs>
              <w:rPr>
                <w:rFonts w:cs="Book Antiqua"/>
                <w:color w:val="auto"/>
                <w:sz w:val="24"/>
                <w:highlight w:val="none"/>
              </w:rPr>
            </w:pPr>
            <w:r>
              <w:rPr>
                <w:rFonts w:cs="Book Antiqua"/>
                <w:color w:val="auto"/>
                <w:sz w:val="24"/>
                <w:highlight w:val="none"/>
              </w:rPr>
              <w:t>4.</w:t>
            </w:r>
            <w:r>
              <w:rPr>
                <w:rFonts w:hint="eastAsia" w:cs="Book Antiqua"/>
                <w:color w:val="auto"/>
                <w:sz w:val="24"/>
                <w:highlight w:val="none"/>
              </w:rPr>
              <w:t>消防通道高度不小于</w:t>
            </w:r>
            <w:r>
              <w:rPr>
                <w:rFonts w:cs="Book Antiqua"/>
                <w:color w:val="auto"/>
                <w:sz w:val="24"/>
                <w:highlight w:val="none"/>
              </w:rPr>
              <w:t>5</w:t>
            </w:r>
            <w:r>
              <w:rPr>
                <w:rFonts w:hint="eastAsia" w:cs="Book Antiqua"/>
                <w:color w:val="auto"/>
                <w:sz w:val="24"/>
                <w:highlight w:val="none"/>
              </w:rPr>
              <w:t>米，宽度不小于</w:t>
            </w:r>
            <w:r>
              <w:rPr>
                <w:rFonts w:cs="Book Antiqua"/>
                <w:color w:val="auto"/>
                <w:sz w:val="24"/>
                <w:highlight w:val="none"/>
              </w:rPr>
              <w:t>4</w:t>
            </w:r>
            <w:r>
              <w:rPr>
                <w:rFonts w:hint="eastAsia" w:cs="Book Antiqua"/>
                <w:color w:val="auto"/>
                <w:sz w:val="24"/>
                <w:highlight w:val="none"/>
              </w:rPr>
              <w:t>米；</w:t>
            </w:r>
          </w:p>
          <w:p w14:paraId="4E2B046F">
            <w:pPr>
              <w:tabs>
                <w:tab w:val="left" w:pos="0"/>
                <w:tab w:val="left" w:pos="72"/>
              </w:tabs>
              <w:rPr>
                <w:rFonts w:cs="Book Antiqua"/>
                <w:color w:val="auto"/>
                <w:sz w:val="24"/>
                <w:highlight w:val="none"/>
              </w:rPr>
            </w:pPr>
            <w:r>
              <w:rPr>
                <w:rFonts w:cs="Book Antiqua"/>
                <w:color w:val="auto"/>
                <w:sz w:val="24"/>
                <w:highlight w:val="none"/>
              </w:rPr>
              <w:t>5.</w:t>
            </w:r>
            <w:r>
              <w:rPr>
                <w:rFonts w:hint="eastAsia" w:cs="Book Antiqua"/>
                <w:color w:val="auto"/>
                <w:sz w:val="24"/>
                <w:highlight w:val="none"/>
              </w:rPr>
              <w:t>办公室、库房每处应配备不少于</w:t>
            </w:r>
            <w:r>
              <w:rPr>
                <w:rFonts w:cs="Book Antiqua"/>
                <w:color w:val="auto"/>
                <w:sz w:val="24"/>
                <w:highlight w:val="none"/>
              </w:rPr>
              <w:t>1</w:t>
            </w:r>
            <w:r>
              <w:rPr>
                <w:rFonts w:hint="eastAsia" w:cs="Book Antiqua"/>
                <w:color w:val="auto"/>
                <w:sz w:val="24"/>
                <w:highlight w:val="none"/>
              </w:rPr>
              <w:t>个灭火器；</w:t>
            </w:r>
          </w:p>
          <w:p w14:paraId="7EAC2651">
            <w:pPr>
              <w:tabs>
                <w:tab w:val="left" w:pos="0"/>
                <w:tab w:val="left" w:pos="72"/>
              </w:tabs>
              <w:rPr>
                <w:rFonts w:cs="Book Antiqua"/>
                <w:color w:val="auto"/>
                <w:sz w:val="24"/>
                <w:highlight w:val="none"/>
              </w:rPr>
            </w:pPr>
            <w:r>
              <w:rPr>
                <w:rFonts w:cs="Book Antiqua"/>
                <w:color w:val="auto"/>
                <w:sz w:val="24"/>
                <w:highlight w:val="none"/>
              </w:rPr>
              <w:t>6.</w:t>
            </w:r>
            <w:r>
              <w:rPr>
                <w:rFonts w:hint="eastAsia" w:cs="Book Antiqua"/>
                <w:color w:val="auto"/>
                <w:sz w:val="24"/>
                <w:highlight w:val="none"/>
              </w:rPr>
              <w:t>项目部庭院应配备夜间照明设施。</w:t>
            </w:r>
          </w:p>
        </w:tc>
      </w:tr>
    </w:tbl>
    <w:p w14:paraId="030251D6">
      <w:pPr>
        <w:widowControl/>
        <w:adjustRightInd w:val="0"/>
        <w:snapToGrid w:val="0"/>
        <w:spacing w:line="360" w:lineRule="auto"/>
        <w:jc w:val="left"/>
        <w:rPr>
          <w:rFonts w:ascii="宋体" w:cs="宋体"/>
          <w:b/>
          <w:color w:val="auto"/>
          <w:kern w:val="0"/>
          <w:sz w:val="24"/>
          <w:highlight w:val="none"/>
        </w:rPr>
      </w:pPr>
    </w:p>
    <w:p w14:paraId="1DCDFD1B">
      <w:pPr>
        <w:widowControl/>
        <w:adjustRightInd w:val="0"/>
        <w:snapToGrid w:val="0"/>
        <w:spacing w:line="360" w:lineRule="auto"/>
        <w:jc w:val="left"/>
        <w:rPr>
          <w:rFonts w:ascii="宋体" w:cs="宋体"/>
          <w:b/>
          <w:color w:val="auto"/>
          <w:kern w:val="0"/>
          <w:sz w:val="24"/>
          <w:highlight w:val="none"/>
        </w:rPr>
      </w:pPr>
      <w:r>
        <w:rPr>
          <w:rFonts w:ascii="宋体" w:hAnsi="宋体" w:cs="宋体"/>
          <w:b/>
          <w:color w:val="auto"/>
          <w:kern w:val="0"/>
          <w:sz w:val="24"/>
          <w:highlight w:val="none"/>
        </w:rPr>
        <w:t xml:space="preserve">5.1.4  </w:t>
      </w:r>
      <w:r>
        <w:rPr>
          <w:rFonts w:hint="eastAsia" w:ascii="宋体" w:hAnsi="宋体" w:cs="宋体"/>
          <w:b/>
          <w:color w:val="auto"/>
          <w:kern w:val="0"/>
          <w:sz w:val="24"/>
          <w:highlight w:val="none"/>
        </w:rPr>
        <w:t>本项目中标人可以享受业主无偿提供的养护站作办公或民工宿舍使用（东片区：山口山背、白沙长岭启、常乐天堂、七里等</w:t>
      </w:r>
      <w:r>
        <w:rPr>
          <w:rFonts w:ascii="宋体" w:hAnsi="宋体" w:cs="宋体"/>
          <w:b/>
          <w:color w:val="auto"/>
          <w:kern w:val="0"/>
          <w:sz w:val="24"/>
          <w:highlight w:val="none"/>
        </w:rPr>
        <w:t>4</w:t>
      </w:r>
      <w:r>
        <w:rPr>
          <w:rFonts w:hint="eastAsia" w:ascii="宋体" w:hAnsi="宋体" w:cs="宋体"/>
          <w:b/>
          <w:color w:val="auto"/>
          <w:kern w:val="0"/>
          <w:sz w:val="24"/>
          <w:highlight w:val="none"/>
        </w:rPr>
        <w:t>个养护站，西片区：西场、西场老鸦坑、乌家大禾庭、沙岗白沙江、星岛湖洪潮、石湾大田等</w:t>
      </w:r>
      <w:r>
        <w:rPr>
          <w:rFonts w:ascii="宋体" w:hAnsi="宋体" w:cs="宋体"/>
          <w:b/>
          <w:color w:val="auto"/>
          <w:kern w:val="0"/>
          <w:sz w:val="24"/>
          <w:highlight w:val="none"/>
        </w:rPr>
        <w:t>6</w:t>
      </w:r>
      <w:r>
        <w:rPr>
          <w:rFonts w:hint="eastAsia" w:ascii="宋体" w:hAnsi="宋体" w:cs="宋体"/>
          <w:b/>
          <w:color w:val="auto"/>
          <w:kern w:val="0"/>
          <w:sz w:val="24"/>
          <w:highlight w:val="none"/>
        </w:rPr>
        <w:t>个养护站），如果该养护站房未能达到安全使用要求时，需中标人自行投资加固后方可使用（提供方不负责由此发生的任何费用），而且，修缮及使用期间的安全责任全部由使用方负责。如果由于政府征用等原因，使用方无条件配合迁出，由此造成的损失由使用方负责，与提供方无关。合同期满后，使用方须在30天内撤出养护站。提供的养护站严禁转租或作其他用途。</w:t>
      </w:r>
    </w:p>
    <w:p w14:paraId="06D7893F">
      <w:pPr>
        <w:widowControl/>
        <w:adjustRightInd w:val="0"/>
        <w:snapToGrid w:val="0"/>
        <w:spacing w:line="360" w:lineRule="auto"/>
        <w:jc w:val="left"/>
        <w:rPr>
          <w:rFonts w:ascii="宋体" w:cs="宋体"/>
          <w:b/>
          <w:color w:val="auto"/>
          <w:kern w:val="0"/>
          <w:sz w:val="24"/>
          <w:highlight w:val="none"/>
        </w:rPr>
      </w:pPr>
    </w:p>
    <w:p w14:paraId="30F04218">
      <w:pPr>
        <w:widowControl/>
        <w:adjustRightInd w:val="0"/>
        <w:snapToGrid w:val="0"/>
        <w:spacing w:line="360" w:lineRule="auto"/>
        <w:jc w:val="left"/>
        <w:rPr>
          <w:rFonts w:ascii="宋体" w:cs="宋体"/>
          <w:b/>
          <w:color w:val="auto"/>
          <w:kern w:val="0"/>
          <w:sz w:val="24"/>
          <w:highlight w:val="none"/>
        </w:rPr>
      </w:pPr>
      <w:r>
        <w:rPr>
          <w:rFonts w:ascii="宋体" w:hAnsi="宋体" w:cs="宋体"/>
          <w:b/>
          <w:color w:val="auto"/>
          <w:kern w:val="0"/>
          <w:sz w:val="24"/>
          <w:highlight w:val="none"/>
        </w:rPr>
        <w:t xml:space="preserve">5.2 </w:t>
      </w:r>
      <w:r>
        <w:rPr>
          <w:rFonts w:hint="eastAsia" w:ascii="宋体" w:hAnsi="宋体" w:cs="宋体"/>
          <w:b/>
          <w:color w:val="auto"/>
          <w:kern w:val="0"/>
          <w:sz w:val="24"/>
          <w:highlight w:val="none"/>
        </w:rPr>
        <w:t>农民工管理和工资管理</w:t>
      </w:r>
    </w:p>
    <w:p w14:paraId="6D264C2E">
      <w:pPr>
        <w:widowControl/>
        <w:adjustRightInd w:val="0"/>
        <w:snapToGrid w:val="0"/>
        <w:spacing w:line="360" w:lineRule="auto"/>
        <w:ind w:firstLine="484" w:firstLineChars="202"/>
        <w:jc w:val="left"/>
        <w:rPr>
          <w:rFonts w:ascii="宋体" w:cs="宋体"/>
          <w:color w:val="auto"/>
          <w:kern w:val="0"/>
          <w:sz w:val="24"/>
          <w:highlight w:val="none"/>
        </w:rPr>
      </w:pPr>
      <w:r>
        <w:rPr>
          <w:rFonts w:ascii="宋体" w:hAnsi="宋体" w:cs="宋体"/>
          <w:color w:val="auto"/>
          <w:kern w:val="0"/>
          <w:sz w:val="24"/>
          <w:highlight w:val="none"/>
        </w:rPr>
        <w:t>5.2.</w:t>
      </w:r>
      <w:r>
        <w:rPr>
          <w:rFonts w:hint="eastAsia" w:ascii="宋体" w:hAnsi="宋体" w:cs="宋体"/>
          <w:color w:val="auto"/>
          <w:kern w:val="0"/>
          <w:sz w:val="24"/>
          <w:highlight w:val="none"/>
        </w:rPr>
        <w:t>1</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中标人应在签订项目服务合同后</w:t>
      </w:r>
      <w:r>
        <w:rPr>
          <w:rFonts w:ascii="宋体" w:hAnsi="宋体" w:cs="宋体"/>
          <w:color w:val="auto"/>
          <w:kern w:val="0"/>
          <w:sz w:val="24"/>
          <w:highlight w:val="none"/>
        </w:rPr>
        <w:t>5</w:t>
      </w:r>
      <w:r>
        <w:rPr>
          <w:rFonts w:hint="eastAsia" w:ascii="宋体" w:hAnsi="宋体" w:cs="宋体"/>
          <w:color w:val="auto"/>
          <w:kern w:val="0"/>
          <w:sz w:val="24"/>
          <w:highlight w:val="none"/>
        </w:rPr>
        <w:t>个工作日内，按招标文件和采购人要求组织投入本项目的全体人员和农民工进行岗前培训和安全交底。培训宜采用集中授课的形式，应向每个受训人员发放书面培训资料。安全交底以书面形式交底，由项目经理、安全员和接受交底的人员共同签署交底材料，交底材料一式三份，项目部保留一份，接受交底人保留一份，上报采购人一份。培训和交底过程，应拍摄相关照片和视频作为工作留痕证据。中标人在第一期养护月报表时把岗前培训和安全交底相关证明材料装入报表上报采购人，否则视为中标不履行义务，采购人将拒绝支付服务费。</w:t>
      </w:r>
    </w:p>
    <w:p w14:paraId="1DDD8283">
      <w:pPr>
        <w:widowControl/>
        <w:adjustRightInd w:val="0"/>
        <w:snapToGrid w:val="0"/>
        <w:spacing w:line="360" w:lineRule="auto"/>
        <w:ind w:firstLine="484" w:firstLineChars="202"/>
        <w:jc w:val="left"/>
        <w:rPr>
          <w:rFonts w:ascii="宋体" w:cs="宋体"/>
          <w:color w:val="auto"/>
          <w:kern w:val="0"/>
          <w:sz w:val="24"/>
          <w:highlight w:val="none"/>
        </w:rPr>
      </w:pPr>
      <w:r>
        <w:rPr>
          <w:rFonts w:ascii="宋体" w:hAnsi="宋体" w:cs="宋体"/>
          <w:color w:val="auto"/>
          <w:kern w:val="0"/>
          <w:sz w:val="24"/>
          <w:highlight w:val="none"/>
        </w:rPr>
        <w:t>5</w:t>
      </w:r>
      <w:r>
        <w:rPr>
          <w:rFonts w:ascii="宋体" w:hAnsi="宋体" w:cs="宋体"/>
          <w:color w:val="auto"/>
          <w:kern w:val="0"/>
          <w:sz w:val="24"/>
          <w:highlight w:val="none"/>
        </w:rPr>
        <w:t>.2.</w:t>
      </w:r>
      <w:r>
        <w:rPr>
          <w:rFonts w:hint="eastAsia" w:ascii="宋体" w:hAnsi="宋体" w:cs="宋体"/>
          <w:color w:val="auto"/>
          <w:kern w:val="0"/>
          <w:sz w:val="24"/>
          <w:highlight w:val="none"/>
        </w:rPr>
        <w:t>2</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签订劳动合同的农民工工资不得低于合浦县最低工资标准。</w:t>
      </w:r>
    </w:p>
    <w:p w14:paraId="0B9329AA">
      <w:pPr>
        <w:widowControl/>
        <w:adjustRightInd w:val="0"/>
        <w:snapToGrid w:val="0"/>
        <w:spacing w:line="360" w:lineRule="auto"/>
        <w:ind w:firstLine="484" w:firstLineChars="202"/>
        <w:jc w:val="left"/>
        <w:rPr>
          <w:rFonts w:ascii="宋体" w:cs="宋体"/>
          <w:color w:val="auto"/>
          <w:kern w:val="0"/>
          <w:sz w:val="24"/>
          <w:highlight w:val="none"/>
        </w:rPr>
      </w:pPr>
      <w:r>
        <w:rPr>
          <w:rFonts w:ascii="宋体" w:hAnsi="宋体" w:cs="宋体"/>
          <w:color w:val="auto"/>
          <w:kern w:val="0"/>
          <w:sz w:val="24"/>
          <w:highlight w:val="none"/>
        </w:rPr>
        <w:t>5.2.</w:t>
      </w:r>
      <w:r>
        <w:rPr>
          <w:rFonts w:hint="eastAsia" w:ascii="宋体" w:hAnsi="宋体" w:cs="宋体"/>
          <w:color w:val="auto"/>
          <w:kern w:val="0"/>
          <w:sz w:val="24"/>
          <w:highlight w:val="none"/>
        </w:rPr>
        <w:t>3</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农民工管理和工资管理标准化要求如下表：</w:t>
      </w:r>
    </w:p>
    <w:p w14:paraId="6A9C1F47">
      <w:pPr>
        <w:widowControl/>
        <w:adjustRightInd w:val="0"/>
        <w:snapToGrid w:val="0"/>
        <w:spacing w:line="360" w:lineRule="auto"/>
        <w:jc w:val="center"/>
        <w:rPr>
          <w:rFonts w:ascii="宋体" w:cs="宋体"/>
          <w:b/>
          <w:color w:val="auto"/>
          <w:kern w:val="0"/>
          <w:sz w:val="24"/>
          <w:highlight w:val="none"/>
        </w:rPr>
      </w:pPr>
      <w:r>
        <w:rPr>
          <w:rFonts w:hint="eastAsia" w:ascii="宋体" w:hAnsi="宋体" w:cs="宋体"/>
          <w:b/>
          <w:color w:val="auto"/>
          <w:kern w:val="0"/>
          <w:sz w:val="24"/>
          <w:highlight w:val="none"/>
        </w:rPr>
        <w:t>农民工管理和工资管理标准化要求表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600"/>
        <w:gridCol w:w="4500"/>
      </w:tblGrid>
      <w:tr w14:paraId="66BC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78D520DC">
            <w:pPr>
              <w:jc w:val="center"/>
              <w:rPr>
                <w:rFonts w:cs="Book Antiqua"/>
                <w:color w:val="auto"/>
                <w:sz w:val="24"/>
                <w:highlight w:val="none"/>
              </w:rPr>
            </w:pPr>
            <w:r>
              <w:rPr>
                <w:rFonts w:hint="eastAsia" w:cs="Book Antiqua"/>
                <w:color w:val="auto"/>
                <w:sz w:val="24"/>
                <w:highlight w:val="none"/>
              </w:rPr>
              <w:t>项目名称</w:t>
            </w:r>
          </w:p>
        </w:tc>
        <w:tc>
          <w:tcPr>
            <w:tcW w:w="3600" w:type="dxa"/>
          </w:tcPr>
          <w:p w14:paraId="29B875CC">
            <w:pPr>
              <w:jc w:val="center"/>
              <w:rPr>
                <w:rFonts w:cs="Book Antiqua"/>
                <w:color w:val="auto"/>
                <w:sz w:val="24"/>
                <w:highlight w:val="none"/>
              </w:rPr>
            </w:pPr>
            <w:r>
              <w:rPr>
                <w:rFonts w:hint="eastAsia" w:cs="Book Antiqua"/>
                <w:color w:val="auto"/>
                <w:sz w:val="24"/>
                <w:highlight w:val="none"/>
              </w:rPr>
              <w:t>管理内容</w:t>
            </w:r>
          </w:p>
        </w:tc>
        <w:tc>
          <w:tcPr>
            <w:tcW w:w="4500" w:type="dxa"/>
          </w:tcPr>
          <w:p w14:paraId="6B828FDA">
            <w:pPr>
              <w:jc w:val="center"/>
              <w:rPr>
                <w:rFonts w:cs="Book Antiqua"/>
                <w:color w:val="auto"/>
                <w:sz w:val="24"/>
                <w:highlight w:val="none"/>
              </w:rPr>
            </w:pPr>
            <w:r>
              <w:rPr>
                <w:rFonts w:hint="eastAsia" w:cs="Book Antiqua"/>
                <w:color w:val="auto"/>
                <w:sz w:val="24"/>
                <w:highlight w:val="none"/>
              </w:rPr>
              <w:t>工作要求和质量标准</w:t>
            </w:r>
          </w:p>
        </w:tc>
      </w:tr>
      <w:tr w14:paraId="500C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378574A6">
            <w:pPr>
              <w:jc w:val="center"/>
              <w:rPr>
                <w:rFonts w:cs="Book Antiqua"/>
                <w:color w:val="auto"/>
                <w:sz w:val="24"/>
                <w:highlight w:val="none"/>
              </w:rPr>
            </w:pPr>
            <w:r>
              <w:rPr>
                <w:rFonts w:hint="eastAsia" w:cs="Book Antiqua"/>
                <w:color w:val="auto"/>
                <w:sz w:val="24"/>
                <w:highlight w:val="none"/>
              </w:rPr>
              <w:t>农民工管理</w:t>
            </w:r>
          </w:p>
          <w:p w14:paraId="2863603C">
            <w:pPr>
              <w:jc w:val="center"/>
              <w:rPr>
                <w:rFonts w:cs="Book Antiqua"/>
                <w:color w:val="auto"/>
                <w:sz w:val="24"/>
                <w:highlight w:val="none"/>
              </w:rPr>
            </w:pPr>
            <w:r>
              <w:rPr>
                <w:rFonts w:hint="eastAsia" w:cs="Book Antiqua"/>
                <w:color w:val="auto"/>
                <w:sz w:val="24"/>
                <w:highlight w:val="none"/>
              </w:rPr>
              <w:t>和工资管理</w:t>
            </w:r>
          </w:p>
        </w:tc>
        <w:tc>
          <w:tcPr>
            <w:tcW w:w="3600" w:type="dxa"/>
          </w:tcPr>
          <w:p w14:paraId="7128E92C">
            <w:pPr>
              <w:numPr>
                <w:ilvl w:val="0"/>
                <w:numId w:val="10"/>
              </w:numPr>
              <w:tabs>
                <w:tab w:val="left" w:pos="72"/>
              </w:tabs>
              <w:rPr>
                <w:rFonts w:ascii="宋体" w:cs="宋体"/>
                <w:color w:val="auto"/>
                <w:kern w:val="0"/>
                <w:sz w:val="24"/>
                <w:highlight w:val="none"/>
              </w:rPr>
            </w:pPr>
            <w:r>
              <w:rPr>
                <w:rFonts w:hint="eastAsia" w:ascii="宋体" w:hAnsi="宋体" w:cs="宋体"/>
                <w:color w:val="auto"/>
                <w:kern w:val="0"/>
                <w:sz w:val="24"/>
                <w:highlight w:val="none"/>
              </w:rPr>
              <w:t>与农民工依法签订劳动合同。</w:t>
            </w:r>
          </w:p>
          <w:p w14:paraId="09BA3325">
            <w:pPr>
              <w:numPr>
                <w:ilvl w:val="0"/>
                <w:numId w:val="10"/>
              </w:numPr>
              <w:tabs>
                <w:tab w:val="left" w:pos="72"/>
              </w:tabs>
              <w:rPr>
                <w:rFonts w:ascii="宋体" w:cs="宋体"/>
                <w:color w:val="auto"/>
                <w:kern w:val="0"/>
                <w:sz w:val="24"/>
                <w:highlight w:val="none"/>
              </w:rPr>
            </w:pPr>
            <w:r>
              <w:rPr>
                <w:rFonts w:hint="eastAsia" w:ascii="宋体" w:hAnsi="宋体" w:cs="宋体"/>
                <w:color w:val="auto"/>
                <w:kern w:val="0"/>
                <w:sz w:val="24"/>
                <w:highlight w:val="none"/>
              </w:rPr>
              <w:t>组织农民工岗前体检。</w:t>
            </w:r>
          </w:p>
          <w:p w14:paraId="5E736C13">
            <w:pPr>
              <w:numPr>
                <w:ilvl w:val="0"/>
                <w:numId w:val="10"/>
              </w:numPr>
              <w:tabs>
                <w:tab w:val="left" w:pos="72"/>
              </w:tabs>
              <w:rPr>
                <w:rFonts w:ascii="宋体" w:cs="宋体"/>
                <w:color w:val="auto"/>
                <w:kern w:val="0"/>
                <w:sz w:val="24"/>
                <w:highlight w:val="none"/>
              </w:rPr>
            </w:pPr>
            <w:r>
              <w:rPr>
                <w:rFonts w:hint="eastAsia" w:ascii="宋体" w:hAnsi="宋体" w:cs="宋体"/>
                <w:color w:val="auto"/>
                <w:kern w:val="0"/>
                <w:sz w:val="24"/>
                <w:highlight w:val="none"/>
              </w:rPr>
              <w:t>及时足额发放农民工资。</w:t>
            </w:r>
          </w:p>
          <w:p w14:paraId="05C58DA5">
            <w:pPr>
              <w:numPr>
                <w:ilvl w:val="0"/>
                <w:numId w:val="10"/>
              </w:numPr>
              <w:tabs>
                <w:tab w:val="left" w:pos="72"/>
              </w:tabs>
              <w:rPr>
                <w:rFonts w:ascii="宋体" w:cs="宋体"/>
                <w:color w:val="auto"/>
                <w:kern w:val="0"/>
                <w:sz w:val="24"/>
                <w:highlight w:val="none"/>
              </w:rPr>
            </w:pPr>
            <w:r>
              <w:rPr>
                <w:rFonts w:hint="eastAsia" w:ascii="宋体" w:hAnsi="宋体" w:cs="宋体"/>
                <w:color w:val="auto"/>
                <w:kern w:val="0"/>
                <w:sz w:val="24"/>
                <w:highlight w:val="none"/>
              </w:rPr>
              <w:t>农民工岗前业务培训和安全生产培训及安全生产交底。</w:t>
            </w:r>
          </w:p>
          <w:p w14:paraId="0BB90132">
            <w:pPr>
              <w:tabs>
                <w:tab w:val="left" w:pos="72"/>
                <w:tab w:val="left" w:pos="252"/>
              </w:tabs>
              <w:ind w:left="-108"/>
              <w:rPr>
                <w:rFonts w:ascii="宋体" w:cs="宋体"/>
                <w:color w:val="auto"/>
                <w:kern w:val="0"/>
                <w:sz w:val="24"/>
                <w:highlight w:val="none"/>
              </w:rPr>
            </w:pPr>
          </w:p>
        </w:tc>
        <w:tc>
          <w:tcPr>
            <w:tcW w:w="4500" w:type="dxa"/>
          </w:tcPr>
          <w:p w14:paraId="7A3AC6D7">
            <w:pPr>
              <w:tabs>
                <w:tab w:val="left" w:pos="72"/>
              </w:tabs>
              <w:rPr>
                <w:rFonts w:cs="Book Antiqua"/>
                <w:color w:val="auto"/>
                <w:sz w:val="24"/>
                <w:highlight w:val="none"/>
              </w:rPr>
            </w:pPr>
            <w:r>
              <w:rPr>
                <w:rFonts w:cs="Book Antiqua"/>
                <w:color w:val="auto"/>
                <w:sz w:val="24"/>
                <w:highlight w:val="none"/>
              </w:rPr>
              <w:t>1.</w:t>
            </w:r>
            <w:r>
              <w:rPr>
                <w:rFonts w:hint="eastAsia" w:cs="Book Antiqua"/>
                <w:color w:val="auto"/>
                <w:sz w:val="24"/>
                <w:highlight w:val="none"/>
              </w:rPr>
              <w:t>劳动合同专门整理装盒，存档备查。</w:t>
            </w:r>
          </w:p>
          <w:p w14:paraId="79EC864F">
            <w:pPr>
              <w:tabs>
                <w:tab w:val="left" w:pos="72"/>
              </w:tabs>
              <w:rPr>
                <w:rFonts w:hint="eastAsia" w:cs="Book Antiqua"/>
                <w:color w:val="auto"/>
                <w:sz w:val="24"/>
                <w:highlight w:val="none"/>
              </w:rPr>
            </w:pPr>
            <w:r>
              <w:rPr>
                <w:rFonts w:cs="Book Antiqua"/>
                <w:color w:val="auto"/>
                <w:sz w:val="24"/>
                <w:highlight w:val="none"/>
              </w:rPr>
              <w:t>2.</w:t>
            </w:r>
            <w:r>
              <w:rPr>
                <w:rFonts w:hint="eastAsia" w:cs="Book Antiqua"/>
                <w:color w:val="auto"/>
                <w:sz w:val="24"/>
                <w:highlight w:val="none"/>
              </w:rPr>
              <w:t>农民工岗前体检材料专门整理装盒，存档备查。杜绝身体不适宜路上作业的农民工上岗。</w:t>
            </w:r>
          </w:p>
          <w:p w14:paraId="5693C137">
            <w:pPr>
              <w:tabs>
                <w:tab w:val="left" w:pos="72"/>
              </w:tabs>
              <w:rPr>
                <w:rFonts w:cs="Book Antiqua"/>
                <w:color w:val="auto"/>
                <w:sz w:val="24"/>
                <w:highlight w:val="none"/>
              </w:rPr>
            </w:pPr>
            <w:r>
              <w:rPr>
                <w:rFonts w:cs="Book Antiqua"/>
                <w:color w:val="auto"/>
                <w:sz w:val="24"/>
                <w:highlight w:val="none"/>
              </w:rPr>
              <w:t>3.</w:t>
            </w:r>
            <w:r>
              <w:rPr>
                <w:rFonts w:hint="eastAsia" w:cs="Book Antiqua"/>
                <w:color w:val="auto"/>
                <w:sz w:val="24"/>
                <w:highlight w:val="none"/>
              </w:rPr>
              <w:t>农民工工资发放证明资料专门整理装盒，存档备查。</w:t>
            </w:r>
          </w:p>
          <w:p w14:paraId="651F7CA2">
            <w:pPr>
              <w:tabs>
                <w:tab w:val="left" w:pos="72"/>
              </w:tabs>
              <w:rPr>
                <w:rFonts w:cs="Book Antiqua"/>
                <w:color w:val="auto"/>
                <w:sz w:val="24"/>
                <w:highlight w:val="none"/>
              </w:rPr>
            </w:pPr>
            <w:r>
              <w:rPr>
                <w:rFonts w:cs="Book Antiqua"/>
                <w:color w:val="auto"/>
                <w:sz w:val="24"/>
                <w:highlight w:val="none"/>
              </w:rPr>
              <w:t>4.</w:t>
            </w:r>
            <w:r>
              <w:rPr>
                <w:rFonts w:hint="eastAsia" w:cs="Book Antiqua"/>
                <w:color w:val="auto"/>
                <w:sz w:val="24"/>
                <w:highlight w:val="none"/>
              </w:rPr>
              <w:t>岗前业务培训和安全生产培训课件、照片、资料、安全生产交底等资料专门整理装盒，存档备查。</w:t>
            </w:r>
          </w:p>
          <w:p w14:paraId="18C748C5">
            <w:pPr>
              <w:tabs>
                <w:tab w:val="left" w:pos="72"/>
              </w:tabs>
              <w:rPr>
                <w:rFonts w:cs="Book Antiqua"/>
                <w:color w:val="auto"/>
                <w:sz w:val="24"/>
                <w:highlight w:val="none"/>
              </w:rPr>
            </w:pPr>
            <w:r>
              <w:rPr>
                <w:rFonts w:cs="Book Antiqua"/>
                <w:color w:val="auto"/>
                <w:sz w:val="24"/>
                <w:highlight w:val="none"/>
              </w:rPr>
              <w:t>5.</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期间更换的人员，也要按相同程序进行安全生产岗前培训和安全交底。</w:t>
            </w:r>
          </w:p>
        </w:tc>
      </w:tr>
    </w:tbl>
    <w:p w14:paraId="3581FB4E">
      <w:pPr>
        <w:widowControl/>
        <w:adjustRightInd w:val="0"/>
        <w:snapToGrid w:val="0"/>
        <w:spacing w:line="360" w:lineRule="auto"/>
        <w:jc w:val="left"/>
        <w:rPr>
          <w:rFonts w:ascii="宋体" w:cs="宋体"/>
          <w:b/>
          <w:color w:val="auto"/>
          <w:kern w:val="0"/>
          <w:sz w:val="24"/>
          <w:highlight w:val="none"/>
        </w:rPr>
      </w:pPr>
      <w:r>
        <w:rPr>
          <w:rFonts w:ascii="宋体" w:cs="宋体"/>
          <w:b/>
          <w:color w:val="auto"/>
          <w:kern w:val="0"/>
          <w:sz w:val="24"/>
          <w:highlight w:val="none"/>
        </w:rPr>
        <w:t xml:space="preserve">5.3 </w:t>
      </w:r>
      <w:r>
        <w:rPr>
          <w:rFonts w:hint="eastAsia" w:ascii="宋体" w:cs="宋体"/>
          <w:b/>
          <w:color w:val="auto"/>
          <w:kern w:val="0"/>
          <w:sz w:val="24"/>
          <w:highlight w:val="none"/>
        </w:rPr>
        <w:t>月工作例会和安全例会</w:t>
      </w:r>
    </w:p>
    <w:p w14:paraId="12A42433">
      <w:pPr>
        <w:widowControl/>
        <w:adjustRightInd w:val="0"/>
        <w:snapToGrid w:val="0"/>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5.3.1  </w:t>
      </w:r>
      <w:r>
        <w:rPr>
          <w:rFonts w:hint="eastAsia" w:ascii="宋体" w:hAnsi="宋体" w:cs="宋体"/>
          <w:color w:val="auto"/>
          <w:kern w:val="0"/>
          <w:sz w:val="24"/>
          <w:highlight w:val="none"/>
        </w:rPr>
        <w:t>中标人应根据本招标文件和合同约定，每月组织项目全体服务人员召开一次工作例会，总结分析当月养护服务工作情况，安排下月工作计划。工作例会要有会议纪要和参会人员签到表，会议资料要整理归档形成工作台账。供应人月度例会可以邀请采购人代表参加，采购人参加例会的，应对工作中存在的问题进行点评，并提出明确的整改要求。</w:t>
      </w:r>
    </w:p>
    <w:p w14:paraId="4921DECD">
      <w:pPr>
        <w:widowControl/>
        <w:adjustRightInd w:val="0"/>
        <w:snapToGrid w:val="0"/>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5.3.2  </w:t>
      </w:r>
      <w:r>
        <w:rPr>
          <w:rFonts w:hint="eastAsia" w:ascii="宋体" w:hAnsi="宋体" w:cs="宋体"/>
          <w:color w:val="auto"/>
          <w:kern w:val="0"/>
          <w:sz w:val="24"/>
          <w:highlight w:val="none"/>
        </w:rPr>
        <w:t>中标人应根据本招标文件和合同约定，落实安全生产例会制度，每月组织项目全体服务人员召开一次安全生产例会，总结分析当月安全生产工作情况，商讨加强和提高安全生产水平的措施和方法，安排下月安全生产计划。安全生产例会要有会议纪要和参会人员签到表，会议资料要整理归档形成工作台账。</w:t>
      </w:r>
    </w:p>
    <w:p w14:paraId="351C3B8A">
      <w:pPr>
        <w:widowControl/>
        <w:adjustRightInd w:val="0"/>
        <w:snapToGrid w:val="0"/>
        <w:spacing w:line="360" w:lineRule="auto"/>
        <w:ind w:firstLine="480" w:firstLineChars="200"/>
        <w:jc w:val="left"/>
        <w:rPr>
          <w:rFonts w:ascii="宋体" w:cs="宋体"/>
          <w:b/>
          <w:color w:val="auto"/>
          <w:kern w:val="0"/>
          <w:sz w:val="24"/>
          <w:highlight w:val="none"/>
        </w:rPr>
      </w:pPr>
      <w:r>
        <w:rPr>
          <w:rFonts w:ascii="宋体" w:hAnsi="宋体" w:cs="宋体"/>
          <w:color w:val="auto"/>
          <w:kern w:val="0"/>
          <w:sz w:val="24"/>
          <w:highlight w:val="none"/>
        </w:rPr>
        <w:t xml:space="preserve">5.3.3  </w:t>
      </w:r>
      <w:r>
        <w:rPr>
          <w:rFonts w:hint="eastAsia" w:ascii="宋体" w:hAnsi="宋体" w:cs="宋体"/>
          <w:color w:val="auto"/>
          <w:kern w:val="0"/>
          <w:sz w:val="24"/>
          <w:highlight w:val="none"/>
        </w:rPr>
        <w:t>月工作例会和安全生产例会可以合并召开。例会标准化要求如下表：</w:t>
      </w:r>
    </w:p>
    <w:p w14:paraId="60C41B81">
      <w:pPr>
        <w:widowControl/>
        <w:adjustRightInd w:val="0"/>
        <w:snapToGrid w:val="0"/>
        <w:spacing w:line="360" w:lineRule="auto"/>
        <w:jc w:val="center"/>
        <w:rPr>
          <w:rFonts w:ascii="宋体" w:cs="宋体"/>
          <w:b/>
          <w:color w:val="auto"/>
          <w:kern w:val="0"/>
          <w:sz w:val="24"/>
          <w:highlight w:val="none"/>
        </w:rPr>
      </w:pPr>
      <w:r>
        <w:rPr>
          <w:rFonts w:hint="eastAsia" w:ascii="宋体" w:cs="宋体"/>
          <w:b/>
          <w:color w:val="auto"/>
          <w:kern w:val="0"/>
          <w:sz w:val="24"/>
          <w:highlight w:val="none"/>
        </w:rPr>
        <w:t>工作例会和安全生产例会标准化要求表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608"/>
        <w:gridCol w:w="3672"/>
      </w:tblGrid>
      <w:tr w14:paraId="23C6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trPr>
        <w:tc>
          <w:tcPr>
            <w:tcW w:w="1548" w:type="dxa"/>
          </w:tcPr>
          <w:p w14:paraId="4DE75FAC">
            <w:pPr>
              <w:jc w:val="center"/>
              <w:rPr>
                <w:rFonts w:cs="Book Antiqua"/>
                <w:color w:val="auto"/>
                <w:sz w:val="24"/>
                <w:highlight w:val="none"/>
              </w:rPr>
            </w:pPr>
          </w:p>
          <w:p w14:paraId="27046565">
            <w:pPr>
              <w:jc w:val="center"/>
              <w:rPr>
                <w:rFonts w:cs="Book Antiqua"/>
                <w:color w:val="auto"/>
                <w:sz w:val="24"/>
                <w:highlight w:val="none"/>
              </w:rPr>
            </w:pPr>
            <w:r>
              <w:rPr>
                <w:rFonts w:hint="eastAsia" w:cs="Book Antiqua"/>
                <w:color w:val="auto"/>
                <w:sz w:val="24"/>
                <w:highlight w:val="none"/>
              </w:rPr>
              <w:t>项目名称</w:t>
            </w:r>
          </w:p>
        </w:tc>
        <w:tc>
          <w:tcPr>
            <w:tcW w:w="4608" w:type="dxa"/>
          </w:tcPr>
          <w:p w14:paraId="7F25AE16">
            <w:pPr>
              <w:jc w:val="center"/>
              <w:rPr>
                <w:rFonts w:cs="Book Antiqua"/>
                <w:color w:val="auto"/>
                <w:sz w:val="24"/>
                <w:highlight w:val="none"/>
              </w:rPr>
            </w:pPr>
          </w:p>
          <w:p w14:paraId="4F26392B">
            <w:pPr>
              <w:jc w:val="center"/>
              <w:rPr>
                <w:rFonts w:cs="Book Antiqua"/>
                <w:color w:val="auto"/>
                <w:sz w:val="24"/>
                <w:highlight w:val="none"/>
              </w:rPr>
            </w:pPr>
            <w:r>
              <w:rPr>
                <w:rFonts w:hint="eastAsia" w:cs="Book Antiqua"/>
                <w:color w:val="auto"/>
                <w:sz w:val="24"/>
                <w:highlight w:val="none"/>
              </w:rPr>
              <w:t>会议内容</w:t>
            </w:r>
          </w:p>
        </w:tc>
        <w:tc>
          <w:tcPr>
            <w:tcW w:w="3672" w:type="dxa"/>
          </w:tcPr>
          <w:p w14:paraId="657E6C43">
            <w:pPr>
              <w:jc w:val="center"/>
              <w:rPr>
                <w:rFonts w:cs="Book Antiqua"/>
                <w:color w:val="auto"/>
                <w:sz w:val="24"/>
                <w:highlight w:val="none"/>
              </w:rPr>
            </w:pPr>
          </w:p>
          <w:p w14:paraId="3B1F1E16">
            <w:pPr>
              <w:jc w:val="center"/>
              <w:rPr>
                <w:rFonts w:cs="Book Antiqua"/>
                <w:color w:val="auto"/>
                <w:sz w:val="24"/>
                <w:highlight w:val="none"/>
              </w:rPr>
            </w:pPr>
            <w:r>
              <w:rPr>
                <w:rFonts w:hint="eastAsia" w:cs="Book Antiqua"/>
                <w:color w:val="auto"/>
                <w:sz w:val="24"/>
                <w:highlight w:val="none"/>
              </w:rPr>
              <w:t>工作要求和质量标准</w:t>
            </w:r>
          </w:p>
        </w:tc>
      </w:tr>
      <w:tr w14:paraId="74D4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2B47454B">
            <w:pPr>
              <w:jc w:val="center"/>
              <w:rPr>
                <w:rFonts w:cs="Book Antiqua"/>
                <w:color w:val="auto"/>
                <w:sz w:val="24"/>
                <w:highlight w:val="none"/>
              </w:rPr>
            </w:pPr>
            <w:r>
              <w:rPr>
                <w:rFonts w:hint="eastAsia" w:cs="Book Antiqua"/>
                <w:color w:val="auto"/>
                <w:sz w:val="24"/>
                <w:highlight w:val="none"/>
              </w:rPr>
              <w:t>月工作例会和安全生产例会</w:t>
            </w:r>
          </w:p>
        </w:tc>
        <w:tc>
          <w:tcPr>
            <w:tcW w:w="4608" w:type="dxa"/>
          </w:tcPr>
          <w:p w14:paraId="73188F1F">
            <w:pPr>
              <w:tabs>
                <w:tab w:val="left" w:pos="-108"/>
                <w:tab w:val="left" w:pos="72"/>
              </w:tabs>
              <w:ind w:left="-108"/>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会议由项目经理主持，会议时间应定在每月</w:t>
            </w:r>
            <w:r>
              <w:rPr>
                <w:rFonts w:ascii="宋体" w:hAnsi="宋体" w:cs="宋体"/>
                <w:color w:val="auto"/>
                <w:kern w:val="0"/>
                <w:sz w:val="24"/>
                <w:highlight w:val="none"/>
              </w:rPr>
              <w:t>25</w:t>
            </w:r>
            <w:r>
              <w:rPr>
                <w:rFonts w:hint="eastAsia" w:ascii="宋体" w:hAnsi="宋体" w:cs="宋体"/>
                <w:color w:val="auto"/>
                <w:kern w:val="0"/>
                <w:sz w:val="24"/>
                <w:highlight w:val="none"/>
              </w:rPr>
              <w:t>日前后，项目全体服务均应参会；</w:t>
            </w:r>
          </w:p>
          <w:p w14:paraId="41F52B07">
            <w:pPr>
              <w:tabs>
                <w:tab w:val="left" w:pos="-108"/>
                <w:tab w:val="left" w:pos="72"/>
              </w:tabs>
              <w:ind w:left="-108"/>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工作例会上项目经理应通报当月主要工作内容及工作计划与完成对比情况，总结分析当月存在的问题，商讨整改措施，安排下月工作计划，并对作业班组以及主要人员的工作进行点评。</w:t>
            </w:r>
          </w:p>
          <w:p w14:paraId="35A4655E">
            <w:pPr>
              <w:tabs>
                <w:tab w:val="left" w:pos="-108"/>
                <w:tab w:val="left" w:pos="72"/>
              </w:tabs>
              <w:ind w:left="-108"/>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安全生产例会上由安全员汇报当月安全生产总体情况，安全生产检查和整改情况；由项目经理组织学习和传达关于安全生产法律法规和上级安全生产政策、文件精神，分析工作中存在的安全问题，落实安全生产整改措施。</w:t>
            </w:r>
          </w:p>
          <w:p w14:paraId="44A2894F">
            <w:pPr>
              <w:tabs>
                <w:tab w:val="left" w:pos="-108"/>
                <w:tab w:val="left" w:pos="72"/>
              </w:tabs>
              <w:ind w:left="-108"/>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由会议记录人整改会议纪要和会议资料。</w:t>
            </w:r>
          </w:p>
        </w:tc>
        <w:tc>
          <w:tcPr>
            <w:tcW w:w="3672" w:type="dxa"/>
            <w:vAlign w:val="center"/>
          </w:tcPr>
          <w:p w14:paraId="2349562C">
            <w:pPr>
              <w:tabs>
                <w:tab w:val="left" w:pos="72"/>
              </w:tabs>
              <w:rPr>
                <w:rFonts w:cs="Book Antiqua"/>
                <w:color w:val="auto"/>
                <w:sz w:val="24"/>
                <w:highlight w:val="none"/>
              </w:rPr>
            </w:pPr>
            <w:r>
              <w:rPr>
                <w:rFonts w:cs="Book Antiqua"/>
                <w:color w:val="auto"/>
                <w:sz w:val="24"/>
                <w:highlight w:val="none"/>
              </w:rPr>
              <w:t>1.</w:t>
            </w:r>
            <w:r>
              <w:rPr>
                <w:rFonts w:hint="eastAsia" w:cs="Book Antiqua"/>
                <w:color w:val="auto"/>
                <w:sz w:val="24"/>
                <w:highlight w:val="none"/>
              </w:rPr>
              <w:t>月工作例会和安全生产例会召开前应拟订会议提纲或议程；</w:t>
            </w:r>
          </w:p>
          <w:p w14:paraId="4162EE4C">
            <w:pPr>
              <w:tabs>
                <w:tab w:val="left" w:pos="72"/>
              </w:tabs>
              <w:rPr>
                <w:rFonts w:cs="Book Antiqua"/>
                <w:color w:val="auto"/>
                <w:sz w:val="24"/>
                <w:highlight w:val="none"/>
              </w:rPr>
            </w:pPr>
            <w:r>
              <w:rPr>
                <w:rFonts w:cs="Book Antiqua"/>
                <w:color w:val="auto"/>
                <w:sz w:val="24"/>
                <w:highlight w:val="none"/>
              </w:rPr>
              <w:t>2.</w:t>
            </w:r>
            <w:r>
              <w:rPr>
                <w:rFonts w:hint="eastAsia" w:cs="Book Antiqua"/>
                <w:color w:val="auto"/>
                <w:sz w:val="24"/>
                <w:highlight w:val="none"/>
              </w:rPr>
              <w:t>会议形成的会议纪要，会议签到表，专门整理装盒，存档备查；</w:t>
            </w:r>
          </w:p>
          <w:p w14:paraId="35F36C07">
            <w:pPr>
              <w:tabs>
                <w:tab w:val="left" w:pos="72"/>
              </w:tabs>
              <w:rPr>
                <w:rFonts w:cs="Book Antiqua"/>
                <w:color w:val="auto"/>
                <w:sz w:val="24"/>
                <w:highlight w:val="none"/>
              </w:rPr>
            </w:pPr>
            <w:r>
              <w:rPr>
                <w:rFonts w:cs="Book Antiqua"/>
                <w:color w:val="auto"/>
                <w:sz w:val="24"/>
                <w:highlight w:val="none"/>
              </w:rPr>
              <w:t>3.</w:t>
            </w:r>
            <w:r>
              <w:rPr>
                <w:rFonts w:hint="eastAsia" w:cs="Book Antiqua"/>
                <w:color w:val="auto"/>
                <w:sz w:val="24"/>
                <w:highlight w:val="none"/>
              </w:rPr>
              <w:t>会议上学习和传达的法律法规或文件、技术资料等应收集整理，存档备查。</w:t>
            </w:r>
          </w:p>
          <w:p w14:paraId="0CE5EEA4">
            <w:pPr>
              <w:tabs>
                <w:tab w:val="left" w:pos="72"/>
              </w:tabs>
              <w:rPr>
                <w:rFonts w:cs="Book Antiqua"/>
                <w:color w:val="auto"/>
                <w:sz w:val="24"/>
                <w:highlight w:val="none"/>
              </w:rPr>
            </w:pPr>
          </w:p>
        </w:tc>
      </w:tr>
    </w:tbl>
    <w:p w14:paraId="313B23B7">
      <w:pPr>
        <w:widowControl/>
        <w:adjustRightInd w:val="0"/>
        <w:snapToGrid w:val="0"/>
        <w:spacing w:line="360" w:lineRule="auto"/>
        <w:jc w:val="left"/>
        <w:rPr>
          <w:rFonts w:ascii="宋体" w:cs="宋体"/>
          <w:b/>
          <w:color w:val="auto"/>
          <w:kern w:val="0"/>
          <w:sz w:val="24"/>
          <w:highlight w:val="none"/>
        </w:rPr>
      </w:pPr>
    </w:p>
    <w:p w14:paraId="574CAAA0">
      <w:pPr>
        <w:widowControl/>
        <w:adjustRightInd w:val="0"/>
        <w:snapToGrid w:val="0"/>
        <w:spacing w:line="360" w:lineRule="auto"/>
        <w:jc w:val="left"/>
        <w:rPr>
          <w:rFonts w:ascii="宋体" w:cs="宋体"/>
          <w:b/>
          <w:color w:val="auto"/>
          <w:kern w:val="0"/>
          <w:sz w:val="24"/>
          <w:highlight w:val="none"/>
        </w:rPr>
      </w:pPr>
      <w:r>
        <w:rPr>
          <w:rFonts w:ascii="宋体" w:cs="宋体"/>
          <w:b/>
          <w:color w:val="auto"/>
          <w:kern w:val="0"/>
          <w:sz w:val="24"/>
          <w:highlight w:val="none"/>
        </w:rPr>
        <w:t xml:space="preserve">5.4 </w:t>
      </w:r>
      <w:r>
        <w:rPr>
          <w:rFonts w:hint="eastAsia" w:ascii="宋体" w:cs="宋体"/>
          <w:b/>
          <w:color w:val="auto"/>
          <w:kern w:val="0"/>
          <w:sz w:val="24"/>
          <w:highlight w:val="none"/>
        </w:rPr>
        <w:t>安全生产检查和整改</w:t>
      </w:r>
    </w:p>
    <w:p w14:paraId="3B2D461F">
      <w:pPr>
        <w:widowControl/>
        <w:adjustRightInd w:val="0"/>
        <w:snapToGrid w:val="0"/>
        <w:spacing w:line="360" w:lineRule="auto"/>
        <w:ind w:firstLine="484" w:firstLineChars="202"/>
        <w:jc w:val="left"/>
        <w:rPr>
          <w:rFonts w:ascii="宋体" w:cs="宋体"/>
          <w:color w:val="auto"/>
          <w:kern w:val="0"/>
          <w:sz w:val="24"/>
          <w:highlight w:val="none"/>
        </w:rPr>
      </w:pPr>
      <w:r>
        <w:rPr>
          <w:rFonts w:ascii="宋体" w:cs="宋体"/>
          <w:color w:val="auto"/>
          <w:kern w:val="0"/>
          <w:sz w:val="24"/>
          <w:highlight w:val="none"/>
        </w:rPr>
        <w:t xml:space="preserve">5.4.1  </w:t>
      </w:r>
      <w:r>
        <w:rPr>
          <w:rFonts w:hint="eastAsia" w:ascii="宋体" w:cs="宋体"/>
          <w:color w:val="auto"/>
          <w:kern w:val="0"/>
          <w:sz w:val="24"/>
          <w:highlight w:val="none"/>
        </w:rPr>
        <w:t>中标人应认真贯彻落实安全生产责任制度、安全生产检查整改制度，安全员应当每周不少于两次巡查养护作业现场，认真登记安全生产巡查记录，发现问题的，及时组织整改。安全生产巡查记录和整改指令由安全员和接受监督的班组长共同签字确认。</w:t>
      </w:r>
      <w:r>
        <w:rPr>
          <w:rFonts w:hint="eastAsia" w:ascii="宋体" w:hAnsi="宋体" w:cs="宋体"/>
          <w:color w:val="auto"/>
          <w:kern w:val="0"/>
          <w:sz w:val="24"/>
          <w:highlight w:val="none"/>
        </w:rPr>
        <w:t>每月至少组织一次安全生产自检，重点检查作业机械设备机况、人员劳保用品配备和使用情况，安全作业操作行为等，安全生产自检要书面记录，并配有照片等，自检资料整理归档形成台账。</w:t>
      </w:r>
    </w:p>
    <w:p w14:paraId="000A6F42">
      <w:pPr>
        <w:widowControl/>
        <w:adjustRightInd w:val="0"/>
        <w:snapToGrid w:val="0"/>
        <w:spacing w:line="360" w:lineRule="auto"/>
        <w:ind w:firstLine="484" w:firstLineChars="202"/>
        <w:jc w:val="left"/>
        <w:rPr>
          <w:rFonts w:ascii="宋体" w:cs="宋体"/>
          <w:color w:val="auto"/>
          <w:kern w:val="0"/>
          <w:sz w:val="24"/>
          <w:highlight w:val="none"/>
        </w:rPr>
      </w:pPr>
      <w:r>
        <w:rPr>
          <w:rFonts w:ascii="宋体" w:cs="宋体"/>
          <w:color w:val="auto"/>
          <w:kern w:val="0"/>
          <w:sz w:val="24"/>
          <w:highlight w:val="none"/>
        </w:rPr>
        <w:t xml:space="preserve">5.4.2  </w:t>
      </w:r>
      <w:r>
        <w:rPr>
          <w:rFonts w:hint="eastAsia" w:ascii="宋体" w:cs="宋体"/>
          <w:color w:val="auto"/>
          <w:kern w:val="0"/>
          <w:sz w:val="24"/>
          <w:highlight w:val="none"/>
        </w:rPr>
        <w:t>中标人应加强养护机械设备的管理，完善机械设备操作规程并严格贯彻执行，建立机械设备定期维修保养制度，每周定期检查机械设备性能和防护设施有效性。</w:t>
      </w:r>
    </w:p>
    <w:p w14:paraId="01EE64CE">
      <w:pPr>
        <w:widowControl/>
        <w:adjustRightInd w:val="0"/>
        <w:snapToGrid w:val="0"/>
        <w:spacing w:line="360" w:lineRule="auto"/>
        <w:ind w:firstLine="484" w:firstLineChars="202"/>
        <w:jc w:val="left"/>
        <w:rPr>
          <w:rFonts w:ascii="宋体" w:cs="宋体"/>
          <w:color w:val="auto"/>
          <w:kern w:val="0"/>
          <w:sz w:val="24"/>
          <w:highlight w:val="none"/>
        </w:rPr>
      </w:pPr>
      <w:r>
        <w:rPr>
          <w:rFonts w:ascii="宋体" w:cs="宋体"/>
          <w:color w:val="auto"/>
          <w:kern w:val="0"/>
          <w:sz w:val="24"/>
          <w:highlight w:val="none"/>
        </w:rPr>
        <w:t xml:space="preserve">5.4.3 </w:t>
      </w:r>
      <w:r>
        <w:rPr>
          <w:rFonts w:hint="eastAsia" w:ascii="宋体" w:cs="宋体"/>
          <w:color w:val="auto"/>
          <w:kern w:val="0"/>
          <w:sz w:val="24"/>
          <w:highlight w:val="none"/>
        </w:rPr>
        <w:t>中标人应按招标文件的推荐标准为全体养护作业工人配备安全生产设施和劳动保护用品，对全体工人进行使用培训。安全设施及劳保用品损坏遗失的，应及时补足。推荐配备标准为：标注企业名称和监督电话的带反光条的红色或橙色马甲（每人每一个月至少更新</w:t>
      </w:r>
      <w:r>
        <w:rPr>
          <w:rFonts w:ascii="宋体" w:cs="宋体"/>
          <w:color w:val="auto"/>
          <w:kern w:val="0"/>
          <w:sz w:val="24"/>
          <w:highlight w:val="none"/>
        </w:rPr>
        <w:t>1</w:t>
      </w:r>
      <w:r>
        <w:rPr>
          <w:rFonts w:hint="eastAsia" w:ascii="宋体" w:cs="宋体"/>
          <w:color w:val="auto"/>
          <w:kern w:val="0"/>
          <w:sz w:val="24"/>
          <w:highlight w:val="none"/>
        </w:rPr>
        <w:t>件）、安全帽（每人</w:t>
      </w:r>
      <w:r>
        <w:rPr>
          <w:rFonts w:ascii="宋体" w:cs="宋体"/>
          <w:color w:val="auto"/>
          <w:kern w:val="0"/>
          <w:sz w:val="24"/>
          <w:highlight w:val="none"/>
        </w:rPr>
        <w:t>1</w:t>
      </w:r>
      <w:r>
        <w:rPr>
          <w:rFonts w:hint="eastAsia" w:ascii="宋体" w:cs="宋体"/>
          <w:color w:val="auto"/>
          <w:kern w:val="0"/>
          <w:sz w:val="24"/>
          <w:highlight w:val="none"/>
        </w:rPr>
        <w:t>顶）、草帽（每人每季度</w:t>
      </w:r>
      <w:r>
        <w:rPr>
          <w:rFonts w:ascii="宋体" w:cs="宋体"/>
          <w:color w:val="auto"/>
          <w:kern w:val="0"/>
          <w:sz w:val="24"/>
          <w:highlight w:val="none"/>
        </w:rPr>
        <w:t>1</w:t>
      </w:r>
      <w:r>
        <w:rPr>
          <w:rFonts w:hint="eastAsia" w:ascii="宋体" w:cs="宋体"/>
          <w:color w:val="auto"/>
          <w:kern w:val="0"/>
          <w:sz w:val="24"/>
          <w:highlight w:val="none"/>
        </w:rPr>
        <w:t>顶）、头盔式护面罩（割草专用，班组常备不少于</w:t>
      </w:r>
      <w:r>
        <w:rPr>
          <w:rFonts w:ascii="宋体" w:cs="宋体"/>
          <w:color w:val="auto"/>
          <w:kern w:val="0"/>
          <w:sz w:val="24"/>
          <w:highlight w:val="none"/>
        </w:rPr>
        <w:t>5</w:t>
      </w:r>
      <w:r>
        <w:rPr>
          <w:rFonts w:hint="eastAsia" w:ascii="宋体" w:cs="宋体"/>
          <w:color w:val="auto"/>
          <w:kern w:val="0"/>
          <w:sz w:val="24"/>
          <w:highlight w:val="none"/>
        </w:rPr>
        <w:t>个）、手套和防尘口罩（每人每月至少发放</w:t>
      </w:r>
      <w:r>
        <w:rPr>
          <w:rFonts w:ascii="宋体" w:cs="宋体"/>
          <w:color w:val="auto"/>
          <w:kern w:val="0"/>
          <w:sz w:val="24"/>
          <w:highlight w:val="none"/>
        </w:rPr>
        <w:t>2</w:t>
      </w:r>
      <w:r>
        <w:rPr>
          <w:rFonts w:hint="eastAsia" w:ascii="宋体" w:cs="宋体"/>
          <w:color w:val="auto"/>
          <w:kern w:val="0"/>
          <w:sz w:val="24"/>
          <w:highlight w:val="none"/>
        </w:rPr>
        <w:t>双</w:t>
      </w:r>
      <w:r>
        <w:rPr>
          <w:rFonts w:ascii="宋体" w:cs="宋体"/>
          <w:color w:val="auto"/>
          <w:kern w:val="0"/>
          <w:sz w:val="24"/>
          <w:highlight w:val="none"/>
        </w:rPr>
        <w:t>/</w:t>
      </w:r>
      <w:r>
        <w:rPr>
          <w:rFonts w:hint="eastAsia" w:ascii="宋体" w:cs="宋体"/>
          <w:color w:val="auto"/>
          <w:kern w:val="0"/>
          <w:sz w:val="24"/>
          <w:highlight w:val="none"/>
        </w:rPr>
        <w:t>只）、水壶（每人</w:t>
      </w:r>
      <w:r>
        <w:rPr>
          <w:rFonts w:ascii="宋体" w:cs="宋体"/>
          <w:color w:val="auto"/>
          <w:kern w:val="0"/>
          <w:sz w:val="24"/>
          <w:highlight w:val="none"/>
        </w:rPr>
        <w:t>1</w:t>
      </w:r>
      <w:r>
        <w:rPr>
          <w:rFonts w:hint="eastAsia" w:ascii="宋体" w:cs="宋体"/>
          <w:color w:val="auto"/>
          <w:kern w:val="0"/>
          <w:sz w:val="24"/>
          <w:highlight w:val="none"/>
        </w:rPr>
        <w:t>个，统一规格型式）、布鞋或劳保鞋（每人每季度至少发放</w:t>
      </w:r>
      <w:r>
        <w:rPr>
          <w:rFonts w:ascii="宋体" w:cs="宋体"/>
          <w:color w:val="auto"/>
          <w:kern w:val="0"/>
          <w:sz w:val="24"/>
          <w:highlight w:val="none"/>
        </w:rPr>
        <w:t>1</w:t>
      </w:r>
      <w:r>
        <w:rPr>
          <w:rFonts w:hint="eastAsia" w:ascii="宋体" w:cs="宋体"/>
          <w:color w:val="auto"/>
          <w:kern w:val="0"/>
          <w:sz w:val="24"/>
          <w:highlight w:val="none"/>
        </w:rPr>
        <w:t>双）、标注企业名称和监督电话带反光条雨衣（每人</w:t>
      </w:r>
      <w:r>
        <w:rPr>
          <w:rFonts w:ascii="宋体" w:cs="宋体"/>
          <w:color w:val="auto"/>
          <w:kern w:val="0"/>
          <w:sz w:val="24"/>
          <w:highlight w:val="none"/>
        </w:rPr>
        <w:t>1</w:t>
      </w:r>
      <w:r>
        <w:rPr>
          <w:rFonts w:hint="eastAsia" w:ascii="宋体" w:cs="宋体"/>
          <w:color w:val="auto"/>
          <w:kern w:val="0"/>
          <w:sz w:val="24"/>
          <w:highlight w:val="none"/>
        </w:rPr>
        <w:t>件，分体式）、反光锥标（每班组常备不少于</w:t>
      </w:r>
      <w:r>
        <w:rPr>
          <w:rFonts w:ascii="宋体" w:cs="宋体"/>
          <w:color w:val="auto"/>
          <w:kern w:val="0"/>
          <w:sz w:val="24"/>
          <w:highlight w:val="none"/>
        </w:rPr>
        <w:t>50</w:t>
      </w:r>
      <w:r>
        <w:rPr>
          <w:rFonts w:hint="eastAsia" w:ascii="宋体" w:cs="宋体"/>
          <w:color w:val="auto"/>
          <w:kern w:val="0"/>
          <w:sz w:val="24"/>
          <w:highlight w:val="none"/>
        </w:rPr>
        <w:t>个）、轻便式施工警告牌（每班组常备不少于</w:t>
      </w:r>
      <w:r>
        <w:rPr>
          <w:rFonts w:ascii="宋体" w:cs="宋体"/>
          <w:color w:val="auto"/>
          <w:kern w:val="0"/>
          <w:sz w:val="24"/>
          <w:highlight w:val="none"/>
        </w:rPr>
        <w:t>4</w:t>
      </w:r>
      <w:r>
        <w:rPr>
          <w:rFonts w:hint="eastAsia" w:ascii="宋体" w:cs="宋体"/>
          <w:color w:val="auto"/>
          <w:kern w:val="0"/>
          <w:sz w:val="24"/>
          <w:highlight w:val="none"/>
        </w:rPr>
        <w:t>个）。</w:t>
      </w:r>
    </w:p>
    <w:p w14:paraId="030B70AE">
      <w:pPr>
        <w:widowControl/>
        <w:adjustRightInd w:val="0"/>
        <w:snapToGrid w:val="0"/>
        <w:spacing w:line="360" w:lineRule="auto"/>
        <w:ind w:firstLine="484" w:firstLineChars="202"/>
        <w:jc w:val="left"/>
        <w:rPr>
          <w:rFonts w:ascii="宋体" w:cs="宋体"/>
          <w:color w:val="auto"/>
          <w:kern w:val="0"/>
          <w:sz w:val="24"/>
          <w:highlight w:val="none"/>
        </w:rPr>
      </w:pPr>
      <w:r>
        <w:rPr>
          <w:rFonts w:ascii="宋体" w:hAnsi="宋体" w:cs="宋体"/>
          <w:color w:val="auto"/>
          <w:kern w:val="0"/>
          <w:sz w:val="24"/>
          <w:highlight w:val="none"/>
        </w:rPr>
        <w:t xml:space="preserve">5.4.4  </w:t>
      </w:r>
      <w:r>
        <w:rPr>
          <w:rFonts w:hint="eastAsia" w:ascii="宋体" w:hAnsi="宋体" w:cs="宋体"/>
          <w:color w:val="auto"/>
          <w:kern w:val="0"/>
          <w:sz w:val="24"/>
          <w:highlight w:val="none"/>
        </w:rPr>
        <w:t>上路开展养护作业的安全生产要求如下：</w:t>
      </w:r>
    </w:p>
    <w:p w14:paraId="0311AEB9">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）养护机械设备以及管理车辆必须随车配备反光锥标，在路上停车时，应在机械、车辆后方</w:t>
      </w:r>
      <w:r>
        <w:rPr>
          <w:rFonts w:ascii="宋体" w:hAnsi="宋体" w:cs="宋体"/>
          <w:color w:val="auto"/>
          <w:kern w:val="0"/>
          <w:sz w:val="24"/>
          <w:highlight w:val="none"/>
        </w:rPr>
        <w:t>50</w:t>
      </w:r>
      <w:r>
        <w:rPr>
          <w:rFonts w:hint="eastAsia" w:ascii="宋体" w:hAnsi="宋体" w:cs="宋体"/>
          <w:color w:val="auto"/>
          <w:kern w:val="0"/>
          <w:sz w:val="24"/>
          <w:highlight w:val="none"/>
        </w:rPr>
        <w:t>米处设置锥标警示来车注意行驶安全；</w:t>
      </w:r>
    </w:p>
    <w:p w14:paraId="3A783CB8">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）机械设备驾驶员及管理人员必须身着反光马甲、脚穿布鞋或劳保鞋上路作业，严禁打赤膊、光脚或穿拖鞋作业，严禁驾驶员在作业时使用耳机、耳塞听音乐、广播等，严禁在驾驶室内播放音乐、广播超过</w:t>
      </w:r>
      <w:r>
        <w:rPr>
          <w:rFonts w:ascii="宋体" w:hAnsi="宋体" w:cs="宋体"/>
          <w:color w:val="auto"/>
          <w:kern w:val="0"/>
          <w:sz w:val="24"/>
          <w:highlight w:val="none"/>
        </w:rPr>
        <w:t>60</w:t>
      </w:r>
      <w:r>
        <w:rPr>
          <w:rFonts w:hint="eastAsia" w:ascii="宋体" w:hAnsi="宋体" w:cs="宋体"/>
          <w:color w:val="auto"/>
          <w:kern w:val="0"/>
          <w:sz w:val="24"/>
          <w:highlight w:val="none"/>
        </w:rPr>
        <w:t>分贝；</w:t>
      </w:r>
    </w:p>
    <w:p w14:paraId="4A452783">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养护工人在上路作业时，必须身着带反光条马甲、手戴手套，脚穿布鞋或劳保鞋，严禁打赤膊、光脚或穿拖鞋作业，严禁在作业时使用耳机、耳塞听音乐、广播等，高处作业必须正确使用安全带，低处作业必须头戴安全帽，割草作业时必须使用防护面罩；</w:t>
      </w:r>
    </w:p>
    <w:p w14:paraId="34CCECFB">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）除了持续移动的单人作业外，其他如集中清理、多人（</w:t>
      </w:r>
      <w:r>
        <w:rPr>
          <w:rFonts w:ascii="宋体" w:hAnsi="宋体" w:cs="宋体"/>
          <w:color w:val="auto"/>
          <w:kern w:val="0"/>
          <w:sz w:val="24"/>
          <w:highlight w:val="none"/>
        </w:rPr>
        <w:t>2</w:t>
      </w:r>
      <w:r>
        <w:rPr>
          <w:rFonts w:hint="eastAsia" w:ascii="宋体" w:hAnsi="宋体" w:cs="宋体"/>
          <w:color w:val="auto"/>
          <w:kern w:val="0"/>
          <w:sz w:val="24"/>
          <w:highlight w:val="none"/>
        </w:rPr>
        <w:t>人及以上）协同作业的，应在作业路段按规范设置作业控制区；</w:t>
      </w:r>
    </w:p>
    <w:p w14:paraId="0CA43D40">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）需要长时间才能完成的养护或维修作业，如路面维修、更换交通设施或结构物等，必须严格按规定设置作业控制区；</w:t>
      </w:r>
    </w:p>
    <w:p w14:paraId="1C8A3995">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6</w:t>
      </w:r>
      <w:r>
        <w:rPr>
          <w:rFonts w:hint="eastAsia" w:ascii="宋体" w:hAnsi="宋体" w:cs="宋体"/>
          <w:color w:val="auto"/>
          <w:kern w:val="0"/>
          <w:sz w:val="24"/>
          <w:highlight w:val="none"/>
        </w:rPr>
        <w:t>）严禁人员、机械、工具等停放或摆放在作业控制区外；</w:t>
      </w:r>
    </w:p>
    <w:p w14:paraId="5AF81CFF">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7</w:t>
      </w:r>
      <w:r>
        <w:rPr>
          <w:rFonts w:hint="eastAsia" w:ascii="宋体" w:hAnsi="宋体" w:cs="宋体"/>
          <w:color w:val="auto"/>
          <w:kern w:val="0"/>
          <w:sz w:val="24"/>
          <w:highlight w:val="none"/>
        </w:rPr>
        <w:t>）严禁把机械、车辆、材料、工具等停放或堆放在路面上过夜，当天开挖（铣刨）的路面坑洞、路槽等，必须当天填筑完毕，严禁留待次日施工。</w:t>
      </w:r>
    </w:p>
    <w:p w14:paraId="203C09C6">
      <w:pPr>
        <w:widowControl/>
        <w:adjustRightInd w:val="0"/>
        <w:snapToGrid w:val="0"/>
        <w:spacing w:line="360" w:lineRule="auto"/>
        <w:jc w:val="left"/>
        <w:rPr>
          <w:rFonts w:ascii="宋体" w:cs="宋体"/>
          <w:color w:val="auto"/>
          <w:kern w:val="0"/>
          <w:sz w:val="24"/>
          <w:highlight w:val="none"/>
        </w:rPr>
      </w:pPr>
      <w:r>
        <w:rPr>
          <w:rFonts w:ascii="宋体" w:cs="宋体"/>
          <w:color w:val="auto"/>
          <w:kern w:val="0"/>
          <w:sz w:val="24"/>
          <w:highlight w:val="none"/>
        </w:rPr>
        <w:t xml:space="preserve">    5.4.5  </w:t>
      </w:r>
      <w:r>
        <w:rPr>
          <w:rFonts w:hint="eastAsia" w:ascii="宋体" w:cs="宋体"/>
          <w:color w:val="auto"/>
          <w:kern w:val="0"/>
          <w:sz w:val="24"/>
          <w:highlight w:val="none"/>
        </w:rPr>
        <w:t>安全生产检查和整改标准化要求如下表：</w:t>
      </w:r>
    </w:p>
    <w:p w14:paraId="4568A5F3">
      <w:pPr>
        <w:widowControl/>
        <w:adjustRightInd w:val="0"/>
        <w:snapToGrid w:val="0"/>
        <w:spacing w:line="360" w:lineRule="auto"/>
        <w:jc w:val="center"/>
        <w:rPr>
          <w:rFonts w:ascii="宋体" w:cs="宋体"/>
          <w:b/>
          <w:color w:val="auto"/>
          <w:kern w:val="0"/>
          <w:sz w:val="24"/>
          <w:highlight w:val="none"/>
        </w:rPr>
      </w:pPr>
      <w:r>
        <w:rPr>
          <w:rFonts w:hint="eastAsia" w:ascii="宋体" w:cs="宋体"/>
          <w:b/>
          <w:color w:val="auto"/>
          <w:kern w:val="0"/>
          <w:sz w:val="24"/>
          <w:highlight w:val="none"/>
        </w:rPr>
        <w:t>安全生产标准化要求表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098"/>
        <w:gridCol w:w="4305"/>
      </w:tblGrid>
      <w:tr w14:paraId="0DCB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60" w:type="dxa"/>
          </w:tcPr>
          <w:p w14:paraId="64961F58">
            <w:pPr>
              <w:jc w:val="center"/>
              <w:rPr>
                <w:rFonts w:cs="Book Antiqua"/>
                <w:color w:val="auto"/>
                <w:sz w:val="24"/>
                <w:highlight w:val="none"/>
              </w:rPr>
            </w:pPr>
          </w:p>
          <w:p w14:paraId="0E388840">
            <w:pPr>
              <w:jc w:val="center"/>
              <w:rPr>
                <w:rFonts w:cs="Book Antiqua"/>
                <w:color w:val="auto"/>
                <w:sz w:val="24"/>
                <w:highlight w:val="none"/>
              </w:rPr>
            </w:pPr>
            <w:r>
              <w:rPr>
                <w:rFonts w:hint="eastAsia" w:cs="Book Antiqua"/>
                <w:color w:val="auto"/>
                <w:sz w:val="24"/>
                <w:highlight w:val="none"/>
              </w:rPr>
              <w:t>项目名称</w:t>
            </w:r>
          </w:p>
        </w:tc>
        <w:tc>
          <w:tcPr>
            <w:tcW w:w="4098" w:type="dxa"/>
          </w:tcPr>
          <w:p w14:paraId="4C1FFE4B">
            <w:pPr>
              <w:jc w:val="center"/>
              <w:rPr>
                <w:rFonts w:cs="Book Antiqua"/>
                <w:color w:val="auto"/>
                <w:sz w:val="24"/>
                <w:highlight w:val="none"/>
              </w:rPr>
            </w:pPr>
          </w:p>
          <w:p w14:paraId="6BFDD178">
            <w:pPr>
              <w:jc w:val="center"/>
              <w:rPr>
                <w:rFonts w:cs="Book Antiqua"/>
                <w:color w:val="auto"/>
                <w:sz w:val="24"/>
                <w:highlight w:val="none"/>
              </w:rPr>
            </w:pPr>
            <w:r>
              <w:rPr>
                <w:rFonts w:hint="eastAsia" w:cs="Book Antiqua"/>
                <w:color w:val="auto"/>
                <w:sz w:val="24"/>
                <w:highlight w:val="none"/>
              </w:rPr>
              <w:t>工作内容</w:t>
            </w:r>
          </w:p>
        </w:tc>
        <w:tc>
          <w:tcPr>
            <w:tcW w:w="4305" w:type="dxa"/>
          </w:tcPr>
          <w:p w14:paraId="26F79AB7">
            <w:pPr>
              <w:jc w:val="center"/>
              <w:rPr>
                <w:rFonts w:cs="Book Antiqua"/>
                <w:color w:val="auto"/>
                <w:sz w:val="24"/>
                <w:highlight w:val="none"/>
              </w:rPr>
            </w:pPr>
          </w:p>
          <w:p w14:paraId="2EC80155">
            <w:pPr>
              <w:jc w:val="center"/>
              <w:rPr>
                <w:rFonts w:cs="Book Antiqua"/>
                <w:color w:val="auto"/>
                <w:sz w:val="24"/>
                <w:highlight w:val="none"/>
              </w:rPr>
            </w:pPr>
            <w:r>
              <w:rPr>
                <w:rFonts w:hint="eastAsia" w:cs="Book Antiqua"/>
                <w:color w:val="auto"/>
                <w:sz w:val="24"/>
                <w:highlight w:val="none"/>
              </w:rPr>
              <w:t>工作要求和质量标准</w:t>
            </w:r>
          </w:p>
        </w:tc>
      </w:tr>
      <w:tr w14:paraId="5250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1FFE2CF4">
            <w:pPr>
              <w:jc w:val="center"/>
              <w:rPr>
                <w:rFonts w:cs="Book Antiqua"/>
                <w:color w:val="auto"/>
                <w:sz w:val="24"/>
                <w:highlight w:val="none"/>
              </w:rPr>
            </w:pPr>
            <w:r>
              <w:rPr>
                <w:rFonts w:hint="eastAsia" w:cs="Book Antiqua"/>
                <w:color w:val="auto"/>
                <w:sz w:val="24"/>
                <w:highlight w:val="none"/>
              </w:rPr>
              <w:t>安全生产</w:t>
            </w:r>
          </w:p>
          <w:p w14:paraId="179A9739">
            <w:pPr>
              <w:jc w:val="center"/>
              <w:rPr>
                <w:rFonts w:cs="Book Antiqua"/>
                <w:color w:val="auto"/>
                <w:sz w:val="24"/>
                <w:highlight w:val="none"/>
              </w:rPr>
            </w:pPr>
            <w:r>
              <w:rPr>
                <w:rFonts w:hint="eastAsia" w:cs="Book Antiqua"/>
                <w:color w:val="auto"/>
                <w:sz w:val="24"/>
                <w:highlight w:val="none"/>
              </w:rPr>
              <w:t>检查和整改</w:t>
            </w:r>
          </w:p>
        </w:tc>
        <w:tc>
          <w:tcPr>
            <w:tcW w:w="4098" w:type="dxa"/>
          </w:tcPr>
          <w:p w14:paraId="7ADD8A74">
            <w:pPr>
              <w:tabs>
                <w:tab w:val="left" w:pos="72"/>
              </w:tabs>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建立安全生产责任制和安全生产检查整改制度；</w:t>
            </w:r>
          </w:p>
          <w:p w14:paraId="41F77AD0">
            <w:pPr>
              <w:tabs>
                <w:tab w:val="left" w:pos="72"/>
              </w:tabs>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落实安全员定期巡查监督养护现场制度，落实每月安全生产自检制度</w:t>
            </w:r>
          </w:p>
          <w:p w14:paraId="3A336AA1">
            <w:pPr>
              <w:tabs>
                <w:tab w:val="left" w:pos="72"/>
              </w:tabs>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按规定配备安全设施和劳保用品；</w:t>
            </w:r>
          </w:p>
          <w:p w14:paraId="315F9702">
            <w:pPr>
              <w:tabs>
                <w:tab w:val="left" w:pos="72"/>
              </w:tabs>
              <w:rPr>
                <w:rFonts w:ascii="宋体" w:cs="宋体"/>
                <w:color w:val="auto"/>
                <w:kern w:val="0"/>
                <w:sz w:val="24"/>
                <w:highlight w:val="none"/>
              </w:rPr>
            </w:pPr>
            <w:r>
              <w:rPr>
                <w:rFonts w:hint="eastAsia" w:ascii="宋体" w:hAnsi="宋体" w:cs="宋体"/>
                <w:color w:val="auto"/>
                <w:kern w:val="0"/>
                <w:sz w:val="24"/>
                <w:highlight w:val="none"/>
              </w:rPr>
              <w:t>严格执行养护作业安全操作规程重；</w:t>
            </w:r>
          </w:p>
          <w:p w14:paraId="4FC0492E">
            <w:pPr>
              <w:tabs>
                <w:tab w:val="left" w:pos="72"/>
              </w:tabs>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发现存在安全生产隐患和问题的要及时组织整改。</w:t>
            </w:r>
          </w:p>
        </w:tc>
        <w:tc>
          <w:tcPr>
            <w:tcW w:w="4305" w:type="dxa"/>
          </w:tcPr>
          <w:p w14:paraId="7E688E54">
            <w:pPr>
              <w:tabs>
                <w:tab w:val="left" w:pos="72"/>
              </w:tabs>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安全生产组织框图上墙，岗位安全生产责任明确落实并上墙；</w:t>
            </w:r>
          </w:p>
          <w:p w14:paraId="68739F33">
            <w:pPr>
              <w:tabs>
                <w:tab w:val="left" w:pos="72"/>
              </w:tabs>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定期巡查和每月产自检要有书面记录，并配有照片等，要有检查人和被检查人签字，专门整理装盒，存档备查。</w:t>
            </w:r>
            <w:r>
              <w:rPr>
                <w:rFonts w:ascii="宋体" w:hAnsi="宋体" w:cs="宋体"/>
                <w:color w:val="auto"/>
                <w:kern w:val="0"/>
                <w:sz w:val="24"/>
                <w:highlight w:val="none"/>
              </w:rPr>
              <w:t>3.</w:t>
            </w:r>
            <w:r>
              <w:rPr>
                <w:rFonts w:hint="eastAsia" w:ascii="宋体" w:hAnsi="宋体" w:cs="宋体"/>
                <w:color w:val="auto"/>
                <w:kern w:val="0"/>
                <w:sz w:val="24"/>
                <w:highlight w:val="none"/>
              </w:rPr>
              <w:t>安全生产整改资料要有检查人和整改人签字，并配有照片等。专门整理装盒，存档备查。</w:t>
            </w:r>
          </w:p>
          <w:p w14:paraId="2BF31694">
            <w:pPr>
              <w:tabs>
                <w:tab w:val="left" w:pos="72"/>
              </w:tabs>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安全设施和劳保用品发放要书面登记，领受人要签字接收，资料整理存档。</w:t>
            </w:r>
          </w:p>
        </w:tc>
      </w:tr>
    </w:tbl>
    <w:p w14:paraId="770FF163">
      <w:pPr>
        <w:widowControl/>
        <w:adjustRightInd w:val="0"/>
        <w:snapToGrid w:val="0"/>
        <w:spacing w:line="360" w:lineRule="auto"/>
        <w:ind w:firstLine="484" w:firstLineChars="202"/>
        <w:jc w:val="left"/>
        <w:rPr>
          <w:rFonts w:ascii="宋体" w:cs="宋体"/>
          <w:color w:val="auto"/>
          <w:kern w:val="0"/>
          <w:sz w:val="24"/>
          <w:highlight w:val="none"/>
        </w:rPr>
      </w:pPr>
    </w:p>
    <w:p w14:paraId="6B073BA1">
      <w:pPr>
        <w:spacing w:line="300" w:lineRule="auto"/>
        <w:jc w:val="left"/>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报价说明与报价清单</w:t>
      </w:r>
    </w:p>
    <w:p w14:paraId="34F8B9D8">
      <w:pPr>
        <w:spacing w:line="300" w:lineRule="auto"/>
        <w:jc w:val="left"/>
        <w:rPr>
          <w:rFonts w:ascii="宋体"/>
          <w:b/>
          <w:color w:val="auto"/>
          <w:sz w:val="24"/>
          <w:highlight w:val="none"/>
        </w:rPr>
      </w:pPr>
      <w:r>
        <w:rPr>
          <w:rFonts w:ascii="宋体" w:hAnsi="宋体"/>
          <w:b/>
          <w:color w:val="auto"/>
          <w:sz w:val="24"/>
          <w:highlight w:val="none"/>
        </w:rPr>
        <w:t xml:space="preserve">6.1 </w:t>
      </w:r>
      <w:r>
        <w:rPr>
          <w:rFonts w:hint="eastAsia" w:ascii="宋体" w:hAnsi="宋体"/>
          <w:b/>
          <w:color w:val="auto"/>
          <w:sz w:val="24"/>
          <w:highlight w:val="none"/>
        </w:rPr>
        <w:t>招标项目报价说明</w:t>
      </w:r>
    </w:p>
    <w:p w14:paraId="4A867535">
      <w:pPr>
        <w:spacing w:line="360" w:lineRule="auto"/>
        <w:ind w:firstLine="573"/>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本招标项目清单项目是根据招标文件中包括的、有合同约束力的招标项目需求以及有关农村公路养护的行业标准、技术规范、合同条款约定的计量规则编制。计量采用中华人民共和国法定计量单位，费用单位为人民币元。</w:t>
      </w:r>
    </w:p>
    <w:p w14:paraId="62912C6B">
      <w:pPr>
        <w:spacing w:line="360" w:lineRule="auto"/>
        <w:ind w:firstLine="573"/>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）本招标项目报价清单应与招标文件中的投标人须知、项目需求、合同条款、技术规范等一起阅读理解。</w:t>
      </w:r>
    </w:p>
    <w:p w14:paraId="27EA6514">
      <w:pPr>
        <w:spacing w:line="360" w:lineRule="auto"/>
        <w:ind w:firstLine="573"/>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本报价清单中采购人所列数量是估算或预计数量，仅作为投标报价的共同基础，不能作为最终结算与支付的依据。实际支付应按实际完成的工作量，由中标人按本招标文件规定的计量方法，以采购人确认完成各分项工作的计量方法，按中标人所报的单位和总额价计算支付金额。</w:t>
      </w:r>
    </w:p>
    <w:p w14:paraId="23D0F84D">
      <w:pPr>
        <w:spacing w:line="360" w:lineRule="auto"/>
        <w:ind w:firstLine="573"/>
        <w:jc w:val="left"/>
        <w:rPr>
          <w:rFonts w:ascii="宋体"/>
          <w:b/>
          <w:bCs/>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）清单中招标所列数量的变动，丝毫不会降低或影响合同条款的效力，也不免除中标人按规定的标准和要求进行养护及其他作业的责任；</w:t>
      </w:r>
      <w:r>
        <w:rPr>
          <w:rFonts w:hint="eastAsia" w:ascii="宋体" w:hAnsi="宋体"/>
          <w:b/>
          <w:bCs/>
          <w:color w:val="auto"/>
          <w:sz w:val="24"/>
          <w:highlight w:val="none"/>
        </w:rPr>
        <w:t>清单所列数量，业主可以根据实际需要有权作必要调整，投标人必须服从。</w:t>
      </w:r>
    </w:p>
    <w:p w14:paraId="7F5A4E9C">
      <w:pPr>
        <w:spacing w:line="360" w:lineRule="auto"/>
        <w:ind w:firstLine="573"/>
        <w:jc w:val="left"/>
        <w:rPr>
          <w:rFonts w:ascii="宋体" w:hAnsi="宋体"/>
          <w:b/>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）清单中的每个分项工作均须填入单价或价格，且只允许有一个报价</w:t>
      </w:r>
      <w:r>
        <w:rPr>
          <w:rFonts w:hint="eastAsia" w:ascii="宋体" w:hAnsi="宋体"/>
          <w:b/>
          <w:color w:val="auto"/>
          <w:sz w:val="24"/>
          <w:highlight w:val="none"/>
        </w:rPr>
        <w:t>。</w:t>
      </w:r>
    </w:p>
    <w:p w14:paraId="45F42B19">
      <w:pPr>
        <w:spacing w:line="360" w:lineRule="auto"/>
        <w:ind w:firstLine="573"/>
        <w:jc w:val="left"/>
        <w:rPr>
          <w:rFonts w:ascii="宋体" w:hAnsi="宋体"/>
          <w:color w:val="auto"/>
          <w:sz w:val="24"/>
          <w:highlight w:val="none"/>
        </w:rPr>
      </w:pPr>
      <w:r>
        <w:rPr>
          <w:rFonts w:hint="eastAsia" w:ascii="宋体" w:hAnsi="宋体"/>
          <w:color w:val="auto"/>
          <w:sz w:val="24"/>
          <w:highlight w:val="none"/>
        </w:rPr>
        <w:t>（6）所报日常保养、维修专项费项目单价为固定单价，合同期内一律不允许调整。</w:t>
      </w:r>
    </w:p>
    <w:p w14:paraId="7ED7256A">
      <w:pPr>
        <w:spacing w:line="360" w:lineRule="auto"/>
        <w:ind w:firstLine="573"/>
        <w:jc w:val="left"/>
        <w:rPr>
          <w:rFonts w:ascii="宋体"/>
          <w:color w:val="auto"/>
          <w:sz w:val="24"/>
          <w:highlight w:val="none"/>
        </w:rPr>
      </w:pPr>
      <w:r>
        <w:rPr>
          <w:rFonts w:hint="eastAsia" w:ascii="宋体"/>
          <w:color w:val="auto"/>
          <w:sz w:val="24"/>
          <w:highlight w:val="none"/>
        </w:rPr>
        <w:t>（7）除非本招标文件和合同另有规定，清单中有标价的单价和总额价均包括了为实施和完成合同服务所需的劳务、材料、机械设备、自检、安装、运杂、缺陷修复、临时工程、管理、保险、税费、利润等费用，以及本招标文件和合同明示或暗示的所有责任、义务和一切风险。</w:t>
      </w:r>
    </w:p>
    <w:p w14:paraId="66F098AA">
      <w:pPr>
        <w:spacing w:line="360" w:lineRule="auto"/>
        <w:ind w:firstLine="573"/>
        <w:jc w:val="left"/>
        <w:rPr>
          <w:rFonts w:ascii="宋体"/>
          <w:color w:val="auto"/>
          <w:sz w:val="24"/>
          <w:highlight w:val="none"/>
        </w:rPr>
      </w:pPr>
      <w:r>
        <w:rPr>
          <w:rFonts w:hint="eastAsia" w:ascii="宋体"/>
          <w:color w:val="auto"/>
          <w:sz w:val="24"/>
          <w:highlight w:val="none"/>
        </w:rPr>
        <w:t>（8）符合招标文件和合同条款规定的全部费用应认为已经计入有标价的分项工作之中，未列的辅助性、措施性等工作不予计量支付，其费用应视为已分摊在其他工作的单位或总额价之中。</w:t>
      </w:r>
    </w:p>
    <w:p w14:paraId="4485FA14">
      <w:pPr>
        <w:spacing w:line="360" w:lineRule="auto"/>
        <w:ind w:firstLine="573"/>
        <w:jc w:val="left"/>
        <w:rPr>
          <w:rFonts w:ascii="宋体"/>
          <w:color w:val="auto"/>
          <w:sz w:val="24"/>
          <w:highlight w:val="none"/>
        </w:rPr>
      </w:pPr>
      <w:r>
        <w:rPr>
          <w:rFonts w:hint="eastAsia" w:ascii="宋体"/>
          <w:color w:val="auto"/>
          <w:sz w:val="24"/>
          <w:highlight w:val="none"/>
        </w:rPr>
        <w:t>（9）中标人用于本招标项目服务的各类机械设备和办公设施等的提供、运输、维护、拆卸、拼装等支付的费用，已经包括在相应工作的单价或总额价之中。</w:t>
      </w:r>
    </w:p>
    <w:p w14:paraId="1AD80DB0">
      <w:pPr>
        <w:spacing w:line="300" w:lineRule="auto"/>
        <w:jc w:val="left"/>
        <w:rPr>
          <w:rFonts w:ascii="宋体"/>
          <w:b/>
          <w:color w:val="auto"/>
          <w:sz w:val="24"/>
          <w:highlight w:val="none"/>
        </w:rPr>
      </w:pPr>
      <w:r>
        <w:rPr>
          <w:rFonts w:ascii="宋体"/>
          <w:b/>
          <w:color w:val="auto"/>
          <w:sz w:val="24"/>
          <w:highlight w:val="none"/>
        </w:rPr>
        <w:t xml:space="preserve">6.2 </w:t>
      </w:r>
      <w:r>
        <w:rPr>
          <w:rFonts w:hint="eastAsia" w:ascii="宋体"/>
          <w:b/>
          <w:color w:val="auto"/>
          <w:sz w:val="24"/>
          <w:highlight w:val="none"/>
        </w:rPr>
        <w:t>招标项目报价清单</w:t>
      </w:r>
    </w:p>
    <w:p w14:paraId="3481B8D6">
      <w:pPr>
        <w:spacing w:line="300" w:lineRule="auto"/>
        <w:jc w:val="left"/>
        <w:rPr>
          <w:rFonts w:ascii="宋体"/>
          <w:color w:val="auto"/>
          <w:sz w:val="24"/>
          <w:highlight w:val="none"/>
        </w:rPr>
      </w:pPr>
      <w:r>
        <w:rPr>
          <w:rFonts w:ascii="宋体"/>
          <w:color w:val="auto"/>
          <w:sz w:val="24"/>
          <w:highlight w:val="none"/>
        </w:rPr>
        <w:t xml:space="preserve"> </w:t>
      </w:r>
      <w:r>
        <w:rPr>
          <w:rFonts w:ascii="宋体"/>
          <w:color w:val="auto"/>
          <w:sz w:val="24"/>
          <w:highlight w:val="none"/>
        </w:rPr>
        <w:t xml:space="preserve"> </w:t>
      </w:r>
      <w:r>
        <w:rPr>
          <w:rFonts w:hint="eastAsia" w:ascii="宋体"/>
          <w:color w:val="auto"/>
          <w:sz w:val="24"/>
          <w:highlight w:val="none"/>
        </w:rPr>
        <w:t>报价清单及采购人限额价如下表：</w:t>
      </w:r>
    </w:p>
    <w:tbl>
      <w:tblPr>
        <w:tblStyle w:val="21"/>
        <w:tblW w:w="10400" w:type="dxa"/>
        <w:tblInd w:w="108" w:type="dxa"/>
        <w:tblLayout w:type="fixed"/>
        <w:tblCellMar>
          <w:top w:w="0" w:type="dxa"/>
          <w:left w:w="108" w:type="dxa"/>
          <w:bottom w:w="0" w:type="dxa"/>
          <w:right w:w="108" w:type="dxa"/>
        </w:tblCellMar>
      </w:tblPr>
      <w:tblGrid>
        <w:gridCol w:w="621"/>
        <w:gridCol w:w="2740"/>
        <w:gridCol w:w="700"/>
        <w:gridCol w:w="1192"/>
        <w:gridCol w:w="870"/>
        <w:gridCol w:w="1417"/>
        <w:gridCol w:w="2860"/>
      </w:tblGrid>
      <w:tr w14:paraId="5800B42B">
        <w:tblPrEx>
          <w:tblCellMar>
            <w:top w:w="0" w:type="dxa"/>
            <w:left w:w="108" w:type="dxa"/>
            <w:bottom w:w="0" w:type="dxa"/>
            <w:right w:w="108" w:type="dxa"/>
          </w:tblCellMar>
        </w:tblPrEx>
        <w:trPr>
          <w:trHeight w:val="540" w:hRule="atLeast"/>
        </w:trPr>
        <w:tc>
          <w:tcPr>
            <w:tcW w:w="10400" w:type="dxa"/>
            <w:gridSpan w:val="7"/>
            <w:tcBorders>
              <w:top w:val="nil"/>
              <w:left w:val="nil"/>
              <w:bottom w:val="nil"/>
              <w:right w:val="nil"/>
            </w:tcBorders>
            <w:vAlign w:val="center"/>
          </w:tcPr>
          <w:p w14:paraId="5BAC5060">
            <w:pPr>
              <w:widowControl/>
              <w:jc w:val="center"/>
              <w:rPr>
                <w:rFonts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合浦县农村公路日常养护服务项目清单</w:t>
            </w:r>
          </w:p>
        </w:tc>
      </w:tr>
      <w:tr w14:paraId="78911988">
        <w:tblPrEx>
          <w:tblCellMar>
            <w:top w:w="0" w:type="dxa"/>
            <w:left w:w="108" w:type="dxa"/>
            <w:bottom w:w="0" w:type="dxa"/>
            <w:right w:w="108" w:type="dxa"/>
          </w:tblCellMar>
        </w:tblPrEx>
        <w:trPr>
          <w:trHeight w:val="570" w:hRule="atLeast"/>
        </w:trPr>
        <w:tc>
          <w:tcPr>
            <w:tcW w:w="621" w:type="dxa"/>
            <w:tcBorders>
              <w:top w:val="single" w:color="auto" w:sz="4" w:space="0"/>
              <w:left w:val="single" w:color="auto" w:sz="4" w:space="0"/>
              <w:bottom w:val="single" w:color="auto" w:sz="4" w:space="0"/>
              <w:right w:val="single" w:color="auto" w:sz="4" w:space="0"/>
            </w:tcBorders>
            <w:vAlign w:val="center"/>
          </w:tcPr>
          <w:p w14:paraId="3C1FE22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740" w:type="dxa"/>
            <w:tcBorders>
              <w:top w:val="single" w:color="auto" w:sz="4" w:space="0"/>
              <w:left w:val="nil"/>
              <w:bottom w:val="single" w:color="auto" w:sz="4" w:space="0"/>
              <w:right w:val="single" w:color="auto" w:sz="4" w:space="0"/>
            </w:tcBorders>
            <w:vAlign w:val="center"/>
          </w:tcPr>
          <w:p w14:paraId="3613A6B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700" w:type="dxa"/>
            <w:tcBorders>
              <w:top w:val="single" w:color="auto" w:sz="4" w:space="0"/>
              <w:left w:val="nil"/>
              <w:bottom w:val="single" w:color="auto" w:sz="4" w:space="0"/>
              <w:right w:val="single" w:color="auto" w:sz="4" w:space="0"/>
            </w:tcBorders>
            <w:vAlign w:val="center"/>
          </w:tcPr>
          <w:p w14:paraId="0567121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1192" w:type="dxa"/>
            <w:tcBorders>
              <w:top w:val="single" w:color="auto" w:sz="4" w:space="0"/>
              <w:left w:val="nil"/>
              <w:bottom w:val="single" w:color="auto" w:sz="4" w:space="0"/>
              <w:right w:val="single" w:color="auto" w:sz="4" w:space="0"/>
            </w:tcBorders>
            <w:vAlign w:val="center"/>
          </w:tcPr>
          <w:p w14:paraId="1888F08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870" w:type="dxa"/>
            <w:tcBorders>
              <w:top w:val="single" w:color="auto" w:sz="4" w:space="0"/>
              <w:left w:val="nil"/>
              <w:bottom w:val="single" w:color="auto" w:sz="4" w:space="0"/>
              <w:right w:val="single" w:color="auto" w:sz="4" w:space="0"/>
            </w:tcBorders>
            <w:vAlign w:val="center"/>
          </w:tcPr>
          <w:p w14:paraId="0B6C3CF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工程数量</w:t>
            </w:r>
          </w:p>
        </w:tc>
        <w:tc>
          <w:tcPr>
            <w:tcW w:w="1417" w:type="dxa"/>
            <w:tcBorders>
              <w:top w:val="single" w:color="auto" w:sz="4" w:space="0"/>
              <w:left w:val="nil"/>
              <w:bottom w:val="single" w:color="auto" w:sz="4" w:space="0"/>
              <w:right w:val="single" w:color="auto" w:sz="4" w:space="0"/>
            </w:tcBorders>
            <w:vAlign w:val="center"/>
          </w:tcPr>
          <w:p w14:paraId="2CDD150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金额（元）</w:t>
            </w:r>
          </w:p>
        </w:tc>
        <w:tc>
          <w:tcPr>
            <w:tcW w:w="2860" w:type="dxa"/>
            <w:tcBorders>
              <w:top w:val="single" w:color="auto" w:sz="4" w:space="0"/>
              <w:left w:val="nil"/>
              <w:bottom w:val="single" w:color="auto" w:sz="4" w:space="0"/>
              <w:right w:val="single" w:color="auto" w:sz="4" w:space="0"/>
            </w:tcBorders>
            <w:vAlign w:val="center"/>
          </w:tcPr>
          <w:p w14:paraId="0D2283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14:paraId="50E08D10">
        <w:tblPrEx>
          <w:tblCellMar>
            <w:top w:w="0" w:type="dxa"/>
            <w:left w:w="108" w:type="dxa"/>
            <w:bottom w:w="0" w:type="dxa"/>
            <w:right w:w="108" w:type="dxa"/>
          </w:tblCellMar>
        </w:tblPrEx>
        <w:trPr>
          <w:trHeight w:val="720" w:hRule="atLeast"/>
        </w:trPr>
        <w:tc>
          <w:tcPr>
            <w:tcW w:w="621" w:type="dxa"/>
            <w:tcBorders>
              <w:top w:val="nil"/>
              <w:left w:val="single" w:color="auto" w:sz="4" w:space="0"/>
              <w:bottom w:val="single" w:color="auto" w:sz="4" w:space="0"/>
              <w:right w:val="single" w:color="auto" w:sz="4" w:space="0"/>
            </w:tcBorders>
            <w:vAlign w:val="center"/>
          </w:tcPr>
          <w:p w14:paraId="493CB0F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一</w:t>
            </w:r>
          </w:p>
        </w:tc>
        <w:tc>
          <w:tcPr>
            <w:tcW w:w="2740" w:type="dxa"/>
            <w:tcBorders>
              <w:top w:val="nil"/>
              <w:left w:val="nil"/>
              <w:bottom w:val="single" w:color="auto" w:sz="4" w:space="0"/>
              <w:right w:val="single" w:color="auto" w:sz="4" w:space="0"/>
            </w:tcBorders>
            <w:vAlign w:val="center"/>
          </w:tcPr>
          <w:p w14:paraId="1911F574">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日常保养、维修专项费</w:t>
            </w:r>
          </w:p>
        </w:tc>
        <w:tc>
          <w:tcPr>
            <w:tcW w:w="700" w:type="dxa"/>
            <w:tcBorders>
              <w:top w:val="nil"/>
              <w:left w:val="nil"/>
              <w:bottom w:val="single" w:color="auto" w:sz="4" w:space="0"/>
              <w:right w:val="single" w:color="auto" w:sz="4" w:space="0"/>
            </w:tcBorders>
            <w:vAlign w:val="center"/>
          </w:tcPr>
          <w:p w14:paraId="46798BD8">
            <w:pPr>
              <w:widowControl/>
              <w:jc w:val="center"/>
              <w:rPr>
                <w:rFonts w:ascii="宋体" w:hAnsi="宋体" w:cs="宋体"/>
                <w:color w:val="auto"/>
                <w:kern w:val="0"/>
                <w:sz w:val="24"/>
                <w:highlight w:val="none"/>
              </w:rPr>
            </w:pPr>
          </w:p>
        </w:tc>
        <w:tc>
          <w:tcPr>
            <w:tcW w:w="1192" w:type="dxa"/>
            <w:tcBorders>
              <w:top w:val="nil"/>
              <w:left w:val="nil"/>
              <w:bottom w:val="single" w:color="auto" w:sz="4" w:space="0"/>
              <w:right w:val="single" w:color="auto" w:sz="4" w:space="0"/>
            </w:tcBorders>
            <w:vAlign w:val="center"/>
          </w:tcPr>
          <w:p w14:paraId="18095B1D">
            <w:pPr>
              <w:widowControl/>
              <w:jc w:val="center"/>
              <w:rPr>
                <w:rFonts w:ascii="宋体" w:hAnsi="宋体" w:cs="宋体"/>
                <w:color w:val="auto"/>
                <w:kern w:val="0"/>
                <w:sz w:val="24"/>
                <w:highlight w:val="none"/>
              </w:rPr>
            </w:pPr>
          </w:p>
        </w:tc>
        <w:tc>
          <w:tcPr>
            <w:tcW w:w="870" w:type="dxa"/>
            <w:tcBorders>
              <w:top w:val="nil"/>
              <w:left w:val="nil"/>
              <w:bottom w:val="single" w:color="auto" w:sz="4" w:space="0"/>
              <w:right w:val="single" w:color="auto" w:sz="4" w:space="0"/>
            </w:tcBorders>
            <w:vAlign w:val="center"/>
          </w:tcPr>
          <w:p w14:paraId="002B87A9">
            <w:pPr>
              <w:widowControl/>
              <w:jc w:val="center"/>
              <w:rPr>
                <w:rFonts w:ascii="宋体" w:hAnsi="宋体" w:cs="宋体"/>
                <w:color w:val="auto"/>
                <w:kern w:val="0"/>
                <w:sz w:val="24"/>
                <w:highlight w:val="none"/>
              </w:rPr>
            </w:pPr>
          </w:p>
        </w:tc>
        <w:tc>
          <w:tcPr>
            <w:tcW w:w="1417" w:type="dxa"/>
            <w:tcBorders>
              <w:top w:val="nil"/>
              <w:left w:val="nil"/>
              <w:bottom w:val="single" w:color="auto" w:sz="4" w:space="0"/>
              <w:right w:val="single" w:color="auto" w:sz="4" w:space="0"/>
            </w:tcBorders>
            <w:vAlign w:val="center"/>
          </w:tcPr>
          <w:p w14:paraId="567AED07">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4090634.93</w:t>
            </w:r>
          </w:p>
        </w:tc>
        <w:tc>
          <w:tcPr>
            <w:tcW w:w="2860" w:type="dxa"/>
            <w:tcBorders>
              <w:top w:val="nil"/>
              <w:left w:val="nil"/>
              <w:bottom w:val="single" w:color="auto" w:sz="4" w:space="0"/>
              <w:right w:val="single" w:color="auto" w:sz="4" w:space="0"/>
            </w:tcBorders>
            <w:vAlign w:val="center"/>
          </w:tcPr>
          <w:p w14:paraId="506D945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按项目需求3.1款开展日常保养</w:t>
            </w:r>
          </w:p>
        </w:tc>
      </w:tr>
      <w:tr w14:paraId="2AA0F3ED">
        <w:tblPrEx>
          <w:tblCellMar>
            <w:top w:w="0" w:type="dxa"/>
            <w:left w:w="108" w:type="dxa"/>
            <w:bottom w:w="0" w:type="dxa"/>
            <w:right w:w="108" w:type="dxa"/>
          </w:tblCellMar>
        </w:tblPrEx>
        <w:trPr>
          <w:trHeight w:val="765" w:hRule="atLeast"/>
        </w:trPr>
        <w:tc>
          <w:tcPr>
            <w:tcW w:w="621" w:type="dxa"/>
            <w:tcBorders>
              <w:top w:val="nil"/>
              <w:left w:val="single" w:color="auto" w:sz="4" w:space="0"/>
              <w:bottom w:val="single" w:color="auto" w:sz="4" w:space="0"/>
              <w:right w:val="single" w:color="auto" w:sz="4" w:space="0"/>
            </w:tcBorders>
            <w:vAlign w:val="center"/>
          </w:tcPr>
          <w:p w14:paraId="2225B7CB">
            <w:pPr>
              <w:widowControl/>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740" w:type="dxa"/>
            <w:tcBorders>
              <w:top w:val="nil"/>
              <w:left w:val="nil"/>
              <w:bottom w:val="single" w:color="auto" w:sz="4" w:space="0"/>
              <w:right w:val="single" w:color="auto" w:sz="4" w:space="0"/>
            </w:tcBorders>
            <w:vAlign w:val="center"/>
          </w:tcPr>
          <w:p w14:paraId="227F62AA">
            <w:pPr>
              <w:widowControl/>
              <w:rPr>
                <w:rFonts w:ascii="宋体" w:hAnsi="宋体" w:cs="宋体"/>
                <w:bCs/>
                <w:color w:val="auto"/>
                <w:kern w:val="0"/>
                <w:sz w:val="24"/>
                <w:highlight w:val="none"/>
              </w:rPr>
            </w:pPr>
            <w:r>
              <w:rPr>
                <w:rFonts w:hint="eastAsia" w:ascii="宋体" w:hAnsi="宋体" w:cs="宋体"/>
                <w:bCs/>
                <w:color w:val="auto"/>
                <w:kern w:val="0"/>
                <w:sz w:val="24"/>
                <w:highlight w:val="none"/>
              </w:rPr>
              <w:t>日常巡查</w:t>
            </w:r>
          </w:p>
        </w:tc>
        <w:tc>
          <w:tcPr>
            <w:tcW w:w="700" w:type="dxa"/>
            <w:tcBorders>
              <w:top w:val="nil"/>
              <w:left w:val="nil"/>
              <w:bottom w:val="single" w:color="auto" w:sz="4" w:space="0"/>
              <w:right w:val="single" w:color="auto" w:sz="4" w:space="0"/>
            </w:tcBorders>
            <w:vAlign w:val="center"/>
          </w:tcPr>
          <w:p w14:paraId="7F152A8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月</w:t>
            </w:r>
          </w:p>
        </w:tc>
        <w:tc>
          <w:tcPr>
            <w:tcW w:w="1192" w:type="dxa"/>
            <w:tcBorders>
              <w:top w:val="nil"/>
              <w:left w:val="nil"/>
              <w:bottom w:val="single" w:color="auto" w:sz="4" w:space="0"/>
              <w:right w:val="single" w:color="auto" w:sz="4" w:space="0"/>
            </w:tcBorders>
            <w:vAlign w:val="center"/>
          </w:tcPr>
          <w:p w14:paraId="6DD59D8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45000</w:t>
            </w:r>
          </w:p>
        </w:tc>
        <w:tc>
          <w:tcPr>
            <w:tcW w:w="870" w:type="dxa"/>
            <w:tcBorders>
              <w:top w:val="nil"/>
              <w:left w:val="nil"/>
              <w:bottom w:val="single" w:color="auto" w:sz="4" w:space="0"/>
              <w:right w:val="single" w:color="auto" w:sz="4" w:space="0"/>
            </w:tcBorders>
            <w:vAlign w:val="center"/>
          </w:tcPr>
          <w:p w14:paraId="1A3CCEF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417" w:type="dxa"/>
            <w:tcBorders>
              <w:top w:val="nil"/>
              <w:left w:val="nil"/>
              <w:bottom w:val="single" w:color="auto" w:sz="4" w:space="0"/>
              <w:right w:val="single" w:color="auto" w:sz="4" w:space="0"/>
            </w:tcBorders>
            <w:vAlign w:val="center"/>
          </w:tcPr>
          <w:p w14:paraId="7728A8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360000</w:t>
            </w:r>
          </w:p>
        </w:tc>
        <w:tc>
          <w:tcPr>
            <w:tcW w:w="2860" w:type="dxa"/>
            <w:tcBorders>
              <w:top w:val="nil"/>
              <w:left w:val="nil"/>
              <w:bottom w:val="single" w:color="auto" w:sz="4" w:space="0"/>
              <w:right w:val="single" w:color="auto" w:sz="4" w:space="0"/>
            </w:tcBorders>
            <w:vAlign w:val="center"/>
          </w:tcPr>
          <w:p w14:paraId="14D715F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按每月总额计算</w:t>
            </w:r>
          </w:p>
        </w:tc>
      </w:tr>
      <w:tr w14:paraId="7766239B">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73B76FC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40" w:type="dxa"/>
            <w:tcBorders>
              <w:top w:val="nil"/>
              <w:left w:val="nil"/>
              <w:bottom w:val="single" w:color="auto" w:sz="4" w:space="0"/>
              <w:right w:val="single" w:color="auto" w:sz="4" w:space="0"/>
            </w:tcBorders>
            <w:vAlign w:val="center"/>
          </w:tcPr>
          <w:p w14:paraId="2C08C26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清理土方</w:t>
            </w:r>
          </w:p>
        </w:tc>
        <w:tc>
          <w:tcPr>
            <w:tcW w:w="700" w:type="dxa"/>
            <w:tcBorders>
              <w:top w:val="nil"/>
              <w:left w:val="nil"/>
              <w:bottom w:val="single" w:color="auto" w:sz="4" w:space="0"/>
              <w:right w:val="single" w:color="auto" w:sz="4" w:space="0"/>
            </w:tcBorders>
            <w:vAlign w:val="center"/>
          </w:tcPr>
          <w:p w14:paraId="4A1E0C8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5D2A682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20.8 </w:t>
            </w:r>
          </w:p>
        </w:tc>
        <w:tc>
          <w:tcPr>
            <w:tcW w:w="870" w:type="dxa"/>
            <w:tcBorders>
              <w:top w:val="nil"/>
              <w:left w:val="nil"/>
              <w:bottom w:val="single" w:color="auto" w:sz="4" w:space="0"/>
              <w:right w:val="single" w:color="auto" w:sz="4" w:space="0"/>
            </w:tcBorders>
            <w:vAlign w:val="center"/>
          </w:tcPr>
          <w:p w14:paraId="5F7A75F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c>
          <w:tcPr>
            <w:tcW w:w="1417" w:type="dxa"/>
            <w:tcBorders>
              <w:top w:val="nil"/>
              <w:left w:val="nil"/>
              <w:bottom w:val="single" w:color="auto" w:sz="4" w:space="0"/>
              <w:right w:val="single" w:color="auto" w:sz="4" w:space="0"/>
            </w:tcBorders>
            <w:vAlign w:val="center"/>
          </w:tcPr>
          <w:p w14:paraId="15F1FEC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31200</w:t>
            </w:r>
          </w:p>
        </w:tc>
        <w:tc>
          <w:tcPr>
            <w:tcW w:w="2860" w:type="dxa"/>
            <w:tcBorders>
              <w:top w:val="nil"/>
              <w:left w:val="nil"/>
              <w:bottom w:val="single" w:color="auto" w:sz="4" w:space="0"/>
              <w:right w:val="single" w:color="auto" w:sz="4" w:space="0"/>
            </w:tcBorders>
            <w:vAlign w:val="center"/>
          </w:tcPr>
          <w:p w14:paraId="0313B0B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含运输到指定位置</w:t>
            </w:r>
          </w:p>
        </w:tc>
      </w:tr>
      <w:tr w14:paraId="3EB1B9F0">
        <w:tblPrEx>
          <w:tblCellMar>
            <w:top w:w="0" w:type="dxa"/>
            <w:left w:w="108" w:type="dxa"/>
            <w:bottom w:w="0" w:type="dxa"/>
            <w:right w:w="108" w:type="dxa"/>
          </w:tblCellMar>
        </w:tblPrEx>
        <w:trPr>
          <w:trHeight w:val="855" w:hRule="atLeast"/>
        </w:trPr>
        <w:tc>
          <w:tcPr>
            <w:tcW w:w="621" w:type="dxa"/>
            <w:tcBorders>
              <w:top w:val="nil"/>
              <w:left w:val="single" w:color="auto" w:sz="4" w:space="0"/>
              <w:bottom w:val="single" w:color="auto" w:sz="4" w:space="0"/>
              <w:right w:val="single" w:color="auto" w:sz="4" w:space="0"/>
            </w:tcBorders>
            <w:vAlign w:val="center"/>
          </w:tcPr>
          <w:p w14:paraId="464DEE1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40" w:type="dxa"/>
            <w:tcBorders>
              <w:top w:val="nil"/>
              <w:left w:val="nil"/>
              <w:bottom w:val="single" w:color="auto" w:sz="4" w:space="0"/>
              <w:right w:val="single" w:color="auto" w:sz="4" w:space="0"/>
            </w:tcBorders>
            <w:vAlign w:val="center"/>
          </w:tcPr>
          <w:p w14:paraId="6BD01C8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排水沟清理、修整</w:t>
            </w:r>
          </w:p>
        </w:tc>
        <w:tc>
          <w:tcPr>
            <w:tcW w:w="700" w:type="dxa"/>
            <w:tcBorders>
              <w:top w:val="nil"/>
              <w:left w:val="nil"/>
              <w:bottom w:val="single" w:color="auto" w:sz="4" w:space="0"/>
              <w:right w:val="single" w:color="auto" w:sz="4" w:space="0"/>
            </w:tcBorders>
            <w:vAlign w:val="center"/>
          </w:tcPr>
          <w:p w14:paraId="068376E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92" w:type="dxa"/>
            <w:tcBorders>
              <w:top w:val="nil"/>
              <w:left w:val="nil"/>
              <w:bottom w:val="single" w:color="auto" w:sz="4" w:space="0"/>
              <w:right w:val="single" w:color="auto" w:sz="4" w:space="0"/>
            </w:tcBorders>
            <w:vAlign w:val="center"/>
          </w:tcPr>
          <w:p w14:paraId="523C2EC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5.72 </w:t>
            </w:r>
          </w:p>
        </w:tc>
        <w:tc>
          <w:tcPr>
            <w:tcW w:w="870" w:type="dxa"/>
            <w:tcBorders>
              <w:top w:val="nil"/>
              <w:left w:val="nil"/>
              <w:bottom w:val="single" w:color="auto" w:sz="4" w:space="0"/>
              <w:right w:val="single" w:color="auto" w:sz="4" w:space="0"/>
            </w:tcBorders>
            <w:vAlign w:val="center"/>
          </w:tcPr>
          <w:p w14:paraId="38FAB96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40000</w:t>
            </w:r>
          </w:p>
        </w:tc>
        <w:tc>
          <w:tcPr>
            <w:tcW w:w="1417" w:type="dxa"/>
            <w:tcBorders>
              <w:top w:val="nil"/>
              <w:left w:val="nil"/>
              <w:bottom w:val="single" w:color="auto" w:sz="4" w:space="0"/>
              <w:right w:val="single" w:color="auto" w:sz="4" w:space="0"/>
            </w:tcBorders>
            <w:vAlign w:val="center"/>
          </w:tcPr>
          <w:p w14:paraId="34367FB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228800</w:t>
            </w:r>
          </w:p>
        </w:tc>
        <w:tc>
          <w:tcPr>
            <w:tcW w:w="2860" w:type="dxa"/>
            <w:tcBorders>
              <w:top w:val="nil"/>
              <w:left w:val="nil"/>
              <w:bottom w:val="single" w:color="auto" w:sz="4" w:space="0"/>
              <w:right w:val="single" w:color="auto" w:sz="4" w:space="0"/>
            </w:tcBorders>
            <w:vAlign w:val="center"/>
          </w:tcPr>
          <w:p w14:paraId="5B14936D">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包括除草、挖除灌木、清理废土垃圾等，包括清理物运走</w:t>
            </w:r>
          </w:p>
        </w:tc>
      </w:tr>
      <w:tr w14:paraId="7C8154E2">
        <w:tblPrEx>
          <w:tblCellMar>
            <w:top w:w="0" w:type="dxa"/>
            <w:left w:w="108" w:type="dxa"/>
            <w:bottom w:w="0" w:type="dxa"/>
            <w:right w:w="108" w:type="dxa"/>
          </w:tblCellMar>
        </w:tblPrEx>
        <w:trPr>
          <w:trHeight w:val="570" w:hRule="atLeast"/>
        </w:trPr>
        <w:tc>
          <w:tcPr>
            <w:tcW w:w="621" w:type="dxa"/>
            <w:tcBorders>
              <w:top w:val="nil"/>
              <w:left w:val="single" w:color="auto" w:sz="4" w:space="0"/>
              <w:bottom w:val="single" w:color="auto" w:sz="4" w:space="0"/>
              <w:right w:val="single" w:color="auto" w:sz="4" w:space="0"/>
            </w:tcBorders>
            <w:vAlign w:val="center"/>
          </w:tcPr>
          <w:p w14:paraId="3C6286A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740" w:type="dxa"/>
            <w:tcBorders>
              <w:top w:val="nil"/>
              <w:left w:val="nil"/>
              <w:bottom w:val="single" w:color="auto" w:sz="4" w:space="0"/>
              <w:right w:val="single" w:color="auto" w:sz="4" w:space="0"/>
            </w:tcBorders>
            <w:vAlign w:val="center"/>
          </w:tcPr>
          <w:p w14:paraId="7B0CA11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借土填方</w:t>
            </w:r>
          </w:p>
        </w:tc>
        <w:tc>
          <w:tcPr>
            <w:tcW w:w="700" w:type="dxa"/>
            <w:tcBorders>
              <w:top w:val="nil"/>
              <w:left w:val="nil"/>
              <w:bottom w:val="single" w:color="auto" w:sz="4" w:space="0"/>
              <w:right w:val="single" w:color="auto" w:sz="4" w:space="0"/>
            </w:tcBorders>
            <w:vAlign w:val="center"/>
          </w:tcPr>
          <w:p w14:paraId="5E22593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1435964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50.64 </w:t>
            </w:r>
          </w:p>
        </w:tc>
        <w:tc>
          <w:tcPr>
            <w:tcW w:w="870" w:type="dxa"/>
            <w:tcBorders>
              <w:top w:val="nil"/>
              <w:left w:val="nil"/>
              <w:bottom w:val="single" w:color="auto" w:sz="4" w:space="0"/>
              <w:right w:val="single" w:color="auto" w:sz="4" w:space="0"/>
            </w:tcBorders>
            <w:vAlign w:val="center"/>
          </w:tcPr>
          <w:p w14:paraId="61FCA03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c>
          <w:tcPr>
            <w:tcW w:w="1417" w:type="dxa"/>
            <w:tcBorders>
              <w:top w:val="nil"/>
              <w:left w:val="nil"/>
              <w:bottom w:val="single" w:color="auto" w:sz="4" w:space="0"/>
              <w:right w:val="single" w:color="auto" w:sz="4" w:space="0"/>
            </w:tcBorders>
            <w:vAlign w:val="center"/>
          </w:tcPr>
          <w:p w14:paraId="76D1FAC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75960</w:t>
            </w:r>
          </w:p>
        </w:tc>
        <w:tc>
          <w:tcPr>
            <w:tcW w:w="2860" w:type="dxa"/>
            <w:tcBorders>
              <w:top w:val="nil"/>
              <w:left w:val="nil"/>
              <w:bottom w:val="single" w:color="auto" w:sz="4" w:space="0"/>
              <w:right w:val="single" w:color="auto" w:sz="4" w:space="0"/>
            </w:tcBorders>
            <w:vAlign w:val="center"/>
          </w:tcPr>
          <w:p w14:paraId="7A45BA1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含土根费、运费、压实</w:t>
            </w:r>
          </w:p>
        </w:tc>
      </w:tr>
      <w:tr w14:paraId="32BC2966">
        <w:tblPrEx>
          <w:tblCellMar>
            <w:top w:w="0" w:type="dxa"/>
            <w:left w:w="108" w:type="dxa"/>
            <w:bottom w:w="0" w:type="dxa"/>
            <w:right w:w="108" w:type="dxa"/>
          </w:tblCellMar>
        </w:tblPrEx>
        <w:trPr>
          <w:trHeight w:val="420" w:hRule="atLeast"/>
        </w:trPr>
        <w:tc>
          <w:tcPr>
            <w:tcW w:w="621" w:type="dxa"/>
            <w:tcBorders>
              <w:top w:val="nil"/>
              <w:left w:val="single" w:color="auto" w:sz="4" w:space="0"/>
              <w:bottom w:val="single" w:color="auto" w:sz="4" w:space="0"/>
              <w:right w:val="single" w:color="auto" w:sz="4" w:space="0"/>
            </w:tcBorders>
            <w:vAlign w:val="center"/>
          </w:tcPr>
          <w:p w14:paraId="7A6F548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740" w:type="dxa"/>
            <w:tcBorders>
              <w:top w:val="nil"/>
              <w:left w:val="nil"/>
              <w:bottom w:val="single" w:color="auto" w:sz="4" w:space="0"/>
              <w:right w:val="single" w:color="auto" w:sz="4" w:space="0"/>
            </w:tcBorders>
            <w:vAlign w:val="center"/>
          </w:tcPr>
          <w:p w14:paraId="20175B2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路基灌浆</w:t>
            </w:r>
          </w:p>
        </w:tc>
        <w:tc>
          <w:tcPr>
            <w:tcW w:w="700" w:type="dxa"/>
            <w:tcBorders>
              <w:top w:val="nil"/>
              <w:left w:val="nil"/>
              <w:bottom w:val="single" w:color="auto" w:sz="4" w:space="0"/>
              <w:right w:val="single" w:color="auto" w:sz="4" w:space="0"/>
            </w:tcBorders>
            <w:vAlign w:val="center"/>
          </w:tcPr>
          <w:p w14:paraId="6E8B11F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3FD8C37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670.39 </w:t>
            </w:r>
          </w:p>
        </w:tc>
        <w:tc>
          <w:tcPr>
            <w:tcW w:w="870" w:type="dxa"/>
            <w:tcBorders>
              <w:top w:val="nil"/>
              <w:left w:val="nil"/>
              <w:bottom w:val="single" w:color="auto" w:sz="4" w:space="0"/>
              <w:right w:val="single" w:color="auto" w:sz="4" w:space="0"/>
            </w:tcBorders>
            <w:vAlign w:val="center"/>
          </w:tcPr>
          <w:p w14:paraId="51F1537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417" w:type="dxa"/>
            <w:tcBorders>
              <w:top w:val="nil"/>
              <w:left w:val="nil"/>
              <w:bottom w:val="single" w:color="auto" w:sz="4" w:space="0"/>
              <w:right w:val="single" w:color="auto" w:sz="4" w:space="0"/>
            </w:tcBorders>
            <w:vAlign w:val="center"/>
          </w:tcPr>
          <w:p w14:paraId="0382F46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13407.8</w:t>
            </w:r>
          </w:p>
        </w:tc>
        <w:tc>
          <w:tcPr>
            <w:tcW w:w="2860" w:type="dxa"/>
            <w:tcBorders>
              <w:top w:val="nil"/>
              <w:left w:val="nil"/>
              <w:bottom w:val="single" w:color="auto" w:sz="4" w:space="0"/>
              <w:right w:val="single" w:color="auto" w:sz="4" w:space="0"/>
            </w:tcBorders>
            <w:vAlign w:val="center"/>
          </w:tcPr>
          <w:p w14:paraId="07839B6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DA412C3">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03716A2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740" w:type="dxa"/>
            <w:tcBorders>
              <w:top w:val="nil"/>
              <w:left w:val="nil"/>
              <w:bottom w:val="single" w:color="auto" w:sz="4" w:space="0"/>
              <w:right w:val="single" w:color="auto" w:sz="4" w:space="0"/>
            </w:tcBorders>
            <w:vAlign w:val="center"/>
          </w:tcPr>
          <w:p w14:paraId="7D50BF0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浆砌片石排水沟</w:t>
            </w:r>
          </w:p>
        </w:tc>
        <w:tc>
          <w:tcPr>
            <w:tcW w:w="700" w:type="dxa"/>
            <w:tcBorders>
              <w:top w:val="nil"/>
              <w:left w:val="nil"/>
              <w:bottom w:val="single" w:color="auto" w:sz="4" w:space="0"/>
              <w:right w:val="single" w:color="auto" w:sz="4" w:space="0"/>
            </w:tcBorders>
            <w:vAlign w:val="center"/>
          </w:tcPr>
          <w:p w14:paraId="52C478E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248908D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568.8 </w:t>
            </w:r>
          </w:p>
        </w:tc>
        <w:tc>
          <w:tcPr>
            <w:tcW w:w="870" w:type="dxa"/>
            <w:tcBorders>
              <w:top w:val="nil"/>
              <w:left w:val="nil"/>
              <w:bottom w:val="single" w:color="auto" w:sz="4" w:space="0"/>
              <w:right w:val="single" w:color="auto" w:sz="4" w:space="0"/>
            </w:tcBorders>
            <w:vAlign w:val="center"/>
          </w:tcPr>
          <w:p w14:paraId="3A992BA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417" w:type="dxa"/>
            <w:tcBorders>
              <w:top w:val="nil"/>
              <w:left w:val="nil"/>
              <w:bottom w:val="single" w:color="auto" w:sz="4" w:space="0"/>
              <w:right w:val="single" w:color="auto" w:sz="4" w:space="0"/>
            </w:tcBorders>
            <w:vAlign w:val="center"/>
          </w:tcPr>
          <w:p w14:paraId="3300AF4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11376</w:t>
            </w:r>
          </w:p>
        </w:tc>
        <w:tc>
          <w:tcPr>
            <w:tcW w:w="2860" w:type="dxa"/>
            <w:tcBorders>
              <w:top w:val="nil"/>
              <w:left w:val="nil"/>
              <w:bottom w:val="single" w:color="auto" w:sz="4" w:space="0"/>
              <w:right w:val="single" w:color="auto" w:sz="4" w:space="0"/>
            </w:tcBorders>
            <w:vAlign w:val="center"/>
          </w:tcPr>
          <w:p w14:paraId="3125485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包含拆除已毁坏排水沟</w:t>
            </w:r>
          </w:p>
        </w:tc>
      </w:tr>
      <w:tr w14:paraId="5EAF5CAB">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57BCEFC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740" w:type="dxa"/>
            <w:tcBorders>
              <w:top w:val="nil"/>
              <w:left w:val="nil"/>
              <w:bottom w:val="single" w:color="auto" w:sz="4" w:space="0"/>
              <w:right w:val="single" w:color="auto" w:sz="4" w:space="0"/>
            </w:tcBorders>
            <w:vAlign w:val="center"/>
          </w:tcPr>
          <w:p w14:paraId="4CDB0D1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水泥混凝土排水沟</w:t>
            </w:r>
          </w:p>
        </w:tc>
        <w:tc>
          <w:tcPr>
            <w:tcW w:w="700" w:type="dxa"/>
            <w:tcBorders>
              <w:top w:val="nil"/>
              <w:left w:val="nil"/>
              <w:bottom w:val="single" w:color="auto" w:sz="4" w:space="0"/>
              <w:right w:val="single" w:color="auto" w:sz="4" w:space="0"/>
            </w:tcBorders>
            <w:vAlign w:val="center"/>
          </w:tcPr>
          <w:p w14:paraId="12A277E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729989D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1128.9 </w:t>
            </w:r>
          </w:p>
        </w:tc>
        <w:tc>
          <w:tcPr>
            <w:tcW w:w="870" w:type="dxa"/>
            <w:tcBorders>
              <w:top w:val="nil"/>
              <w:left w:val="nil"/>
              <w:bottom w:val="single" w:color="auto" w:sz="4" w:space="0"/>
              <w:right w:val="single" w:color="auto" w:sz="4" w:space="0"/>
            </w:tcBorders>
            <w:vAlign w:val="center"/>
          </w:tcPr>
          <w:p w14:paraId="2D0EB98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120</w:t>
            </w:r>
          </w:p>
        </w:tc>
        <w:tc>
          <w:tcPr>
            <w:tcW w:w="1417" w:type="dxa"/>
            <w:tcBorders>
              <w:top w:val="nil"/>
              <w:left w:val="nil"/>
              <w:bottom w:val="single" w:color="auto" w:sz="4" w:space="0"/>
              <w:right w:val="single" w:color="auto" w:sz="4" w:space="0"/>
            </w:tcBorders>
            <w:vAlign w:val="center"/>
          </w:tcPr>
          <w:p w14:paraId="6E0A083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135468</w:t>
            </w:r>
          </w:p>
        </w:tc>
        <w:tc>
          <w:tcPr>
            <w:tcW w:w="2860" w:type="dxa"/>
            <w:tcBorders>
              <w:top w:val="nil"/>
              <w:left w:val="nil"/>
              <w:bottom w:val="single" w:color="auto" w:sz="4" w:space="0"/>
              <w:right w:val="single" w:color="auto" w:sz="4" w:space="0"/>
            </w:tcBorders>
            <w:vAlign w:val="center"/>
          </w:tcPr>
          <w:p w14:paraId="2E0ACF3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包含拆除已毁坏排水沟</w:t>
            </w:r>
          </w:p>
        </w:tc>
      </w:tr>
      <w:tr w14:paraId="616EAB2B">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4E17171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740" w:type="dxa"/>
            <w:tcBorders>
              <w:top w:val="nil"/>
              <w:left w:val="nil"/>
              <w:bottom w:val="single" w:color="auto" w:sz="4" w:space="0"/>
              <w:right w:val="single" w:color="auto" w:sz="4" w:space="0"/>
            </w:tcBorders>
            <w:vAlign w:val="center"/>
          </w:tcPr>
          <w:p w14:paraId="415AE50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混凝土挡土墙</w:t>
            </w:r>
          </w:p>
        </w:tc>
        <w:tc>
          <w:tcPr>
            <w:tcW w:w="700" w:type="dxa"/>
            <w:tcBorders>
              <w:top w:val="nil"/>
              <w:left w:val="nil"/>
              <w:bottom w:val="single" w:color="auto" w:sz="4" w:space="0"/>
              <w:right w:val="single" w:color="auto" w:sz="4" w:space="0"/>
            </w:tcBorders>
            <w:vAlign w:val="center"/>
          </w:tcPr>
          <w:p w14:paraId="6BEE56F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712EB07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1107.96 </w:t>
            </w:r>
          </w:p>
        </w:tc>
        <w:tc>
          <w:tcPr>
            <w:tcW w:w="870" w:type="dxa"/>
            <w:tcBorders>
              <w:top w:val="nil"/>
              <w:left w:val="nil"/>
              <w:bottom w:val="single" w:color="auto" w:sz="4" w:space="0"/>
              <w:right w:val="single" w:color="auto" w:sz="4" w:space="0"/>
            </w:tcBorders>
            <w:vAlign w:val="center"/>
          </w:tcPr>
          <w:p w14:paraId="12F636E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120</w:t>
            </w:r>
          </w:p>
        </w:tc>
        <w:tc>
          <w:tcPr>
            <w:tcW w:w="1417" w:type="dxa"/>
            <w:tcBorders>
              <w:top w:val="nil"/>
              <w:left w:val="nil"/>
              <w:bottom w:val="single" w:color="auto" w:sz="4" w:space="0"/>
              <w:right w:val="single" w:color="auto" w:sz="4" w:space="0"/>
            </w:tcBorders>
            <w:vAlign w:val="center"/>
          </w:tcPr>
          <w:p w14:paraId="561E39B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132955.2</w:t>
            </w:r>
          </w:p>
        </w:tc>
        <w:tc>
          <w:tcPr>
            <w:tcW w:w="2860" w:type="dxa"/>
            <w:tcBorders>
              <w:top w:val="nil"/>
              <w:left w:val="nil"/>
              <w:bottom w:val="single" w:color="auto" w:sz="4" w:space="0"/>
              <w:right w:val="single" w:color="auto" w:sz="4" w:space="0"/>
            </w:tcBorders>
            <w:vAlign w:val="center"/>
          </w:tcPr>
          <w:p w14:paraId="36A0225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包含拆除已毁坏挡土墙</w:t>
            </w:r>
          </w:p>
        </w:tc>
      </w:tr>
      <w:tr w14:paraId="4A9951A2">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76DB325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740" w:type="dxa"/>
            <w:tcBorders>
              <w:top w:val="nil"/>
              <w:left w:val="nil"/>
              <w:bottom w:val="single" w:color="auto" w:sz="4" w:space="0"/>
              <w:right w:val="single" w:color="auto" w:sz="4" w:space="0"/>
            </w:tcBorders>
            <w:vAlign w:val="center"/>
          </w:tcPr>
          <w:p w14:paraId="3ACE01B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勾缝</w:t>
            </w:r>
          </w:p>
        </w:tc>
        <w:tc>
          <w:tcPr>
            <w:tcW w:w="700" w:type="dxa"/>
            <w:tcBorders>
              <w:top w:val="nil"/>
              <w:left w:val="nil"/>
              <w:bottom w:val="single" w:color="auto" w:sz="4" w:space="0"/>
              <w:right w:val="single" w:color="auto" w:sz="4" w:space="0"/>
            </w:tcBorders>
            <w:vAlign w:val="center"/>
          </w:tcPr>
          <w:p w14:paraId="5C3781D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92" w:type="dxa"/>
            <w:tcBorders>
              <w:top w:val="nil"/>
              <w:left w:val="nil"/>
              <w:bottom w:val="single" w:color="auto" w:sz="4" w:space="0"/>
              <w:right w:val="single" w:color="auto" w:sz="4" w:space="0"/>
            </w:tcBorders>
            <w:vAlign w:val="center"/>
          </w:tcPr>
          <w:p w14:paraId="2D4C548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15.54 </w:t>
            </w:r>
          </w:p>
        </w:tc>
        <w:tc>
          <w:tcPr>
            <w:tcW w:w="870" w:type="dxa"/>
            <w:tcBorders>
              <w:top w:val="nil"/>
              <w:left w:val="nil"/>
              <w:bottom w:val="single" w:color="auto" w:sz="4" w:space="0"/>
              <w:right w:val="single" w:color="auto" w:sz="4" w:space="0"/>
            </w:tcBorders>
            <w:vAlign w:val="center"/>
          </w:tcPr>
          <w:p w14:paraId="268A7A2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c>
          <w:tcPr>
            <w:tcW w:w="1417" w:type="dxa"/>
            <w:tcBorders>
              <w:top w:val="nil"/>
              <w:left w:val="nil"/>
              <w:bottom w:val="single" w:color="auto" w:sz="4" w:space="0"/>
              <w:right w:val="single" w:color="auto" w:sz="4" w:space="0"/>
            </w:tcBorders>
            <w:vAlign w:val="center"/>
          </w:tcPr>
          <w:p w14:paraId="41068DF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3108</w:t>
            </w:r>
          </w:p>
        </w:tc>
        <w:tc>
          <w:tcPr>
            <w:tcW w:w="2860" w:type="dxa"/>
            <w:tcBorders>
              <w:top w:val="nil"/>
              <w:left w:val="nil"/>
              <w:bottom w:val="single" w:color="auto" w:sz="4" w:space="0"/>
              <w:right w:val="single" w:color="auto" w:sz="4" w:space="0"/>
            </w:tcBorders>
            <w:vAlign w:val="center"/>
          </w:tcPr>
          <w:p w14:paraId="4DBBA04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D232907">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7A9D3D6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740" w:type="dxa"/>
            <w:tcBorders>
              <w:top w:val="nil"/>
              <w:left w:val="nil"/>
              <w:bottom w:val="single" w:color="auto" w:sz="4" w:space="0"/>
              <w:right w:val="single" w:color="auto" w:sz="4" w:space="0"/>
            </w:tcBorders>
            <w:vAlign w:val="center"/>
          </w:tcPr>
          <w:p w14:paraId="3D39A40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草皮护坡</w:t>
            </w:r>
          </w:p>
        </w:tc>
        <w:tc>
          <w:tcPr>
            <w:tcW w:w="700" w:type="dxa"/>
            <w:tcBorders>
              <w:top w:val="nil"/>
              <w:left w:val="nil"/>
              <w:bottom w:val="single" w:color="auto" w:sz="4" w:space="0"/>
              <w:right w:val="single" w:color="auto" w:sz="4" w:space="0"/>
            </w:tcBorders>
            <w:vAlign w:val="center"/>
          </w:tcPr>
          <w:p w14:paraId="727F85B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92" w:type="dxa"/>
            <w:tcBorders>
              <w:top w:val="nil"/>
              <w:left w:val="nil"/>
              <w:bottom w:val="single" w:color="auto" w:sz="4" w:space="0"/>
              <w:right w:val="single" w:color="auto" w:sz="4" w:space="0"/>
            </w:tcBorders>
            <w:vAlign w:val="center"/>
          </w:tcPr>
          <w:p w14:paraId="73AEE23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13.18 </w:t>
            </w:r>
          </w:p>
        </w:tc>
        <w:tc>
          <w:tcPr>
            <w:tcW w:w="870" w:type="dxa"/>
            <w:tcBorders>
              <w:top w:val="nil"/>
              <w:left w:val="nil"/>
              <w:bottom w:val="single" w:color="auto" w:sz="4" w:space="0"/>
              <w:right w:val="single" w:color="auto" w:sz="4" w:space="0"/>
            </w:tcBorders>
            <w:vAlign w:val="center"/>
          </w:tcPr>
          <w:p w14:paraId="0600727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w:t>
            </w:r>
          </w:p>
        </w:tc>
        <w:tc>
          <w:tcPr>
            <w:tcW w:w="1417" w:type="dxa"/>
            <w:tcBorders>
              <w:top w:val="nil"/>
              <w:left w:val="nil"/>
              <w:bottom w:val="single" w:color="auto" w:sz="4" w:space="0"/>
              <w:right w:val="single" w:color="auto" w:sz="4" w:space="0"/>
            </w:tcBorders>
            <w:vAlign w:val="center"/>
          </w:tcPr>
          <w:p w14:paraId="7A76180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3954</w:t>
            </w:r>
          </w:p>
        </w:tc>
        <w:tc>
          <w:tcPr>
            <w:tcW w:w="2860" w:type="dxa"/>
            <w:tcBorders>
              <w:top w:val="nil"/>
              <w:left w:val="nil"/>
              <w:bottom w:val="single" w:color="auto" w:sz="4" w:space="0"/>
              <w:right w:val="single" w:color="auto" w:sz="4" w:space="0"/>
            </w:tcBorders>
            <w:vAlign w:val="center"/>
          </w:tcPr>
          <w:p w14:paraId="58FE0AD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A8F0E12">
        <w:tblPrEx>
          <w:tblCellMar>
            <w:top w:w="0" w:type="dxa"/>
            <w:left w:w="108" w:type="dxa"/>
            <w:bottom w:w="0" w:type="dxa"/>
            <w:right w:w="108" w:type="dxa"/>
          </w:tblCellMar>
        </w:tblPrEx>
        <w:trPr>
          <w:trHeight w:val="855" w:hRule="atLeast"/>
        </w:trPr>
        <w:tc>
          <w:tcPr>
            <w:tcW w:w="621" w:type="dxa"/>
            <w:tcBorders>
              <w:top w:val="nil"/>
              <w:left w:val="single" w:color="auto" w:sz="4" w:space="0"/>
              <w:bottom w:val="single" w:color="auto" w:sz="4" w:space="0"/>
              <w:right w:val="single" w:color="auto" w:sz="4" w:space="0"/>
            </w:tcBorders>
            <w:vAlign w:val="center"/>
          </w:tcPr>
          <w:p w14:paraId="0EECD2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740" w:type="dxa"/>
            <w:tcBorders>
              <w:top w:val="nil"/>
              <w:left w:val="nil"/>
              <w:bottom w:val="single" w:color="auto" w:sz="4" w:space="0"/>
              <w:right w:val="single" w:color="auto" w:sz="4" w:space="0"/>
            </w:tcBorders>
            <w:vAlign w:val="center"/>
          </w:tcPr>
          <w:p w14:paraId="1842C0B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4cm厚AC-13细粒式沥青混凝土（按坑槽面积4㎡~8㎡调整定额）</w:t>
            </w:r>
          </w:p>
        </w:tc>
        <w:tc>
          <w:tcPr>
            <w:tcW w:w="700" w:type="dxa"/>
            <w:tcBorders>
              <w:top w:val="nil"/>
              <w:left w:val="nil"/>
              <w:bottom w:val="single" w:color="auto" w:sz="4" w:space="0"/>
              <w:right w:val="single" w:color="auto" w:sz="4" w:space="0"/>
            </w:tcBorders>
            <w:vAlign w:val="center"/>
          </w:tcPr>
          <w:p w14:paraId="0A027C6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92" w:type="dxa"/>
            <w:tcBorders>
              <w:top w:val="nil"/>
              <w:left w:val="nil"/>
              <w:bottom w:val="single" w:color="auto" w:sz="4" w:space="0"/>
              <w:right w:val="single" w:color="auto" w:sz="4" w:space="0"/>
            </w:tcBorders>
            <w:vAlign w:val="center"/>
          </w:tcPr>
          <w:p w14:paraId="528E04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134.31 </w:t>
            </w:r>
          </w:p>
        </w:tc>
        <w:tc>
          <w:tcPr>
            <w:tcW w:w="870" w:type="dxa"/>
            <w:tcBorders>
              <w:top w:val="nil"/>
              <w:left w:val="nil"/>
              <w:bottom w:val="single" w:color="auto" w:sz="4" w:space="0"/>
              <w:right w:val="single" w:color="auto" w:sz="4" w:space="0"/>
            </w:tcBorders>
            <w:vAlign w:val="center"/>
          </w:tcPr>
          <w:p w14:paraId="5AD0113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2300</w:t>
            </w:r>
          </w:p>
        </w:tc>
        <w:tc>
          <w:tcPr>
            <w:tcW w:w="1417" w:type="dxa"/>
            <w:tcBorders>
              <w:top w:val="nil"/>
              <w:left w:val="nil"/>
              <w:bottom w:val="single" w:color="auto" w:sz="4" w:space="0"/>
              <w:right w:val="single" w:color="auto" w:sz="4" w:space="0"/>
            </w:tcBorders>
            <w:vAlign w:val="center"/>
          </w:tcPr>
          <w:p w14:paraId="6F2C6B8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308913</w:t>
            </w:r>
          </w:p>
        </w:tc>
        <w:tc>
          <w:tcPr>
            <w:tcW w:w="2860" w:type="dxa"/>
            <w:tcBorders>
              <w:top w:val="nil"/>
              <w:left w:val="nil"/>
              <w:bottom w:val="single" w:color="auto" w:sz="4" w:space="0"/>
              <w:right w:val="single" w:color="auto" w:sz="4" w:space="0"/>
            </w:tcBorders>
            <w:vAlign w:val="center"/>
          </w:tcPr>
          <w:p w14:paraId="69A89D8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57AD4A7">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29F07DF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740" w:type="dxa"/>
            <w:tcBorders>
              <w:top w:val="nil"/>
              <w:left w:val="nil"/>
              <w:bottom w:val="single" w:color="auto" w:sz="4" w:space="0"/>
              <w:right w:val="single" w:color="auto" w:sz="4" w:space="0"/>
            </w:tcBorders>
            <w:vAlign w:val="center"/>
          </w:tcPr>
          <w:p w14:paraId="3E67720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乳化沥青路面</w:t>
            </w:r>
          </w:p>
        </w:tc>
        <w:tc>
          <w:tcPr>
            <w:tcW w:w="700" w:type="dxa"/>
            <w:tcBorders>
              <w:top w:val="nil"/>
              <w:left w:val="nil"/>
              <w:bottom w:val="single" w:color="auto" w:sz="4" w:space="0"/>
              <w:right w:val="single" w:color="auto" w:sz="4" w:space="0"/>
            </w:tcBorders>
            <w:vAlign w:val="center"/>
          </w:tcPr>
          <w:p w14:paraId="36AFE16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92" w:type="dxa"/>
            <w:tcBorders>
              <w:top w:val="nil"/>
              <w:left w:val="nil"/>
              <w:bottom w:val="single" w:color="auto" w:sz="4" w:space="0"/>
              <w:right w:val="single" w:color="auto" w:sz="4" w:space="0"/>
            </w:tcBorders>
            <w:vAlign w:val="center"/>
          </w:tcPr>
          <w:p w14:paraId="64B3286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26.39 </w:t>
            </w:r>
          </w:p>
        </w:tc>
        <w:tc>
          <w:tcPr>
            <w:tcW w:w="870" w:type="dxa"/>
            <w:tcBorders>
              <w:top w:val="nil"/>
              <w:left w:val="nil"/>
              <w:bottom w:val="single" w:color="auto" w:sz="4" w:space="0"/>
              <w:right w:val="single" w:color="auto" w:sz="4" w:space="0"/>
            </w:tcBorders>
            <w:vAlign w:val="center"/>
          </w:tcPr>
          <w:p w14:paraId="6542066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c>
          <w:tcPr>
            <w:tcW w:w="1417" w:type="dxa"/>
            <w:tcBorders>
              <w:top w:val="nil"/>
              <w:left w:val="nil"/>
              <w:bottom w:val="single" w:color="auto" w:sz="4" w:space="0"/>
              <w:right w:val="single" w:color="auto" w:sz="4" w:space="0"/>
            </w:tcBorders>
            <w:vAlign w:val="center"/>
          </w:tcPr>
          <w:p w14:paraId="175AC3A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13195</w:t>
            </w:r>
          </w:p>
        </w:tc>
        <w:tc>
          <w:tcPr>
            <w:tcW w:w="2860" w:type="dxa"/>
            <w:tcBorders>
              <w:top w:val="nil"/>
              <w:left w:val="nil"/>
              <w:bottom w:val="single" w:color="auto" w:sz="4" w:space="0"/>
              <w:right w:val="single" w:color="auto" w:sz="4" w:space="0"/>
            </w:tcBorders>
            <w:vAlign w:val="center"/>
          </w:tcPr>
          <w:p w14:paraId="2CF6C64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坑槽修补</w:t>
            </w:r>
          </w:p>
        </w:tc>
      </w:tr>
      <w:tr w14:paraId="0A074A5C">
        <w:tblPrEx>
          <w:tblCellMar>
            <w:top w:w="0" w:type="dxa"/>
            <w:left w:w="108" w:type="dxa"/>
            <w:bottom w:w="0" w:type="dxa"/>
            <w:right w:w="108" w:type="dxa"/>
          </w:tblCellMar>
        </w:tblPrEx>
        <w:trPr>
          <w:trHeight w:val="570" w:hRule="atLeast"/>
        </w:trPr>
        <w:tc>
          <w:tcPr>
            <w:tcW w:w="621" w:type="dxa"/>
            <w:tcBorders>
              <w:top w:val="nil"/>
              <w:left w:val="single" w:color="auto" w:sz="4" w:space="0"/>
              <w:bottom w:val="single" w:color="auto" w:sz="4" w:space="0"/>
              <w:right w:val="single" w:color="auto" w:sz="4" w:space="0"/>
            </w:tcBorders>
            <w:vAlign w:val="center"/>
          </w:tcPr>
          <w:p w14:paraId="2AB1413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740" w:type="dxa"/>
            <w:tcBorders>
              <w:top w:val="nil"/>
              <w:left w:val="nil"/>
              <w:bottom w:val="single" w:color="auto" w:sz="4" w:space="0"/>
              <w:right w:val="single" w:color="auto" w:sz="4" w:space="0"/>
            </w:tcBorders>
            <w:vAlign w:val="center"/>
          </w:tcPr>
          <w:p w14:paraId="5C8D633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4cm厚AC-13沥青混凝土路面（大面积修补）</w:t>
            </w:r>
          </w:p>
        </w:tc>
        <w:tc>
          <w:tcPr>
            <w:tcW w:w="700" w:type="dxa"/>
            <w:tcBorders>
              <w:top w:val="nil"/>
              <w:left w:val="nil"/>
              <w:bottom w:val="single" w:color="auto" w:sz="4" w:space="0"/>
              <w:right w:val="single" w:color="auto" w:sz="4" w:space="0"/>
            </w:tcBorders>
            <w:vAlign w:val="center"/>
          </w:tcPr>
          <w:p w14:paraId="1FB18E5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92" w:type="dxa"/>
            <w:tcBorders>
              <w:top w:val="nil"/>
              <w:left w:val="nil"/>
              <w:bottom w:val="single" w:color="auto" w:sz="4" w:space="0"/>
              <w:right w:val="single" w:color="auto" w:sz="4" w:space="0"/>
            </w:tcBorders>
            <w:vAlign w:val="center"/>
          </w:tcPr>
          <w:p w14:paraId="5ECC6EF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72.11 </w:t>
            </w:r>
          </w:p>
        </w:tc>
        <w:tc>
          <w:tcPr>
            <w:tcW w:w="870" w:type="dxa"/>
            <w:tcBorders>
              <w:top w:val="nil"/>
              <w:left w:val="nil"/>
              <w:bottom w:val="single" w:color="auto" w:sz="4" w:space="0"/>
              <w:right w:val="single" w:color="auto" w:sz="4" w:space="0"/>
            </w:tcBorders>
            <w:vAlign w:val="center"/>
          </w:tcPr>
          <w:p w14:paraId="1DE335F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w:t>
            </w:r>
          </w:p>
        </w:tc>
        <w:tc>
          <w:tcPr>
            <w:tcW w:w="1417" w:type="dxa"/>
            <w:tcBorders>
              <w:top w:val="nil"/>
              <w:left w:val="nil"/>
              <w:bottom w:val="single" w:color="auto" w:sz="4" w:space="0"/>
              <w:right w:val="single" w:color="auto" w:sz="4" w:space="0"/>
            </w:tcBorders>
            <w:vAlign w:val="center"/>
          </w:tcPr>
          <w:p w14:paraId="0C6EA59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72110</w:t>
            </w:r>
          </w:p>
        </w:tc>
        <w:tc>
          <w:tcPr>
            <w:tcW w:w="2860" w:type="dxa"/>
            <w:tcBorders>
              <w:top w:val="nil"/>
              <w:left w:val="nil"/>
              <w:bottom w:val="single" w:color="auto" w:sz="4" w:space="0"/>
              <w:right w:val="single" w:color="auto" w:sz="4" w:space="0"/>
            </w:tcBorders>
            <w:vAlign w:val="center"/>
          </w:tcPr>
          <w:p w14:paraId="4B3DE9DD">
            <w:pPr>
              <w:widowControl/>
              <w:jc w:val="left"/>
              <w:rPr>
                <w:rFonts w:ascii="宋体" w:hAnsi="宋体" w:cs="宋体"/>
                <w:color w:val="auto"/>
                <w:kern w:val="0"/>
                <w:sz w:val="24"/>
                <w:highlight w:val="none"/>
              </w:rPr>
            </w:pPr>
          </w:p>
        </w:tc>
      </w:tr>
      <w:tr w14:paraId="1C63A2F5">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6750CB9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2740" w:type="dxa"/>
            <w:tcBorders>
              <w:top w:val="nil"/>
              <w:left w:val="nil"/>
              <w:bottom w:val="single" w:color="auto" w:sz="4" w:space="0"/>
              <w:right w:val="single" w:color="auto" w:sz="4" w:space="0"/>
            </w:tcBorders>
            <w:vAlign w:val="center"/>
          </w:tcPr>
          <w:p w14:paraId="771713A4">
            <w:pPr>
              <w:widowControl/>
              <w:rPr>
                <w:rFonts w:ascii="宋体" w:hAnsi="宋体" w:cs="宋体"/>
                <w:color w:val="auto"/>
                <w:kern w:val="0"/>
                <w:sz w:val="24"/>
                <w:highlight w:val="none"/>
              </w:rPr>
            </w:pPr>
            <w:r>
              <w:rPr>
                <w:rFonts w:hint="eastAsia" w:ascii="宋体" w:hAnsi="宋体" w:cs="宋体"/>
                <w:color w:val="auto"/>
                <w:kern w:val="0"/>
                <w:sz w:val="24"/>
                <w:highlight w:val="none"/>
              </w:rPr>
              <w:t>水泥路面板灌缝</w:t>
            </w:r>
          </w:p>
        </w:tc>
        <w:tc>
          <w:tcPr>
            <w:tcW w:w="700" w:type="dxa"/>
            <w:tcBorders>
              <w:top w:val="nil"/>
              <w:left w:val="nil"/>
              <w:bottom w:val="single" w:color="auto" w:sz="4" w:space="0"/>
              <w:right w:val="single" w:color="auto" w:sz="4" w:space="0"/>
            </w:tcBorders>
            <w:vAlign w:val="center"/>
          </w:tcPr>
          <w:p w14:paraId="5796E99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92" w:type="dxa"/>
            <w:tcBorders>
              <w:top w:val="nil"/>
              <w:left w:val="nil"/>
              <w:bottom w:val="single" w:color="auto" w:sz="4" w:space="0"/>
              <w:right w:val="single" w:color="auto" w:sz="4" w:space="0"/>
            </w:tcBorders>
            <w:vAlign w:val="center"/>
          </w:tcPr>
          <w:p w14:paraId="4778A39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19.29</w:t>
            </w:r>
          </w:p>
        </w:tc>
        <w:tc>
          <w:tcPr>
            <w:tcW w:w="870" w:type="dxa"/>
            <w:tcBorders>
              <w:top w:val="nil"/>
              <w:left w:val="nil"/>
              <w:bottom w:val="single" w:color="auto" w:sz="4" w:space="0"/>
              <w:right w:val="single" w:color="auto" w:sz="4" w:space="0"/>
            </w:tcBorders>
            <w:vAlign w:val="center"/>
          </w:tcPr>
          <w:p w14:paraId="6FD15F9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4000</w:t>
            </w:r>
          </w:p>
        </w:tc>
        <w:tc>
          <w:tcPr>
            <w:tcW w:w="1417" w:type="dxa"/>
            <w:tcBorders>
              <w:top w:val="nil"/>
              <w:left w:val="nil"/>
              <w:bottom w:val="single" w:color="auto" w:sz="4" w:space="0"/>
              <w:right w:val="single" w:color="auto" w:sz="4" w:space="0"/>
            </w:tcBorders>
            <w:vAlign w:val="center"/>
          </w:tcPr>
          <w:p w14:paraId="1E456EB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77160</w:t>
            </w:r>
          </w:p>
        </w:tc>
        <w:tc>
          <w:tcPr>
            <w:tcW w:w="2860" w:type="dxa"/>
            <w:tcBorders>
              <w:top w:val="nil"/>
              <w:left w:val="nil"/>
              <w:bottom w:val="single" w:color="auto" w:sz="4" w:space="0"/>
              <w:right w:val="single" w:color="auto" w:sz="4" w:space="0"/>
            </w:tcBorders>
            <w:vAlign w:val="center"/>
          </w:tcPr>
          <w:p w14:paraId="69D2D4C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需开槽</w:t>
            </w:r>
          </w:p>
        </w:tc>
      </w:tr>
      <w:tr w14:paraId="1D562FF1">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5140F4B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2740" w:type="dxa"/>
            <w:tcBorders>
              <w:top w:val="nil"/>
              <w:left w:val="nil"/>
              <w:bottom w:val="single" w:color="auto" w:sz="4" w:space="0"/>
              <w:right w:val="single" w:color="auto" w:sz="4" w:space="0"/>
            </w:tcBorders>
            <w:vAlign w:val="center"/>
          </w:tcPr>
          <w:p w14:paraId="149849B7">
            <w:pPr>
              <w:widowControl/>
              <w:rPr>
                <w:rFonts w:ascii="宋体" w:hAnsi="宋体" w:cs="宋体"/>
                <w:color w:val="auto"/>
                <w:kern w:val="0"/>
                <w:sz w:val="24"/>
                <w:highlight w:val="none"/>
              </w:rPr>
            </w:pPr>
            <w:r>
              <w:rPr>
                <w:rFonts w:hint="eastAsia" w:ascii="宋体" w:hAnsi="宋体" w:cs="宋体"/>
                <w:color w:val="auto"/>
                <w:kern w:val="0"/>
                <w:sz w:val="24"/>
                <w:highlight w:val="none"/>
              </w:rPr>
              <w:t>水泥、沥青路面裂缝修补</w:t>
            </w:r>
          </w:p>
        </w:tc>
        <w:tc>
          <w:tcPr>
            <w:tcW w:w="700" w:type="dxa"/>
            <w:tcBorders>
              <w:top w:val="nil"/>
              <w:left w:val="nil"/>
              <w:bottom w:val="single" w:color="auto" w:sz="4" w:space="0"/>
              <w:right w:val="single" w:color="auto" w:sz="4" w:space="0"/>
            </w:tcBorders>
            <w:vAlign w:val="center"/>
          </w:tcPr>
          <w:p w14:paraId="3E0E246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92" w:type="dxa"/>
            <w:tcBorders>
              <w:top w:val="nil"/>
              <w:left w:val="nil"/>
              <w:bottom w:val="single" w:color="auto" w:sz="4" w:space="0"/>
              <w:right w:val="single" w:color="auto" w:sz="4" w:space="0"/>
            </w:tcBorders>
            <w:vAlign w:val="center"/>
          </w:tcPr>
          <w:p w14:paraId="201F5AC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19.29 </w:t>
            </w:r>
          </w:p>
        </w:tc>
        <w:tc>
          <w:tcPr>
            <w:tcW w:w="870" w:type="dxa"/>
            <w:tcBorders>
              <w:top w:val="nil"/>
              <w:left w:val="nil"/>
              <w:bottom w:val="single" w:color="auto" w:sz="4" w:space="0"/>
              <w:right w:val="single" w:color="auto" w:sz="4" w:space="0"/>
            </w:tcBorders>
            <w:vAlign w:val="center"/>
          </w:tcPr>
          <w:p w14:paraId="6BD9968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c>
          <w:tcPr>
            <w:tcW w:w="1417" w:type="dxa"/>
            <w:tcBorders>
              <w:top w:val="nil"/>
              <w:left w:val="nil"/>
              <w:bottom w:val="single" w:color="auto" w:sz="4" w:space="0"/>
              <w:right w:val="single" w:color="auto" w:sz="4" w:space="0"/>
            </w:tcBorders>
            <w:vAlign w:val="center"/>
          </w:tcPr>
          <w:p w14:paraId="79A8EA3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3858</w:t>
            </w:r>
          </w:p>
        </w:tc>
        <w:tc>
          <w:tcPr>
            <w:tcW w:w="2860" w:type="dxa"/>
            <w:tcBorders>
              <w:top w:val="nil"/>
              <w:left w:val="nil"/>
              <w:bottom w:val="single" w:color="auto" w:sz="4" w:space="0"/>
              <w:right w:val="single" w:color="auto" w:sz="4" w:space="0"/>
            </w:tcBorders>
            <w:vAlign w:val="center"/>
          </w:tcPr>
          <w:p w14:paraId="676B09B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需开槽</w:t>
            </w:r>
          </w:p>
        </w:tc>
      </w:tr>
      <w:tr w14:paraId="23AD1499">
        <w:tblPrEx>
          <w:tblCellMar>
            <w:top w:w="0" w:type="dxa"/>
            <w:left w:w="108" w:type="dxa"/>
            <w:bottom w:w="0" w:type="dxa"/>
            <w:right w:w="108" w:type="dxa"/>
          </w:tblCellMar>
        </w:tblPrEx>
        <w:trPr>
          <w:trHeight w:val="570" w:hRule="atLeast"/>
        </w:trPr>
        <w:tc>
          <w:tcPr>
            <w:tcW w:w="621" w:type="dxa"/>
            <w:tcBorders>
              <w:top w:val="nil"/>
              <w:left w:val="single" w:color="auto" w:sz="4" w:space="0"/>
              <w:bottom w:val="single" w:color="auto" w:sz="4" w:space="0"/>
              <w:right w:val="single" w:color="auto" w:sz="4" w:space="0"/>
            </w:tcBorders>
            <w:vAlign w:val="center"/>
          </w:tcPr>
          <w:p w14:paraId="0C84C8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2740" w:type="dxa"/>
            <w:tcBorders>
              <w:top w:val="nil"/>
              <w:left w:val="nil"/>
              <w:bottom w:val="single" w:color="auto" w:sz="4" w:space="0"/>
              <w:right w:val="single" w:color="auto" w:sz="4" w:space="0"/>
            </w:tcBorders>
            <w:vAlign w:val="center"/>
          </w:tcPr>
          <w:p w14:paraId="6F0CBCB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水泥混凝土路面（厚20cm、4.0MPa）</w:t>
            </w:r>
          </w:p>
        </w:tc>
        <w:tc>
          <w:tcPr>
            <w:tcW w:w="700" w:type="dxa"/>
            <w:tcBorders>
              <w:top w:val="nil"/>
              <w:left w:val="nil"/>
              <w:bottom w:val="single" w:color="auto" w:sz="4" w:space="0"/>
              <w:right w:val="single" w:color="auto" w:sz="4" w:space="0"/>
            </w:tcBorders>
            <w:vAlign w:val="center"/>
          </w:tcPr>
          <w:p w14:paraId="7806E2C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92" w:type="dxa"/>
            <w:tcBorders>
              <w:top w:val="nil"/>
              <w:left w:val="nil"/>
              <w:bottom w:val="single" w:color="auto" w:sz="4" w:space="0"/>
              <w:right w:val="single" w:color="auto" w:sz="4" w:space="0"/>
            </w:tcBorders>
            <w:vAlign w:val="center"/>
          </w:tcPr>
          <w:p w14:paraId="28E377A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124.94 </w:t>
            </w:r>
          </w:p>
        </w:tc>
        <w:tc>
          <w:tcPr>
            <w:tcW w:w="870" w:type="dxa"/>
            <w:tcBorders>
              <w:top w:val="nil"/>
              <w:left w:val="nil"/>
              <w:bottom w:val="single" w:color="auto" w:sz="4" w:space="0"/>
              <w:right w:val="single" w:color="auto" w:sz="4" w:space="0"/>
            </w:tcBorders>
            <w:vAlign w:val="center"/>
          </w:tcPr>
          <w:p w14:paraId="44B0479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3850</w:t>
            </w:r>
          </w:p>
        </w:tc>
        <w:tc>
          <w:tcPr>
            <w:tcW w:w="1417" w:type="dxa"/>
            <w:tcBorders>
              <w:top w:val="nil"/>
              <w:left w:val="nil"/>
              <w:bottom w:val="single" w:color="auto" w:sz="4" w:space="0"/>
              <w:right w:val="single" w:color="auto" w:sz="4" w:space="0"/>
            </w:tcBorders>
            <w:vAlign w:val="center"/>
          </w:tcPr>
          <w:p w14:paraId="4FBB15D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481019</w:t>
            </w:r>
          </w:p>
        </w:tc>
        <w:tc>
          <w:tcPr>
            <w:tcW w:w="2860" w:type="dxa"/>
            <w:tcBorders>
              <w:top w:val="nil"/>
              <w:left w:val="nil"/>
              <w:bottom w:val="single" w:color="auto" w:sz="4" w:space="0"/>
              <w:right w:val="single" w:color="auto" w:sz="4" w:space="0"/>
            </w:tcBorders>
            <w:vAlign w:val="center"/>
          </w:tcPr>
          <w:p w14:paraId="7BF5B97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每增减1cm，单价减6.5元</w:t>
            </w:r>
          </w:p>
        </w:tc>
      </w:tr>
      <w:tr w14:paraId="4D851070">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0371946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2740" w:type="dxa"/>
            <w:tcBorders>
              <w:top w:val="nil"/>
              <w:left w:val="nil"/>
              <w:bottom w:val="single" w:color="auto" w:sz="4" w:space="0"/>
              <w:right w:val="single" w:color="auto" w:sz="4" w:space="0"/>
            </w:tcBorders>
            <w:vAlign w:val="center"/>
          </w:tcPr>
          <w:p w14:paraId="3919E0D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挖除旧水泥混凝土路面板</w:t>
            </w:r>
          </w:p>
        </w:tc>
        <w:tc>
          <w:tcPr>
            <w:tcW w:w="700" w:type="dxa"/>
            <w:tcBorders>
              <w:top w:val="nil"/>
              <w:left w:val="nil"/>
              <w:bottom w:val="single" w:color="auto" w:sz="4" w:space="0"/>
              <w:right w:val="single" w:color="auto" w:sz="4" w:space="0"/>
            </w:tcBorders>
            <w:vAlign w:val="center"/>
          </w:tcPr>
          <w:p w14:paraId="64FEE43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5649D10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145.43 </w:t>
            </w:r>
          </w:p>
        </w:tc>
        <w:tc>
          <w:tcPr>
            <w:tcW w:w="870" w:type="dxa"/>
            <w:tcBorders>
              <w:top w:val="nil"/>
              <w:left w:val="nil"/>
              <w:bottom w:val="single" w:color="auto" w:sz="4" w:space="0"/>
              <w:right w:val="single" w:color="auto" w:sz="4" w:space="0"/>
            </w:tcBorders>
            <w:vAlign w:val="center"/>
          </w:tcPr>
          <w:p w14:paraId="521A94C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800</w:t>
            </w:r>
          </w:p>
        </w:tc>
        <w:tc>
          <w:tcPr>
            <w:tcW w:w="1417" w:type="dxa"/>
            <w:tcBorders>
              <w:top w:val="nil"/>
              <w:left w:val="nil"/>
              <w:bottom w:val="single" w:color="auto" w:sz="4" w:space="0"/>
              <w:right w:val="single" w:color="auto" w:sz="4" w:space="0"/>
            </w:tcBorders>
            <w:vAlign w:val="center"/>
          </w:tcPr>
          <w:p w14:paraId="40A37E5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116344</w:t>
            </w:r>
          </w:p>
        </w:tc>
        <w:tc>
          <w:tcPr>
            <w:tcW w:w="2860" w:type="dxa"/>
            <w:tcBorders>
              <w:top w:val="nil"/>
              <w:left w:val="nil"/>
              <w:bottom w:val="single" w:color="auto" w:sz="4" w:space="0"/>
              <w:right w:val="single" w:color="000000" w:sz="4" w:space="0"/>
            </w:tcBorders>
            <w:vAlign w:val="center"/>
          </w:tcPr>
          <w:p w14:paraId="078CADED">
            <w:pPr>
              <w:widowControl/>
              <w:rPr>
                <w:rFonts w:ascii="宋体" w:hAnsi="宋体" w:cs="宋体"/>
                <w:color w:val="auto"/>
                <w:kern w:val="0"/>
                <w:sz w:val="24"/>
                <w:highlight w:val="none"/>
              </w:rPr>
            </w:pPr>
            <w:r>
              <w:rPr>
                <w:rFonts w:hint="eastAsia" w:ascii="宋体" w:hAnsi="宋体" w:cs="宋体"/>
                <w:color w:val="auto"/>
                <w:kern w:val="0"/>
                <w:sz w:val="24"/>
                <w:highlight w:val="none"/>
              </w:rPr>
              <w:t>含破碎、挖及运</w:t>
            </w:r>
          </w:p>
        </w:tc>
      </w:tr>
      <w:tr w14:paraId="726FBED0">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3377219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2740" w:type="dxa"/>
            <w:tcBorders>
              <w:top w:val="nil"/>
              <w:left w:val="nil"/>
              <w:bottom w:val="single" w:color="auto" w:sz="4" w:space="0"/>
              <w:right w:val="single" w:color="auto" w:sz="4" w:space="0"/>
            </w:tcBorders>
            <w:vAlign w:val="center"/>
          </w:tcPr>
          <w:p w14:paraId="12991D3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C20水泥混凝土基层</w:t>
            </w:r>
          </w:p>
        </w:tc>
        <w:tc>
          <w:tcPr>
            <w:tcW w:w="700" w:type="dxa"/>
            <w:tcBorders>
              <w:top w:val="nil"/>
              <w:left w:val="nil"/>
              <w:bottom w:val="single" w:color="auto" w:sz="4" w:space="0"/>
              <w:right w:val="single" w:color="auto" w:sz="4" w:space="0"/>
            </w:tcBorders>
            <w:vAlign w:val="center"/>
          </w:tcPr>
          <w:p w14:paraId="2173124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1206B06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590.52 </w:t>
            </w:r>
          </w:p>
        </w:tc>
        <w:tc>
          <w:tcPr>
            <w:tcW w:w="870" w:type="dxa"/>
            <w:tcBorders>
              <w:top w:val="nil"/>
              <w:left w:val="nil"/>
              <w:bottom w:val="single" w:color="auto" w:sz="4" w:space="0"/>
              <w:right w:val="single" w:color="auto" w:sz="4" w:space="0"/>
            </w:tcBorders>
            <w:vAlign w:val="center"/>
          </w:tcPr>
          <w:p w14:paraId="3521770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40</w:t>
            </w:r>
          </w:p>
        </w:tc>
        <w:tc>
          <w:tcPr>
            <w:tcW w:w="1417" w:type="dxa"/>
            <w:tcBorders>
              <w:top w:val="nil"/>
              <w:left w:val="nil"/>
              <w:bottom w:val="single" w:color="auto" w:sz="4" w:space="0"/>
              <w:right w:val="single" w:color="auto" w:sz="4" w:space="0"/>
            </w:tcBorders>
            <w:vAlign w:val="center"/>
          </w:tcPr>
          <w:p w14:paraId="7EE6337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23620.8</w:t>
            </w:r>
          </w:p>
        </w:tc>
        <w:tc>
          <w:tcPr>
            <w:tcW w:w="2860" w:type="dxa"/>
            <w:tcBorders>
              <w:top w:val="nil"/>
              <w:left w:val="nil"/>
              <w:bottom w:val="single" w:color="auto" w:sz="4" w:space="0"/>
              <w:right w:val="single" w:color="auto" w:sz="4" w:space="0"/>
            </w:tcBorders>
            <w:vAlign w:val="center"/>
          </w:tcPr>
          <w:p w14:paraId="2BE6F2A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AD4DF1D">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0CEE212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2740" w:type="dxa"/>
            <w:tcBorders>
              <w:top w:val="nil"/>
              <w:left w:val="nil"/>
              <w:bottom w:val="single" w:color="auto" w:sz="4" w:space="0"/>
              <w:right w:val="single" w:color="auto" w:sz="4" w:space="0"/>
            </w:tcBorders>
            <w:vAlign w:val="center"/>
          </w:tcPr>
          <w:p w14:paraId="2E4A0EF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钢筋网</w:t>
            </w:r>
          </w:p>
        </w:tc>
        <w:tc>
          <w:tcPr>
            <w:tcW w:w="700" w:type="dxa"/>
            <w:tcBorders>
              <w:top w:val="nil"/>
              <w:left w:val="nil"/>
              <w:bottom w:val="single" w:color="auto" w:sz="4" w:space="0"/>
              <w:right w:val="single" w:color="auto" w:sz="4" w:space="0"/>
            </w:tcBorders>
            <w:vAlign w:val="center"/>
          </w:tcPr>
          <w:p w14:paraId="6FC8EBD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192" w:type="dxa"/>
            <w:tcBorders>
              <w:top w:val="nil"/>
              <w:left w:val="nil"/>
              <w:bottom w:val="single" w:color="auto" w:sz="4" w:space="0"/>
              <w:right w:val="single" w:color="auto" w:sz="4" w:space="0"/>
            </w:tcBorders>
            <w:vAlign w:val="center"/>
          </w:tcPr>
          <w:p w14:paraId="4A28437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5.31</w:t>
            </w:r>
          </w:p>
        </w:tc>
        <w:tc>
          <w:tcPr>
            <w:tcW w:w="870" w:type="dxa"/>
            <w:tcBorders>
              <w:top w:val="nil"/>
              <w:left w:val="nil"/>
              <w:bottom w:val="single" w:color="auto" w:sz="4" w:space="0"/>
              <w:right w:val="single" w:color="auto" w:sz="4" w:space="0"/>
            </w:tcBorders>
            <w:vAlign w:val="center"/>
          </w:tcPr>
          <w:p w14:paraId="760CDEE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3000</w:t>
            </w:r>
          </w:p>
        </w:tc>
        <w:tc>
          <w:tcPr>
            <w:tcW w:w="1417" w:type="dxa"/>
            <w:tcBorders>
              <w:top w:val="nil"/>
              <w:left w:val="nil"/>
              <w:bottom w:val="single" w:color="auto" w:sz="4" w:space="0"/>
              <w:right w:val="single" w:color="auto" w:sz="4" w:space="0"/>
            </w:tcBorders>
            <w:vAlign w:val="center"/>
          </w:tcPr>
          <w:p w14:paraId="6A624FE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15930</w:t>
            </w:r>
          </w:p>
        </w:tc>
        <w:tc>
          <w:tcPr>
            <w:tcW w:w="2860" w:type="dxa"/>
            <w:tcBorders>
              <w:top w:val="nil"/>
              <w:left w:val="nil"/>
              <w:bottom w:val="single" w:color="auto" w:sz="4" w:space="0"/>
              <w:right w:val="single" w:color="auto" w:sz="4" w:space="0"/>
            </w:tcBorders>
            <w:vAlign w:val="center"/>
          </w:tcPr>
          <w:p w14:paraId="344FBBE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混凝土路面</w:t>
            </w:r>
          </w:p>
        </w:tc>
      </w:tr>
      <w:tr w14:paraId="138D3A12">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63824BA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2740" w:type="dxa"/>
            <w:tcBorders>
              <w:top w:val="nil"/>
              <w:left w:val="nil"/>
              <w:bottom w:val="single" w:color="auto" w:sz="4" w:space="0"/>
              <w:right w:val="single" w:color="auto" w:sz="4" w:space="0"/>
            </w:tcBorders>
            <w:vAlign w:val="center"/>
          </w:tcPr>
          <w:p w14:paraId="72B5011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植钢筋</w:t>
            </w:r>
          </w:p>
        </w:tc>
        <w:tc>
          <w:tcPr>
            <w:tcW w:w="700" w:type="dxa"/>
            <w:tcBorders>
              <w:top w:val="nil"/>
              <w:left w:val="nil"/>
              <w:bottom w:val="single" w:color="auto" w:sz="4" w:space="0"/>
              <w:right w:val="single" w:color="auto" w:sz="4" w:space="0"/>
            </w:tcBorders>
            <w:vAlign w:val="center"/>
          </w:tcPr>
          <w:p w14:paraId="5AB996D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192" w:type="dxa"/>
            <w:tcBorders>
              <w:top w:val="nil"/>
              <w:left w:val="nil"/>
              <w:bottom w:val="single" w:color="auto" w:sz="4" w:space="0"/>
              <w:right w:val="single" w:color="auto" w:sz="4" w:space="0"/>
            </w:tcBorders>
            <w:vAlign w:val="center"/>
          </w:tcPr>
          <w:p w14:paraId="4BD97E3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45.88 </w:t>
            </w:r>
          </w:p>
        </w:tc>
        <w:tc>
          <w:tcPr>
            <w:tcW w:w="870" w:type="dxa"/>
            <w:tcBorders>
              <w:top w:val="nil"/>
              <w:left w:val="nil"/>
              <w:bottom w:val="single" w:color="auto" w:sz="4" w:space="0"/>
              <w:right w:val="single" w:color="auto" w:sz="4" w:space="0"/>
            </w:tcBorders>
            <w:vAlign w:val="center"/>
          </w:tcPr>
          <w:p w14:paraId="1564B47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w:t>
            </w:r>
          </w:p>
        </w:tc>
        <w:tc>
          <w:tcPr>
            <w:tcW w:w="1417" w:type="dxa"/>
            <w:tcBorders>
              <w:top w:val="nil"/>
              <w:left w:val="nil"/>
              <w:bottom w:val="single" w:color="auto" w:sz="4" w:space="0"/>
              <w:right w:val="single" w:color="auto" w:sz="4" w:space="0"/>
            </w:tcBorders>
            <w:vAlign w:val="center"/>
          </w:tcPr>
          <w:p w14:paraId="7494C88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13764</w:t>
            </w:r>
          </w:p>
        </w:tc>
        <w:tc>
          <w:tcPr>
            <w:tcW w:w="2860" w:type="dxa"/>
            <w:tcBorders>
              <w:top w:val="nil"/>
              <w:left w:val="nil"/>
              <w:bottom w:val="single" w:color="auto" w:sz="4" w:space="0"/>
              <w:right w:val="single" w:color="auto" w:sz="4" w:space="0"/>
            </w:tcBorders>
            <w:vAlign w:val="center"/>
          </w:tcPr>
          <w:p w14:paraId="6456569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包含钻孔</w:t>
            </w:r>
          </w:p>
        </w:tc>
      </w:tr>
      <w:tr w14:paraId="17FC8F97">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2AAAB5B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2740" w:type="dxa"/>
            <w:tcBorders>
              <w:top w:val="nil"/>
              <w:left w:val="nil"/>
              <w:bottom w:val="single" w:color="auto" w:sz="4" w:space="0"/>
              <w:right w:val="single" w:color="auto" w:sz="4" w:space="0"/>
            </w:tcBorders>
            <w:vAlign w:val="center"/>
          </w:tcPr>
          <w:p w14:paraId="2FDD42F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级配碎石基层</w:t>
            </w:r>
          </w:p>
        </w:tc>
        <w:tc>
          <w:tcPr>
            <w:tcW w:w="700" w:type="dxa"/>
            <w:tcBorders>
              <w:top w:val="nil"/>
              <w:left w:val="nil"/>
              <w:bottom w:val="single" w:color="auto" w:sz="4" w:space="0"/>
              <w:right w:val="single" w:color="auto" w:sz="4" w:space="0"/>
            </w:tcBorders>
            <w:vAlign w:val="center"/>
          </w:tcPr>
          <w:p w14:paraId="17B875F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02B076C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261.25 </w:t>
            </w:r>
          </w:p>
        </w:tc>
        <w:tc>
          <w:tcPr>
            <w:tcW w:w="870" w:type="dxa"/>
            <w:tcBorders>
              <w:top w:val="nil"/>
              <w:left w:val="nil"/>
              <w:bottom w:val="single" w:color="auto" w:sz="4" w:space="0"/>
              <w:right w:val="single" w:color="auto" w:sz="4" w:space="0"/>
            </w:tcBorders>
            <w:vAlign w:val="center"/>
          </w:tcPr>
          <w:p w14:paraId="4DD690A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250</w:t>
            </w:r>
          </w:p>
        </w:tc>
        <w:tc>
          <w:tcPr>
            <w:tcW w:w="1417" w:type="dxa"/>
            <w:tcBorders>
              <w:top w:val="nil"/>
              <w:left w:val="nil"/>
              <w:bottom w:val="single" w:color="auto" w:sz="4" w:space="0"/>
              <w:right w:val="single" w:color="auto" w:sz="4" w:space="0"/>
            </w:tcBorders>
            <w:vAlign w:val="center"/>
          </w:tcPr>
          <w:p w14:paraId="5F58587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65312.5</w:t>
            </w:r>
          </w:p>
        </w:tc>
        <w:tc>
          <w:tcPr>
            <w:tcW w:w="2860" w:type="dxa"/>
            <w:tcBorders>
              <w:top w:val="nil"/>
              <w:left w:val="nil"/>
              <w:bottom w:val="single" w:color="auto" w:sz="4" w:space="0"/>
              <w:right w:val="single" w:color="auto" w:sz="4" w:space="0"/>
            </w:tcBorders>
            <w:vAlign w:val="center"/>
          </w:tcPr>
          <w:p w14:paraId="4B37F84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5AFDDDC">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7A9D625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22</w:t>
            </w:r>
          </w:p>
        </w:tc>
        <w:tc>
          <w:tcPr>
            <w:tcW w:w="2740" w:type="dxa"/>
            <w:tcBorders>
              <w:top w:val="nil"/>
              <w:left w:val="nil"/>
              <w:bottom w:val="single" w:color="auto" w:sz="4" w:space="0"/>
              <w:right w:val="single" w:color="auto" w:sz="4" w:space="0"/>
            </w:tcBorders>
            <w:vAlign w:val="center"/>
          </w:tcPr>
          <w:p w14:paraId="345F18E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水泥稳定碎石基层</w:t>
            </w:r>
          </w:p>
        </w:tc>
        <w:tc>
          <w:tcPr>
            <w:tcW w:w="700" w:type="dxa"/>
            <w:tcBorders>
              <w:top w:val="nil"/>
              <w:left w:val="nil"/>
              <w:bottom w:val="single" w:color="auto" w:sz="4" w:space="0"/>
              <w:right w:val="single" w:color="auto" w:sz="4" w:space="0"/>
            </w:tcBorders>
            <w:vAlign w:val="center"/>
          </w:tcPr>
          <w:p w14:paraId="6556414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379C377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323.36 </w:t>
            </w:r>
          </w:p>
        </w:tc>
        <w:tc>
          <w:tcPr>
            <w:tcW w:w="870" w:type="dxa"/>
            <w:tcBorders>
              <w:top w:val="nil"/>
              <w:left w:val="nil"/>
              <w:bottom w:val="single" w:color="auto" w:sz="4" w:space="0"/>
              <w:right w:val="single" w:color="auto" w:sz="4" w:space="0"/>
            </w:tcBorders>
            <w:vAlign w:val="center"/>
          </w:tcPr>
          <w:p w14:paraId="724B473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400</w:t>
            </w:r>
          </w:p>
        </w:tc>
        <w:tc>
          <w:tcPr>
            <w:tcW w:w="1417" w:type="dxa"/>
            <w:tcBorders>
              <w:top w:val="nil"/>
              <w:left w:val="nil"/>
              <w:bottom w:val="single" w:color="auto" w:sz="4" w:space="0"/>
              <w:right w:val="single" w:color="auto" w:sz="4" w:space="0"/>
            </w:tcBorders>
            <w:vAlign w:val="center"/>
          </w:tcPr>
          <w:p w14:paraId="77828B8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129344</w:t>
            </w:r>
          </w:p>
        </w:tc>
        <w:tc>
          <w:tcPr>
            <w:tcW w:w="2860" w:type="dxa"/>
            <w:tcBorders>
              <w:top w:val="nil"/>
              <w:left w:val="nil"/>
              <w:bottom w:val="single" w:color="auto" w:sz="4" w:space="0"/>
              <w:right w:val="single" w:color="auto" w:sz="4" w:space="0"/>
            </w:tcBorders>
            <w:vAlign w:val="center"/>
          </w:tcPr>
          <w:p w14:paraId="5451FCF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D5ED4D2">
        <w:tblPrEx>
          <w:tblCellMar>
            <w:top w:w="0" w:type="dxa"/>
            <w:left w:w="108" w:type="dxa"/>
            <w:bottom w:w="0" w:type="dxa"/>
            <w:right w:w="108" w:type="dxa"/>
          </w:tblCellMar>
        </w:tblPrEx>
        <w:trPr>
          <w:trHeight w:val="855" w:hRule="atLeast"/>
        </w:trPr>
        <w:tc>
          <w:tcPr>
            <w:tcW w:w="621" w:type="dxa"/>
            <w:tcBorders>
              <w:top w:val="nil"/>
              <w:left w:val="single" w:color="auto" w:sz="4" w:space="0"/>
              <w:bottom w:val="single" w:color="auto" w:sz="4" w:space="0"/>
              <w:right w:val="single" w:color="auto" w:sz="4" w:space="0"/>
            </w:tcBorders>
            <w:vAlign w:val="center"/>
          </w:tcPr>
          <w:p w14:paraId="7F70202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23</w:t>
            </w:r>
          </w:p>
        </w:tc>
        <w:tc>
          <w:tcPr>
            <w:tcW w:w="2740" w:type="dxa"/>
            <w:tcBorders>
              <w:top w:val="nil"/>
              <w:left w:val="nil"/>
              <w:bottom w:val="single" w:color="auto" w:sz="4" w:space="0"/>
              <w:right w:val="single" w:color="auto" w:sz="4" w:space="0"/>
            </w:tcBorders>
            <w:vAlign w:val="center"/>
          </w:tcPr>
          <w:p w14:paraId="03FAE48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路肩培土</w:t>
            </w:r>
          </w:p>
        </w:tc>
        <w:tc>
          <w:tcPr>
            <w:tcW w:w="700" w:type="dxa"/>
            <w:tcBorders>
              <w:top w:val="nil"/>
              <w:left w:val="nil"/>
              <w:bottom w:val="single" w:color="auto" w:sz="4" w:space="0"/>
              <w:right w:val="single" w:color="auto" w:sz="4" w:space="0"/>
            </w:tcBorders>
            <w:vAlign w:val="center"/>
          </w:tcPr>
          <w:p w14:paraId="4194FEF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6B0D6AF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62.18 </w:t>
            </w:r>
          </w:p>
        </w:tc>
        <w:tc>
          <w:tcPr>
            <w:tcW w:w="870" w:type="dxa"/>
            <w:tcBorders>
              <w:top w:val="nil"/>
              <w:left w:val="nil"/>
              <w:bottom w:val="single" w:color="auto" w:sz="4" w:space="0"/>
              <w:right w:val="single" w:color="auto" w:sz="4" w:space="0"/>
            </w:tcBorders>
            <w:vAlign w:val="center"/>
          </w:tcPr>
          <w:p w14:paraId="244A1D5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w:t>
            </w:r>
          </w:p>
        </w:tc>
        <w:tc>
          <w:tcPr>
            <w:tcW w:w="1417" w:type="dxa"/>
            <w:tcBorders>
              <w:top w:val="nil"/>
              <w:left w:val="nil"/>
              <w:bottom w:val="single" w:color="auto" w:sz="4" w:space="0"/>
              <w:right w:val="single" w:color="auto" w:sz="4" w:space="0"/>
            </w:tcBorders>
            <w:vAlign w:val="center"/>
          </w:tcPr>
          <w:p w14:paraId="5CF1442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124360</w:t>
            </w:r>
          </w:p>
        </w:tc>
        <w:tc>
          <w:tcPr>
            <w:tcW w:w="2860" w:type="dxa"/>
            <w:tcBorders>
              <w:top w:val="nil"/>
              <w:left w:val="nil"/>
              <w:bottom w:val="single" w:color="auto" w:sz="4" w:space="0"/>
              <w:right w:val="single" w:color="auto" w:sz="4" w:space="0"/>
            </w:tcBorders>
            <w:vAlign w:val="center"/>
          </w:tcPr>
          <w:p w14:paraId="34BE045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含土根费、运费、压实，需先清理杂物杂草，填土必须用砂性土</w:t>
            </w:r>
          </w:p>
        </w:tc>
      </w:tr>
      <w:tr w14:paraId="42E9883E">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5E34085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24</w:t>
            </w:r>
          </w:p>
        </w:tc>
        <w:tc>
          <w:tcPr>
            <w:tcW w:w="2740" w:type="dxa"/>
            <w:tcBorders>
              <w:top w:val="nil"/>
              <w:left w:val="nil"/>
              <w:bottom w:val="single" w:color="auto" w:sz="4" w:space="0"/>
              <w:right w:val="single" w:color="auto" w:sz="4" w:space="0"/>
            </w:tcBorders>
            <w:vAlign w:val="center"/>
          </w:tcPr>
          <w:p w14:paraId="125186F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培路肩（石粉和石渣）</w:t>
            </w:r>
          </w:p>
        </w:tc>
        <w:tc>
          <w:tcPr>
            <w:tcW w:w="700" w:type="dxa"/>
            <w:tcBorders>
              <w:top w:val="nil"/>
              <w:left w:val="nil"/>
              <w:bottom w:val="single" w:color="auto" w:sz="4" w:space="0"/>
              <w:right w:val="single" w:color="auto" w:sz="4" w:space="0"/>
            </w:tcBorders>
            <w:vAlign w:val="center"/>
          </w:tcPr>
          <w:p w14:paraId="2AB849D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20B0F47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84.07 </w:t>
            </w:r>
          </w:p>
        </w:tc>
        <w:tc>
          <w:tcPr>
            <w:tcW w:w="870" w:type="dxa"/>
            <w:tcBorders>
              <w:top w:val="nil"/>
              <w:left w:val="nil"/>
              <w:bottom w:val="single" w:color="auto" w:sz="4" w:space="0"/>
              <w:right w:val="single" w:color="auto" w:sz="4" w:space="0"/>
            </w:tcBorders>
            <w:vAlign w:val="center"/>
          </w:tcPr>
          <w:p w14:paraId="31B7FCC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c>
          <w:tcPr>
            <w:tcW w:w="1417" w:type="dxa"/>
            <w:tcBorders>
              <w:top w:val="nil"/>
              <w:left w:val="nil"/>
              <w:bottom w:val="single" w:color="auto" w:sz="4" w:space="0"/>
              <w:right w:val="single" w:color="auto" w:sz="4" w:space="0"/>
            </w:tcBorders>
            <w:vAlign w:val="center"/>
          </w:tcPr>
          <w:p w14:paraId="0AAC0C8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126105</w:t>
            </w:r>
          </w:p>
        </w:tc>
        <w:tc>
          <w:tcPr>
            <w:tcW w:w="2860" w:type="dxa"/>
            <w:tcBorders>
              <w:top w:val="nil"/>
              <w:left w:val="nil"/>
              <w:bottom w:val="single" w:color="auto" w:sz="4" w:space="0"/>
              <w:right w:val="single" w:color="auto" w:sz="4" w:space="0"/>
            </w:tcBorders>
            <w:vAlign w:val="center"/>
          </w:tcPr>
          <w:p w14:paraId="55EE9F3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D2A6ABE">
        <w:tblPrEx>
          <w:tblCellMar>
            <w:top w:w="0" w:type="dxa"/>
            <w:left w:w="108" w:type="dxa"/>
            <w:bottom w:w="0" w:type="dxa"/>
            <w:right w:w="108" w:type="dxa"/>
          </w:tblCellMar>
        </w:tblPrEx>
        <w:trPr>
          <w:trHeight w:val="570" w:hRule="atLeast"/>
        </w:trPr>
        <w:tc>
          <w:tcPr>
            <w:tcW w:w="621" w:type="dxa"/>
            <w:tcBorders>
              <w:top w:val="nil"/>
              <w:left w:val="single" w:color="auto" w:sz="4" w:space="0"/>
              <w:bottom w:val="single" w:color="auto" w:sz="4" w:space="0"/>
              <w:right w:val="single" w:color="auto" w:sz="4" w:space="0"/>
            </w:tcBorders>
            <w:vAlign w:val="center"/>
          </w:tcPr>
          <w:p w14:paraId="045B8C5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25</w:t>
            </w:r>
          </w:p>
        </w:tc>
        <w:tc>
          <w:tcPr>
            <w:tcW w:w="2740" w:type="dxa"/>
            <w:tcBorders>
              <w:top w:val="nil"/>
              <w:left w:val="nil"/>
              <w:bottom w:val="single" w:color="auto" w:sz="4" w:space="0"/>
              <w:right w:val="single" w:color="auto" w:sz="4" w:space="0"/>
            </w:tcBorders>
            <w:vAlign w:val="center"/>
          </w:tcPr>
          <w:p w14:paraId="10AC0FC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硬化路肩（厚16cm、C20砼）</w:t>
            </w:r>
          </w:p>
        </w:tc>
        <w:tc>
          <w:tcPr>
            <w:tcW w:w="700" w:type="dxa"/>
            <w:tcBorders>
              <w:top w:val="nil"/>
              <w:left w:val="nil"/>
              <w:bottom w:val="single" w:color="auto" w:sz="4" w:space="0"/>
              <w:right w:val="single" w:color="auto" w:sz="4" w:space="0"/>
            </w:tcBorders>
            <w:vAlign w:val="center"/>
          </w:tcPr>
          <w:p w14:paraId="760DB43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92" w:type="dxa"/>
            <w:tcBorders>
              <w:top w:val="nil"/>
              <w:left w:val="nil"/>
              <w:bottom w:val="single" w:color="auto" w:sz="4" w:space="0"/>
              <w:right w:val="single" w:color="auto" w:sz="4" w:space="0"/>
            </w:tcBorders>
            <w:vAlign w:val="center"/>
          </w:tcPr>
          <w:p w14:paraId="76913F9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104.22 </w:t>
            </w:r>
          </w:p>
        </w:tc>
        <w:tc>
          <w:tcPr>
            <w:tcW w:w="870" w:type="dxa"/>
            <w:tcBorders>
              <w:top w:val="nil"/>
              <w:left w:val="nil"/>
              <w:bottom w:val="single" w:color="auto" w:sz="4" w:space="0"/>
              <w:right w:val="single" w:color="auto" w:sz="4" w:space="0"/>
            </w:tcBorders>
            <w:vAlign w:val="center"/>
          </w:tcPr>
          <w:p w14:paraId="68DE4BA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w:t>
            </w:r>
          </w:p>
        </w:tc>
        <w:tc>
          <w:tcPr>
            <w:tcW w:w="1417" w:type="dxa"/>
            <w:tcBorders>
              <w:top w:val="nil"/>
              <w:left w:val="nil"/>
              <w:bottom w:val="single" w:color="auto" w:sz="4" w:space="0"/>
              <w:right w:val="single" w:color="auto" w:sz="4" w:space="0"/>
            </w:tcBorders>
            <w:vAlign w:val="center"/>
          </w:tcPr>
          <w:p w14:paraId="4451428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208440</w:t>
            </w:r>
          </w:p>
        </w:tc>
        <w:tc>
          <w:tcPr>
            <w:tcW w:w="2860" w:type="dxa"/>
            <w:tcBorders>
              <w:top w:val="nil"/>
              <w:left w:val="nil"/>
              <w:bottom w:val="single" w:color="auto" w:sz="4" w:space="0"/>
              <w:right w:val="single" w:color="auto" w:sz="4" w:space="0"/>
            </w:tcBorders>
            <w:vAlign w:val="center"/>
          </w:tcPr>
          <w:p w14:paraId="24AF32B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B1EAA76">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1B2586E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26</w:t>
            </w:r>
          </w:p>
        </w:tc>
        <w:tc>
          <w:tcPr>
            <w:tcW w:w="2740" w:type="dxa"/>
            <w:tcBorders>
              <w:top w:val="nil"/>
              <w:left w:val="nil"/>
              <w:bottom w:val="single" w:color="auto" w:sz="4" w:space="0"/>
              <w:right w:val="single" w:color="auto" w:sz="4" w:space="0"/>
            </w:tcBorders>
            <w:vAlign w:val="center"/>
          </w:tcPr>
          <w:p w14:paraId="3107A41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清理淤塞涵洞</w:t>
            </w:r>
          </w:p>
        </w:tc>
        <w:tc>
          <w:tcPr>
            <w:tcW w:w="700" w:type="dxa"/>
            <w:tcBorders>
              <w:top w:val="nil"/>
              <w:left w:val="nil"/>
              <w:bottom w:val="single" w:color="auto" w:sz="4" w:space="0"/>
              <w:right w:val="single" w:color="auto" w:sz="4" w:space="0"/>
            </w:tcBorders>
            <w:vAlign w:val="center"/>
          </w:tcPr>
          <w:p w14:paraId="5226EFF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92" w:type="dxa"/>
            <w:tcBorders>
              <w:top w:val="nil"/>
              <w:left w:val="nil"/>
              <w:bottom w:val="single" w:color="auto" w:sz="4" w:space="0"/>
              <w:right w:val="single" w:color="auto" w:sz="4" w:space="0"/>
            </w:tcBorders>
            <w:vAlign w:val="center"/>
          </w:tcPr>
          <w:p w14:paraId="18EE05B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56.75</w:t>
            </w:r>
          </w:p>
        </w:tc>
        <w:tc>
          <w:tcPr>
            <w:tcW w:w="870" w:type="dxa"/>
            <w:tcBorders>
              <w:top w:val="nil"/>
              <w:left w:val="nil"/>
              <w:bottom w:val="single" w:color="auto" w:sz="4" w:space="0"/>
              <w:right w:val="single" w:color="auto" w:sz="4" w:space="0"/>
            </w:tcBorders>
            <w:vAlign w:val="center"/>
          </w:tcPr>
          <w:p w14:paraId="08E871F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417" w:type="dxa"/>
            <w:tcBorders>
              <w:top w:val="nil"/>
              <w:left w:val="nil"/>
              <w:bottom w:val="single" w:color="auto" w:sz="4" w:space="0"/>
              <w:right w:val="single" w:color="auto" w:sz="4" w:space="0"/>
            </w:tcBorders>
            <w:vAlign w:val="center"/>
          </w:tcPr>
          <w:p w14:paraId="59FAE5A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1135</w:t>
            </w:r>
          </w:p>
        </w:tc>
        <w:tc>
          <w:tcPr>
            <w:tcW w:w="2860" w:type="dxa"/>
            <w:tcBorders>
              <w:top w:val="nil"/>
              <w:left w:val="nil"/>
              <w:bottom w:val="single" w:color="auto" w:sz="4" w:space="0"/>
              <w:right w:val="single" w:color="auto" w:sz="4" w:space="0"/>
            </w:tcBorders>
            <w:vAlign w:val="center"/>
          </w:tcPr>
          <w:p w14:paraId="06C1AFB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86755D1">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6865C0A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27</w:t>
            </w:r>
          </w:p>
        </w:tc>
        <w:tc>
          <w:tcPr>
            <w:tcW w:w="2740" w:type="dxa"/>
            <w:tcBorders>
              <w:top w:val="nil"/>
              <w:left w:val="nil"/>
              <w:bottom w:val="single" w:color="auto" w:sz="4" w:space="0"/>
              <w:right w:val="single" w:color="auto" w:sz="4" w:space="0"/>
            </w:tcBorders>
            <w:vAlign w:val="center"/>
          </w:tcPr>
          <w:p w14:paraId="409DA35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圆管涵ø50</w:t>
            </w:r>
          </w:p>
        </w:tc>
        <w:tc>
          <w:tcPr>
            <w:tcW w:w="700" w:type="dxa"/>
            <w:tcBorders>
              <w:top w:val="nil"/>
              <w:left w:val="nil"/>
              <w:bottom w:val="single" w:color="auto" w:sz="4" w:space="0"/>
              <w:right w:val="single" w:color="auto" w:sz="4" w:space="0"/>
            </w:tcBorders>
            <w:vAlign w:val="center"/>
          </w:tcPr>
          <w:p w14:paraId="2CDA94F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92" w:type="dxa"/>
            <w:tcBorders>
              <w:top w:val="nil"/>
              <w:left w:val="nil"/>
              <w:bottom w:val="single" w:color="auto" w:sz="4" w:space="0"/>
              <w:right w:val="single" w:color="auto" w:sz="4" w:space="0"/>
            </w:tcBorders>
            <w:vAlign w:val="center"/>
          </w:tcPr>
          <w:p w14:paraId="38FB867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1590.17 </w:t>
            </w:r>
          </w:p>
        </w:tc>
        <w:tc>
          <w:tcPr>
            <w:tcW w:w="870" w:type="dxa"/>
            <w:tcBorders>
              <w:top w:val="nil"/>
              <w:left w:val="nil"/>
              <w:bottom w:val="single" w:color="auto" w:sz="4" w:space="0"/>
              <w:right w:val="single" w:color="auto" w:sz="4" w:space="0"/>
            </w:tcBorders>
            <w:vAlign w:val="center"/>
          </w:tcPr>
          <w:p w14:paraId="1A29C93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417" w:type="dxa"/>
            <w:tcBorders>
              <w:top w:val="nil"/>
              <w:left w:val="nil"/>
              <w:bottom w:val="single" w:color="auto" w:sz="4" w:space="0"/>
              <w:right w:val="single" w:color="auto" w:sz="4" w:space="0"/>
            </w:tcBorders>
            <w:vAlign w:val="center"/>
          </w:tcPr>
          <w:p w14:paraId="719110E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33393.57</w:t>
            </w:r>
          </w:p>
        </w:tc>
        <w:tc>
          <w:tcPr>
            <w:tcW w:w="2860" w:type="dxa"/>
            <w:tcBorders>
              <w:top w:val="nil"/>
              <w:left w:val="nil"/>
              <w:bottom w:val="single" w:color="auto" w:sz="4" w:space="0"/>
              <w:right w:val="single" w:color="auto" w:sz="4" w:space="0"/>
            </w:tcBorders>
            <w:vAlign w:val="center"/>
          </w:tcPr>
          <w:p w14:paraId="7B165D9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按标准图施工</w:t>
            </w:r>
          </w:p>
        </w:tc>
      </w:tr>
      <w:tr w14:paraId="5640B856">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41D8439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28</w:t>
            </w:r>
          </w:p>
        </w:tc>
        <w:tc>
          <w:tcPr>
            <w:tcW w:w="2740" w:type="dxa"/>
            <w:tcBorders>
              <w:top w:val="nil"/>
              <w:left w:val="nil"/>
              <w:bottom w:val="single" w:color="auto" w:sz="4" w:space="0"/>
              <w:right w:val="single" w:color="auto" w:sz="4" w:space="0"/>
            </w:tcBorders>
            <w:vAlign w:val="center"/>
          </w:tcPr>
          <w:p w14:paraId="5DF4FDC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圆管涵ø80</w:t>
            </w:r>
          </w:p>
        </w:tc>
        <w:tc>
          <w:tcPr>
            <w:tcW w:w="700" w:type="dxa"/>
            <w:tcBorders>
              <w:top w:val="nil"/>
              <w:left w:val="nil"/>
              <w:bottom w:val="single" w:color="auto" w:sz="4" w:space="0"/>
              <w:right w:val="single" w:color="auto" w:sz="4" w:space="0"/>
            </w:tcBorders>
            <w:vAlign w:val="center"/>
          </w:tcPr>
          <w:p w14:paraId="6B21F19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92" w:type="dxa"/>
            <w:tcBorders>
              <w:top w:val="nil"/>
              <w:left w:val="nil"/>
              <w:bottom w:val="single" w:color="auto" w:sz="4" w:space="0"/>
              <w:right w:val="single" w:color="auto" w:sz="4" w:space="0"/>
            </w:tcBorders>
            <w:vAlign w:val="center"/>
          </w:tcPr>
          <w:p w14:paraId="3B4FB0A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2436.35 </w:t>
            </w:r>
          </w:p>
        </w:tc>
        <w:tc>
          <w:tcPr>
            <w:tcW w:w="870" w:type="dxa"/>
            <w:tcBorders>
              <w:top w:val="nil"/>
              <w:left w:val="nil"/>
              <w:bottom w:val="single" w:color="auto" w:sz="4" w:space="0"/>
              <w:right w:val="single" w:color="auto" w:sz="4" w:space="0"/>
            </w:tcBorders>
            <w:vAlign w:val="center"/>
          </w:tcPr>
          <w:p w14:paraId="64EC01E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417" w:type="dxa"/>
            <w:tcBorders>
              <w:top w:val="nil"/>
              <w:left w:val="nil"/>
              <w:bottom w:val="single" w:color="auto" w:sz="4" w:space="0"/>
              <w:right w:val="single" w:color="auto" w:sz="4" w:space="0"/>
            </w:tcBorders>
            <w:vAlign w:val="center"/>
          </w:tcPr>
          <w:p w14:paraId="1E64F46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51163.35</w:t>
            </w:r>
          </w:p>
        </w:tc>
        <w:tc>
          <w:tcPr>
            <w:tcW w:w="2860" w:type="dxa"/>
            <w:tcBorders>
              <w:top w:val="nil"/>
              <w:left w:val="nil"/>
              <w:bottom w:val="single" w:color="auto" w:sz="4" w:space="0"/>
              <w:right w:val="single" w:color="auto" w:sz="4" w:space="0"/>
            </w:tcBorders>
            <w:vAlign w:val="center"/>
          </w:tcPr>
          <w:p w14:paraId="74C497C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按标准图施工</w:t>
            </w:r>
          </w:p>
        </w:tc>
      </w:tr>
      <w:tr w14:paraId="573F8FA0">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6DED32A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c>
          <w:tcPr>
            <w:tcW w:w="2740" w:type="dxa"/>
            <w:tcBorders>
              <w:top w:val="nil"/>
              <w:left w:val="nil"/>
              <w:bottom w:val="single" w:color="auto" w:sz="4" w:space="0"/>
              <w:right w:val="single" w:color="auto" w:sz="4" w:space="0"/>
            </w:tcBorders>
            <w:vAlign w:val="center"/>
          </w:tcPr>
          <w:p w14:paraId="29B3C64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圆管涵ø100</w:t>
            </w:r>
          </w:p>
        </w:tc>
        <w:tc>
          <w:tcPr>
            <w:tcW w:w="700" w:type="dxa"/>
            <w:tcBorders>
              <w:top w:val="nil"/>
              <w:left w:val="nil"/>
              <w:bottom w:val="single" w:color="auto" w:sz="4" w:space="0"/>
              <w:right w:val="single" w:color="auto" w:sz="4" w:space="0"/>
            </w:tcBorders>
            <w:vAlign w:val="center"/>
          </w:tcPr>
          <w:p w14:paraId="1BE3A5F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92" w:type="dxa"/>
            <w:tcBorders>
              <w:top w:val="nil"/>
              <w:left w:val="nil"/>
              <w:bottom w:val="single" w:color="auto" w:sz="4" w:space="0"/>
              <w:right w:val="single" w:color="auto" w:sz="4" w:space="0"/>
            </w:tcBorders>
            <w:vAlign w:val="center"/>
          </w:tcPr>
          <w:p w14:paraId="08FA792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3563.96 </w:t>
            </w:r>
          </w:p>
        </w:tc>
        <w:tc>
          <w:tcPr>
            <w:tcW w:w="870" w:type="dxa"/>
            <w:tcBorders>
              <w:top w:val="nil"/>
              <w:left w:val="nil"/>
              <w:bottom w:val="single" w:color="auto" w:sz="4" w:space="0"/>
              <w:right w:val="single" w:color="auto" w:sz="4" w:space="0"/>
            </w:tcBorders>
            <w:vAlign w:val="center"/>
          </w:tcPr>
          <w:p w14:paraId="27CD1D6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417" w:type="dxa"/>
            <w:tcBorders>
              <w:top w:val="nil"/>
              <w:left w:val="nil"/>
              <w:bottom w:val="single" w:color="auto" w:sz="4" w:space="0"/>
              <w:right w:val="single" w:color="auto" w:sz="4" w:space="0"/>
            </w:tcBorders>
            <w:vAlign w:val="center"/>
          </w:tcPr>
          <w:p w14:paraId="4D9BBCF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74843.16</w:t>
            </w:r>
          </w:p>
        </w:tc>
        <w:tc>
          <w:tcPr>
            <w:tcW w:w="2860" w:type="dxa"/>
            <w:tcBorders>
              <w:top w:val="nil"/>
              <w:left w:val="nil"/>
              <w:bottom w:val="single" w:color="auto" w:sz="4" w:space="0"/>
              <w:right w:val="single" w:color="auto" w:sz="4" w:space="0"/>
            </w:tcBorders>
            <w:vAlign w:val="center"/>
          </w:tcPr>
          <w:p w14:paraId="572FC0D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按标准图施工</w:t>
            </w:r>
          </w:p>
        </w:tc>
      </w:tr>
      <w:tr w14:paraId="2EE92A5E">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7BC4E04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2740" w:type="dxa"/>
            <w:tcBorders>
              <w:top w:val="nil"/>
              <w:left w:val="nil"/>
              <w:bottom w:val="single" w:color="auto" w:sz="4" w:space="0"/>
              <w:right w:val="single" w:color="auto" w:sz="4" w:space="0"/>
            </w:tcBorders>
            <w:vAlign w:val="center"/>
          </w:tcPr>
          <w:p w14:paraId="16F7DFE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钢筋混凝土盖板</w:t>
            </w:r>
          </w:p>
        </w:tc>
        <w:tc>
          <w:tcPr>
            <w:tcW w:w="700" w:type="dxa"/>
            <w:tcBorders>
              <w:top w:val="nil"/>
              <w:left w:val="nil"/>
              <w:bottom w:val="single" w:color="auto" w:sz="4" w:space="0"/>
              <w:right w:val="single" w:color="auto" w:sz="4" w:space="0"/>
            </w:tcBorders>
            <w:vAlign w:val="center"/>
          </w:tcPr>
          <w:p w14:paraId="43817A3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4F4929E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2643.45 </w:t>
            </w:r>
          </w:p>
        </w:tc>
        <w:tc>
          <w:tcPr>
            <w:tcW w:w="870" w:type="dxa"/>
            <w:tcBorders>
              <w:top w:val="nil"/>
              <w:left w:val="nil"/>
              <w:bottom w:val="single" w:color="auto" w:sz="4" w:space="0"/>
              <w:right w:val="single" w:color="auto" w:sz="4" w:space="0"/>
            </w:tcBorders>
            <w:vAlign w:val="center"/>
          </w:tcPr>
          <w:p w14:paraId="430EB7B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417" w:type="dxa"/>
            <w:tcBorders>
              <w:top w:val="nil"/>
              <w:left w:val="nil"/>
              <w:bottom w:val="single" w:color="auto" w:sz="4" w:space="0"/>
              <w:right w:val="single" w:color="auto" w:sz="4" w:space="0"/>
            </w:tcBorders>
            <w:vAlign w:val="center"/>
          </w:tcPr>
          <w:p w14:paraId="4CE7F0A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26434.5</w:t>
            </w:r>
          </w:p>
        </w:tc>
        <w:tc>
          <w:tcPr>
            <w:tcW w:w="2860" w:type="dxa"/>
            <w:tcBorders>
              <w:top w:val="nil"/>
              <w:left w:val="nil"/>
              <w:bottom w:val="single" w:color="auto" w:sz="4" w:space="0"/>
              <w:right w:val="single" w:color="auto" w:sz="4" w:space="0"/>
            </w:tcBorders>
            <w:vAlign w:val="center"/>
          </w:tcPr>
          <w:p w14:paraId="0648E92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6C430C7">
        <w:tblPrEx>
          <w:tblCellMar>
            <w:top w:w="0" w:type="dxa"/>
            <w:left w:w="108" w:type="dxa"/>
            <w:bottom w:w="0" w:type="dxa"/>
            <w:right w:w="108" w:type="dxa"/>
          </w:tblCellMar>
        </w:tblPrEx>
        <w:trPr>
          <w:trHeight w:val="570" w:hRule="atLeast"/>
        </w:trPr>
        <w:tc>
          <w:tcPr>
            <w:tcW w:w="621" w:type="dxa"/>
            <w:tcBorders>
              <w:top w:val="nil"/>
              <w:left w:val="single" w:color="auto" w:sz="4" w:space="0"/>
              <w:bottom w:val="single" w:color="auto" w:sz="4" w:space="0"/>
              <w:right w:val="single" w:color="auto" w:sz="4" w:space="0"/>
            </w:tcBorders>
            <w:vAlign w:val="center"/>
          </w:tcPr>
          <w:p w14:paraId="212675B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31</w:t>
            </w:r>
          </w:p>
        </w:tc>
        <w:tc>
          <w:tcPr>
            <w:tcW w:w="2740" w:type="dxa"/>
            <w:tcBorders>
              <w:top w:val="nil"/>
              <w:left w:val="nil"/>
              <w:bottom w:val="single" w:color="auto" w:sz="4" w:space="0"/>
              <w:right w:val="single" w:color="auto" w:sz="4" w:space="0"/>
            </w:tcBorders>
            <w:vAlign w:val="center"/>
          </w:tcPr>
          <w:p w14:paraId="36E6B89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结构物砼修补（有单价除外）</w:t>
            </w:r>
          </w:p>
        </w:tc>
        <w:tc>
          <w:tcPr>
            <w:tcW w:w="700" w:type="dxa"/>
            <w:tcBorders>
              <w:top w:val="nil"/>
              <w:left w:val="nil"/>
              <w:bottom w:val="single" w:color="auto" w:sz="4" w:space="0"/>
              <w:right w:val="single" w:color="auto" w:sz="4" w:space="0"/>
            </w:tcBorders>
            <w:vAlign w:val="center"/>
          </w:tcPr>
          <w:p w14:paraId="57576E2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2" w:type="dxa"/>
            <w:tcBorders>
              <w:top w:val="nil"/>
              <w:left w:val="nil"/>
              <w:bottom w:val="single" w:color="auto" w:sz="4" w:space="0"/>
              <w:right w:val="single" w:color="auto" w:sz="4" w:space="0"/>
            </w:tcBorders>
            <w:vAlign w:val="center"/>
          </w:tcPr>
          <w:p w14:paraId="03B27AD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70" w:type="dxa"/>
            <w:tcBorders>
              <w:top w:val="nil"/>
              <w:left w:val="nil"/>
              <w:bottom w:val="single" w:color="auto" w:sz="4" w:space="0"/>
              <w:right w:val="single" w:color="auto" w:sz="4" w:space="0"/>
            </w:tcBorders>
            <w:vAlign w:val="center"/>
          </w:tcPr>
          <w:p w14:paraId="0418E24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17" w:type="dxa"/>
            <w:tcBorders>
              <w:top w:val="nil"/>
              <w:left w:val="nil"/>
              <w:bottom w:val="single" w:color="auto" w:sz="4" w:space="0"/>
              <w:right w:val="single" w:color="auto" w:sz="4" w:space="0"/>
            </w:tcBorders>
            <w:vAlign w:val="center"/>
          </w:tcPr>
          <w:p w14:paraId="60A71A8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860" w:type="dxa"/>
            <w:tcBorders>
              <w:top w:val="nil"/>
              <w:left w:val="nil"/>
              <w:bottom w:val="single" w:color="auto" w:sz="4" w:space="0"/>
              <w:right w:val="single" w:color="auto" w:sz="4" w:space="0"/>
            </w:tcBorders>
            <w:vAlign w:val="center"/>
          </w:tcPr>
          <w:p w14:paraId="47F11EF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A24AC54">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6638AB3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40" w:type="dxa"/>
            <w:tcBorders>
              <w:top w:val="nil"/>
              <w:left w:val="nil"/>
              <w:bottom w:val="single" w:color="auto" w:sz="4" w:space="0"/>
              <w:right w:val="single" w:color="auto" w:sz="4" w:space="0"/>
            </w:tcBorders>
            <w:vAlign w:val="center"/>
          </w:tcPr>
          <w:p w14:paraId="5F0AB60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C20水泥混凝土</w:t>
            </w:r>
          </w:p>
        </w:tc>
        <w:tc>
          <w:tcPr>
            <w:tcW w:w="700" w:type="dxa"/>
            <w:tcBorders>
              <w:top w:val="nil"/>
              <w:left w:val="nil"/>
              <w:bottom w:val="single" w:color="auto" w:sz="4" w:space="0"/>
              <w:right w:val="single" w:color="auto" w:sz="4" w:space="0"/>
            </w:tcBorders>
            <w:vAlign w:val="center"/>
          </w:tcPr>
          <w:p w14:paraId="15F1C5B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7125EA0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1034.97 </w:t>
            </w:r>
          </w:p>
        </w:tc>
        <w:tc>
          <w:tcPr>
            <w:tcW w:w="870" w:type="dxa"/>
            <w:tcBorders>
              <w:top w:val="nil"/>
              <w:left w:val="nil"/>
              <w:bottom w:val="single" w:color="auto" w:sz="4" w:space="0"/>
              <w:right w:val="single" w:color="auto" w:sz="4" w:space="0"/>
            </w:tcBorders>
            <w:vAlign w:val="center"/>
          </w:tcPr>
          <w:p w14:paraId="1DFD54F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417" w:type="dxa"/>
            <w:tcBorders>
              <w:top w:val="nil"/>
              <w:left w:val="nil"/>
              <w:bottom w:val="single" w:color="auto" w:sz="4" w:space="0"/>
              <w:right w:val="single" w:color="auto" w:sz="4" w:space="0"/>
            </w:tcBorders>
            <w:vAlign w:val="center"/>
          </w:tcPr>
          <w:p w14:paraId="4C0AE10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5174.85</w:t>
            </w:r>
          </w:p>
        </w:tc>
        <w:tc>
          <w:tcPr>
            <w:tcW w:w="2860" w:type="dxa"/>
            <w:tcBorders>
              <w:top w:val="nil"/>
              <w:left w:val="nil"/>
              <w:bottom w:val="single" w:color="auto" w:sz="4" w:space="0"/>
              <w:right w:val="single" w:color="auto" w:sz="4" w:space="0"/>
            </w:tcBorders>
            <w:vAlign w:val="center"/>
          </w:tcPr>
          <w:p w14:paraId="2E9ADE7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桥台，含凿除</w:t>
            </w:r>
          </w:p>
        </w:tc>
      </w:tr>
      <w:tr w14:paraId="5B7CE2E3">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1DDFB24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40" w:type="dxa"/>
            <w:tcBorders>
              <w:top w:val="nil"/>
              <w:left w:val="nil"/>
              <w:bottom w:val="single" w:color="auto" w:sz="4" w:space="0"/>
              <w:right w:val="single" w:color="auto" w:sz="4" w:space="0"/>
            </w:tcBorders>
            <w:vAlign w:val="center"/>
          </w:tcPr>
          <w:p w14:paraId="50F0BB0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C25水泥混凝土</w:t>
            </w:r>
          </w:p>
        </w:tc>
        <w:tc>
          <w:tcPr>
            <w:tcW w:w="700" w:type="dxa"/>
            <w:tcBorders>
              <w:top w:val="nil"/>
              <w:left w:val="nil"/>
              <w:bottom w:val="single" w:color="auto" w:sz="4" w:space="0"/>
              <w:right w:val="single" w:color="auto" w:sz="4" w:space="0"/>
            </w:tcBorders>
            <w:vAlign w:val="center"/>
          </w:tcPr>
          <w:p w14:paraId="75A3AF7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700C55E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933.35</w:t>
            </w:r>
          </w:p>
        </w:tc>
        <w:tc>
          <w:tcPr>
            <w:tcW w:w="870" w:type="dxa"/>
            <w:tcBorders>
              <w:top w:val="nil"/>
              <w:left w:val="nil"/>
              <w:bottom w:val="single" w:color="auto" w:sz="4" w:space="0"/>
              <w:right w:val="single" w:color="auto" w:sz="4" w:space="0"/>
            </w:tcBorders>
            <w:vAlign w:val="center"/>
          </w:tcPr>
          <w:p w14:paraId="11F28EE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417" w:type="dxa"/>
            <w:tcBorders>
              <w:top w:val="nil"/>
              <w:left w:val="nil"/>
              <w:bottom w:val="single" w:color="auto" w:sz="4" w:space="0"/>
              <w:right w:val="single" w:color="auto" w:sz="4" w:space="0"/>
            </w:tcBorders>
            <w:vAlign w:val="center"/>
          </w:tcPr>
          <w:p w14:paraId="2A2E795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4666.75</w:t>
            </w:r>
          </w:p>
        </w:tc>
        <w:tc>
          <w:tcPr>
            <w:tcW w:w="2860" w:type="dxa"/>
            <w:tcBorders>
              <w:top w:val="nil"/>
              <w:left w:val="nil"/>
              <w:bottom w:val="single" w:color="auto" w:sz="4" w:space="0"/>
              <w:right w:val="single" w:color="auto" w:sz="4" w:space="0"/>
            </w:tcBorders>
            <w:vAlign w:val="center"/>
          </w:tcPr>
          <w:p w14:paraId="60FD0EE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桥墩，含凿除</w:t>
            </w:r>
          </w:p>
        </w:tc>
      </w:tr>
      <w:tr w14:paraId="5D3B76E5">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0B043A3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40" w:type="dxa"/>
            <w:tcBorders>
              <w:top w:val="nil"/>
              <w:left w:val="nil"/>
              <w:bottom w:val="single" w:color="auto" w:sz="4" w:space="0"/>
              <w:right w:val="single" w:color="auto" w:sz="4" w:space="0"/>
            </w:tcBorders>
            <w:vAlign w:val="center"/>
          </w:tcPr>
          <w:p w14:paraId="01A8B81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C30水泥混凝土</w:t>
            </w:r>
          </w:p>
        </w:tc>
        <w:tc>
          <w:tcPr>
            <w:tcW w:w="700" w:type="dxa"/>
            <w:tcBorders>
              <w:top w:val="nil"/>
              <w:left w:val="nil"/>
              <w:bottom w:val="single" w:color="auto" w:sz="4" w:space="0"/>
              <w:right w:val="single" w:color="auto" w:sz="4" w:space="0"/>
            </w:tcBorders>
            <w:vAlign w:val="center"/>
          </w:tcPr>
          <w:p w14:paraId="466EC5D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446D44C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1123.49 </w:t>
            </w:r>
          </w:p>
        </w:tc>
        <w:tc>
          <w:tcPr>
            <w:tcW w:w="870" w:type="dxa"/>
            <w:tcBorders>
              <w:top w:val="nil"/>
              <w:left w:val="nil"/>
              <w:bottom w:val="single" w:color="auto" w:sz="4" w:space="0"/>
              <w:right w:val="single" w:color="auto" w:sz="4" w:space="0"/>
            </w:tcBorders>
            <w:vAlign w:val="center"/>
          </w:tcPr>
          <w:p w14:paraId="37D2666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417" w:type="dxa"/>
            <w:tcBorders>
              <w:top w:val="nil"/>
              <w:left w:val="nil"/>
              <w:bottom w:val="single" w:color="auto" w:sz="4" w:space="0"/>
              <w:right w:val="single" w:color="auto" w:sz="4" w:space="0"/>
            </w:tcBorders>
            <w:vAlign w:val="center"/>
          </w:tcPr>
          <w:p w14:paraId="79BFBD8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5617.45</w:t>
            </w:r>
          </w:p>
        </w:tc>
        <w:tc>
          <w:tcPr>
            <w:tcW w:w="2860" w:type="dxa"/>
            <w:tcBorders>
              <w:top w:val="nil"/>
              <w:left w:val="nil"/>
              <w:bottom w:val="single" w:color="auto" w:sz="4" w:space="0"/>
              <w:right w:val="single" w:color="auto" w:sz="4" w:space="0"/>
            </w:tcBorders>
            <w:vAlign w:val="center"/>
          </w:tcPr>
          <w:p w14:paraId="0993A6F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盖梁，含凿除</w:t>
            </w:r>
          </w:p>
        </w:tc>
      </w:tr>
      <w:tr w14:paraId="045D7712">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68EDDA2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740" w:type="dxa"/>
            <w:tcBorders>
              <w:top w:val="nil"/>
              <w:left w:val="nil"/>
              <w:bottom w:val="single" w:color="auto" w:sz="4" w:space="0"/>
              <w:right w:val="single" w:color="auto" w:sz="4" w:space="0"/>
            </w:tcBorders>
            <w:vAlign w:val="center"/>
          </w:tcPr>
          <w:p w14:paraId="04F54D9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C35水泥混凝土</w:t>
            </w:r>
          </w:p>
        </w:tc>
        <w:tc>
          <w:tcPr>
            <w:tcW w:w="700" w:type="dxa"/>
            <w:tcBorders>
              <w:top w:val="nil"/>
              <w:left w:val="nil"/>
              <w:bottom w:val="single" w:color="auto" w:sz="4" w:space="0"/>
              <w:right w:val="single" w:color="auto" w:sz="4" w:space="0"/>
            </w:tcBorders>
            <w:vAlign w:val="center"/>
          </w:tcPr>
          <w:p w14:paraId="1CDEC20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02E05DB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2202.77 </w:t>
            </w:r>
          </w:p>
        </w:tc>
        <w:tc>
          <w:tcPr>
            <w:tcW w:w="870" w:type="dxa"/>
            <w:tcBorders>
              <w:top w:val="nil"/>
              <w:left w:val="nil"/>
              <w:bottom w:val="single" w:color="auto" w:sz="4" w:space="0"/>
              <w:right w:val="single" w:color="auto" w:sz="4" w:space="0"/>
            </w:tcBorders>
            <w:vAlign w:val="center"/>
          </w:tcPr>
          <w:p w14:paraId="4ED5D2D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417" w:type="dxa"/>
            <w:tcBorders>
              <w:top w:val="nil"/>
              <w:left w:val="nil"/>
              <w:bottom w:val="single" w:color="auto" w:sz="4" w:space="0"/>
              <w:right w:val="single" w:color="auto" w:sz="4" w:space="0"/>
            </w:tcBorders>
            <w:vAlign w:val="center"/>
          </w:tcPr>
          <w:p w14:paraId="746ABBA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11013.85</w:t>
            </w:r>
          </w:p>
        </w:tc>
        <w:tc>
          <w:tcPr>
            <w:tcW w:w="2860" w:type="dxa"/>
            <w:tcBorders>
              <w:top w:val="nil"/>
              <w:left w:val="nil"/>
              <w:bottom w:val="single" w:color="auto" w:sz="4" w:space="0"/>
              <w:right w:val="single" w:color="auto" w:sz="4" w:space="0"/>
            </w:tcBorders>
            <w:vAlign w:val="center"/>
          </w:tcPr>
          <w:p w14:paraId="76D7A71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梁体，含凿除</w:t>
            </w:r>
          </w:p>
        </w:tc>
      </w:tr>
      <w:tr w14:paraId="0374D559">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34C9386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740" w:type="dxa"/>
            <w:tcBorders>
              <w:top w:val="nil"/>
              <w:left w:val="nil"/>
              <w:bottom w:val="single" w:color="auto" w:sz="4" w:space="0"/>
              <w:right w:val="single" w:color="auto" w:sz="4" w:space="0"/>
            </w:tcBorders>
            <w:vAlign w:val="center"/>
          </w:tcPr>
          <w:p w14:paraId="6B7A4C0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C40水泥混凝土</w:t>
            </w:r>
          </w:p>
        </w:tc>
        <w:tc>
          <w:tcPr>
            <w:tcW w:w="700" w:type="dxa"/>
            <w:tcBorders>
              <w:top w:val="nil"/>
              <w:left w:val="nil"/>
              <w:bottom w:val="single" w:color="auto" w:sz="4" w:space="0"/>
              <w:right w:val="single" w:color="auto" w:sz="4" w:space="0"/>
            </w:tcBorders>
            <w:vAlign w:val="center"/>
          </w:tcPr>
          <w:p w14:paraId="0189193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2098D4B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2603.49 </w:t>
            </w:r>
          </w:p>
        </w:tc>
        <w:tc>
          <w:tcPr>
            <w:tcW w:w="870" w:type="dxa"/>
            <w:tcBorders>
              <w:top w:val="nil"/>
              <w:left w:val="nil"/>
              <w:bottom w:val="single" w:color="auto" w:sz="4" w:space="0"/>
              <w:right w:val="single" w:color="auto" w:sz="4" w:space="0"/>
            </w:tcBorders>
            <w:vAlign w:val="center"/>
          </w:tcPr>
          <w:p w14:paraId="100CEC7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417" w:type="dxa"/>
            <w:tcBorders>
              <w:top w:val="nil"/>
              <w:left w:val="nil"/>
              <w:bottom w:val="single" w:color="auto" w:sz="4" w:space="0"/>
              <w:right w:val="single" w:color="auto" w:sz="4" w:space="0"/>
            </w:tcBorders>
            <w:vAlign w:val="center"/>
          </w:tcPr>
          <w:p w14:paraId="162CE43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13017.45</w:t>
            </w:r>
          </w:p>
        </w:tc>
        <w:tc>
          <w:tcPr>
            <w:tcW w:w="2860" w:type="dxa"/>
            <w:tcBorders>
              <w:top w:val="nil"/>
              <w:left w:val="nil"/>
              <w:bottom w:val="single" w:color="auto" w:sz="4" w:space="0"/>
              <w:right w:val="single" w:color="auto" w:sz="4" w:space="0"/>
            </w:tcBorders>
            <w:vAlign w:val="center"/>
          </w:tcPr>
          <w:p w14:paraId="63D4A93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桥面铺装，含凿除</w:t>
            </w:r>
          </w:p>
        </w:tc>
      </w:tr>
      <w:tr w14:paraId="5A3DA918">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4EA08B8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32</w:t>
            </w:r>
          </w:p>
        </w:tc>
        <w:tc>
          <w:tcPr>
            <w:tcW w:w="2740" w:type="dxa"/>
            <w:tcBorders>
              <w:top w:val="nil"/>
              <w:left w:val="nil"/>
              <w:bottom w:val="single" w:color="auto" w:sz="4" w:space="0"/>
              <w:right w:val="single" w:color="auto" w:sz="4" w:space="0"/>
            </w:tcBorders>
            <w:vAlign w:val="center"/>
          </w:tcPr>
          <w:p w14:paraId="22502F9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钢结构除锈防腐油漆</w:t>
            </w:r>
          </w:p>
        </w:tc>
        <w:tc>
          <w:tcPr>
            <w:tcW w:w="700" w:type="dxa"/>
            <w:tcBorders>
              <w:top w:val="nil"/>
              <w:left w:val="nil"/>
              <w:bottom w:val="single" w:color="auto" w:sz="4" w:space="0"/>
              <w:right w:val="single" w:color="auto" w:sz="4" w:space="0"/>
            </w:tcBorders>
            <w:vAlign w:val="center"/>
          </w:tcPr>
          <w:p w14:paraId="651B994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92" w:type="dxa"/>
            <w:tcBorders>
              <w:top w:val="nil"/>
              <w:left w:val="nil"/>
              <w:bottom w:val="single" w:color="auto" w:sz="4" w:space="0"/>
              <w:right w:val="single" w:color="auto" w:sz="4" w:space="0"/>
            </w:tcBorders>
            <w:vAlign w:val="center"/>
          </w:tcPr>
          <w:p w14:paraId="1902E48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119.9</w:t>
            </w:r>
          </w:p>
        </w:tc>
        <w:tc>
          <w:tcPr>
            <w:tcW w:w="870" w:type="dxa"/>
            <w:tcBorders>
              <w:top w:val="nil"/>
              <w:left w:val="nil"/>
              <w:bottom w:val="single" w:color="auto" w:sz="4" w:space="0"/>
              <w:right w:val="single" w:color="auto" w:sz="4" w:space="0"/>
            </w:tcBorders>
            <w:vAlign w:val="center"/>
          </w:tcPr>
          <w:p w14:paraId="0F24FCE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c>
          <w:tcPr>
            <w:tcW w:w="1417" w:type="dxa"/>
            <w:tcBorders>
              <w:top w:val="nil"/>
              <w:left w:val="nil"/>
              <w:bottom w:val="single" w:color="auto" w:sz="4" w:space="0"/>
              <w:right w:val="single" w:color="auto" w:sz="4" w:space="0"/>
            </w:tcBorders>
            <w:vAlign w:val="center"/>
          </w:tcPr>
          <w:p w14:paraId="12E30C6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11990</w:t>
            </w:r>
          </w:p>
        </w:tc>
        <w:tc>
          <w:tcPr>
            <w:tcW w:w="2860" w:type="dxa"/>
            <w:tcBorders>
              <w:top w:val="nil"/>
              <w:left w:val="nil"/>
              <w:bottom w:val="single" w:color="auto" w:sz="4" w:space="0"/>
              <w:right w:val="single" w:color="auto" w:sz="4" w:space="0"/>
            </w:tcBorders>
            <w:vAlign w:val="center"/>
          </w:tcPr>
          <w:p w14:paraId="36CF64D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F9DDD88">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1DB3E3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33</w:t>
            </w:r>
          </w:p>
        </w:tc>
        <w:tc>
          <w:tcPr>
            <w:tcW w:w="2740" w:type="dxa"/>
            <w:tcBorders>
              <w:top w:val="nil"/>
              <w:left w:val="nil"/>
              <w:bottom w:val="single" w:color="auto" w:sz="4" w:space="0"/>
              <w:right w:val="single" w:color="auto" w:sz="4" w:space="0"/>
            </w:tcBorders>
            <w:vAlign w:val="center"/>
          </w:tcPr>
          <w:p w14:paraId="1894FE0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更换桥梁橡胶条</w:t>
            </w:r>
          </w:p>
        </w:tc>
        <w:tc>
          <w:tcPr>
            <w:tcW w:w="700" w:type="dxa"/>
            <w:tcBorders>
              <w:top w:val="nil"/>
              <w:left w:val="nil"/>
              <w:bottom w:val="single" w:color="auto" w:sz="4" w:space="0"/>
              <w:right w:val="single" w:color="auto" w:sz="4" w:space="0"/>
            </w:tcBorders>
            <w:vAlign w:val="center"/>
          </w:tcPr>
          <w:p w14:paraId="5B0026D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92" w:type="dxa"/>
            <w:tcBorders>
              <w:top w:val="nil"/>
              <w:left w:val="nil"/>
              <w:bottom w:val="single" w:color="auto" w:sz="4" w:space="0"/>
              <w:right w:val="single" w:color="auto" w:sz="4" w:space="0"/>
            </w:tcBorders>
            <w:vAlign w:val="center"/>
          </w:tcPr>
          <w:p w14:paraId="763A808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403.44 </w:t>
            </w:r>
          </w:p>
        </w:tc>
        <w:tc>
          <w:tcPr>
            <w:tcW w:w="870" w:type="dxa"/>
            <w:tcBorders>
              <w:top w:val="nil"/>
              <w:left w:val="nil"/>
              <w:bottom w:val="single" w:color="auto" w:sz="4" w:space="0"/>
              <w:right w:val="single" w:color="auto" w:sz="4" w:space="0"/>
            </w:tcBorders>
            <w:vAlign w:val="center"/>
          </w:tcPr>
          <w:p w14:paraId="66C7E75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c>
          <w:tcPr>
            <w:tcW w:w="1417" w:type="dxa"/>
            <w:tcBorders>
              <w:top w:val="nil"/>
              <w:left w:val="nil"/>
              <w:bottom w:val="single" w:color="auto" w:sz="4" w:space="0"/>
              <w:right w:val="single" w:color="auto" w:sz="4" w:space="0"/>
            </w:tcBorders>
            <w:vAlign w:val="center"/>
          </w:tcPr>
          <w:p w14:paraId="5F54F34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40344</w:t>
            </w:r>
          </w:p>
        </w:tc>
        <w:tc>
          <w:tcPr>
            <w:tcW w:w="2860" w:type="dxa"/>
            <w:tcBorders>
              <w:top w:val="nil"/>
              <w:left w:val="nil"/>
              <w:bottom w:val="single" w:color="auto" w:sz="4" w:space="0"/>
              <w:right w:val="single" w:color="auto" w:sz="4" w:space="0"/>
            </w:tcBorders>
            <w:vAlign w:val="center"/>
          </w:tcPr>
          <w:p w14:paraId="4141820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302AC6F">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08D6E47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34</w:t>
            </w:r>
          </w:p>
        </w:tc>
        <w:tc>
          <w:tcPr>
            <w:tcW w:w="2740" w:type="dxa"/>
            <w:tcBorders>
              <w:top w:val="nil"/>
              <w:left w:val="nil"/>
              <w:bottom w:val="single" w:color="auto" w:sz="4" w:space="0"/>
              <w:right w:val="single" w:color="auto" w:sz="4" w:space="0"/>
            </w:tcBorders>
            <w:vAlign w:val="center"/>
          </w:tcPr>
          <w:p w14:paraId="70E4FD2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波形护栏</w:t>
            </w:r>
          </w:p>
        </w:tc>
        <w:tc>
          <w:tcPr>
            <w:tcW w:w="700" w:type="dxa"/>
            <w:tcBorders>
              <w:top w:val="nil"/>
              <w:left w:val="nil"/>
              <w:bottom w:val="single" w:color="auto" w:sz="4" w:space="0"/>
              <w:right w:val="single" w:color="auto" w:sz="4" w:space="0"/>
            </w:tcBorders>
            <w:vAlign w:val="center"/>
          </w:tcPr>
          <w:p w14:paraId="20A3E09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92" w:type="dxa"/>
            <w:tcBorders>
              <w:top w:val="nil"/>
              <w:left w:val="nil"/>
              <w:bottom w:val="single" w:color="auto" w:sz="4" w:space="0"/>
              <w:right w:val="single" w:color="auto" w:sz="4" w:space="0"/>
            </w:tcBorders>
            <w:vAlign w:val="center"/>
          </w:tcPr>
          <w:p w14:paraId="411C8D4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215.61 </w:t>
            </w:r>
          </w:p>
        </w:tc>
        <w:tc>
          <w:tcPr>
            <w:tcW w:w="870" w:type="dxa"/>
            <w:tcBorders>
              <w:top w:val="nil"/>
              <w:left w:val="nil"/>
              <w:bottom w:val="single" w:color="auto" w:sz="4" w:space="0"/>
              <w:right w:val="single" w:color="auto" w:sz="4" w:space="0"/>
            </w:tcBorders>
            <w:vAlign w:val="center"/>
          </w:tcPr>
          <w:p w14:paraId="5AB80C8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c>
          <w:tcPr>
            <w:tcW w:w="1417" w:type="dxa"/>
            <w:tcBorders>
              <w:top w:val="nil"/>
              <w:left w:val="nil"/>
              <w:bottom w:val="single" w:color="auto" w:sz="4" w:space="0"/>
              <w:right w:val="single" w:color="auto" w:sz="4" w:space="0"/>
            </w:tcBorders>
            <w:vAlign w:val="center"/>
          </w:tcPr>
          <w:p w14:paraId="6DFEF5A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43122</w:t>
            </w:r>
          </w:p>
        </w:tc>
        <w:tc>
          <w:tcPr>
            <w:tcW w:w="2860" w:type="dxa"/>
            <w:tcBorders>
              <w:top w:val="nil"/>
              <w:left w:val="nil"/>
              <w:bottom w:val="single" w:color="auto" w:sz="4" w:space="0"/>
              <w:right w:val="single" w:color="auto" w:sz="4" w:space="0"/>
            </w:tcBorders>
            <w:vAlign w:val="center"/>
          </w:tcPr>
          <w:p w14:paraId="7883FD5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A6D2BFD">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234195F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35</w:t>
            </w:r>
          </w:p>
        </w:tc>
        <w:tc>
          <w:tcPr>
            <w:tcW w:w="2740" w:type="dxa"/>
            <w:tcBorders>
              <w:top w:val="nil"/>
              <w:left w:val="nil"/>
              <w:bottom w:val="single" w:color="auto" w:sz="4" w:space="0"/>
              <w:right w:val="single" w:color="auto" w:sz="4" w:space="0"/>
            </w:tcBorders>
            <w:vAlign w:val="center"/>
          </w:tcPr>
          <w:p w14:paraId="6918C2E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交通标志牌（不含立杆）</w:t>
            </w:r>
          </w:p>
        </w:tc>
        <w:tc>
          <w:tcPr>
            <w:tcW w:w="700" w:type="dxa"/>
            <w:tcBorders>
              <w:top w:val="nil"/>
              <w:left w:val="nil"/>
              <w:bottom w:val="single" w:color="auto" w:sz="4" w:space="0"/>
              <w:right w:val="single" w:color="auto" w:sz="4" w:space="0"/>
            </w:tcBorders>
            <w:vAlign w:val="center"/>
          </w:tcPr>
          <w:p w14:paraId="2781A01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1192" w:type="dxa"/>
            <w:tcBorders>
              <w:top w:val="nil"/>
              <w:left w:val="nil"/>
              <w:bottom w:val="single" w:color="auto" w:sz="4" w:space="0"/>
              <w:right w:val="single" w:color="auto" w:sz="4" w:space="0"/>
            </w:tcBorders>
            <w:vAlign w:val="center"/>
          </w:tcPr>
          <w:p w14:paraId="2660EDB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530.58 </w:t>
            </w:r>
          </w:p>
        </w:tc>
        <w:tc>
          <w:tcPr>
            <w:tcW w:w="870" w:type="dxa"/>
            <w:tcBorders>
              <w:top w:val="nil"/>
              <w:left w:val="nil"/>
              <w:bottom w:val="single" w:color="auto" w:sz="4" w:space="0"/>
              <w:right w:val="single" w:color="auto" w:sz="4" w:space="0"/>
            </w:tcBorders>
            <w:vAlign w:val="center"/>
          </w:tcPr>
          <w:p w14:paraId="5A29ABB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90</w:t>
            </w:r>
          </w:p>
        </w:tc>
        <w:tc>
          <w:tcPr>
            <w:tcW w:w="1417" w:type="dxa"/>
            <w:tcBorders>
              <w:top w:val="nil"/>
              <w:left w:val="nil"/>
              <w:bottom w:val="single" w:color="auto" w:sz="4" w:space="0"/>
              <w:right w:val="single" w:color="auto" w:sz="4" w:space="0"/>
            </w:tcBorders>
            <w:vAlign w:val="center"/>
          </w:tcPr>
          <w:p w14:paraId="2E80574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47752.2</w:t>
            </w:r>
          </w:p>
        </w:tc>
        <w:tc>
          <w:tcPr>
            <w:tcW w:w="2860" w:type="dxa"/>
            <w:tcBorders>
              <w:top w:val="nil"/>
              <w:left w:val="nil"/>
              <w:bottom w:val="single" w:color="auto" w:sz="4" w:space="0"/>
              <w:right w:val="single" w:color="auto" w:sz="4" w:space="0"/>
            </w:tcBorders>
            <w:vAlign w:val="center"/>
          </w:tcPr>
          <w:p w14:paraId="2948BE5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限速、限载、转弯等标志牌</w:t>
            </w:r>
          </w:p>
        </w:tc>
      </w:tr>
      <w:tr w14:paraId="4B544BF1">
        <w:tblPrEx>
          <w:tblCellMar>
            <w:top w:w="0" w:type="dxa"/>
            <w:left w:w="108" w:type="dxa"/>
            <w:bottom w:w="0" w:type="dxa"/>
            <w:right w:w="108" w:type="dxa"/>
          </w:tblCellMar>
        </w:tblPrEx>
        <w:trPr>
          <w:trHeight w:val="570" w:hRule="atLeast"/>
        </w:trPr>
        <w:tc>
          <w:tcPr>
            <w:tcW w:w="621" w:type="dxa"/>
            <w:tcBorders>
              <w:top w:val="nil"/>
              <w:left w:val="single" w:color="auto" w:sz="4" w:space="0"/>
              <w:bottom w:val="single" w:color="auto" w:sz="4" w:space="0"/>
              <w:right w:val="single" w:color="auto" w:sz="4" w:space="0"/>
            </w:tcBorders>
            <w:vAlign w:val="center"/>
          </w:tcPr>
          <w:p w14:paraId="56214C2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36</w:t>
            </w:r>
          </w:p>
        </w:tc>
        <w:tc>
          <w:tcPr>
            <w:tcW w:w="2740" w:type="dxa"/>
            <w:tcBorders>
              <w:top w:val="nil"/>
              <w:left w:val="nil"/>
              <w:bottom w:val="single" w:color="auto" w:sz="4" w:space="0"/>
              <w:right w:val="single" w:color="auto" w:sz="4" w:space="0"/>
            </w:tcBorders>
            <w:vAlign w:val="center"/>
          </w:tcPr>
          <w:p w14:paraId="3B6AF43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交通标志牌（含立杆、基础）</w:t>
            </w:r>
          </w:p>
        </w:tc>
        <w:tc>
          <w:tcPr>
            <w:tcW w:w="700" w:type="dxa"/>
            <w:tcBorders>
              <w:top w:val="nil"/>
              <w:left w:val="nil"/>
              <w:bottom w:val="single" w:color="auto" w:sz="4" w:space="0"/>
              <w:right w:val="single" w:color="auto" w:sz="4" w:space="0"/>
            </w:tcBorders>
            <w:vAlign w:val="center"/>
          </w:tcPr>
          <w:p w14:paraId="76DC719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1192" w:type="dxa"/>
            <w:tcBorders>
              <w:top w:val="nil"/>
              <w:left w:val="nil"/>
              <w:bottom w:val="single" w:color="auto" w:sz="4" w:space="0"/>
              <w:right w:val="single" w:color="auto" w:sz="4" w:space="0"/>
            </w:tcBorders>
            <w:vAlign w:val="center"/>
          </w:tcPr>
          <w:p w14:paraId="41BF616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1131.42 </w:t>
            </w:r>
          </w:p>
        </w:tc>
        <w:tc>
          <w:tcPr>
            <w:tcW w:w="870" w:type="dxa"/>
            <w:tcBorders>
              <w:top w:val="nil"/>
              <w:left w:val="nil"/>
              <w:bottom w:val="single" w:color="auto" w:sz="4" w:space="0"/>
              <w:right w:val="single" w:color="auto" w:sz="4" w:space="0"/>
            </w:tcBorders>
            <w:vAlign w:val="center"/>
          </w:tcPr>
          <w:p w14:paraId="2326773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60</w:t>
            </w:r>
          </w:p>
        </w:tc>
        <w:tc>
          <w:tcPr>
            <w:tcW w:w="1417" w:type="dxa"/>
            <w:tcBorders>
              <w:top w:val="nil"/>
              <w:left w:val="nil"/>
              <w:bottom w:val="single" w:color="auto" w:sz="4" w:space="0"/>
              <w:right w:val="single" w:color="auto" w:sz="4" w:space="0"/>
            </w:tcBorders>
            <w:vAlign w:val="center"/>
          </w:tcPr>
          <w:p w14:paraId="01014C6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67885.2</w:t>
            </w:r>
          </w:p>
        </w:tc>
        <w:tc>
          <w:tcPr>
            <w:tcW w:w="2860" w:type="dxa"/>
            <w:tcBorders>
              <w:top w:val="nil"/>
              <w:left w:val="nil"/>
              <w:bottom w:val="single" w:color="auto" w:sz="4" w:space="0"/>
              <w:right w:val="single" w:color="auto" w:sz="4" w:space="0"/>
            </w:tcBorders>
            <w:vAlign w:val="center"/>
          </w:tcPr>
          <w:p w14:paraId="48376E7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限速、限载、转弯等标志牌</w:t>
            </w:r>
          </w:p>
        </w:tc>
      </w:tr>
      <w:tr w14:paraId="10BBA2DB">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0E6A459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37</w:t>
            </w:r>
          </w:p>
        </w:tc>
        <w:tc>
          <w:tcPr>
            <w:tcW w:w="2740" w:type="dxa"/>
            <w:tcBorders>
              <w:top w:val="nil"/>
              <w:left w:val="nil"/>
              <w:bottom w:val="single" w:color="auto" w:sz="4" w:space="0"/>
              <w:right w:val="single" w:color="auto" w:sz="4" w:space="0"/>
            </w:tcBorders>
            <w:vAlign w:val="center"/>
          </w:tcPr>
          <w:p w14:paraId="50F7648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百米桩</w:t>
            </w:r>
          </w:p>
        </w:tc>
        <w:tc>
          <w:tcPr>
            <w:tcW w:w="700" w:type="dxa"/>
            <w:tcBorders>
              <w:top w:val="nil"/>
              <w:left w:val="nil"/>
              <w:bottom w:val="single" w:color="auto" w:sz="4" w:space="0"/>
              <w:right w:val="single" w:color="auto" w:sz="4" w:space="0"/>
            </w:tcBorders>
            <w:vAlign w:val="center"/>
          </w:tcPr>
          <w:p w14:paraId="71DC0E1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根</w:t>
            </w:r>
          </w:p>
        </w:tc>
        <w:tc>
          <w:tcPr>
            <w:tcW w:w="1192" w:type="dxa"/>
            <w:tcBorders>
              <w:top w:val="nil"/>
              <w:left w:val="nil"/>
              <w:bottom w:val="single" w:color="auto" w:sz="4" w:space="0"/>
              <w:right w:val="single" w:color="auto" w:sz="4" w:space="0"/>
            </w:tcBorders>
            <w:vAlign w:val="center"/>
          </w:tcPr>
          <w:p w14:paraId="2798EA4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15.12 </w:t>
            </w:r>
          </w:p>
        </w:tc>
        <w:tc>
          <w:tcPr>
            <w:tcW w:w="870" w:type="dxa"/>
            <w:tcBorders>
              <w:top w:val="nil"/>
              <w:left w:val="nil"/>
              <w:bottom w:val="single" w:color="auto" w:sz="4" w:space="0"/>
              <w:right w:val="single" w:color="auto" w:sz="4" w:space="0"/>
            </w:tcBorders>
            <w:vAlign w:val="center"/>
          </w:tcPr>
          <w:p w14:paraId="668000C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417" w:type="dxa"/>
            <w:tcBorders>
              <w:top w:val="nil"/>
              <w:left w:val="nil"/>
              <w:bottom w:val="single" w:color="auto" w:sz="4" w:space="0"/>
              <w:right w:val="single" w:color="auto" w:sz="4" w:space="0"/>
            </w:tcBorders>
            <w:vAlign w:val="center"/>
          </w:tcPr>
          <w:p w14:paraId="58E6309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302.4</w:t>
            </w:r>
          </w:p>
        </w:tc>
        <w:tc>
          <w:tcPr>
            <w:tcW w:w="2860" w:type="dxa"/>
            <w:tcBorders>
              <w:top w:val="nil"/>
              <w:left w:val="nil"/>
              <w:bottom w:val="single" w:color="auto" w:sz="4" w:space="0"/>
              <w:right w:val="single" w:color="auto" w:sz="4" w:space="0"/>
            </w:tcBorders>
            <w:vAlign w:val="center"/>
          </w:tcPr>
          <w:p w14:paraId="31CB385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2B17547">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6ABE687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38</w:t>
            </w:r>
          </w:p>
        </w:tc>
        <w:tc>
          <w:tcPr>
            <w:tcW w:w="2740" w:type="dxa"/>
            <w:tcBorders>
              <w:top w:val="nil"/>
              <w:left w:val="nil"/>
              <w:bottom w:val="single" w:color="auto" w:sz="4" w:space="0"/>
              <w:right w:val="single" w:color="auto" w:sz="4" w:space="0"/>
            </w:tcBorders>
            <w:vAlign w:val="center"/>
          </w:tcPr>
          <w:p w14:paraId="381DFD4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公里牌</w:t>
            </w:r>
          </w:p>
        </w:tc>
        <w:tc>
          <w:tcPr>
            <w:tcW w:w="700" w:type="dxa"/>
            <w:tcBorders>
              <w:top w:val="nil"/>
              <w:left w:val="nil"/>
              <w:bottom w:val="single" w:color="auto" w:sz="4" w:space="0"/>
              <w:right w:val="single" w:color="auto" w:sz="4" w:space="0"/>
            </w:tcBorders>
            <w:vAlign w:val="center"/>
          </w:tcPr>
          <w:p w14:paraId="42397FE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1192" w:type="dxa"/>
            <w:tcBorders>
              <w:top w:val="nil"/>
              <w:left w:val="nil"/>
              <w:bottom w:val="single" w:color="auto" w:sz="4" w:space="0"/>
              <w:right w:val="single" w:color="auto" w:sz="4" w:space="0"/>
            </w:tcBorders>
            <w:vAlign w:val="center"/>
          </w:tcPr>
          <w:p w14:paraId="14157EA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140.33</w:t>
            </w:r>
          </w:p>
        </w:tc>
        <w:tc>
          <w:tcPr>
            <w:tcW w:w="870" w:type="dxa"/>
            <w:tcBorders>
              <w:top w:val="nil"/>
              <w:left w:val="nil"/>
              <w:bottom w:val="single" w:color="auto" w:sz="4" w:space="0"/>
              <w:right w:val="single" w:color="auto" w:sz="4" w:space="0"/>
            </w:tcBorders>
            <w:vAlign w:val="center"/>
          </w:tcPr>
          <w:p w14:paraId="68DB2B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417" w:type="dxa"/>
            <w:tcBorders>
              <w:top w:val="nil"/>
              <w:left w:val="nil"/>
              <w:bottom w:val="single" w:color="auto" w:sz="4" w:space="0"/>
              <w:right w:val="single" w:color="auto" w:sz="4" w:space="0"/>
            </w:tcBorders>
            <w:vAlign w:val="center"/>
          </w:tcPr>
          <w:p w14:paraId="592D731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2806.6</w:t>
            </w:r>
          </w:p>
        </w:tc>
        <w:tc>
          <w:tcPr>
            <w:tcW w:w="2860" w:type="dxa"/>
            <w:tcBorders>
              <w:top w:val="nil"/>
              <w:left w:val="nil"/>
              <w:bottom w:val="single" w:color="auto" w:sz="4" w:space="0"/>
              <w:right w:val="single" w:color="auto" w:sz="4" w:space="0"/>
            </w:tcBorders>
            <w:vAlign w:val="center"/>
          </w:tcPr>
          <w:p w14:paraId="48F9987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74E628F">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31BAD6E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39</w:t>
            </w:r>
          </w:p>
        </w:tc>
        <w:tc>
          <w:tcPr>
            <w:tcW w:w="2740" w:type="dxa"/>
            <w:tcBorders>
              <w:top w:val="nil"/>
              <w:left w:val="nil"/>
              <w:bottom w:val="single" w:color="auto" w:sz="4" w:space="0"/>
              <w:right w:val="single" w:color="auto" w:sz="4" w:space="0"/>
            </w:tcBorders>
            <w:vAlign w:val="center"/>
          </w:tcPr>
          <w:p w14:paraId="768F071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警示桩、道口桩</w:t>
            </w:r>
          </w:p>
        </w:tc>
        <w:tc>
          <w:tcPr>
            <w:tcW w:w="700" w:type="dxa"/>
            <w:tcBorders>
              <w:top w:val="nil"/>
              <w:left w:val="nil"/>
              <w:bottom w:val="single" w:color="auto" w:sz="4" w:space="0"/>
              <w:right w:val="single" w:color="auto" w:sz="4" w:space="0"/>
            </w:tcBorders>
            <w:vAlign w:val="center"/>
          </w:tcPr>
          <w:p w14:paraId="5D96FE1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根</w:t>
            </w:r>
          </w:p>
        </w:tc>
        <w:tc>
          <w:tcPr>
            <w:tcW w:w="1192" w:type="dxa"/>
            <w:tcBorders>
              <w:top w:val="nil"/>
              <w:left w:val="nil"/>
              <w:bottom w:val="single" w:color="auto" w:sz="4" w:space="0"/>
              <w:right w:val="single" w:color="auto" w:sz="4" w:space="0"/>
            </w:tcBorders>
            <w:vAlign w:val="center"/>
          </w:tcPr>
          <w:p w14:paraId="5F79BB5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112.25 </w:t>
            </w:r>
          </w:p>
        </w:tc>
        <w:tc>
          <w:tcPr>
            <w:tcW w:w="870" w:type="dxa"/>
            <w:tcBorders>
              <w:top w:val="nil"/>
              <w:left w:val="nil"/>
              <w:bottom w:val="single" w:color="auto" w:sz="4" w:space="0"/>
              <w:right w:val="single" w:color="auto" w:sz="4" w:space="0"/>
            </w:tcBorders>
            <w:vAlign w:val="center"/>
          </w:tcPr>
          <w:p w14:paraId="231389A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c>
          <w:tcPr>
            <w:tcW w:w="1417" w:type="dxa"/>
            <w:tcBorders>
              <w:top w:val="nil"/>
              <w:left w:val="nil"/>
              <w:bottom w:val="single" w:color="auto" w:sz="4" w:space="0"/>
              <w:right w:val="single" w:color="auto" w:sz="4" w:space="0"/>
            </w:tcBorders>
            <w:vAlign w:val="center"/>
          </w:tcPr>
          <w:p w14:paraId="5109152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22450</w:t>
            </w:r>
          </w:p>
        </w:tc>
        <w:tc>
          <w:tcPr>
            <w:tcW w:w="2860" w:type="dxa"/>
            <w:tcBorders>
              <w:top w:val="nil"/>
              <w:left w:val="nil"/>
              <w:bottom w:val="single" w:color="auto" w:sz="4" w:space="0"/>
              <w:right w:val="single" w:color="auto" w:sz="4" w:space="0"/>
            </w:tcBorders>
            <w:vAlign w:val="center"/>
          </w:tcPr>
          <w:p w14:paraId="5FDD7BE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E2392EC">
        <w:tblPrEx>
          <w:tblCellMar>
            <w:top w:w="0" w:type="dxa"/>
            <w:left w:w="108" w:type="dxa"/>
            <w:bottom w:w="0" w:type="dxa"/>
            <w:right w:w="108" w:type="dxa"/>
          </w:tblCellMar>
        </w:tblPrEx>
        <w:trPr>
          <w:trHeight w:val="570" w:hRule="atLeast"/>
        </w:trPr>
        <w:tc>
          <w:tcPr>
            <w:tcW w:w="621" w:type="dxa"/>
            <w:tcBorders>
              <w:top w:val="nil"/>
              <w:left w:val="single" w:color="auto" w:sz="4" w:space="0"/>
              <w:bottom w:val="single" w:color="auto" w:sz="4" w:space="0"/>
              <w:right w:val="single" w:color="auto" w:sz="4" w:space="0"/>
            </w:tcBorders>
            <w:vAlign w:val="center"/>
          </w:tcPr>
          <w:p w14:paraId="3A5CCAD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40</w:t>
            </w:r>
          </w:p>
        </w:tc>
        <w:tc>
          <w:tcPr>
            <w:tcW w:w="2740" w:type="dxa"/>
            <w:tcBorders>
              <w:top w:val="nil"/>
              <w:left w:val="nil"/>
              <w:bottom w:val="single" w:color="auto" w:sz="4" w:space="0"/>
              <w:right w:val="single" w:color="auto" w:sz="4" w:space="0"/>
            </w:tcBorders>
            <w:vAlign w:val="center"/>
          </w:tcPr>
          <w:p w14:paraId="7A905AA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警示桩、道口桩喷反光油漆（或贴反光膜）</w:t>
            </w:r>
          </w:p>
        </w:tc>
        <w:tc>
          <w:tcPr>
            <w:tcW w:w="700" w:type="dxa"/>
            <w:tcBorders>
              <w:top w:val="nil"/>
              <w:left w:val="nil"/>
              <w:bottom w:val="single" w:color="auto" w:sz="4" w:space="0"/>
              <w:right w:val="single" w:color="auto" w:sz="4" w:space="0"/>
            </w:tcBorders>
            <w:vAlign w:val="center"/>
          </w:tcPr>
          <w:p w14:paraId="31C0B49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根</w:t>
            </w:r>
          </w:p>
        </w:tc>
        <w:tc>
          <w:tcPr>
            <w:tcW w:w="1192" w:type="dxa"/>
            <w:tcBorders>
              <w:top w:val="nil"/>
              <w:left w:val="nil"/>
              <w:bottom w:val="single" w:color="auto" w:sz="4" w:space="0"/>
              <w:right w:val="single" w:color="auto" w:sz="4" w:space="0"/>
            </w:tcBorders>
            <w:vAlign w:val="center"/>
          </w:tcPr>
          <w:p w14:paraId="4A86F78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12.07</w:t>
            </w:r>
          </w:p>
        </w:tc>
        <w:tc>
          <w:tcPr>
            <w:tcW w:w="870" w:type="dxa"/>
            <w:tcBorders>
              <w:top w:val="nil"/>
              <w:left w:val="nil"/>
              <w:bottom w:val="single" w:color="auto" w:sz="4" w:space="0"/>
              <w:right w:val="single" w:color="auto" w:sz="4" w:space="0"/>
            </w:tcBorders>
            <w:vAlign w:val="center"/>
          </w:tcPr>
          <w:p w14:paraId="2AD1885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c>
          <w:tcPr>
            <w:tcW w:w="1417" w:type="dxa"/>
            <w:tcBorders>
              <w:top w:val="nil"/>
              <w:left w:val="nil"/>
              <w:bottom w:val="single" w:color="auto" w:sz="4" w:space="0"/>
              <w:right w:val="single" w:color="auto" w:sz="4" w:space="0"/>
            </w:tcBorders>
            <w:vAlign w:val="center"/>
          </w:tcPr>
          <w:p w14:paraId="0ADE315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2414</w:t>
            </w:r>
          </w:p>
        </w:tc>
        <w:tc>
          <w:tcPr>
            <w:tcW w:w="2860" w:type="dxa"/>
            <w:tcBorders>
              <w:top w:val="nil"/>
              <w:left w:val="nil"/>
              <w:bottom w:val="single" w:color="auto" w:sz="4" w:space="0"/>
              <w:right w:val="single" w:color="auto" w:sz="4" w:space="0"/>
            </w:tcBorders>
            <w:vAlign w:val="center"/>
          </w:tcPr>
          <w:p w14:paraId="047E6DB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EDF735B">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249D868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41</w:t>
            </w:r>
          </w:p>
        </w:tc>
        <w:tc>
          <w:tcPr>
            <w:tcW w:w="2740" w:type="dxa"/>
            <w:tcBorders>
              <w:top w:val="nil"/>
              <w:left w:val="nil"/>
              <w:bottom w:val="single" w:color="auto" w:sz="4" w:space="0"/>
              <w:right w:val="single" w:color="auto" w:sz="4" w:space="0"/>
            </w:tcBorders>
            <w:vAlign w:val="center"/>
          </w:tcPr>
          <w:p w14:paraId="36FE657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减速标线</w:t>
            </w:r>
          </w:p>
        </w:tc>
        <w:tc>
          <w:tcPr>
            <w:tcW w:w="700" w:type="dxa"/>
            <w:tcBorders>
              <w:top w:val="nil"/>
              <w:left w:val="nil"/>
              <w:bottom w:val="single" w:color="auto" w:sz="4" w:space="0"/>
              <w:right w:val="single" w:color="auto" w:sz="4" w:space="0"/>
            </w:tcBorders>
            <w:vAlign w:val="center"/>
          </w:tcPr>
          <w:p w14:paraId="2826CA5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92" w:type="dxa"/>
            <w:tcBorders>
              <w:top w:val="nil"/>
              <w:left w:val="nil"/>
              <w:bottom w:val="single" w:color="auto" w:sz="4" w:space="0"/>
              <w:right w:val="single" w:color="auto" w:sz="4" w:space="0"/>
            </w:tcBorders>
            <w:vAlign w:val="center"/>
          </w:tcPr>
          <w:p w14:paraId="5001E41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122.24 </w:t>
            </w:r>
          </w:p>
        </w:tc>
        <w:tc>
          <w:tcPr>
            <w:tcW w:w="870" w:type="dxa"/>
            <w:tcBorders>
              <w:top w:val="nil"/>
              <w:left w:val="nil"/>
              <w:bottom w:val="single" w:color="auto" w:sz="4" w:space="0"/>
              <w:right w:val="single" w:color="auto" w:sz="4" w:space="0"/>
            </w:tcBorders>
            <w:vAlign w:val="center"/>
          </w:tcPr>
          <w:p w14:paraId="6885C6B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700</w:t>
            </w:r>
          </w:p>
        </w:tc>
        <w:tc>
          <w:tcPr>
            <w:tcW w:w="1417" w:type="dxa"/>
            <w:tcBorders>
              <w:top w:val="nil"/>
              <w:left w:val="nil"/>
              <w:bottom w:val="single" w:color="auto" w:sz="4" w:space="0"/>
              <w:right w:val="single" w:color="auto" w:sz="4" w:space="0"/>
            </w:tcBorders>
            <w:vAlign w:val="center"/>
          </w:tcPr>
          <w:p w14:paraId="3B83FDA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85568</w:t>
            </w:r>
          </w:p>
        </w:tc>
        <w:tc>
          <w:tcPr>
            <w:tcW w:w="2860" w:type="dxa"/>
            <w:tcBorders>
              <w:top w:val="nil"/>
              <w:left w:val="nil"/>
              <w:bottom w:val="single" w:color="auto" w:sz="4" w:space="0"/>
              <w:right w:val="single" w:color="auto" w:sz="4" w:space="0"/>
            </w:tcBorders>
            <w:vAlign w:val="center"/>
          </w:tcPr>
          <w:p w14:paraId="0FDA64A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厚度0.6cm</w:t>
            </w:r>
          </w:p>
        </w:tc>
      </w:tr>
      <w:tr w14:paraId="7B24DBB6">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50EA50C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42</w:t>
            </w:r>
          </w:p>
        </w:tc>
        <w:tc>
          <w:tcPr>
            <w:tcW w:w="2740" w:type="dxa"/>
            <w:tcBorders>
              <w:top w:val="nil"/>
              <w:left w:val="nil"/>
              <w:bottom w:val="single" w:color="auto" w:sz="4" w:space="0"/>
              <w:right w:val="single" w:color="auto" w:sz="4" w:space="0"/>
            </w:tcBorders>
            <w:vAlign w:val="center"/>
          </w:tcPr>
          <w:p w14:paraId="2BED5D7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热熔标线</w:t>
            </w:r>
          </w:p>
        </w:tc>
        <w:tc>
          <w:tcPr>
            <w:tcW w:w="700" w:type="dxa"/>
            <w:tcBorders>
              <w:top w:val="nil"/>
              <w:left w:val="nil"/>
              <w:bottom w:val="single" w:color="auto" w:sz="4" w:space="0"/>
              <w:right w:val="single" w:color="auto" w:sz="4" w:space="0"/>
            </w:tcBorders>
            <w:vAlign w:val="center"/>
          </w:tcPr>
          <w:p w14:paraId="456CF75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92" w:type="dxa"/>
            <w:tcBorders>
              <w:top w:val="nil"/>
              <w:left w:val="nil"/>
              <w:bottom w:val="single" w:color="auto" w:sz="4" w:space="0"/>
              <w:right w:val="single" w:color="auto" w:sz="4" w:space="0"/>
            </w:tcBorders>
            <w:vAlign w:val="center"/>
          </w:tcPr>
          <w:p w14:paraId="2D201B3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64.36 </w:t>
            </w:r>
          </w:p>
        </w:tc>
        <w:tc>
          <w:tcPr>
            <w:tcW w:w="870" w:type="dxa"/>
            <w:tcBorders>
              <w:top w:val="nil"/>
              <w:left w:val="nil"/>
              <w:bottom w:val="single" w:color="auto" w:sz="4" w:space="0"/>
              <w:right w:val="single" w:color="auto" w:sz="4" w:space="0"/>
            </w:tcBorders>
            <w:vAlign w:val="center"/>
          </w:tcPr>
          <w:p w14:paraId="5EFEC8D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c>
          <w:tcPr>
            <w:tcW w:w="1417" w:type="dxa"/>
            <w:tcBorders>
              <w:top w:val="nil"/>
              <w:left w:val="nil"/>
              <w:bottom w:val="single" w:color="auto" w:sz="4" w:space="0"/>
              <w:right w:val="single" w:color="auto" w:sz="4" w:space="0"/>
            </w:tcBorders>
            <w:vAlign w:val="center"/>
          </w:tcPr>
          <w:p w14:paraId="1E4CD71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32180</w:t>
            </w:r>
          </w:p>
        </w:tc>
        <w:tc>
          <w:tcPr>
            <w:tcW w:w="2860" w:type="dxa"/>
            <w:tcBorders>
              <w:top w:val="nil"/>
              <w:left w:val="nil"/>
              <w:bottom w:val="single" w:color="auto" w:sz="4" w:space="0"/>
              <w:right w:val="single" w:color="auto" w:sz="4" w:space="0"/>
            </w:tcBorders>
            <w:vAlign w:val="center"/>
          </w:tcPr>
          <w:p w14:paraId="5859A61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厚度0.2cm</w:t>
            </w:r>
          </w:p>
        </w:tc>
      </w:tr>
      <w:tr w14:paraId="60628CA1">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271CEDA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43</w:t>
            </w:r>
          </w:p>
        </w:tc>
        <w:tc>
          <w:tcPr>
            <w:tcW w:w="2740" w:type="dxa"/>
            <w:tcBorders>
              <w:top w:val="nil"/>
              <w:left w:val="nil"/>
              <w:bottom w:val="single" w:color="auto" w:sz="4" w:space="0"/>
              <w:right w:val="single" w:color="auto" w:sz="4" w:space="0"/>
            </w:tcBorders>
            <w:vAlign w:val="center"/>
          </w:tcPr>
          <w:p w14:paraId="0F1C946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震荡标线</w:t>
            </w:r>
          </w:p>
        </w:tc>
        <w:tc>
          <w:tcPr>
            <w:tcW w:w="700" w:type="dxa"/>
            <w:tcBorders>
              <w:top w:val="nil"/>
              <w:left w:val="nil"/>
              <w:bottom w:val="single" w:color="auto" w:sz="4" w:space="0"/>
              <w:right w:val="single" w:color="auto" w:sz="4" w:space="0"/>
            </w:tcBorders>
            <w:vAlign w:val="center"/>
          </w:tcPr>
          <w:p w14:paraId="1A2F0D8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92" w:type="dxa"/>
            <w:tcBorders>
              <w:top w:val="nil"/>
              <w:left w:val="nil"/>
              <w:bottom w:val="single" w:color="auto" w:sz="4" w:space="0"/>
              <w:right w:val="single" w:color="auto" w:sz="4" w:space="0"/>
            </w:tcBorders>
            <w:vAlign w:val="center"/>
          </w:tcPr>
          <w:p w14:paraId="67DF033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232.99 </w:t>
            </w:r>
          </w:p>
        </w:tc>
        <w:tc>
          <w:tcPr>
            <w:tcW w:w="870" w:type="dxa"/>
            <w:tcBorders>
              <w:top w:val="nil"/>
              <w:left w:val="nil"/>
              <w:bottom w:val="single" w:color="auto" w:sz="4" w:space="0"/>
              <w:right w:val="single" w:color="auto" w:sz="4" w:space="0"/>
            </w:tcBorders>
            <w:vAlign w:val="center"/>
          </w:tcPr>
          <w:p w14:paraId="207668B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c>
          <w:tcPr>
            <w:tcW w:w="1417" w:type="dxa"/>
            <w:tcBorders>
              <w:top w:val="nil"/>
              <w:left w:val="nil"/>
              <w:bottom w:val="single" w:color="auto" w:sz="4" w:space="0"/>
              <w:right w:val="single" w:color="auto" w:sz="4" w:space="0"/>
            </w:tcBorders>
            <w:vAlign w:val="center"/>
          </w:tcPr>
          <w:p w14:paraId="5E9B309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46598</w:t>
            </w:r>
          </w:p>
        </w:tc>
        <w:tc>
          <w:tcPr>
            <w:tcW w:w="2860" w:type="dxa"/>
            <w:tcBorders>
              <w:top w:val="nil"/>
              <w:left w:val="nil"/>
              <w:bottom w:val="single" w:color="auto" w:sz="4" w:space="0"/>
              <w:right w:val="single" w:color="auto" w:sz="4" w:space="0"/>
            </w:tcBorders>
            <w:vAlign w:val="center"/>
          </w:tcPr>
          <w:p w14:paraId="70D0D62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B1618E5">
        <w:tblPrEx>
          <w:tblCellMar>
            <w:top w:w="0" w:type="dxa"/>
            <w:left w:w="108" w:type="dxa"/>
            <w:bottom w:w="0" w:type="dxa"/>
            <w:right w:w="108" w:type="dxa"/>
          </w:tblCellMar>
        </w:tblPrEx>
        <w:trPr>
          <w:trHeight w:val="570" w:hRule="atLeast"/>
        </w:trPr>
        <w:tc>
          <w:tcPr>
            <w:tcW w:w="621" w:type="dxa"/>
            <w:tcBorders>
              <w:top w:val="nil"/>
              <w:left w:val="single" w:color="auto" w:sz="4" w:space="0"/>
              <w:bottom w:val="single" w:color="auto" w:sz="4" w:space="0"/>
              <w:right w:val="single" w:color="auto" w:sz="4" w:space="0"/>
            </w:tcBorders>
            <w:vAlign w:val="center"/>
          </w:tcPr>
          <w:p w14:paraId="6CD4ACB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44</w:t>
            </w:r>
          </w:p>
        </w:tc>
        <w:tc>
          <w:tcPr>
            <w:tcW w:w="2740" w:type="dxa"/>
            <w:tcBorders>
              <w:top w:val="nil"/>
              <w:left w:val="nil"/>
              <w:bottom w:val="single" w:color="auto" w:sz="4" w:space="0"/>
              <w:right w:val="single" w:color="auto" w:sz="4" w:space="0"/>
            </w:tcBorders>
            <w:vAlign w:val="center"/>
          </w:tcPr>
          <w:p w14:paraId="5F03F6F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立养护公示牌</w:t>
            </w:r>
          </w:p>
        </w:tc>
        <w:tc>
          <w:tcPr>
            <w:tcW w:w="700" w:type="dxa"/>
            <w:tcBorders>
              <w:top w:val="nil"/>
              <w:left w:val="nil"/>
              <w:bottom w:val="single" w:color="auto" w:sz="4" w:space="0"/>
              <w:right w:val="single" w:color="auto" w:sz="4" w:space="0"/>
            </w:tcBorders>
            <w:vAlign w:val="center"/>
          </w:tcPr>
          <w:p w14:paraId="208FB77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1192" w:type="dxa"/>
            <w:tcBorders>
              <w:top w:val="nil"/>
              <w:left w:val="nil"/>
              <w:bottom w:val="single" w:color="auto" w:sz="4" w:space="0"/>
              <w:right w:val="single" w:color="auto" w:sz="4" w:space="0"/>
            </w:tcBorders>
            <w:vAlign w:val="center"/>
          </w:tcPr>
          <w:p w14:paraId="544DBC1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814.44 </w:t>
            </w:r>
          </w:p>
        </w:tc>
        <w:tc>
          <w:tcPr>
            <w:tcW w:w="870" w:type="dxa"/>
            <w:tcBorders>
              <w:top w:val="nil"/>
              <w:left w:val="nil"/>
              <w:bottom w:val="single" w:color="auto" w:sz="4" w:space="0"/>
              <w:right w:val="single" w:color="auto" w:sz="4" w:space="0"/>
            </w:tcBorders>
            <w:vAlign w:val="center"/>
          </w:tcPr>
          <w:p w14:paraId="3D66D7B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524</w:t>
            </w:r>
          </w:p>
        </w:tc>
        <w:tc>
          <w:tcPr>
            <w:tcW w:w="1417" w:type="dxa"/>
            <w:tcBorders>
              <w:top w:val="nil"/>
              <w:left w:val="nil"/>
              <w:bottom w:val="single" w:color="auto" w:sz="4" w:space="0"/>
              <w:right w:val="single" w:color="auto" w:sz="4" w:space="0"/>
            </w:tcBorders>
            <w:vAlign w:val="center"/>
          </w:tcPr>
          <w:p w14:paraId="6FEA38C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426766.56</w:t>
            </w:r>
          </w:p>
        </w:tc>
        <w:tc>
          <w:tcPr>
            <w:tcW w:w="2860" w:type="dxa"/>
            <w:tcBorders>
              <w:top w:val="nil"/>
              <w:left w:val="nil"/>
              <w:bottom w:val="single" w:color="auto" w:sz="4" w:space="0"/>
              <w:right w:val="single" w:color="auto" w:sz="4" w:space="0"/>
            </w:tcBorders>
            <w:vAlign w:val="center"/>
          </w:tcPr>
          <w:p w14:paraId="45187C6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含养护牌内容、立柱、基础等</w:t>
            </w:r>
          </w:p>
        </w:tc>
      </w:tr>
      <w:tr w14:paraId="7CB6DD57">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729975A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45</w:t>
            </w:r>
          </w:p>
        </w:tc>
        <w:tc>
          <w:tcPr>
            <w:tcW w:w="2740" w:type="dxa"/>
            <w:tcBorders>
              <w:top w:val="nil"/>
              <w:left w:val="nil"/>
              <w:bottom w:val="nil"/>
              <w:right w:val="nil"/>
            </w:tcBorders>
            <w:vAlign w:val="center"/>
          </w:tcPr>
          <w:p w14:paraId="4DBE47C9">
            <w:pPr>
              <w:widowControl/>
              <w:rPr>
                <w:rFonts w:ascii="宋体" w:hAnsi="宋体" w:cs="宋体"/>
                <w:color w:val="auto"/>
                <w:kern w:val="0"/>
                <w:sz w:val="24"/>
                <w:highlight w:val="none"/>
              </w:rPr>
            </w:pPr>
            <w:r>
              <w:rPr>
                <w:rFonts w:hint="eastAsia" w:ascii="宋体" w:hAnsi="宋体" w:cs="宋体"/>
                <w:color w:val="auto"/>
                <w:kern w:val="0"/>
                <w:sz w:val="24"/>
                <w:highlight w:val="none"/>
              </w:rPr>
              <w:t>立桥梁公示牌</w:t>
            </w:r>
          </w:p>
        </w:tc>
        <w:tc>
          <w:tcPr>
            <w:tcW w:w="700" w:type="dxa"/>
            <w:tcBorders>
              <w:top w:val="nil"/>
              <w:left w:val="single" w:color="auto" w:sz="4" w:space="0"/>
              <w:bottom w:val="single" w:color="auto" w:sz="4" w:space="0"/>
              <w:right w:val="single" w:color="auto" w:sz="4" w:space="0"/>
            </w:tcBorders>
            <w:vAlign w:val="center"/>
          </w:tcPr>
          <w:p w14:paraId="453FDA9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1192" w:type="dxa"/>
            <w:tcBorders>
              <w:top w:val="nil"/>
              <w:left w:val="nil"/>
              <w:bottom w:val="single" w:color="auto" w:sz="4" w:space="0"/>
              <w:right w:val="single" w:color="auto" w:sz="4" w:space="0"/>
            </w:tcBorders>
            <w:vAlign w:val="center"/>
          </w:tcPr>
          <w:p w14:paraId="6E9F8D7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736.33</w:t>
            </w:r>
          </w:p>
        </w:tc>
        <w:tc>
          <w:tcPr>
            <w:tcW w:w="870" w:type="dxa"/>
            <w:tcBorders>
              <w:top w:val="nil"/>
              <w:left w:val="nil"/>
              <w:bottom w:val="single" w:color="auto" w:sz="4" w:space="0"/>
              <w:right w:val="single" w:color="auto" w:sz="4" w:space="0"/>
            </w:tcBorders>
            <w:vAlign w:val="center"/>
          </w:tcPr>
          <w:p w14:paraId="54BB413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1417" w:type="dxa"/>
            <w:tcBorders>
              <w:top w:val="nil"/>
              <w:left w:val="nil"/>
              <w:bottom w:val="single" w:color="auto" w:sz="4" w:space="0"/>
              <w:right w:val="single" w:color="auto" w:sz="4" w:space="0"/>
            </w:tcBorders>
            <w:vAlign w:val="center"/>
          </w:tcPr>
          <w:p w14:paraId="7D5AE29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22089.9</w:t>
            </w:r>
          </w:p>
        </w:tc>
        <w:tc>
          <w:tcPr>
            <w:tcW w:w="2860" w:type="dxa"/>
            <w:tcBorders>
              <w:top w:val="nil"/>
              <w:left w:val="nil"/>
              <w:bottom w:val="single" w:color="auto" w:sz="4" w:space="0"/>
              <w:right w:val="single" w:color="auto" w:sz="4" w:space="0"/>
            </w:tcBorders>
            <w:vAlign w:val="center"/>
          </w:tcPr>
          <w:p w14:paraId="432C9DA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含内容、立柱、基础等</w:t>
            </w:r>
          </w:p>
        </w:tc>
      </w:tr>
      <w:tr w14:paraId="691AAB78">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6054CBF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46</w:t>
            </w:r>
          </w:p>
        </w:tc>
        <w:tc>
          <w:tcPr>
            <w:tcW w:w="2740" w:type="dxa"/>
            <w:tcBorders>
              <w:top w:val="single" w:color="auto" w:sz="4" w:space="0"/>
              <w:left w:val="nil"/>
              <w:bottom w:val="single" w:color="auto" w:sz="4" w:space="0"/>
              <w:right w:val="single" w:color="auto" w:sz="4" w:space="0"/>
            </w:tcBorders>
            <w:vAlign w:val="center"/>
          </w:tcPr>
          <w:p w14:paraId="21B4DD8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更换养护公示牌内容</w:t>
            </w:r>
          </w:p>
        </w:tc>
        <w:tc>
          <w:tcPr>
            <w:tcW w:w="700" w:type="dxa"/>
            <w:tcBorders>
              <w:top w:val="nil"/>
              <w:left w:val="nil"/>
              <w:bottom w:val="single" w:color="auto" w:sz="4" w:space="0"/>
              <w:right w:val="single" w:color="auto" w:sz="4" w:space="0"/>
            </w:tcBorders>
            <w:vAlign w:val="center"/>
          </w:tcPr>
          <w:p w14:paraId="0AD8B1B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1192" w:type="dxa"/>
            <w:tcBorders>
              <w:top w:val="nil"/>
              <w:left w:val="nil"/>
              <w:bottom w:val="single" w:color="auto" w:sz="4" w:space="0"/>
              <w:right w:val="single" w:color="auto" w:sz="4" w:space="0"/>
            </w:tcBorders>
            <w:vAlign w:val="center"/>
          </w:tcPr>
          <w:p w14:paraId="2AF7772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67.63</w:t>
            </w:r>
          </w:p>
        </w:tc>
        <w:tc>
          <w:tcPr>
            <w:tcW w:w="870" w:type="dxa"/>
            <w:tcBorders>
              <w:top w:val="nil"/>
              <w:left w:val="nil"/>
              <w:bottom w:val="single" w:color="auto" w:sz="4" w:space="0"/>
              <w:right w:val="single" w:color="auto" w:sz="4" w:space="0"/>
            </w:tcBorders>
            <w:vAlign w:val="center"/>
          </w:tcPr>
          <w:p w14:paraId="6CA12DC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1648</w:t>
            </w:r>
          </w:p>
        </w:tc>
        <w:tc>
          <w:tcPr>
            <w:tcW w:w="1417" w:type="dxa"/>
            <w:tcBorders>
              <w:top w:val="nil"/>
              <w:left w:val="nil"/>
              <w:bottom w:val="single" w:color="auto" w:sz="4" w:space="0"/>
              <w:right w:val="single" w:color="auto" w:sz="4" w:space="0"/>
            </w:tcBorders>
            <w:vAlign w:val="center"/>
          </w:tcPr>
          <w:p w14:paraId="392EED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111454.24</w:t>
            </w:r>
          </w:p>
        </w:tc>
        <w:tc>
          <w:tcPr>
            <w:tcW w:w="2860" w:type="dxa"/>
            <w:tcBorders>
              <w:top w:val="nil"/>
              <w:left w:val="nil"/>
              <w:bottom w:val="single" w:color="auto" w:sz="4" w:space="0"/>
              <w:right w:val="single" w:color="auto" w:sz="4" w:space="0"/>
            </w:tcBorders>
            <w:vAlign w:val="center"/>
          </w:tcPr>
          <w:p w14:paraId="7D34F69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EF01663">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0FFEF45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47</w:t>
            </w:r>
          </w:p>
        </w:tc>
        <w:tc>
          <w:tcPr>
            <w:tcW w:w="2740" w:type="dxa"/>
            <w:tcBorders>
              <w:top w:val="nil"/>
              <w:left w:val="nil"/>
              <w:bottom w:val="single" w:color="auto" w:sz="4" w:space="0"/>
              <w:right w:val="single" w:color="auto" w:sz="4" w:space="0"/>
            </w:tcBorders>
            <w:vAlign w:val="center"/>
          </w:tcPr>
          <w:p w14:paraId="5778CD5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钢管栏杆</w:t>
            </w:r>
          </w:p>
        </w:tc>
        <w:tc>
          <w:tcPr>
            <w:tcW w:w="700" w:type="dxa"/>
            <w:tcBorders>
              <w:top w:val="nil"/>
              <w:left w:val="nil"/>
              <w:bottom w:val="single" w:color="auto" w:sz="4" w:space="0"/>
              <w:right w:val="single" w:color="auto" w:sz="4" w:space="0"/>
            </w:tcBorders>
            <w:vAlign w:val="center"/>
          </w:tcPr>
          <w:p w14:paraId="489A762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92" w:type="dxa"/>
            <w:tcBorders>
              <w:top w:val="nil"/>
              <w:left w:val="nil"/>
              <w:bottom w:val="single" w:color="auto" w:sz="4" w:space="0"/>
              <w:right w:val="single" w:color="auto" w:sz="4" w:space="0"/>
            </w:tcBorders>
            <w:vAlign w:val="center"/>
          </w:tcPr>
          <w:p w14:paraId="42B82DE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585.59 </w:t>
            </w:r>
          </w:p>
        </w:tc>
        <w:tc>
          <w:tcPr>
            <w:tcW w:w="870" w:type="dxa"/>
            <w:tcBorders>
              <w:top w:val="nil"/>
              <w:left w:val="nil"/>
              <w:bottom w:val="single" w:color="auto" w:sz="4" w:space="0"/>
              <w:right w:val="single" w:color="auto" w:sz="4" w:space="0"/>
            </w:tcBorders>
            <w:vAlign w:val="center"/>
          </w:tcPr>
          <w:p w14:paraId="0705D65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c>
          <w:tcPr>
            <w:tcW w:w="1417" w:type="dxa"/>
            <w:tcBorders>
              <w:top w:val="nil"/>
              <w:left w:val="nil"/>
              <w:bottom w:val="single" w:color="auto" w:sz="4" w:space="0"/>
              <w:right w:val="single" w:color="auto" w:sz="4" w:space="0"/>
            </w:tcBorders>
            <w:vAlign w:val="center"/>
          </w:tcPr>
          <w:p w14:paraId="690C3F5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29279.5</w:t>
            </w:r>
          </w:p>
        </w:tc>
        <w:tc>
          <w:tcPr>
            <w:tcW w:w="2860" w:type="dxa"/>
            <w:tcBorders>
              <w:top w:val="nil"/>
              <w:left w:val="nil"/>
              <w:bottom w:val="single" w:color="auto" w:sz="4" w:space="0"/>
              <w:right w:val="single" w:color="auto" w:sz="4" w:space="0"/>
            </w:tcBorders>
            <w:vAlign w:val="center"/>
          </w:tcPr>
          <w:p w14:paraId="388B692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高1.1m</w:t>
            </w:r>
          </w:p>
        </w:tc>
      </w:tr>
      <w:tr w14:paraId="1B0E555E">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1422593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48</w:t>
            </w:r>
          </w:p>
        </w:tc>
        <w:tc>
          <w:tcPr>
            <w:tcW w:w="2740" w:type="dxa"/>
            <w:tcBorders>
              <w:top w:val="nil"/>
              <w:left w:val="nil"/>
              <w:bottom w:val="single" w:color="auto" w:sz="4" w:space="0"/>
              <w:right w:val="single" w:color="auto" w:sz="4" w:space="0"/>
            </w:tcBorders>
            <w:vAlign w:val="center"/>
          </w:tcPr>
          <w:p w14:paraId="53AF4CF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钢筋混凝土防撞栏杆</w:t>
            </w:r>
          </w:p>
        </w:tc>
        <w:tc>
          <w:tcPr>
            <w:tcW w:w="700" w:type="dxa"/>
            <w:tcBorders>
              <w:top w:val="nil"/>
              <w:left w:val="nil"/>
              <w:bottom w:val="single" w:color="auto" w:sz="4" w:space="0"/>
              <w:right w:val="single" w:color="auto" w:sz="4" w:space="0"/>
            </w:tcBorders>
            <w:vAlign w:val="center"/>
          </w:tcPr>
          <w:p w14:paraId="6DEDD8F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92" w:type="dxa"/>
            <w:tcBorders>
              <w:top w:val="nil"/>
              <w:left w:val="nil"/>
              <w:bottom w:val="single" w:color="auto" w:sz="4" w:space="0"/>
              <w:right w:val="single" w:color="auto" w:sz="4" w:space="0"/>
            </w:tcBorders>
            <w:vAlign w:val="center"/>
          </w:tcPr>
          <w:p w14:paraId="4D95F9D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1508</w:t>
            </w:r>
          </w:p>
        </w:tc>
        <w:tc>
          <w:tcPr>
            <w:tcW w:w="870" w:type="dxa"/>
            <w:tcBorders>
              <w:top w:val="nil"/>
              <w:left w:val="nil"/>
              <w:bottom w:val="single" w:color="auto" w:sz="4" w:space="0"/>
              <w:right w:val="single" w:color="auto" w:sz="4" w:space="0"/>
            </w:tcBorders>
            <w:vAlign w:val="center"/>
          </w:tcPr>
          <w:p w14:paraId="4034257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1417" w:type="dxa"/>
            <w:tcBorders>
              <w:top w:val="nil"/>
              <w:left w:val="nil"/>
              <w:bottom w:val="single" w:color="auto" w:sz="4" w:space="0"/>
              <w:right w:val="single" w:color="auto" w:sz="4" w:space="0"/>
            </w:tcBorders>
            <w:vAlign w:val="center"/>
          </w:tcPr>
          <w:p w14:paraId="191B5D6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45240</w:t>
            </w:r>
          </w:p>
        </w:tc>
        <w:tc>
          <w:tcPr>
            <w:tcW w:w="2860" w:type="dxa"/>
            <w:tcBorders>
              <w:top w:val="nil"/>
              <w:left w:val="nil"/>
              <w:bottom w:val="single" w:color="auto" w:sz="4" w:space="0"/>
              <w:right w:val="single" w:color="auto" w:sz="4" w:space="0"/>
            </w:tcBorders>
            <w:vAlign w:val="center"/>
          </w:tcPr>
          <w:p w14:paraId="647CA0A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E534C80">
        <w:tblPrEx>
          <w:tblCellMar>
            <w:top w:w="0" w:type="dxa"/>
            <w:left w:w="108" w:type="dxa"/>
            <w:bottom w:w="0" w:type="dxa"/>
            <w:right w:w="108" w:type="dxa"/>
          </w:tblCellMar>
        </w:tblPrEx>
        <w:trPr>
          <w:trHeight w:val="855" w:hRule="atLeast"/>
        </w:trPr>
        <w:tc>
          <w:tcPr>
            <w:tcW w:w="621" w:type="dxa"/>
            <w:tcBorders>
              <w:top w:val="nil"/>
              <w:left w:val="single" w:color="auto" w:sz="4" w:space="0"/>
              <w:bottom w:val="single" w:color="auto" w:sz="4" w:space="0"/>
              <w:right w:val="single" w:color="auto" w:sz="4" w:space="0"/>
            </w:tcBorders>
            <w:vAlign w:val="center"/>
          </w:tcPr>
          <w:p w14:paraId="4348A9B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49</w:t>
            </w:r>
          </w:p>
        </w:tc>
        <w:tc>
          <w:tcPr>
            <w:tcW w:w="2740" w:type="dxa"/>
            <w:tcBorders>
              <w:top w:val="nil"/>
              <w:left w:val="nil"/>
              <w:bottom w:val="single" w:color="auto" w:sz="4" w:space="0"/>
              <w:right w:val="single" w:color="auto" w:sz="4" w:space="0"/>
            </w:tcBorders>
            <w:vAlign w:val="center"/>
          </w:tcPr>
          <w:p w14:paraId="665C453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危桥封限墩</w:t>
            </w:r>
          </w:p>
        </w:tc>
        <w:tc>
          <w:tcPr>
            <w:tcW w:w="700" w:type="dxa"/>
            <w:tcBorders>
              <w:top w:val="nil"/>
              <w:left w:val="nil"/>
              <w:bottom w:val="single" w:color="auto" w:sz="4" w:space="0"/>
              <w:right w:val="single" w:color="auto" w:sz="4" w:space="0"/>
            </w:tcBorders>
            <w:vAlign w:val="center"/>
          </w:tcPr>
          <w:p w14:paraId="48036DF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根</w:t>
            </w:r>
          </w:p>
        </w:tc>
        <w:tc>
          <w:tcPr>
            <w:tcW w:w="1192" w:type="dxa"/>
            <w:tcBorders>
              <w:top w:val="nil"/>
              <w:left w:val="nil"/>
              <w:bottom w:val="single" w:color="auto" w:sz="4" w:space="0"/>
              <w:right w:val="single" w:color="auto" w:sz="4" w:space="0"/>
            </w:tcBorders>
            <w:vAlign w:val="center"/>
          </w:tcPr>
          <w:p w14:paraId="788466E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424.66</w:t>
            </w:r>
          </w:p>
        </w:tc>
        <w:tc>
          <w:tcPr>
            <w:tcW w:w="870" w:type="dxa"/>
            <w:tcBorders>
              <w:top w:val="nil"/>
              <w:left w:val="nil"/>
              <w:bottom w:val="single" w:color="auto" w:sz="4" w:space="0"/>
              <w:right w:val="single" w:color="auto" w:sz="4" w:space="0"/>
            </w:tcBorders>
            <w:vAlign w:val="center"/>
          </w:tcPr>
          <w:p w14:paraId="75545DE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c>
          <w:tcPr>
            <w:tcW w:w="1417" w:type="dxa"/>
            <w:tcBorders>
              <w:top w:val="nil"/>
              <w:left w:val="nil"/>
              <w:bottom w:val="single" w:color="auto" w:sz="4" w:space="0"/>
              <w:right w:val="single" w:color="auto" w:sz="4" w:space="0"/>
            </w:tcBorders>
            <w:vAlign w:val="center"/>
          </w:tcPr>
          <w:p w14:paraId="3DD3458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21233</w:t>
            </w:r>
          </w:p>
        </w:tc>
        <w:tc>
          <w:tcPr>
            <w:tcW w:w="2860" w:type="dxa"/>
            <w:tcBorders>
              <w:top w:val="nil"/>
              <w:left w:val="nil"/>
              <w:bottom w:val="single" w:color="auto" w:sz="4" w:space="0"/>
              <w:right w:val="single" w:color="auto" w:sz="4" w:space="0"/>
            </w:tcBorders>
            <w:vAlign w:val="center"/>
          </w:tcPr>
          <w:p w14:paraId="772EA70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（30cm直径钢管1.6米长，4根Φ14钢筋1.6米长，Φ8@200，钢管中间灌混凝土）</w:t>
            </w:r>
          </w:p>
        </w:tc>
      </w:tr>
      <w:tr w14:paraId="55D2A301">
        <w:tblPrEx>
          <w:tblCellMar>
            <w:top w:w="0" w:type="dxa"/>
            <w:left w:w="108" w:type="dxa"/>
            <w:bottom w:w="0" w:type="dxa"/>
            <w:right w:w="108" w:type="dxa"/>
          </w:tblCellMar>
        </w:tblPrEx>
        <w:trPr>
          <w:trHeight w:val="330" w:hRule="atLeast"/>
        </w:trPr>
        <w:tc>
          <w:tcPr>
            <w:tcW w:w="621" w:type="dxa"/>
            <w:tcBorders>
              <w:top w:val="nil"/>
              <w:left w:val="single" w:color="auto" w:sz="4" w:space="0"/>
              <w:bottom w:val="single" w:color="auto" w:sz="4" w:space="0"/>
              <w:right w:val="single" w:color="auto" w:sz="4" w:space="0"/>
            </w:tcBorders>
            <w:vAlign w:val="center"/>
          </w:tcPr>
          <w:p w14:paraId="6EFED3F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c>
          <w:tcPr>
            <w:tcW w:w="2740" w:type="dxa"/>
            <w:tcBorders>
              <w:top w:val="nil"/>
              <w:left w:val="nil"/>
              <w:bottom w:val="single" w:color="auto" w:sz="4" w:space="0"/>
              <w:right w:val="single" w:color="auto" w:sz="4" w:space="0"/>
            </w:tcBorders>
            <w:vAlign w:val="center"/>
          </w:tcPr>
          <w:p w14:paraId="2CC38D7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更换标志牌内容</w:t>
            </w:r>
          </w:p>
        </w:tc>
        <w:tc>
          <w:tcPr>
            <w:tcW w:w="700" w:type="dxa"/>
            <w:tcBorders>
              <w:top w:val="nil"/>
              <w:left w:val="nil"/>
              <w:bottom w:val="single" w:color="auto" w:sz="4" w:space="0"/>
              <w:right w:val="single" w:color="auto" w:sz="4" w:space="0"/>
            </w:tcBorders>
            <w:vAlign w:val="center"/>
          </w:tcPr>
          <w:p w14:paraId="6FC81BC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1192" w:type="dxa"/>
            <w:tcBorders>
              <w:top w:val="nil"/>
              <w:left w:val="nil"/>
              <w:bottom w:val="single" w:color="auto" w:sz="4" w:space="0"/>
              <w:right w:val="single" w:color="auto" w:sz="4" w:space="0"/>
            </w:tcBorders>
            <w:vAlign w:val="center"/>
          </w:tcPr>
          <w:p w14:paraId="76B9E75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181.21 </w:t>
            </w:r>
          </w:p>
        </w:tc>
        <w:tc>
          <w:tcPr>
            <w:tcW w:w="870" w:type="dxa"/>
            <w:tcBorders>
              <w:top w:val="nil"/>
              <w:left w:val="nil"/>
              <w:bottom w:val="single" w:color="auto" w:sz="4" w:space="0"/>
              <w:right w:val="single" w:color="auto" w:sz="4" w:space="0"/>
            </w:tcBorders>
            <w:vAlign w:val="center"/>
          </w:tcPr>
          <w:p w14:paraId="6887329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60</w:t>
            </w:r>
          </w:p>
        </w:tc>
        <w:tc>
          <w:tcPr>
            <w:tcW w:w="1417" w:type="dxa"/>
            <w:tcBorders>
              <w:top w:val="nil"/>
              <w:left w:val="nil"/>
              <w:bottom w:val="single" w:color="auto" w:sz="4" w:space="0"/>
              <w:right w:val="single" w:color="auto" w:sz="4" w:space="0"/>
            </w:tcBorders>
            <w:vAlign w:val="center"/>
          </w:tcPr>
          <w:p w14:paraId="053A8B5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10872.6</w:t>
            </w:r>
          </w:p>
        </w:tc>
        <w:tc>
          <w:tcPr>
            <w:tcW w:w="2860" w:type="dxa"/>
            <w:tcBorders>
              <w:top w:val="nil"/>
              <w:left w:val="nil"/>
              <w:bottom w:val="single" w:color="auto" w:sz="4" w:space="0"/>
              <w:right w:val="single" w:color="auto" w:sz="4" w:space="0"/>
            </w:tcBorders>
            <w:vAlign w:val="center"/>
          </w:tcPr>
          <w:p w14:paraId="3118874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反光</w:t>
            </w:r>
          </w:p>
        </w:tc>
      </w:tr>
      <w:tr w14:paraId="609F31B8">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3DAC229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51</w:t>
            </w:r>
          </w:p>
        </w:tc>
        <w:tc>
          <w:tcPr>
            <w:tcW w:w="2740" w:type="dxa"/>
            <w:tcBorders>
              <w:top w:val="nil"/>
              <w:left w:val="nil"/>
              <w:bottom w:val="single" w:color="auto" w:sz="4" w:space="0"/>
              <w:right w:val="single" w:color="auto" w:sz="4" w:space="0"/>
            </w:tcBorders>
            <w:vAlign w:val="center"/>
          </w:tcPr>
          <w:p w14:paraId="1D99A35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轮廓标</w:t>
            </w:r>
          </w:p>
        </w:tc>
        <w:tc>
          <w:tcPr>
            <w:tcW w:w="700" w:type="dxa"/>
            <w:tcBorders>
              <w:top w:val="nil"/>
              <w:left w:val="nil"/>
              <w:bottom w:val="single" w:color="auto" w:sz="4" w:space="0"/>
              <w:right w:val="single" w:color="auto" w:sz="4" w:space="0"/>
            </w:tcBorders>
            <w:vAlign w:val="center"/>
          </w:tcPr>
          <w:p w14:paraId="74F6752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根</w:t>
            </w:r>
          </w:p>
        </w:tc>
        <w:tc>
          <w:tcPr>
            <w:tcW w:w="1192" w:type="dxa"/>
            <w:tcBorders>
              <w:top w:val="nil"/>
              <w:left w:val="nil"/>
              <w:bottom w:val="single" w:color="auto" w:sz="4" w:space="0"/>
              <w:right w:val="single" w:color="auto" w:sz="4" w:space="0"/>
            </w:tcBorders>
            <w:vAlign w:val="center"/>
          </w:tcPr>
          <w:p w14:paraId="6A32CB1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64.45 </w:t>
            </w:r>
          </w:p>
        </w:tc>
        <w:tc>
          <w:tcPr>
            <w:tcW w:w="870" w:type="dxa"/>
            <w:tcBorders>
              <w:top w:val="nil"/>
              <w:left w:val="nil"/>
              <w:bottom w:val="single" w:color="auto" w:sz="4" w:space="0"/>
              <w:right w:val="single" w:color="auto" w:sz="4" w:space="0"/>
            </w:tcBorders>
            <w:vAlign w:val="center"/>
          </w:tcPr>
          <w:p w14:paraId="4166924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c>
          <w:tcPr>
            <w:tcW w:w="1417" w:type="dxa"/>
            <w:tcBorders>
              <w:top w:val="nil"/>
              <w:left w:val="nil"/>
              <w:bottom w:val="single" w:color="auto" w:sz="4" w:space="0"/>
              <w:right w:val="single" w:color="auto" w:sz="4" w:space="0"/>
            </w:tcBorders>
            <w:vAlign w:val="center"/>
          </w:tcPr>
          <w:p w14:paraId="554C432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3222.5</w:t>
            </w:r>
          </w:p>
        </w:tc>
        <w:tc>
          <w:tcPr>
            <w:tcW w:w="2860" w:type="dxa"/>
            <w:tcBorders>
              <w:top w:val="nil"/>
              <w:left w:val="nil"/>
              <w:bottom w:val="single" w:color="auto" w:sz="4" w:space="0"/>
              <w:right w:val="single" w:color="auto" w:sz="4" w:space="0"/>
            </w:tcBorders>
            <w:vAlign w:val="center"/>
          </w:tcPr>
          <w:p w14:paraId="4F36330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反光</w:t>
            </w:r>
          </w:p>
        </w:tc>
      </w:tr>
      <w:tr w14:paraId="3B65BD5B">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21FDABB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52</w:t>
            </w:r>
          </w:p>
        </w:tc>
        <w:tc>
          <w:tcPr>
            <w:tcW w:w="2740" w:type="dxa"/>
            <w:tcBorders>
              <w:top w:val="nil"/>
              <w:left w:val="nil"/>
              <w:bottom w:val="single" w:color="000000" w:sz="4" w:space="0"/>
              <w:right w:val="single" w:color="000000" w:sz="4" w:space="0"/>
            </w:tcBorders>
            <w:vAlign w:val="center"/>
          </w:tcPr>
          <w:p w14:paraId="2F16B87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修剪乔木</w:t>
            </w:r>
          </w:p>
        </w:tc>
        <w:tc>
          <w:tcPr>
            <w:tcW w:w="700" w:type="dxa"/>
            <w:tcBorders>
              <w:top w:val="nil"/>
              <w:left w:val="nil"/>
              <w:bottom w:val="single" w:color="000000" w:sz="4" w:space="0"/>
              <w:right w:val="single" w:color="000000" w:sz="4" w:space="0"/>
            </w:tcBorders>
            <w:vAlign w:val="center"/>
          </w:tcPr>
          <w:p w14:paraId="4A753FF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株</w:t>
            </w:r>
          </w:p>
        </w:tc>
        <w:tc>
          <w:tcPr>
            <w:tcW w:w="1192" w:type="dxa"/>
            <w:tcBorders>
              <w:top w:val="nil"/>
              <w:left w:val="nil"/>
              <w:bottom w:val="single" w:color="auto" w:sz="4" w:space="0"/>
              <w:right w:val="single" w:color="auto" w:sz="4" w:space="0"/>
            </w:tcBorders>
            <w:vAlign w:val="center"/>
          </w:tcPr>
          <w:p w14:paraId="6FE5F69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4.64</w:t>
            </w:r>
          </w:p>
        </w:tc>
        <w:tc>
          <w:tcPr>
            <w:tcW w:w="870" w:type="dxa"/>
            <w:tcBorders>
              <w:top w:val="nil"/>
              <w:left w:val="nil"/>
              <w:bottom w:val="single" w:color="auto" w:sz="4" w:space="0"/>
              <w:right w:val="single" w:color="auto" w:sz="4" w:space="0"/>
            </w:tcBorders>
            <w:vAlign w:val="center"/>
          </w:tcPr>
          <w:p w14:paraId="433BF75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w:t>
            </w:r>
          </w:p>
        </w:tc>
        <w:tc>
          <w:tcPr>
            <w:tcW w:w="1417" w:type="dxa"/>
            <w:tcBorders>
              <w:top w:val="nil"/>
              <w:left w:val="nil"/>
              <w:bottom w:val="single" w:color="auto" w:sz="4" w:space="0"/>
              <w:right w:val="single" w:color="auto" w:sz="4" w:space="0"/>
            </w:tcBorders>
            <w:vAlign w:val="center"/>
          </w:tcPr>
          <w:p w14:paraId="3140B9D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9280</w:t>
            </w:r>
          </w:p>
        </w:tc>
        <w:tc>
          <w:tcPr>
            <w:tcW w:w="2860" w:type="dxa"/>
            <w:tcBorders>
              <w:top w:val="nil"/>
              <w:left w:val="nil"/>
              <w:bottom w:val="single" w:color="auto" w:sz="4" w:space="0"/>
              <w:right w:val="single" w:color="auto" w:sz="4" w:space="0"/>
            </w:tcBorders>
            <w:vAlign w:val="center"/>
          </w:tcPr>
          <w:p w14:paraId="2244CCA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090070F">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6D1FE7D3">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53</w:t>
            </w:r>
          </w:p>
        </w:tc>
        <w:tc>
          <w:tcPr>
            <w:tcW w:w="2740" w:type="dxa"/>
            <w:tcBorders>
              <w:top w:val="nil"/>
              <w:left w:val="nil"/>
              <w:bottom w:val="single" w:color="000000" w:sz="4" w:space="0"/>
              <w:right w:val="single" w:color="000000" w:sz="4" w:space="0"/>
            </w:tcBorders>
            <w:vAlign w:val="center"/>
          </w:tcPr>
          <w:p w14:paraId="06A29B80">
            <w:pPr>
              <w:widowControl/>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路树刷白</w:t>
            </w:r>
          </w:p>
        </w:tc>
        <w:tc>
          <w:tcPr>
            <w:tcW w:w="700" w:type="dxa"/>
            <w:tcBorders>
              <w:top w:val="nil"/>
              <w:left w:val="nil"/>
              <w:bottom w:val="single" w:color="000000" w:sz="4" w:space="0"/>
              <w:right w:val="single" w:color="000000" w:sz="4" w:space="0"/>
            </w:tcBorders>
            <w:vAlign w:val="center"/>
          </w:tcPr>
          <w:p w14:paraId="62EE3712">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株</w:t>
            </w:r>
          </w:p>
        </w:tc>
        <w:tc>
          <w:tcPr>
            <w:tcW w:w="1192" w:type="dxa"/>
            <w:tcBorders>
              <w:top w:val="nil"/>
              <w:left w:val="nil"/>
              <w:bottom w:val="single" w:color="auto" w:sz="4" w:space="0"/>
              <w:right w:val="single" w:color="auto" w:sz="4" w:space="0"/>
            </w:tcBorders>
            <w:vAlign w:val="center"/>
          </w:tcPr>
          <w:p w14:paraId="4E37395D">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5.6</w:t>
            </w:r>
          </w:p>
        </w:tc>
        <w:tc>
          <w:tcPr>
            <w:tcW w:w="870" w:type="dxa"/>
            <w:tcBorders>
              <w:top w:val="nil"/>
              <w:left w:val="nil"/>
              <w:bottom w:val="single" w:color="auto" w:sz="4" w:space="0"/>
              <w:right w:val="single" w:color="auto" w:sz="4" w:space="0"/>
            </w:tcBorders>
            <w:vAlign w:val="center"/>
          </w:tcPr>
          <w:p w14:paraId="3749478E">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500</w:t>
            </w:r>
          </w:p>
        </w:tc>
        <w:tc>
          <w:tcPr>
            <w:tcW w:w="1417" w:type="dxa"/>
            <w:tcBorders>
              <w:top w:val="nil"/>
              <w:left w:val="nil"/>
              <w:bottom w:val="single" w:color="auto" w:sz="4" w:space="0"/>
              <w:right w:val="single" w:color="auto" w:sz="4" w:space="0"/>
            </w:tcBorders>
            <w:vAlign w:val="center"/>
          </w:tcPr>
          <w:p w14:paraId="0C86AE64">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2800</w:t>
            </w:r>
          </w:p>
        </w:tc>
        <w:tc>
          <w:tcPr>
            <w:tcW w:w="2860" w:type="dxa"/>
            <w:tcBorders>
              <w:top w:val="nil"/>
              <w:left w:val="nil"/>
              <w:bottom w:val="single" w:color="auto" w:sz="4" w:space="0"/>
              <w:right w:val="single" w:color="auto" w:sz="4" w:space="0"/>
            </w:tcBorders>
            <w:vAlign w:val="center"/>
          </w:tcPr>
          <w:p w14:paraId="0BF6B636">
            <w:pPr>
              <w:widowControl/>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高度</w:t>
            </w:r>
            <w:r>
              <w:rPr>
                <w:rFonts w:hint="eastAsia" w:ascii="宋体" w:hAnsi="宋体" w:cs="宋体"/>
                <w:color w:val="auto"/>
                <w:kern w:val="0"/>
                <w:sz w:val="24"/>
                <w:highlight w:val="none"/>
                <w:lang w:val="en-US" w:eastAsia="zh-CN"/>
              </w:rPr>
              <w:t>1米；该单价适用于刷白其他设施（每米）</w:t>
            </w:r>
          </w:p>
        </w:tc>
      </w:tr>
      <w:tr w14:paraId="732355BB">
        <w:tblPrEx>
          <w:tblCellMar>
            <w:top w:w="0" w:type="dxa"/>
            <w:left w:w="108" w:type="dxa"/>
            <w:bottom w:w="0" w:type="dxa"/>
            <w:right w:w="108" w:type="dxa"/>
          </w:tblCellMar>
        </w:tblPrEx>
        <w:trPr>
          <w:trHeight w:val="285" w:hRule="atLeast"/>
        </w:trPr>
        <w:tc>
          <w:tcPr>
            <w:tcW w:w="621" w:type="dxa"/>
            <w:tcBorders>
              <w:top w:val="nil"/>
              <w:left w:val="single" w:color="auto" w:sz="4" w:space="0"/>
              <w:bottom w:val="single" w:color="auto" w:sz="4" w:space="0"/>
              <w:right w:val="single" w:color="auto" w:sz="4" w:space="0"/>
            </w:tcBorders>
            <w:vAlign w:val="center"/>
          </w:tcPr>
          <w:p w14:paraId="1C809901">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en-US" w:eastAsia="zh-CN"/>
              </w:rPr>
              <w:t>4</w:t>
            </w:r>
          </w:p>
        </w:tc>
        <w:tc>
          <w:tcPr>
            <w:tcW w:w="2740" w:type="dxa"/>
            <w:tcBorders>
              <w:top w:val="nil"/>
              <w:left w:val="nil"/>
              <w:bottom w:val="single" w:color="000000" w:sz="4" w:space="0"/>
              <w:right w:val="single" w:color="000000" w:sz="4" w:space="0"/>
            </w:tcBorders>
            <w:vAlign w:val="center"/>
          </w:tcPr>
          <w:p w14:paraId="5C274FE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修剪灌木</w:t>
            </w:r>
          </w:p>
        </w:tc>
        <w:tc>
          <w:tcPr>
            <w:tcW w:w="700" w:type="dxa"/>
            <w:tcBorders>
              <w:top w:val="nil"/>
              <w:left w:val="nil"/>
              <w:bottom w:val="single" w:color="000000" w:sz="4" w:space="0"/>
              <w:right w:val="single" w:color="000000" w:sz="4" w:space="0"/>
            </w:tcBorders>
            <w:vAlign w:val="center"/>
          </w:tcPr>
          <w:p w14:paraId="690EF2E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株</w:t>
            </w:r>
          </w:p>
        </w:tc>
        <w:tc>
          <w:tcPr>
            <w:tcW w:w="1192" w:type="dxa"/>
            <w:tcBorders>
              <w:top w:val="nil"/>
              <w:left w:val="nil"/>
              <w:bottom w:val="single" w:color="auto" w:sz="4" w:space="0"/>
              <w:right w:val="single" w:color="auto" w:sz="4" w:space="0"/>
            </w:tcBorders>
            <w:vAlign w:val="center"/>
          </w:tcPr>
          <w:p w14:paraId="55D6AA4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1.41</w:t>
            </w:r>
          </w:p>
        </w:tc>
        <w:tc>
          <w:tcPr>
            <w:tcW w:w="870" w:type="dxa"/>
            <w:tcBorders>
              <w:top w:val="nil"/>
              <w:left w:val="nil"/>
              <w:bottom w:val="single" w:color="auto" w:sz="4" w:space="0"/>
              <w:right w:val="single" w:color="auto" w:sz="4" w:space="0"/>
            </w:tcBorders>
            <w:vAlign w:val="center"/>
          </w:tcPr>
          <w:p w14:paraId="3F2786F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w:t>
            </w:r>
          </w:p>
        </w:tc>
        <w:tc>
          <w:tcPr>
            <w:tcW w:w="1417" w:type="dxa"/>
            <w:tcBorders>
              <w:top w:val="nil"/>
              <w:left w:val="nil"/>
              <w:bottom w:val="single" w:color="auto" w:sz="4" w:space="0"/>
              <w:right w:val="single" w:color="auto" w:sz="4" w:space="0"/>
            </w:tcBorders>
            <w:vAlign w:val="center"/>
          </w:tcPr>
          <w:p w14:paraId="6AC7C73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2820</w:t>
            </w:r>
          </w:p>
        </w:tc>
        <w:tc>
          <w:tcPr>
            <w:tcW w:w="2860" w:type="dxa"/>
            <w:tcBorders>
              <w:top w:val="nil"/>
              <w:left w:val="nil"/>
              <w:bottom w:val="single" w:color="auto" w:sz="4" w:space="0"/>
              <w:right w:val="single" w:color="auto" w:sz="4" w:space="0"/>
            </w:tcBorders>
            <w:vAlign w:val="center"/>
          </w:tcPr>
          <w:p w14:paraId="4BAC417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86C8369">
        <w:tblPrEx>
          <w:tblCellMar>
            <w:top w:w="0" w:type="dxa"/>
            <w:left w:w="108" w:type="dxa"/>
            <w:bottom w:w="0" w:type="dxa"/>
            <w:right w:w="108" w:type="dxa"/>
          </w:tblCellMar>
        </w:tblPrEx>
        <w:trPr>
          <w:trHeight w:val="855" w:hRule="atLeast"/>
        </w:trPr>
        <w:tc>
          <w:tcPr>
            <w:tcW w:w="621" w:type="dxa"/>
            <w:tcBorders>
              <w:top w:val="nil"/>
              <w:left w:val="single" w:color="auto" w:sz="4" w:space="0"/>
              <w:bottom w:val="single" w:color="auto" w:sz="4" w:space="0"/>
              <w:right w:val="single" w:color="auto" w:sz="4" w:space="0"/>
            </w:tcBorders>
            <w:vAlign w:val="center"/>
          </w:tcPr>
          <w:p w14:paraId="0AD0FC6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w:t>
            </w:r>
          </w:p>
        </w:tc>
        <w:tc>
          <w:tcPr>
            <w:tcW w:w="2740" w:type="dxa"/>
            <w:tcBorders>
              <w:top w:val="nil"/>
              <w:left w:val="nil"/>
              <w:bottom w:val="single" w:color="auto" w:sz="4" w:space="0"/>
              <w:right w:val="single" w:color="auto" w:sz="4" w:space="0"/>
            </w:tcBorders>
            <w:vAlign w:val="center"/>
          </w:tcPr>
          <w:p w14:paraId="24EDF730">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安全生产</w:t>
            </w:r>
          </w:p>
        </w:tc>
        <w:tc>
          <w:tcPr>
            <w:tcW w:w="700" w:type="dxa"/>
            <w:tcBorders>
              <w:top w:val="nil"/>
              <w:left w:val="nil"/>
              <w:bottom w:val="single" w:color="auto" w:sz="4" w:space="0"/>
              <w:right w:val="single" w:color="auto" w:sz="4" w:space="0"/>
            </w:tcBorders>
            <w:vAlign w:val="center"/>
          </w:tcPr>
          <w:p w14:paraId="1D2B394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总额</w:t>
            </w:r>
          </w:p>
        </w:tc>
        <w:tc>
          <w:tcPr>
            <w:tcW w:w="1192" w:type="dxa"/>
            <w:tcBorders>
              <w:top w:val="nil"/>
              <w:left w:val="nil"/>
              <w:bottom w:val="single" w:color="auto" w:sz="4" w:space="0"/>
              <w:right w:val="single" w:color="auto" w:sz="4" w:space="0"/>
            </w:tcBorders>
            <w:vAlign w:val="center"/>
          </w:tcPr>
          <w:p w14:paraId="13362608">
            <w:pPr>
              <w:widowControl/>
              <w:jc w:val="center"/>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63567.52</w:t>
            </w:r>
          </w:p>
        </w:tc>
        <w:tc>
          <w:tcPr>
            <w:tcW w:w="870" w:type="dxa"/>
            <w:tcBorders>
              <w:top w:val="nil"/>
              <w:left w:val="nil"/>
              <w:bottom w:val="single" w:color="auto" w:sz="4" w:space="0"/>
              <w:right w:val="single" w:color="auto" w:sz="4" w:space="0"/>
            </w:tcBorders>
            <w:vAlign w:val="center"/>
          </w:tcPr>
          <w:p w14:paraId="7FC9B6B9">
            <w:pPr>
              <w:widowControl/>
              <w:jc w:val="center"/>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1</w:t>
            </w:r>
          </w:p>
        </w:tc>
        <w:tc>
          <w:tcPr>
            <w:tcW w:w="1417" w:type="dxa"/>
            <w:tcBorders>
              <w:top w:val="nil"/>
              <w:left w:val="nil"/>
              <w:bottom w:val="single" w:color="auto" w:sz="4" w:space="0"/>
              <w:right w:val="single" w:color="auto" w:sz="4" w:space="0"/>
            </w:tcBorders>
            <w:vAlign w:val="center"/>
          </w:tcPr>
          <w:p w14:paraId="0B0F9D4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63567.52</w:t>
            </w:r>
          </w:p>
        </w:tc>
        <w:tc>
          <w:tcPr>
            <w:tcW w:w="2860" w:type="dxa"/>
            <w:tcBorders>
              <w:top w:val="nil"/>
              <w:left w:val="nil"/>
              <w:bottom w:val="single" w:color="auto" w:sz="4" w:space="0"/>
              <w:right w:val="single" w:color="auto" w:sz="4" w:space="0"/>
            </w:tcBorders>
            <w:vAlign w:val="center"/>
          </w:tcPr>
          <w:p w14:paraId="3C729D31">
            <w:pPr>
              <w:widowControl/>
              <w:jc w:val="left"/>
              <w:rPr>
                <w:rFonts w:ascii="宋体" w:hAnsi="宋体" w:cs="宋体"/>
                <w:color w:val="auto"/>
                <w:kern w:val="0"/>
                <w:sz w:val="24"/>
                <w:highlight w:val="none"/>
              </w:rPr>
            </w:pPr>
          </w:p>
        </w:tc>
      </w:tr>
      <w:tr w14:paraId="1A6E646D">
        <w:tblPrEx>
          <w:tblCellMar>
            <w:top w:w="0" w:type="dxa"/>
            <w:left w:w="108" w:type="dxa"/>
            <w:bottom w:w="0" w:type="dxa"/>
            <w:right w:w="108" w:type="dxa"/>
          </w:tblCellMar>
        </w:tblPrEx>
        <w:trPr>
          <w:trHeight w:val="855" w:hRule="atLeast"/>
        </w:trPr>
        <w:tc>
          <w:tcPr>
            <w:tcW w:w="621" w:type="dxa"/>
            <w:tcBorders>
              <w:top w:val="nil"/>
              <w:left w:val="single" w:color="auto" w:sz="4" w:space="0"/>
              <w:bottom w:val="single" w:color="auto" w:sz="4" w:space="0"/>
              <w:right w:val="single" w:color="auto" w:sz="4" w:space="0"/>
            </w:tcBorders>
            <w:vAlign w:val="center"/>
          </w:tcPr>
          <w:p w14:paraId="673A291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三</w:t>
            </w:r>
          </w:p>
        </w:tc>
        <w:tc>
          <w:tcPr>
            <w:tcW w:w="2740" w:type="dxa"/>
            <w:tcBorders>
              <w:top w:val="nil"/>
              <w:left w:val="nil"/>
              <w:bottom w:val="single" w:color="auto" w:sz="4" w:space="0"/>
              <w:right w:val="single" w:color="auto" w:sz="4" w:space="0"/>
            </w:tcBorders>
            <w:vAlign w:val="center"/>
          </w:tcPr>
          <w:p w14:paraId="36004D6D">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安全生产费责任险</w:t>
            </w:r>
          </w:p>
        </w:tc>
        <w:tc>
          <w:tcPr>
            <w:tcW w:w="700" w:type="dxa"/>
            <w:tcBorders>
              <w:top w:val="nil"/>
              <w:left w:val="nil"/>
              <w:bottom w:val="single" w:color="auto" w:sz="4" w:space="0"/>
              <w:right w:val="single" w:color="auto" w:sz="4" w:space="0"/>
            </w:tcBorders>
            <w:vAlign w:val="center"/>
          </w:tcPr>
          <w:p w14:paraId="5F8EC88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总额</w:t>
            </w:r>
          </w:p>
        </w:tc>
        <w:tc>
          <w:tcPr>
            <w:tcW w:w="1192" w:type="dxa"/>
            <w:tcBorders>
              <w:top w:val="nil"/>
              <w:left w:val="nil"/>
              <w:bottom w:val="single" w:color="auto" w:sz="4" w:space="0"/>
              <w:right w:val="single" w:color="auto" w:sz="4" w:space="0"/>
            </w:tcBorders>
            <w:vAlign w:val="center"/>
          </w:tcPr>
          <w:p w14:paraId="16C5BA8E">
            <w:pPr>
              <w:widowControl/>
              <w:jc w:val="center"/>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5916.67</w:t>
            </w:r>
          </w:p>
        </w:tc>
        <w:tc>
          <w:tcPr>
            <w:tcW w:w="870" w:type="dxa"/>
            <w:tcBorders>
              <w:top w:val="nil"/>
              <w:left w:val="nil"/>
              <w:bottom w:val="single" w:color="auto" w:sz="4" w:space="0"/>
              <w:right w:val="single" w:color="auto" w:sz="4" w:space="0"/>
            </w:tcBorders>
            <w:vAlign w:val="center"/>
          </w:tcPr>
          <w:p w14:paraId="6819A54B">
            <w:pPr>
              <w:widowControl/>
              <w:jc w:val="center"/>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1</w:t>
            </w:r>
          </w:p>
        </w:tc>
        <w:tc>
          <w:tcPr>
            <w:tcW w:w="1417" w:type="dxa"/>
            <w:tcBorders>
              <w:top w:val="nil"/>
              <w:left w:val="nil"/>
              <w:bottom w:val="single" w:color="auto" w:sz="4" w:space="0"/>
              <w:right w:val="single" w:color="auto" w:sz="4" w:space="0"/>
            </w:tcBorders>
            <w:vAlign w:val="center"/>
          </w:tcPr>
          <w:p w14:paraId="78876DF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5916.67</w:t>
            </w:r>
          </w:p>
        </w:tc>
        <w:tc>
          <w:tcPr>
            <w:tcW w:w="2860" w:type="dxa"/>
            <w:tcBorders>
              <w:top w:val="nil"/>
              <w:left w:val="nil"/>
              <w:bottom w:val="single" w:color="auto" w:sz="4" w:space="0"/>
              <w:right w:val="single" w:color="auto" w:sz="4" w:space="0"/>
            </w:tcBorders>
            <w:vAlign w:val="center"/>
          </w:tcPr>
          <w:p w14:paraId="1F626C44">
            <w:pPr>
              <w:widowControl/>
              <w:jc w:val="left"/>
              <w:rPr>
                <w:rFonts w:ascii="宋体" w:hAnsi="宋体" w:cs="宋体"/>
                <w:color w:val="auto"/>
                <w:kern w:val="0"/>
                <w:sz w:val="24"/>
                <w:highlight w:val="none"/>
              </w:rPr>
            </w:pPr>
          </w:p>
        </w:tc>
      </w:tr>
      <w:tr w14:paraId="57270922">
        <w:tblPrEx>
          <w:tblCellMar>
            <w:top w:w="0" w:type="dxa"/>
            <w:left w:w="108" w:type="dxa"/>
            <w:bottom w:w="0" w:type="dxa"/>
            <w:right w:w="108" w:type="dxa"/>
          </w:tblCellMar>
        </w:tblPrEx>
        <w:trPr>
          <w:trHeight w:val="855" w:hRule="atLeast"/>
        </w:trPr>
        <w:tc>
          <w:tcPr>
            <w:tcW w:w="621" w:type="dxa"/>
            <w:tcBorders>
              <w:top w:val="nil"/>
              <w:left w:val="single" w:color="auto" w:sz="4" w:space="0"/>
              <w:bottom w:val="single" w:color="auto" w:sz="4" w:space="0"/>
              <w:right w:val="single" w:color="auto" w:sz="4" w:space="0"/>
            </w:tcBorders>
            <w:vAlign w:val="center"/>
          </w:tcPr>
          <w:p w14:paraId="3E134B63">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四</w:t>
            </w:r>
          </w:p>
        </w:tc>
        <w:tc>
          <w:tcPr>
            <w:tcW w:w="2740" w:type="dxa"/>
            <w:tcBorders>
              <w:top w:val="nil"/>
              <w:left w:val="nil"/>
              <w:bottom w:val="single" w:color="auto" w:sz="4" w:space="0"/>
              <w:right w:val="single" w:color="auto" w:sz="4" w:space="0"/>
            </w:tcBorders>
            <w:vAlign w:val="center"/>
          </w:tcPr>
          <w:p w14:paraId="01D7D7C4">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应急专项费</w:t>
            </w:r>
          </w:p>
        </w:tc>
        <w:tc>
          <w:tcPr>
            <w:tcW w:w="700" w:type="dxa"/>
            <w:tcBorders>
              <w:top w:val="nil"/>
              <w:left w:val="nil"/>
              <w:bottom w:val="single" w:color="auto" w:sz="4" w:space="0"/>
              <w:right w:val="single" w:color="auto" w:sz="4" w:space="0"/>
            </w:tcBorders>
            <w:vAlign w:val="center"/>
          </w:tcPr>
          <w:p w14:paraId="096EBFA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总额</w:t>
            </w:r>
          </w:p>
        </w:tc>
        <w:tc>
          <w:tcPr>
            <w:tcW w:w="1192" w:type="dxa"/>
            <w:tcBorders>
              <w:top w:val="nil"/>
              <w:left w:val="nil"/>
              <w:bottom w:val="single" w:color="auto" w:sz="4" w:space="0"/>
              <w:right w:val="single" w:color="auto" w:sz="4" w:space="0"/>
            </w:tcBorders>
            <w:vAlign w:val="center"/>
          </w:tcPr>
          <w:p w14:paraId="0EE01E6F">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70" w:type="dxa"/>
            <w:tcBorders>
              <w:top w:val="nil"/>
              <w:left w:val="nil"/>
              <w:bottom w:val="single" w:color="auto" w:sz="4" w:space="0"/>
              <w:right w:val="single" w:color="auto" w:sz="4" w:space="0"/>
            </w:tcBorders>
            <w:vAlign w:val="center"/>
          </w:tcPr>
          <w:p w14:paraId="62DD4E6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17" w:type="dxa"/>
            <w:tcBorders>
              <w:top w:val="nil"/>
              <w:left w:val="nil"/>
              <w:bottom w:val="single" w:color="auto" w:sz="4" w:space="0"/>
              <w:right w:val="single" w:color="auto" w:sz="4" w:space="0"/>
            </w:tcBorders>
            <w:vAlign w:val="center"/>
          </w:tcPr>
          <w:p w14:paraId="0BAF075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150000</w:t>
            </w:r>
          </w:p>
        </w:tc>
        <w:tc>
          <w:tcPr>
            <w:tcW w:w="2860" w:type="dxa"/>
            <w:tcBorders>
              <w:top w:val="nil"/>
              <w:left w:val="nil"/>
              <w:bottom w:val="single" w:color="auto" w:sz="4" w:space="0"/>
              <w:right w:val="single" w:color="auto" w:sz="4" w:space="0"/>
            </w:tcBorders>
            <w:vAlign w:val="center"/>
          </w:tcPr>
          <w:p w14:paraId="10A08A2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抢险救灾应急费用，是对“小修保养及维护专项费”的补充，实报实销</w:t>
            </w:r>
          </w:p>
        </w:tc>
      </w:tr>
      <w:tr w14:paraId="67332D10">
        <w:tblPrEx>
          <w:tblCellMar>
            <w:top w:w="0" w:type="dxa"/>
            <w:left w:w="108" w:type="dxa"/>
            <w:bottom w:w="0" w:type="dxa"/>
            <w:right w:w="108" w:type="dxa"/>
          </w:tblCellMar>
        </w:tblPrEx>
        <w:trPr>
          <w:trHeight w:val="300" w:hRule="atLeast"/>
        </w:trPr>
        <w:tc>
          <w:tcPr>
            <w:tcW w:w="3361" w:type="dxa"/>
            <w:gridSpan w:val="2"/>
            <w:tcBorders>
              <w:top w:val="single" w:color="auto" w:sz="4" w:space="0"/>
              <w:left w:val="single" w:color="auto" w:sz="4" w:space="0"/>
              <w:bottom w:val="single" w:color="auto" w:sz="4" w:space="0"/>
              <w:right w:val="single" w:color="auto" w:sz="4" w:space="0"/>
            </w:tcBorders>
            <w:vAlign w:val="center"/>
          </w:tcPr>
          <w:p w14:paraId="44D7D43D">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合计（元）</w:t>
            </w:r>
          </w:p>
        </w:tc>
        <w:tc>
          <w:tcPr>
            <w:tcW w:w="700" w:type="dxa"/>
            <w:tcBorders>
              <w:top w:val="nil"/>
              <w:left w:val="nil"/>
              <w:bottom w:val="single" w:color="auto" w:sz="4" w:space="0"/>
              <w:right w:val="single" w:color="auto" w:sz="4" w:space="0"/>
            </w:tcBorders>
            <w:vAlign w:val="center"/>
          </w:tcPr>
          <w:p w14:paraId="0C6A7F3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2" w:type="dxa"/>
            <w:tcBorders>
              <w:top w:val="nil"/>
              <w:left w:val="nil"/>
              <w:bottom w:val="single" w:color="auto" w:sz="4" w:space="0"/>
              <w:right w:val="single" w:color="auto" w:sz="4" w:space="0"/>
            </w:tcBorders>
            <w:vAlign w:val="center"/>
          </w:tcPr>
          <w:p w14:paraId="1882A19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70" w:type="dxa"/>
            <w:tcBorders>
              <w:top w:val="nil"/>
              <w:left w:val="nil"/>
              <w:bottom w:val="single" w:color="auto" w:sz="4" w:space="0"/>
              <w:right w:val="single" w:color="auto" w:sz="4" w:space="0"/>
            </w:tcBorders>
            <w:vAlign w:val="center"/>
          </w:tcPr>
          <w:p w14:paraId="23D0189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17" w:type="dxa"/>
            <w:tcBorders>
              <w:top w:val="nil"/>
              <w:left w:val="nil"/>
              <w:bottom w:val="single" w:color="auto" w:sz="4" w:space="0"/>
              <w:right w:val="single" w:color="auto" w:sz="4" w:space="0"/>
            </w:tcBorders>
            <w:vAlign w:val="center"/>
          </w:tcPr>
          <w:p w14:paraId="1293BB5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43</w:t>
            </w:r>
            <w:r>
              <w:rPr>
                <w:rFonts w:hint="eastAsia" w:ascii="宋体" w:hAnsi="宋体" w:cs="宋体"/>
                <w:color w:val="auto"/>
                <w:kern w:val="0"/>
                <w:sz w:val="24"/>
                <w:highlight w:val="none"/>
                <w:lang w:val="en-US" w:eastAsia="zh-CN"/>
              </w:rPr>
              <w:t>10119.12</w:t>
            </w:r>
            <w:r>
              <w:rPr>
                <w:rFonts w:hint="eastAsia" w:ascii="宋体" w:hAnsi="宋体" w:cs="宋体"/>
                <w:color w:val="auto"/>
                <w:kern w:val="0"/>
                <w:sz w:val="24"/>
                <w:highlight w:val="none"/>
              </w:rPr>
              <w:t xml:space="preserve"> </w:t>
            </w:r>
          </w:p>
        </w:tc>
        <w:tc>
          <w:tcPr>
            <w:tcW w:w="2860" w:type="dxa"/>
            <w:tcBorders>
              <w:top w:val="nil"/>
              <w:left w:val="nil"/>
              <w:bottom w:val="single" w:color="auto" w:sz="4" w:space="0"/>
              <w:right w:val="single" w:color="auto" w:sz="4" w:space="0"/>
            </w:tcBorders>
            <w:vAlign w:val="center"/>
          </w:tcPr>
          <w:p w14:paraId="6072F0A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98D0C6B">
        <w:tblPrEx>
          <w:tblCellMar>
            <w:top w:w="0" w:type="dxa"/>
            <w:left w:w="108" w:type="dxa"/>
            <w:bottom w:w="0" w:type="dxa"/>
            <w:right w:w="108" w:type="dxa"/>
          </w:tblCellMar>
        </w:tblPrEx>
        <w:trPr>
          <w:trHeight w:val="285" w:hRule="atLeast"/>
        </w:trPr>
        <w:tc>
          <w:tcPr>
            <w:tcW w:w="10400" w:type="dxa"/>
            <w:gridSpan w:val="7"/>
            <w:tcBorders>
              <w:top w:val="single" w:color="auto" w:sz="4" w:space="0"/>
              <w:left w:val="nil"/>
              <w:bottom w:val="nil"/>
              <w:right w:val="nil"/>
            </w:tcBorders>
            <w:vAlign w:val="center"/>
          </w:tcPr>
          <w:p w14:paraId="2DF94CB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说明：</w:t>
            </w:r>
          </w:p>
        </w:tc>
      </w:tr>
      <w:tr w14:paraId="771C999D">
        <w:tblPrEx>
          <w:tblCellMar>
            <w:top w:w="0" w:type="dxa"/>
            <w:left w:w="108" w:type="dxa"/>
            <w:bottom w:w="0" w:type="dxa"/>
            <w:right w:w="108" w:type="dxa"/>
          </w:tblCellMar>
        </w:tblPrEx>
        <w:trPr>
          <w:trHeight w:val="285" w:hRule="atLeast"/>
        </w:trPr>
        <w:tc>
          <w:tcPr>
            <w:tcW w:w="10400" w:type="dxa"/>
            <w:gridSpan w:val="7"/>
            <w:tcBorders>
              <w:top w:val="nil"/>
              <w:left w:val="nil"/>
              <w:bottom w:val="nil"/>
              <w:right w:val="nil"/>
            </w:tcBorders>
            <w:vAlign w:val="center"/>
          </w:tcPr>
          <w:p w14:paraId="4BA2154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1、所列单价均已包含相关费用，不另计列。</w:t>
            </w:r>
          </w:p>
        </w:tc>
      </w:tr>
      <w:tr w14:paraId="0F1E2A10">
        <w:tblPrEx>
          <w:tblCellMar>
            <w:top w:w="0" w:type="dxa"/>
            <w:left w:w="108" w:type="dxa"/>
            <w:bottom w:w="0" w:type="dxa"/>
            <w:right w:w="108" w:type="dxa"/>
          </w:tblCellMar>
        </w:tblPrEx>
        <w:trPr>
          <w:trHeight w:val="285" w:hRule="atLeast"/>
        </w:trPr>
        <w:tc>
          <w:tcPr>
            <w:tcW w:w="10400" w:type="dxa"/>
            <w:gridSpan w:val="7"/>
            <w:tcBorders>
              <w:top w:val="nil"/>
              <w:left w:val="nil"/>
              <w:bottom w:val="nil"/>
              <w:right w:val="nil"/>
            </w:tcBorders>
            <w:vAlign w:val="center"/>
          </w:tcPr>
          <w:p w14:paraId="6BA39EB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2、日常保养、维修专项费表所列数量均为预估计，具体以业主签发为准。业主可以根据养护工作实际情况，调整各分项工程数量,调整的比例不受限制，但总价不能超过日常保养、维修专项费的合计价格。</w:t>
            </w:r>
          </w:p>
        </w:tc>
      </w:tr>
      <w:tr w14:paraId="2C8BA792">
        <w:tblPrEx>
          <w:tblCellMar>
            <w:top w:w="0" w:type="dxa"/>
            <w:left w:w="108" w:type="dxa"/>
            <w:bottom w:w="0" w:type="dxa"/>
            <w:right w:w="108" w:type="dxa"/>
          </w:tblCellMar>
        </w:tblPrEx>
        <w:trPr>
          <w:trHeight w:val="285" w:hRule="atLeast"/>
        </w:trPr>
        <w:tc>
          <w:tcPr>
            <w:tcW w:w="10400" w:type="dxa"/>
            <w:gridSpan w:val="7"/>
            <w:tcBorders>
              <w:top w:val="nil"/>
              <w:left w:val="nil"/>
              <w:bottom w:val="nil"/>
              <w:right w:val="nil"/>
            </w:tcBorders>
            <w:vAlign w:val="center"/>
          </w:tcPr>
          <w:p w14:paraId="494F01D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3、安全生产费为（一+四）×1.5%，不允许更改，否则报警将视为无效。安全生产费按实结算。</w:t>
            </w:r>
          </w:p>
        </w:tc>
      </w:tr>
      <w:tr w14:paraId="6B00103B">
        <w:tblPrEx>
          <w:tblCellMar>
            <w:top w:w="0" w:type="dxa"/>
            <w:left w:w="108" w:type="dxa"/>
            <w:bottom w:w="0" w:type="dxa"/>
            <w:right w:w="108" w:type="dxa"/>
          </w:tblCellMar>
        </w:tblPrEx>
        <w:trPr>
          <w:trHeight w:val="285" w:hRule="atLeast"/>
        </w:trPr>
        <w:tc>
          <w:tcPr>
            <w:tcW w:w="10400" w:type="dxa"/>
            <w:gridSpan w:val="7"/>
            <w:tcBorders>
              <w:top w:val="nil"/>
              <w:left w:val="nil"/>
              <w:bottom w:val="nil"/>
              <w:right w:val="nil"/>
            </w:tcBorders>
            <w:vAlign w:val="center"/>
          </w:tcPr>
          <w:p w14:paraId="3FD2E1CE">
            <w:pPr>
              <w:widowControl/>
              <w:numPr>
                <w:ilvl w:val="0"/>
                <w:numId w:val="11"/>
              </w:numPr>
              <w:jc w:val="left"/>
              <w:rPr>
                <w:rFonts w:ascii="宋体" w:hAnsi="宋体" w:cs="宋体"/>
                <w:color w:val="auto"/>
                <w:kern w:val="0"/>
                <w:sz w:val="24"/>
                <w:highlight w:val="none"/>
              </w:rPr>
            </w:pPr>
            <w:r>
              <w:rPr>
                <w:rFonts w:hint="eastAsia" w:ascii="宋体" w:hAnsi="宋体" w:cs="宋体"/>
                <w:color w:val="auto"/>
                <w:kern w:val="0"/>
                <w:sz w:val="24"/>
                <w:highlight w:val="none"/>
              </w:rPr>
              <w:t>日常巡查费：45000元，该费用按月总额包干支付，未完成相关工作的按相关规则扣减。</w:t>
            </w:r>
          </w:p>
          <w:p w14:paraId="596D7A6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5、应急专项费：150000元，不允许更改，否则报价将视为无效。</w:t>
            </w:r>
          </w:p>
        </w:tc>
      </w:tr>
      <w:tr w14:paraId="2C352B89">
        <w:tblPrEx>
          <w:tblCellMar>
            <w:top w:w="0" w:type="dxa"/>
            <w:left w:w="108" w:type="dxa"/>
            <w:bottom w:w="0" w:type="dxa"/>
            <w:right w:w="108" w:type="dxa"/>
          </w:tblCellMar>
        </w:tblPrEx>
        <w:trPr>
          <w:trHeight w:val="285" w:hRule="atLeast"/>
        </w:trPr>
        <w:tc>
          <w:tcPr>
            <w:tcW w:w="10400" w:type="dxa"/>
            <w:gridSpan w:val="7"/>
            <w:tcBorders>
              <w:top w:val="nil"/>
              <w:left w:val="nil"/>
              <w:bottom w:val="nil"/>
              <w:right w:val="nil"/>
            </w:tcBorders>
            <w:vAlign w:val="center"/>
          </w:tcPr>
          <w:p w14:paraId="522EC0E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6、上述单价是根据广西公路日常养护工程预算定额计算的综合单价，并下浮5%。</w:t>
            </w:r>
          </w:p>
        </w:tc>
      </w:tr>
    </w:tbl>
    <w:p w14:paraId="0787A7B1">
      <w:pPr>
        <w:jc w:val="left"/>
        <w:rPr>
          <w:rFonts w:ascii="宋体"/>
          <w:b/>
          <w:color w:val="auto"/>
          <w:sz w:val="24"/>
          <w:highlight w:val="none"/>
        </w:rPr>
      </w:pPr>
      <w:r>
        <w:rPr>
          <w:rFonts w:hint="eastAsia" w:ascii="宋体"/>
          <w:b/>
          <w:color w:val="auto"/>
          <w:sz w:val="24"/>
          <w:highlight w:val="none"/>
        </w:rPr>
        <w:t>注意：本表为采购人计列招标上限预算价和各分项工作限额价专用</w:t>
      </w:r>
      <w:r>
        <w:rPr>
          <w:rFonts w:hint="eastAsia" w:ascii="宋体"/>
          <w:b/>
          <w:color w:val="auto"/>
          <w:sz w:val="24"/>
          <w:highlight w:val="none"/>
        </w:rPr>
        <w:t>，以便投标人确定报价符合招标文件要求。</w:t>
      </w:r>
    </w:p>
    <w:p w14:paraId="5A6705EA">
      <w:pPr>
        <w:spacing w:line="300" w:lineRule="auto"/>
        <w:jc w:val="left"/>
        <w:rPr>
          <w:b/>
          <w:color w:val="auto"/>
          <w:sz w:val="24"/>
          <w:highlight w:val="none"/>
        </w:rPr>
      </w:pPr>
      <w:r>
        <w:rPr>
          <w:rFonts w:hint="eastAsia"/>
          <w:b/>
          <w:color w:val="auto"/>
          <w:sz w:val="24"/>
          <w:highlight w:val="none"/>
        </w:rPr>
        <w:t>7</w:t>
      </w:r>
      <w:r>
        <w:rPr>
          <w:b/>
          <w:color w:val="auto"/>
          <w:sz w:val="24"/>
          <w:highlight w:val="none"/>
        </w:rPr>
        <w:t>.</w:t>
      </w:r>
      <w:r>
        <w:rPr>
          <w:rFonts w:hint="eastAsia"/>
          <w:b/>
          <w:color w:val="auto"/>
          <w:sz w:val="24"/>
          <w:highlight w:val="none"/>
        </w:rPr>
        <w:t>服务质量综合评价与日常保养费调整</w:t>
      </w:r>
    </w:p>
    <w:p w14:paraId="53289437">
      <w:pPr>
        <w:spacing w:line="360" w:lineRule="auto"/>
        <w:jc w:val="left"/>
        <w:rPr>
          <w:rFonts w:ascii="宋体"/>
          <w:b/>
          <w:color w:val="auto"/>
          <w:sz w:val="24"/>
          <w:highlight w:val="none"/>
        </w:rPr>
      </w:pPr>
      <w:r>
        <w:rPr>
          <w:rFonts w:hint="eastAsia" w:ascii="宋体" w:hAnsi="宋体"/>
          <w:b/>
          <w:color w:val="auto"/>
          <w:sz w:val="24"/>
          <w:highlight w:val="none"/>
        </w:rPr>
        <w:t>7</w:t>
      </w:r>
      <w:r>
        <w:rPr>
          <w:rFonts w:ascii="宋体" w:hAnsi="宋体"/>
          <w:b/>
          <w:color w:val="auto"/>
          <w:sz w:val="24"/>
          <w:highlight w:val="none"/>
        </w:rPr>
        <w:t xml:space="preserve">.1 </w:t>
      </w:r>
      <w:r>
        <w:rPr>
          <w:rFonts w:hint="eastAsia" w:ascii="宋体" w:hAnsi="宋体"/>
          <w:b/>
          <w:color w:val="auto"/>
          <w:sz w:val="24"/>
          <w:highlight w:val="none"/>
        </w:rPr>
        <w:t>服务质量综合评价</w:t>
      </w:r>
    </w:p>
    <w:p w14:paraId="2B50886E">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w:t>
      </w:r>
      <w:r>
        <w:rPr>
          <w:rFonts w:ascii="宋体" w:hAnsi="宋体" w:cs="宋体"/>
          <w:color w:val="auto"/>
          <w:kern w:val="0"/>
          <w:sz w:val="24"/>
          <w:highlight w:val="none"/>
        </w:rPr>
        <w:t xml:space="preserve">.1.1  </w:t>
      </w:r>
      <w:r>
        <w:rPr>
          <w:rFonts w:hint="eastAsia" w:ascii="宋体" w:hAnsi="宋体" w:cs="宋体"/>
          <w:color w:val="auto"/>
          <w:kern w:val="0"/>
          <w:sz w:val="24"/>
          <w:highlight w:val="none"/>
        </w:rPr>
        <w:t>中标人根据招标文件要求和合同约定，以及工作需要，每月定期和不定期对招标项目的服务质量进行巡查、抽检，巡查、抽查的方法包括现场巡查和内业检查，外业主要巡查路况、抽检完成工作数量和质量、检查安全生产、中标人人员和机械到位情况，内业检查中标人按招标文件提交的报表、资料等。</w:t>
      </w:r>
    </w:p>
    <w:p w14:paraId="7A2A63F9">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7.1.2采购人根据巡查、检查的结果，计算中标人当月完成工作量的综合百分比，并签发月度服务质量综合评价表。服务质量综合评价采用量化打分方式，评价等级分为合格、不合格、严重违约三档。服务质量综合评价实得分75分及以上，且养护质量评价为75分及以上为合格，45～75分为不合格，45分以下为严重违约。评价分=∑各部实得分×权值。</w:t>
      </w:r>
    </w:p>
    <w:p w14:paraId="5FE59980">
      <w:pPr>
        <w:spacing w:line="360" w:lineRule="auto"/>
        <w:jc w:val="center"/>
        <w:rPr>
          <w:rFonts w:ascii="黑体" w:eastAsia="黑体"/>
          <w:b/>
          <w:color w:val="auto"/>
          <w:sz w:val="36"/>
          <w:szCs w:val="36"/>
          <w:highlight w:val="none"/>
        </w:rPr>
      </w:pPr>
      <w:r>
        <w:rPr>
          <w:rFonts w:hint="eastAsia" w:ascii="黑体" w:eastAsia="黑体"/>
          <w:b/>
          <w:color w:val="auto"/>
          <w:sz w:val="36"/>
          <w:szCs w:val="36"/>
          <w:highlight w:val="none"/>
        </w:rPr>
        <w:t>养护服务月度综合评价表标准格式</w:t>
      </w:r>
    </w:p>
    <w:p w14:paraId="06AEED4C">
      <w:pPr>
        <w:jc w:val="center"/>
        <w:rPr>
          <w:rFonts w:ascii="黑体" w:eastAsia="黑体"/>
          <w:b/>
          <w:color w:val="auto"/>
          <w:sz w:val="30"/>
          <w:szCs w:val="30"/>
          <w:highlight w:val="none"/>
        </w:rPr>
      </w:pPr>
      <w:r>
        <w:rPr>
          <w:rFonts w:hint="eastAsia" w:ascii="黑体" w:eastAsia="黑体"/>
          <w:b/>
          <w:color w:val="auto"/>
          <w:sz w:val="30"/>
          <w:szCs w:val="30"/>
          <w:highlight w:val="none"/>
        </w:rPr>
        <w:t xml:space="preserve"> </w:t>
      </w:r>
      <w:r>
        <w:rPr>
          <w:rFonts w:hint="eastAsia" w:ascii="黑体" w:eastAsia="黑体"/>
          <w:b/>
          <w:color w:val="auto"/>
          <w:sz w:val="30"/>
          <w:szCs w:val="30"/>
          <w:highlight w:val="none"/>
          <w:u w:val="single"/>
        </w:rPr>
        <w:t xml:space="preserve">            </w:t>
      </w:r>
      <w:r>
        <w:rPr>
          <w:rFonts w:hint="eastAsia" w:ascii="黑体" w:eastAsia="黑体"/>
          <w:b/>
          <w:color w:val="auto"/>
          <w:sz w:val="30"/>
          <w:szCs w:val="30"/>
          <w:highlight w:val="none"/>
        </w:rPr>
        <w:t>县（区）农村公路养护服务月度综合评价表</w:t>
      </w:r>
    </w:p>
    <w:p w14:paraId="3C294900">
      <w:pPr>
        <w:jc w:val="center"/>
        <w:rPr>
          <w:rFonts w:ascii="宋体" w:hAnsi="宋体"/>
          <w:color w:val="auto"/>
          <w:sz w:val="24"/>
          <w:highlight w:val="none"/>
        </w:rPr>
      </w:pPr>
      <w:r>
        <w:rPr>
          <w:rFonts w:hint="eastAsia" w:ascii="宋体" w:hAnsi="宋体"/>
          <w:color w:val="auto"/>
          <w:sz w:val="24"/>
          <w:highlight w:val="none"/>
        </w:rPr>
        <w:t>（第</w:t>
      </w:r>
      <w:r>
        <w:rPr>
          <w:rFonts w:hint="eastAsia" w:ascii="宋体" w:hAnsi="宋体"/>
          <w:color w:val="auto"/>
          <w:sz w:val="24"/>
          <w:highlight w:val="none"/>
          <w:u w:val="single"/>
        </w:rPr>
        <w:t xml:space="preserve">   </w:t>
      </w:r>
      <w:r>
        <w:rPr>
          <w:rFonts w:hint="eastAsia" w:ascii="宋体" w:hAnsi="宋体"/>
          <w:color w:val="auto"/>
          <w:sz w:val="24"/>
          <w:highlight w:val="none"/>
        </w:rPr>
        <w:t>期    起止时间：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日至</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bl>
      <w:tblPr>
        <w:tblStyle w:val="2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00"/>
        <w:gridCol w:w="1080"/>
        <w:gridCol w:w="1080"/>
        <w:gridCol w:w="3060"/>
      </w:tblGrid>
      <w:tr w14:paraId="62E9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5F2AA8CC">
            <w:pPr>
              <w:widowControl/>
              <w:snapToGrid w:val="0"/>
              <w:spacing w:line="270" w:lineRule="atLeast"/>
              <w:jc w:val="center"/>
              <w:rPr>
                <w:rFonts w:ascii="宋体" w:cs="宋体"/>
                <w:b/>
                <w:bCs/>
                <w:color w:val="auto"/>
                <w:spacing w:val="15"/>
                <w:kern w:val="0"/>
                <w:szCs w:val="21"/>
                <w:highlight w:val="none"/>
              </w:rPr>
            </w:pPr>
            <w:r>
              <w:rPr>
                <w:rFonts w:hint="eastAsia" w:ascii="宋体" w:cs="宋体"/>
                <w:b/>
                <w:bCs/>
                <w:color w:val="auto"/>
                <w:spacing w:val="15"/>
                <w:kern w:val="0"/>
                <w:szCs w:val="21"/>
                <w:highlight w:val="none"/>
              </w:rPr>
              <w:t>项次</w:t>
            </w:r>
          </w:p>
        </w:tc>
        <w:tc>
          <w:tcPr>
            <w:tcW w:w="3600" w:type="dxa"/>
            <w:vAlign w:val="center"/>
          </w:tcPr>
          <w:p w14:paraId="01A8719F">
            <w:pPr>
              <w:widowControl/>
              <w:snapToGrid w:val="0"/>
              <w:spacing w:line="270" w:lineRule="atLeast"/>
              <w:jc w:val="center"/>
              <w:rPr>
                <w:rFonts w:ascii="宋体" w:cs="宋体"/>
                <w:b/>
                <w:bCs/>
                <w:color w:val="auto"/>
                <w:spacing w:val="15"/>
                <w:kern w:val="0"/>
                <w:szCs w:val="21"/>
                <w:highlight w:val="none"/>
              </w:rPr>
            </w:pPr>
            <w:r>
              <w:rPr>
                <w:rFonts w:hint="eastAsia" w:ascii="宋体" w:cs="宋体"/>
                <w:b/>
                <w:bCs/>
                <w:color w:val="auto"/>
                <w:spacing w:val="15"/>
                <w:kern w:val="0"/>
                <w:szCs w:val="21"/>
                <w:highlight w:val="none"/>
              </w:rPr>
              <w:t>检查项目</w:t>
            </w:r>
          </w:p>
        </w:tc>
        <w:tc>
          <w:tcPr>
            <w:tcW w:w="1080" w:type="dxa"/>
            <w:vAlign w:val="center"/>
          </w:tcPr>
          <w:p w14:paraId="0AD229D7">
            <w:pPr>
              <w:widowControl/>
              <w:snapToGrid w:val="0"/>
              <w:spacing w:line="270" w:lineRule="atLeast"/>
              <w:jc w:val="center"/>
              <w:rPr>
                <w:rFonts w:ascii="宋体" w:cs="宋体"/>
                <w:b/>
                <w:bCs/>
                <w:color w:val="auto"/>
                <w:spacing w:val="15"/>
                <w:kern w:val="0"/>
                <w:szCs w:val="21"/>
                <w:highlight w:val="none"/>
              </w:rPr>
            </w:pPr>
            <w:r>
              <w:rPr>
                <w:rFonts w:hint="eastAsia" w:ascii="宋体" w:cs="宋体"/>
                <w:b/>
                <w:bCs/>
                <w:color w:val="auto"/>
                <w:spacing w:val="15"/>
                <w:kern w:val="0"/>
                <w:szCs w:val="21"/>
                <w:highlight w:val="none"/>
              </w:rPr>
              <w:t>赋分值</w:t>
            </w:r>
          </w:p>
        </w:tc>
        <w:tc>
          <w:tcPr>
            <w:tcW w:w="1080" w:type="dxa"/>
            <w:vAlign w:val="center"/>
          </w:tcPr>
          <w:p w14:paraId="0F4301CB">
            <w:pPr>
              <w:widowControl/>
              <w:snapToGrid w:val="0"/>
              <w:spacing w:line="270" w:lineRule="atLeast"/>
              <w:jc w:val="center"/>
              <w:rPr>
                <w:rFonts w:ascii="宋体" w:cs="宋体"/>
                <w:b/>
                <w:bCs/>
                <w:color w:val="auto"/>
                <w:spacing w:val="15"/>
                <w:kern w:val="0"/>
                <w:szCs w:val="21"/>
                <w:highlight w:val="none"/>
              </w:rPr>
            </w:pPr>
            <w:r>
              <w:rPr>
                <w:rFonts w:hint="eastAsia" w:ascii="宋体" w:cs="宋体"/>
                <w:b/>
                <w:bCs/>
                <w:color w:val="auto"/>
                <w:spacing w:val="15"/>
                <w:kern w:val="0"/>
                <w:szCs w:val="21"/>
                <w:highlight w:val="none"/>
              </w:rPr>
              <w:t>实得分</w:t>
            </w:r>
          </w:p>
        </w:tc>
        <w:tc>
          <w:tcPr>
            <w:tcW w:w="3060" w:type="dxa"/>
            <w:vAlign w:val="center"/>
          </w:tcPr>
          <w:p w14:paraId="4C6DA727">
            <w:pPr>
              <w:widowControl/>
              <w:snapToGrid w:val="0"/>
              <w:spacing w:line="270" w:lineRule="atLeast"/>
              <w:jc w:val="center"/>
              <w:rPr>
                <w:rFonts w:ascii="宋体" w:cs="宋体"/>
                <w:b/>
                <w:bCs/>
                <w:color w:val="auto"/>
                <w:spacing w:val="15"/>
                <w:kern w:val="0"/>
                <w:szCs w:val="21"/>
                <w:highlight w:val="none"/>
              </w:rPr>
            </w:pPr>
            <w:r>
              <w:rPr>
                <w:rFonts w:hint="eastAsia" w:ascii="宋体" w:cs="宋体"/>
                <w:b/>
                <w:bCs/>
                <w:color w:val="auto"/>
                <w:spacing w:val="15"/>
                <w:kern w:val="0"/>
                <w:szCs w:val="21"/>
                <w:highlight w:val="none"/>
              </w:rPr>
              <w:t>备注</w:t>
            </w:r>
          </w:p>
        </w:tc>
      </w:tr>
      <w:tr w14:paraId="1FC4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428" w:type="dxa"/>
            <w:gridSpan w:val="2"/>
            <w:vAlign w:val="center"/>
          </w:tcPr>
          <w:p w14:paraId="6521FCEB">
            <w:pPr>
              <w:widowControl/>
              <w:snapToGrid w:val="0"/>
              <w:spacing w:line="270" w:lineRule="atLeast"/>
              <w:jc w:val="center"/>
              <w:rPr>
                <w:rFonts w:ascii="宋体" w:cs="宋体"/>
                <w:b/>
                <w:bCs/>
                <w:color w:val="auto"/>
                <w:spacing w:val="15"/>
                <w:kern w:val="0"/>
                <w:szCs w:val="21"/>
                <w:highlight w:val="none"/>
              </w:rPr>
            </w:pPr>
            <w:r>
              <w:rPr>
                <w:rFonts w:hint="eastAsia" w:ascii="宋体" w:cs="宋体"/>
                <w:b/>
                <w:bCs/>
                <w:color w:val="auto"/>
                <w:spacing w:val="15"/>
                <w:kern w:val="0"/>
                <w:szCs w:val="21"/>
                <w:highlight w:val="none"/>
              </w:rPr>
              <w:t>第一部分</w:t>
            </w:r>
            <w:r>
              <w:rPr>
                <w:rFonts w:ascii="宋体" w:cs="宋体"/>
                <w:b/>
                <w:bCs/>
                <w:color w:val="auto"/>
                <w:spacing w:val="15"/>
                <w:kern w:val="0"/>
                <w:szCs w:val="21"/>
                <w:highlight w:val="none"/>
              </w:rPr>
              <w:t xml:space="preserve">  </w:t>
            </w:r>
            <w:r>
              <w:rPr>
                <w:rFonts w:hint="eastAsia" w:ascii="宋体" w:cs="宋体"/>
                <w:b/>
                <w:bCs/>
                <w:color w:val="auto"/>
                <w:spacing w:val="15"/>
                <w:kern w:val="0"/>
                <w:szCs w:val="21"/>
                <w:highlight w:val="none"/>
              </w:rPr>
              <w:t>日常巡查</w:t>
            </w:r>
          </w:p>
        </w:tc>
        <w:tc>
          <w:tcPr>
            <w:tcW w:w="1080" w:type="dxa"/>
            <w:vAlign w:val="center"/>
          </w:tcPr>
          <w:p w14:paraId="31A6C23C">
            <w:pPr>
              <w:widowControl/>
              <w:snapToGrid w:val="0"/>
              <w:spacing w:line="270" w:lineRule="atLeast"/>
              <w:jc w:val="center"/>
              <w:rPr>
                <w:rFonts w:ascii="宋体" w:cs="宋体"/>
                <w:b/>
                <w:bCs/>
                <w:color w:val="auto"/>
                <w:spacing w:val="15"/>
                <w:kern w:val="0"/>
                <w:szCs w:val="21"/>
                <w:highlight w:val="none"/>
              </w:rPr>
            </w:pPr>
          </w:p>
        </w:tc>
        <w:tc>
          <w:tcPr>
            <w:tcW w:w="1080" w:type="dxa"/>
            <w:vAlign w:val="center"/>
          </w:tcPr>
          <w:p w14:paraId="4C5ED398">
            <w:pPr>
              <w:widowControl/>
              <w:snapToGrid w:val="0"/>
              <w:spacing w:line="270" w:lineRule="atLeast"/>
              <w:jc w:val="center"/>
              <w:rPr>
                <w:rFonts w:ascii="宋体" w:cs="宋体"/>
                <w:b/>
                <w:bCs/>
                <w:color w:val="auto"/>
                <w:spacing w:val="15"/>
                <w:kern w:val="0"/>
                <w:szCs w:val="21"/>
                <w:highlight w:val="none"/>
              </w:rPr>
            </w:pPr>
          </w:p>
        </w:tc>
        <w:tc>
          <w:tcPr>
            <w:tcW w:w="3060" w:type="dxa"/>
            <w:vAlign w:val="center"/>
          </w:tcPr>
          <w:p w14:paraId="15217F96">
            <w:pPr>
              <w:widowControl/>
              <w:snapToGrid w:val="0"/>
              <w:spacing w:line="270" w:lineRule="atLeast"/>
              <w:jc w:val="center"/>
              <w:rPr>
                <w:rFonts w:ascii="宋体" w:cs="宋体"/>
                <w:b/>
                <w:bCs/>
                <w:color w:val="auto"/>
                <w:spacing w:val="15"/>
                <w:kern w:val="0"/>
                <w:szCs w:val="21"/>
                <w:highlight w:val="none"/>
              </w:rPr>
            </w:pPr>
            <w:r>
              <w:rPr>
                <w:rFonts w:hint="eastAsia" w:ascii="宋体" w:cs="宋体"/>
                <w:b/>
                <w:bCs/>
                <w:color w:val="auto"/>
                <w:spacing w:val="15"/>
                <w:kern w:val="0"/>
                <w:szCs w:val="21"/>
                <w:highlight w:val="none"/>
              </w:rPr>
              <w:t>权值为</w:t>
            </w:r>
            <w:r>
              <w:rPr>
                <w:rFonts w:ascii="宋体" w:cs="宋体"/>
                <w:b/>
                <w:bCs/>
                <w:color w:val="auto"/>
                <w:spacing w:val="15"/>
                <w:kern w:val="0"/>
                <w:szCs w:val="21"/>
                <w:highlight w:val="none"/>
              </w:rPr>
              <w:t>0.</w:t>
            </w:r>
            <w:r>
              <w:rPr>
                <w:rFonts w:hint="eastAsia" w:ascii="宋体" w:cs="宋体"/>
                <w:b/>
                <w:bCs/>
                <w:color w:val="auto"/>
                <w:spacing w:val="15"/>
                <w:kern w:val="0"/>
                <w:szCs w:val="21"/>
                <w:highlight w:val="none"/>
              </w:rPr>
              <w:t>2</w:t>
            </w:r>
          </w:p>
        </w:tc>
      </w:tr>
      <w:tr w14:paraId="5CEF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vAlign w:val="center"/>
          </w:tcPr>
          <w:p w14:paraId="025A6EF1">
            <w:pPr>
              <w:widowControl/>
              <w:snapToGrid w:val="0"/>
              <w:spacing w:line="27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1</w:t>
            </w:r>
          </w:p>
        </w:tc>
        <w:tc>
          <w:tcPr>
            <w:tcW w:w="3600" w:type="dxa"/>
            <w:vAlign w:val="center"/>
          </w:tcPr>
          <w:p w14:paraId="4DB87158">
            <w:pPr>
              <w:widowControl/>
              <w:snapToGrid w:val="0"/>
              <w:spacing w:line="27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日常巡查</w:t>
            </w:r>
          </w:p>
        </w:tc>
        <w:tc>
          <w:tcPr>
            <w:tcW w:w="1080" w:type="dxa"/>
            <w:vAlign w:val="center"/>
          </w:tcPr>
          <w:p w14:paraId="07655C28">
            <w:pPr>
              <w:widowControl/>
              <w:snapToGrid w:val="0"/>
              <w:spacing w:line="22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100</w:t>
            </w:r>
          </w:p>
        </w:tc>
        <w:tc>
          <w:tcPr>
            <w:tcW w:w="1080" w:type="dxa"/>
            <w:vAlign w:val="center"/>
          </w:tcPr>
          <w:p w14:paraId="2D3C1CA2">
            <w:pPr>
              <w:widowControl/>
              <w:snapToGrid w:val="0"/>
              <w:spacing w:line="220" w:lineRule="atLeast"/>
              <w:jc w:val="center"/>
              <w:rPr>
                <w:rFonts w:ascii="宋体" w:cs="宋体"/>
                <w:bCs/>
                <w:color w:val="auto"/>
                <w:spacing w:val="15"/>
                <w:kern w:val="0"/>
                <w:szCs w:val="21"/>
                <w:highlight w:val="none"/>
              </w:rPr>
            </w:pPr>
          </w:p>
        </w:tc>
        <w:tc>
          <w:tcPr>
            <w:tcW w:w="3060" w:type="dxa"/>
            <w:vAlign w:val="center"/>
          </w:tcPr>
          <w:p w14:paraId="309A692B">
            <w:pPr>
              <w:widowControl/>
              <w:snapToGrid w:val="0"/>
              <w:spacing w:line="220" w:lineRule="atLeast"/>
              <w:rPr>
                <w:rFonts w:ascii="宋体" w:cs="宋体"/>
                <w:bCs/>
                <w:color w:val="auto"/>
                <w:spacing w:val="15"/>
                <w:kern w:val="0"/>
                <w:sz w:val="18"/>
                <w:szCs w:val="18"/>
                <w:highlight w:val="none"/>
              </w:rPr>
            </w:pPr>
            <w:r>
              <w:rPr>
                <w:rFonts w:hint="eastAsia" w:ascii="宋体" w:hAnsi="宋体" w:cs="宋体"/>
                <w:color w:val="auto"/>
                <w:kern w:val="0"/>
                <w:szCs w:val="21"/>
                <w:highlight w:val="none"/>
              </w:rPr>
              <w:t>按照完成工作量综合百分比评分</w:t>
            </w:r>
          </w:p>
        </w:tc>
      </w:tr>
      <w:tr w14:paraId="2F66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8" w:type="dxa"/>
            <w:gridSpan w:val="2"/>
            <w:vAlign w:val="center"/>
          </w:tcPr>
          <w:p w14:paraId="36F108B3">
            <w:pPr>
              <w:widowControl/>
              <w:snapToGrid w:val="0"/>
              <w:spacing w:line="270" w:lineRule="atLeast"/>
              <w:jc w:val="center"/>
              <w:rPr>
                <w:rFonts w:ascii="宋体" w:cs="宋体"/>
                <w:b/>
                <w:bCs/>
                <w:color w:val="auto"/>
                <w:spacing w:val="15"/>
                <w:kern w:val="0"/>
                <w:szCs w:val="21"/>
                <w:highlight w:val="none"/>
              </w:rPr>
            </w:pPr>
            <w:r>
              <w:rPr>
                <w:rFonts w:hint="eastAsia" w:ascii="宋体" w:cs="宋体"/>
                <w:b/>
                <w:bCs/>
                <w:color w:val="auto"/>
                <w:spacing w:val="15"/>
                <w:kern w:val="0"/>
                <w:szCs w:val="21"/>
                <w:highlight w:val="none"/>
              </w:rPr>
              <w:t>第二部分</w:t>
            </w:r>
            <w:r>
              <w:rPr>
                <w:rFonts w:ascii="宋体" w:cs="宋体"/>
                <w:b/>
                <w:bCs/>
                <w:color w:val="auto"/>
                <w:spacing w:val="15"/>
                <w:kern w:val="0"/>
                <w:szCs w:val="21"/>
                <w:highlight w:val="none"/>
              </w:rPr>
              <w:t xml:space="preserve">  </w:t>
            </w:r>
            <w:r>
              <w:rPr>
                <w:rFonts w:hint="eastAsia" w:ascii="宋体" w:cs="宋体"/>
                <w:b/>
                <w:bCs/>
                <w:color w:val="auto"/>
                <w:spacing w:val="15"/>
                <w:kern w:val="0"/>
                <w:szCs w:val="21"/>
                <w:highlight w:val="none"/>
              </w:rPr>
              <w:t>日常保养完成情况</w:t>
            </w:r>
          </w:p>
        </w:tc>
        <w:tc>
          <w:tcPr>
            <w:tcW w:w="1080" w:type="dxa"/>
            <w:vAlign w:val="center"/>
          </w:tcPr>
          <w:p w14:paraId="22AE1BE5">
            <w:pPr>
              <w:widowControl/>
              <w:snapToGrid w:val="0"/>
              <w:spacing w:line="270" w:lineRule="atLeast"/>
              <w:jc w:val="center"/>
              <w:rPr>
                <w:rFonts w:ascii="宋体" w:cs="宋体"/>
                <w:b/>
                <w:bCs/>
                <w:color w:val="auto"/>
                <w:spacing w:val="15"/>
                <w:kern w:val="0"/>
                <w:szCs w:val="21"/>
                <w:highlight w:val="none"/>
              </w:rPr>
            </w:pPr>
          </w:p>
        </w:tc>
        <w:tc>
          <w:tcPr>
            <w:tcW w:w="1080" w:type="dxa"/>
            <w:vAlign w:val="center"/>
          </w:tcPr>
          <w:p w14:paraId="2F893865">
            <w:pPr>
              <w:widowControl/>
              <w:snapToGrid w:val="0"/>
              <w:spacing w:line="270" w:lineRule="atLeast"/>
              <w:jc w:val="center"/>
              <w:rPr>
                <w:rFonts w:ascii="宋体" w:cs="宋体"/>
                <w:b/>
                <w:bCs/>
                <w:color w:val="auto"/>
                <w:spacing w:val="15"/>
                <w:kern w:val="0"/>
                <w:szCs w:val="21"/>
                <w:highlight w:val="none"/>
              </w:rPr>
            </w:pPr>
          </w:p>
        </w:tc>
        <w:tc>
          <w:tcPr>
            <w:tcW w:w="3060" w:type="dxa"/>
            <w:vAlign w:val="center"/>
          </w:tcPr>
          <w:p w14:paraId="0F93BEC3">
            <w:pPr>
              <w:widowControl/>
              <w:snapToGrid w:val="0"/>
              <w:spacing w:line="270" w:lineRule="atLeast"/>
              <w:jc w:val="center"/>
              <w:rPr>
                <w:rFonts w:ascii="宋体" w:cs="宋体"/>
                <w:b/>
                <w:bCs/>
                <w:color w:val="auto"/>
                <w:spacing w:val="15"/>
                <w:kern w:val="0"/>
                <w:szCs w:val="21"/>
                <w:highlight w:val="none"/>
              </w:rPr>
            </w:pPr>
            <w:r>
              <w:rPr>
                <w:rFonts w:hint="eastAsia" w:ascii="宋体" w:cs="宋体"/>
                <w:b/>
                <w:bCs/>
                <w:color w:val="auto"/>
                <w:spacing w:val="15"/>
                <w:kern w:val="0"/>
                <w:szCs w:val="21"/>
                <w:highlight w:val="none"/>
              </w:rPr>
              <w:t>权值为</w:t>
            </w:r>
            <w:r>
              <w:rPr>
                <w:rFonts w:ascii="宋体" w:cs="宋体"/>
                <w:b/>
                <w:bCs/>
                <w:color w:val="auto"/>
                <w:spacing w:val="15"/>
                <w:kern w:val="0"/>
                <w:szCs w:val="21"/>
                <w:highlight w:val="none"/>
              </w:rPr>
              <w:t>0.</w:t>
            </w:r>
            <w:r>
              <w:rPr>
                <w:rFonts w:hint="eastAsia" w:ascii="宋体" w:cs="宋体"/>
                <w:b/>
                <w:bCs/>
                <w:color w:val="auto"/>
                <w:spacing w:val="15"/>
                <w:kern w:val="0"/>
                <w:szCs w:val="21"/>
                <w:highlight w:val="none"/>
              </w:rPr>
              <w:t>4</w:t>
            </w:r>
          </w:p>
        </w:tc>
      </w:tr>
      <w:tr w14:paraId="68F2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28" w:type="dxa"/>
            <w:vAlign w:val="center"/>
          </w:tcPr>
          <w:p w14:paraId="5BF56DA7">
            <w:pPr>
              <w:widowControl/>
              <w:snapToGrid w:val="0"/>
              <w:spacing w:line="27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1</w:t>
            </w:r>
          </w:p>
        </w:tc>
        <w:tc>
          <w:tcPr>
            <w:tcW w:w="3600" w:type="dxa"/>
            <w:vAlign w:val="center"/>
          </w:tcPr>
          <w:p w14:paraId="3E4EB0D9">
            <w:pPr>
              <w:snapToGrid w:val="0"/>
              <w:spacing w:line="22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 xml:space="preserve">填培、整修路肩；局部加固路 </w:t>
            </w:r>
            <w:r>
              <w:rPr>
                <w:rFonts w:ascii="宋体" w:cs="宋体"/>
                <w:bCs/>
                <w:color w:val="auto"/>
                <w:spacing w:val="15"/>
                <w:kern w:val="0"/>
                <w:szCs w:val="21"/>
                <w:highlight w:val="none"/>
              </w:rPr>
              <w:t xml:space="preserve"> </w:t>
            </w:r>
            <w:r>
              <w:rPr>
                <w:rFonts w:hint="eastAsia" w:ascii="宋体" w:cs="宋体"/>
                <w:bCs/>
                <w:color w:val="auto"/>
                <w:spacing w:val="15"/>
                <w:kern w:val="0"/>
                <w:szCs w:val="21"/>
                <w:highlight w:val="none"/>
              </w:rPr>
              <w:t>肩</w:t>
            </w:r>
            <w:r>
              <w:rPr>
                <w:rFonts w:ascii="宋体" w:cs="宋体"/>
                <w:bCs/>
                <w:color w:val="auto"/>
                <w:spacing w:val="15"/>
                <w:kern w:val="0"/>
                <w:szCs w:val="21"/>
                <w:highlight w:val="none"/>
                <w:u w:val="single"/>
              </w:rPr>
              <w:t xml:space="preserve">      </w:t>
            </w:r>
            <w:r>
              <w:rPr>
                <w:rFonts w:hint="eastAsia" w:ascii="宋体" w:cs="宋体"/>
                <w:bCs/>
                <w:color w:val="auto"/>
                <w:spacing w:val="15"/>
                <w:kern w:val="0"/>
                <w:szCs w:val="21"/>
                <w:highlight w:val="none"/>
              </w:rPr>
              <w:t>公里</w:t>
            </w:r>
          </w:p>
        </w:tc>
        <w:tc>
          <w:tcPr>
            <w:tcW w:w="1080" w:type="dxa"/>
            <w:vAlign w:val="center"/>
          </w:tcPr>
          <w:p w14:paraId="40E91CB3">
            <w:pPr>
              <w:widowControl/>
              <w:snapToGrid w:val="0"/>
              <w:spacing w:line="22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20</w:t>
            </w:r>
          </w:p>
        </w:tc>
        <w:tc>
          <w:tcPr>
            <w:tcW w:w="1080" w:type="dxa"/>
            <w:vAlign w:val="center"/>
          </w:tcPr>
          <w:p w14:paraId="5C531788">
            <w:pPr>
              <w:widowControl/>
              <w:snapToGrid w:val="0"/>
              <w:spacing w:line="220" w:lineRule="atLeast"/>
              <w:jc w:val="center"/>
              <w:rPr>
                <w:rFonts w:ascii="宋体" w:cs="宋体"/>
                <w:bCs/>
                <w:color w:val="auto"/>
                <w:spacing w:val="15"/>
                <w:kern w:val="0"/>
                <w:szCs w:val="21"/>
                <w:highlight w:val="none"/>
              </w:rPr>
            </w:pPr>
          </w:p>
        </w:tc>
        <w:tc>
          <w:tcPr>
            <w:tcW w:w="3060" w:type="dxa"/>
            <w:vAlign w:val="center"/>
          </w:tcPr>
          <w:p w14:paraId="0140AD1C">
            <w:pPr>
              <w:widowControl/>
              <w:snapToGrid w:val="0"/>
              <w:spacing w:line="220" w:lineRule="atLeast"/>
              <w:rPr>
                <w:rFonts w:ascii="宋体" w:cs="宋体"/>
                <w:bCs/>
                <w:color w:val="auto"/>
                <w:spacing w:val="15"/>
                <w:kern w:val="0"/>
                <w:szCs w:val="21"/>
                <w:highlight w:val="none"/>
              </w:rPr>
            </w:pPr>
            <w:r>
              <w:rPr>
                <w:rFonts w:hint="eastAsia" w:ascii="宋体" w:hAnsi="宋体" w:cs="宋体"/>
                <w:color w:val="auto"/>
                <w:kern w:val="0"/>
                <w:szCs w:val="21"/>
                <w:highlight w:val="none"/>
              </w:rPr>
              <w:t>按照完成工作量综合百分比评分</w:t>
            </w:r>
          </w:p>
        </w:tc>
      </w:tr>
      <w:tr w14:paraId="0C41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28" w:type="dxa"/>
            <w:vAlign w:val="center"/>
          </w:tcPr>
          <w:p w14:paraId="179DD615">
            <w:pPr>
              <w:widowControl/>
              <w:snapToGrid w:val="0"/>
              <w:spacing w:line="27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2</w:t>
            </w:r>
          </w:p>
        </w:tc>
        <w:tc>
          <w:tcPr>
            <w:tcW w:w="3600" w:type="dxa"/>
            <w:vAlign w:val="center"/>
          </w:tcPr>
          <w:p w14:paraId="04DCA37B">
            <w:pPr>
              <w:snapToGrid w:val="0"/>
              <w:spacing w:line="22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排水沟清理、修整（两边）</w:t>
            </w:r>
            <w:r>
              <w:rPr>
                <w:rFonts w:ascii="宋体" w:cs="宋体"/>
                <w:bCs/>
                <w:color w:val="auto"/>
                <w:spacing w:val="15"/>
                <w:kern w:val="0"/>
                <w:szCs w:val="21"/>
                <w:highlight w:val="none"/>
                <w:u w:val="single"/>
              </w:rPr>
              <w:t xml:space="preserve">  </w:t>
            </w:r>
            <w:r>
              <w:rPr>
                <w:rFonts w:hint="eastAsia" w:ascii="宋体" w:cs="宋体"/>
                <w:bCs/>
                <w:color w:val="auto"/>
                <w:spacing w:val="15"/>
                <w:kern w:val="0"/>
                <w:szCs w:val="21"/>
                <w:highlight w:val="none"/>
                <w:u w:val="single"/>
              </w:rPr>
              <w:t xml:space="preserve"> </w:t>
            </w:r>
            <w:r>
              <w:rPr>
                <w:rFonts w:hint="eastAsia" w:ascii="宋体" w:cs="宋体"/>
                <w:bCs/>
                <w:color w:val="auto"/>
                <w:spacing w:val="15"/>
                <w:kern w:val="0"/>
                <w:szCs w:val="21"/>
                <w:highlight w:val="none"/>
              </w:rPr>
              <w:t>公里</w:t>
            </w:r>
          </w:p>
        </w:tc>
        <w:tc>
          <w:tcPr>
            <w:tcW w:w="1080" w:type="dxa"/>
            <w:vAlign w:val="center"/>
          </w:tcPr>
          <w:p w14:paraId="44860D5F">
            <w:pPr>
              <w:widowControl/>
              <w:snapToGrid w:val="0"/>
              <w:spacing w:line="22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20</w:t>
            </w:r>
          </w:p>
        </w:tc>
        <w:tc>
          <w:tcPr>
            <w:tcW w:w="1080" w:type="dxa"/>
            <w:vAlign w:val="center"/>
          </w:tcPr>
          <w:p w14:paraId="726DAFCA">
            <w:pPr>
              <w:widowControl/>
              <w:snapToGrid w:val="0"/>
              <w:spacing w:line="220" w:lineRule="atLeast"/>
              <w:rPr>
                <w:rFonts w:ascii="宋体" w:cs="宋体"/>
                <w:bCs/>
                <w:color w:val="auto"/>
                <w:spacing w:val="15"/>
                <w:kern w:val="0"/>
                <w:szCs w:val="21"/>
                <w:highlight w:val="none"/>
              </w:rPr>
            </w:pPr>
          </w:p>
        </w:tc>
        <w:tc>
          <w:tcPr>
            <w:tcW w:w="3060" w:type="dxa"/>
            <w:vAlign w:val="center"/>
          </w:tcPr>
          <w:p w14:paraId="7909901B">
            <w:pPr>
              <w:widowControl/>
              <w:snapToGrid w:val="0"/>
              <w:spacing w:line="220" w:lineRule="atLeast"/>
              <w:rPr>
                <w:rFonts w:ascii="宋体" w:cs="宋体"/>
                <w:bCs/>
                <w:color w:val="auto"/>
                <w:spacing w:val="15"/>
                <w:kern w:val="0"/>
                <w:szCs w:val="21"/>
                <w:highlight w:val="none"/>
              </w:rPr>
            </w:pPr>
            <w:r>
              <w:rPr>
                <w:rFonts w:hint="eastAsia" w:ascii="宋体" w:hAnsi="宋体" w:cs="宋体"/>
                <w:color w:val="auto"/>
                <w:kern w:val="0"/>
                <w:szCs w:val="21"/>
                <w:highlight w:val="none"/>
              </w:rPr>
              <w:t>按照完成工作量综合百分比评分</w:t>
            </w:r>
          </w:p>
        </w:tc>
      </w:tr>
      <w:tr w14:paraId="610A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A012652">
            <w:pPr>
              <w:widowControl/>
              <w:snapToGrid w:val="0"/>
              <w:spacing w:line="27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3</w:t>
            </w:r>
          </w:p>
        </w:tc>
        <w:tc>
          <w:tcPr>
            <w:tcW w:w="3600" w:type="dxa"/>
            <w:vAlign w:val="center"/>
          </w:tcPr>
          <w:p w14:paraId="61CDDBF2">
            <w:pPr>
              <w:snapToGrid w:val="0"/>
              <w:spacing w:line="22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县道每月清理路面积砂积土、零星砂土、杂物等，保持路面整洁</w:t>
            </w:r>
          </w:p>
        </w:tc>
        <w:tc>
          <w:tcPr>
            <w:tcW w:w="1080" w:type="dxa"/>
            <w:vAlign w:val="center"/>
          </w:tcPr>
          <w:p w14:paraId="50A2387D">
            <w:pPr>
              <w:widowControl/>
              <w:snapToGrid w:val="0"/>
              <w:spacing w:line="22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20</w:t>
            </w:r>
          </w:p>
        </w:tc>
        <w:tc>
          <w:tcPr>
            <w:tcW w:w="1080" w:type="dxa"/>
            <w:vAlign w:val="center"/>
          </w:tcPr>
          <w:p w14:paraId="00F0759A">
            <w:pPr>
              <w:widowControl/>
              <w:snapToGrid w:val="0"/>
              <w:spacing w:line="220" w:lineRule="atLeast"/>
              <w:rPr>
                <w:rFonts w:ascii="宋体" w:cs="宋体"/>
                <w:bCs/>
                <w:color w:val="auto"/>
                <w:spacing w:val="15"/>
                <w:kern w:val="0"/>
                <w:szCs w:val="21"/>
                <w:highlight w:val="none"/>
              </w:rPr>
            </w:pPr>
          </w:p>
        </w:tc>
        <w:tc>
          <w:tcPr>
            <w:tcW w:w="3060" w:type="dxa"/>
            <w:vAlign w:val="center"/>
          </w:tcPr>
          <w:p w14:paraId="0C32F6FC">
            <w:pPr>
              <w:widowControl/>
              <w:snapToGrid w:val="0"/>
              <w:spacing w:line="220" w:lineRule="atLeast"/>
              <w:rPr>
                <w:rFonts w:ascii="宋体" w:cs="宋体"/>
                <w:bCs/>
                <w:color w:val="auto"/>
                <w:spacing w:val="15"/>
                <w:kern w:val="0"/>
                <w:szCs w:val="21"/>
                <w:highlight w:val="none"/>
              </w:rPr>
            </w:pPr>
            <w:r>
              <w:rPr>
                <w:rFonts w:hint="eastAsia" w:ascii="宋体" w:hAnsi="宋体" w:cs="宋体"/>
                <w:color w:val="auto"/>
                <w:kern w:val="0"/>
                <w:szCs w:val="21"/>
                <w:highlight w:val="none"/>
              </w:rPr>
              <w:t>按照完成工作量综合百分比评分</w:t>
            </w:r>
          </w:p>
        </w:tc>
      </w:tr>
      <w:tr w14:paraId="2D54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5DC949B">
            <w:pPr>
              <w:widowControl/>
              <w:snapToGrid w:val="0"/>
              <w:spacing w:line="27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4</w:t>
            </w:r>
          </w:p>
        </w:tc>
        <w:tc>
          <w:tcPr>
            <w:tcW w:w="3600" w:type="dxa"/>
            <w:vAlign w:val="center"/>
          </w:tcPr>
          <w:p w14:paraId="0C53C965">
            <w:pPr>
              <w:tabs>
                <w:tab w:val="left" w:pos="72"/>
              </w:tabs>
              <w:ind w:left="-108"/>
              <w:rPr>
                <w:rFonts w:ascii="宋体" w:cs="宋体"/>
                <w:bCs/>
                <w:color w:val="auto"/>
                <w:spacing w:val="15"/>
                <w:kern w:val="0"/>
                <w:szCs w:val="21"/>
                <w:highlight w:val="none"/>
              </w:rPr>
            </w:pPr>
            <w:r>
              <w:rPr>
                <w:rFonts w:hint="eastAsia"/>
                <w:color w:val="auto"/>
                <w:szCs w:val="21"/>
                <w:highlight w:val="none"/>
              </w:rPr>
              <w:t>县道每半年修剪侵入公路净空的路侧非公路竹木，保证公路净空和交通视线不受阻</w:t>
            </w:r>
          </w:p>
        </w:tc>
        <w:tc>
          <w:tcPr>
            <w:tcW w:w="1080" w:type="dxa"/>
            <w:vAlign w:val="center"/>
          </w:tcPr>
          <w:p w14:paraId="6FA34CA6">
            <w:pPr>
              <w:widowControl/>
              <w:snapToGrid w:val="0"/>
              <w:spacing w:line="22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20</w:t>
            </w:r>
          </w:p>
        </w:tc>
        <w:tc>
          <w:tcPr>
            <w:tcW w:w="1080" w:type="dxa"/>
            <w:vAlign w:val="center"/>
          </w:tcPr>
          <w:p w14:paraId="0FB081CA">
            <w:pPr>
              <w:widowControl/>
              <w:snapToGrid w:val="0"/>
              <w:spacing w:line="220" w:lineRule="atLeast"/>
              <w:rPr>
                <w:rFonts w:ascii="宋体" w:cs="宋体"/>
                <w:bCs/>
                <w:color w:val="auto"/>
                <w:spacing w:val="15"/>
                <w:kern w:val="0"/>
                <w:szCs w:val="21"/>
                <w:highlight w:val="none"/>
              </w:rPr>
            </w:pPr>
          </w:p>
        </w:tc>
        <w:tc>
          <w:tcPr>
            <w:tcW w:w="3060" w:type="dxa"/>
            <w:vAlign w:val="center"/>
          </w:tcPr>
          <w:p w14:paraId="459924C6">
            <w:pPr>
              <w:widowControl/>
              <w:snapToGrid w:val="0"/>
              <w:spacing w:line="220" w:lineRule="atLeast"/>
              <w:rPr>
                <w:rFonts w:ascii="宋体" w:cs="宋体"/>
                <w:bCs/>
                <w:color w:val="auto"/>
                <w:spacing w:val="15"/>
                <w:kern w:val="0"/>
                <w:szCs w:val="21"/>
                <w:highlight w:val="none"/>
              </w:rPr>
            </w:pPr>
            <w:r>
              <w:rPr>
                <w:rFonts w:hint="eastAsia" w:ascii="宋体" w:hAnsi="宋体" w:cs="宋体"/>
                <w:color w:val="auto"/>
                <w:kern w:val="0"/>
                <w:szCs w:val="21"/>
                <w:highlight w:val="none"/>
              </w:rPr>
              <w:t>按照完成工作量综合百分比评分</w:t>
            </w:r>
          </w:p>
        </w:tc>
      </w:tr>
      <w:tr w14:paraId="3850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8" w:type="dxa"/>
            <w:vAlign w:val="center"/>
          </w:tcPr>
          <w:p w14:paraId="353FF757">
            <w:pPr>
              <w:widowControl/>
              <w:snapToGrid w:val="0"/>
              <w:spacing w:line="27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5</w:t>
            </w:r>
          </w:p>
        </w:tc>
        <w:tc>
          <w:tcPr>
            <w:tcW w:w="3600" w:type="dxa"/>
            <w:vAlign w:val="center"/>
          </w:tcPr>
          <w:p w14:paraId="1AE49A94">
            <w:pPr>
              <w:tabs>
                <w:tab w:val="left" w:pos="72"/>
              </w:tabs>
              <w:ind w:left="-108"/>
              <w:rPr>
                <w:color w:val="auto"/>
                <w:szCs w:val="21"/>
                <w:highlight w:val="none"/>
              </w:rPr>
            </w:pPr>
            <w:r>
              <w:rPr>
                <w:rFonts w:hint="eastAsia"/>
                <w:color w:val="auto"/>
                <w:szCs w:val="21"/>
                <w:highlight w:val="none"/>
              </w:rPr>
              <w:t>其它</w:t>
            </w:r>
          </w:p>
        </w:tc>
        <w:tc>
          <w:tcPr>
            <w:tcW w:w="1080" w:type="dxa"/>
            <w:vAlign w:val="center"/>
          </w:tcPr>
          <w:p w14:paraId="4E602679">
            <w:pPr>
              <w:widowControl/>
              <w:snapToGrid w:val="0"/>
              <w:spacing w:line="22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20</w:t>
            </w:r>
          </w:p>
        </w:tc>
        <w:tc>
          <w:tcPr>
            <w:tcW w:w="1080" w:type="dxa"/>
            <w:vAlign w:val="center"/>
          </w:tcPr>
          <w:p w14:paraId="3CF0040B">
            <w:pPr>
              <w:widowControl/>
              <w:snapToGrid w:val="0"/>
              <w:spacing w:line="220" w:lineRule="atLeast"/>
              <w:rPr>
                <w:rFonts w:ascii="宋体" w:cs="宋体"/>
                <w:bCs/>
                <w:color w:val="auto"/>
                <w:spacing w:val="15"/>
                <w:kern w:val="0"/>
                <w:szCs w:val="21"/>
                <w:highlight w:val="none"/>
              </w:rPr>
            </w:pPr>
          </w:p>
        </w:tc>
        <w:tc>
          <w:tcPr>
            <w:tcW w:w="3060" w:type="dxa"/>
            <w:vAlign w:val="center"/>
          </w:tcPr>
          <w:p w14:paraId="08A46382">
            <w:pPr>
              <w:widowControl/>
              <w:snapToGrid w:val="0"/>
              <w:spacing w:line="220" w:lineRule="atLeast"/>
              <w:rPr>
                <w:rFonts w:ascii="宋体" w:hAnsi="宋体" w:cs="宋体"/>
                <w:color w:val="auto"/>
                <w:kern w:val="0"/>
                <w:szCs w:val="21"/>
                <w:highlight w:val="none"/>
              </w:rPr>
            </w:pPr>
          </w:p>
        </w:tc>
      </w:tr>
      <w:tr w14:paraId="0148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428" w:type="dxa"/>
            <w:gridSpan w:val="2"/>
            <w:vAlign w:val="center"/>
          </w:tcPr>
          <w:p w14:paraId="1594E0BB">
            <w:pPr>
              <w:widowControl/>
              <w:snapToGrid w:val="0"/>
              <w:spacing w:line="220" w:lineRule="atLeast"/>
              <w:jc w:val="center"/>
              <w:rPr>
                <w:rFonts w:ascii="宋体" w:cs="宋体"/>
                <w:bCs/>
                <w:color w:val="auto"/>
                <w:spacing w:val="15"/>
                <w:kern w:val="0"/>
                <w:szCs w:val="21"/>
                <w:highlight w:val="none"/>
              </w:rPr>
            </w:pPr>
            <w:r>
              <w:rPr>
                <w:rFonts w:hint="eastAsia" w:ascii="宋体" w:cs="宋体"/>
                <w:b/>
                <w:bCs/>
                <w:color w:val="auto"/>
                <w:spacing w:val="15"/>
                <w:kern w:val="0"/>
                <w:szCs w:val="21"/>
                <w:highlight w:val="none"/>
              </w:rPr>
              <w:t>第三部分</w:t>
            </w:r>
            <w:r>
              <w:rPr>
                <w:rFonts w:ascii="宋体" w:cs="宋体"/>
                <w:b/>
                <w:bCs/>
                <w:color w:val="auto"/>
                <w:spacing w:val="15"/>
                <w:kern w:val="0"/>
                <w:szCs w:val="21"/>
                <w:highlight w:val="none"/>
              </w:rPr>
              <w:t xml:space="preserve">  </w:t>
            </w:r>
            <w:r>
              <w:rPr>
                <w:rFonts w:hint="eastAsia" w:ascii="宋体" w:cs="宋体"/>
                <w:b/>
                <w:bCs/>
                <w:color w:val="auto"/>
                <w:spacing w:val="15"/>
                <w:kern w:val="0"/>
                <w:szCs w:val="21"/>
                <w:highlight w:val="none"/>
              </w:rPr>
              <w:t>综合管理</w:t>
            </w:r>
          </w:p>
        </w:tc>
        <w:tc>
          <w:tcPr>
            <w:tcW w:w="1080" w:type="dxa"/>
            <w:vAlign w:val="center"/>
          </w:tcPr>
          <w:p w14:paraId="145843F0">
            <w:pPr>
              <w:widowControl/>
              <w:snapToGrid w:val="0"/>
              <w:spacing w:line="220" w:lineRule="atLeast"/>
              <w:jc w:val="center"/>
              <w:rPr>
                <w:rFonts w:ascii="宋体" w:cs="宋体"/>
                <w:bCs/>
                <w:color w:val="auto"/>
                <w:spacing w:val="15"/>
                <w:kern w:val="0"/>
                <w:szCs w:val="21"/>
                <w:highlight w:val="none"/>
              </w:rPr>
            </w:pPr>
          </w:p>
        </w:tc>
        <w:tc>
          <w:tcPr>
            <w:tcW w:w="1080" w:type="dxa"/>
            <w:vAlign w:val="center"/>
          </w:tcPr>
          <w:p w14:paraId="25240069">
            <w:pPr>
              <w:widowControl/>
              <w:snapToGrid w:val="0"/>
              <w:spacing w:line="220" w:lineRule="atLeast"/>
              <w:jc w:val="center"/>
              <w:rPr>
                <w:rFonts w:ascii="宋体" w:cs="宋体"/>
                <w:bCs/>
                <w:color w:val="auto"/>
                <w:spacing w:val="15"/>
                <w:kern w:val="0"/>
                <w:szCs w:val="21"/>
                <w:highlight w:val="none"/>
              </w:rPr>
            </w:pPr>
          </w:p>
        </w:tc>
        <w:tc>
          <w:tcPr>
            <w:tcW w:w="3060" w:type="dxa"/>
            <w:vAlign w:val="center"/>
          </w:tcPr>
          <w:p w14:paraId="04CACF4F">
            <w:pPr>
              <w:widowControl/>
              <w:snapToGrid w:val="0"/>
              <w:spacing w:line="220" w:lineRule="atLeast"/>
              <w:jc w:val="center"/>
              <w:rPr>
                <w:rFonts w:ascii="宋体" w:cs="宋体"/>
                <w:bCs/>
                <w:color w:val="auto"/>
                <w:spacing w:val="15"/>
                <w:kern w:val="0"/>
                <w:szCs w:val="21"/>
                <w:highlight w:val="none"/>
              </w:rPr>
            </w:pPr>
            <w:r>
              <w:rPr>
                <w:rFonts w:hint="eastAsia" w:ascii="宋体" w:cs="宋体"/>
                <w:b/>
                <w:bCs/>
                <w:color w:val="auto"/>
                <w:spacing w:val="15"/>
                <w:kern w:val="0"/>
                <w:szCs w:val="21"/>
                <w:highlight w:val="none"/>
              </w:rPr>
              <w:t>权值为</w:t>
            </w:r>
            <w:r>
              <w:rPr>
                <w:rFonts w:ascii="宋体" w:cs="宋体"/>
                <w:b/>
                <w:bCs/>
                <w:color w:val="auto"/>
                <w:spacing w:val="15"/>
                <w:kern w:val="0"/>
                <w:szCs w:val="21"/>
                <w:highlight w:val="none"/>
              </w:rPr>
              <w:t>0.4</w:t>
            </w:r>
          </w:p>
        </w:tc>
      </w:tr>
      <w:tr w14:paraId="6D7F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828" w:type="dxa"/>
            <w:vAlign w:val="center"/>
          </w:tcPr>
          <w:p w14:paraId="57CA4033">
            <w:pPr>
              <w:widowControl/>
              <w:snapToGrid w:val="0"/>
              <w:spacing w:line="270" w:lineRule="atLeast"/>
              <w:jc w:val="center"/>
              <w:rPr>
                <w:rFonts w:ascii="宋体" w:cs="宋体"/>
                <w:bCs/>
                <w:color w:val="auto"/>
                <w:spacing w:val="15"/>
                <w:kern w:val="0"/>
                <w:szCs w:val="21"/>
                <w:highlight w:val="none"/>
              </w:rPr>
            </w:pPr>
            <w:r>
              <w:rPr>
                <w:rFonts w:ascii="宋体" w:cs="宋体"/>
                <w:bCs/>
                <w:color w:val="auto"/>
                <w:spacing w:val="15"/>
                <w:kern w:val="0"/>
                <w:szCs w:val="21"/>
                <w:highlight w:val="none"/>
              </w:rPr>
              <w:t>1</w:t>
            </w:r>
          </w:p>
        </w:tc>
        <w:tc>
          <w:tcPr>
            <w:tcW w:w="3600" w:type="dxa"/>
          </w:tcPr>
          <w:p w14:paraId="2037CE28">
            <w:pPr>
              <w:snapToGrid w:val="0"/>
              <w:spacing w:line="22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管理人员、养护工人按合同到位，管理人员驻场服务不小于</w:t>
            </w:r>
            <w:r>
              <w:rPr>
                <w:rFonts w:ascii="宋体" w:cs="宋体"/>
                <w:bCs/>
                <w:color w:val="auto"/>
                <w:spacing w:val="15"/>
                <w:kern w:val="0"/>
                <w:szCs w:val="21"/>
                <w:highlight w:val="none"/>
              </w:rPr>
              <w:t>15</w:t>
            </w:r>
            <w:r>
              <w:rPr>
                <w:rFonts w:hint="eastAsia" w:ascii="宋体" w:cs="宋体"/>
                <w:bCs/>
                <w:color w:val="auto"/>
                <w:spacing w:val="15"/>
                <w:kern w:val="0"/>
                <w:szCs w:val="21"/>
                <w:highlight w:val="none"/>
              </w:rPr>
              <w:t>天，养护工人总出勤率达到</w:t>
            </w:r>
            <w:r>
              <w:rPr>
                <w:rFonts w:ascii="宋体" w:cs="宋体"/>
                <w:bCs/>
                <w:color w:val="auto"/>
                <w:spacing w:val="15"/>
                <w:kern w:val="0"/>
                <w:szCs w:val="21"/>
                <w:highlight w:val="none"/>
              </w:rPr>
              <w:t>90%</w:t>
            </w:r>
            <w:r>
              <w:rPr>
                <w:rFonts w:hint="eastAsia" w:ascii="宋体" w:cs="宋体"/>
                <w:bCs/>
                <w:color w:val="auto"/>
                <w:spacing w:val="15"/>
                <w:kern w:val="0"/>
                <w:szCs w:val="21"/>
                <w:highlight w:val="none"/>
              </w:rPr>
              <w:t>；按招标文件要求和招标人指示实施养护作业，纪律严明，作风优良，反应迅速，效率高；不推诿扯皮，不讨价还价，不顶撞招标人。</w:t>
            </w:r>
          </w:p>
        </w:tc>
        <w:tc>
          <w:tcPr>
            <w:tcW w:w="1080" w:type="dxa"/>
            <w:vAlign w:val="center"/>
          </w:tcPr>
          <w:p w14:paraId="67B82E67">
            <w:pPr>
              <w:snapToGrid w:val="0"/>
              <w:spacing w:line="220" w:lineRule="atLeast"/>
              <w:jc w:val="center"/>
              <w:rPr>
                <w:rFonts w:ascii="宋体" w:cs="宋体"/>
                <w:bCs/>
                <w:color w:val="auto"/>
                <w:spacing w:val="15"/>
                <w:kern w:val="0"/>
                <w:szCs w:val="21"/>
                <w:highlight w:val="none"/>
              </w:rPr>
            </w:pPr>
            <w:r>
              <w:rPr>
                <w:rFonts w:ascii="宋体" w:cs="宋体"/>
                <w:bCs/>
                <w:color w:val="auto"/>
                <w:spacing w:val="15"/>
                <w:kern w:val="0"/>
                <w:szCs w:val="21"/>
                <w:highlight w:val="none"/>
              </w:rPr>
              <w:t>20</w:t>
            </w:r>
          </w:p>
        </w:tc>
        <w:tc>
          <w:tcPr>
            <w:tcW w:w="1080" w:type="dxa"/>
          </w:tcPr>
          <w:p w14:paraId="596AD675">
            <w:pPr>
              <w:widowControl/>
              <w:snapToGrid w:val="0"/>
              <w:spacing w:line="220" w:lineRule="atLeast"/>
              <w:jc w:val="center"/>
              <w:rPr>
                <w:rFonts w:ascii="宋体" w:cs="宋体"/>
                <w:bCs/>
                <w:color w:val="auto"/>
                <w:spacing w:val="15"/>
                <w:kern w:val="0"/>
                <w:szCs w:val="21"/>
                <w:highlight w:val="none"/>
              </w:rPr>
            </w:pPr>
          </w:p>
        </w:tc>
        <w:tc>
          <w:tcPr>
            <w:tcW w:w="3060" w:type="dxa"/>
            <w:vAlign w:val="center"/>
          </w:tcPr>
          <w:p w14:paraId="139890CC">
            <w:pPr>
              <w:snapToGrid w:val="0"/>
              <w:spacing w:line="20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检查月报表和出勤登记表，在正常上班时段内，在路段上能常见工人开展养护作业；招标人指示能迅速贯彻执行。</w:t>
            </w:r>
          </w:p>
        </w:tc>
      </w:tr>
      <w:tr w14:paraId="3C1A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73DAC4B1">
            <w:pPr>
              <w:widowControl/>
              <w:snapToGrid w:val="0"/>
              <w:spacing w:line="27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2</w:t>
            </w:r>
          </w:p>
        </w:tc>
        <w:tc>
          <w:tcPr>
            <w:tcW w:w="3600" w:type="dxa"/>
            <w:vAlign w:val="center"/>
          </w:tcPr>
          <w:p w14:paraId="1BD7AA88">
            <w:pPr>
              <w:widowControl/>
              <w:snapToGrid w:val="0"/>
              <w:spacing w:line="22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机械、设备和劳保用品等按合同规定实行标准化配置</w:t>
            </w:r>
          </w:p>
        </w:tc>
        <w:tc>
          <w:tcPr>
            <w:tcW w:w="1080" w:type="dxa"/>
            <w:vAlign w:val="center"/>
          </w:tcPr>
          <w:p w14:paraId="42F6A83D">
            <w:pPr>
              <w:widowControl/>
              <w:snapToGrid w:val="0"/>
              <w:spacing w:line="220" w:lineRule="atLeast"/>
              <w:jc w:val="center"/>
              <w:rPr>
                <w:rFonts w:ascii="宋体" w:cs="宋体"/>
                <w:bCs/>
                <w:color w:val="auto"/>
                <w:spacing w:val="15"/>
                <w:kern w:val="0"/>
                <w:szCs w:val="21"/>
                <w:highlight w:val="none"/>
              </w:rPr>
            </w:pPr>
            <w:r>
              <w:rPr>
                <w:rFonts w:ascii="宋体" w:cs="宋体"/>
                <w:bCs/>
                <w:color w:val="auto"/>
                <w:spacing w:val="15"/>
                <w:kern w:val="0"/>
                <w:szCs w:val="21"/>
                <w:highlight w:val="none"/>
              </w:rPr>
              <w:t>20</w:t>
            </w:r>
          </w:p>
        </w:tc>
        <w:tc>
          <w:tcPr>
            <w:tcW w:w="1080" w:type="dxa"/>
          </w:tcPr>
          <w:p w14:paraId="65C22509">
            <w:pPr>
              <w:widowControl/>
              <w:snapToGrid w:val="0"/>
              <w:spacing w:line="220" w:lineRule="atLeast"/>
              <w:jc w:val="center"/>
              <w:rPr>
                <w:rFonts w:ascii="宋体" w:cs="宋体"/>
                <w:bCs/>
                <w:color w:val="auto"/>
                <w:spacing w:val="15"/>
                <w:kern w:val="0"/>
                <w:szCs w:val="21"/>
                <w:highlight w:val="none"/>
              </w:rPr>
            </w:pPr>
          </w:p>
        </w:tc>
        <w:tc>
          <w:tcPr>
            <w:tcW w:w="3060" w:type="dxa"/>
          </w:tcPr>
          <w:p w14:paraId="783EFBD6">
            <w:pPr>
              <w:widowControl/>
              <w:snapToGrid w:val="0"/>
              <w:spacing w:line="20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检查机械设备外观，劳动工具和劳保用品发放签领表</w:t>
            </w:r>
          </w:p>
        </w:tc>
      </w:tr>
      <w:tr w14:paraId="364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068457A2">
            <w:pPr>
              <w:widowControl/>
              <w:snapToGrid w:val="0"/>
              <w:spacing w:line="270" w:lineRule="atLeast"/>
              <w:jc w:val="center"/>
              <w:rPr>
                <w:rFonts w:ascii="宋体" w:cs="宋体"/>
                <w:b/>
                <w:bCs/>
                <w:color w:val="auto"/>
                <w:spacing w:val="15"/>
                <w:kern w:val="0"/>
                <w:szCs w:val="21"/>
                <w:highlight w:val="none"/>
              </w:rPr>
            </w:pPr>
            <w:r>
              <w:rPr>
                <w:rFonts w:hint="eastAsia" w:ascii="宋体" w:cs="宋体"/>
                <w:bCs/>
                <w:color w:val="auto"/>
                <w:spacing w:val="15"/>
                <w:kern w:val="0"/>
                <w:szCs w:val="21"/>
                <w:highlight w:val="none"/>
              </w:rPr>
              <w:t>3</w:t>
            </w:r>
          </w:p>
        </w:tc>
        <w:tc>
          <w:tcPr>
            <w:tcW w:w="3600" w:type="dxa"/>
            <w:vAlign w:val="center"/>
          </w:tcPr>
          <w:p w14:paraId="295394D2">
            <w:pPr>
              <w:widowControl/>
              <w:snapToGrid w:val="0"/>
              <w:spacing w:line="220" w:lineRule="atLeast"/>
              <w:rPr>
                <w:color w:val="auto"/>
                <w:highlight w:val="none"/>
              </w:rPr>
            </w:pPr>
            <w:r>
              <w:rPr>
                <w:rFonts w:hint="eastAsia" w:ascii="宋体" w:cs="宋体"/>
                <w:bCs/>
                <w:color w:val="auto"/>
                <w:spacing w:val="15"/>
                <w:kern w:val="0"/>
                <w:szCs w:val="21"/>
                <w:highlight w:val="none"/>
              </w:rPr>
              <w:t>项目标准化管理</w:t>
            </w:r>
          </w:p>
        </w:tc>
        <w:tc>
          <w:tcPr>
            <w:tcW w:w="1080" w:type="dxa"/>
            <w:vAlign w:val="center"/>
          </w:tcPr>
          <w:p w14:paraId="3CCEE4F8">
            <w:pPr>
              <w:widowControl/>
              <w:snapToGrid w:val="0"/>
              <w:spacing w:line="220" w:lineRule="atLeast"/>
              <w:jc w:val="center"/>
              <w:rPr>
                <w:rFonts w:ascii="宋体" w:cs="宋体"/>
                <w:b/>
                <w:bCs/>
                <w:color w:val="auto"/>
                <w:spacing w:val="15"/>
                <w:kern w:val="0"/>
                <w:szCs w:val="21"/>
                <w:highlight w:val="none"/>
              </w:rPr>
            </w:pPr>
            <w:r>
              <w:rPr>
                <w:rFonts w:ascii="宋体" w:cs="宋体"/>
                <w:bCs/>
                <w:color w:val="auto"/>
                <w:spacing w:val="15"/>
                <w:kern w:val="0"/>
                <w:szCs w:val="21"/>
                <w:highlight w:val="none"/>
              </w:rPr>
              <w:t>20</w:t>
            </w:r>
          </w:p>
        </w:tc>
        <w:tc>
          <w:tcPr>
            <w:tcW w:w="1080" w:type="dxa"/>
          </w:tcPr>
          <w:p w14:paraId="40507511">
            <w:pPr>
              <w:widowControl/>
              <w:snapToGrid w:val="0"/>
              <w:spacing w:line="220" w:lineRule="atLeast"/>
              <w:jc w:val="center"/>
              <w:rPr>
                <w:color w:val="auto"/>
                <w:highlight w:val="none"/>
              </w:rPr>
            </w:pPr>
          </w:p>
        </w:tc>
        <w:tc>
          <w:tcPr>
            <w:tcW w:w="3060" w:type="dxa"/>
          </w:tcPr>
          <w:p w14:paraId="10D9A8B7">
            <w:pPr>
              <w:widowControl/>
              <w:snapToGrid w:val="0"/>
              <w:spacing w:line="20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检查中标人绩效和安全自检考核台账，及工作和安全生产例会会议纪要和签到表等；</w:t>
            </w:r>
          </w:p>
          <w:p w14:paraId="02D316FB">
            <w:pPr>
              <w:widowControl/>
              <w:snapToGrid w:val="0"/>
              <w:spacing w:line="200" w:lineRule="atLeast"/>
              <w:rPr>
                <w:rFonts w:ascii="宋体" w:cs="宋体"/>
                <w:b/>
                <w:bCs/>
                <w:color w:val="auto"/>
                <w:spacing w:val="15"/>
                <w:kern w:val="0"/>
                <w:szCs w:val="21"/>
                <w:highlight w:val="none"/>
              </w:rPr>
            </w:pPr>
            <w:r>
              <w:rPr>
                <w:rFonts w:hint="eastAsia" w:ascii="宋体" w:cs="宋体"/>
                <w:bCs/>
                <w:color w:val="auto"/>
                <w:spacing w:val="15"/>
                <w:kern w:val="0"/>
                <w:szCs w:val="21"/>
                <w:highlight w:val="none"/>
              </w:rPr>
              <w:t>检查中标人项目办公场所。</w:t>
            </w:r>
          </w:p>
        </w:tc>
      </w:tr>
      <w:tr w14:paraId="0485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6040808B">
            <w:pPr>
              <w:widowControl/>
              <w:snapToGrid w:val="0"/>
              <w:spacing w:line="270" w:lineRule="atLeast"/>
              <w:jc w:val="center"/>
              <w:rPr>
                <w:rFonts w:ascii="宋体" w:cs="宋体"/>
                <w:b/>
                <w:bCs/>
                <w:color w:val="auto"/>
                <w:spacing w:val="15"/>
                <w:kern w:val="0"/>
                <w:szCs w:val="21"/>
                <w:highlight w:val="none"/>
              </w:rPr>
            </w:pPr>
            <w:r>
              <w:rPr>
                <w:rFonts w:hint="eastAsia" w:ascii="宋体" w:cs="宋体"/>
                <w:bCs/>
                <w:color w:val="auto"/>
                <w:spacing w:val="15"/>
                <w:kern w:val="0"/>
                <w:szCs w:val="21"/>
                <w:highlight w:val="none"/>
              </w:rPr>
              <w:t>4</w:t>
            </w:r>
          </w:p>
        </w:tc>
        <w:tc>
          <w:tcPr>
            <w:tcW w:w="3600" w:type="dxa"/>
            <w:vAlign w:val="center"/>
          </w:tcPr>
          <w:p w14:paraId="31AE3831">
            <w:pPr>
              <w:widowControl/>
              <w:snapToGrid w:val="0"/>
              <w:spacing w:line="220" w:lineRule="atLeast"/>
              <w:rPr>
                <w:color w:val="auto"/>
                <w:highlight w:val="none"/>
              </w:rPr>
            </w:pPr>
            <w:r>
              <w:rPr>
                <w:rFonts w:hint="eastAsia" w:ascii="宋体" w:cs="宋体"/>
                <w:bCs/>
                <w:color w:val="auto"/>
                <w:spacing w:val="15"/>
                <w:kern w:val="0"/>
                <w:szCs w:val="21"/>
                <w:highlight w:val="none"/>
              </w:rPr>
              <w:t>安全生产</w:t>
            </w:r>
          </w:p>
        </w:tc>
        <w:tc>
          <w:tcPr>
            <w:tcW w:w="1080" w:type="dxa"/>
            <w:vAlign w:val="center"/>
          </w:tcPr>
          <w:p w14:paraId="7452F4DA">
            <w:pPr>
              <w:widowControl/>
              <w:snapToGrid w:val="0"/>
              <w:spacing w:line="220" w:lineRule="atLeast"/>
              <w:jc w:val="center"/>
              <w:rPr>
                <w:rFonts w:ascii="宋体" w:cs="宋体"/>
                <w:b/>
                <w:bCs/>
                <w:color w:val="auto"/>
                <w:spacing w:val="15"/>
                <w:kern w:val="0"/>
                <w:szCs w:val="21"/>
                <w:highlight w:val="none"/>
              </w:rPr>
            </w:pPr>
            <w:r>
              <w:rPr>
                <w:rFonts w:ascii="宋体" w:cs="宋体"/>
                <w:bCs/>
                <w:color w:val="auto"/>
                <w:spacing w:val="15"/>
                <w:kern w:val="0"/>
                <w:szCs w:val="21"/>
                <w:highlight w:val="none"/>
              </w:rPr>
              <w:t>20</w:t>
            </w:r>
          </w:p>
        </w:tc>
        <w:tc>
          <w:tcPr>
            <w:tcW w:w="1080" w:type="dxa"/>
          </w:tcPr>
          <w:p w14:paraId="77C14F14">
            <w:pPr>
              <w:widowControl/>
              <w:snapToGrid w:val="0"/>
              <w:spacing w:line="220" w:lineRule="atLeast"/>
              <w:jc w:val="center"/>
              <w:rPr>
                <w:color w:val="auto"/>
                <w:highlight w:val="none"/>
              </w:rPr>
            </w:pPr>
          </w:p>
        </w:tc>
        <w:tc>
          <w:tcPr>
            <w:tcW w:w="3060" w:type="dxa"/>
          </w:tcPr>
          <w:p w14:paraId="0CF6AB33">
            <w:pPr>
              <w:widowControl/>
              <w:snapToGrid w:val="0"/>
              <w:spacing w:line="200" w:lineRule="atLeast"/>
              <w:rPr>
                <w:rFonts w:ascii="宋体" w:cs="宋体"/>
                <w:b/>
                <w:bCs/>
                <w:color w:val="auto"/>
                <w:spacing w:val="15"/>
                <w:kern w:val="0"/>
                <w:szCs w:val="21"/>
                <w:highlight w:val="none"/>
              </w:rPr>
            </w:pPr>
            <w:r>
              <w:rPr>
                <w:rFonts w:hint="eastAsia" w:ascii="宋体" w:cs="宋体"/>
                <w:bCs/>
                <w:color w:val="auto"/>
                <w:spacing w:val="15"/>
                <w:kern w:val="0"/>
                <w:szCs w:val="21"/>
                <w:highlight w:val="none"/>
              </w:rPr>
              <w:t>正确使用安全设施及劳保用品，当期无安全生产责任事故</w:t>
            </w:r>
          </w:p>
        </w:tc>
      </w:tr>
      <w:tr w14:paraId="1CCD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6D39008F">
            <w:pPr>
              <w:widowControl/>
              <w:snapToGrid w:val="0"/>
              <w:spacing w:line="27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5</w:t>
            </w:r>
          </w:p>
        </w:tc>
        <w:tc>
          <w:tcPr>
            <w:tcW w:w="3600" w:type="dxa"/>
            <w:vAlign w:val="center"/>
          </w:tcPr>
          <w:p w14:paraId="2FFF1C26">
            <w:pPr>
              <w:widowControl/>
              <w:snapToGrid w:val="0"/>
              <w:spacing w:line="22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购买安全生产责任险</w:t>
            </w:r>
          </w:p>
        </w:tc>
        <w:tc>
          <w:tcPr>
            <w:tcW w:w="1080" w:type="dxa"/>
            <w:vAlign w:val="center"/>
          </w:tcPr>
          <w:p w14:paraId="4A1CE6E1">
            <w:pPr>
              <w:widowControl/>
              <w:snapToGrid w:val="0"/>
              <w:spacing w:line="220" w:lineRule="atLeast"/>
              <w:jc w:val="center"/>
              <w:rPr>
                <w:rFonts w:ascii="宋体" w:cs="宋体"/>
                <w:bCs/>
                <w:color w:val="auto"/>
                <w:spacing w:val="15"/>
                <w:kern w:val="0"/>
                <w:szCs w:val="21"/>
                <w:highlight w:val="none"/>
              </w:rPr>
            </w:pPr>
            <w:r>
              <w:rPr>
                <w:rFonts w:ascii="宋体" w:cs="宋体"/>
                <w:bCs/>
                <w:color w:val="auto"/>
                <w:spacing w:val="15"/>
                <w:kern w:val="0"/>
                <w:szCs w:val="21"/>
                <w:highlight w:val="none"/>
              </w:rPr>
              <w:t>5</w:t>
            </w:r>
          </w:p>
        </w:tc>
        <w:tc>
          <w:tcPr>
            <w:tcW w:w="1080" w:type="dxa"/>
          </w:tcPr>
          <w:p w14:paraId="1ECE68C8">
            <w:pPr>
              <w:widowControl/>
              <w:snapToGrid w:val="0"/>
              <w:spacing w:line="220" w:lineRule="atLeast"/>
              <w:jc w:val="center"/>
              <w:rPr>
                <w:color w:val="auto"/>
                <w:highlight w:val="none"/>
              </w:rPr>
            </w:pPr>
          </w:p>
        </w:tc>
        <w:tc>
          <w:tcPr>
            <w:tcW w:w="3060" w:type="dxa"/>
          </w:tcPr>
          <w:p w14:paraId="28486FF6">
            <w:pPr>
              <w:widowControl/>
              <w:snapToGrid w:val="0"/>
              <w:spacing w:line="20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检查员工名册及人身意外险保单</w:t>
            </w:r>
          </w:p>
        </w:tc>
      </w:tr>
      <w:tr w14:paraId="0FD2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640F7DB4">
            <w:pPr>
              <w:widowControl/>
              <w:snapToGrid w:val="0"/>
              <w:spacing w:line="270" w:lineRule="atLeast"/>
              <w:jc w:val="center"/>
              <w:rPr>
                <w:rFonts w:ascii="宋体" w:cs="宋体"/>
                <w:bCs/>
                <w:color w:val="auto"/>
                <w:spacing w:val="15"/>
                <w:kern w:val="0"/>
                <w:szCs w:val="21"/>
                <w:highlight w:val="none"/>
              </w:rPr>
            </w:pPr>
            <w:r>
              <w:rPr>
                <w:rFonts w:hint="eastAsia" w:ascii="宋体" w:cs="宋体"/>
                <w:bCs/>
                <w:color w:val="auto"/>
                <w:spacing w:val="15"/>
                <w:kern w:val="0"/>
                <w:szCs w:val="21"/>
                <w:highlight w:val="none"/>
              </w:rPr>
              <w:t>6</w:t>
            </w:r>
          </w:p>
        </w:tc>
        <w:tc>
          <w:tcPr>
            <w:tcW w:w="3600" w:type="dxa"/>
            <w:vAlign w:val="center"/>
          </w:tcPr>
          <w:p w14:paraId="00FD3BAD">
            <w:pPr>
              <w:widowControl/>
              <w:snapToGrid w:val="0"/>
              <w:spacing w:line="22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农民工工资按时、足额发放</w:t>
            </w:r>
          </w:p>
        </w:tc>
        <w:tc>
          <w:tcPr>
            <w:tcW w:w="1080" w:type="dxa"/>
            <w:vAlign w:val="center"/>
          </w:tcPr>
          <w:p w14:paraId="7E69D05F">
            <w:pPr>
              <w:widowControl/>
              <w:snapToGrid w:val="0"/>
              <w:spacing w:line="220" w:lineRule="atLeast"/>
              <w:jc w:val="center"/>
              <w:rPr>
                <w:rFonts w:ascii="宋体" w:cs="宋体"/>
                <w:bCs/>
                <w:color w:val="auto"/>
                <w:spacing w:val="15"/>
                <w:kern w:val="0"/>
                <w:szCs w:val="21"/>
                <w:highlight w:val="none"/>
              </w:rPr>
            </w:pPr>
            <w:r>
              <w:rPr>
                <w:rFonts w:ascii="宋体" w:cs="宋体"/>
                <w:bCs/>
                <w:color w:val="auto"/>
                <w:spacing w:val="15"/>
                <w:kern w:val="0"/>
                <w:szCs w:val="21"/>
                <w:highlight w:val="none"/>
              </w:rPr>
              <w:t>10</w:t>
            </w:r>
          </w:p>
        </w:tc>
        <w:tc>
          <w:tcPr>
            <w:tcW w:w="1080" w:type="dxa"/>
          </w:tcPr>
          <w:p w14:paraId="49DE025D">
            <w:pPr>
              <w:widowControl/>
              <w:snapToGrid w:val="0"/>
              <w:spacing w:line="220" w:lineRule="atLeast"/>
              <w:jc w:val="center"/>
              <w:rPr>
                <w:color w:val="auto"/>
                <w:highlight w:val="none"/>
              </w:rPr>
            </w:pPr>
          </w:p>
        </w:tc>
        <w:tc>
          <w:tcPr>
            <w:tcW w:w="3060" w:type="dxa"/>
          </w:tcPr>
          <w:p w14:paraId="0284D70E">
            <w:pPr>
              <w:widowControl/>
              <w:snapToGrid w:val="0"/>
              <w:spacing w:line="22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检查农民工劳动合同、工资发放证明资料等。</w:t>
            </w:r>
          </w:p>
        </w:tc>
      </w:tr>
      <w:tr w14:paraId="0935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14:paraId="38B407B6">
            <w:pPr>
              <w:widowControl/>
              <w:snapToGrid w:val="0"/>
              <w:spacing w:line="270" w:lineRule="atLeast"/>
              <w:jc w:val="center"/>
              <w:rPr>
                <w:rFonts w:ascii="宋体" w:cs="宋体"/>
                <w:b/>
                <w:bCs/>
                <w:color w:val="auto"/>
                <w:spacing w:val="15"/>
                <w:kern w:val="0"/>
                <w:szCs w:val="21"/>
                <w:highlight w:val="none"/>
              </w:rPr>
            </w:pPr>
            <w:r>
              <w:rPr>
                <w:rFonts w:hint="eastAsia" w:ascii="宋体" w:cs="宋体"/>
                <w:bCs/>
                <w:color w:val="auto"/>
                <w:spacing w:val="15"/>
                <w:kern w:val="0"/>
                <w:szCs w:val="21"/>
                <w:highlight w:val="none"/>
              </w:rPr>
              <w:t>7</w:t>
            </w:r>
          </w:p>
        </w:tc>
        <w:tc>
          <w:tcPr>
            <w:tcW w:w="3600" w:type="dxa"/>
            <w:vAlign w:val="center"/>
          </w:tcPr>
          <w:p w14:paraId="6FC6DE60">
            <w:pPr>
              <w:widowControl/>
              <w:snapToGrid w:val="0"/>
              <w:spacing w:line="220" w:lineRule="atLeast"/>
              <w:rPr>
                <w:color w:val="auto"/>
                <w:highlight w:val="none"/>
              </w:rPr>
            </w:pPr>
            <w:r>
              <w:rPr>
                <w:rFonts w:hint="eastAsia" w:ascii="宋体" w:cs="宋体"/>
                <w:bCs/>
                <w:color w:val="auto"/>
                <w:spacing w:val="15"/>
                <w:kern w:val="0"/>
                <w:szCs w:val="21"/>
                <w:highlight w:val="none"/>
              </w:rPr>
              <w:t>不存在其他形式违约</w:t>
            </w:r>
          </w:p>
        </w:tc>
        <w:tc>
          <w:tcPr>
            <w:tcW w:w="1080" w:type="dxa"/>
            <w:vAlign w:val="center"/>
          </w:tcPr>
          <w:p w14:paraId="15EDFC15">
            <w:pPr>
              <w:widowControl/>
              <w:snapToGrid w:val="0"/>
              <w:spacing w:line="220" w:lineRule="atLeast"/>
              <w:jc w:val="center"/>
              <w:rPr>
                <w:rFonts w:ascii="宋体" w:cs="宋体"/>
                <w:bCs/>
                <w:color w:val="auto"/>
                <w:spacing w:val="15"/>
                <w:kern w:val="0"/>
                <w:sz w:val="18"/>
                <w:szCs w:val="18"/>
                <w:highlight w:val="none"/>
              </w:rPr>
            </w:pPr>
            <w:r>
              <w:rPr>
                <w:rFonts w:ascii="宋体" w:cs="宋体"/>
                <w:bCs/>
                <w:color w:val="auto"/>
                <w:spacing w:val="15"/>
                <w:kern w:val="0"/>
                <w:szCs w:val="21"/>
                <w:highlight w:val="none"/>
              </w:rPr>
              <w:t>5</w:t>
            </w:r>
          </w:p>
        </w:tc>
        <w:tc>
          <w:tcPr>
            <w:tcW w:w="1080" w:type="dxa"/>
          </w:tcPr>
          <w:p w14:paraId="6E8FBD08">
            <w:pPr>
              <w:widowControl/>
              <w:snapToGrid w:val="0"/>
              <w:spacing w:line="220" w:lineRule="atLeast"/>
              <w:jc w:val="center"/>
              <w:rPr>
                <w:color w:val="auto"/>
                <w:highlight w:val="none"/>
              </w:rPr>
            </w:pPr>
          </w:p>
        </w:tc>
        <w:tc>
          <w:tcPr>
            <w:tcW w:w="3060" w:type="dxa"/>
          </w:tcPr>
          <w:p w14:paraId="5F62495A">
            <w:pPr>
              <w:widowControl/>
              <w:snapToGrid w:val="0"/>
              <w:spacing w:line="220" w:lineRule="atLeast"/>
              <w:rPr>
                <w:rFonts w:ascii="宋体" w:cs="宋体"/>
                <w:bCs/>
                <w:color w:val="auto"/>
                <w:spacing w:val="15"/>
                <w:kern w:val="0"/>
                <w:sz w:val="18"/>
                <w:szCs w:val="18"/>
                <w:highlight w:val="none"/>
              </w:rPr>
            </w:pPr>
          </w:p>
        </w:tc>
      </w:tr>
    </w:tbl>
    <w:p w14:paraId="7CD006D4">
      <w:pPr>
        <w:widowControl/>
        <w:snapToGrid w:val="0"/>
        <w:spacing w:line="27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注：（</w:t>
      </w:r>
      <w:r>
        <w:rPr>
          <w:rFonts w:ascii="宋体" w:cs="宋体"/>
          <w:bCs/>
          <w:color w:val="auto"/>
          <w:spacing w:val="15"/>
          <w:kern w:val="0"/>
          <w:szCs w:val="21"/>
          <w:highlight w:val="none"/>
        </w:rPr>
        <w:t>1</w:t>
      </w:r>
      <w:r>
        <w:rPr>
          <w:rFonts w:hint="eastAsia" w:ascii="宋体" w:cs="宋体"/>
          <w:bCs/>
          <w:color w:val="auto"/>
          <w:spacing w:val="15"/>
          <w:kern w:val="0"/>
          <w:szCs w:val="21"/>
          <w:highlight w:val="none"/>
        </w:rPr>
        <w:t>）第二部分的检查项目可以按实际发生进行调整。</w:t>
      </w:r>
    </w:p>
    <w:p w14:paraId="13E1595E">
      <w:pPr>
        <w:widowControl/>
        <w:snapToGrid w:val="0"/>
        <w:spacing w:line="270" w:lineRule="atLeast"/>
        <w:rPr>
          <w:rFonts w:ascii="宋体" w:cs="宋体"/>
          <w:bCs/>
          <w:color w:val="auto"/>
          <w:spacing w:val="15"/>
          <w:kern w:val="0"/>
          <w:szCs w:val="21"/>
          <w:highlight w:val="none"/>
        </w:rPr>
      </w:pPr>
      <w:r>
        <w:rPr>
          <w:rFonts w:hint="eastAsia" w:ascii="宋体" w:cs="宋体"/>
          <w:bCs/>
          <w:color w:val="auto"/>
          <w:spacing w:val="15"/>
          <w:kern w:val="0"/>
          <w:szCs w:val="21"/>
          <w:highlight w:val="none"/>
        </w:rPr>
        <w:t>（2）项目全体服务人员必须进行岗前培训和安全交底，服务期间更换的人员及临时顶班的人员也要进行岗前培训和安全交底，发现未进行岗前培训和安全交底的，当月质量综合评价不得定为合格。</w:t>
      </w:r>
    </w:p>
    <w:p w14:paraId="78267C40">
      <w:pPr>
        <w:widowControl/>
        <w:snapToGrid w:val="0"/>
        <w:spacing w:line="500" w:lineRule="atLeast"/>
        <w:rPr>
          <w:rFonts w:ascii="宋体" w:cs="宋体"/>
          <w:bCs/>
          <w:color w:val="auto"/>
          <w:spacing w:val="15"/>
          <w:kern w:val="0"/>
          <w:sz w:val="24"/>
          <w:highlight w:val="none"/>
        </w:rPr>
      </w:pPr>
      <w:r>
        <w:rPr>
          <w:rFonts w:hint="eastAsia" w:ascii="宋体" w:cs="宋体"/>
          <w:bCs/>
          <w:color w:val="auto"/>
          <w:spacing w:val="15"/>
          <w:kern w:val="0"/>
          <w:sz w:val="24"/>
          <w:highlight w:val="none"/>
        </w:rPr>
        <w:t>采购人填表人：</w:t>
      </w:r>
      <w:r>
        <w:rPr>
          <w:rFonts w:ascii="宋体" w:cs="宋体"/>
          <w:bCs/>
          <w:color w:val="auto"/>
          <w:spacing w:val="15"/>
          <w:kern w:val="0"/>
          <w:sz w:val="24"/>
          <w:highlight w:val="none"/>
        </w:rPr>
        <w:t xml:space="preserve">                  </w:t>
      </w:r>
      <w:r>
        <w:rPr>
          <w:rFonts w:hint="eastAsia" w:ascii="宋体" w:cs="宋体"/>
          <w:bCs/>
          <w:color w:val="auto"/>
          <w:spacing w:val="15"/>
          <w:kern w:val="0"/>
          <w:sz w:val="24"/>
          <w:highlight w:val="none"/>
        </w:rPr>
        <w:t>中标人签收人：</w:t>
      </w:r>
    </w:p>
    <w:p w14:paraId="28765CAF">
      <w:pPr>
        <w:widowControl/>
        <w:snapToGrid w:val="0"/>
        <w:spacing w:line="500" w:lineRule="atLeast"/>
        <w:rPr>
          <w:rFonts w:ascii="宋体" w:cs="宋体"/>
          <w:bCs/>
          <w:color w:val="auto"/>
          <w:spacing w:val="15"/>
          <w:kern w:val="0"/>
          <w:sz w:val="24"/>
          <w:highlight w:val="none"/>
        </w:rPr>
      </w:pPr>
      <w:r>
        <w:rPr>
          <w:rFonts w:hint="eastAsia" w:ascii="宋体" w:cs="宋体"/>
          <w:bCs/>
          <w:color w:val="auto"/>
          <w:spacing w:val="15"/>
          <w:kern w:val="0"/>
          <w:sz w:val="24"/>
          <w:highlight w:val="none"/>
        </w:rPr>
        <w:t>采购人复核人：</w:t>
      </w:r>
    </w:p>
    <w:p w14:paraId="1C09DA65">
      <w:pPr>
        <w:widowControl/>
        <w:snapToGrid w:val="0"/>
        <w:spacing w:line="500" w:lineRule="atLeast"/>
        <w:rPr>
          <w:rFonts w:ascii="宋体" w:cs="宋体"/>
          <w:bCs/>
          <w:color w:val="auto"/>
          <w:spacing w:val="15"/>
          <w:kern w:val="0"/>
          <w:sz w:val="24"/>
          <w:highlight w:val="none"/>
        </w:rPr>
      </w:pPr>
      <w:r>
        <w:rPr>
          <w:rFonts w:hint="eastAsia" w:ascii="宋体" w:cs="宋体"/>
          <w:bCs/>
          <w:color w:val="auto"/>
          <w:spacing w:val="15"/>
          <w:kern w:val="0"/>
          <w:sz w:val="24"/>
          <w:highlight w:val="none"/>
        </w:rPr>
        <w:t>采购人审批人：</w:t>
      </w:r>
    </w:p>
    <w:p w14:paraId="59A32D5F">
      <w:pPr>
        <w:widowControl/>
        <w:snapToGrid w:val="0"/>
        <w:spacing w:line="500" w:lineRule="atLeast"/>
        <w:rPr>
          <w:rFonts w:ascii="宋体" w:cs="宋体"/>
          <w:bCs/>
          <w:color w:val="auto"/>
          <w:spacing w:val="15"/>
          <w:kern w:val="0"/>
          <w:sz w:val="24"/>
          <w:highlight w:val="none"/>
        </w:rPr>
      </w:pPr>
      <w:r>
        <w:rPr>
          <w:rFonts w:ascii="宋体" w:cs="宋体"/>
          <w:bCs/>
          <w:color w:val="auto"/>
          <w:spacing w:val="15"/>
          <w:kern w:val="0"/>
          <w:sz w:val="28"/>
          <w:szCs w:val="28"/>
          <w:highlight w:val="none"/>
        </w:rPr>
        <w:t xml:space="preserve">             </w:t>
      </w:r>
      <w:r>
        <w:rPr>
          <w:rFonts w:ascii="宋体" w:cs="宋体"/>
          <w:bCs/>
          <w:color w:val="auto"/>
          <w:spacing w:val="15"/>
          <w:kern w:val="0"/>
          <w:sz w:val="24"/>
          <w:highlight w:val="none"/>
        </w:rPr>
        <w:t xml:space="preserve"> </w:t>
      </w:r>
      <w:r>
        <w:rPr>
          <w:rFonts w:hint="eastAsia" w:ascii="宋体" w:cs="宋体"/>
          <w:bCs/>
          <w:color w:val="auto"/>
          <w:spacing w:val="15"/>
          <w:kern w:val="0"/>
          <w:sz w:val="24"/>
          <w:highlight w:val="none"/>
        </w:rPr>
        <w:t>签发日期：</w:t>
      </w:r>
      <w:r>
        <w:rPr>
          <w:rFonts w:ascii="宋体" w:cs="宋体"/>
          <w:bCs/>
          <w:color w:val="auto"/>
          <w:spacing w:val="15"/>
          <w:kern w:val="0"/>
          <w:sz w:val="24"/>
          <w:highlight w:val="none"/>
          <w:u w:val="single"/>
        </w:rPr>
        <w:t xml:space="preserve">        </w:t>
      </w:r>
      <w:r>
        <w:rPr>
          <w:rFonts w:hint="eastAsia" w:ascii="宋体" w:cs="宋体"/>
          <w:bCs/>
          <w:color w:val="auto"/>
          <w:spacing w:val="15"/>
          <w:kern w:val="0"/>
          <w:sz w:val="24"/>
          <w:highlight w:val="none"/>
        </w:rPr>
        <w:t>年</w:t>
      </w:r>
      <w:r>
        <w:rPr>
          <w:rFonts w:ascii="宋体" w:cs="宋体"/>
          <w:bCs/>
          <w:color w:val="auto"/>
          <w:spacing w:val="15"/>
          <w:kern w:val="0"/>
          <w:sz w:val="24"/>
          <w:highlight w:val="none"/>
          <w:u w:val="single"/>
        </w:rPr>
        <w:t xml:space="preserve">     </w:t>
      </w:r>
      <w:r>
        <w:rPr>
          <w:rFonts w:hint="eastAsia" w:ascii="宋体" w:cs="宋体"/>
          <w:bCs/>
          <w:color w:val="auto"/>
          <w:spacing w:val="15"/>
          <w:kern w:val="0"/>
          <w:sz w:val="24"/>
          <w:highlight w:val="none"/>
        </w:rPr>
        <w:t>月</w:t>
      </w:r>
      <w:r>
        <w:rPr>
          <w:rFonts w:ascii="宋体" w:cs="宋体"/>
          <w:bCs/>
          <w:color w:val="auto"/>
          <w:spacing w:val="15"/>
          <w:kern w:val="0"/>
          <w:sz w:val="24"/>
          <w:highlight w:val="none"/>
          <w:u w:val="single"/>
        </w:rPr>
        <w:t xml:space="preserve">    </w:t>
      </w:r>
      <w:r>
        <w:rPr>
          <w:rFonts w:hint="eastAsia" w:ascii="宋体" w:cs="宋体"/>
          <w:bCs/>
          <w:color w:val="auto"/>
          <w:spacing w:val="15"/>
          <w:kern w:val="0"/>
          <w:sz w:val="24"/>
          <w:highlight w:val="none"/>
        </w:rPr>
        <w:t>日</w:t>
      </w:r>
    </w:p>
    <w:p w14:paraId="4B9431A2">
      <w:pPr>
        <w:spacing w:line="300" w:lineRule="auto"/>
        <w:jc w:val="left"/>
        <w:rPr>
          <w:b/>
          <w:color w:val="auto"/>
          <w:sz w:val="24"/>
          <w:highlight w:val="none"/>
        </w:rPr>
      </w:pPr>
      <w:r>
        <w:rPr>
          <w:rFonts w:hint="eastAsia"/>
          <w:b/>
          <w:color w:val="auto"/>
          <w:sz w:val="24"/>
          <w:highlight w:val="none"/>
        </w:rPr>
        <w:t>8</w:t>
      </w:r>
      <w:r>
        <w:rPr>
          <w:b/>
          <w:color w:val="auto"/>
          <w:sz w:val="24"/>
          <w:highlight w:val="none"/>
        </w:rPr>
        <w:t xml:space="preserve">. </w:t>
      </w:r>
      <w:r>
        <w:rPr>
          <w:rFonts w:hint="eastAsia"/>
          <w:b/>
          <w:color w:val="auto"/>
          <w:sz w:val="24"/>
          <w:highlight w:val="none"/>
        </w:rPr>
        <w:t>其他要求</w:t>
      </w:r>
    </w:p>
    <w:p w14:paraId="1A132AEA">
      <w:pPr>
        <w:widowControl/>
        <w:adjustRightInd w:val="0"/>
        <w:snapToGrid w:val="0"/>
        <w:spacing w:line="360" w:lineRule="auto"/>
        <w:jc w:val="left"/>
        <w:rPr>
          <w:rFonts w:ascii="宋体" w:cs="宋体"/>
          <w:b/>
          <w:bCs/>
          <w:color w:val="auto"/>
          <w:kern w:val="0"/>
          <w:sz w:val="24"/>
          <w:highlight w:val="none"/>
        </w:rPr>
      </w:pPr>
      <w:r>
        <w:rPr>
          <w:rFonts w:hint="eastAsia" w:ascii="宋体" w:hAnsi="宋体" w:cs="宋体"/>
          <w:b/>
          <w:bCs/>
          <w:color w:val="auto"/>
          <w:kern w:val="0"/>
          <w:sz w:val="24"/>
          <w:highlight w:val="none"/>
        </w:rPr>
        <w:t>8</w:t>
      </w:r>
      <w:r>
        <w:rPr>
          <w:rFonts w:ascii="宋体" w:hAnsi="宋体" w:cs="宋体"/>
          <w:b/>
          <w:bCs/>
          <w:color w:val="auto"/>
          <w:kern w:val="0"/>
          <w:sz w:val="24"/>
          <w:highlight w:val="none"/>
        </w:rPr>
        <w:t>.1</w:t>
      </w:r>
      <w:r>
        <w:rPr>
          <w:rFonts w:hint="eastAsia" w:ascii="宋体" w:hAnsi="宋体" w:cs="宋体"/>
          <w:b/>
          <w:bCs/>
          <w:color w:val="auto"/>
          <w:kern w:val="0"/>
          <w:sz w:val="24"/>
          <w:highlight w:val="none"/>
        </w:rPr>
        <w:t>无条件响应采购人工作指示要求</w:t>
      </w:r>
    </w:p>
    <w:p w14:paraId="082D5A89">
      <w:pPr>
        <w:widowControl/>
        <w:adjustRightInd w:val="0"/>
        <w:snapToGrid w:val="0"/>
        <w:spacing w:line="360" w:lineRule="auto"/>
        <w:ind w:firstLine="484" w:firstLineChars="202"/>
        <w:jc w:val="left"/>
        <w:rPr>
          <w:rFonts w:ascii="宋体" w:cs="宋体"/>
          <w:color w:val="auto"/>
          <w:kern w:val="0"/>
          <w:sz w:val="24"/>
          <w:highlight w:val="none"/>
        </w:rPr>
      </w:pPr>
      <w:r>
        <w:rPr>
          <w:rFonts w:hint="eastAsia" w:ascii="宋体" w:hAnsi="宋体" w:cs="宋体"/>
          <w:color w:val="auto"/>
          <w:kern w:val="0"/>
          <w:sz w:val="24"/>
          <w:highlight w:val="none"/>
        </w:rPr>
        <w:t>8</w:t>
      </w:r>
      <w:r>
        <w:rPr>
          <w:rFonts w:ascii="宋体" w:hAnsi="宋体" w:cs="宋体"/>
          <w:color w:val="auto"/>
          <w:kern w:val="0"/>
          <w:sz w:val="24"/>
          <w:highlight w:val="none"/>
        </w:rPr>
        <w:t xml:space="preserve">.1.1  </w:t>
      </w:r>
      <w:r>
        <w:rPr>
          <w:rFonts w:hint="eastAsia" w:ascii="宋体" w:hAnsi="宋体" w:cs="宋体"/>
          <w:color w:val="auto"/>
          <w:kern w:val="0"/>
          <w:sz w:val="24"/>
          <w:highlight w:val="none"/>
        </w:rPr>
        <w:t>采购人可能会根据上级指示或实际需要，随时以口头通知、电话、短信、微信等方式，向中标人下达工作任务或工作要求，中标人接到通知后，应立即组织机械设备和人员按采购人要求开展工作，最迟响应到位时间在</w:t>
      </w:r>
      <w:r>
        <w:rPr>
          <w:rFonts w:ascii="宋体" w:hAnsi="宋体" w:cs="宋体"/>
          <w:color w:val="auto"/>
          <w:kern w:val="0"/>
          <w:sz w:val="24"/>
          <w:highlight w:val="none"/>
        </w:rPr>
        <w:t>7:00</w:t>
      </w:r>
      <w:r>
        <w:rPr>
          <w:rFonts w:hint="eastAsia" w:ascii="宋体" w:hAnsi="宋体" w:cs="宋体"/>
          <w:color w:val="auto"/>
          <w:kern w:val="0"/>
          <w:sz w:val="24"/>
          <w:highlight w:val="none"/>
        </w:rPr>
        <w:t>～</w:t>
      </w:r>
      <w:r>
        <w:rPr>
          <w:rFonts w:ascii="宋体" w:hAnsi="宋体" w:cs="宋体"/>
          <w:color w:val="auto"/>
          <w:kern w:val="0"/>
          <w:sz w:val="24"/>
          <w:highlight w:val="none"/>
        </w:rPr>
        <w:t>19:00</w:t>
      </w:r>
      <w:r>
        <w:rPr>
          <w:rFonts w:hint="eastAsia" w:ascii="宋体" w:hAnsi="宋体" w:cs="宋体"/>
          <w:color w:val="auto"/>
          <w:kern w:val="0"/>
          <w:sz w:val="24"/>
          <w:highlight w:val="none"/>
        </w:rPr>
        <w:t>时段内为</w:t>
      </w:r>
      <w:r>
        <w:rPr>
          <w:rFonts w:ascii="宋体" w:hAnsi="宋体" w:cs="宋体"/>
          <w:b/>
          <w:color w:val="auto"/>
          <w:kern w:val="0"/>
          <w:sz w:val="24"/>
          <w:highlight w:val="none"/>
          <w:u w:val="single"/>
        </w:rPr>
        <w:t>2</w:t>
      </w:r>
      <w:r>
        <w:rPr>
          <w:rFonts w:hint="eastAsia" w:ascii="宋体" w:hAnsi="宋体" w:cs="宋体"/>
          <w:color w:val="auto"/>
          <w:kern w:val="0"/>
          <w:sz w:val="24"/>
          <w:highlight w:val="none"/>
        </w:rPr>
        <w:t>小时，除了现场没有条件确保安全生产（如夜间无照明设施、台风等危险天气、危险场地、危险结构物附近等）及采购人指示存在违规指挥和强令冒险作业之外，中标人不得以任何理由拒绝采购人指示，也不得以要求加班费、误工费、机械调用费等与采购人讨价还价和推诿扯皮。</w:t>
      </w:r>
    </w:p>
    <w:p w14:paraId="52ED90A0">
      <w:pPr>
        <w:widowControl/>
        <w:adjustRightInd w:val="0"/>
        <w:snapToGrid w:val="0"/>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8</w:t>
      </w:r>
      <w:r>
        <w:rPr>
          <w:rFonts w:ascii="宋体" w:hAnsi="宋体" w:cs="宋体"/>
          <w:color w:val="auto"/>
          <w:kern w:val="0"/>
          <w:sz w:val="24"/>
          <w:highlight w:val="none"/>
        </w:rPr>
        <w:t xml:space="preserve">.1.2  </w:t>
      </w:r>
      <w:r>
        <w:rPr>
          <w:rFonts w:hint="eastAsia" w:ascii="宋体" w:hAnsi="宋体" w:cs="宋体"/>
          <w:color w:val="auto"/>
          <w:kern w:val="0"/>
          <w:sz w:val="24"/>
          <w:highlight w:val="none"/>
        </w:rPr>
        <w:t>采购人可根据北海市或合浦县创城、重大活动、重要节假日等，要求中标人迎接上级检查期间，专门安排加强对路面、边沟等部位，甚至路基范围之外的额外高标准的清理整治工作，中标人不得以任何理由拒绝。该项工作增加的费用，由中标人自行承担。</w:t>
      </w:r>
    </w:p>
    <w:p w14:paraId="0763EA9A">
      <w:pPr>
        <w:widowControl/>
        <w:adjustRightInd w:val="0"/>
        <w:snapToGrid w:val="0"/>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8.1.3 采购人下达的工作指令，中标人必须执行，否则，采购人可对不执行指令的中标人按20000元/次进行处罚，累计不执行指令超过3次的，采购人可终止合同，没收中标人的履约保证金，并报上级将中标人纳入失信人名单。</w:t>
      </w:r>
    </w:p>
    <w:p w14:paraId="66DB21D3">
      <w:pPr>
        <w:widowControl/>
        <w:adjustRightInd w:val="0"/>
        <w:snapToGrid w:val="0"/>
        <w:spacing w:line="360" w:lineRule="auto"/>
        <w:jc w:val="left"/>
        <w:rPr>
          <w:rFonts w:ascii="宋体" w:hAnsi="Calibri" w:cs="宋体"/>
          <w:b/>
          <w:color w:val="auto"/>
          <w:kern w:val="0"/>
          <w:sz w:val="24"/>
          <w:highlight w:val="none"/>
        </w:rPr>
      </w:pPr>
      <w:r>
        <w:rPr>
          <w:rFonts w:hint="eastAsia" w:ascii="宋体" w:hAnsi="Calibri" w:cs="宋体"/>
          <w:b/>
          <w:color w:val="auto"/>
          <w:kern w:val="0"/>
          <w:sz w:val="24"/>
          <w:highlight w:val="none"/>
        </w:rPr>
        <w:t>8</w:t>
      </w:r>
      <w:r>
        <w:rPr>
          <w:rFonts w:ascii="宋体" w:hAnsi="Calibri" w:cs="宋体"/>
          <w:b/>
          <w:color w:val="auto"/>
          <w:kern w:val="0"/>
          <w:sz w:val="24"/>
          <w:highlight w:val="none"/>
        </w:rPr>
        <w:t xml:space="preserve">.2 </w:t>
      </w:r>
      <w:r>
        <w:rPr>
          <w:rFonts w:hint="eastAsia" w:ascii="宋体" w:hAnsi="Calibri" w:cs="宋体"/>
          <w:b/>
          <w:color w:val="auto"/>
          <w:kern w:val="0"/>
          <w:sz w:val="24"/>
          <w:highlight w:val="none"/>
        </w:rPr>
        <w:t>保险</w:t>
      </w:r>
    </w:p>
    <w:p w14:paraId="5D11D03B">
      <w:pPr>
        <w:widowControl/>
        <w:adjustRightInd w:val="0"/>
        <w:snapToGrid w:val="0"/>
        <w:spacing w:line="360" w:lineRule="auto"/>
        <w:ind w:firstLine="480" w:firstLineChars="200"/>
        <w:jc w:val="left"/>
        <w:rPr>
          <w:rFonts w:ascii="宋体" w:hAnsi="Calibri" w:cs="宋体"/>
          <w:color w:val="auto"/>
          <w:kern w:val="0"/>
          <w:sz w:val="24"/>
          <w:highlight w:val="none"/>
        </w:rPr>
      </w:pPr>
      <w:r>
        <w:rPr>
          <w:rFonts w:hint="eastAsia" w:ascii="宋体" w:hAnsi="Calibri" w:cs="宋体"/>
          <w:color w:val="auto"/>
          <w:kern w:val="0"/>
          <w:sz w:val="24"/>
          <w:highlight w:val="none"/>
        </w:rPr>
        <w:t>8</w:t>
      </w:r>
      <w:r>
        <w:rPr>
          <w:rFonts w:ascii="宋体" w:hAnsi="Calibri" w:cs="宋体"/>
          <w:color w:val="auto"/>
          <w:kern w:val="0"/>
          <w:sz w:val="24"/>
          <w:highlight w:val="none"/>
        </w:rPr>
        <w:t xml:space="preserve">.2.1  </w:t>
      </w:r>
      <w:r>
        <w:rPr>
          <w:rFonts w:hint="eastAsia" w:ascii="宋体" w:hAnsi="Calibri" w:cs="宋体"/>
          <w:color w:val="auto"/>
          <w:kern w:val="0"/>
          <w:sz w:val="24"/>
          <w:highlight w:val="none"/>
        </w:rPr>
        <w:t>中标人除了为本项目服务全体人员按规定缴纳工伤保险外，还须为在本项目服务的全体人员购买人身意外险，赔付率不低于100万元。</w:t>
      </w:r>
    </w:p>
    <w:p w14:paraId="43D41B4A">
      <w:pPr>
        <w:widowControl/>
        <w:adjustRightInd w:val="0"/>
        <w:snapToGrid w:val="0"/>
        <w:spacing w:line="360" w:lineRule="auto"/>
        <w:ind w:firstLine="484" w:firstLineChars="202"/>
        <w:jc w:val="left"/>
        <w:rPr>
          <w:rFonts w:eastAsia="黑体"/>
          <w:color w:val="auto"/>
          <w:highlight w:val="none"/>
        </w:rPr>
      </w:pPr>
      <w:r>
        <w:rPr>
          <w:rFonts w:hint="eastAsia" w:ascii="宋体" w:hAnsi="Calibri" w:cs="宋体"/>
          <w:color w:val="auto"/>
          <w:kern w:val="0"/>
          <w:sz w:val="24"/>
          <w:highlight w:val="none"/>
        </w:rPr>
        <w:t>8</w:t>
      </w:r>
      <w:r>
        <w:rPr>
          <w:rFonts w:ascii="宋体" w:hAnsi="Calibri" w:cs="宋体"/>
          <w:color w:val="auto"/>
          <w:kern w:val="0"/>
          <w:sz w:val="24"/>
          <w:highlight w:val="none"/>
        </w:rPr>
        <w:t xml:space="preserve">.2.2  </w:t>
      </w:r>
      <w:r>
        <w:rPr>
          <w:rFonts w:hint="eastAsia" w:ascii="宋体" w:hAnsi="Calibri" w:cs="宋体"/>
          <w:color w:val="auto"/>
          <w:kern w:val="0"/>
          <w:sz w:val="24"/>
          <w:highlight w:val="none"/>
        </w:rPr>
        <w:t>中标人应为</w:t>
      </w:r>
      <w:bookmarkStart w:id="16" w:name="OLE_LINK1"/>
      <w:r>
        <w:rPr>
          <w:rFonts w:hint="eastAsia" w:ascii="宋体" w:hAnsi="Calibri" w:cs="宋体"/>
          <w:color w:val="auto"/>
          <w:kern w:val="0"/>
          <w:sz w:val="24"/>
          <w:highlight w:val="none"/>
        </w:rPr>
        <w:t>本服务项目购买第三者责任险</w:t>
      </w:r>
      <w:bookmarkEnd w:id="16"/>
      <w:r>
        <w:rPr>
          <w:rFonts w:hint="eastAsia" w:ascii="宋体" w:hAnsi="Calibri" w:cs="宋体"/>
          <w:color w:val="auto"/>
          <w:kern w:val="0"/>
          <w:sz w:val="24"/>
          <w:highlight w:val="none"/>
        </w:rPr>
        <w:t>，赔付率不低于</w:t>
      </w:r>
      <w:r>
        <w:rPr>
          <w:rFonts w:ascii="宋体" w:hAnsi="Calibri" w:cs="宋体"/>
          <w:color w:val="auto"/>
          <w:kern w:val="0"/>
          <w:sz w:val="24"/>
          <w:highlight w:val="none"/>
        </w:rPr>
        <w:t>2</w:t>
      </w:r>
      <w:r>
        <w:rPr>
          <w:rFonts w:hint="eastAsia" w:ascii="宋体" w:hAnsi="Calibri" w:cs="宋体"/>
          <w:color w:val="auto"/>
          <w:kern w:val="0"/>
          <w:sz w:val="24"/>
          <w:highlight w:val="none"/>
        </w:rPr>
        <w:t>00万元。养护服务过程中造成第三者伤害或损害的后果，由中标人依据第三者责任险条款规定向保险公司索赔。</w:t>
      </w:r>
    </w:p>
    <w:p w14:paraId="6FC76A6B">
      <w:pPr>
        <w:widowControl/>
        <w:adjustRightInd w:val="0"/>
        <w:snapToGrid w:val="0"/>
        <w:spacing w:line="360" w:lineRule="auto"/>
        <w:ind w:firstLine="484" w:firstLineChars="202"/>
        <w:jc w:val="left"/>
        <w:rPr>
          <w:rFonts w:ascii="宋体" w:hAnsi="Calibri" w:cs="宋体"/>
          <w:color w:val="auto"/>
          <w:kern w:val="0"/>
          <w:sz w:val="24"/>
          <w:highlight w:val="none"/>
        </w:rPr>
      </w:pPr>
      <w:r>
        <w:rPr>
          <w:rFonts w:hint="eastAsia" w:ascii="宋体" w:hAnsi="Calibri" w:cs="宋体"/>
          <w:color w:val="auto"/>
          <w:kern w:val="0"/>
          <w:sz w:val="24"/>
          <w:highlight w:val="none"/>
        </w:rPr>
        <w:t>8</w:t>
      </w:r>
      <w:r>
        <w:rPr>
          <w:rFonts w:ascii="宋体" w:hAnsi="Calibri" w:cs="宋体"/>
          <w:color w:val="auto"/>
          <w:kern w:val="0"/>
          <w:sz w:val="24"/>
          <w:highlight w:val="none"/>
        </w:rPr>
        <w:t xml:space="preserve">.2.3  </w:t>
      </w:r>
      <w:r>
        <w:rPr>
          <w:rFonts w:hint="eastAsia" w:ascii="宋体" w:hAnsi="Calibri" w:cs="宋体"/>
          <w:color w:val="auto"/>
          <w:kern w:val="0"/>
          <w:sz w:val="24"/>
          <w:highlight w:val="none"/>
        </w:rPr>
        <w:t>中标人应为本项目服务临时雇请的农民工（包括但不限于路面维修和应急突击任务雇请工人和技术、管理人员）购买临时人身意外伤害保险，赔付率不低于100万元。</w:t>
      </w:r>
    </w:p>
    <w:p w14:paraId="0B047C4D">
      <w:pPr>
        <w:widowControl/>
        <w:adjustRightInd w:val="0"/>
        <w:snapToGrid w:val="0"/>
        <w:spacing w:line="360" w:lineRule="auto"/>
        <w:ind w:firstLine="484" w:firstLineChars="202"/>
        <w:jc w:val="left"/>
        <w:rPr>
          <w:rFonts w:ascii="宋体" w:hAnsi="Calibri" w:cs="宋体"/>
          <w:color w:val="auto"/>
          <w:kern w:val="0"/>
          <w:sz w:val="24"/>
          <w:highlight w:val="none"/>
        </w:rPr>
      </w:pPr>
      <w:r>
        <w:rPr>
          <w:rFonts w:hint="eastAsia" w:ascii="宋体" w:hAnsi="Calibri" w:cs="宋体"/>
          <w:color w:val="auto"/>
          <w:kern w:val="0"/>
          <w:sz w:val="24"/>
          <w:highlight w:val="none"/>
        </w:rPr>
        <w:t>8</w:t>
      </w:r>
      <w:r>
        <w:rPr>
          <w:rFonts w:ascii="宋体" w:hAnsi="Calibri" w:cs="宋体"/>
          <w:color w:val="auto"/>
          <w:kern w:val="0"/>
          <w:sz w:val="24"/>
          <w:highlight w:val="none"/>
        </w:rPr>
        <w:t>.</w:t>
      </w:r>
      <w:r>
        <w:rPr>
          <w:rFonts w:hint="eastAsia" w:ascii="宋体" w:hAnsi="Calibri" w:cs="宋体"/>
          <w:color w:val="auto"/>
          <w:kern w:val="0"/>
          <w:sz w:val="24"/>
          <w:highlight w:val="none"/>
        </w:rPr>
        <w:t>2</w:t>
      </w:r>
      <w:r>
        <w:rPr>
          <w:rFonts w:ascii="宋体" w:hAnsi="Calibri" w:cs="宋体"/>
          <w:color w:val="auto"/>
          <w:kern w:val="0"/>
          <w:sz w:val="24"/>
          <w:highlight w:val="none"/>
        </w:rPr>
        <w:t xml:space="preserve">.4  </w:t>
      </w:r>
      <w:r>
        <w:rPr>
          <w:rFonts w:hint="eastAsia" w:ascii="宋体" w:hAnsi="Calibri" w:cs="宋体"/>
          <w:color w:val="auto"/>
          <w:kern w:val="0"/>
          <w:sz w:val="24"/>
          <w:highlight w:val="none"/>
        </w:rPr>
        <w:t>中标人应为本服务项目购买安全生产责任险。</w:t>
      </w:r>
    </w:p>
    <w:p w14:paraId="06AB7B4F">
      <w:pPr>
        <w:widowControl/>
        <w:adjustRightInd w:val="0"/>
        <w:snapToGrid w:val="0"/>
        <w:spacing w:line="360" w:lineRule="auto"/>
        <w:ind w:firstLine="484" w:firstLineChars="202"/>
        <w:jc w:val="left"/>
        <w:rPr>
          <w:rFonts w:ascii="宋体" w:hAnsi="Calibri" w:cs="宋体"/>
          <w:color w:val="auto"/>
          <w:kern w:val="0"/>
          <w:sz w:val="24"/>
          <w:highlight w:val="none"/>
        </w:rPr>
      </w:pPr>
      <w:r>
        <w:rPr>
          <w:rFonts w:hint="eastAsia" w:ascii="宋体" w:hAnsi="Calibri" w:cs="宋体"/>
          <w:color w:val="auto"/>
          <w:kern w:val="0"/>
          <w:sz w:val="24"/>
          <w:highlight w:val="none"/>
        </w:rPr>
        <w:t>8</w:t>
      </w:r>
      <w:r>
        <w:rPr>
          <w:rFonts w:ascii="宋体" w:hAnsi="Calibri" w:cs="宋体"/>
          <w:color w:val="auto"/>
          <w:kern w:val="0"/>
          <w:sz w:val="24"/>
          <w:highlight w:val="none"/>
        </w:rPr>
        <w:t xml:space="preserve">.2.5  </w:t>
      </w:r>
      <w:r>
        <w:rPr>
          <w:rFonts w:hint="eastAsia" w:ascii="宋体" w:hAnsi="Calibri" w:cs="宋体"/>
          <w:color w:val="auto"/>
          <w:kern w:val="0"/>
          <w:sz w:val="24"/>
          <w:highlight w:val="none"/>
        </w:rPr>
        <w:t>中标人为实施本招标项目购买各类保险的保费视为已经包含在相关的分项工作报价中（不含安全生产责任险），采购人不另外支付。保险金不足以补偿损失的(包括免赔额和超过赔偿限额的部分)，应由承包人负责补偿。</w:t>
      </w:r>
    </w:p>
    <w:p w14:paraId="2F714C05">
      <w:pPr>
        <w:widowControl/>
        <w:jc w:val="left"/>
        <w:rPr>
          <w:color w:val="auto"/>
          <w:highlight w:val="none"/>
        </w:rPr>
      </w:pPr>
      <w:r>
        <w:rPr>
          <w:color w:val="auto"/>
          <w:highlight w:val="none"/>
        </w:rPr>
        <w:br w:type="page"/>
      </w:r>
    </w:p>
    <w:p w14:paraId="40B284B9">
      <w:pPr>
        <w:jc w:val="center"/>
        <w:rPr>
          <w:color w:val="auto"/>
          <w:highlight w:val="none"/>
        </w:rPr>
      </w:pPr>
    </w:p>
    <w:p w14:paraId="2EEDA196">
      <w:pPr>
        <w:jc w:val="center"/>
        <w:rPr>
          <w:color w:val="auto"/>
          <w:highlight w:val="none"/>
        </w:rPr>
      </w:pPr>
    </w:p>
    <w:p w14:paraId="54FD53CE">
      <w:pPr>
        <w:jc w:val="center"/>
        <w:rPr>
          <w:color w:val="auto"/>
          <w:highlight w:val="none"/>
        </w:rPr>
      </w:pPr>
    </w:p>
    <w:p w14:paraId="44699776">
      <w:pPr>
        <w:jc w:val="center"/>
        <w:rPr>
          <w:color w:val="auto"/>
          <w:highlight w:val="none"/>
        </w:rPr>
      </w:pPr>
    </w:p>
    <w:p w14:paraId="64F54B20">
      <w:pPr>
        <w:jc w:val="center"/>
        <w:rPr>
          <w:color w:val="auto"/>
          <w:highlight w:val="none"/>
        </w:rPr>
      </w:pPr>
    </w:p>
    <w:p w14:paraId="7FC75A27">
      <w:pPr>
        <w:jc w:val="center"/>
        <w:rPr>
          <w:color w:val="auto"/>
          <w:highlight w:val="none"/>
        </w:rPr>
      </w:pPr>
    </w:p>
    <w:p w14:paraId="217AB149">
      <w:pPr>
        <w:jc w:val="center"/>
        <w:rPr>
          <w:color w:val="auto"/>
          <w:highlight w:val="none"/>
        </w:rPr>
      </w:pPr>
    </w:p>
    <w:p w14:paraId="1D070BCC">
      <w:pPr>
        <w:jc w:val="center"/>
        <w:rPr>
          <w:color w:val="auto"/>
          <w:highlight w:val="none"/>
        </w:rPr>
      </w:pPr>
    </w:p>
    <w:p w14:paraId="770EFAFA">
      <w:pPr>
        <w:jc w:val="center"/>
        <w:rPr>
          <w:color w:val="auto"/>
          <w:highlight w:val="none"/>
        </w:rPr>
      </w:pPr>
    </w:p>
    <w:p w14:paraId="4A7164B0">
      <w:pPr>
        <w:jc w:val="center"/>
        <w:rPr>
          <w:color w:val="auto"/>
          <w:highlight w:val="none"/>
        </w:rPr>
      </w:pPr>
    </w:p>
    <w:p w14:paraId="12D7234F">
      <w:pPr>
        <w:jc w:val="center"/>
        <w:rPr>
          <w:color w:val="auto"/>
          <w:highlight w:val="none"/>
        </w:rPr>
      </w:pPr>
    </w:p>
    <w:p w14:paraId="09B6DF53">
      <w:pPr>
        <w:jc w:val="center"/>
        <w:outlineLvl w:val="0"/>
        <w:rPr>
          <w:rFonts w:ascii="宋体" w:hAnsi="宋体"/>
          <w:b/>
          <w:bCs/>
          <w:color w:val="auto"/>
          <w:sz w:val="44"/>
          <w:szCs w:val="44"/>
          <w:highlight w:val="none"/>
        </w:rPr>
      </w:pPr>
      <w:bookmarkStart w:id="17" w:name="_Toc3278"/>
      <w:r>
        <w:rPr>
          <w:rFonts w:hint="eastAsia" w:ascii="宋体" w:hAnsi="宋体"/>
          <w:b/>
          <w:bCs/>
          <w:color w:val="auto"/>
          <w:sz w:val="44"/>
          <w:szCs w:val="44"/>
          <w:highlight w:val="none"/>
        </w:rPr>
        <w:t>第四章  合同主要条款</w:t>
      </w:r>
      <w:bookmarkEnd w:id="17"/>
    </w:p>
    <w:p w14:paraId="03FDA154">
      <w:pPr>
        <w:pStyle w:val="13"/>
        <w:spacing w:line="600" w:lineRule="exact"/>
        <w:jc w:val="center"/>
        <w:rPr>
          <w:rFonts w:hAnsi="宋体"/>
          <w:b/>
          <w:color w:val="auto"/>
          <w:sz w:val="52"/>
          <w:szCs w:val="52"/>
          <w:highlight w:val="none"/>
        </w:rPr>
      </w:pPr>
    </w:p>
    <w:p w14:paraId="775F95E8">
      <w:pPr>
        <w:pStyle w:val="13"/>
        <w:spacing w:line="600" w:lineRule="exact"/>
        <w:jc w:val="center"/>
        <w:rPr>
          <w:rFonts w:hAnsi="宋体"/>
          <w:b/>
          <w:color w:val="auto"/>
          <w:sz w:val="52"/>
          <w:szCs w:val="52"/>
          <w:highlight w:val="none"/>
        </w:rPr>
      </w:pPr>
    </w:p>
    <w:p w14:paraId="00563629">
      <w:pPr>
        <w:pStyle w:val="13"/>
        <w:spacing w:line="600" w:lineRule="exact"/>
        <w:jc w:val="center"/>
        <w:rPr>
          <w:rFonts w:hAnsi="宋体"/>
          <w:b/>
          <w:color w:val="auto"/>
          <w:sz w:val="52"/>
          <w:szCs w:val="52"/>
          <w:highlight w:val="none"/>
        </w:rPr>
      </w:pPr>
    </w:p>
    <w:p w14:paraId="340174F1">
      <w:pPr>
        <w:pStyle w:val="13"/>
        <w:spacing w:line="600" w:lineRule="exact"/>
        <w:jc w:val="center"/>
        <w:rPr>
          <w:rFonts w:hAnsi="宋体"/>
          <w:b/>
          <w:color w:val="auto"/>
          <w:sz w:val="52"/>
          <w:szCs w:val="52"/>
          <w:highlight w:val="none"/>
        </w:rPr>
      </w:pPr>
    </w:p>
    <w:p w14:paraId="071476CF">
      <w:pPr>
        <w:pStyle w:val="13"/>
        <w:spacing w:line="600" w:lineRule="exact"/>
        <w:jc w:val="center"/>
        <w:rPr>
          <w:rFonts w:hAnsi="宋体"/>
          <w:b/>
          <w:color w:val="auto"/>
          <w:sz w:val="52"/>
          <w:szCs w:val="52"/>
          <w:highlight w:val="none"/>
        </w:rPr>
      </w:pPr>
    </w:p>
    <w:p w14:paraId="36DFFAC0">
      <w:pPr>
        <w:pStyle w:val="13"/>
        <w:spacing w:line="600" w:lineRule="exact"/>
        <w:jc w:val="center"/>
        <w:rPr>
          <w:rFonts w:hAnsi="宋体"/>
          <w:b/>
          <w:color w:val="auto"/>
          <w:sz w:val="52"/>
          <w:szCs w:val="52"/>
          <w:highlight w:val="none"/>
        </w:rPr>
      </w:pPr>
    </w:p>
    <w:p w14:paraId="1ED253C1">
      <w:pPr>
        <w:pStyle w:val="13"/>
        <w:spacing w:line="600" w:lineRule="exact"/>
        <w:jc w:val="center"/>
        <w:rPr>
          <w:rFonts w:hAnsi="宋体"/>
          <w:b/>
          <w:color w:val="auto"/>
          <w:sz w:val="52"/>
          <w:szCs w:val="52"/>
          <w:highlight w:val="none"/>
        </w:rPr>
      </w:pPr>
    </w:p>
    <w:p w14:paraId="1ECE110A">
      <w:pPr>
        <w:pStyle w:val="13"/>
        <w:spacing w:line="600" w:lineRule="exact"/>
        <w:jc w:val="center"/>
        <w:rPr>
          <w:rFonts w:hAnsi="宋体"/>
          <w:b/>
          <w:color w:val="auto"/>
          <w:sz w:val="52"/>
          <w:szCs w:val="52"/>
          <w:highlight w:val="none"/>
        </w:rPr>
      </w:pPr>
    </w:p>
    <w:p w14:paraId="285B0536">
      <w:pPr>
        <w:pStyle w:val="13"/>
        <w:spacing w:line="600" w:lineRule="exact"/>
        <w:jc w:val="center"/>
        <w:rPr>
          <w:rFonts w:hAnsi="宋体"/>
          <w:b/>
          <w:color w:val="auto"/>
          <w:sz w:val="52"/>
          <w:szCs w:val="52"/>
          <w:highlight w:val="none"/>
        </w:rPr>
      </w:pPr>
    </w:p>
    <w:p w14:paraId="2D7B549C">
      <w:pPr>
        <w:pStyle w:val="13"/>
        <w:spacing w:line="600" w:lineRule="exact"/>
        <w:jc w:val="center"/>
        <w:rPr>
          <w:rFonts w:hAnsi="宋体"/>
          <w:b/>
          <w:color w:val="auto"/>
          <w:sz w:val="52"/>
          <w:szCs w:val="52"/>
          <w:highlight w:val="none"/>
        </w:rPr>
      </w:pPr>
    </w:p>
    <w:p w14:paraId="6028CEE5">
      <w:pPr>
        <w:pStyle w:val="13"/>
        <w:spacing w:line="600" w:lineRule="exact"/>
        <w:jc w:val="center"/>
        <w:rPr>
          <w:rFonts w:hAnsi="宋体"/>
          <w:b/>
          <w:color w:val="auto"/>
          <w:sz w:val="52"/>
          <w:szCs w:val="52"/>
          <w:highlight w:val="none"/>
        </w:rPr>
      </w:pPr>
    </w:p>
    <w:p w14:paraId="092B9C44">
      <w:pPr>
        <w:pStyle w:val="13"/>
        <w:spacing w:line="600" w:lineRule="exact"/>
        <w:jc w:val="center"/>
        <w:rPr>
          <w:rFonts w:hAnsi="宋体"/>
          <w:b/>
          <w:color w:val="auto"/>
          <w:sz w:val="52"/>
          <w:szCs w:val="52"/>
          <w:highlight w:val="none"/>
        </w:rPr>
      </w:pPr>
    </w:p>
    <w:p w14:paraId="7E68BD7F">
      <w:pPr>
        <w:rPr>
          <w:rFonts w:hAnsi="宋体"/>
          <w:color w:val="auto"/>
          <w:szCs w:val="20"/>
          <w:highlight w:val="none"/>
        </w:rPr>
      </w:pPr>
    </w:p>
    <w:p w14:paraId="2C21236A">
      <w:pPr>
        <w:spacing w:line="780" w:lineRule="exact"/>
        <w:jc w:val="center"/>
        <w:rPr>
          <w:rFonts w:ascii="宋体" w:hAnsi="宋体"/>
          <w:color w:val="auto"/>
          <w:sz w:val="72"/>
          <w:szCs w:val="72"/>
          <w:highlight w:val="none"/>
        </w:rPr>
      </w:pPr>
    </w:p>
    <w:p w14:paraId="06B805B8">
      <w:pPr>
        <w:spacing w:line="780" w:lineRule="exact"/>
        <w:jc w:val="center"/>
        <w:rPr>
          <w:rFonts w:ascii="宋体" w:hAnsi="宋体"/>
          <w:color w:val="auto"/>
          <w:sz w:val="72"/>
          <w:szCs w:val="72"/>
          <w:highlight w:val="none"/>
        </w:rPr>
      </w:pPr>
    </w:p>
    <w:p w14:paraId="703B124C">
      <w:pPr>
        <w:spacing w:line="780" w:lineRule="exact"/>
        <w:jc w:val="center"/>
        <w:rPr>
          <w:rFonts w:ascii="宋体" w:hAnsi="宋体"/>
          <w:b/>
          <w:color w:val="auto"/>
          <w:sz w:val="52"/>
          <w:szCs w:val="52"/>
          <w:highlight w:val="none"/>
        </w:rPr>
      </w:pPr>
      <w:r>
        <w:rPr>
          <w:rFonts w:hint="eastAsia" w:ascii="宋体" w:hAnsi="宋体"/>
          <w:b/>
          <w:color w:val="auto"/>
          <w:sz w:val="52"/>
          <w:szCs w:val="52"/>
          <w:highlight w:val="none"/>
        </w:rPr>
        <w:br w:type="page"/>
      </w:r>
      <w:r>
        <w:rPr>
          <w:rFonts w:hint="eastAsia" w:ascii="宋体" w:hAnsi="宋体"/>
          <w:b/>
          <w:color w:val="auto"/>
          <w:sz w:val="52"/>
          <w:szCs w:val="52"/>
          <w:highlight w:val="none"/>
        </w:rPr>
        <w:t>合浦县农村公路日常养护服务项目合同协议书</w:t>
      </w:r>
    </w:p>
    <w:p w14:paraId="451913DC">
      <w:pPr>
        <w:rPr>
          <w:rFonts w:hAnsi="宋体"/>
          <w:color w:val="auto"/>
          <w:szCs w:val="20"/>
          <w:highlight w:val="none"/>
        </w:rPr>
      </w:pPr>
    </w:p>
    <w:p w14:paraId="592A7BA5">
      <w:pPr>
        <w:rPr>
          <w:rFonts w:hAnsi="宋体"/>
          <w:color w:val="auto"/>
          <w:szCs w:val="20"/>
          <w:highlight w:val="none"/>
        </w:rPr>
      </w:pPr>
    </w:p>
    <w:p w14:paraId="4923FFFA">
      <w:pPr>
        <w:pStyle w:val="2"/>
        <w:rPr>
          <w:rFonts w:hAnsi="宋体"/>
          <w:color w:val="auto"/>
          <w:szCs w:val="20"/>
          <w:highlight w:val="none"/>
        </w:rPr>
      </w:pPr>
    </w:p>
    <w:p w14:paraId="3BB197CC">
      <w:pPr>
        <w:rPr>
          <w:rFonts w:hAnsi="宋体"/>
          <w:color w:val="auto"/>
          <w:szCs w:val="20"/>
          <w:highlight w:val="none"/>
        </w:rPr>
      </w:pPr>
    </w:p>
    <w:p w14:paraId="15DB39AF">
      <w:pPr>
        <w:pStyle w:val="2"/>
        <w:rPr>
          <w:rFonts w:hAnsi="宋体"/>
          <w:color w:val="auto"/>
          <w:szCs w:val="20"/>
          <w:highlight w:val="none"/>
        </w:rPr>
      </w:pPr>
    </w:p>
    <w:p w14:paraId="56DC6C2F">
      <w:pPr>
        <w:rPr>
          <w:rFonts w:hAnsi="宋体"/>
          <w:color w:val="auto"/>
          <w:szCs w:val="20"/>
          <w:highlight w:val="none"/>
        </w:rPr>
      </w:pPr>
    </w:p>
    <w:p w14:paraId="6765FC8B">
      <w:pPr>
        <w:pStyle w:val="2"/>
        <w:rPr>
          <w:color w:val="auto"/>
          <w:highlight w:val="none"/>
        </w:rPr>
      </w:pPr>
    </w:p>
    <w:p w14:paraId="10CE7AA1">
      <w:pPr>
        <w:rPr>
          <w:rFonts w:hAnsi="宋体"/>
          <w:color w:val="auto"/>
          <w:szCs w:val="20"/>
          <w:highlight w:val="none"/>
        </w:rPr>
      </w:pPr>
    </w:p>
    <w:p w14:paraId="5554B8D5">
      <w:pPr>
        <w:rPr>
          <w:rFonts w:hAnsi="宋体"/>
          <w:color w:val="auto"/>
          <w:szCs w:val="20"/>
          <w:highlight w:val="none"/>
        </w:rPr>
      </w:pPr>
    </w:p>
    <w:p w14:paraId="7A1C91CC">
      <w:pPr>
        <w:rPr>
          <w:rFonts w:hAnsi="宋体"/>
          <w:color w:val="auto"/>
          <w:szCs w:val="20"/>
          <w:highlight w:val="none"/>
        </w:rPr>
      </w:pPr>
    </w:p>
    <w:p w14:paraId="566CA9C3">
      <w:pPr>
        <w:ind w:firstLine="803" w:firstLineChars="250"/>
        <w:rPr>
          <w:rFonts w:ascii="宋体" w:hAnsi="宋体"/>
          <w:b/>
          <w:color w:val="auto"/>
          <w:sz w:val="32"/>
          <w:szCs w:val="32"/>
          <w:highlight w:val="none"/>
        </w:rPr>
      </w:pPr>
      <w:r>
        <w:rPr>
          <w:rFonts w:hint="eastAsia" w:ascii="宋体" w:hAnsi="宋体"/>
          <w:b/>
          <w:color w:val="auto"/>
          <w:sz w:val="32"/>
          <w:szCs w:val="32"/>
          <w:highlight w:val="none"/>
        </w:rPr>
        <w:t>合同</w:t>
      </w:r>
      <w:r>
        <w:rPr>
          <w:rFonts w:ascii="宋体" w:hAnsi="宋体"/>
          <w:b/>
          <w:color w:val="auto"/>
          <w:sz w:val="32"/>
          <w:szCs w:val="32"/>
          <w:highlight w:val="none"/>
        </w:rPr>
        <w:t>名称：</w:t>
      </w:r>
      <w:r>
        <w:rPr>
          <w:rFonts w:hint="eastAsia" w:ascii="宋体" w:hAnsi="宋体"/>
          <w:b/>
          <w:color w:val="auto"/>
          <w:sz w:val="32"/>
          <w:szCs w:val="32"/>
          <w:highlight w:val="none"/>
          <w:u w:val="single"/>
        </w:rPr>
        <w:t xml:space="preserve">                                </w:t>
      </w:r>
      <w:r>
        <w:rPr>
          <w:rFonts w:ascii="宋体" w:hAnsi="宋体"/>
          <w:b/>
          <w:color w:val="auto"/>
          <w:sz w:val="32"/>
          <w:szCs w:val="32"/>
          <w:highlight w:val="none"/>
        </w:rPr>
        <w:t xml:space="preserve"> </w:t>
      </w:r>
    </w:p>
    <w:p w14:paraId="46FE74C8">
      <w:pPr>
        <w:ind w:firstLine="803" w:firstLineChars="250"/>
        <w:rPr>
          <w:rFonts w:ascii="宋体" w:hAnsi="宋体"/>
          <w:b/>
          <w:color w:val="auto"/>
          <w:sz w:val="32"/>
          <w:szCs w:val="32"/>
          <w:highlight w:val="none"/>
        </w:rPr>
      </w:pPr>
      <w:r>
        <w:rPr>
          <w:rFonts w:hint="eastAsia" w:ascii="宋体" w:hAnsi="宋体"/>
          <w:b/>
          <w:color w:val="auto"/>
          <w:sz w:val="32"/>
          <w:szCs w:val="32"/>
          <w:highlight w:val="none"/>
        </w:rPr>
        <w:t>合同编号：</w:t>
      </w:r>
      <w:r>
        <w:rPr>
          <w:rFonts w:hint="eastAsia" w:ascii="宋体" w:hAnsi="宋体"/>
          <w:b/>
          <w:color w:val="auto"/>
          <w:sz w:val="32"/>
          <w:szCs w:val="32"/>
          <w:highlight w:val="none"/>
          <w:u w:val="single"/>
        </w:rPr>
        <w:t xml:space="preserve">                                </w:t>
      </w:r>
    </w:p>
    <w:p w14:paraId="1097F5DA">
      <w:pPr>
        <w:ind w:firstLine="482" w:firstLineChars="150"/>
        <w:rPr>
          <w:rFonts w:ascii="宋体" w:hAnsi="宋体"/>
          <w:b/>
          <w:color w:val="auto"/>
          <w:sz w:val="32"/>
          <w:szCs w:val="32"/>
          <w:highlight w:val="none"/>
        </w:rPr>
      </w:pPr>
    </w:p>
    <w:p w14:paraId="029E8E60">
      <w:pPr>
        <w:ind w:firstLine="482" w:firstLineChars="150"/>
        <w:rPr>
          <w:rFonts w:ascii="宋体" w:hAnsi="宋体"/>
          <w:b/>
          <w:color w:val="auto"/>
          <w:sz w:val="32"/>
          <w:szCs w:val="32"/>
          <w:highlight w:val="none"/>
        </w:rPr>
      </w:pPr>
    </w:p>
    <w:p w14:paraId="0CB61E5A">
      <w:pPr>
        <w:ind w:firstLine="482" w:firstLineChars="150"/>
        <w:rPr>
          <w:rFonts w:ascii="宋体" w:hAnsi="宋体"/>
          <w:b/>
          <w:color w:val="auto"/>
          <w:sz w:val="32"/>
          <w:szCs w:val="32"/>
          <w:highlight w:val="none"/>
        </w:rPr>
      </w:pPr>
    </w:p>
    <w:p w14:paraId="30CF6A6E">
      <w:pPr>
        <w:ind w:firstLine="803" w:firstLineChars="250"/>
        <w:rPr>
          <w:rFonts w:ascii="宋体" w:hAnsi="宋体"/>
          <w:b/>
          <w:color w:val="auto"/>
          <w:sz w:val="32"/>
          <w:szCs w:val="32"/>
          <w:highlight w:val="none"/>
        </w:rPr>
      </w:pPr>
      <w:r>
        <w:rPr>
          <w:rFonts w:ascii="宋体" w:hAnsi="宋体"/>
          <w:b/>
          <w:color w:val="auto"/>
          <w:sz w:val="32"/>
          <w:szCs w:val="32"/>
          <w:highlight w:val="none"/>
        </w:rPr>
        <w:t>委托方</w:t>
      </w:r>
      <w:r>
        <w:rPr>
          <w:rFonts w:hint="eastAsia" w:ascii="宋体" w:hAnsi="宋体"/>
          <w:b/>
          <w:color w:val="auto"/>
          <w:sz w:val="32"/>
          <w:szCs w:val="32"/>
          <w:highlight w:val="none"/>
        </w:rPr>
        <w:t>（甲方）</w:t>
      </w:r>
      <w:r>
        <w:rPr>
          <w:rFonts w:ascii="宋体" w:hAnsi="宋体"/>
          <w:b/>
          <w:color w:val="auto"/>
          <w:sz w:val="32"/>
          <w:szCs w:val="32"/>
          <w:highlight w:val="none"/>
        </w:rPr>
        <w:t>：</w:t>
      </w:r>
      <w:r>
        <w:rPr>
          <w:rFonts w:hint="eastAsia" w:ascii="宋体" w:hAnsi="宋体"/>
          <w:b/>
          <w:color w:val="auto"/>
          <w:sz w:val="32"/>
          <w:szCs w:val="32"/>
          <w:highlight w:val="none"/>
          <w:u w:val="single"/>
        </w:rPr>
        <w:t xml:space="preserve">                           </w:t>
      </w:r>
    </w:p>
    <w:p w14:paraId="10906D5B">
      <w:pPr>
        <w:ind w:firstLine="803" w:firstLineChars="250"/>
        <w:rPr>
          <w:rFonts w:ascii="宋体" w:hAnsi="宋体"/>
          <w:b/>
          <w:color w:val="auto"/>
          <w:sz w:val="32"/>
          <w:szCs w:val="32"/>
          <w:highlight w:val="none"/>
        </w:rPr>
      </w:pPr>
      <w:r>
        <w:rPr>
          <w:rFonts w:hint="eastAsia" w:ascii="宋体" w:hAnsi="宋体"/>
          <w:b/>
          <w:color w:val="auto"/>
          <w:sz w:val="32"/>
          <w:szCs w:val="32"/>
          <w:highlight w:val="none"/>
        </w:rPr>
        <w:t>供应商（乙方）</w:t>
      </w:r>
      <w:r>
        <w:rPr>
          <w:rFonts w:ascii="宋体" w:hAnsi="宋体"/>
          <w:b/>
          <w:color w:val="auto"/>
          <w:sz w:val="32"/>
          <w:szCs w:val="32"/>
          <w:highlight w:val="none"/>
        </w:rPr>
        <w:t>：</w:t>
      </w:r>
      <w:r>
        <w:rPr>
          <w:rFonts w:hint="eastAsia" w:ascii="宋体" w:hAnsi="宋体"/>
          <w:b/>
          <w:color w:val="auto"/>
          <w:sz w:val="32"/>
          <w:szCs w:val="32"/>
          <w:highlight w:val="none"/>
          <w:u w:val="single"/>
        </w:rPr>
        <w:t xml:space="preserve">                           </w:t>
      </w:r>
    </w:p>
    <w:p w14:paraId="03F1B526">
      <w:pPr>
        <w:ind w:firstLine="482" w:firstLineChars="150"/>
        <w:rPr>
          <w:rFonts w:ascii="宋体" w:hAnsi="宋体"/>
          <w:b/>
          <w:color w:val="auto"/>
          <w:sz w:val="32"/>
          <w:szCs w:val="32"/>
          <w:highlight w:val="none"/>
        </w:rPr>
      </w:pPr>
    </w:p>
    <w:p w14:paraId="51E6F22F">
      <w:pPr>
        <w:ind w:firstLine="482" w:firstLineChars="150"/>
        <w:rPr>
          <w:rFonts w:ascii="宋体" w:hAnsi="宋体"/>
          <w:b/>
          <w:color w:val="auto"/>
          <w:sz w:val="32"/>
          <w:szCs w:val="32"/>
          <w:highlight w:val="none"/>
        </w:rPr>
      </w:pPr>
    </w:p>
    <w:p w14:paraId="0C93F44E">
      <w:pPr>
        <w:ind w:firstLine="482" w:firstLineChars="150"/>
        <w:rPr>
          <w:rFonts w:ascii="宋体" w:hAnsi="宋体"/>
          <w:b/>
          <w:color w:val="auto"/>
          <w:sz w:val="32"/>
          <w:szCs w:val="32"/>
          <w:highlight w:val="none"/>
        </w:rPr>
      </w:pPr>
    </w:p>
    <w:p w14:paraId="1FF6B063">
      <w:pPr>
        <w:ind w:firstLine="803" w:firstLineChars="250"/>
        <w:rPr>
          <w:rFonts w:ascii="宋体" w:hAnsi="宋体"/>
          <w:b/>
          <w:color w:val="auto"/>
          <w:sz w:val="32"/>
          <w:szCs w:val="32"/>
          <w:highlight w:val="none"/>
        </w:rPr>
      </w:pPr>
      <w:r>
        <w:rPr>
          <w:rFonts w:ascii="宋体" w:hAnsi="宋体"/>
          <w:b/>
          <w:color w:val="auto"/>
          <w:sz w:val="32"/>
          <w:szCs w:val="32"/>
          <w:highlight w:val="none"/>
        </w:rPr>
        <w:t>签订</w:t>
      </w:r>
      <w:r>
        <w:rPr>
          <w:rFonts w:hint="eastAsia" w:ascii="宋体" w:hAnsi="宋体"/>
          <w:b/>
          <w:color w:val="auto"/>
          <w:sz w:val="32"/>
          <w:szCs w:val="32"/>
          <w:highlight w:val="none"/>
        </w:rPr>
        <w:t>合同地点</w:t>
      </w:r>
      <w:r>
        <w:rPr>
          <w:rFonts w:ascii="宋体" w:hAnsi="宋体"/>
          <w:b/>
          <w:color w:val="auto"/>
          <w:sz w:val="32"/>
          <w:szCs w:val="32"/>
          <w:highlight w:val="none"/>
        </w:rPr>
        <w:t>：</w:t>
      </w:r>
      <w:r>
        <w:rPr>
          <w:rFonts w:hint="eastAsia" w:ascii="宋体" w:hAnsi="宋体"/>
          <w:b/>
          <w:color w:val="auto"/>
          <w:sz w:val="32"/>
          <w:szCs w:val="32"/>
          <w:highlight w:val="none"/>
          <w:u w:val="single"/>
        </w:rPr>
        <w:t xml:space="preserve">                            </w:t>
      </w:r>
    </w:p>
    <w:p w14:paraId="0A9B7035">
      <w:pPr>
        <w:ind w:firstLine="803" w:firstLineChars="250"/>
        <w:rPr>
          <w:rFonts w:ascii="宋体" w:hAnsi="宋体"/>
          <w:b/>
          <w:color w:val="auto"/>
          <w:sz w:val="32"/>
          <w:szCs w:val="32"/>
          <w:highlight w:val="none"/>
        </w:rPr>
      </w:pPr>
      <w:r>
        <w:rPr>
          <w:rFonts w:hint="eastAsia" w:ascii="宋体" w:hAnsi="宋体"/>
          <w:b/>
          <w:color w:val="auto"/>
          <w:sz w:val="32"/>
          <w:szCs w:val="32"/>
          <w:highlight w:val="none"/>
        </w:rPr>
        <w:t>签订合同时间：</w:t>
      </w:r>
      <w:r>
        <w:rPr>
          <w:rFonts w:hint="eastAsia" w:ascii="宋体" w:hAnsi="宋体"/>
          <w:b/>
          <w:color w:val="auto"/>
          <w:sz w:val="32"/>
          <w:szCs w:val="32"/>
          <w:highlight w:val="none"/>
          <w:u w:val="single"/>
        </w:rPr>
        <w:t xml:space="preserve">                            </w:t>
      </w:r>
    </w:p>
    <w:p w14:paraId="13B2AB09">
      <w:pPr>
        <w:snapToGrid w:val="0"/>
        <w:spacing w:line="400" w:lineRule="exact"/>
        <w:rPr>
          <w:rFonts w:hAnsi="宋体"/>
          <w:b/>
          <w:bCs/>
          <w:color w:val="auto"/>
          <w:szCs w:val="21"/>
          <w:highlight w:val="none"/>
        </w:rPr>
      </w:pPr>
    </w:p>
    <w:p w14:paraId="1752F4FE">
      <w:pPr>
        <w:snapToGrid w:val="0"/>
        <w:spacing w:line="400" w:lineRule="exact"/>
        <w:jc w:val="center"/>
        <w:rPr>
          <w:rFonts w:hAnsi="宋体"/>
          <w:b/>
          <w:color w:val="auto"/>
          <w:kern w:val="0"/>
          <w:sz w:val="32"/>
          <w:szCs w:val="32"/>
          <w:highlight w:val="none"/>
        </w:rPr>
      </w:pPr>
    </w:p>
    <w:p w14:paraId="33A4E4DB">
      <w:pPr>
        <w:snapToGrid w:val="0"/>
        <w:spacing w:line="400" w:lineRule="exact"/>
        <w:jc w:val="center"/>
        <w:rPr>
          <w:rFonts w:hAnsi="宋体"/>
          <w:b/>
          <w:color w:val="auto"/>
          <w:kern w:val="0"/>
          <w:sz w:val="32"/>
          <w:szCs w:val="32"/>
          <w:highlight w:val="none"/>
        </w:rPr>
      </w:pPr>
    </w:p>
    <w:p w14:paraId="12F30FBE">
      <w:pPr>
        <w:snapToGrid w:val="0"/>
        <w:spacing w:line="400" w:lineRule="exact"/>
        <w:jc w:val="center"/>
        <w:rPr>
          <w:rFonts w:hAnsi="宋体"/>
          <w:b/>
          <w:color w:val="auto"/>
          <w:kern w:val="0"/>
          <w:sz w:val="32"/>
          <w:szCs w:val="32"/>
          <w:highlight w:val="none"/>
        </w:rPr>
      </w:pPr>
    </w:p>
    <w:p w14:paraId="07639759">
      <w:pPr>
        <w:snapToGrid w:val="0"/>
        <w:spacing w:line="400" w:lineRule="exact"/>
        <w:jc w:val="center"/>
        <w:rPr>
          <w:rFonts w:hAnsi="宋体"/>
          <w:b/>
          <w:color w:val="auto"/>
          <w:kern w:val="0"/>
          <w:sz w:val="32"/>
          <w:szCs w:val="32"/>
          <w:highlight w:val="none"/>
        </w:rPr>
      </w:pPr>
    </w:p>
    <w:p w14:paraId="425C8C4D">
      <w:pPr>
        <w:snapToGrid w:val="0"/>
        <w:spacing w:line="400" w:lineRule="exact"/>
        <w:rPr>
          <w:rFonts w:hAnsi="宋体"/>
          <w:b/>
          <w:color w:val="auto"/>
          <w:kern w:val="0"/>
          <w:sz w:val="32"/>
          <w:szCs w:val="32"/>
          <w:highlight w:val="none"/>
        </w:rPr>
      </w:pPr>
    </w:p>
    <w:p w14:paraId="53319724">
      <w:pPr>
        <w:spacing w:line="400" w:lineRule="exact"/>
        <w:jc w:val="center"/>
        <w:rPr>
          <w:rFonts w:ascii="黑体" w:hAnsi="Courier New" w:eastAsia="黑体"/>
          <w:b/>
          <w:color w:val="auto"/>
          <w:sz w:val="30"/>
          <w:szCs w:val="30"/>
          <w:highlight w:val="none"/>
        </w:rPr>
      </w:pPr>
    </w:p>
    <w:p w14:paraId="6DE24C2D">
      <w:pPr>
        <w:spacing w:before="120" w:beforeLines="50"/>
        <w:jc w:val="center"/>
        <w:rPr>
          <w:rFonts w:ascii="仿宋_GB2312" w:hAnsi="宋体" w:eastAsia="仿宋_GB2312"/>
          <w:b/>
          <w:color w:val="auto"/>
          <w:sz w:val="24"/>
          <w:highlight w:val="none"/>
        </w:rPr>
      </w:pPr>
      <w:r>
        <w:rPr>
          <w:rFonts w:hint="eastAsia" w:ascii="黑体" w:hAnsi="Courier New" w:eastAsia="黑体"/>
          <w:b/>
          <w:color w:val="auto"/>
          <w:sz w:val="30"/>
          <w:szCs w:val="30"/>
          <w:highlight w:val="none"/>
        </w:rPr>
        <w:br w:type="page"/>
      </w:r>
      <w:r>
        <w:rPr>
          <w:rFonts w:hint="eastAsia" w:ascii="仿宋_GB2312" w:hAnsi="宋体" w:eastAsia="仿宋_GB2312"/>
          <w:b/>
          <w:color w:val="auto"/>
          <w:sz w:val="32"/>
          <w:szCs w:val="32"/>
          <w:highlight w:val="none"/>
        </w:rPr>
        <w:t>合浦县农村公路日常养护服务项目合同协议书</w:t>
      </w:r>
    </w:p>
    <w:p w14:paraId="2DB6CBA2">
      <w:pPr>
        <w:snapToGrid w:val="0"/>
        <w:spacing w:line="360" w:lineRule="auto"/>
        <w:jc w:val="center"/>
        <w:rPr>
          <w:rFonts w:ascii="宋体"/>
          <w:b/>
          <w:bCs/>
          <w:color w:val="auto"/>
          <w:sz w:val="24"/>
          <w:highlight w:val="none"/>
        </w:rPr>
      </w:pPr>
    </w:p>
    <w:p w14:paraId="120186B7">
      <w:pPr>
        <w:snapToGrid w:val="0"/>
        <w:spacing w:line="360" w:lineRule="auto"/>
        <w:ind w:right="480"/>
        <w:jc w:val="center"/>
        <w:rPr>
          <w:rFonts w:ascii="宋体"/>
          <w:bCs/>
          <w:color w:val="auto"/>
          <w:sz w:val="24"/>
          <w:highlight w:val="none"/>
          <w:u w:val="single"/>
        </w:rPr>
      </w:pPr>
      <w:r>
        <w:rPr>
          <w:rFonts w:hint="eastAsia" w:ascii="宋体" w:hAnsi="宋体"/>
          <w:bCs/>
          <w:color w:val="auto"/>
          <w:sz w:val="24"/>
          <w:highlight w:val="none"/>
        </w:rPr>
        <w:t>（合同编号：</w:t>
      </w:r>
      <w:r>
        <w:rPr>
          <w:rFonts w:hint="eastAsia" w:ascii="宋体" w:hAnsi="宋体"/>
          <w:bCs/>
          <w:color w:val="auto"/>
          <w:sz w:val="24"/>
          <w:highlight w:val="none"/>
          <w:u w:val="single"/>
        </w:rPr>
        <w:t xml:space="preserve">             ）</w:t>
      </w:r>
    </w:p>
    <w:p w14:paraId="4CA90229">
      <w:pPr>
        <w:snapToGrid w:val="0"/>
        <w:spacing w:line="360" w:lineRule="auto"/>
        <w:ind w:right="480" w:firstLine="7080" w:firstLineChars="2950"/>
        <w:rPr>
          <w:rFonts w:ascii="宋体"/>
          <w:bCs/>
          <w:color w:val="auto"/>
          <w:sz w:val="24"/>
          <w:highlight w:val="none"/>
          <w:u w:val="single"/>
        </w:rPr>
      </w:pPr>
    </w:p>
    <w:p w14:paraId="357932BB">
      <w:pPr>
        <w:adjustRightInd w:val="0"/>
        <w:snapToGrid w:val="0"/>
        <w:spacing w:line="360" w:lineRule="auto"/>
        <w:rPr>
          <w:rFonts w:ascii="宋体"/>
          <w:color w:val="auto"/>
          <w:sz w:val="24"/>
          <w:highlight w:val="none"/>
          <w:u w:val="single"/>
        </w:rPr>
      </w:pPr>
      <w:r>
        <w:rPr>
          <w:rFonts w:hint="eastAsia" w:ascii="宋体" w:hAnsi="宋体"/>
          <w:color w:val="auto"/>
          <w:sz w:val="24"/>
          <w:highlight w:val="none"/>
        </w:rPr>
        <w:t>采购人（甲方）：</w:t>
      </w:r>
      <w:r>
        <w:rPr>
          <w:rFonts w:ascii="宋体" w:hAnsi="宋体"/>
          <w:color w:val="auto"/>
          <w:sz w:val="24"/>
          <w:highlight w:val="none"/>
          <w:u w:val="single"/>
        </w:rPr>
        <w:t xml:space="preserve">                                        </w:t>
      </w:r>
      <w:r>
        <w:rPr>
          <w:rFonts w:ascii="宋体" w:hAnsi="宋体"/>
          <w:color w:val="auto"/>
          <w:sz w:val="24"/>
          <w:highlight w:val="none"/>
        </w:rPr>
        <w:t xml:space="preserve">    </w:t>
      </w:r>
    </w:p>
    <w:p w14:paraId="5F9C15F0">
      <w:pPr>
        <w:adjustRightInd w:val="0"/>
        <w:snapToGrid w:val="0"/>
        <w:spacing w:line="360" w:lineRule="auto"/>
        <w:rPr>
          <w:rFonts w:ascii="宋体"/>
          <w:color w:val="auto"/>
          <w:sz w:val="24"/>
          <w:highlight w:val="none"/>
        </w:rPr>
      </w:pPr>
      <w:r>
        <w:rPr>
          <w:rFonts w:hint="eastAsia" w:ascii="宋体" w:hAnsi="宋体"/>
          <w:color w:val="auto"/>
          <w:sz w:val="24"/>
          <w:highlight w:val="none"/>
        </w:rPr>
        <w:t>中标人（乙方）：</w:t>
      </w:r>
      <w:r>
        <w:rPr>
          <w:rFonts w:ascii="宋体" w:hAnsi="宋体"/>
          <w:color w:val="auto"/>
          <w:sz w:val="24"/>
          <w:highlight w:val="none"/>
          <w:u w:val="single"/>
        </w:rPr>
        <w:t xml:space="preserve">                                        </w:t>
      </w:r>
    </w:p>
    <w:p w14:paraId="0579EEBF">
      <w:pPr>
        <w:adjustRightInd w:val="0"/>
        <w:snapToGrid w:val="0"/>
        <w:spacing w:line="360" w:lineRule="auto"/>
        <w:rPr>
          <w:rFonts w:ascii="宋体"/>
          <w:color w:val="auto"/>
          <w:sz w:val="24"/>
          <w:highlight w:val="none"/>
          <w:u w:val="single"/>
        </w:rPr>
      </w:pPr>
      <w:r>
        <w:rPr>
          <w:rFonts w:hint="eastAsia" w:ascii="宋体" w:hAnsi="宋体"/>
          <w:color w:val="auto"/>
          <w:sz w:val="24"/>
          <w:highlight w:val="none"/>
        </w:rPr>
        <w:t>项目名称和项目编号：</w:t>
      </w:r>
      <w:r>
        <w:rPr>
          <w:rFonts w:ascii="宋体" w:hAnsi="宋体"/>
          <w:color w:val="auto"/>
          <w:sz w:val="24"/>
          <w:highlight w:val="none"/>
          <w:u w:val="single"/>
        </w:rPr>
        <w:t xml:space="preserve">                                   </w:t>
      </w:r>
    </w:p>
    <w:p w14:paraId="7464D0A4">
      <w:pPr>
        <w:adjustRightInd w:val="0"/>
        <w:snapToGrid w:val="0"/>
        <w:spacing w:line="360" w:lineRule="auto"/>
        <w:rPr>
          <w:rFonts w:ascii="宋体"/>
          <w:color w:val="auto"/>
          <w:sz w:val="24"/>
          <w:highlight w:val="none"/>
          <w:u w:val="single"/>
        </w:rPr>
      </w:pPr>
      <w:r>
        <w:rPr>
          <w:rFonts w:hint="eastAsia" w:ascii="宋体" w:hAnsi="宋体"/>
          <w:color w:val="auto"/>
          <w:sz w:val="24"/>
          <w:highlight w:val="none"/>
        </w:rPr>
        <w:t>签订地点：</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签订时间：</w:t>
      </w:r>
      <w:r>
        <w:rPr>
          <w:rFonts w:ascii="宋体" w:hAnsi="宋体"/>
          <w:color w:val="auto"/>
          <w:sz w:val="24"/>
          <w:highlight w:val="none"/>
          <w:u w:val="single"/>
        </w:rPr>
        <w:t xml:space="preserve">                </w:t>
      </w:r>
    </w:p>
    <w:p w14:paraId="0EF2C25E">
      <w:pPr>
        <w:adjustRightInd w:val="0"/>
        <w:snapToGrid w:val="0"/>
        <w:spacing w:line="360" w:lineRule="auto"/>
        <w:rPr>
          <w:rFonts w:ascii="宋体"/>
          <w:color w:val="auto"/>
          <w:sz w:val="24"/>
          <w:highlight w:val="none"/>
        </w:rPr>
      </w:pPr>
    </w:p>
    <w:p w14:paraId="62A52C61">
      <w:pPr>
        <w:adjustRightInd w:val="0"/>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鉴于</w:t>
      </w:r>
      <w:r>
        <w:rPr>
          <w:rFonts w:ascii="宋体" w:hAnsi="宋体"/>
          <w:color w:val="auto"/>
          <w:sz w:val="24"/>
          <w:highlight w:val="none"/>
          <w:u w:val="single"/>
        </w:rPr>
        <w:t xml:space="preserve">                     </w:t>
      </w:r>
      <w:r>
        <w:rPr>
          <w:rFonts w:hint="eastAsia" w:ascii="宋体" w:hAnsi="宋体"/>
          <w:color w:val="auto"/>
          <w:sz w:val="24"/>
          <w:highlight w:val="none"/>
        </w:rPr>
        <w:t>（采购人名称）为实施</w:t>
      </w:r>
      <w:r>
        <w:rPr>
          <w:rFonts w:ascii="宋体" w:hAnsi="宋体"/>
          <w:color w:val="auto"/>
          <w:sz w:val="24"/>
          <w:highlight w:val="none"/>
          <w:u w:val="single"/>
        </w:rPr>
        <w:t xml:space="preserve">            </w:t>
      </w:r>
      <w:r>
        <w:rPr>
          <w:rFonts w:hint="eastAsia" w:ascii="宋体" w:hAnsi="宋体"/>
          <w:color w:val="auto"/>
          <w:sz w:val="24"/>
          <w:highlight w:val="none"/>
        </w:rPr>
        <w:t>（项目名称），已接受</w:t>
      </w:r>
      <w:r>
        <w:rPr>
          <w:rFonts w:ascii="宋体" w:hAnsi="宋体"/>
          <w:color w:val="auto"/>
          <w:sz w:val="24"/>
          <w:highlight w:val="none"/>
          <w:u w:val="single"/>
        </w:rPr>
        <w:t xml:space="preserve">                   </w:t>
      </w:r>
      <w:r>
        <w:rPr>
          <w:rFonts w:hint="eastAsia" w:ascii="宋体" w:hAnsi="宋体"/>
          <w:color w:val="auto"/>
          <w:sz w:val="24"/>
          <w:highlight w:val="none"/>
          <w:u w:val="single"/>
        </w:rPr>
        <w:t>（中标人名称）</w:t>
      </w:r>
      <w:r>
        <w:rPr>
          <w:rFonts w:hint="eastAsia" w:ascii="宋体" w:hAnsi="宋体"/>
          <w:color w:val="auto"/>
          <w:sz w:val="24"/>
          <w:highlight w:val="none"/>
        </w:rPr>
        <w:t>对该服务项目的投标，根据《中华人民共和国民法典》、《中华人民共和国政府采购法》和其他有关法律、法规和规章的规定，按照招标文件规定条款和投标文件及其承诺，甲、乙双方共同达在如下协议。</w:t>
      </w:r>
    </w:p>
    <w:p w14:paraId="0AB5373E">
      <w:pPr>
        <w:snapToGrid w:val="0"/>
        <w:spacing w:line="360" w:lineRule="auto"/>
        <w:ind w:firstLine="480" w:firstLineChars="200"/>
        <w:rPr>
          <w:rFonts w:ascii="宋体" w:cs="Arial"/>
          <w:bCs/>
          <w:color w:val="auto"/>
          <w:sz w:val="24"/>
          <w:highlight w:val="none"/>
        </w:rPr>
      </w:pPr>
      <w:r>
        <w:rPr>
          <w:rFonts w:ascii="宋体" w:hAnsi="宋体"/>
          <w:color w:val="auto"/>
          <w:sz w:val="24"/>
          <w:highlight w:val="none"/>
        </w:rPr>
        <w:t>1.</w:t>
      </w:r>
      <w:r>
        <w:rPr>
          <w:rFonts w:ascii="宋体" w:hAnsi="宋体" w:cs="Arial"/>
          <w:bCs/>
          <w:color w:val="auto"/>
          <w:sz w:val="24"/>
          <w:highlight w:val="none"/>
          <w:u w:val="single"/>
        </w:rPr>
        <w:t xml:space="preserve">     </w:t>
      </w:r>
      <w:r>
        <w:rPr>
          <w:rFonts w:hint="eastAsia" w:ascii="宋体" w:hAnsi="宋体" w:cs="Arial"/>
          <w:bCs/>
          <w:color w:val="auto"/>
          <w:sz w:val="24"/>
          <w:highlight w:val="none"/>
        </w:rPr>
        <w:t>县农村公路日常养护服务项目</w:t>
      </w:r>
      <w:r>
        <w:rPr>
          <w:rFonts w:ascii="宋体" w:hAnsi="宋体" w:cs="Arial"/>
          <w:bCs/>
          <w:color w:val="auto"/>
          <w:sz w:val="24"/>
          <w:highlight w:val="none"/>
          <w:u w:val="single"/>
        </w:rPr>
        <w:t xml:space="preserve">  </w:t>
      </w:r>
      <w:r>
        <w:rPr>
          <w:rFonts w:hint="eastAsia" w:ascii="宋体" w:hAnsi="宋体" w:cs="Arial"/>
          <w:bCs/>
          <w:color w:val="auto"/>
          <w:sz w:val="24"/>
          <w:highlight w:val="none"/>
          <w:u w:val="single"/>
        </w:rPr>
        <w:t xml:space="preserve">  </w:t>
      </w:r>
      <w:r>
        <w:rPr>
          <w:rFonts w:hint="eastAsia" w:ascii="宋体" w:hAnsi="宋体" w:cs="Arial"/>
          <w:bCs/>
          <w:color w:val="auto"/>
          <w:sz w:val="24"/>
          <w:highlight w:val="none"/>
        </w:rPr>
        <w:t>标共</w:t>
      </w:r>
      <w:r>
        <w:rPr>
          <w:rFonts w:ascii="宋体" w:hAnsi="宋体" w:cs="Arial"/>
          <w:bCs/>
          <w:color w:val="auto"/>
          <w:sz w:val="24"/>
          <w:highlight w:val="none"/>
          <w:u w:val="single"/>
        </w:rPr>
        <w:t xml:space="preserve">     </w:t>
      </w:r>
      <w:r>
        <w:rPr>
          <w:rFonts w:hint="eastAsia" w:ascii="宋体" w:hAnsi="宋体" w:cs="Arial"/>
          <w:bCs/>
          <w:color w:val="auto"/>
          <w:sz w:val="24"/>
          <w:highlight w:val="none"/>
        </w:rPr>
        <w:t>公里，其中县道</w:t>
      </w:r>
      <w:r>
        <w:rPr>
          <w:rFonts w:ascii="宋体" w:hAnsi="宋体" w:cs="Arial"/>
          <w:bCs/>
          <w:color w:val="auto"/>
          <w:sz w:val="24"/>
          <w:highlight w:val="none"/>
          <w:u w:val="single"/>
        </w:rPr>
        <w:t xml:space="preserve">   </w:t>
      </w:r>
      <w:r>
        <w:rPr>
          <w:rFonts w:hint="eastAsia" w:ascii="宋体" w:hAnsi="宋体" w:cs="Arial"/>
          <w:bCs/>
          <w:color w:val="auto"/>
          <w:sz w:val="24"/>
          <w:highlight w:val="none"/>
        </w:rPr>
        <w:t>公里、乡道</w:t>
      </w:r>
      <w:r>
        <w:rPr>
          <w:rFonts w:ascii="宋体" w:hAnsi="宋体" w:cs="Arial"/>
          <w:bCs/>
          <w:color w:val="auto"/>
          <w:sz w:val="24"/>
          <w:highlight w:val="none"/>
          <w:u w:val="single"/>
        </w:rPr>
        <w:t xml:space="preserve">     </w:t>
      </w:r>
      <w:r>
        <w:rPr>
          <w:rFonts w:hint="eastAsia" w:ascii="宋体" w:hAnsi="宋体" w:cs="Arial"/>
          <w:bCs/>
          <w:color w:val="auto"/>
          <w:sz w:val="24"/>
          <w:highlight w:val="none"/>
        </w:rPr>
        <w:t>公里、村道</w:t>
      </w:r>
      <w:r>
        <w:rPr>
          <w:rFonts w:ascii="宋体" w:hAnsi="宋体" w:cs="Arial"/>
          <w:bCs/>
          <w:color w:val="auto"/>
          <w:sz w:val="24"/>
          <w:highlight w:val="none"/>
          <w:u w:val="single"/>
        </w:rPr>
        <w:t xml:space="preserve">    </w:t>
      </w:r>
      <w:r>
        <w:rPr>
          <w:rFonts w:hint="eastAsia" w:ascii="宋体" w:hAnsi="宋体" w:cs="Arial"/>
          <w:bCs/>
          <w:color w:val="auto"/>
          <w:sz w:val="24"/>
          <w:highlight w:val="none"/>
        </w:rPr>
        <w:t>公里，</w:t>
      </w:r>
      <w:r>
        <w:rPr>
          <w:rFonts w:hint="eastAsia" w:ascii="宋体" w:hAnsi="宋体"/>
          <w:color w:val="auto"/>
          <w:szCs w:val="21"/>
          <w:highlight w:val="none"/>
        </w:rPr>
        <w:t>以及根据合浦县人民政府或合浦县交通运输局要求增加的其他道路、桥梁。</w:t>
      </w:r>
    </w:p>
    <w:p w14:paraId="2C225F1A">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下列文件应视为构成合同文件的组成部分：</w:t>
      </w:r>
    </w:p>
    <w:p w14:paraId="53770A31">
      <w:pPr>
        <w:adjustRightInd w:val="0"/>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）本协议书及各种合同附件（含评标期间和合同谈判过程中的澄清文件和补充资料）；</w:t>
      </w:r>
    </w:p>
    <w:p w14:paraId="66CD3DBA">
      <w:pPr>
        <w:adjustRightInd w:val="0"/>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）中标通知书；</w:t>
      </w:r>
    </w:p>
    <w:p w14:paraId="1FC90CE2">
      <w:pPr>
        <w:adjustRightInd w:val="0"/>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）投标函及投标函附录；</w:t>
      </w:r>
    </w:p>
    <w:p w14:paraId="23AAF7AB">
      <w:pPr>
        <w:adjustRightInd w:val="0"/>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）项目合同条款；</w:t>
      </w:r>
    </w:p>
    <w:p w14:paraId="67494CEE">
      <w:pPr>
        <w:adjustRightInd w:val="0"/>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）招标文件第三章项目需求；</w:t>
      </w:r>
    </w:p>
    <w:p w14:paraId="12EB6943">
      <w:pPr>
        <w:adjustRightInd w:val="0"/>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）已标价的项目服务报价说明及报价清单；</w:t>
      </w:r>
    </w:p>
    <w:p w14:paraId="558F0EF8">
      <w:pPr>
        <w:adjustRightInd w:val="0"/>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）中标人有关人员、机械设备投入的承诺及投标文件中服务方案；</w:t>
      </w:r>
    </w:p>
    <w:p w14:paraId="7AAF506D">
      <w:pPr>
        <w:adjustRightInd w:val="0"/>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）其他合同文件。</w:t>
      </w:r>
    </w:p>
    <w:p w14:paraId="225D3CBC">
      <w:pPr>
        <w:adjustRightInd w:val="0"/>
        <w:snapToGrid w:val="0"/>
        <w:spacing w:line="360" w:lineRule="auto"/>
        <w:ind w:right="420"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上述文件互相补充和解释，如有不明确或不一致之处，以合同约定次序在先者为准。</w:t>
      </w:r>
    </w:p>
    <w:p w14:paraId="3887D442">
      <w:pPr>
        <w:adjustRightInd w:val="0"/>
        <w:snapToGrid w:val="0"/>
        <w:spacing w:line="360" w:lineRule="auto"/>
        <w:ind w:right="420"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（1）合同签约价为（人民币）大写</w:t>
      </w:r>
      <w:r>
        <w:rPr>
          <w:rFonts w:ascii="宋体" w:hAnsi="宋体"/>
          <w:color w:val="auto"/>
          <w:sz w:val="24"/>
          <w:highlight w:val="none"/>
          <w:u w:val="single"/>
        </w:rPr>
        <w:t xml:space="preserve">               </w:t>
      </w:r>
      <w:r>
        <w:rPr>
          <w:rFonts w:hint="eastAsia" w:ascii="宋体" w:hAnsi="宋体"/>
          <w:color w:val="auto"/>
          <w:sz w:val="24"/>
          <w:highlight w:val="none"/>
        </w:rPr>
        <w:t>元（￥</w:t>
      </w:r>
      <w:r>
        <w:rPr>
          <w:rFonts w:ascii="宋体" w:hAnsi="宋体"/>
          <w:color w:val="auto"/>
          <w:sz w:val="24"/>
          <w:highlight w:val="none"/>
          <w:u w:val="single"/>
        </w:rPr>
        <w:t xml:space="preserve">        </w:t>
      </w:r>
      <w:r>
        <w:rPr>
          <w:rFonts w:hint="eastAsia" w:ascii="宋体" w:hAnsi="宋体"/>
          <w:color w:val="auto"/>
          <w:sz w:val="24"/>
          <w:highlight w:val="none"/>
        </w:rPr>
        <w:t>）。</w:t>
      </w:r>
    </w:p>
    <w:p w14:paraId="34B806F4">
      <w:pPr>
        <w:adjustRightInd w:val="0"/>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（2）预付款：签订合同后，预付合同总价的</w:t>
      </w:r>
      <w:r>
        <w:rPr>
          <w:rFonts w:ascii="宋体" w:hAnsi="宋体"/>
          <w:color w:val="auto"/>
          <w:sz w:val="24"/>
          <w:highlight w:val="none"/>
        </w:rPr>
        <w:t>3</w:t>
      </w:r>
      <w:r>
        <w:rPr>
          <w:rFonts w:hint="eastAsia" w:ascii="宋体" w:hAnsi="宋体"/>
          <w:color w:val="auto"/>
          <w:sz w:val="24"/>
          <w:highlight w:val="none"/>
        </w:rPr>
        <w:t>0%（￥</w:t>
      </w:r>
      <w:r>
        <w:rPr>
          <w:rFonts w:ascii="宋体" w:hAnsi="宋体"/>
          <w:color w:val="auto"/>
          <w:sz w:val="24"/>
          <w:highlight w:val="none"/>
        </w:rPr>
        <w:t xml:space="preserve">   </w:t>
      </w:r>
      <w:r>
        <w:rPr>
          <w:rFonts w:hint="eastAsia" w:ascii="宋体" w:hAnsi="宋体"/>
          <w:color w:val="auto"/>
          <w:sz w:val="24"/>
          <w:highlight w:val="none"/>
        </w:rPr>
        <w:t>元）作为预付款，招标人可要求中标人提供预付款担保函。预付款在计量支付证书的累计金额未达到签约合同价的</w:t>
      </w:r>
      <w:r>
        <w:rPr>
          <w:rFonts w:ascii="宋体" w:hAnsi="宋体"/>
          <w:color w:val="auto"/>
          <w:sz w:val="24"/>
          <w:highlight w:val="none"/>
        </w:rPr>
        <w:t>20</w:t>
      </w:r>
      <w:r>
        <w:rPr>
          <w:rFonts w:hint="eastAsia" w:ascii="宋体" w:hAnsi="宋体"/>
          <w:color w:val="auto"/>
          <w:sz w:val="24"/>
          <w:highlight w:val="none"/>
        </w:rPr>
        <w:t>%之前不予扣回，在达到签约合同价</w:t>
      </w:r>
      <w:r>
        <w:rPr>
          <w:rFonts w:ascii="宋体" w:hAnsi="宋体"/>
          <w:color w:val="auto"/>
          <w:sz w:val="24"/>
          <w:highlight w:val="none"/>
        </w:rPr>
        <w:t>2</w:t>
      </w:r>
      <w:r>
        <w:rPr>
          <w:rFonts w:hint="eastAsia" w:ascii="宋体" w:hAnsi="宋体"/>
          <w:color w:val="auto"/>
          <w:sz w:val="24"/>
          <w:highlight w:val="none"/>
        </w:rPr>
        <w:t>0%之后，开始按进度以固定比例（即在达到</w:t>
      </w:r>
      <w:r>
        <w:rPr>
          <w:rFonts w:ascii="宋体" w:hAnsi="宋体"/>
          <w:color w:val="auto"/>
          <w:sz w:val="24"/>
          <w:highlight w:val="none"/>
        </w:rPr>
        <w:t>2</w:t>
      </w:r>
      <w:r>
        <w:rPr>
          <w:rFonts w:hint="eastAsia" w:ascii="宋体" w:hAnsi="宋体"/>
          <w:color w:val="auto"/>
          <w:sz w:val="24"/>
          <w:highlight w:val="none"/>
        </w:rPr>
        <w:t>0%后每超1%，扣回开工预付款总额的2%）分期从进度付款证书中扣回，全部金额在进度付款证书的累计金额达到签约合同价的</w:t>
      </w:r>
      <w:r>
        <w:rPr>
          <w:rFonts w:ascii="宋体" w:hAnsi="宋体"/>
          <w:color w:val="auto"/>
          <w:sz w:val="24"/>
          <w:highlight w:val="none"/>
        </w:rPr>
        <w:t>7</w:t>
      </w:r>
      <w:r>
        <w:rPr>
          <w:rFonts w:hint="eastAsia" w:ascii="宋体" w:hAnsi="宋体"/>
          <w:color w:val="auto"/>
          <w:sz w:val="24"/>
          <w:highlight w:val="none"/>
        </w:rPr>
        <w:t>0%时扣完，如无期中计量的，则在结算时予以一次性扣回全部开工预付款。</w:t>
      </w:r>
    </w:p>
    <w:p w14:paraId="3B6F7D6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计量款（含预付款）采购人实行农民工工资及养护服务费的分账支付方式。为了维护农民工的合法权益，规范农民工工资支付行为，确实解决拖欠农民工工资问题，促进企业持续健康发展和社会和谐稳定。约定养护服务费中农民工工资比例30%，采购人支付养护服务进度款时按照上述比例将农民工工资转至中标人农民工工资专用账户，中标人按月足额支付农民工工资，不得将农民工工资专用款挪做其它用途。</w:t>
      </w:r>
    </w:p>
    <w:p w14:paraId="78FA943E">
      <w:pPr>
        <w:adjustRightInd w:val="0"/>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承包人农民工工资专用账户信息如下：</w:t>
      </w:r>
    </w:p>
    <w:p w14:paraId="7116F59B">
      <w:pPr>
        <w:adjustRightInd w:val="0"/>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专用账户名称:</w:t>
      </w:r>
    </w:p>
    <w:p w14:paraId="349A420D">
      <w:pPr>
        <w:adjustRightInd w:val="0"/>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专用账号：</w:t>
      </w:r>
    </w:p>
    <w:p w14:paraId="7EDA69E9">
      <w:pPr>
        <w:adjustRightInd w:val="0"/>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专用账户开户银行名称：</w:t>
      </w:r>
    </w:p>
    <w:p w14:paraId="3395422C">
      <w:pPr>
        <w:adjustRightInd w:val="0"/>
        <w:snapToGrid w:val="0"/>
        <w:spacing w:line="360" w:lineRule="auto"/>
        <w:ind w:right="420" w:firstLine="480" w:firstLineChars="200"/>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中标人项目经理：</w:t>
      </w:r>
      <w:r>
        <w:rPr>
          <w:rFonts w:ascii="宋体" w:hAnsi="宋体"/>
          <w:color w:val="auto"/>
          <w:sz w:val="24"/>
          <w:highlight w:val="none"/>
          <w:u w:val="single"/>
        </w:rPr>
        <w:t xml:space="preserve">              </w:t>
      </w:r>
      <w:r>
        <w:rPr>
          <w:rFonts w:hint="eastAsia" w:ascii="宋体" w:hAnsi="宋体"/>
          <w:color w:val="auto"/>
          <w:sz w:val="24"/>
          <w:highlight w:val="none"/>
        </w:rPr>
        <w:t>，安全员：</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7164B7A">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已经提供的服务质量符合招标文件、投标文件和承诺相一致。</w:t>
      </w:r>
    </w:p>
    <w:p w14:paraId="0F3CC7D6">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7.</w:t>
      </w:r>
      <w:r>
        <w:rPr>
          <w:rFonts w:hint="eastAsia" w:ascii="宋体" w:hAnsi="宋体"/>
          <w:color w:val="auto"/>
          <w:sz w:val="24"/>
          <w:highlight w:val="none"/>
        </w:rPr>
        <w:t>中标人承诺按合同约定承担服务项目的日常养护等工作的组织实施、完成和缺陷修复。</w:t>
      </w:r>
    </w:p>
    <w:p w14:paraId="470EB42A">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8.</w:t>
      </w:r>
      <w:r>
        <w:rPr>
          <w:rFonts w:hint="eastAsia" w:ascii="宋体" w:hAnsi="宋体"/>
          <w:color w:val="auto"/>
          <w:sz w:val="24"/>
          <w:highlight w:val="none"/>
        </w:rPr>
        <w:t>采购人承诺按合同约定的条件、时间和方式向中标人支付合同款。</w:t>
      </w:r>
    </w:p>
    <w:p w14:paraId="1606A8DD">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rPr>
        <w:t>中标人应按采购人指示开展服务，服务期限为</w:t>
      </w:r>
      <w:r>
        <w:rPr>
          <w:rFonts w:ascii="宋体" w:hAnsi="宋体"/>
          <w:color w:val="auto"/>
          <w:sz w:val="24"/>
          <w:highlight w:val="none"/>
          <w:u w:val="single"/>
        </w:rPr>
        <w:t xml:space="preserve">      </w:t>
      </w:r>
      <w:r>
        <w:rPr>
          <w:rFonts w:hint="eastAsia" w:ascii="宋体" w:hAnsi="宋体"/>
          <w:color w:val="auto"/>
          <w:sz w:val="24"/>
          <w:highlight w:val="none"/>
        </w:rPr>
        <w:t>。</w:t>
      </w:r>
    </w:p>
    <w:p w14:paraId="59B04BCE">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10.</w:t>
      </w:r>
      <w:r>
        <w:rPr>
          <w:rFonts w:hint="eastAsia" w:ascii="宋体" w:hAnsi="宋体"/>
          <w:color w:val="auto"/>
          <w:sz w:val="24"/>
          <w:highlight w:val="none"/>
        </w:rPr>
        <w:t>本协议书在中标人提交履约保证金后，由双方法定代表人或委托授权人签署并加盖单位章后生效。服务期满并经甲方签发服务责任终止证书和付清费用后失效。</w:t>
      </w:r>
    </w:p>
    <w:p w14:paraId="785B6296">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11.</w:t>
      </w:r>
      <w:r>
        <w:rPr>
          <w:rFonts w:hint="eastAsia" w:ascii="宋体" w:hAnsi="宋体"/>
          <w:b/>
          <w:color w:val="auto"/>
          <w:sz w:val="24"/>
          <w:highlight w:val="none"/>
        </w:rPr>
        <w:t>违约责任</w:t>
      </w:r>
    </w:p>
    <w:p w14:paraId="7FD037C6">
      <w:pPr>
        <w:adjustRightInd w:val="0"/>
        <w:snapToGrid w:val="0"/>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）甲方无正当理由拒收服务的，甲方向乙方偿付拒收服务部分的费用总值（合同价）的百分之五违约金。</w:t>
      </w:r>
    </w:p>
    <w:p w14:paraId="110914AD">
      <w:pPr>
        <w:adjustRightInd w:val="0"/>
        <w:snapToGrid w:val="0"/>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）甲方无故逾期验收或办理服务费支付手续的，甲方应按逾期付款总额每日万分之五向乙方支付违约金。</w:t>
      </w:r>
    </w:p>
    <w:p w14:paraId="4BC2C022">
      <w:pPr>
        <w:adjustRightInd w:val="0"/>
        <w:snapToGrid w:val="0"/>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乙方逾期交付服务的，乙方应按逾期提供服务部分的费用总额（合同价）每日千分之六向甲方支付违约金，由甲方从待付服务费中扣除。逾期超过约定日期十五个工作日不能提供服务成果的，甲方有权解除本合同。乙方因逾期提交服务成果或因其他违约行为导致甲方解除合同的，乙方应向甲方支付服务费总值百分之五的违约金，如造成甲方损失超过违约金的，超出部分由乙方继续承担赔偿责任。</w:t>
      </w:r>
    </w:p>
    <w:p w14:paraId="3384F9A2">
      <w:pPr>
        <w:adjustRightInd w:val="0"/>
        <w:snapToGrid w:val="0"/>
        <w:spacing w:line="360" w:lineRule="auto"/>
        <w:ind w:firstLine="480" w:firstLineChars="200"/>
        <w:rPr>
          <w:rFonts w:ascii="宋体" w:cs="Courier New"/>
          <w:color w:val="auto"/>
          <w:sz w:val="24"/>
          <w:highlight w:val="none"/>
        </w:rPr>
      </w:pPr>
      <w:r>
        <w:rPr>
          <w:rFonts w:ascii="宋体" w:hAnsi="宋体" w:cs="Courier New"/>
          <w:color w:val="auto"/>
          <w:sz w:val="24"/>
          <w:highlight w:val="none"/>
        </w:rPr>
        <w:t>12.</w:t>
      </w:r>
      <w:r>
        <w:rPr>
          <w:rFonts w:hint="eastAsia" w:ascii="宋体" w:hAnsi="宋体" w:cs="Courier New"/>
          <w:color w:val="auto"/>
          <w:sz w:val="24"/>
          <w:highlight w:val="none"/>
        </w:rPr>
        <w:t>不可抗力事件处理</w:t>
      </w:r>
    </w:p>
    <w:p w14:paraId="158CE63C">
      <w:pPr>
        <w:adjustRightInd w:val="0"/>
        <w:snapToGrid w:val="0"/>
        <w:spacing w:line="360" w:lineRule="auto"/>
        <w:ind w:firstLine="480" w:firstLineChars="200"/>
        <w:rPr>
          <w:rFonts w:ascii="宋体" w:cs="Courier New"/>
          <w:color w:val="auto"/>
          <w:sz w:val="24"/>
          <w:highlight w:val="none"/>
        </w:rPr>
      </w:pPr>
      <w:r>
        <w:rPr>
          <w:rFonts w:hint="eastAsia" w:ascii="宋体" w:hAnsi="宋体" w:cs="Courier New"/>
          <w:color w:val="auto"/>
          <w:sz w:val="24"/>
          <w:highlight w:val="none"/>
        </w:rPr>
        <w:t>（</w:t>
      </w:r>
      <w:r>
        <w:rPr>
          <w:rFonts w:ascii="宋体" w:hAnsi="宋体" w:cs="Courier New"/>
          <w:color w:val="auto"/>
          <w:sz w:val="24"/>
          <w:highlight w:val="none"/>
        </w:rPr>
        <w:t>1</w:t>
      </w:r>
      <w:r>
        <w:rPr>
          <w:rFonts w:hint="eastAsia" w:ascii="宋体" w:hAnsi="宋体" w:cs="Courier New"/>
          <w:color w:val="auto"/>
          <w:sz w:val="24"/>
          <w:highlight w:val="none"/>
        </w:rPr>
        <w:t>）在合同有效期内，任何一方因不可抗力事件导致不能履行合同，则合同履行期可延长，其延长期与不可抗力影响期相同。</w:t>
      </w:r>
    </w:p>
    <w:p w14:paraId="2536FBB8">
      <w:pPr>
        <w:adjustRightInd w:val="0"/>
        <w:snapToGrid w:val="0"/>
        <w:spacing w:line="360" w:lineRule="auto"/>
        <w:ind w:firstLine="480" w:firstLineChars="200"/>
        <w:rPr>
          <w:rFonts w:ascii="宋体" w:cs="Courier New"/>
          <w:color w:val="auto"/>
          <w:sz w:val="24"/>
          <w:highlight w:val="none"/>
        </w:rPr>
      </w:pPr>
      <w:r>
        <w:rPr>
          <w:rFonts w:hint="eastAsia" w:ascii="宋体" w:hAnsi="宋体" w:cs="Courier New"/>
          <w:color w:val="auto"/>
          <w:sz w:val="24"/>
          <w:highlight w:val="none"/>
        </w:rPr>
        <w:t>（</w:t>
      </w:r>
      <w:r>
        <w:rPr>
          <w:rFonts w:ascii="宋体" w:hAnsi="宋体" w:cs="Courier New"/>
          <w:color w:val="auto"/>
          <w:sz w:val="24"/>
          <w:highlight w:val="none"/>
        </w:rPr>
        <w:t>2</w:t>
      </w:r>
      <w:r>
        <w:rPr>
          <w:rFonts w:hint="eastAsia" w:ascii="宋体" w:hAnsi="宋体" w:cs="Courier New"/>
          <w:color w:val="auto"/>
          <w:sz w:val="24"/>
          <w:highlight w:val="none"/>
        </w:rPr>
        <w:t>）不可抗力事件发生后，应立即通知对方，并寄送有关权威机构出具的证明。</w:t>
      </w:r>
    </w:p>
    <w:p w14:paraId="4854F1E8">
      <w:pPr>
        <w:adjustRightInd w:val="0"/>
        <w:snapToGrid w:val="0"/>
        <w:spacing w:line="360" w:lineRule="auto"/>
        <w:ind w:firstLine="480" w:firstLineChars="200"/>
        <w:rPr>
          <w:rFonts w:ascii="宋体" w:cs="Courier New"/>
          <w:color w:val="auto"/>
          <w:sz w:val="24"/>
          <w:highlight w:val="none"/>
        </w:rPr>
      </w:pPr>
      <w:r>
        <w:rPr>
          <w:rFonts w:hint="eastAsia" w:ascii="宋体" w:hAnsi="宋体" w:cs="Courier New"/>
          <w:color w:val="auto"/>
          <w:sz w:val="24"/>
          <w:highlight w:val="none"/>
        </w:rPr>
        <w:t>（</w:t>
      </w:r>
      <w:r>
        <w:rPr>
          <w:rFonts w:ascii="宋体" w:hAnsi="宋体" w:cs="Courier New"/>
          <w:color w:val="auto"/>
          <w:sz w:val="24"/>
          <w:highlight w:val="none"/>
        </w:rPr>
        <w:t>3</w:t>
      </w:r>
      <w:r>
        <w:rPr>
          <w:rFonts w:hint="eastAsia" w:ascii="宋体" w:hAnsi="宋体" w:cs="Courier New"/>
          <w:color w:val="auto"/>
          <w:sz w:val="24"/>
          <w:highlight w:val="none"/>
        </w:rPr>
        <w:t>）不可抗力事件延续一百二十天以上，双方应通过友好协商，确定是否继续履行合同。</w:t>
      </w:r>
    </w:p>
    <w:p w14:paraId="46E993C4">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13.</w:t>
      </w:r>
      <w:r>
        <w:rPr>
          <w:rFonts w:hint="eastAsia" w:ascii="宋体" w:hAnsi="宋体"/>
          <w:color w:val="auto"/>
          <w:sz w:val="24"/>
          <w:highlight w:val="none"/>
        </w:rPr>
        <w:t>合同争议解决</w:t>
      </w:r>
    </w:p>
    <w:p w14:paraId="6A0EDAD6">
      <w:pPr>
        <w:adjustRightInd w:val="0"/>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）因服务质量问题发生争议的，应邀请国家认可的质量检测机构对服务质量进行鉴定。服务符合标准或要求的，鉴定费由甲方承担；服务不符合标准或要求的，鉴定费由乙方承担。</w:t>
      </w:r>
    </w:p>
    <w:p w14:paraId="3C579DFE">
      <w:pPr>
        <w:adjustRightInd w:val="0"/>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pacing w:val="4"/>
          <w:sz w:val="24"/>
          <w:highlight w:val="none"/>
        </w:rPr>
        <w:t>因履行本合同引起的或与本合同有关的争议，甲乙双方应首先通过友好协商解决，如果协商不能解决，可向甲方所在地的</w:t>
      </w:r>
      <w:r>
        <w:rPr>
          <w:rFonts w:hint="eastAsia" w:ascii="宋体" w:hAnsi="宋体"/>
          <w:b/>
          <w:color w:val="auto"/>
          <w:sz w:val="24"/>
          <w:highlight w:val="none"/>
          <w:u w:val="single"/>
        </w:rPr>
        <w:t>仲裁委员会申请仲裁</w:t>
      </w:r>
      <w:r>
        <w:rPr>
          <w:rFonts w:hint="eastAsia" w:ascii="宋体" w:hAnsi="宋体"/>
          <w:b/>
          <w:color w:val="auto"/>
          <w:sz w:val="24"/>
          <w:highlight w:val="none"/>
        </w:rPr>
        <w:t>。</w:t>
      </w:r>
    </w:p>
    <w:p w14:paraId="74C7A019">
      <w:pPr>
        <w:adjustRightInd w:val="0"/>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）仲裁或诉讼期间，本合同继续履行。</w:t>
      </w:r>
    </w:p>
    <w:p w14:paraId="343BE52F">
      <w:pPr>
        <w:adjustRightInd w:val="0"/>
        <w:snapToGrid w:val="0"/>
        <w:spacing w:line="360" w:lineRule="auto"/>
        <w:ind w:firstLine="480" w:firstLineChars="200"/>
        <w:rPr>
          <w:rFonts w:ascii="宋体" w:cs="Courier New"/>
          <w:color w:val="auto"/>
          <w:sz w:val="24"/>
          <w:highlight w:val="none"/>
        </w:rPr>
      </w:pPr>
      <w:r>
        <w:rPr>
          <w:rFonts w:ascii="宋体" w:hAnsi="宋体" w:cs="Courier New"/>
          <w:color w:val="auto"/>
          <w:sz w:val="24"/>
          <w:highlight w:val="none"/>
        </w:rPr>
        <w:t>14.</w:t>
      </w:r>
      <w:r>
        <w:rPr>
          <w:rFonts w:hint="eastAsia" w:ascii="宋体" w:hAnsi="宋体" w:cs="Courier New"/>
          <w:color w:val="auto"/>
          <w:sz w:val="24"/>
          <w:highlight w:val="none"/>
        </w:rPr>
        <w:t>本合同未尽事宜，遵照</w:t>
      </w:r>
      <w:r>
        <w:rPr>
          <w:rFonts w:hint="eastAsia" w:ascii="宋体" w:hAnsi="宋体"/>
          <w:color w:val="auto"/>
          <w:sz w:val="24"/>
          <w:highlight w:val="none"/>
        </w:rPr>
        <w:t>《中华人民共和国民法典》</w:t>
      </w:r>
      <w:r>
        <w:rPr>
          <w:rFonts w:hint="eastAsia" w:ascii="宋体" w:hAnsi="宋体" w:cs="Courier New"/>
          <w:color w:val="auto"/>
          <w:sz w:val="24"/>
          <w:highlight w:val="none"/>
        </w:rPr>
        <w:t>有关条文执行。</w:t>
      </w:r>
    </w:p>
    <w:p w14:paraId="37354F4B">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15.</w:t>
      </w:r>
      <w:r>
        <w:rPr>
          <w:rFonts w:hint="eastAsia" w:ascii="宋体" w:hAnsi="宋体"/>
          <w:color w:val="auto"/>
          <w:sz w:val="24"/>
          <w:highlight w:val="none"/>
        </w:rPr>
        <w:t>合同的变更、终止与转让</w:t>
      </w:r>
    </w:p>
    <w:p w14:paraId="5360B49D">
      <w:pPr>
        <w:adjustRightInd w:val="0"/>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）除法律规定的情形外，本合同一经签订，甲乙双方不得擅自变更、中止或终止。</w:t>
      </w:r>
    </w:p>
    <w:p w14:paraId="3DA622D0">
      <w:pPr>
        <w:pStyle w:val="13"/>
        <w:tabs>
          <w:tab w:val="left" w:pos="5940"/>
        </w:tabs>
        <w:spacing w:line="360" w:lineRule="auto"/>
        <w:ind w:firstLine="470" w:firstLineChars="196"/>
        <w:rPr>
          <w:rFonts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）乙方不得转让其应履行的合同义务。</w:t>
      </w:r>
    </w:p>
    <w:p w14:paraId="3C2614F5">
      <w:pPr>
        <w:pStyle w:val="13"/>
        <w:spacing w:line="360" w:lineRule="auto"/>
        <w:ind w:firstLine="480" w:firstLineChars="200"/>
        <w:rPr>
          <w:rFonts w:hAnsi="宋体"/>
          <w:color w:val="auto"/>
          <w:sz w:val="24"/>
          <w:szCs w:val="24"/>
          <w:highlight w:val="none"/>
        </w:rPr>
      </w:pPr>
      <w:r>
        <w:rPr>
          <w:rFonts w:hAnsi="宋体"/>
          <w:color w:val="auto"/>
          <w:sz w:val="24"/>
          <w:szCs w:val="24"/>
          <w:highlight w:val="none"/>
        </w:rPr>
        <w:t>16.</w:t>
      </w:r>
      <w:r>
        <w:rPr>
          <w:rFonts w:hint="eastAsia" w:hAnsi="宋体"/>
          <w:color w:val="auto"/>
          <w:sz w:val="24"/>
          <w:szCs w:val="24"/>
          <w:highlight w:val="none"/>
        </w:rPr>
        <w:t>本合同</w:t>
      </w:r>
      <w:r>
        <w:rPr>
          <w:rFonts w:hint="eastAsia" w:hAnsi="宋体"/>
          <w:color w:val="auto"/>
          <w:sz w:val="24"/>
          <w:szCs w:val="24"/>
          <w:highlight w:val="none"/>
          <w:u w:val="single"/>
        </w:rPr>
        <w:t>正本一式贰份，副本一式陆份</w:t>
      </w:r>
      <w:r>
        <w:rPr>
          <w:rFonts w:hint="eastAsia" w:hAnsi="宋体"/>
          <w:color w:val="auto"/>
          <w:sz w:val="24"/>
          <w:szCs w:val="24"/>
          <w:highlight w:val="none"/>
        </w:rPr>
        <w:t>，正本与副本不一致时，以正本为准。</w:t>
      </w:r>
    </w:p>
    <w:p w14:paraId="2F324755">
      <w:pPr>
        <w:pStyle w:val="13"/>
        <w:spacing w:line="360" w:lineRule="auto"/>
        <w:ind w:firstLine="480" w:firstLineChars="200"/>
        <w:rPr>
          <w:rFonts w:hAnsi="宋体"/>
          <w:color w:val="auto"/>
          <w:sz w:val="24"/>
          <w:szCs w:val="24"/>
          <w:highlight w:val="none"/>
        </w:rPr>
      </w:pPr>
    </w:p>
    <w:p w14:paraId="1FBC428B">
      <w:pPr>
        <w:pStyle w:val="13"/>
        <w:spacing w:line="360" w:lineRule="auto"/>
        <w:ind w:firstLine="480" w:firstLineChars="200"/>
        <w:rPr>
          <w:rFonts w:hAnsi="宋体"/>
          <w:color w:val="auto"/>
          <w:sz w:val="24"/>
          <w:szCs w:val="24"/>
          <w:highlight w:val="none"/>
        </w:rPr>
      </w:pPr>
    </w:p>
    <w:p w14:paraId="414FD822">
      <w:pPr>
        <w:pStyle w:val="13"/>
        <w:spacing w:line="360" w:lineRule="auto"/>
        <w:ind w:firstLine="480" w:firstLineChars="200"/>
        <w:rPr>
          <w:rFonts w:hAnsi="宋体"/>
          <w:color w:val="auto"/>
          <w:sz w:val="24"/>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93"/>
      </w:tblGrid>
      <w:tr w14:paraId="26EC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4592" w:type="dxa"/>
            <w:vAlign w:val="center"/>
          </w:tcPr>
          <w:p w14:paraId="3C408C7B">
            <w:pPr>
              <w:snapToGrid w:val="0"/>
              <w:spacing w:line="400" w:lineRule="exact"/>
              <w:rPr>
                <w:rFonts w:ascii="宋体"/>
                <w:color w:val="auto"/>
                <w:sz w:val="24"/>
                <w:highlight w:val="none"/>
              </w:rPr>
            </w:pPr>
            <w:r>
              <w:rPr>
                <w:rFonts w:hint="eastAsia" w:ascii="宋体" w:hAnsi="宋体"/>
                <w:color w:val="auto"/>
                <w:sz w:val="24"/>
                <w:highlight w:val="none"/>
              </w:rPr>
              <w:t>甲方（章）</w:t>
            </w:r>
            <w:r>
              <w:rPr>
                <w:rFonts w:ascii="宋体" w:hAnsi="宋体"/>
                <w:color w:val="auto"/>
                <w:sz w:val="24"/>
                <w:highlight w:val="none"/>
              </w:rPr>
              <w:t xml:space="preserve">           </w:t>
            </w:r>
          </w:p>
          <w:p w14:paraId="38F315F7">
            <w:pPr>
              <w:snapToGrid w:val="0"/>
              <w:spacing w:line="400" w:lineRule="exact"/>
              <w:ind w:firstLine="1080" w:firstLineChars="450"/>
              <w:jc w:val="right"/>
              <w:rPr>
                <w:rFonts w:asci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tc>
        <w:tc>
          <w:tcPr>
            <w:tcW w:w="4593" w:type="dxa"/>
            <w:vAlign w:val="center"/>
          </w:tcPr>
          <w:p w14:paraId="7ED1F785">
            <w:pPr>
              <w:snapToGrid w:val="0"/>
              <w:spacing w:line="400" w:lineRule="exact"/>
              <w:rPr>
                <w:rFonts w:ascii="宋体"/>
                <w:color w:val="auto"/>
                <w:sz w:val="24"/>
                <w:highlight w:val="none"/>
              </w:rPr>
            </w:pPr>
            <w:r>
              <w:rPr>
                <w:rFonts w:hint="eastAsia" w:ascii="宋体" w:hAnsi="宋体"/>
                <w:color w:val="auto"/>
                <w:sz w:val="24"/>
                <w:highlight w:val="none"/>
              </w:rPr>
              <w:t>乙方（章）</w:t>
            </w:r>
            <w:r>
              <w:rPr>
                <w:rFonts w:ascii="宋体" w:hAnsi="宋体"/>
                <w:color w:val="auto"/>
                <w:sz w:val="24"/>
                <w:highlight w:val="none"/>
              </w:rPr>
              <w:t xml:space="preserve">              </w:t>
            </w:r>
          </w:p>
          <w:p w14:paraId="5D5484EF">
            <w:pPr>
              <w:snapToGrid w:val="0"/>
              <w:spacing w:line="400" w:lineRule="exact"/>
              <w:jc w:val="right"/>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tc>
      </w:tr>
      <w:tr w14:paraId="603D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92" w:type="dxa"/>
            <w:vAlign w:val="center"/>
          </w:tcPr>
          <w:p w14:paraId="45183C56">
            <w:pPr>
              <w:snapToGrid w:val="0"/>
              <w:spacing w:line="320" w:lineRule="exact"/>
              <w:rPr>
                <w:rFonts w:ascii="宋体"/>
                <w:color w:val="auto"/>
                <w:sz w:val="24"/>
                <w:highlight w:val="none"/>
              </w:rPr>
            </w:pPr>
            <w:r>
              <w:rPr>
                <w:rFonts w:hint="eastAsia" w:ascii="宋体" w:hAnsi="宋体"/>
                <w:color w:val="auto"/>
                <w:sz w:val="24"/>
                <w:highlight w:val="none"/>
              </w:rPr>
              <w:t>单位地址：</w:t>
            </w:r>
          </w:p>
        </w:tc>
        <w:tc>
          <w:tcPr>
            <w:tcW w:w="4593" w:type="dxa"/>
            <w:vAlign w:val="center"/>
          </w:tcPr>
          <w:p w14:paraId="56208E36">
            <w:pPr>
              <w:snapToGrid w:val="0"/>
              <w:spacing w:line="320" w:lineRule="exact"/>
              <w:rPr>
                <w:rFonts w:ascii="宋体"/>
                <w:color w:val="auto"/>
                <w:sz w:val="24"/>
                <w:highlight w:val="none"/>
              </w:rPr>
            </w:pPr>
            <w:r>
              <w:rPr>
                <w:rFonts w:hint="eastAsia" w:ascii="宋体" w:hAnsi="宋体"/>
                <w:color w:val="auto"/>
                <w:sz w:val="24"/>
                <w:highlight w:val="none"/>
              </w:rPr>
              <w:t>单位地址：</w:t>
            </w:r>
          </w:p>
        </w:tc>
      </w:tr>
      <w:tr w14:paraId="5EB0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92" w:type="dxa"/>
            <w:vAlign w:val="center"/>
          </w:tcPr>
          <w:p w14:paraId="43AD5C1B">
            <w:pPr>
              <w:snapToGrid w:val="0"/>
              <w:spacing w:line="320" w:lineRule="exact"/>
              <w:rPr>
                <w:rFonts w:ascii="宋体"/>
                <w:color w:val="auto"/>
                <w:sz w:val="24"/>
                <w:highlight w:val="none"/>
              </w:rPr>
            </w:pPr>
            <w:r>
              <w:rPr>
                <w:rFonts w:hint="eastAsia" w:ascii="宋体" w:hAnsi="宋体"/>
                <w:color w:val="auto"/>
                <w:sz w:val="24"/>
                <w:highlight w:val="none"/>
              </w:rPr>
              <w:t>法定代表人（负责人）：</w:t>
            </w:r>
          </w:p>
        </w:tc>
        <w:tc>
          <w:tcPr>
            <w:tcW w:w="4593" w:type="dxa"/>
            <w:vAlign w:val="center"/>
          </w:tcPr>
          <w:p w14:paraId="37B7B580">
            <w:pPr>
              <w:snapToGrid w:val="0"/>
              <w:spacing w:line="320" w:lineRule="exact"/>
              <w:rPr>
                <w:rFonts w:ascii="宋体"/>
                <w:color w:val="auto"/>
                <w:sz w:val="24"/>
                <w:highlight w:val="none"/>
              </w:rPr>
            </w:pPr>
            <w:r>
              <w:rPr>
                <w:rFonts w:hint="eastAsia" w:ascii="宋体" w:hAnsi="宋体"/>
                <w:color w:val="auto"/>
                <w:sz w:val="24"/>
                <w:highlight w:val="none"/>
              </w:rPr>
              <w:t>法定代表人（负责人）：</w:t>
            </w:r>
          </w:p>
        </w:tc>
      </w:tr>
      <w:tr w14:paraId="72C2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92" w:type="dxa"/>
            <w:vAlign w:val="center"/>
          </w:tcPr>
          <w:p w14:paraId="73E6FDC3">
            <w:pPr>
              <w:snapToGrid w:val="0"/>
              <w:spacing w:line="320" w:lineRule="exact"/>
              <w:rPr>
                <w:rFonts w:ascii="宋体"/>
                <w:color w:val="auto"/>
                <w:sz w:val="24"/>
                <w:highlight w:val="none"/>
              </w:rPr>
            </w:pPr>
            <w:r>
              <w:rPr>
                <w:rFonts w:hint="eastAsia" w:ascii="宋体" w:hAnsi="宋体"/>
                <w:color w:val="auto"/>
                <w:sz w:val="24"/>
                <w:highlight w:val="none"/>
              </w:rPr>
              <w:t>委托代理人：</w:t>
            </w:r>
          </w:p>
        </w:tc>
        <w:tc>
          <w:tcPr>
            <w:tcW w:w="4593" w:type="dxa"/>
            <w:vAlign w:val="center"/>
          </w:tcPr>
          <w:p w14:paraId="09100BAE">
            <w:pPr>
              <w:snapToGrid w:val="0"/>
              <w:spacing w:line="320" w:lineRule="exact"/>
              <w:rPr>
                <w:rFonts w:ascii="宋体"/>
                <w:color w:val="auto"/>
                <w:sz w:val="24"/>
                <w:highlight w:val="none"/>
              </w:rPr>
            </w:pPr>
            <w:r>
              <w:rPr>
                <w:rFonts w:hint="eastAsia" w:ascii="宋体" w:hAnsi="宋体"/>
                <w:color w:val="auto"/>
                <w:sz w:val="24"/>
                <w:highlight w:val="none"/>
              </w:rPr>
              <w:t>委托代理人</w:t>
            </w:r>
          </w:p>
        </w:tc>
      </w:tr>
      <w:tr w14:paraId="39F5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92" w:type="dxa"/>
            <w:vAlign w:val="center"/>
          </w:tcPr>
          <w:p w14:paraId="2232C0CF">
            <w:pPr>
              <w:snapToGrid w:val="0"/>
              <w:spacing w:line="320" w:lineRule="exact"/>
              <w:rPr>
                <w:rFonts w:ascii="宋体"/>
                <w:color w:val="auto"/>
                <w:sz w:val="24"/>
                <w:highlight w:val="none"/>
              </w:rPr>
            </w:pPr>
            <w:r>
              <w:rPr>
                <w:rFonts w:hint="eastAsia" w:ascii="宋体" w:hAnsi="宋体"/>
                <w:color w:val="auto"/>
                <w:sz w:val="24"/>
                <w:highlight w:val="none"/>
              </w:rPr>
              <w:t>电话：</w:t>
            </w:r>
          </w:p>
        </w:tc>
        <w:tc>
          <w:tcPr>
            <w:tcW w:w="4593" w:type="dxa"/>
            <w:vAlign w:val="center"/>
          </w:tcPr>
          <w:p w14:paraId="27F53AA1">
            <w:pPr>
              <w:snapToGrid w:val="0"/>
              <w:spacing w:line="320" w:lineRule="exact"/>
              <w:rPr>
                <w:rFonts w:ascii="宋体"/>
                <w:color w:val="auto"/>
                <w:sz w:val="24"/>
                <w:highlight w:val="none"/>
              </w:rPr>
            </w:pPr>
            <w:r>
              <w:rPr>
                <w:rFonts w:hint="eastAsia" w:ascii="宋体" w:hAnsi="宋体"/>
                <w:color w:val="auto"/>
                <w:sz w:val="24"/>
                <w:highlight w:val="none"/>
              </w:rPr>
              <w:t>电话：</w:t>
            </w:r>
          </w:p>
        </w:tc>
      </w:tr>
      <w:tr w14:paraId="69F1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92" w:type="dxa"/>
            <w:vAlign w:val="center"/>
          </w:tcPr>
          <w:p w14:paraId="5C5951BB">
            <w:pPr>
              <w:snapToGrid w:val="0"/>
              <w:spacing w:line="320" w:lineRule="exact"/>
              <w:rPr>
                <w:rFonts w:ascii="宋体"/>
                <w:color w:val="auto"/>
                <w:sz w:val="24"/>
                <w:highlight w:val="none"/>
              </w:rPr>
            </w:pPr>
            <w:r>
              <w:rPr>
                <w:rFonts w:hint="eastAsia" w:ascii="宋体" w:hAnsi="宋体"/>
                <w:color w:val="auto"/>
                <w:sz w:val="24"/>
                <w:highlight w:val="none"/>
              </w:rPr>
              <w:t>电子邮箱：</w:t>
            </w:r>
          </w:p>
        </w:tc>
        <w:tc>
          <w:tcPr>
            <w:tcW w:w="4593" w:type="dxa"/>
            <w:vAlign w:val="center"/>
          </w:tcPr>
          <w:p w14:paraId="3464047F">
            <w:pPr>
              <w:snapToGrid w:val="0"/>
              <w:spacing w:line="320" w:lineRule="exact"/>
              <w:rPr>
                <w:rFonts w:ascii="宋体"/>
                <w:color w:val="auto"/>
                <w:sz w:val="24"/>
                <w:highlight w:val="none"/>
              </w:rPr>
            </w:pPr>
            <w:r>
              <w:rPr>
                <w:rFonts w:hint="eastAsia" w:ascii="宋体" w:hAnsi="宋体"/>
                <w:color w:val="auto"/>
                <w:sz w:val="24"/>
                <w:highlight w:val="none"/>
              </w:rPr>
              <w:t>电子邮箱：</w:t>
            </w:r>
          </w:p>
        </w:tc>
      </w:tr>
      <w:tr w14:paraId="3158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92" w:type="dxa"/>
            <w:vAlign w:val="center"/>
          </w:tcPr>
          <w:p w14:paraId="24118E80">
            <w:pPr>
              <w:snapToGrid w:val="0"/>
              <w:spacing w:line="320" w:lineRule="exact"/>
              <w:rPr>
                <w:rFonts w:ascii="宋体"/>
                <w:color w:val="auto"/>
                <w:sz w:val="24"/>
                <w:highlight w:val="none"/>
              </w:rPr>
            </w:pPr>
            <w:r>
              <w:rPr>
                <w:rFonts w:hint="eastAsia" w:ascii="宋体" w:hAnsi="宋体"/>
                <w:color w:val="auto"/>
                <w:sz w:val="24"/>
                <w:highlight w:val="none"/>
              </w:rPr>
              <w:t>开户银行：</w:t>
            </w:r>
          </w:p>
        </w:tc>
        <w:tc>
          <w:tcPr>
            <w:tcW w:w="4593" w:type="dxa"/>
            <w:vAlign w:val="center"/>
          </w:tcPr>
          <w:p w14:paraId="5616DA0C">
            <w:pPr>
              <w:snapToGrid w:val="0"/>
              <w:spacing w:line="320" w:lineRule="exact"/>
              <w:rPr>
                <w:rFonts w:ascii="宋体"/>
                <w:color w:val="auto"/>
                <w:sz w:val="24"/>
                <w:highlight w:val="none"/>
              </w:rPr>
            </w:pPr>
            <w:r>
              <w:rPr>
                <w:rFonts w:hint="eastAsia" w:ascii="宋体" w:hAnsi="宋体"/>
                <w:color w:val="auto"/>
                <w:sz w:val="24"/>
                <w:highlight w:val="none"/>
              </w:rPr>
              <w:t>开户银行：</w:t>
            </w:r>
          </w:p>
        </w:tc>
      </w:tr>
      <w:tr w14:paraId="1924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92" w:type="dxa"/>
            <w:vAlign w:val="center"/>
          </w:tcPr>
          <w:p w14:paraId="2990CC94">
            <w:pPr>
              <w:snapToGrid w:val="0"/>
              <w:spacing w:line="320" w:lineRule="exact"/>
              <w:rPr>
                <w:rFonts w:ascii="宋体"/>
                <w:color w:val="auto"/>
                <w:sz w:val="24"/>
                <w:highlight w:val="none"/>
              </w:rPr>
            </w:pPr>
            <w:r>
              <w:rPr>
                <w:rFonts w:hint="eastAsia" w:ascii="宋体" w:hAnsi="宋体"/>
                <w:color w:val="auto"/>
                <w:sz w:val="24"/>
                <w:highlight w:val="none"/>
              </w:rPr>
              <w:t>账号：</w:t>
            </w:r>
          </w:p>
        </w:tc>
        <w:tc>
          <w:tcPr>
            <w:tcW w:w="4593" w:type="dxa"/>
            <w:vAlign w:val="center"/>
          </w:tcPr>
          <w:p w14:paraId="100F0FB2">
            <w:pPr>
              <w:snapToGrid w:val="0"/>
              <w:spacing w:line="320" w:lineRule="exact"/>
              <w:rPr>
                <w:rFonts w:ascii="宋体"/>
                <w:color w:val="auto"/>
                <w:sz w:val="24"/>
                <w:highlight w:val="none"/>
              </w:rPr>
            </w:pPr>
            <w:r>
              <w:rPr>
                <w:rFonts w:hint="eastAsia" w:ascii="宋体" w:hAnsi="宋体"/>
                <w:color w:val="auto"/>
                <w:sz w:val="24"/>
                <w:highlight w:val="none"/>
              </w:rPr>
              <w:t>账号：</w:t>
            </w:r>
          </w:p>
        </w:tc>
      </w:tr>
      <w:tr w14:paraId="7CA7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92" w:type="dxa"/>
            <w:vAlign w:val="center"/>
          </w:tcPr>
          <w:p w14:paraId="2F9B6299">
            <w:pPr>
              <w:snapToGrid w:val="0"/>
              <w:spacing w:line="320" w:lineRule="exact"/>
              <w:rPr>
                <w:rFonts w:ascii="宋体"/>
                <w:color w:val="auto"/>
                <w:sz w:val="24"/>
                <w:highlight w:val="none"/>
              </w:rPr>
            </w:pPr>
            <w:r>
              <w:rPr>
                <w:rFonts w:hint="eastAsia" w:ascii="宋体" w:hAnsi="宋体"/>
                <w:color w:val="auto"/>
                <w:sz w:val="24"/>
                <w:highlight w:val="none"/>
              </w:rPr>
              <w:t>邮政编码：</w:t>
            </w:r>
          </w:p>
        </w:tc>
        <w:tc>
          <w:tcPr>
            <w:tcW w:w="4593" w:type="dxa"/>
            <w:vAlign w:val="center"/>
          </w:tcPr>
          <w:p w14:paraId="072B91D7">
            <w:pPr>
              <w:snapToGrid w:val="0"/>
              <w:spacing w:line="320" w:lineRule="exact"/>
              <w:rPr>
                <w:rFonts w:ascii="宋体"/>
                <w:color w:val="auto"/>
                <w:sz w:val="24"/>
                <w:highlight w:val="none"/>
              </w:rPr>
            </w:pPr>
            <w:r>
              <w:rPr>
                <w:rFonts w:hint="eastAsia" w:ascii="宋体" w:hAnsi="宋体"/>
                <w:color w:val="auto"/>
                <w:sz w:val="24"/>
                <w:highlight w:val="none"/>
              </w:rPr>
              <w:t>邮政编码：</w:t>
            </w:r>
          </w:p>
        </w:tc>
      </w:tr>
      <w:tr w14:paraId="5047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185" w:type="dxa"/>
            <w:gridSpan w:val="2"/>
          </w:tcPr>
          <w:p w14:paraId="4E7A1B08">
            <w:pPr>
              <w:snapToGrid w:val="0"/>
              <w:spacing w:line="400" w:lineRule="exact"/>
              <w:rPr>
                <w:rFonts w:ascii="宋体"/>
                <w:color w:val="auto"/>
                <w:sz w:val="24"/>
                <w:highlight w:val="none"/>
              </w:rPr>
            </w:pPr>
            <w:r>
              <w:rPr>
                <w:rFonts w:hint="eastAsia" w:ascii="宋体" w:hAnsi="宋体"/>
                <w:color w:val="auto"/>
                <w:sz w:val="24"/>
                <w:highlight w:val="none"/>
              </w:rPr>
              <w:t>经办人：</w:t>
            </w:r>
          </w:p>
          <w:p w14:paraId="72C1FB9A">
            <w:pPr>
              <w:snapToGrid w:val="0"/>
              <w:spacing w:line="400" w:lineRule="exact"/>
              <w:ind w:firstLine="720" w:firstLineChars="300"/>
              <w:jc w:val="right"/>
              <w:rPr>
                <w:rFonts w:asci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tc>
      </w:tr>
    </w:tbl>
    <w:p w14:paraId="7D11C121">
      <w:pPr>
        <w:snapToGrid w:val="0"/>
        <w:spacing w:line="360" w:lineRule="auto"/>
        <w:rPr>
          <w:rFonts w:ascii="宋体"/>
          <w:b/>
          <w:color w:val="auto"/>
          <w:sz w:val="24"/>
          <w:highlight w:val="none"/>
        </w:rPr>
      </w:pPr>
    </w:p>
    <w:p w14:paraId="4D8A973E">
      <w:pPr>
        <w:snapToGrid w:val="0"/>
        <w:spacing w:line="360" w:lineRule="auto"/>
        <w:rPr>
          <w:rFonts w:hint="eastAsia" w:ascii="宋体"/>
          <w:b/>
          <w:color w:val="auto"/>
          <w:sz w:val="24"/>
          <w:highlight w:val="none"/>
        </w:rPr>
      </w:pPr>
    </w:p>
    <w:p w14:paraId="5ABBFF25">
      <w:pPr>
        <w:spacing w:line="360" w:lineRule="auto"/>
        <w:rPr>
          <w:rFonts w:hAnsi="宋体"/>
          <w:b/>
          <w:bCs/>
          <w:color w:val="auto"/>
          <w:sz w:val="24"/>
          <w:highlight w:val="none"/>
        </w:rPr>
        <w:sectPr>
          <w:pgSz w:w="11906" w:h="16838"/>
          <w:pgMar w:top="1240" w:right="1083" w:bottom="1440" w:left="1083" w:header="851" w:footer="992" w:gutter="0"/>
          <w:cols w:space="720" w:num="1"/>
          <w:titlePg/>
          <w:docGrid w:linePitch="312" w:charSpace="0"/>
        </w:sectPr>
      </w:pPr>
    </w:p>
    <w:p w14:paraId="21803DDA">
      <w:pPr>
        <w:spacing w:line="360" w:lineRule="auto"/>
        <w:rPr>
          <w:rFonts w:hAnsi="宋体"/>
          <w:b/>
          <w:bCs/>
          <w:color w:val="auto"/>
          <w:sz w:val="24"/>
          <w:highlight w:val="none"/>
        </w:rPr>
      </w:pPr>
      <w:r>
        <w:rPr>
          <w:rFonts w:hint="eastAsia" w:hAnsi="宋体"/>
          <w:b/>
          <w:bCs/>
          <w:color w:val="auto"/>
          <w:sz w:val="24"/>
          <w:highlight w:val="none"/>
        </w:rPr>
        <w:t>附件</w:t>
      </w:r>
      <w:r>
        <w:rPr>
          <w:rFonts w:hAnsi="宋体"/>
          <w:b/>
          <w:bCs/>
          <w:color w:val="auto"/>
          <w:sz w:val="24"/>
          <w:highlight w:val="none"/>
        </w:rPr>
        <w:t>1</w:t>
      </w:r>
    </w:p>
    <w:p w14:paraId="1AC17E03">
      <w:pPr>
        <w:spacing w:line="360" w:lineRule="auto"/>
        <w:ind w:firstLine="600"/>
        <w:jc w:val="center"/>
        <w:rPr>
          <w:rFonts w:hAnsi="宋体"/>
          <w:b/>
          <w:bCs/>
          <w:color w:val="auto"/>
          <w:sz w:val="24"/>
          <w:highlight w:val="none"/>
        </w:rPr>
      </w:pPr>
      <w:r>
        <w:rPr>
          <w:rFonts w:hint="eastAsia" w:hAnsi="宋体"/>
          <w:b/>
          <w:bCs/>
          <w:color w:val="auto"/>
          <w:sz w:val="24"/>
          <w:highlight w:val="none"/>
        </w:rPr>
        <w:t>廉政合同</w:t>
      </w:r>
    </w:p>
    <w:p w14:paraId="7015039A">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cs="宋体"/>
          <w:color w:val="auto"/>
          <w:sz w:val="24"/>
          <w:highlight w:val="none"/>
          <w:u w:val="single"/>
        </w:rPr>
        <w:tab/>
      </w:r>
      <w:r>
        <w:rPr>
          <w:rFonts w:ascii="宋体" w:hAnsi="宋体" w:cs="宋体"/>
          <w:color w:val="auto"/>
          <w:sz w:val="24"/>
          <w:highlight w:val="none"/>
          <w:u w:val="singl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的项目法人</w:t>
      </w:r>
      <w:r>
        <w:rPr>
          <w:rFonts w:ascii="宋体" w:cs="宋体"/>
          <w:color w:val="auto"/>
          <w:sz w:val="24"/>
          <w:highlight w:val="none"/>
          <w:u w:val="single"/>
        </w:rPr>
        <w:tab/>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项目法人名称，以下简称“发包人”）与该项目</w:t>
      </w:r>
      <w:r>
        <w:rPr>
          <w:rFonts w:asci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中标单位</w:t>
      </w:r>
      <w:r>
        <w:rPr>
          <w:rFonts w:ascii="宋体" w:cs="宋体"/>
          <w:color w:val="auto"/>
          <w:sz w:val="24"/>
          <w:highlight w:val="none"/>
          <w:u w:val="single"/>
        </w:rPr>
        <w:tab/>
      </w:r>
      <w:r>
        <w:rPr>
          <w:rFonts w:hint="eastAsia" w:asci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中标单位名称，以下简称“承包人”</w:t>
      </w:r>
      <w:r>
        <w:rPr>
          <w:rFonts w:ascii="宋体" w:hAnsi="宋体" w:cs="宋体"/>
          <w:color w:val="auto"/>
          <w:sz w:val="24"/>
          <w:highlight w:val="none"/>
        </w:rPr>
        <w:t>)</w:t>
      </w:r>
      <w:r>
        <w:rPr>
          <w:rFonts w:hint="eastAsia" w:ascii="宋体" w:hAnsi="宋体" w:cs="宋体"/>
          <w:color w:val="auto"/>
          <w:sz w:val="24"/>
          <w:highlight w:val="none"/>
        </w:rPr>
        <w:t>，特订立如下合同。</w:t>
      </w:r>
    </w:p>
    <w:p w14:paraId="535D0AA4">
      <w:pPr>
        <w:spacing w:line="360" w:lineRule="auto"/>
        <w:ind w:firstLine="487" w:firstLineChars="202"/>
        <w:rPr>
          <w:rFonts w:ascii="宋体" w:cs="宋体"/>
          <w:b/>
          <w:color w:val="auto"/>
          <w:sz w:val="24"/>
          <w:highlight w:val="none"/>
        </w:rPr>
      </w:pPr>
      <w:bookmarkStart w:id="18" w:name="bookmark216"/>
      <w:r>
        <w:rPr>
          <w:rFonts w:ascii="宋体" w:hAnsi="宋体" w:cs="宋体"/>
          <w:b/>
          <w:color w:val="auto"/>
          <w:sz w:val="24"/>
          <w:highlight w:val="none"/>
        </w:rPr>
        <w:t>1.</w:t>
      </w:r>
      <w:r>
        <w:rPr>
          <w:rFonts w:hint="eastAsia" w:ascii="宋体" w:hAnsi="宋体" w:cs="宋体"/>
          <w:b/>
          <w:color w:val="auto"/>
          <w:sz w:val="24"/>
          <w:highlight w:val="none"/>
        </w:rPr>
        <w:t>发包人和承包人双方的权利和义务</w:t>
      </w:r>
      <w:bookmarkEnd w:id="18"/>
    </w:p>
    <w:p w14:paraId="6F0FBDE6">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）严格遵守党的政策规定和国家有关法律法规及交通运输部的有关规定。</w:t>
      </w:r>
    </w:p>
    <w:p w14:paraId="2FCFCECD">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）严格执行</w:t>
      </w:r>
      <w:r>
        <w:rPr>
          <w:rFonts w:ascii="宋体" w:cs="宋体"/>
          <w:color w:val="auto"/>
          <w:sz w:val="24"/>
          <w:highlight w:val="none"/>
          <w:u w:val="single"/>
        </w:rPr>
        <w:tab/>
      </w:r>
      <w:r>
        <w:rPr>
          <w:rFonts w:ascii="宋体" w:hAnsi="宋体" w:cs="宋体"/>
          <w:color w:val="auto"/>
          <w:sz w:val="24"/>
          <w:highlight w:val="none"/>
          <w:u w:val="single"/>
        </w:rPr>
        <w:t>(</w:t>
      </w:r>
      <w:r>
        <w:rPr>
          <w:rFonts w:hint="eastAsia" w:ascii="宋体" w:hAnsi="宋体" w:cs="宋体"/>
          <w:color w:val="auto"/>
          <w:sz w:val="24"/>
          <w:highlight w:val="none"/>
          <w:u w:val="single"/>
        </w:rPr>
        <w:t>项目名称）</w:t>
      </w:r>
      <w:r>
        <w:rPr>
          <w:rFonts w:ascii="宋体" w:cs="宋体"/>
          <w:color w:val="auto"/>
          <w:sz w:val="24"/>
          <w:highlight w:val="none"/>
          <w:u w:val="single"/>
        </w:rPr>
        <w:tab/>
      </w:r>
      <w:r>
        <w:rPr>
          <w:rFonts w:hint="eastAsia" w:ascii="宋体" w:hAnsi="宋体" w:cs="宋体"/>
          <w:color w:val="auto"/>
          <w:sz w:val="24"/>
          <w:highlight w:val="none"/>
        </w:rPr>
        <w:t>分标施工合同文件，自觉按合同办事。</w:t>
      </w:r>
    </w:p>
    <w:p w14:paraId="0817DB0F">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）双方的业务活动坚持公开、公正、诚信、透明的原则（法律认定的商业秘密和合同文件另有规定除外），不得损害国家和集体利益，不得违反工程建设管理规章制度。</w:t>
      </w:r>
    </w:p>
    <w:p w14:paraId="69D3836F">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）建立健全廉政制度，开展廉政教育，设立廉政告示牌，公布举报电话，监督并认真查处违法违纪行为。</w:t>
      </w:r>
    </w:p>
    <w:p w14:paraId="0F809E1B">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）发现对方在业务活动中有违反廉政规定的行为，有及时提醒对方纠正的权利和义务。</w:t>
      </w:r>
    </w:p>
    <w:p w14:paraId="4050A836">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）发现对方严重违反本合同义务条款的行为，有向其上级有关部门举报、建议给予处理并要求告知处理结果的权利。</w:t>
      </w:r>
    </w:p>
    <w:p w14:paraId="0C8D7908">
      <w:pPr>
        <w:spacing w:line="360" w:lineRule="auto"/>
        <w:ind w:firstLine="487" w:firstLineChars="202"/>
        <w:rPr>
          <w:rFonts w:ascii="宋体" w:cs="宋体"/>
          <w:b/>
          <w:color w:val="auto"/>
          <w:sz w:val="24"/>
          <w:highlight w:val="none"/>
        </w:rPr>
      </w:pPr>
      <w:bookmarkStart w:id="19" w:name="bookmark217"/>
      <w:r>
        <w:rPr>
          <w:rFonts w:ascii="宋体" w:hAnsi="宋体" w:cs="宋体"/>
          <w:b/>
          <w:color w:val="auto"/>
          <w:sz w:val="24"/>
          <w:highlight w:val="none"/>
        </w:rPr>
        <w:t>2.</w:t>
      </w:r>
      <w:r>
        <w:rPr>
          <w:rFonts w:hint="eastAsia" w:ascii="宋体" w:hAnsi="宋体" w:cs="宋体"/>
          <w:b/>
          <w:color w:val="auto"/>
          <w:sz w:val="24"/>
          <w:highlight w:val="none"/>
        </w:rPr>
        <w:t>发包人的义务</w:t>
      </w:r>
      <w:bookmarkEnd w:id="19"/>
    </w:p>
    <w:p w14:paraId="708F3D94">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）发包人及其工作人员不得索要或接受承包人的礼金、有价证券和贵重物品，不得让承包人报销任何应由发包人或发包人工作人员个人支付的费用等。</w:t>
      </w:r>
    </w:p>
    <w:p w14:paraId="39FF5EEB">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）发包人工作人员不得参加承包人安排的超标准宴请和娱乐活动；不得接受承包人提供的通讯工具、交通工具和高档办公用品等。</w:t>
      </w:r>
    </w:p>
    <w:p w14:paraId="7822C025">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）发包人及其工作人员不得要求或者接受承包人为其住房装修、婚丧嫁娶活动、配偶子女的工作安排以及出国出境、旅游等提供方便等。</w:t>
      </w:r>
    </w:p>
    <w:p w14:paraId="66544486">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）发包人工作人员及其配偶、子女不得从事与发包人工程有关的材料设备供应、工程分包、劳务等经济活动等。</w:t>
      </w:r>
    </w:p>
    <w:p w14:paraId="227B4333">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）发包人及其工作人员不得以任何理由向承包人推荐分包单位或推销材料，不得要求承包人购买合同规定外的材料和设备。</w:t>
      </w:r>
    </w:p>
    <w:p w14:paraId="563313FA">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）发包人工作人员要秉公办事，不准营私舞弊，不准利用职权从事各种个人有偿中介活动和安排个人施工队伍。</w:t>
      </w:r>
    </w:p>
    <w:p w14:paraId="3A8AAF7D">
      <w:pPr>
        <w:spacing w:line="360" w:lineRule="auto"/>
        <w:ind w:firstLine="487" w:firstLineChars="202"/>
        <w:rPr>
          <w:rFonts w:asci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承包人的义务</w:t>
      </w:r>
    </w:p>
    <w:p w14:paraId="390BBF49">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）承包人不得以任何理由向发包人及其工作人员行贿或馈赠礼金、有价证券、贵重礼品。</w:t>
      </w:r>
    </w:p>
    <w:p w14:paraId="11E569FC">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）承包人不得以任何名义为发包人及其工作人员报销应由发包人单位或个人支付的任何费用。</w:t>
      </w:r>
    </w:p>
    <w:p w14:paraId="7E26F200">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）承包人不得以任何理由安排发包人工作人员参加超标准宴请及娱乐活动。</w:t>
      </w:r>
    </w:p>
    <w:p w14:paraId="4926D290">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）承包人不得为发包人单位和个人购置或提供通信工具、交通工具和高档办公用品等。</w:t>
      </w:r>
    </w:p>
    <w:p w14:paraId="6CD5E517">
      <w:pPr>
        <w:spacing w:line="360" w:lineRule="auto"/>
        <w:ind w:firstLine="487" w:firstLineChars="202"/>
        <w:rPr>
          <w:rFonts w:ascii="宋体" w:cs="宋体"/>
          <w:b/>
          <w:color w:val="auto"/>
          <w:sz w:val="24"/>
          <w:highlight w:val="none"/>
        </w:rPr>
      </w:pPr>
      <w:r>
        <w:rPr>
          <w:rFonts w:ascii="宋体" w:hAnsi="宋体" w:cs="宋体"/>
          <w:b/>
          <w:color w:val="auto"/>
          <w:sz w:val="24"/>
          <w:highlight w:val="none"/>
        </w:rPr>
        <w:t>4.</w:t>
      </w:r>
      <w:r>
        <w:rPr>
          <w:rFonts w:hint="eastAsia" w:ascii="宋体" w:hAnsi="宋体" w:cs="宋体"/>
          <w:b/>
          <w:color w:val="auto"/>
          <w:sz w:val="24"/>
          <w:highlight w:val="none"/>
        </w:rPr>
        <w:t>违约责任</w:t>
      </w:r>
    </w:p>
    <w:p w14:paraId="555E11B8">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）发包人及其工作人员违反本合同第</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条，按管理权限，依据有关规定给予党纪、政纪或组织处理；涉嫌犯罪的，移交司法机关追究刑事责任；给承包人单位造成经济损失的，应予以赔偿。</w:t>
      </w:r>
    </w:p>
    <w:p w14:paraId="54FFB71A">
      <w:pPr>
        <w:spacing w:line="360" w:lineRule="auto"/>
        <w:ind w:firstLine="484" w:firstLineChars="202"/>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）承包人及其工作人员违反本合同第</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5726F11">
      <w:pPr>
        <w:spacing w:line="360" w:lineRule="auto"/>
        <w:ind w:firstLine="484" w:firstLineChars="202"/>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52EC848">
      <w:pPr>
        <w:spacing w:line="360" w:lineRule="auto"/>
        <w:ind w:firstLine="484" w:firstLineChars="202"/>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本合同有效期为发包人和承包人签署之日起至该工程项目竣工验收后止。</w:t>
      </w:r>
    </w:p>
    <w:p w14:paraId="55218650">
      <w:pPr>
        <w:spacing w:line="360" w:lineRule="auto"/>
        <w:ind w:firstLine="484" w:firstLineChars="202"/>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本合同作为</w:t>
      </w:r>
      <w:r>
        <w:rPr>
          <w:rFonts w:ascii="宋体" w:cs="宋体"/>
          <w:color w:val="auto"/>
          <w:sz w:val="24"/>
          <w:highlight w:val="none"/>
        </w:rPr>
        <w:tab/>
      </w:r>
      <w:r>
        <w:rPr>
          <w:rFonts w:ascii="宋体" w:cs="宋体"/>
          <w:color w:val="auto"/>
          <w:sz w:val="24"/>
          <w:highlight w:val="none"/>
          <w:u w:val="single"/>
        </w:rPr>
        <w:tab/>
      </w:r>
      <w:r>
        <w:rPr>
          <w:rFonts w:ascii="宋体" w:cs="宋体"/>
          <w:color w:val="auto"/>
          <w:sz w:val="24"/>
          <w:highlight w:val="none"/>
          <w:u w:val="single"/>
        </w:rPr>
        <w:tab/>
      </w:r>
      <w:r>
        <w:rPr>
          <w:rFonts w:ascii="宋体" w:hAnsi="宋体" w:cs="宋体"/>
          <w:color w:val="auto"/>
          <w:sz w:val="24"/>
          <w:highlight w:val="none"/>
        </w:rPr>
        <w:t>(</w:t>
      </w:r>
      <w:r>
        <w:rPr>
          <w:rFonts w:hint="eastAsia" w:ascii="宋体" w:hAnsi="宋体" w:cs="宋体"/>
          <w:color w:val="auto"/>
          <w:sz w:val="24"/>
          <w:highlight w:val="none"/>
        </w:rPr>
        <w:t>项目名称）</w:t>
      </w:r>
      <w:r>
        <w:rPr>
          <w:rFonts w:ascii="宋体" w:cs="宋体"/>
          <w:color w:val="auto"/>
          <w:sz w:val="24"/>
          <w:highlight w:val="none"/>
          <w:u w:val="single"/>
        </w:rPr>
        <w:tab/>
      </w:r>
      <w:r>
        <w:rPr>
          <w:rFonts w:hint="eastAsia" w:ascii="宋体" w:hAnsi="宋体" w:cs="宋体"/>
          <w:color w:val="auto"/>
          <w:sz w:val="24"/>
          <w:highlight w:val="none"/>
        </w:rPr>
        <w:t>分标施工合同的附件，与工程施工合同具有同等的法律效力，经合同双方签署后立即生效。</w:t>
      </w:r>
    </w:p>
    <w:p w14:paraId="29671E22">
      <w:pPr>
        <w:spacing w:line="360" w:lineRule="auto"/>
        <w:ind w:firstLine="484" w:firstLineChars="202"/>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本合同一式四份，由发包人和承包人各执一份，送交发包人和承包人的监</w:t>
      </w:r>
      <w:r>
        <w:rPr>
          <w:rFonts w:ascii="宋体" w:hAnsi="宋体" w:cs="宋体"/>
          <w:color w:val="auto"/>
          <w:sz w:val="24"/>
          <w:highlight w:val="none"/>
        </w:rPr>
        <w:t xml:space="preserve"> </w:t>
      </w:r>
      <w:r>
        <w:rPr>
          <w:rFonts w:hint="eastAsia" w:ascii="宋体" w:hAnsi="宋体" w:cs="宋体"/>
          <w:color w:val="auto"/>
          <w:sz w:val="24"/>
          <w:highlight w:val="none"/>
        </w:rPr>
        <w:t>督单位各一份。</w:t>
      </w:r>
    </w:p>
    <w:p w14:paraId="5E52BF08">
      <w:pPr>
        <w:spacing w:line="400" w:lineRule="exact"/>
        <w:ind w:firstLine="484" w:firstLineChars="202"/>
        <w:rPr>
          <w:rFonts w:ascii="宋体" w:cs="宋体"/>
          <w:color w:val="auto"/>
          <w:sz w:val="24"/>
          <w:highlight w:val="none"/>
        </w:rPr>
      </w:pPr>
    </w:p>
    <w:p w14:paraId="0C77951D">
      <w:pPr>
        <w:spacing w:line="400" w:lineRule="exact"/>
        <w:rPr>
          <w:rFonts w:ascii="宋体" w:cs="宋体"/>
          <w:color w:val="auto"/>
          <w:sz w:val="24"/>
          <w:highlight w:val="none"/>
        </w:rPr>
      </w:pPr>
      <w:r>
        <w:rPr>
          <w:rFonts w:hint="eastAsia" w:ascii="宋体" w:hAnsi="宋体" w:cs="宋体"/>
          <w:color w:val="auto"/>
          <w:sz w:val="24"/>
          <w:highlight w:val="none"/>
        </w:rPr>
        <w:t>发包人：</w:t>
      </w:r>
      <w:r>
        <w:rPr>
          <w:rFonts w:ascii="宋体" w:cs="宋体"/>
          <w:color w:val="auto"/>
          <w:sz w:val="24"/>
          <w:highlight w:val="none"/>
          <w:u w:val="single"/>
        </w:rPr>
        <w:tab/>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rPr>
        <w:t>(</w:t>
      </w:r>
      <w:r>
        <w:rPr>
          <w:rFonts w:hint="eastAsia" w:ascii="宋体" w:hAnsi="宋体" w:cs="宋体"/>
          <w:color w:val="auto"/>
          <w:sz w:val="24"/>
          <w:highlight w:val="none"/>
        </w:rPr>
        <w:t>盖单位章）</w:t>
      </w:r>
      <w:r>
        <w:rPr>
          <w:rFonts w:ascii="宋体" w:hAnsi="宋体" w:cs="宋体"/>
          <w:color w:val="auto"/>
          <w:sz w:val="24"/>
          <w:highlight w:val="none"/>
        </w:rPr>
        <w:t xml:space="preserve">       </w:t>
      </w:r>
      <w:r>
        <w:rPr>
          <w:rFonts w:hint="eastAsia" w:ascii="宋体" w:hAnsi="宋体" w:cs="宋体"/>
          <w:color w:val="auto"/>
          <w:sz w:val="24"/>
          <w:highlight w:val="none"/>
        </w:rPr>
        <w:t>承包人：</w:t>
      </w:r>
      <w:r>
        <w:rPr>
          <w:rFonts w:ascii="宋体" w:cs="宋体"/>
          <w:color w:val="auto"/>
          <w:sz w:val="24"/>
          <w:highlight w:val="none"/>
          <w:u w:val="single"/>
        </w:rPr>
        <w:tab/>
      </w:r>
      <w:r>
        <w:rPr>
          <w:rFonts w:ascii="宋体" w:cs="宋体"/>
          <w:color w:val="auto"/>
          <w:sz w:val="24"/>
          <w:highlight w:val="none"/>
          <w:u w:val="single"/>
        </w:rPr>
        <w:tab/>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rPr>
        <w:t>(</w:t>
      </w:r>
      <w:r>
        <w:rPr>
          <w:rFonts w:hint="eastAsia" w:ascii="宋体" w:hAnsi="宋体" w:cs="宋体"/>
          <w:color w:val="auto"/>
          <w:sz w:val="24"/>
          <w:highlight w:val="none"/>
        </w:rPr>
        <w:t>盖单位章</w:t>
      </w:r>
      <w:r>
        <w:rPr>
          <w:rFonts w:ascii="宋体" w:hAnsi="宋体" w:cs="宋体"/>
          <w:color w:val="auto"/>
          <w:sz w:val="24"/>
          <w:highlight w:val="none"/>
        </w:rPr>
        <w:t>)</w:t>
      </w:r>
    </w:p>
    <w:p w14:paraId="40A14DE5">
      <w:pPr>
        <w:spacing w:line="400" w:lineRule="exact"/>
        <w:rPr>
          <w:rFonts w:ascii="宋体" w:cs="宋体"/>
          <w:color w:val="auto"/>
          <w:sz w:val="24"/>
          <w:highlight w:val="none"/>
        </w:rPr>
      </w:pPr>
    </w:p>
    <w:p w14:paraId="14DF564C">
      <w:pPr>
        <w:spacing w:line="400" w:lineRule="exact"/>
        <w:rPr>
          <w:rFonts w:ascii="宋体" w:cs="宋体"/>
          <w:color w:val="auto"/>
          <w:sz w:val="24"/>
          <w:highlight w:val="none"/>
        </w:rPr>
      </w:pPr>
      <w:r>
        <w:rPr>
          <w:rFonts w:hint="eastAsia" w:ascii="宋体" w:hAnsi="宋体" w:cs="宋体"/>
          <w:color w:val="auto"/>
          <w:sz w:val="24"/>
          <w:highlight w:val="none"/>
        </w:rPr>
        <w:t>法定代表人或其委托代理人：</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签字）</w:t>
      </w:r>
      <w:r>
        <w:rPr>
          <w:rFonts w:ascii="宋体" w:hAnsi="宋体" w:cs="宋体"/>
          <w:color w:val="auto"/>
          <w:sz w:val="24"/>
          <w:highlight w:val="none"/>
        </w:rPr>
        <w:t xml:space="preserve"> </w:t>
      </w:r>
      <w:r>
        <w:rPr>
          <w:rFonts w:hint="eastAsia" w:ascii="宋体" w:hAnsi="宋体" w:cs="宋体"/>
          <w:color w:val="auto"/>
          <w:sz w:val="24"/>
          <w:highlight w:val="none"/>
        </w:rPr>
        <w:t>法定代表人或其委托代理人：</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签字</w:t>
      </w:r>
      <w:r>
        <w:rPr>
          <w:rFonts w:ascii="宋体" w:hAnsi="宋体" w:cs="宋体"/>
          <w:color w:val="auto"/>
          <w:sz w:val="24"/>
          <w:highlight w:val="none"/>
        </w:rPr>
        <w:t>)</w:t>
      </w:r>
    </w:p>
    <w:p w14:paraId="531867BC">
      <w:pPr>
        <w:pStyle w:val="28"/>
        <w:rPr>
          <w:color w:val="auto"/>
          <w:highlight w:val="none"/>
        </w:rPr>
      </w:pPr>
    </w:p>
    <w:p w14:paraId="759E3841">
      <w:pPr>
        <w:spacing w:line="400" w:lineRule="exact"/>
        <w:ind w:firstLine="1200" w:firstLineChars="500"/>
        <w:rPr>
          <w:rFonts w:ascii="宋体" w:cs="宋体"/>
          <w:color w:val="auto"/>
          <w:sz w:val="24"/>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cs="宋体"/>
          <w:color w:val="auto"/>
          <w:sz w:val="24"/>
          <w:highlight w:val="none"/>
        </w:rPr>
        <w:tab/>
      </w:r>
      <w:r>
        <w:rPr>
          <w:rFonts w:ascii="宋体" w:cs="宋体"/>
          <w:color w:val="auto"/>
          <w:sz w:val="24"/>
          <w:highlight w:val="none"/>
        </w:rPr>
        <w:tab/>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3BE76B5">
      <w:pPr>
        <w:spacing w:line="400" w:lineRule="exact"/>
        <w:rPr>
          <w:rFonts w:ascii="宋体" w:cs="宋体"/>
          <w:color w:val="auto"/>
          <w:sz w:val="24"/>
          <w:highlight w:val="none"/>
        </w:rPr>
      </w:pPr>
    </w:p>
    <w:p w14:paraId="251FEB05">
      <w:pPr>
        <w:spacing w:line="400" w:lineRule="exact"/>
        <w:rPr>
          <w:rFonts w:ascii="宋体" w:cs="宋体"/>
          <w:color w:val="auto"/>
          <w:sz w:val="24"/>
          <w:highlight w:val="none"/>
          <w:u w:val="single"/>
        </w:rPr>
      </w:pPr>
      <w:r>
        <w:rPr>
          <w:rFonts w:hint="eastAsia" w:ascii="宋体" w:hAnsi="宋体" w:cs="宋体"/>
          <w:color w:val="auto"/>
          <w:sz w:val="24"/>
          <w:highlight w:val="none"/>
        </w:rPr>
        <w:t>发包人监督单位：</w:t>
      </w:r>
      <w:r>
        <w:rPr>
          <w:rFonts w:hint="eastAsia" w:ascii="宋体" w:hAnsi="宋体" w:cs="宋体"/>
          <w:color w:val="auto"/>
          <w:sz w:val="24"/>
          <w:highlight w:val="none"/>
          <w:u w:val="single"/>
        </w:rPr>
        <w:t>（全称）（盖单位章）</w:t>
      </w:r>
      <w:r>
        <w:rPr>
          <w:rFonts w:ascii="宋体" w:hAnsi="宋体" w:cs="宋体"/>
          <w:color w:val="auto"/>
          <w:sz w:val="24"/>
          <w:highlight w:val="none"/>
        </w:rPr>
        <w:t xml:space="preserve">    </w:t>
      </w:r>
      <w:r>
        <w:rPr>
          <w:rFonts w:hint="eastAsia" w:ascii="宋体" w:hAnsi="宋体" w:cs="宋体"/>
          <w:color w:val="auto"/>
          <w:sz w:val="24"/>
          <w:highlight w:val="none"/>
        </w:rPr>
        <w:t>承包人监督单位：</w:t>
      </w:r>
      <w:r>
        <w:rPr>
          <w:rFonts w:hint="eastAsia" w:ascii="宋体" w:hAnsi="宋体" w:cs="宋体"/>
          <w:color w:val="auto"/>
          <w:sz w:val="24"/>
          <w:highlight w:val="none"/>
          <w:u w:val="single"/>
        </w:rPr>
        <w:t>（全称）（盖单位章</w:t>
      </w:r>
      <w:r>
        <w:rPr>
          <w:rFonts w:ascii="宋体" w:hAnsi="宋体" w:cs="宋体"/>
          <w:color w:val="auto"/>
          <w:sz w:val="24"/>
          <w:highlight w:val="none"/>
          <w:u w:val="single"/>
        </w:rPr>
        <w:t xml:space="preserve">)    </w:t>
      </w:r>
    </w:p>
    <w:p w14:paraId="5A8B4851">
      <w:pPr>
        <w:spacing w:line="360" w:lineRule="auto"/>
        <w:ind w:firstLine="600"/>
        <w:rPr>
          <w:rFonts w:hAnsi="宋体"/>
          <w:b/>
          <w:bCs/>
          <w:color w:val="auto"/>
          <w:sz w:val="24"/>
          <w:highlight w:val="none"/>
        </w:rPr>
      </w:pPr>
    </w:p>
    <w:p w14:paraId="2054148E">
      <w:pPr>
        <w:spacing w:line="360" w:lineRule="auto"/>
        <w:ind w:firstLine="600"/>
        <w:rPr>
          <w:rFonts w:hAnsi="宋体"/>
          <w:b/>
          <w:bCs/>
          <w:color w:val="auto"/>
          <w:sz w:val="24"/>
          <w:highlight w:val="none"/>
        </w:rPr>
      </w:pPr>
    </w:p>
    <w:p w14:paraId="730C3868">
      <w:pPr>
        <w:spacing w:line="360" w:lineRule="auto"/>
        <w:ind w:firstLine="600"/>
        <w:rPr>
          <w:rFonts w:hAnsi="宋体"/>
          <w:b/>
          <w:bCs/>
          <w:color w:val="auto"/>
          <w:sz w:val="24"/>
          <w:highlight w:val="none"/>
        </w:rPr>
        <w:sectPr>
          <w:pgSz w:w="11906" w:h="16838"/>
          <w:pgMar w:top="1440" w:right="1083" w:bottom="1440" w:left="1083" w:header="851" w:footer="992" w:gutter="0"/>
          <w:cols w:space="720" w:num="1"/>
          <w:titlePg/>
          <w:docGrid w:linePitch="312" w:charSpace="0"/>
        </w:sectPr>
      </w:pPr>
    </w:p>
    <w:p w14:paraId="19333A32">
      <w:pPr>
        <w:spacing w:line="360" w:lineRule="auto"/>
        <w:rPr>
          <w:rFonts w:hAnsi="宋体"/>
          <w:b/>
          <w:bCs/>
          <w:color w:val="auto"/>
          <w:sz w:val="24"/>
          <w:highlight w:val="none"/>
        </w:rPr>
      </w:pPr>
      <w:r>
        <w:rPr>
          <w:rFonts w:hint="eastAsia" w:hAnsi="宋体"/>
          <w:b/>
          <w:bCs/>
          <w:color w:val="auto"/>
          <w:sz w:val="24"/>
          <w:highlight w:val="none"/>
        </w:rPr>
        <w:t>附件</w:t>
      </w:r>
      <w:r>
        <w:rPr>
          <w:rFonts w:hAnsi="宋体"/>
          <w:b/>
          <w:bCs/>
          <w:color w:val="auto"/>
          <w:sz w:val="24"/>
          <w:highlight w:val="none"/>
        </w:rPr>
        <w:t>2</w:t>
      </w:r>
    </w:p>
    <w:p w14:paraId="46B8B9A8">
      <w:pPr>
        <w:spacing w:line="360" w:lineRule="auto"/>
        <w:ind w:firstLine="600"/>
        <w:rPr>
          <w:rFonts w:hAnsi="宋体"/>
          <w:b/>
          <w:bCs/>
          <w:color w:val="auto"/>
          <w:sz w:val="24"/>
          <w:highlight w:val="none"/>
        </w:rPr>
      </w:pPr>
    </w:p>
    <w:p w14:paraId="2904A357">
      <w:pPr>
        <w:autoSpaceDE w:val="0"/>
        <w:autoSpaceDN w:val="0"/>
        <w:adjustRightInd w:val="0"/>
        <w:spacing w:line="360" w:lineRule="auto"/>
        <w:ind w:firstLine="3300"/>
        <w:rPr>
          <w:rFonts w:ascii="宋体" w:cs="宋体"/>
          <w:color w:val="auto"/>
          <w:kern w:val="0"/>
          <w:sz w:val="44"/>
          <w:szCs w:val="44"/>
          <w:highlight w:val="none"/>
          <w:lang w:val="zh-CN"/>
        </w:rPr>
      </w:pPr>
      <w:r>
        <w:rPr>
          <w:rFonts w:hint="eastAsia" w:ascii="宋体" w:cs="宋体"/>
          <w:color w:val="auto"/>
          <w:kern w:val="0"/>
          <w:sz w:val="44"/>
          <w:szCs w:val="44"/>
          <w:highlight w:val="none"/>
          <w:lang w:val="zh-CN"/>
        </w:rPr>
        <w:t>安全生产合同</w:t>
      </w:r>
    </w:p>
    <w:p w14:paraId="5EC1F1FD">
      <w:pPr>
        <w:autoSpaceDE w:val="0"/>
        <w:autoSpaceDN w:val="0"/>
        <w:adjustRightInd w:val="0"/>
        <w:spacing w:line="520" w:lineRule="atLeast"/>
        <w:ind w:left="420" w:firstLine="480"/>
        <w:rPr>
          <w:rFonts w:ascii="宋体" w:cs="宋体"/>
          <w:color w:val="auto"/>
          <w:kern w:val="0"/>
          <w:sz w:val="24"/>
          <w:highlight w:val="none"/>
          <w:lang w:val="zh-CN"/>
        </w:rPr>
      </w:pPr>
      <w:r>
        <w:rPr>
          <w:rFonts w:hint="eastAsia" w:ascii="宋体" w:cs="宋体"/>
          <w:color w:val="auto"/>
          <w:kern w:val="0"/>
          <w:sz w:val="24"/>
          <w:highlight w:val="none"/>
          <w:lang w:val="zh-CN"/>
        </w:rPr>
        <w:t>为在</w:t>
      </w:r>
      <w:r>
        <w:rPr>
          <w:rFonts w:ascii="宋体" w:cs="宋体"/>
          <w:b/>
          <w:bCs/>
          <w:color w:val="auto"/>
          <w:kern w:val="0"/>
          <w:sz w:val="24"/>
          <w:highlight w:val="none"/>
          <w:u w:val="single"/>
          <w:lang w:val="zh-CN"/>
        </w:rPr>
        <w:t xml:space="preserve"> </w:t>
      </w:r>
      <w:r>
        <w:rPr>
          <w:rFonts w:hint="eastAsia" w:ascii="宋体" w:cs="宋体"/>
          <w:color w:val="auto"/>
          <w:kern w:val="0"/>
          <w:sz w:val="24"/>
          <w:highlight w:val="none"/>
          <w:u w:val="single"/>
          <w:lang w:val="zh-CN"/>
        </w:rPr>
        <w:t>（项目名称）</w:t>
      </w:r>
      <w:r>
        <w:rPr>
          <w:rFonts w:ascii="宋体" w:cs="宋体"/>
          <w:b/>
          <w:bCs/>
          <w:color w:val="auto"/>
          <w:kern w:val="0"/>
          <w:sz w:val="24"/>
          <w:highlight w:val="none"/>
          <w:u w:val="single"/>
          <w:lang w:val="zh-CN"/>
        </w:rPr>
        <w:t xml:space="preserve"> </w:t>
      </w:r>
      <w:r>
        <w:rPr>
          <w:rFonts w:hint="eastAsia" w:ascii="宋体" w:cs="宋体"/>
          <w:color w:val="auto"/>
          <w:kern w:val="0"/>
          <w:sz w:val="24"/>
          <w:highlight w:val="none"/>
          <w:lang w:val="zh-CN"/>
        </w:rPr>
        <w:t>服务合同的实施过程中创造安全、高效的施工环境，切实搞好本项目的安全管理工作，本项目发包人</w:t>
      </w:r>
      <w:r>
        <w:rPr>
          <w:rFonts w:ascii="宋体" w:cs="宋体"/>
          <w:b/>
          <w:bCs/>
          <w:color w:val="auto"/>
          <w:kern w:val="0"/>
          <w:sz w:val="24"/>
          <w:highlight w:val="none"/>
          <w:u w:val="single"/>
          <w:lang w:val="zh-CN"/>
        </w:rPr>
        <w:t xml:space="preserve">      </w:t>
      </w:r>
      <w:r>
        <w:rPr>
          <w:rFonts w:hint="eastAsia" w:ascii="宋体" w:cs="宋体"/>
          <w:color w:val="auto"/>
          <w:kern w:val="0"/>
          <w:sz w:val="24"/>
          <w:highlight w:val="none"/>
          <w:lang w:val="zh-CN"/>
        </w:rPr>
        <w:t>（以下简称</w:t>
      </w:r>
      <w:r>
        <w:rPr>
          <w:rFonts w:ascii="宋体" w:cs="宋体"/>
          <w:color w:val="auto"/>
          <w:kern w:val="0"/>
          <w:sz w:val="24"/>
          <w:highlight w:val="none"/>
          <w:lang w:val="zh-CN"/>
        </w:rPr>
        <w:t>“</w:t>
      </w:r>
      <w:r>
        <w:rPr>
          <w:rFonts w:hint="eastAsia" w:ascii="宋体" w:cs="宋体"/>
          <w:color w:val="auto"/>
          <w:kern w:val="0"/>
          <w:sz w:val="24"/>
          <w:highlight w:val="none"/>
          <w:lang w:val="zh-CN"/>
        </w:rPr>
        <w:t>发包人</w:t>
      </w:r>
      <w:r>
        <w:rPr>
          <w:rFonts w:ascii="宋体" w:cs="宋体"/>
          <w:color w:val="auto"/>
          <w:kern w:val="0"/>
          <w:sz w:val="24"/>
          <w:highlight w:val="none"/>
          <w:lang w:val="zh-CN"/>
        </w:rPr>
        <w:t>”</w:t>
      </w:r>
      <w:r>
        <w:rPr>
          <w:rFonts w:hint="eastAsia" w:ascii="宋体" w:cs="宋体"/>
          <w:color w:val="auto"/>
          <w:kern w:val="0"/>
          <w:sz w:val="24"/>
          <w:highlight w:val="none"/>
          <w:lang w:val="zh-CN"/>
        </w:rPr>
        <w:t>）与承包人</w:t>
      </w:r>
      <w:r>
        <w:rPr>
          <w:rFonts w:ascii="宋体" w:cs="宋体"/>
          <w:color w:val="auto"/>
          <w:kern w:val="0"/>
          <w:sz w:val="24"/>
          <w:highlight w:val="none"/>
          <w:u w:val="single"/>
          <w:lang w:val="zh-CN"/>
        </w:rPr>
        <w:t xml:space="preserve">        </w:t>
      </w:r>
      <w:r>
        <w:rPr>
          <w:rFonts w:hint="eastAsia" w:ascii="宋体" w:cs="宋体"/>
          <w:color w:val="auto"/>
          <w:kern w:val="0"/>
          <w:sz w:val="24"/>
          <w:highlight w:val="none"/>
          <w:lang w:val="zh-CN"/>
        </w:rPr>
        <w:t>（以下简称</w:t>
      </w:r>
      <w:r>
        <w:rPr>
          <w:rFonts w:ascii="宋体" w:cs="宋体"/>
          <w:color w:val="auto"/>
          <w:kern w:val="0"/>
          <w:sz w:val="24"/>
          <w:highlight w:val="none"/>
          <w:lang w:val="zh-CN"/>
        </w:rPr>
        <w:t>“</w:t>
      </w:r>
      <w:r>
        <w:rPr>
          <w:rFonts w:hint="eastAsia" w:ascii="宋体" w:cs="宋体"/>
          <w:color w:val="auto"/>
          <w:kern w:val="0"/>
          <w:sz w:val="24"/>
          <w:highlight w:val="none"/>
          <w:lang w:val="zh-CN"/>
        </w:rPr>
        <w:t>承包人</w:t>
      </w:r>
      <w:r>
        <w:rPr>
          <w:rFonts w:ascii="宋体" w:cs="宋体"/>
          <w:color w:val="auto"/>
          <w:kern w:val="0"/>
          <w:sz w:val="24"/>
          <w:highlight w:val="none"/>
          <w:lang w:val="zh-CN"/>
        </w:rPr>
        <w:t>”</w:t>
      </w:r>
      <w:r>
        <w:rPr>
          <w:rFonts w:hint="eastAsia" w:ascii="宋体" w:cs="宋体"/>
          <w:color w:val="auto"/>
          <w:kern w:val="0"/>
          <w:sz w:val="24"/>
          <w:highlight w:val="none"/>
          <w:lang w:val="zh-CN"/>
        </w:rPr>
        <w:t>）特此签订安全生产合同：</w:t>
      </w:r>
      <w:r>
        <w:rPr>
          <w:rFonts w:hint="eastAsia" w:hAnsi="宋体"/>
          <w:b/>
          <w:color w:val="auto"/>
          <w:sz w:val="28"/>
          <w:szCs w:val="28"/>
          <w:highlight w:val="none"/>
        </w:rPr>
        <w:t>合浦县农村公路日常养护服务项目</w:t>
      </w:r>
    </w:p>
    <w:p w14:paraId="6EACACD0">
      <w:pPr>
        <w:autoSpaceDE w:val="0"/>
        <w:autoSpaceDN w:val="0"/>
        <w:adjustRightInd w:val="0"/>
        <w:spacing w:line="520" w:lineRule="atLeast"/>
        <w:ind w:left="1041"/>
        <w:jc w:val="left"/>
        <w:rPr>
          <w:rFonts w:ascii="黑体" w:eastAsia="黑体" w:cs="黑体"/>
          <w:color w:val="auto"/>
          <w:kern w:val="0"/>
          <w:sz w:val="24"/>
          <w:highlight w:val="none"/>
          <w:lang w:val="zh-CN"/>
        </w:rPr>
      </w:pPr>
      <w:r>
        <w:rPr>
          <w:color w:val="auto"/>
          <w:kern w:val="0"/>
          <w:sz w:val="24"/>
          <w:highlight w:val="none"/>
        </w:rPr>
        <w:t>1.</w:t>
      </w:r>
      <w:r>
        <w:rPr>
          <w:rFonts w:hint="eastAsia" w:ascii="黑体" w:eastAsia="黑体" w:cs="黑体"/>
          <w:color w:val="auto"/>
          <w:kern w:val="0"/>
          <w:sz w:val="24"/>
          <w:highlight w:val="none"/>
          <w:lang w:val="zh-CN"/>
        </w:rPr>
        <w:t>发包人职责</w:t>
      </w:r>
    </w:p>
    <w:p w14:paraId="585B152F">
      <w:pPr>
        <w:autoSpaceDE w:val="0"/>
        <w:autoSpaceDN w:val="0"/>
        <w:adjustRightInd w:val="0"/>
        <w:spacing w:before="82" w:line="520" w:lineRule="atLeast"/>
        <w:ind w:left="424" w:right="390" w:firstLine="616"/>
        <w:jc w:val="left"/>
        <w:rPr>
          <w:rFonts w:ascii="宋体" w:cs="宋体"/>
          <w:color w:val="auto"/>
          <w:kern w:val="0"/>
          <w:sz w:val="24"/>
          <w:highlight w:val="none"/>
          <w:lang w:val="zh-CN"/>
        </w:rPr>
      </w:pPr>
      <w:r>
        <w:rPr>
          <w:rFonts w:hint="eastAsia" w:ascii="宋体" w:cs="宋体"/>
          <w:color w:val="auto"/>
          <w:kern w:val="0"/>
          <w:sz w:val="24"/>
          <w:highlight w:val="none"/>
          <w:lang w:val="zh-CN"/>
        </w:rPr>
        <w:t>（</w:t>
      </w:r>
      <w:r>
        <w:rPr>
          <w:color w:val="auto"/>
          <w:kern w:val="0"/>
          <w:sz w:val="24"/>
          <w:highlight w:val="none"/>
        </w:rPr>
        <w:t>1</w:t>
      </w:r>
      <w:r>
        <w:rPr>
          <w:rFonts w:hint="eastAsia" w:ascii="宋体" w:cs="宋体"/>
          <w:color w:val="auto"/>
          <w:kern w:val="0"/>
          <w:sz w:val="24"/>
          <w:highlight w:val="none"/>
          <w:lang w:val="zh-CN"/>
        </w:rPr>
        <w:t>）严格遵守国家有关安全生产的法律法规，认真执行工程承包合同中的有关安全要求。</w:t>
      </w:r>
    </w:p>
    <w:p w14:paraId="3FB065CE">
      <w:pPr>
        <w:autoSpaceDE w:val="0"/>
        <w:autoSpaceDN w:val="0"/>
        <w:adjustRightInd w:val="0"/>
        <w:spacing w:line="520" w:lineRule="atLeast"/>
        <w:ind w:left="424" w:right="380" w:firstLine="616"/>
        <w:jc w:val="left"/>
        <w:rPr>
          <w:rFonts w:ascii="宋体" w:cs="宋体"/>
          <w:color w:val="auto"/>
          <w:kern w:val="0"/>
          <w:sz w:val="24"/>
          <w:highlight w:val="none"/>
          <w:lang w:val="zh-CN"/>
        </w:rPr>
      </w:pPr>
      <w:r>
        <w:rPr>
          <w:rFonts w:hint="eastAsia" w:ascii="宋体" w:cs="宋体"/>
          <w:color w:val="auto"/>
          <w:kern w:val="0"/>
          <w:sz w:val="24"/>
          <w:highlight w:val="none"/>
          <w:lang w:val="zh-CN"/>
        </w:rPr>
        <w:t>（</w:t>
      </w:r>
      <w:r>
        <w:rPr>
          <w:color w:val="auto"/>
          <w:kern w:val="0"/>
          <w:sz w:val="24"/>
          <w:highlight w:val="none"/>
        </w:rPr>
        <w:t>2</w:t>
      </w:r>
      <w:r>
        <w:rPr>
          <w:rFonts w:hint="eastAsia" w:ascii="宋体" w:cs="宋体"/>
          <w:color w:val="auto"/>
          <w:kern w:val="0"/>
          <w:sz w:val="24"/>
          <w:highlight w:val="none"/>
          <w:lang w:val="zh-CN"/>
        </w:rPr>
        <w:t>）按照</w:t>
      </w:r>
      <w:r>
        <w:rPr>
          <w:rFonts w:ascii="宋体" w:cs="宋体"/>
          <w:color w:val="auto"/>
          <w:kern w:val="0"/>
          <w:sz w:val="24"/>
          <w:highlight w:val="none"/>
          <w:lang w:val="zh-CN"/>
        </w:rPr>
        <w:t>“</w:t>
      </w:r>
      <w:r>
        <w:rPr>
          <w:rFonts w:hint="eastAsia" w:ascii="宋体" w:cs="宋体"/>
          <w:color w:val="auto"/>
          <w:kern w:val="0"/>
          <w:sz w:val="24"/>
          <w:highlight w:val="none"/>
          <w:lang w:val="zh-CN"/>
        </w:rPr>
        <w:t>安全第一、预防为主、综合治理</w:t>
      </w:r>
      <w:r>
        <w:rPr>
          <w:rFonts w:ascii="宋体" w:cs="宋体"/>
          <w:color w:val="auto"/>
          <w:kern w:val="0"/>
          <w:sz w:val="24"/>
          <w:highlight w:val="none"/>
          <w:lang w:val="zh-CN"/>
        </w:rPr>
        <w:t>”</w:t>
      </w:r>
      <w:r>
        <w:rPr>
          <w:rFonts w:hint="eastAsia" w:ascii="宋体" w:cs="宋体"/>
          <w:color w:val="auto"/>
          <w:kern w:val="0"/>
          <w:sz w:val="24"/>
          <w:highlight w:val="none"/>
          <w:lang w:val="zh-CN"/>
        </w:rPr>
        <w:t>和坚持</w:t>
      </w:r>
      <w:r>
        <w:rPr>
          <w:rFonts w:ascii="宋体" w:cs="宋体"/>
          <w:color w:val="auto"/>
          <w:kern w:val="0"/>
          <w:sz w:val="24"/>
          <w:highlight w:val="none"/>
          <w:lang w:val="zh-CN"/>
        </w:rPr>
        <w:t>“</w:t>
      </w:r>
      <w:r>
        <w:rPr>
          <w:rFonts w:hint="eastAsia" w:ascii="宋体" w:cs="宋体"/>
          <w:color w:val="auto"/>
          <w:kern w:val="0"/>
          <w:sz w:val="24"/>
          <w:highlight w:val="none"/>
          <w:lang w:val="zh-CN"/>
        </w:rPr>
        <w:t>管生产必须管安全</w:t>
      </w:r>
      <w:r>
        <w:rPr>
          <w:rFonts w:ascii="宋体" w:cs="宋体"/>
          <w:color w:val="auto"/>
          <w:kern w:val="0"/>
          <w:sz w:val="24"/>
          <w:highlight w:val="none"/>
          <w:lang w:val="zh-CN"/>
        </w:rPr>
        <w:t>”</w:t>
      </w:r>
      <w:r>
        <w:rPr>
          <w:rFonts w:hint="eastAsia" w:ascii="宋体" w:cs="宋体"/>
          <w:color w:val="auto"/>
          <w:kern w:val="0"/>
          <w:sz w:val="24"/>
          <w:highlight w:val="none"/>
          <w:lang w:val="zh-CN"/>
        </w:rPr>
        <w:t>的原则进行安全生产管理，做到生产与安全工作同时计划、布置、检查、总结和评比。</w:t>
      </w:r>
    </w:p>
    <w:p w14:paraId="57E112E8">
      <w:pPr>
        <w:autoSpaceDE w:val="0"/>
        <w:autoSpaceDN w:val="0"/>
        <w:adjustRightInd w:val="0"/>
        <w:spacing w:line="520" w:lineRule="atLeast"/>
        <w:ind w:left="424" w:right="382" w:firstLine="616"/>
        <w:jc w:val="left"/>
        <w:rPr>
          <w:rFonts w:ascii="宋体" w:cs="宋体"/>
          <w:color w:val="auto"/>
          <w:kern w:val="0"/>
          <w:sz w:val="24"/>
          <w:highlight w:val="none"/>
          <w:lang w:val="zh-CN"/>
        </w:rPr>
      </w:pPr>
      <w:r>
        <w:rPr>
          <w:rFonts w:hint="eastAsia" w:ascii="宋体" w:cs="宋体"/>
          <w:color w:val="auto"/>
          <w:kern w:val="0"/>
          <w:sz w:val="24"/>
          <w:highlight w:val="none"/>
          <w:lang w:val="zh-CN"/>
        </w:rPr>
        <w:t>（</w:t>
      </w:r>
      <w:r>
        <w:rPr>
          <w:color w:val="auto"/>
          <w:kern w:val="0"/>
          <w:sz w:val="24"/>
          <w:highlight w:val="none"/>
        </w:rPr>
        <w:t>3</w:t>
      </w:r>
      <w:r>
        <w:rPr>
          <w:rFonts w:hint="eastAsia" w:ascii="宋体" w:cs="宋体"/>
          <w:color w:val="auto"/>
          <w:kern w:val="0"/>
          <w:sz w:val="24"/>
          <w:highlight w:val="none"/>
          <w:lang w:val="zh-CN"/>
        </w:rPr>
        <w:t>）重要的安全设施必须坚持与主体工程</w:t>
      </w:r>
      <w:r>
        <w:rPr>
          <w:rFonts w:ascii="宋体" w:cs="宋体"/>
          <w:color w:val="auto"/>
          <w:kern w:val="0"/>
          <w:sz w:val="24"/>
          <w:highlight w:val="none"/>
          <w:lang w:val="zh-CN"/>
        </w:rPr>
        <w:t>“</w:t>
      </w:r>
      <w:r>
        <w:rPr>
          <w:rFonts w:hint="eastAsia" w:ascii="宋体" w:cs="宋体"/>
          <w:color w:val="auto"/>
          <w:kern w:val="0"/>
          <w:sz w:val="24"/>
          <w:highlight w:val="none"/>
          <w:lang w:val="zh-CN"/>
        </w:rPr>
        <w:t>三同时</w:t>
      </w:r>
      <w:r>
        <w:rPr>
          <w:rFonts w:ascii="宋体" w:cs="宋体"/>
          <w:color w:val="auto"/>
          <w:kern w:val="0"/>
          <w:sz w:val="24"/>
          <w:highlight w:val="none"/>
          <w:lang w:val="zh-CN"/>
        </w:rPr>
        <w:t>”</w:t>
      </w:r>
      <w:r>
        <w:rPr>
          <w:rFonts w:hint="eastAsia" w:ascii="宋体" w:cs="宋体"/>
          <w:color w:val="auto"/>
          <w:kern w:val="0"/>
          <w:sz w:val="24"/>
          <w:highlight w:val="none"/>
          <w:lang w:val="zh-CN"/>
        </w:rPr>
        <w:t>的原则，即：同时设计、审批，同时施工，同时验收，投入使用。</w:t>
      </w:r>
    </w:p>
    <w:p w14:paraId="5064E6E9">
      <w:pPr>
        <w:autoSpaceDE w:val="0"/>
        <w:autoSpaceDN w:val="0"/>
        <w:adjustRightInd w:val="0"/>
        <w:spacing w:line="520" w:lineRule="atLeast"/>
        <w:ind w:left="1041"/>
        <w:jc w:val="left"/>
        <w:rPr>
          <w:rFonts w:ascii="宋体" w:cs="宋体"/>
          <w:color w:val="auto"/>
          <w:kern w:val="0"/>
          <w:sz w:val="24"/>
          <w:highlight w:val="none"/>
          <w:lang w:val="zh-CN"/>
        </w:rPr>
      </w:pPr>
      <w:r>
        <w:rPr>
          <w:rFonts w:hint="eastAsia" w:ascii="宋体" w:cs="宋体"/>
          <w:color w:val="auto"/>
          <w:kern w:val="0"/>
          <w:sz w:val="24"/>
          <w:highlight w:val="none"/>
          <w:lang w:val="zh-CN"/>
        </w:rPr>
        <w:t>（</w:t>
      </w:r>
      <w:r>
        <w:rPr>
          <w:color w:val="auto"/>
          <w:kern w:val="0"/>
          <w:sz w:val="24"/>
          <w:highlight w:val="none"/>
        </w:rPr>
        <w:t>4</w:t>
      </w:r>
      <w:r>
        <w:rPr>
          <w:rFonts w:hint="eastAsia" w:ascii="宋体" w:cs="宋体"/>
          <w:color w:val="auto"/>
          <w:kern w:val="0"/>
          <w:sz w:val="24"/>
          <w:highlight w:val="none"/>
          <w:lang w:val="zh-CN"/>
        </w:rPr>
        <w:t>）定期召开安全生产调度会，及时传达中央及地方有关安全生产的精神。</w:t>
      </w:r>
    </w:p>
    <w:p w14:paraId="7FFA83A4">
      <w:pPr>
        <w:autoSpaceDE w:val="0"/>
        <w:autoSpaceDN w:val="0"/>
        <w:adjustRightInd w:val="0"/>
        <w:spacing w:before="82" w:line="520" w:lineRule="atLeast"/>
        <w:ind w:left="424" w:right="388" w:firstLine="616"/>
        <w:jc w:val="left"/>
        <w:rPr>
          <w:rFonts w:ascii="宋体" w:cs="宋体"/>
          <w:color w:val="auto"/>
          <w:kern w:val="0"/>
          <w:sz w:val="24"/>
          <w:highlight w:val="none"/>
          <w:lang w:val="zh-CN"/>
        </w:rPr>
      </w:pPr>
      <w:r>
        <w:rPr>
          <w:rFonts w:hint="eastAsia" w:ascii="宋体" w:cs="宋体"/>
          <w:color w:val="auto"/>
          <w:kern w:val="0"/>
          <w:sz w:val="24"/>
          <w:highlight w:val="none"/>
          <w:lang w:val="zh-CN"/>
        </w:rPr>
        <w:t>（</w:t>
      </w:r>
      <w:r>
        <w:rPr>
          <w:color w:val="auto"/>
          <w:kern w:val="0"/>
          <w:sz w:val="24"/>
          <w:highlight w:val="none"/>
        </w:rPr>
        <w:t>5</w:t>
      </w:r>
      <w:r>
        <w:rPr>
          <w:rFonts w:hint="eastAsia" w:ascii="宋体" w:cs="宋体"/>
          <w:color w:val="auto"/>
          <w:kern w:val="0"/>
          <w:sz w:val="24"/>
          <w:highlight w:val="none"/>
          <w:lang w:val="zh-CN"/>
        </w:rPr>
        <w:t>）组织对承包人施工现场进行安全生产检查，监督承包人及时处理发现的各种安全隐患。</w:t>
      </w:r>
    </w:p>
    <w:p w14:paraId="75FE7A81">
      <w:pPr>
        <w:autoSpaceDE w:val="0"/>
        <w:autoSpaceDN w:val="0"/>
        <w:adjustRightInd w:val="0"/>
        <w:spacing w:before="5" w:line="520" w:lineRule="atLeast"/>
        <w:ind w:left="1041"/>
        <w:jc w:val="left"/>
        <w:rPr>
          <w:rFonts w:ascii="黑体" w:eastAsia="黑体" w:cs="黑体"/>
          <w:color w:val="auto"/>
          <w:kern w:val="0"/>
          <w:sz w:val="24"/>
          <w:highlight w:val="none"/>
          <w:lang w:val="zh-CN"/>
        </w:rPr>
      </w:pPr>
      <w:r>
        <w:rPr>
          <w:color w:val="auto"/>
          <w:kern w:val="0"/>
          <w:sz w:val="24"/>
          <w:highlight w:val="none"/>
        </w:rPr>
        <w:t>2.</w:t>
      </w:r>
      <w:r>
        <w:rPr>
          <w:rFonts w:hint="eastAsia" w:ascii="黑体" w:eastAsia="黑体" w:cs="黑体"/>
          <w:color w:val="auto"/>
          <w:kern w:val="0"/>
          <w:sz w:val="24"/>
          <w:highlight w:val="none"/>
          <w:lang w:val="zh-CN"/>
        </w:rPr>
        <w:t>承包人职责</w:t>
      </w:r>
    </w:p>
    <w:p w14:paraId="031F733E">
      <w:pPr>
        <w:autoSpaceDE w:val="0"/>
        <w:autoSpaceDN w:val="0"/>
        <w:adjustRightInd w:val="0"/>
        <w:spacing w:before="81" w:line="520" w:lineRule="atLeast"/>
        <w:ind w:left="424" w:right="283" w:firstLine="616"/>
        <w:jc w:val="left"/>
        <w:rPr>
          <w:rFonts w:ascii="宋体" w:cs="宋体"/>
          <w:color w:val="auto"/>
          <w:kern w:val="0"/>
          <w:sz w:val="24"/>
          <w:highlight w:val="none"/>
          <w:lang w:val="zh-CN"/>
        </w:rPr>
      </w:pPr>
      <w:r>
        <w:rPr>
          <w:rFonts w:hint="eastAsia" w:ascii="宋体" w:cs="宋体"/>
          <w:color w:val="auto"/>
          <w:kern w:val="0"/>
          <w:sz w:val="24"/>
          <w:highlight w:val="none"/>
          <w:lang w:val="zh-CN"/>
        </w:rPr>
        <w:t>（</w:t>
      </w:r>
      <w:r>
        <w:rPr>
          <w:color w:val="auto"/>
          <w:kern w:val="0"/>
          <w:sz w:val="24"/>
          <w:highlight w:val="none"/>
        </w:rPr>
        <w:t>1</w:t>
      </w:r>
      <w:r>
        <w:rPr>
          <w:rFonts w:hint="eastAsia" w:ascii="宋体" w:cs="宋体"/>
          <w:color w:val="auto"/>
          <w:kern w:val="0"/>
          <w:sz w:val="24"/>
          <w:highlight w:val="none"/>
          <w:lang w:val="zh-CN"/>
        </w:rPr>
        <w:t>）</w:t>
      </w:r>
      <w:r>
        <w:rPr>
          <w:rFonts w:hint="eastAsia" w:ascii="宋体" w:cs="宋体"/>
          <w:color w:val="auto"/>
          <w:spacing w:val="-7"/>
          <w:kern w:val="0"/>
          <w:sz w:val="24"/>
          <w:highlight w:val="none"/>
          <w:lang w:val="zh-CN"/>
        </w:rPr>
        <w:t>严格遵守《中华人民共和国安全生产法》《建设工程安全生产管理条例》等国家有关安全生产的法律法规</w:t>
      </w:r>
      <w:r>
        <w:rPr>
          <w:rFonts w:hint="eastAsia" w:ascii="宋体" w:cs="宋体"/>
          <w:color w:val="auto"/>
          <w:spacing w:val="-16"/>
          <w:kern w:val="0"/>
          <w:sz w:val="24"/>
          <w:highlight w:val="none"/>
          <w:lang w:val="zh-CN"/>
        </w:rPr>
        <w:t>、《公路水运工程安全生产监督管理办法》和《公路工程施工安全技术规范》等有关安全生产的规定。认真执行工程承包合同中的有关安全要求。</w:t>
      </w:r>
    </w:p>
    <w:p w14:paraId="52E2D3F5">
      <w:pPr>
        <w:autoSpaceDE w:val="0"/>
        <w:autoSpaceDN w:val="0"/>
        <w:adjustRightInd w:val="0"/>
        <w:spacing w:line="520" w:lineRule="atLeast"/>
        <w:ind w:left="424" w:right="266" w:firstLine="616"/>
        <w:rPr>
          <w:rFonts w:ascii="宋体" w:cs="宋体"/>
          <w:color w:val="auto"/>
          <w:kern w:val="0"/>
          <w:sz w:val="24"/>
          <w:highlight w:val="none"/>
          <w:lang w:val="zh-CN"/>
        </w:rPr>
      </w:pPr>
      <w:r>
        <w:rPr>
          <w:rFonts w:hint="eastAsia" w:ascii="宋体" w:cs="宋体"/>
          <w:color w:val="auto"/>
          <w:kern w:val="0"/>
          <w:sz w:val="24"/>
          <w:highlight w:val="none"/>
          <w:lang w:val="zh-CN"/>
        </w:rPr>
        <w:t>（</w:t>
      </w:r>
      <w:r>
        <w:rPr>
          <w:color w:val="auto"/>
          <w:kern w:val="0"/>
          <w:sz w:val="24"/>
          <w:highlight w:val="none"/>
        </w:rPr>
        <w:t>2</w:t>
      </w:r>
      <w:r>
        <w:rPr>
          <w:rFonts w:hint="eastAsia" w:ascii="宋体" w:cs="宋体"/>
          <w:color w:val="auto"/>
          <w:kern w:val="0"/>
          <w:sz w:val="24"/>
          <w:highlight w:val="none"/>
          <w:lang w:val="zh-CN"/>
        </w:rPr>
        <w:t>）坚持</w:t>
      </w:r>
      <w:r>
        <w:rPr>
          <w:rFonts w:ascii="宋体" w:cs="宋体"/>
          <w:color w:val="auto"/>
          <w:kern w:val="0"/>
          <w:sz w:val="24"/>
          <w:highlight w:val="none"/>
          <w:lang w:val="zh-CN"/>
        </w:rPr>
        <w:t>“</w:t>
      </w:r>
      <w:r>
        <w:rPr>
          <w:rFonts w:hint="eastAsia" w:ascii="宋体" w:cs="宋体"/>
          <w:color w:val="auto"/>
          <w:kern w:val="0"/>
          <w:sz w:val="24"/>
          <w:highlight w:val="none"/>
          <w:lang w:val="zh-CN"/>
        </w:rPr>
        <w:t>安全第一、预防为主、综合治理</w:t>
      </w:r>
      <w:r>
        <w:rPr>
          <w:rFonts w:ascii="宋体" w:cs="宋体"/>
          <w:color w:val="auto"/>
          <w:kern w:val="0"/>
          <w:sz w:val="24"/>
          <w:highlight w:val="none"/>
          <w:lang w:val="zh-CN"/>
        </w:rPr>
        <w:t>”</w:t>
      </w:r>
      <w:r>
        <w:rPr>
          <w:rFonts w:hint="eastAsia" w:ascii="宋体" w:cs="宋体"/>
          <w:color w:val="auto"/>
          <w:kern w:val="0"/>
          <w:sz w:val="24"/>
          <w:highlight w:val="none"/>
          <w:lang w:val="zh-CN"/>
        </w:rPr>
        <w:t>和</w:t>
      </w:r>
      <w:r>
        <w:rPr>
          <w:rFonts w:ascii="宋体" w:cs="宋体"/>
          <w:color w:val="auto"/>
          <w:kern w:val="0"/>
          <w:sz w:val="24"/>
          <w:highlight w:val="none"/>
          <w:lang w:val="zh-CN"/>
        </w:rPr>
        <w:t>“</w:t>
      </w:r>
      <w:r>
        <w:rPr>
          <w:rFonts w:hint="eastAsia" w:ascii="宋体" w:cs="宋体"/>
          <w:color w:val="auto"/>
          <w:kern w:val="0"/>
          <w:sz w:val="24"/>
          <w:highlight w:val="none"/>
          <w:lang w:val="zh-CN"/>
        </w:rPr>
        <w:t>管生产必须管安全</w:t>
      </w:r>
      <w:r>
        <w:rPr>
          <w:rFonts w:ascii="宋体" w:cs="宋体"/>
          <w:color w:val="auto"/>
          <w:kern w:val="0"/>
          <w:sz w:val="24"/>
          <w:highlight w:val="none"/>
          <w:lang w:val="zh-CN"/>
        </w:rPr>
        <w:t>”</w:t>
      </w:r>
      <w:r>
        <w:rPr>
          <w:rFonts w:hint="eastAsia" w:ascii="宋体" w:cs="宋体"/>
          <w:color w:val="auto"/>
          <w:kern w:val="0"/>
          <w:sz w:val="24"/>
          <w:highlight w:val="none"/>
          <w:lang w:val="zh-CN"/>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hint="eastAsia" w:ascii="宋体" w:cs="宋体"/>
          <w:color w:val="auto"/>
          <w:spacing w:val="-5"/>
          <w:kern w:val="0"/>
          <w:sz w:val="24"/>
          <w:highlight w:val="none"/>
          <w:lang w:val="zh-CN"/>
        </w:rPr>
        <w:t>遵守本合同的各项规定，做到生产与安全工作同时计划、布置、检查、总结和评比。</w:t>
      </w:r>
    </w:p>
    <w:p w14:paraId="0C348EF8">
      <w:pPr>
        <w:autoSpaceDE w:val="0"/>
        <w:autoSpaceDN w:val="0"/>
        <w:adjustRightInd w:val="0"/>
        <w:spacing w:line="520" w:lineRule="atLeast"/>
        <w:ind w:left="424" w:right="387" w:firstLine="616"/>
        <w:rPr>
          <w:rFonts w:ascii="宋体" w:cs="宋体"/>
          <w:color w:val="auto"/>
          <w:kern w:val="0"/>
          <w:sz w:val="24"/>
          <w:highlight w:val="none"/>
          <w:lang w:val="zh-CN"/>
        </w:rPr>
      </w:pPr>
      <w:r>
        <w:rPr>
          <w:rFonts w:hint="eastAsia" w:ascii="宋体" w:cs="宋体"/>
          <w:color w:val="auto"/>
          <w:kern w:val="0"/>
          <w:sz w:val="24"/>
          <w:highlight w:val="none"/>
          <w:lang w:val="zh-CN"/>
        </w:rPr>
        <w:t>（</w:t>
      </w:r>
      <w:r>
        <w:rPr>
          <w:color w:val="auto"/>
          <w:kern w:val="0"/>
          <w:sz w:val="24"/>
          <w:highlight w:val="none"/>
        </w:rPr>
        <w:t>3</w:t>
      </w:r>
      <w:r>
        <w:rPr>
          <w:rFonts w:hint="eastAsia" w:ascii="宋体" w:cs="宋体"/>
          <w:color w:val="auto"/>
          <w:kern w:val="0"/>
          <w:sz w:val="24"/>
          <w:highlight w:val="none"/>
          <w:lang w:val="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1BC97525">
      <w:pPr>
        <w:autoSpaceDE w:val="0"/>
        <w:autoSpaceDN w:val="0"/>
        <w:adjustRightInd w:val="0"/>
        <w:spacing w:line="520" w:lineRule="atLeast"/>
        <w:ind w:left="424" w:right="387" w:firstLine="616"/>
        <w:rPr>
          <w:rFonts w:ascii="宋体" w:cs="宋体"/>
          <w:color w:val="auto"/>
          <w:kern w:val="0"/>
          <w:sz w:val="24"/>
          <w:highlight w:val="none"/>
          <w:lang w:val="zh-CN"/>
        </w:rPr>
      </w:pPr>
      <w:r>
        <w:rPr>
          <w:rFonts w:hint="eastAsia" w:ascii="宋体" w:cs="宋体"/>
          <w:color w:val="auto"/>
          <w:kern w:val="0"/>
          <w:sz w:val="24"/>
          <w:highlight w:val="none"/>
          <w:lang w:val="zh-CN"/>
        </w:rPr>
        <w:t>（</w:t>
      </w:r>
      <w:r>
        <w:rPr>
          <w:rFonts w:ascii="宋体" w:cs="宋体"/>
          <w:color w:val="auto"/>
          <w:kern w:val="0"/>
          <w:sz w:val="24"/>
          <w:highlight w:val="none"/>
          <w:lang w:val="zh-CN"/>
        </w:rPr>
        <w:t>4</w:t>
      </w:r>
      <w:r>
        <w:rPr>
          <w:rFonts w:hint="eastAsia" w:ascii="宋体" w:cs="宋体"/>
          <w:color w:val="auto"/>
          <w:kern w:val="0"/>
          <w:sz w:val="24"/>
          <w:highlight w:val="none"/>
          <w:lang w:val="zh-CN"/>
        </w:rPr>
        <w:t>）承包人在任何时候都应采取各种合理的预防措施，防止其员工发生任何违法、违禁、暴力或妨碍治安的行为。</w:t>
      </w:r>
    </w:p>
    <w:p w14:paraId="53C0A11B">
      <w:pPr>
        <w:autoSpaceDE w:val="0"/>
        <w:autoSpaceDN w:val="0"/>
        <w:adjustRightInd w:val="0"/>
        <w:spacing w:line="520" w:lineRule="atLeast"/>
        <w:ind w:left="424" w:right="387" w:firstLine="616"/>
        <w:rPr>
          <w:rFonts w:ascii="宋体" w:cs="宋体"/>
          <w:color w:val="auto"/>
          <w:kern w:val="0"/>
          <w:sz w:val="24"/>
          <w:highlight w:val="none"/>
          <w:lang w:val="zh-CN"/>
        </w:rPr>
      </w:pPr>
      <w:r>
        <w:rPr>
          <w:rFonts w:hint="eastAsia" w:ascii="宋体" w:cs="宋体"/>
          <w:color w:val="auto"/>
          <w:kern w:val="0"/>
          <w:sz w:val="24"/>
          <w:highlight w:val="none"/>
          <w:lang w:val="zh-CN"/>
        </w:rPr>
        <w:t>（</w:t>
      </w:r>
      <w:r>
        <w:rPr>
          <w:rFonts w:ascii="宋体" w:cs="宋体"/>
          <w:color w:val="auto"/>
          <w:kern w:val="0"/>
          <w:sz w:val="24"/>
          <w:highlight w:val="none"/>
          <w:lang w:val="zh-CN"/>
        </w:rPr>
        <w:t>5</w:t>
      </w:r>
      <w:r>
        <w:rPr>
          <w:rFonts w:hint="eastAsia" w:ascii="宋体" w:cs="宋体"/>
          <w:color w:val="auto"/>
          <w:kern w:val="0"/>
          <w:sz w:val="24"/>
          <w:highlight w:val="none"/>
          <w:lang w:val="zh-CN"/>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27DC51C">
      <w:pPr>
        <w:autoSpaceDE w:val="0"/>
        <w:autoSpaceDN w:val="0"/>
        <w:adjustRightInd w:val="0"/>
        <w:spacing w:line="520" w:lineRule="atLeast"/>
        <w:ind w:left="424" w:right="387" w:firstLine="616"/>
        <w:rPr>
          <w:rFonts w:ascii="宋体" w:cs="宋体"/>
          <w:color w:val="auto"/>
          <w:kern w:val="0"/>
          <w:sz w:val="24"/>
          <w:highlight w:val="none"/>
          <w:lang w:val="zh-CN"/>
        </w:rPr>
      </w:pPr>
      <w:r>
        <w:rPr>
          <w:rFonts w:hint="eastAsia" w:ascii="宋体" w:cs="宋体"/>
          <w:color w:val="auto"/>
          <w:kern w:val="0"/>
          <w:sz w:val="24"/>
          <w:highlight w:val="none"/>
          <w:lang w:val="zh-CN"/>
        </w:rPr>
        <w:t>（</w:t>
      </w:r>
      <w:r>
        <w:rPr>
          <w:rFonts w:ascii="宋体" w:cs="宋体"/>
          <w:color w:val="auto"/>
          <w:kern w:val="0"/>
          <w:sz w:val="24"/>
          <w:highlight w:val="none"/>
          <w:lang w:val="zh-CN"/>
        </w:rPr>
        <w:t>6</w:t>
      </w:r>
      <w:r>
        <w:rPr>
          <w:rFonts w:hint="eastAsia" w:ascii="宋体" w:cs="宋体"/>
          <w:color w:val="auto"/>
          <w:kern w:val="0"/>
          <w:sz w:val="24"/>
          <w:highlight w:val="none"/>
          <w:lang w:val="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D23F1BD">
      <w:pPr>
        <w:autoSpaceDE w:val="0"/>
        <w:autoSpaceDN w:val="0"/>
        <w:adjustRightInd w:val="0"/>
        <w:spacing w:line="520" w:lineRule="atLeast"/>
        <w:ind w:left="424" w:right="387" w:firstLine="616"/>
        <w:rPr>
          <w:rFonts w:ascii="宋体" w:cs="宋体"/>
          <w:color w:val="auto"/>
          <w:kern w:val="0"/>
          <w:sz w:val="24"/>
          <w:highlight w:val="none"/>
          <w:lang w:val="zh-CN"/>
        </w:rPr>
      </w:pPr>
      <w:r>
        <w:rPr>
          <w:rFonts w:hint="eastAsia" w:ascii="宋体" w:cs="宋体"/>
          <w:color w:val="auto"/>
          <w:kern w:val="0"/>
          <w:sz w:val="24"/>
          <w:highlight w:val="none"/>
          <w:lang w:val="zh-CN"/>
        </w:rPr>
        <w:t>（</w:t>
      </w:r>
      <w:r>
        <w:rPr>
          <w:rFonts w:ascii="宋体" w:cs="宋体"/>
          <w:color w:val="auto"/>
          <w:kern w:val="0"/>
          <w:sz w:val="24"/>
          <w:highlight w:val="none"/>
          <w:lang w:val="zh-CN"/>
        </w:rPr>
        <w:t>7</w:t>
      </w:r>
      <w:r>
        <w:rPr>
          <w:rFonts w:hint="eastAsia" w:ascii="宋体" w:cs="宋体"/>
          <w:color w:val="auto"/>
          <w:kern w:val="0"/>
          <w:sz w:val="24"/>
          <w:highlight w:val="none"/>
          <w:lang w:val="zh-CN"/>
        </w:rPr>
        <w:t>）操作人员上岗，必须按规定穿戴防护用品。施工负责人和安全检查员应随时检查劳动防护用品的穿戴情况，不按规定穿戴防护用品的人员不得上岗。</w:t>
      </w:r>
    </w:p>
    <w:p w14:paraId="13562B24">
      <w:pPr>
        <w:autoSpaceDE w:val="0"/>
        <w:autoSpaceDN w:val="0"/>
        <w:adjustRightInd w:val="0"/>
        <w:spacing w:line="520" w:lineRule="atLeast"/>
        <w:ind w:left="424" w:right="387" w:firstLine="616"/>
        <w:rPr>
          <w:rFonts w:ascii="宋体" w:cs="宋体"/>
          <w:color w:val="auto"/>
          <w:kern w:val="0"/>
          <w:sz w:val="24"/>
          <w:highlight w:val="none"/>
          <w:lang w:val="zh-CN"/>
        </w:rPr>
      </w:pPr>
      <w:r>
        <w:rPr>
          <w:rFonts w:hint="eastAsia" w:ascii="宋体" w:cs="宋体"/>
          <w:color w:val="auto"/>
          <w:kern w:val="0"/>
          <w:sz w:val="24"/>
          <w:highlight w:val="none"/>
          <w:lang w:val="zh-CN"/>
        </w:rPr>
        <w:t>（</w:t>
      </w:r>
      <w:r>
        <w:rPr>
          <w:rFonts w:ascii="宋体" w:cs="宋体"/>
          <w:color w:val="auto"/>
          <w:kern w:val="0"/>
          <w:sz w:val="24"/>
          <w:highlight w:val="none"/>
          <w:lang w:val="zh-CN"/>
        </w:rPr>
        <w:t>8</w:t>
      </w:r>
      <w:r>
        <w:rPr>
          <w:rFonts w:hint="eastAsia" w:ascii="宋体" w:cs="宋体"/>
          <w:color w:val="auto"/>
          <w:kern w:val="0"/>
          <w:sz w:val="24"/>
          <w:highlight w:val="none"/>
          <w:lang w:val="zh-CN"/>
        </w:rPr>
        <w:t>）所有施工机具设备和高空作业的设备均应定期检查，并有安全员的签字记录，保证其经常处于完好状态；不合格的机具、设备和劳动保护用品严禁使用。</w:t>
      </w:r>
    </w:p>
    <w:p w14:paraId="148E4BA8">
      <w:pPr>
        <w:autoSpaceDE w:val="0"/>
        <w:autoSpaceDN w:val="0"/>
        <w:adjustRightInd w:val="0"/>
        <w:spacing w:line="520" w:lineRule="atLeast"/>
        <w:ind w:left="424" w:right="387" w:firstLine="616"/>
        <w:rPr>
          <w:rFonts w:ascii="宋体" w:cs="宋体"/>
          <w:color w:val="auto"/>
          <w:kern w:val="0"/>
          <w:sz w:val="24"/>
          <w:highlight w:val="none"/>
          <w:lang w:val="zh-CN"/>
        </w:rPr>
      </w:pPr>
      <w:r>
        <w:rPr>
          <w:rFonts w:hint="eastAsia" w:ascii="宋体" w:cs="宋体"/>
          <w:color w:val="auto"/>
          <w:kern w:val="0"/>
          <w:sz w:val="24"/>
          <w:highlight w:val="none"/>
          <w:lang w:val="zh-CN"/>
        </w:rPr>
        <w:t>（</w:t>
      </w:r>
      <w:r>
        <w:rPr>
          <w:rFonts w:ascii="宋体" w:cs="宋体"/>
          <w:color w:val="auto"/>
          <w:kern w:val="0"/>
          <w:sz w:val="24"/>
          <w:highlight w:val="none"/>
          <w:lang w:val="zh-CN"/>
        </w:rPr>
        <w:t>9</w:t>
      </w:r>
      <w:r>
        <w:rPr>
          <w:rFonts w:hint="eastAsia" w:ascii="宋体" w:cs="宋体"/>
          <w:color w:val="auto"/>
          <w:kern w:val="0"/>
          <w:sz w:val="24"/>
          <w:highlight w:val="none"/>
          <w:lang w:val="zh-CN"/>
        </w:rPr>
        <w:t>）施工中采用新技术、新工艺、新设备、新材料时，必须制定相应的安全技术措施，施工现场必须具有相关的安全标志牌。</w:t>
      </w:r>
    </w:p>
    <w:p w14:paraId="77A475A1">
      <w:pPr>
        <w:autoSpaceDE w:val="0"/>
        <w:autoSpaceDN w:val="0"/>
        <w:adjustRightInd w:val="0"/>
        <w:spacing w:line="520" w:lineRule="atLeast"/>
        <w:ind w:left="424" w:right="387" w:firstLine="616"/>
        <w:rPr>
          <w:rFonts w:ascii="宋体" w:cs="宋体"/>
          <w:color w:val="auto"/>
          <w:kern w:val="0"/>
          <w:sz w:val="24"/>
          <w:highlight w:val="none"/>
          <w:lang w:val="zh-CN"/>
        </w:rPr>
      </w:pPr>
      <w:r>
        <w:rPr>
          <w:rFonts w:hint="eastAsia" w:ascii="宋体" w:cs="宋体"/>
          <w:color w:val="auto"/>
          <w:kern w:val="0"/>
          <w:sz w:val="24"/>
          <w:highlight w:val="none"/>
          <w:lang w:val="zh-CN"/>
        </w:rPr>
        <w:t>（</w:t>
      </w:r>
      <w:r>
        <w:rPr>
          <w:rFonts w:ascii="宋体" w:cs="宋体"/>
          <w:color w:val="auto"/>
          <w:kern w:val="0"/>
          <w:sz w:val="24"/>
          <w:highlight w:val="none"/>
          <w:lang w:val="zh-CN"/>
        </w:rPr>
        <w:t>10</w:t>
      </w:r>
      <w:r>
        <w:rPr>
          <w:rFonts w:hint="eastAsia" w:ascii="宋体" w:cs="宋体"/>
          <w:color w:val="auto"/>
          <w:kern w:val="0"/>
          <w:sz w:val="24"/>
          <w:highlight w:val="none"/>
          <w:lang w:val="zh-CN"/>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ascii="宋体" w:cs="宋体"/>
          <w:color w:val="auto"/>
          <w:kern w:val="0"/>
          <w:sz w:val="24"/>
          <w:highlight w:val="none"/>
          <w:lang w:val="zh-CN"/>
        </w:rPr>
        <w:t>“</w:t>
      </w:r>
      <w:r>
        <w:rPr>
          <w:rFonts w:hint="eastAsia" w:ascii="宋体" w:cs="宋体"/>
          <w:color w:val="auto"/>
          <w:kern w:val="0"/>
          <w:sz w:val="24"/>
          <w:highlight w:val="none"/>
          <w:lang w:val="zh-CN"/>
        </w:rPr>
        <w:t>四不放过</w:t>
      </w:r>
      <w:r>
        <w:rPr>
          <w:rFonts w:ascii="宋体" w:cs="宋体"/>
          <w:color w:val="auto"/>
          <w:kern w:val="0"/>
          <w:sz w:val="24"/>
          <w:highlight w:val="none"/>
          <w:lang w:val="zh-CN"/>
        </w:rPr>
        <w:t>”</w:t>
      </w:r>
      <w:r>
        <w:rPr>
          <w:rFonts w:hint="eastAsia" w:ascii="宋体" w:cs="宋体"/>
          <w:color w:val="auto"/>
          <w:kern w:val="0"/>
          <w:sz w:val="24"/>
          <w:highlight w:val="none"/>
          <w:lang w:val="zh-CN"/>
        </w:rPr>
        <w:t>的原则，严肃处理相关责任人。</w:t>
      </w:r>
    </w:p>
    <w:p w14:paraId="7B0F1143">
      <w:pPr>
        <w:autoSpaceDE w:val="0"/>
        <w:autoSpaceDN w:val="0"/>
        <w:adjustRightInd w:val="0"/>
        <w:spacing w:line="520" w:lineRule="atLeast"/>
        <w:ind w:left="424" w:right="387" w:firstLine="616"/>
        <w:rPr>
          <w:rFonts w:ascii="宋体" w:cs="宋体"/>
          <w:color w:val="auto"/>
          <w:kern w:val="0"/>
          <w:sz w:val="24"/>
          <w:highlight w:val="none"/>
          <w:lang w:val="zh-CN"/>
        </w:rPr>
      </w:pPr>
      <w:r>
        <w:rPr>
          <w:rFonts w:hint="eastAsia" w:ascii="宋体" w:cs="宋体"/>
          <w:color w:val="auto"/>
          <w:kern w:val="0"/>
          <w:sz w:val="24"/>
          <w:highlight w:val="none"/>
          <w:lang w:val="zh-CN"/>
        </w:rPr>
        <w:t>（</w:t>
      </w:r>
      <w:r>
        <w:rPr>
          <w:rFonts w:ascii="宋体" w:cs="宋体"/>
          <w:color w:val="auto"/>
          <w:kern w:val="0"/>
          <w:sz w:val="24"/>
          <w:highlight w:val="none"/>
          <w:lang w:val="zh-CN"/>
        </w:rPr>
        <w:t>11</w:t>
      </w:r>
      <w:r>
        <w:rPr>
          <w:rFonts w:hint="eastAsia" w:ascii="宋体" w:cs="宋体"/>
          <w:color w:val="auto"/>
          <w:kern w:val="0"/>
          <w:sz w:val="24"/>
          <w:highlight w:val="none"/>
          <w:lang w:val="zh-CN"/>
        </w:rPr>
        <w:t>）安全生产费用按照《公路水运工程安全生产监督管理办法》的相关规定使用和管理。</w:t>
      </w:r>
    </w:p>
    <w:p w14:paraId="0BDBCDDF">
      <w:pPr>
        <w:autoSpaceDE w:val="0"/>
        <w:autoSpaceDN w:val="0"/>
        <w:adjustRightInd w:val="0"/>
        <w:spacing w:before="5" w:line="520" w:lineRule="atLeast"/>
        <w:ind w:left="1041"/>
        <w:jc w:val="left"/>
        <w:rPr>
          <w:rFonts w:ascii="黑体" w:eastAsia="黑体" w:cs="黑体"/>
          <w:color w:val="auto"/>
          <w:kern w:val="0"/>
          <w:sz w:val="24"/>
          <w:highlight w:val="none"/>
          <w:lang w:val="zh-CN"/>
        </w:rPr>
      </w:pPr>
      <w:r>
        <w:rPr>
          <w:rFonts w:ascii="黑体" w:eastAsia="黑体" w:cs="黑体"/>
          <w:color w:val="auto"/>
          <w:kern w:val="0"/>
          <w:sz w:val="24"/>
          <w:highlight w:val="none"/>
          <w:lang w:val="zh-CN"/>
        </w:rPr>
        <w:t>3.</w:t>
      </w:r>
      <w:r>
        <w:rPr>
          <w:rFonts w:hint="eastAsia" w:ascii="黑体" w:eastAsia="黑体" w:cs="黑体"/>
          <w:color w:val="auto"/>
          <w:kern w:val="0"/>
          <w:sz w:val="24"/>
          <w:highlight w:val="none"/>
          <w:lang w:val="zh-CN"/>
        </w:rPr>
        <w:t>违约责任</w:t>
      </w:r>
    </w:p>
    <w:p w14:paraId="4526CCE1">
      <w:pPr>
        <w:autoSpaceDE w:val="0"/>
        <w:autoSpaceDN w:val="0"/>
        <w:adjustRightInd w:val="0"/>
        <w:spacing w:line="520" w:lineRule="atLeast"/>
        <w:ind w:left="424" w:right="387" w:firstLine="616"/>
        <w:rPr>
          <w:rFonts w:ascii="宋体" w:cs="宋体"/>
          <w:color w:val="auto"/>
          <w:kern w:val="0"/>
          <w:sz w:val="24"/>
          <w:highlight w:val="none"/>
          <w:lang w:val="zh-CN"/>
        </w:rPr>
      </w:pPr>
      <w:r>
        <w:rPr>
          <w:rFonts w:hint="eastAsia" w:ascii="宋体" w:cs="宋体"/>
          <w:color w:val="auto"/>
          <w:kern w:val="0"/>
          <w:sz w:val="24"/>
          <w:highlight w:val="none"/>
          <w:lang w:val="zh-CN"/>
        </w:rPr>
        <w:t>如因发包人或承包人违约造成安全事故，将依法追究责任。</w:t>
      </w:r>
    </w:p>
    <w:p w14:paraId="57901F48">
      <w:pPr>
        <w:autoSpaceDE w:val="0"/>
        <w:autoSpaceDN w:val="0"/>
        <w:adjustRightInd w:val="0"/>
        <w:spacing w:line="520" w:lineRule="atLeast"/>
        <w:ind w:right="387" w:firstLine="840"/>
        <w:rPr>
          <w:rFonts w:ascii="宋体" w:cs="宋体"/>
          <w:color w:val="auto"/>
          <w:kern w:val="0"/>
          <w:sz w:val="24"/>
          <w:highlight w:val="none"/>
          <w:lang w:val="zh-CN"/>
        </w:rPr>
      </w:pPr>
      <w:r>
        <w:rPr>
          <w:rFonts w:ascii="宋体" w:cs="宋体"/>
          <w:color w:val="auto"/>
          <w:kern w:val="0"/>
          <w:sz w:val="24"/>
          <w:highlight w:val="none"/>
          <w:lang w:val="zh-CN"/>
        </w:rPr>
        <w:t>4.</w:t>
      </w:r>
      <w:r>
        <w:rPr>
          <w:rFonts w:hint="eastAsia" w:ascii="宋体" w:cs="宋体"/>
          <w:color w:val="auto"/>
          <w:kern w:val="0"/>
          <w:sz w:val="24"/>
          <w:highlight w:val="none"/>
          <w:lang w:val="zh-CN"/>
        </w:rPr>
        <w:t>本合同由双方法定代表人或其授权的代理人签署并加盖单位章后生效，全部工程竣工验收后失效。</w:t>
      </w:r>
    </w:p>
    <w:p w14:paraId="79720911">
      <w:pPr>
        <w:tabs>
          <w:tab w:val="left" w:pos="1344"/>
          <w:tab w:val="left" w:pos="4252"/>
          <w:tab w:val="left" w:pos="8377"/>
        </w:tabs>
        <w:autoSpaceDE w:val="0"/>
        <w:autoSpaceDN w:val="0"/>
        <w:adjustRightInd w:val="0"/>
        <w:spacing w:before="6" w:line="520" w:lineRule="atLeast"/>
        <w:ind w:right="380" w:firstLine="840"/>
        <w:jc w:val="left"/>
        <w:rPr>
          <w:rFonts w:ascii="宋体" w:cs="宋体"/>
          <w:color w:val="auto"/>
          <w:kern w:val="0"/>
          <w:sz w:val="24"/>
          <w:highlight w:val="none"/>
          <w:lang w:val="zh-CN"/>
        </w:rPr>
      </w:pPr>
      <w:r>
        <w:rPr>
          <w:rFonts w:ascii="宋体" w:cs="宋体"/>
          <w:color w:val="auto"/>
          <w:kern w:val="0"/>
          <w:sz w:val="24"/>
          <w:highlight w:val="none"/>
          <w:lang w:val="zh-CN"/>
        </w:rPr>
        <w:t>5.</w:t>
      </w:r>
      <w:r>
        <w:rPr>
          <w:rFonts w:hint="eastAsia" w:ascii="宋体" w:cs="宋体"/>
          <w:color w:val="auto"/>
          <w:kern w:val="0"/>
          <w:sz w:val="24"/>
          <w:highlight w:val="none"/>
          <w:lang w:val="zh-CN"/>
        </w:rPr>
        <w:t>本合同正本二份</w:t>
      </w:r>
      <w:r>
        <w:rPr>
          <w:rFonts w:hint="eastAsia" w:ascii="宋体" w:cs="宋体"/>
          <w:color w:val="auto"/>
          <w:spacing w:val="2"/>
          <w:kern w:val="0"/>
          <w:sz w:val="24"/>
          <w:highlight w:val="none"/>
          <w:lang w:val="zh-CN"/>
        </w:rPr>
        <w:t>、</w:t>
      </w:r>
      <w:r>
        <w:rPr>
          <w:rFonts w:hint="eastAsia" w:ascii="宋体" w:cs="宋体"/>
          <w:color w:val="auto"/>
          <w:kern w:val="0"/>
          <w:sz w:val="24"/>
          <w:highlight w:val="none"/>
          <w:lang w:val="zh-CN"/>
        </w:rPr>
        <w:t>副</w:t>
      </w:r>
      <w:r>
        <w:rPr>
          <w:rFonts w:hint="eastAsia" w:ascii="宋体" w:cs="宋体"/>
          <w:color w:val="auto"/>
          <w:spacing w:val="2"/>
          <w:kern w:val="0"/>
          <w:sz w:val="24"/>
          <w:highlight w:val="none"/>
          <w:lang w:val="zh-CN"/>
        </w:rPr>
        <w:t>本</w:t>
      </w:r>
      <w:r>
        <w:rPr>
          <w:rFonts w:hint="eastAsia" w:ascii="宋体" w:cs="宋体"/>
          <w:color w:val="auto"/>
          <w:kern w:val="0"/>
          <w:sz w:val="24"/>
          <w:highlight w:val="none"/>
          <w:lang w:val="zh-CN"/>
        </w:rPr>
        <w:t>份，合同双</w:t>
      </w:r>
      <w:r>
        <w:rPr>
          <w:rFonts w:hint="eastAsia" w:ascii="宋体" w:cs="宋体"/>
          <w:color w:val="auto"/>
          <w:spacing w:val="2"/>
          <w:kern w:val="0"/>
          <w:sz w:val="24"/>
          <w:highlight w:val="none"/>
          <w:lang w:val="zh-CN"/>
        </w:rPr>
        <w:t>方</w:t>
      </w:r>
      <w:r>
        <w:rPr>
          <w:rFonts w:hint="eastAsia" w:ascii="宋体" w:cs="宋体"/>
          <w:color w:val="auto"/>
          <w:kern w:val="0"/>
          <w:sz w:val="24"/>
          <w:highlight w:val="none"/>
          <w:lang w:val="zh-CN"/>
        </w:rPr>
        <w:t>各执正本一份，副</w:t>
      </w:r>
      <w:r>
        <w:rPr>
          <w:rFonts w:hint="eastAsia" w:ascii="宋体" w:cs="宋体"/>
          <w:color w:val="auto"/>
          <w:spacing w:val="5"/>
          <w:kern w:val="0"/>
          <w:sz w:val="24"/>
          <w:highlight w:val="none"/>
          <w:lang w:val="zh-CN"/>
        </w:rPr>
        <w:t>本</w:t>
      </w:r>
      <w:r>
        <w:rPr>
          <w:rFonts w:hint="eastAsia" w:ascii="宋体" w:cs="宋体"/>
          <w:color w:val="auto"/>
          <w:kern w:val="0"/>
          <w:sz w:val="24"/>
          <w:highlight w:val="none"/>
          <w:lang w:val="zh-CN"/>
        </w:rPr>
        <w:t>份，当正本与副本的内容不一致时，以正本为准。</w:t>
      </w:r>
    </w:p>
    <w:p w14:paraId="0BF2CB75">
      <w:pPr>
        <w:autoSpaceDE w:val="0"/>
        <w:autoSpaceDN w:val="0"/>
        <w:adjustRightInd w:val="0"/>
        <w:spacing w:line="360" w:lineRule="auto"/>
        <w:rPr>
          <w:rFonts w:ascii="宋体" w:cs="宋体"/>
          <w:color w:val="auto"/>
          <w:kern w:val="0"/>
          <w:sz w:val="24"/>
          <w:highlight w:val="none"/>
          <w:lang w:val="zh-CN"/>
        </w:rPr>
      </w:pPr>
    </w:p>
    <w:p w14:paraId="554C3EDA">
      <w:pPr>
        <w:autoSpaceDE w:val="0"/>
        <w:autoSpaceDN w:val="0"/>
        <w:adjustRightInd w:val="0"/>
        <w:rPr>
          <w:rFonts w:ascii="宋体" w:cs="宋体"/>
          <w:color w:val="auto"/>
          <w:kern w:val="0"/>
          <w:sz w:val="24"/>
          <w:highlight w:val="none"/>
          <w:lang w:val="zh-CN"/>
        </w:rPr>
      </w:pPr>
    </w:p>
    <w:p w14:paraId="2F076CE1">
      <w:pPr>
        <w:autoSpaceDE w:val="0"/>
        <w:autoSpaceDN w:val="0"/>
        <w:adjustRightInd w:val="0"/>
        <w:rPr>
          <w:rFonts w:ascii="宋体" w:cs="宋体"/>
          <w:color w:val="auto"/>
          <w:kern w:val="0"/>
          <w:sz w:val="24"/>
          <w:highlight w:val="none"/>
          <w:lang w:val="zh-CN"/>
        </w:rPr>
      </w:pPr>
    </w:p>
    <w:p w14:paraId="0556F083">
      <w:pPr>
        <w:autoSpaceDE w:val="0"/>
        <w:autoSpaceDN w:val="0"/>
        <w:adjustRightInd w:val="0"/>
        <w:rPr>
          <w:rFonts w:ascii="宋体" w:cs="宋体"/>
          <w:color w:val="auto"/>
          <w:kern w:val="0"/>
          <w:sz w:val="24"/>
          <w:highlight w:val="none"/>
          <w:lang w:val="zh-CN"/>
        </w:rPr>
      </w:pPr>
    </w:p>
    <w:p w14:paraId="6CB0E525">
      <w:pPr>
        <w:autoSpaceDE w:val="0"/>
        <w:autoSpaceDN w:val="0"/>
        <w:adjustRightInd w:val="0"/>
        <w:rPr>
          <w:rFonts w:ascii="宋体" w:cs="宋体"/>
          <w:color w:val="auto"/>
          <w:kern w:val="0"/>
          <w:sz w:val="24"/>
          <w:highlight w:val="none"/>
          <w:lang w:val="zh-CN"/>
        </w:rPr>
      </w:pPr>
      <w:r>
        <w:rPr>
          <w:rFonts w:hint="eastAsia" w:ascii="宋体" w:cs="宋体"/>
          <w:color w:val="auto"/>
          <w:kern w:val="0"/>
          <w:sz w:val="24"/>
          <w:highlight w:val="none"/>
          <w:lang w:val="zh-CN"/>
        </w:rPr>
        <w:t>发包人</w:t>
      </w:r>
      <w:r>
        <w:rPr>
          <w:rFonts w:ascii="宋体" w:cs="宋体"/>
          <w:color w:val="auto"/>
          <w:kern w:val="0"/>
          <w:sz w:val="24"/>
          <w:highlight w:val="none"/>
          <w:lang w:val="zh-CN"/>
        </w:rPr>
        <w:t xml:space="preserve"> </w:t>
      </w:r>
      <w:r>
        <w:rPr>
          <w:rFonts w:hint="eastAsia" w:ascii="宋体" w:cs="宋体"/>
          <w:color w:val="auto"/>
          <w:kern w:val="0"/>
          <w:sz w:val="24"/>
          <w:highlight w:val="none"/>
          <w:lang w:val="zh-CN"/>
        </w:rPr>
        <w:t>：</w:t>
      </w:r>
    </w:p>
    <w:p w14:paraId="3F9849A1">
      <w:pPr>
        <w:autoSpaceDE w:val="0"/>
        <w:autoSpaceDN w:val="0"/>
        <w:adjustRightInd w:val="0"/>
        <w:spacing w:line="540" w:lineRule="atLeast"/>
        <w:jc w:val="left"/>
        <w:rPr>
          <w:rFonts w:ascii="宋体" w:cs="宋体"/>
          <w:color w:val="auto"/>
          <w:kern w:val="0"/>
          <w:sz w:val="24"/>
          <w:highlight w:val="none"/>
          <w:lang w:val="zh-CN"/>
        </w:rPr>
      </w:pPr>
    </w:p>
    <w:p w14:paraId="3CD939E0">
      <w:pPr>
        <w:autoSpaceDE w:val="0"/>
        <w:autoSpaceDN w:val="0"/>
        <w:adjustRightInd w:val="0"/>
        <w:spacing w:line="540" w:lineRule="atLeast"/>
        <w:jc w:val="left"/>
        <w:rPr>
          <w:rFonts w:ascii="宋体" w:cs="宋体"/>
          <w:color w:val="auto"/>
          <w:kern w:val="0"/>
          <w:sz w:val="24"/>
          <w:highlight w:val="none"/>
          <w:lang w:val="zh-CN"/>
        </w:rPr>
      </w:pPr>
      <w:r>
        <w:rPr>
          <w:rFonts w:hint="eastAsia" w:ascii="宋体" w:cs="宋体"/>
          <w:color w:val="auto"/>
          <w:kern w:val="0"/>
          <w:sz w:val="24"/>
          <w:highlight w:val="none"/>
          <w:lang w:val="zh-CN"/>
        </w:rPr>
        <w:t>法定代表人或其委托代理人：</w:t>
      </w:r>
      <w:r>
        <w:rPr>
          <w:rFonts w:ascii="宋体" w:cs="宋体"/>
          <w:color w:val="auto"/>
          <w:kern w:val="0"/>
          <w:sz w:val="24"/>
          <w:highlight w:val="none"/>
          <w:u w:val="single"/>
          <w:lang w:val="zh-CN"/>
        </w:rPr>
        <w:t xml:space="preserve">                 </w:t>
      </w:r>
      <w:r>
        <w:rPr>
          <w:rFonts w:hint="eastAsia" w:ascii="宋体" w:cs="宋体"/>
          <w:color w:val="auto"/>
          <w:kern w:val="0"/>
          <w:sz w:val="24"/>
          <w:highlight w:val="none"/>
          <w:lang w:val="zh-CN"/>
        </w:rPr>
        <w:t>（签字或盖章）</w:t>
      </w:r>
    </w:p>
    <w:p w14:paraId="61DEFCBD">
      <w:pPr>
        <w:autoSpaceDE w:val="0"/>
        <w:autoSpaceDN w:val="0"/>
        <w:adjustRightInd w:val="0"/>
        <w:spacing w:line="540" w:lineRule="atLeast"/>
        <w:rPr>
          <w:rFonts w:ascii="宋体" w:cs="宋体"/>
          <w:color w:val="auto"/>
          <w:kern w:val="0"/>
          <w:sz w:val="24"/>
          <w:highlight w:val="none"/>
          <w:lang w:val="zh-CN"/>
        </w:rPr>
      </w:pPr>
    </w:p>
    <w:p w14:paraId="0C77E8C8">
      <w:pPr>
        <w:autoSpaceDE w:val="0"/>
        <w:autoSpaceDN w:val="0"/>
        <w:adjustRightInd w:val="0"/>
        <w:spacing w:line="540" w:lineRule="atLeast"/>
        <w:rPr>
          <w:rFonts w:ascii="宋体" w:cs="宋体"/>
          <w:color w:val="auto"/>
          <w:kern w:val="0"/>
          <w:sz w:val="24"/>
          <w:highlight w:val="none"/>
          <w:lang w:val="zh-CN"/>
        </w:rPr>
      </w:pPr>
      <w:r>
        <w:rPr>
          <w:rFonts w:hint="eastAsia" w:ascii="宋体" w:cs="宋体"/>
          <w:color w:val="auto"/>
          <w:kern w:val="0"/>
          <w:sz w:val="24"/>
          <w:highlight w:val="none"/>
          <w:lang w:val="zh-CN"/>
        </w:rPr>
        <w:t>承包人</w:t>
      </w:r>
      <w:r>
        <w:rPr>
          <w:rFonts w:ascii="宋体" w:cs="宋体"/>
          <w:color w:val="auto"/>
          <w:kern w:val="0"/>
          <w:sz w:val="24"/>
          <w:highlight w:val="none"/>
          <w:lang w:val="zh-CN"/>
        </w:rPr>
        <w:t xml:space="preserve"> </w:t>
      </w:r>
      <w:r>
        <w:rPr>
          <w:rFonts w:hint="eastAsia" w:ascii="宋体" w:cs="宋体"/>
          <w:color w:val="auto"/>
          <w:kern w:val="0"/>
          <w:sz w:val="24"/>
          <w:highlight w:val="none"/>
          <w:lang w:val="zh-CN"/>
        </w:rPr>
        <w:t>：</w:t>
      </w:r>
    </w:p>
    <w:p w14:paraId="6DE86991">
      <w:pPr>
        <w:autoSpaceDE w:val="0"/>
        <w:autoSpaceDN w:val="0"/>
        <w:adjustRightInd w:val="0"/>
        <w:spacing w:line="540" w:lineRule="atLeast"/>
        <w:rPr>
          <w:rFonts w:ascii="宋体" w:cs="宋体"/>
          <w:color w:val="auto"/>
          <w:kern w:val="0"/>
          <w:sz w:val="24"/>
          <w:highlight w:val="none"/>
          <w:lang w:val="zh-CN"/>
        </w:rPr>
      </w:pPr>
      <w:r>
        <w:rPr>
          <w:rFonts w:hint="eastAsia" w:ascii="宋体" w:cs="宋体"/>
          <w:color w:val="auto"/>
          <w:kern w:val="0"/>
          <w:sz w:val="24"/>
          <w:highlight w:val="none"/>
          <w:lang w:val="zh-CN"/>
        </w:rPr>
        <w:t>法定代表人或其委托代理人：</w:t>
      </w:r>
      <w:r>
        <w:rPr>
          <w:rFonts w:ascii="宋体" w:cs="宋体"/>
          <w:color w:val="auto"/>
          <w:kern w:val="0"/>
          <w:sz w:val="24"/>
          <w:highlight w:val="none"/>
          <w:u w:val="single"/>
          <w:lang w:val="zh-CN"/>
        </w:rPr>
        <w:t xml:space="preserve">                   </w:t>
      </w:r>
      <w:r>
        <w:rPr>
          <w:rFonts w:hint="eastAsia" w:ascii="宋体" w:cs="宋体"/>
          <w:color w:val="auto"/>
          <w:kern w:val="0"/>
          <w:sz w:val="24"/>
          <w:highlight w:val="none"/>
          <w:lang w:val="zh-CN"/>
        </w:rPr>
        <w:t>（签字或盖章）</w:t>
      </w:r>
    </w:p>
    <w:p w14:paraId="2724B0CC">
      <w:pPr>
        <w:autoSpaceDE w:val="0"/>
        <w:autoSpaceDN w:val="0"/>
        <w:adjustRightInd w:val="0"/>
        <w:spacing w:line="540" w:lineRule="atLeast"/>
        <w:rPr>
          <w:rFonts w:ascii="宋体" w:cs="宋体"/>
          <w:color w:val="auto"/>
          <w:kern w:val="0"/>
          <w:sz w:val="24"/>
          <w:highlight w:val="none"/>
          <w:lang w:val="zh-CN"/>
        </w:rPr>
      </w:pPr>
    </w:p>
    <w:p w14:paraId="262F1837">
      <w:pPr>
        <w:autoSpaceDE w:val="0"/>
        <w:autoSpaceDN w:val="0"/>
        <w:adjustRightInd w:val="0"/>
        <w:spacing w:line="540" w:lineRule="atLeast"/>
        <w:rPr>
          <w:rFonts w:ascii="宋体" w:cs="宋体"/>
          <w:color w:val="auto"/>
          <w:kern w:val="0"/>
          <w:sz w:val="24"/>
          <w:highlight w:val="none"/>
          <w:lang w:val="zh-CN"/>
        </w:rPr>
      </w:pPr>
    </w:p>
    <w:p w14:paraId="460C8CF4">
      <w:pPr>
        <w:autoSpaceDE w:val="0"/>
        <w:autoSpaceDN w:val="0"/>
        <w:adjustRightInd w:val="0"/>
        <w:spacing w:line="360" w:lineRule="auto"/>
        <w:ind w:firstLine="2160"/>
        <w:jc w:val="center"/>
        <w:rPr>
          <w:rFonts w:ascii="宋体" w:cs="宋体"/>
          <w:color w:val="auto"/>
          <w:kern w:val="0"/>
          <w:sz w:val="24"/>
          <w:highlight w:val="none"/>
          <w:lang w:val="zh-CN"/>
        </w:rPr>
      </w:pPr>
    </w:p>
    <w:p w14:paraId="6A8536BE">
      <w:pPr>
        <w:autoSpaceDE w:val="0"/>
        <w:autoSpaceDN w:val="0"/>
        <w:adjustRightInd w:val="0"/>
        <w:spacing w:line="360" w:lineRule="auto"/>
        <w:ind w:firstLine="2160"/>
        <w:jc w:val="center"/>
        <w:rPr>
          <w:rFonts w:ascii="宋体" w:cs="宋体"/>
          <w:color w:val="auto"/>
          <w:kern w:val="0"/>
          <w:sz w:val="24"/>
          <w:highlight w:val="none"/>
          <w:lang w:val="zh-CN"/>
        </w:rPr>
      </w:pPr>
      <w:r>
        <w:rPr>
          <w:rFonts w:ascii="宋体" w:cs="宋体"/>
          <w:color w:val="auto"/>
          <w:kern w:val="0"/>
          <w:sz w:val="24"/>
          <w:highlight w:val="none"/>
          <w:lang w:val="zh-CN"/>
        </w:rPr>
        <w:t xml:space="preserve">                            </w:t>
      </w:r>
    </w:p>
    <w:p w14:paraId="50E6E869">
      <w:pPr>
        <w:autoSpaceDE w:val="0"/>
        <w:autoSpaceDN w:val="0"/>
        <w:adjustRightInd w:val="0"/>
        <w:spacing w:line="360" w:lineRule="auto"/>
        <w:ind w:firstLine="2160"/>
        <w:jc w:val="center"/>
        <w:rPr>
          <w:rFonts w:ascii="宋体" w:cs="宋体"/>
          <w:color w:val="auto"/>
          <w:kern w:val="0"/>
          <w:sz w:val="24"/>
          <w:highlight w:val="none"/>
          <w:lang w:val="zh-CN"/>
        </w:rPr>
      </w:pPr>
    </w:p>
    <w:p w14:paraId="03CFC42A">
      <w:pPr>
        <w:autoSpaceDE w:val="0"/>
        <w:autoSpaceDN w:val="0"/>
        <w:adjustRightInd w:val="0"/>
        <w:spacing w:line="360" w:lineRule="auto"/>
        <w:ind w:firstLine="2160"/>
        <w:jc w:val="center"/>
        <w:rPr>
          <w:rFonts w:ascii="宋体" w:cs="宋体"/>
          <w:b/>
          <w:bCs/>
          <w:color w:val="auto"/>
          <w:kern w:val="0"/>
          <w:sz w:val="24"/>
          <w:highlight w:val="none"/>
          <w:lang w:val="zh-CN"/>
        </w:rPr>
      </w:pPr>
      <w:r>
        <w:rPr>
          <w:rFonts w:ascii="宋体" w:cs="宋体"/>
          <w:color w:val="auto"/>
          <w:kern w:val="0"/>
          <w:sz w:val="24"/>
          <w:highlight w:val="none"/>
          <w:lang w:val="zh-CN"/>
        </w:rPr>
        <w:t xml:space="preserve"> </w:t>
      </w:r>
      <w:r>
        <w:rPr>
          <w:rFonts w:hint="eastAsia" w:ascii="宋体" w:cs="宋体"/>
          <w:color w:val="auto"/>
          <w:kern w:val="0"/>
          <w:sz w:val="24"/>
          <w:highlight w:val="none"/>
          <w:lang w:val="zh-CN"/>
        </w:rPr>
        <w:t>年</w:t>
      </w:r>
      <w:r>
        <w:rPr>
          <w:rFonts w:ascii="宋体" w:cs="宋体"/>
          <w:color w:val="auto"/>
          <w:kern w:val="0"/>
          <w:sz w:val="24"/>
          <w:highlight w:val="none"/>
          <w:lang w:val="zh-CN"/>
        </w:rPr>
        <w:t xml:space="preserve">    </w:t>
      </w:r>
      <w:r>
        <w:rPr>
          <w:rFonts w:hint="eastAsia" w:ascii="宋体" w:cs="宋体"/>
          <w:color w:val="auto"/>
          <w:kern w:val="0"/>
          <w:sz w:val="24"/>
          <w:highlight w:val="none"/>
          <w:lang w:val="zh-CN"/>
        </w:rPr>
        <w:t>月</w:t>
      </w:r>
      <w:r>
        <w:rPr>
          <w:rFonts w:ascii="宋体" w:cs="宋体"/>
          <w:color w:val="auto"/>
          <w:kern w:val="0"/>
          <w:sz w:val="24"/>
          <w:highlight w:val="none"/>
          <w:lang w:val="zh-CN"/>
        </w:rPr>
        <w:t xml:space="preserve">    </w:t>
      </w:r>
      <w:r>
        <w:rPr>
          <w:rFonts w:hint="eastAsia" w:ascii="宋体" w:cs="宋体"/>
          <w:color w:val="auto"/>
          <w:kern w:val="0"/>
          <w:sz w:val="24"/>
          <w:highlight w:val="none"/>
          <w:lang w:val="zh-CN"/>
        </w:rPr>
        <w:t>日</w:t>
      </w:r>
    </w:p>
    <w:p w14:paraId="4BFCE238">
      <w:pPr>
        <w:spacing w:line="360" w:lineRule="auto"/>
        <w:rPr>
          <w:b/>
          <w:bCs/>
          <w:color w:val="auto"/>
          <w:sz w:val="24"/>
          <w:highlight w:val="none"/>
        </w:rPr>
        <w:sectPr>
          <w:pgSz w:w="11906" w:h="16838"/>
          <w:pgMar w:top="1440" w:right="1083" w:bottom="1440" w:left="1083" w:header="851" w:footer="992" w:gutter="0"/>
          <w:cols w:space="720" w:num="1"/>
          <w:titlePg/>
          <w:docGrid w:linePitch="312" w:charSpace="0"/>
        </w:sectPr>
      </w:pPr>
    </w:p>
    <w:p w14:paraId="1872FBFA">
      <w:pPr>
        <w:spacing w:line="360" w:lineRule="auto"/>
        <w:rPr>
          <w:b/>
          <w:bCs/>
          <w:color w:val="auto"/>
          <w:sz w:val="24"/>
          <w:highlight w:val="none"/>
        </w:rPr>
      </w:pPr>
      <w:r>
        <w:rPr>
          <w:rFonts w:hint="eastAsia"/>
          <w:b/>
          <w:bCs/>
          <w:color w:val="auto"/>
          <w:sz w:val="24"/>
          <w:highlight w:val="none"/>
        </w:rPr>
        <w:t>附件</w:t>
      </w:r>
      <w:r>
        <w:rPr>
          <w:b/>
          <w:bCs/>
          <w:color w:val="auto"/>
          <w:sz w:val="24"/>
          <w:highlight w:val="none"/>
        </w:rPr>
        <w:t>3</w:t>
      </w:r>
    </w:p>
    <w:p w14:paraId="6D572A65">
      <w:pPr>
        <w:spacing w:line="360" w:lineRule="auto"/>
        <w:ind w:firstLine="600"/>
        <w:rPr>
          <w:b/>
          <w:bCs/>
          <w:color w:val="auto"/>
          <w:sz w:val="24"/>
          <w:highlight w:val="none"/>
        </w:rPr>
      </w:pPr>
    </w:p>
    <w:p w14:paraId="6C7DB385">
      <w:pPr>
        <w:spacing w:line="360" w:lineRule="auto"/>
        <w:ind w:firstLine="3614" w:firstLineChars="1500"/>
        <w:rPr>
          <w:b/>
          <w:bCs/>
          <w:color w:val="auto"/>
          <w:sz w:val="24"/>
          <w:highlight w:val="none"/>
        </w:rPr>
      </w:pPr>
      <w:r>
        <w:rPr>
          <w:rFonts w:hint="eastAsia"/>
          <w:b/>
          <w:bCs/>
          <w:color w:val="auto"/>
          <w:sz w:val="24"/>
          <w:highlight w:val="none"/>
        </w:rPr>
        <w:t>项目经理委托书格式</w:t>
      </w:r>
    </w:p>
    <w:p w14:paraId="23DA52B4">
      <w:pPr>
        <w:spacing w:line="360" w:lineRule="auto"/>
        <w:jc w:val="center"/>
        <w:rPr>
          <w:b/>
          <w:bCs/>
          <w:color w:val="auto"/>
          <w:sz w:val="24"/>
          <w:highlight w:val="none"/>
          <w:u w:val="single"/>
        </w:rPr>
      </w:pPr>
      <w:r>
        <w:rPr>
          <w:rFonts w:hint="eastAsia"/>
          <w:b/>
          <w:bCs/>
          <w:color w:val="auto"/>
          <w:sz w:val="24"/>
          <w:highlight w:val="none"/>
          <w:u w:val="single"/>
        </w:rPr>
        <w:t>中标人全称</w:t>
      </w:r>
    </w:p>
    <w:p w14:paraId="1B46575B">
      <w:pPr>
        <w:spacing w:line="360" w:lineRule="auto"/>
        <w:jc w:val="center"/>
        <w:rPr>
          <w:b/>
          <w:bCs/>
          <w:color w:val="auto"/>
          <w:sz w:val="24"/>
          <w:highlight w:val="none"/>
        </w:rPr>
      </w:pPr>
      <w:r>
        <w:rPr>
          <w:rFonts w:hint="eastAsia"/>
          <w:b/>
          <w:bCs/>
          <w:color w:val="auto"/>
          <w:sz w:val="24"/>
          <w:highlight w:val="none"/>
          <w:u w:val="single"/>
        </w:rPr>
        <w:t>项目全称</w:t>
      </w:r>
      <w:r>
        <w:rPr>
          <w:rFonts w:hint="eastAsia"/>
          <w:b/>
          <w:bCs/>
          <w:color w:val="auto"/>
          <w:sz w:val="24"/>
          <w:highlight w:val="none"/>
        </w:rPr>
        <w:t>项目经理委任书</w:t>
      </w:r>
    </w:p>
    <w:p w14:paraId="06D14418">
      <w:pPr>
        <w:spacing w:line="360" w:lineRule="auto"/>
        <w:rPr>
          <w:rFonts w:ascii="宋体"/>
          <w:b/>
          <w:bCs/>
          <w:color w:val="auto"/>
          <w:sz w:val="24"/>
          <w:highlight w:val="none"/>
        </w:rPr>
      </w:pPr>
    </w:p>
    <w:p w14:paraId="0D22C0A9">
      <w:pPr>
        <w:spacing w:line="360" w:lineRule="auto"/>
        <w:rPr>
          <w:rFonts w:ascii="宋体"/>
          <w:bCs/>
          <w:color w:val="auto"/>
          <w:sz w:val="24"/>
          <w:highlight w:val="none"/>
        </w:rPr>
      </w:pPr>
      <w:r>
        <w:rPr>
          <w:rFonts w:hint="eastAsia" w:ascii="宋体" w:hAnsi="宋体"/>
          <w:bCs/>
          <w:color w:val="auto"/>
          <w:sz w:val="24"/>
          <w:highlight w:val="none"/>
        </w:rPr>
        <w:t>致：</w:t>
      </w:r>
      <w:r>
        <w:rPr>
          <w:rFonts w:hint="eastAsia" w:ascii="宋体" w:hAnsi="宋体"/>
          <w:bCs/>
          <w:color w:val="auto"/>
          <w:sz w:val="24"/>
          <w:highlight w:val="none"/>
          <w:u w:val="single"/>
        </w:rPr>
        <w:t>（采购人全称）</w:t>
      </w:r>
    </w:p>
    <w:p w14:paraId="7A1BFF5C">
      <w:pPr>
        <w:spacing w:line="360" w:lineRule="auto"/>
        <w:ind w:firstLine="600"/>
        <w:rPr>
          <w:rFonts w:ascii="宋体"/>
          <w:bCs/>
          <w:color w:val="auto"/>
          <w:sz w:val="24"/>
          <w:highlight w:val="none"/>
        </w:rPr>
      </w:pPr>
      <w:r>
        <w:rPr>
          <w:rFonts w:hint="eastAsia" w:ascii="宋体" w:hAnsi="宋体"/>
          <w:bCs/>
          <w:color w:val="auto"/>
          <w:sz w:val="24"/>
          <w:highlight w:val="none"/>
          <w:u w:val="single"/>
        </w:rPr>
        <w:t>（中标人全称）</w:t>
      </w:r>
      <w:r>
        <w:rPr>
          <w:rFonts w:hint="eastAsia" w:ascii="宋体" w:hAnsi="宋体"/>
          <w:bCs/>
          <w:color w:val="auto"/>
          <w:sz w:val="24"/>
          <w:highlight w:val="none"/>
        </w:rPr>
        <w:t>法定代表人</w:t>
      </w:r>
      <w:r>
        <w:rPr>
          <w:rFonts w:hint="eastAsia" w:ascii="宋体" w:hAnsi="宋体"/>
          <w:bCs/>
          <w:color w:val="auto"/>
          <w:sz w:val="24"/>
          <w:highlight w:val="none"/>
          <w:u w:val="single"/>
        </w:rPr>
        <w:t>（职务、姓名）</w:t>
      </w:r>
      <w:r>
        <w:rPr>
          <w:rFonts w:hint="eastAsia" w:ascii="宋体" w:hAnsi="宋体"/>
          <w:bCs/>
          <w:color w:val="auto"/>
          <w:sz w:val="24"/>
          <w:highlight w:val="none"/>
        </w:rPr>
        <w:t>代表本单位委托</w:t>
      </w:r>
      <w:r>
        <w:rPr>
          <w:rFonts w:hint="eastAsia" w:ascii="宋体" w:hAnsi="宋体"/>
          <w:bCs/>
          <w:color w:val="auto"/>
          <w:sz w:val="24"/>
          <w:highlight w:val="none"/>
          <w:u w:val="single"/>
        </w:rPr>
        <w:t>（职务、姓名）</w:t>
      </w:r>
      <w:r>
        <w:rPr>
          <w:rFonts w:hint="eastAsia" w:ascii="宋体" w:hAnsi="宋体"/>
          <w:bCs/>
          <w:color w:val="auto"/>
          <w:sz w:val="24"/>
          <w:highlight w:val="none"/>
        </w:rPr>
        <w:t>为</w:t>
      </w:r>
      <w:r>
        <w:rPr>
          <w:rFonts w:hint="eastAsia" w:ascii="宋体" w:hAnsi="宋体"/>
          <w:bCs/>
          <w:color w:val="auto"/>
          <w:sz w:val="24"/>
          <w:highlight w:val="none"/>
          <w:u w:val="single"/>
        </w:rPr>
        <w:t>（项目全称）</w:t>
      </w:r>
      <w:r>
        <w:rPr>
          <w:rFonts w:hint="eastAsia" w:ascii="宋体" w:hAnsi="宋体"/>
          <w:bCs/>
          <w:color w:val="auto"/>
          <w:sz w:val="24"/>
          <w:highlight w:val="none"/>
        </w:rPr>
        <w:t>的项目经理。凡本合同执行中的有关技术、进度、现场管理、质量检查、安全生产、通知和报告（报表）、计量支付等方面工作，由</w:t>
      </w:r>
      <w:r>
        <w:rPr>
          <w:rFonts w:hint="eastAsia" w:ascii="宋体" w:hAnsi="宋体"/>
          <w:bCs/>
          <w:color w:val="auto"/>
          <w:sz w:val="24"/>
          <w:highlight w:val="none"/>
          <w:u w:val="single"/>
        </w:rPr>
        <w:t>（姓名）</w:t>
      </w:r>
      <w:r>
        <w:rPr>
          <w:rFonts w:hint="eastAsia" w:ascii="宋体" w:hAnsi="宋体"/>
          <w:bCs/>
          <w:color w:val="auto"/>
          <w:sz w:val="24"/>
          <w:highlight w:val="none"/>
        </w:rPr>
        <w:t>代表本单位全面负责。</w:t>
      </w:r>
    </w:p>
    <w:p w14:paraId="4206F821">
      <w:pPr>
        <w:spacing w:line="360" w:lineRule="auto"/>
        <w:ind w:firstLine="600"/>
        <w:rPr>
          <w:rFonts w:ascii="宋体"/>
          <w:bCs/>
          <w:color w:val="auto"/>
          <w:sz w:val="24"/>
          <w:highlight w:val="none"/>
        </w:rPr>
      </w:pPr>
    </w:p>
    <w:p w14:paraId="2150C6D2">
      <w:pPr>
        <w:spacing w:line="360" w:lineRule="auto"/>
        <w:ind w:firstLine="600"/>
        <w:rPr>
          <w:rFonts w:ascii="宋体"/>
          <w:bCs/>
          <w:color w:val="auto"/>
          <w:sz w:val="24"/>
          <w:highlight w:val="none"/>
        </w:rPr>
      </w:pPr>
    </w:p>
    <w:p w14:paraId="1834DF41">
      <w:pPr>
        <w:spacing w:line="360" w:lineRule="auto"/>
        <w:ind w:firstLine="600"/>
        <w:rPr>
          <w:rFonts w:ascii="宋体"/>
          <w:bCs/>
          <w:color w:val="auto"/>
          <w:sz w:val="24"/>
          <w:highlight w:val="none"/>
        </w:rPr>
      </w:pPr>
      <w:r>
        <w:rPr>
          <w:rFonts w:ascii="宋体" w:hAnsi="宋体"/>
          <w:bCs/>
          <w:color w:val="auto"/>
          <w:sz w:val="24"/>
          <w:highlight w:val="none"/>
        </w:rPr>
        <w:t xml:space="preserve">                           </w:t>
      </w:r>
      <w:r>
        <w:rPr>
          <w:rFonts w:hint="eastAsia" w:ascii="宋体" w:hAnsi="宋体"/>
          <w:bCs/>
          <w:color w:val="auto"/>
          <w:sz w:val="24"/>
          <w:highlight w:val="none"/>
        </w:rPr>
        <w:t>中标人：</w:t>
      </w:r>
      <w:r>
        <w:rPr>
          <w:rFonts w:ascii="宋体" w:hAnsi="宋体"/>
          <w:bCs/>
          <w:color w:val="auto"/>
          <w:sz w:val="24"/>
          <w:highlight w:val="none"/>
          <w:u w:val="single"/>
        </w:rPr>
        <w:t xml:space="preserve">              </w:t>
      </w:r>
      <w:r>
        <w:rPr>
          <w:rFonts w:hint="eastAsia" w:ascii="宋体" w:hAnsi="宋体"/>
          <w:bCs/>
          <w:color w:val="auto"/>
          <w:sz w:val="24"/>
          <w:highlight w:val="none"/>
          <w:u w:val="single"/>
        </w:rPr>
        <w:t>（盖单位章）</w:t>
      </w:r>
    </w:p>
    <w:p w14:paraId="31D11AD4">
      <w:pPr>
        <w:spacing w:line="360" w:lineRule="auto"/>
        <w:ind w:firstLine="3868" w:firstLineChars="1612"/>
        <w:rPr>
          <w:rFonts w:ascii="宋体"/>
          <w:bCs/>
          <w:color w:val="auto"/>
          <w:sz w:val="24"/>
          <w:highlight w:val="none"/>
          <w:u w:val="single"/>
        </w:rPr>
      </w:pPr>
      <w:r>
        <w:rPr>
          <w:rFonts w:hint="eastAsia" w:ascii="宋体" w:hAnsi="宋体"/>
          <w:bCs/>
          <w:color w:val="auto"/>
          <w:sz w:val="24"/>
          <w:highlight w:val="none"/>
        </w:rPr>
        <w:t>法定代表人：</w:t>
      </w:r>
      <w:r>
        <w:rPr>
          <w:rFonts w:ascii="宋体" w:hAnsi="宋体"/>
          <w:bCs/>
          <w:color w:val="auto"/>
          <w:sz w:val="24"/>
          <w:highlight w:val="none"/>
          <w:u w:val="single"/>
        </w:rPr>
        <w:t xml:space="preserve">              </w:t>
      </w:r>
      <w:r>
        <w:rPr>
          <w:rFonts w:hint="eastAsia" w:ascii="宋体" w:hAnsi="宋体"/>
          <w:bCs/>
          <w:color w:val="auto"/>
          <w:sz w:val="24"/>
          <w:highlight w:val="none"/>
          <w:u w:val="single"/>
        </w:rPr>
        <w:t>（签字）</w:t>
      </w:r>
    </w:p>
    <w:p w14:paraId="24170F7C">
      <w:pPr>
        <w:spacing w:line="360" w:lineRule="auto"/>
        <w:ind w:firstLine="3988" w:firstLineChars="1662"/>
        <w:rPr>
          <w:rFonts w:ascii="宋体"/>
          <w:bCs/>
          <w:color w:val="auto"/>
          <w:sz w:val="24"/>
          <w:highlight w:val="none"/>
        </w:rPr>
      </w:pPr>
      <w:r>
        <w:rPr>
          <w:rFonts w:ascii="宋体" w:hAnsi="宋体"/>
          <w:bCs/>
          <w:color w:val="auto"/>
          <w:sz w:val="24"/>
          <w:highlight w:val="none"/>
          <w:u w:val="single"/>
        </w:rPr>
        <w:t xml:space="preserve">        </w:t>
      </w:r>
      <w:r>
        <w:rPr>
          <w:rFonts w:hint="eastAsia" w:ascii="宋体" w:hAnsi="宋体"/>
          <w:bCs/>
          <w:color w:val="auto"/>
          <w:sz w:val="24"/>
          <w:highlight w:val="none"/>
        </w:rPr>
        <w:t>年</w:t>
      </w:r>
      <w:r>
        <w:rPr>
          <w:rFonts w:ascii="宋体" w:hAnsi="宋体"/>
          <w:bCs/>
          <w:color w:val="auto"/>
          <w:sz w:val="24"/>
          <w:highlight w:val="none"/>
          <w:u w:val="single"/>
        </w:rPr>
        <w:t xml:space="preserve">     </w:t>
      </w:r>
      <w:r>
        <w:rPr>
          <w:rFonts w:hint="eastAsia" w:ascii="宋体" w:hAnsi="宋体"/>
          <w:bCs/>
          <w:color w:val="auto"/>
          <w:sz w:val="24"/>
          <w:highlight w:val="none"/>
        </w:rPr>
        <w:t>月</w:t>
      </w:r>
      <w:r>
        <w:rPr>
          <w:rFonts w:ascii="宋体" w:hAnsi="宋体"/>
          <w:bCs/>
          <w:color w:val="auto"/>
          <w:sz w:val="24"/>
          <w:highlight w:val="none"/>
          <w:u w:val="single"/>
        </w:rPr>
        <w:t xml:space="preserve">      </w:t>
      </w:r>
      <w:r>
        <w:rPr>
          <w:rFonts w:hint="eastAsia" w:ascii="宋体" w:hAnsi="宋体"/>
          <w:bCs/>
          <w:color w:val="auto"/>
          <w:sz w:val="24"/>
          <w:highlight w:val="none"/>
        </w:rPr>
        <w:t>日</w:t>
      </w:r>
    </w:p>
    <w:p w14:paraId="32D67215">
      <w:pPr>
        <w:spacing w:line="360" w:lineRule="auto"/>
        <w:ind w:firstLine="600"/>
        <w:rPr>
          <w:rFonts w:hAnsi="宋体"/>
          <w:b/>
          <w:bCs/>
          <w:color w:val="auto"/>
          <w:sz w:val="24"/>
          <w:highlight w:val="none"/>
        </w:rPr>
        <w:sectPr>
          <w:pgSz w:w="11906" w:h="16838"/>
          <w:pgMar w:top="1440" w:right="1083" w:bottom="1440" w:left="1083" w:header="851" w:footer="992" w:gutter="0"/>
          <w:cols w:space="720" w:num="1"/>
          <w:titlePg/>
          <w:docGrid w:linePitch="312" w:charSpace="0"/>
        </w:sectPr>
      </w:pPr>
    </w:p>
    <w:p w14:paraId="6B109934">
      <w:pPr>
        <w:spacing w:line="360" w:lineRule="auto"/>
        <w:ind w:firstLine="600"/>
        <w:rPr>
          <w:rFonts w:hAnsi="宋体"/>
          <w:b/>
          <w:bCs/>
          <w:color w:val="auto"/>
          <w:sz w:val="24"/>
          <w:highlight w:val="none"/>
        </w:rPr>
      </w:pPr>
      <w:r>
        <w:rPr>
          <w:rFonts w:hint="eastAsia" w:hAnsi="宋体"/>
          <w:b/>
          <w:bCs/>
          <w:color w:val="auto"/>
          <w:sz w:val="24"/>
          <w:highlight w:val="none"/>
        </w:rPr>
        <w:t>附件</w:t>
      </w:r>
      <w:r>
        <w:rPr>
          <w:rFonts w:hAnsi="宋体"/>
          <w:b/>
          <w:bCs/>
          <w:color w:val="auto"/>
          <w:sz w:val="24"/>
          <w:highlight w:val="none"/>
        </w:rPr>
        <w:t>4</w:t>
      </w:r>
    </w:p>
    <w:p w14:paraId="45410B69">
      <w:pPr>
        <w:spacing w:line="360" w:lineRule="auto"/>
        <w:ind w:firstLine="4096" w:firstLineChars="1700"/>
        <w:rPr>
          <w:rFonts w:hAnsi="宋体"/>
          <w:b/>
          <w:bCs/>
          <w:color w:val="auto"/>
          <w:sz w:val="24"/>
          <w:highlight w:val="none"/>
        </w:rPr>
      </w:pPr>
      <w:r>
        <w:rPr>
          <w:rFonts w:hint="eastAsia" w:hAnsi="宋体"/>
          <w:b/>
          <w:bCs/>
          <w:color w:val="auto"/>
          <w:sz w:val="24"/>
          <w:highlight w:val="none"/>
        </w:rPr>
        <w:t>履约担保格式</w:t>
      </w:r>
    </w:p>
    <w:p w14:paraId="458D9093">
      <w:pPr>
        <w:spacing w:line="360" w:lineRule="auto"/>
        <w:ind w:firstLine="4004" w:firstLineChars="1662"/>
        <w:rPr>
          <w:rFonts w:hAnsi="宋体"/>
          <w:b/>
          <w:bCs/>
          <w:color w:val="auto"/>
          <w:sz w:val="24"/>
          <w:highlight w:val="none"/>
        </w:rPr>
      </w:pPr>
    </w:p>
    <w:p w14:paraId="39A214F0">
      <w:pPr>
        <w:spacing w:line="360" w:lineRule="auto"/>
        <w:jc w:val="center"/>
        <w:rPr>
          <w:rFonts w:hAnsi="宋体"/>
          <w:b/>
          <w:bCs/>
          <w:color w:val="auto"/>
          <w:sz w:val="24"/>
          <w:highlight w:val="none"/>
        </w:rPr>
      </w:pPr>
      <w:r>
        <w:rPr>
          <w:rFonts w:hint="eastAsia" w:hAnsi="宋体"/>
          <w:b/>
          <w:bCs/>
          <w:color w:val="auto"/>
          <w:sz w:val="24"/>
          <w:highlight w:val="none"/>
        </w:rPr>
        <w:t>履</w:t>
      </w:r>
      <w:r>
        <w:rPr>
          <w:rFonts w:hAnsi="宋体"/>
          <w:b/>
          <w:bCs/>
          <w:color w:val="auto"/>
          <w:sz w:val="24"/>
          <w:highlight w:val="none"/>
        </w:rPr>
        <w:t xml:space="preserve"> </w:t>
      </w:r>
      <w:r>
        <w:rPr>
          <w:rFonts w:hint="eastAsia" w:hAnsi="宋体"/>
          <w:b/>
          <w:bCs/>
          <w:color w:val="auto"/>
          <w:sz w:val="24"/>
          <w:highlight w:val="none"/>
        </w:rPr>
        <w:t>约</w:t>
      </w:r>
      <w:r>
        <w:rPr>
          <w:rFonts w:hAnsi="宋体"/>
          <w:b/>
          <w:bCs/>
          <w:color w:val="auto"/>
          <w:sz w:val="24"/>
          <w:highlight w:val="none"/>
        </w:rPr>
        <w:t xml:space="preserve"> </w:t>
      </w:r>
      <w:r>
        <w:rPr>
          <w:rFonts w:hint="eastAsia" w:hAnsi="宋体"/>
          <w:b/>
          <w:bCs/>
          <w:color w:val="auto"/>
          <w:sz w:val="24"/>
          <w:highlight w:val="none"/>
        </w:rPr>
        <w:t>担</w:t>
      </w:r>
      <w:r>
        <w:rPr>
          <w:rFonts w:hAnsi="宋体"/>
          <w:b/>
          <w:bCs/>
          <w:color w:val="auto"/>
          <w:sz w:val="24"/>
          <w:highlight w:val="none"/>
        </w:rPr>
        <w:t xml:space="preserve"> </w:t>
      </w:r>
      <w:r>
        <w:rPr>
          <w:rFonts w:hint="eastAsia" w:hAnsi="宋体"/>
          <w:b/>
          <w:bCs/>
          <w:color w:val="auto"/>
          <w:sz w:val="24"/>
          <w:highlight w:val="none"/>
        </w:rPr>
        <w:t>保</w:t>
      </w:r>
    </w:p>
    <w:p w14:paraId="3A8F7A73">
      <w:pPr>
        <w:spacing w:line="360" w:lineRule="auto"/>
        <w:rPr>
          <w:rFonts w:ascii="宋体"/>
          <w:bCs/>
          <w:color w:val="auto"/>
          <w:sz w:val="24"/>
          <w:highlight w:val="none"/>
        </w:rPr>
      </w:pPr>
      <w:r>
        <w:rPr>
          <w:rFonts w:hint="eastAsia" w:ascii="宋体"/>
          <w:bCs/>
          <w:color w:val="auto"/>
          <w:sz w:val="24"/>
          <w:highlight w:val="none"/>
        </w:rPr>
        <w:t>致：</w:t>
      </w:r>
      <w:r>
        <w:rPr>
          <w:rFonts w:hint="eastAsia" w:ascii="宋体"/>
          <w:bCs/>
          <w:color w:val="auto"/>
          <w:sz w:val="24"/>
          <w:highlight w:val="none"/>
          <w:u w:val="single"/>
        </w:rPr>
        <w:t>（采购人名称）</w:t>
      </w:r>
    </w:p>
    <w:p w14:paraId="623FC484">
      <w:pPr>
        <w:spacing w:line="360" w:lineRule="auto"/>
        <w:ind w:firstLine="570"/>
        <w:rPr>
          <w:rFonts w:ascii="宋体"/>
          <w:bCs/>
          <w:color w:val="auto"/>
          <w:sz w:val="24"/>
          <w:highlight w:val="none"/>
        </w:rPr>
      </w:pPr>
      <w:r>
        <w:rPr>
          <w:rFonts w:hint="eastAsia" w:ascii="宋体"/>
          <w:bCs/>
          <w:color w:val="auto"/>
          <w:sz w:val="24"/>
          <w:highlight w:val="none"/>
        </w:rPr>
        <w:t>鉴于</w:t>
      </w:r>
      <w:r>
        <w:rPr>
          <w:rFonts w:hint="eastAsia" w:ascii="宋体"/>
          <w:bCs/>
          <w:color w:val="auto"/>
          <w:sz w:val="24"/>
          <w:highlight w:val="none"/>
          <w:u w:val="single"/>
        </w:rPr>
        <w:t>（采购人名称）</w:t>
      </w:r>
      <w:r>
        <w:rPr>
          <w:rFonts w:hint="eastAsia" w:ascii="宋体"/>
          <w:bCs/>
          <w:color w:val="auto"/>
          <w:sz w:val="24"/>
          <w:highlight w:val="none"/>
        </w:rPr>
        <w:t>接受</w:t>
      </w:r>
      <w:r>
        <w:rPr>
          <w:rFonts w:hint="eastAsia" w:ascii="宋体"/>
          <w:bCs/>
          <w:color w:val="auto"/>
          <w:sz w:val="24"/>
          <w:highlight w:val="none"/>
          <w:u w:val="single"/>
        </w:rPr>
        <w:t>（中标人名称）</w:t>
      </w:r>
      <w:r>
        <w:rPr>
          <w:rFonts w:hint="eastAsia" w:ascii="宋体"/>
          <w:bCs/>
          <w:color w:val="auto"/>
          <w:sz w:val="24"/>
          <w:highlight w:val="none"/>
        </w:rPr>
        <w:t>于</w:t>
      </w:r>
      <w:r>
        <w:rPr>
          <w:rFonts w:ascii="宋体"/>
          <w:bCs/>
          <w:color w:val="auto"/>
          <w:sz w:val="24"/>
          <w:highlight w:val="none"/>
          <w:u w:val="single"/>
        </w:rPr>
        <w:t xml:space="preserve">    </w:t>
      </w:r>
      <w:r>
        <w:rPr>
          <w:rFonts w:hint="eastAsia" w:ascii="宋体"/>
          <w:bCs/>
          <w:color w:val="auto"/>
          <w:sz w:val="24"/>
          <w:highlight w:val="none"/>
        </w:rPr>
        <w:t>年</w:t>
      </w:r>
      <w:r>
        <w:rPr>
          <w:rFonts w:ascii="宋体"/>
          <w:bCs/>
          <w:color w:val="auto"/>
          <w:sz w:val="24"/>
          <w:highlight w:val="none"/>
          <w:u w:val="single"/>
        </w:rPr>
        <w:t xml:space="preserve"> </w:t>
      </w:r>
      <w:r>
        <w:rPr>
          <w:rFonts w:hint="eastAsia" w:ascii="宋体"/>
          <w:bCs/>
          <w:color w:val="auto"/>
          <w:sz w:val="24"/>
          <w:highlight w:val="none"/>
          <w:u w:val="single"/>
        </w:rPr>
        <w:t xml:space="preserve"> </w:t>
      </w:r>
      <w:r>
        <w:rPr>
          <w:rFonts w:ascii="宋体"/>
          <w:bCs/>
          <w:color w:val="auto"/>
          <w:sz w:val="24"/>
          <w:highlight w:val="none"/>
          <w:u w:val="single"/>
        </w:rPr>
        <w:t xml:space="preserve"> </w:t>
      </w:r>
      <w:r>
        <w:rPr>
          <w:rFonts w:hint="eastAsia" w:ascii="宋体"/>
          <w:bCs/>
          <w:color w:val="auto"/>
          <w:sz w:val="24"/>
          <w:highlight w:val="none"/>
        </w:rPr>
        <w:t>月</w:t>
      </w:r>
      <w:r>
        <w:rPr>
          <w:rFonts w:ascii="宋体"/>
          <w:bCs/>
          <w:color w:val="auto"/>
          <w:sz w:val="24"/>
          <w:highlight w:val="none"/>
          <w:u w:val="single"/>
        </w:rPr>
        <w:t xml:space="preserve"> </w:t>
      </w:r>
      <w:r>
        <w:rPr>
          <w:rFonts w:hint="eastAsia" w:ascii="宋体"/>
          <w:bCs/>
          <w:color w:val="auto"/>
          <w:sz w:val="24"/>
          <w:highlight w:val="none"/>
          <w:u w:val="single"/>
        </w:rPr>
        <w:t xml:space="preserve"> </w:t>
      </w:r>
      <w:r>
        <w:rPr>
          <w:rFonts w:ascii="宋体"/>
          <w:bCs/>
          <w:color w:val="auto"/>
          <w:sz w:val="24"/>
          <w:highlight w:val="none"/>
          <w:u w:val="single"/>
        </w:rPr>
        <w:t xml:space="preserve"> </w:t>
      </w:r>
      <w:r>
        <w:rPr>
          <w:rFonts w:hint="eastAsia" w:ascii="宋体"/>
          <w:bCs/>
          <w:color w:val="auto"/>
          <w:sz w:val="24"/>
          <w:highlight w:val="none"/>
        </w:rPr>
        <w:t>日参加</w:t>
      </w:r>
      <w:r>
        <w:rPr>
          <w:rFonts w:hint="eastAsia" w:ascii="宋体"/>
          <w:bCs/>
          <w:color w:val="auto"/>
          <w:sz w:val="24"/>
          <w:highlight w:val="none"/>
          <w:u w:val="single"/>
        </w:rPr>
        <w:t>（项目全称）</w:t>
      </w:r>
      <w:r>
        <w:rPr>
          <w:rFonts w:hint="eastAsia" w:ascii="宋体"/>
          <w:bCs/>
          <w:color w:val="auto"/>
          <w:sz w:val="24"/>
          <w:highlight w:val="none"/>
        </w:rPr>
        <w:t>的投标。我方愿意无条件地、不可撤销地就中标人履行与贵方订立的合同，向贵方提供担保。</w:t>
      </w:r>
    </w:p>
    <w:p w14:paraId="5F558BAB">
      <w:pPr>
        <w:spacing w:line="360" w:lineRule="auto"/>
        <w:ind w:firstLine="570"/>
        <w:rPr>
          <w:rFonts w:ascii="宋体"/>
          <w:bCs/>
          <w:color w:val="auto"/>
          <w:sz w:val="24"/>
          <w:highlight w:val="none"/>
        </w:rPr>
      </w:pPr>
      <w:r>
        <w:rPr>
          <w:rFonts w:ascii="宋体"/>
          <w:bCs/>
          <w:color w:val="auto"/>
          <w:sz w:val="24"/>
          <w:highlight w:val="none"/>
        </w:rPr>
        <w:t>1.</w:t>
      </w:r>
      <w:r>
        <w:rPr>
          <w:rFonts w:hint="eastAsia" w:ascii="宋体"/>
          <w:bCs/>
          <w:color w:val="auto"/>
          <w:sz w:val="24"/>
          <w:highlight w:val="none"/>
        </w:rPr>
        <w:t>担保金额人民币</w:t>
      </w:r>
      <w:r>
        <w:rPr>
          <w:rFonts w:hint="eastAsia" w:ascii="宋体"/>
          <w:bCs/>
          <w:color w:val="auto"/>
          <w:sz w:val="24"/>
          <w:highlight w:val="none"/>
          <w:u w:val="single"/>
        </w:rPr>
        <w:t>（大写）</w:t>
      </w:r>
      <w:r>
        <w:rPr>
          <w:rFonts w:ascii="宋体"/>
          <w:bCs/>
          <w:color w:val="auto"/>
          <w:sz w:val="24"/>
          <w:highlight w:val="none"/>
          <w:u w:val="single"/>
        </w:rPr>
        <w:t xml:space="preserve">                </w:t>
      </w:r>
      <w:r>
        <w:rPr>
          <w:rFonts w:hint="eastAsia" w:ascii="宋体"/>
          <w:bCs/>
          <w:color w:val="auto"/>
          <w:sz w:val="24"/>
          <w:highlight w:val="none"/>
        </w:rPr>
        <w:t>元（￥</w:t>
      </w:r>
      <w:r>
        <w:rPr>
          <w:rFonts w:ascii="宋体"/>
          <w:bCs/>
          <w:color w:val="auto"/>
          <w:sz w:val="24"/>
          <w:highlight w:val="none"/>
          <w:u w:val="single"/>
        </w:rPr>
        <w:t xml:space="preserve">         </w:t>
      </w:r>
      <w:r>
        <w:rPr>
          <w:rFonts w:hint="eastAsia" w:ascii="宋体"/>
          <w:bCs/>
          <w:color w:val="auto"/>
          <w:sz w:val="24"/>
          <w:highlight w:val="none"/>
        </w:rPr>
        <w:t>）。</w:t>
      </w:r>
    </w:p>
    <w:p w14:paraId="1621A42E">
      <w:pPr>
        <w:spacing w:line="360" w:lineRule="auto"/>
        <w:ind w:firstLine="570"/>
        <w:rPr>
          <w:rFonts w:ascii="宋体"/>
          <w:bCs/>
          <w:color w:val="auto"/>
          <w:sz w:val="24"/>
          <w:highlight w:val="none"/>
        </w:rPr>
      </w:pPr>
      <w:r>
        <w:rPr>
          <w:rFonts w:ascii="宋体"/>
          <w:bCs/>
          <w:color w:val="auto"/>
          <w:sz w:val="24"/>
          <w:highlight w:val="none"/>
        </w:rPr>
        <w:t>2.</w:t>
      </w:r>
      <w:r>
        <w:rPr>
          <w:rFonts w:hint="eastAsia" w:ascii="宋体"/>
          <w:bCs/>
          <w:color w:val="auto"/>
          <w:sz w:val="24"/>
          <w:highlight w:val="none"/>
        </w:rPr>
        <w:t>担保有效期自采购人与中标人签订合同生效之日起至合同服务期满止。</w:t>
      </w:r>
    </w:p>
    <w:p w14:paraId="08DB452F">
      <w:pPr>
        <w:spacing w:line="360" w:lineRule="auto"/>
        <w:ind w:firstLine="570"/>
        <w:rPr>
          <w:rFonts w:ascii="宋体"/>
          <w:bCs/>
          <w:color w:val="auto"/>
          <w:sz w:val="24"/>
          <w:highlight w:val="none"/>
        </w:rPr>
      </w:pPr>
      <w:r>
        <w:rPr>
          <w:rFonts w:ascii="宋体"/>
          <w:bCs/>
          <w:color w:val="auto"/>
          <w:sz w:val="24"/>
          <w:highlight w:val="none"/>
        </w:rPr>
        <w:t>3.</w:t>
      </w:r>
      <w:r>
        <w:rPr>
          <w:rFonts w:hint="eastAsia" w:ascii="宋体"/>
          <w:bCs/>
          <w:color w:val="auto"/>
          <w:sz w:val="24"/>
          <w:highlight w:val="none"/>
        </w:rPr>
        <w:t>在本担保有效期内，因中标人违反合同约定的义务给贵方造成经济损失时，我方在收到贵方以书面形式提出的在担保金额内的赔偿要求，即视为默认无条件给付赔偿，由贵方从本担保中扣除赔偿额度，无须贵方出具证明或陈述理由。</w:t>
      </w:r>
    </w:p>
    <w:p w14:paraId="3D5EC290">
      <w:pPr>
        <w:spacing w:line="360" w:lineRule="auto"/>
        <w:ind w:firstLine="570"/>
        <w:rPr>
          <w:rFonts w:ascii="宋体"/>
          <w:bCs/>
          <w:color w:val="auto"/>
          <w:sz w:val="24"/>
          <w:highlight w:val="none"/>
        </w:rPr>
      </w:pPr>
      <w:r>
        <w:rPr>
          <w:rFonts w:ascii="宋体"/>
          <w:bCs/>
          <w:color w:val="auto"/>
          <w:sz w:val="24"/>
          <w:highlight w:val="none"/>
        </w:rPr>
        <w:t>4.</w:t>
      </w:r>
      <w:r>
        <w:rPr>
          <w:rFonts w:hint="eastAsia" w:ascii="宋体"/>
          <w:bCs/>
          <w:color w:val="auto"/>
          <w:sz w:val="24"/>
          <w:highlight w:val="none"/>
        </w:rPr>
        <w:t>采购人和中标人按合同约定变更合同时，我方承担本担保规定的义务不变。</w:t>
      </w:r>
    </w:p>
    <w:p w14:paraId="1B8BB345">
      <w:pPr>
        <w:spacing w:line="360" w:lineRule="auto"/>
        <w:ind w:firstLine="570"/>
        <w:rPr>
          <w:rFonts w:ascii="宋体"/>
          <w:bCs/>
          <w:color w:val="auto"/>
          <w:sz w:val="24"/>
          <w:highlight w:val="none"/>
        </w:rPr>
      </w:pPr>
    </w:p>
    <w:p w14:paraId="619BB56B">
      <w:pPr>
        <w:spacing w:line="360" w:lineRule="auto"/>
        <w:ind w:firstLine="570"/>
        <w:rPr>
          <w:rFonts w:ascii="宋体"/>
          <w:bCs/>
          <w:color w:val="auto"/>
          <w:sz w:val="24"/>
          <w:highlight w:val="none"/>
        </w:rPr>
      </w:pPr>
    </w:p>
    <w:p w14:paraId="292F6E05">
      <w:pPr>
        <w:spacing w:line="360" w:lineRule="auto"/>
        <w:ind w:firstLine="480" w:firstLineChars="200"/>
        <w:rPr>
          <w:rFonts w:ascii="宋体"/>
          <w:bCs/>
          <w:color w:val="auto"/>
          <w:sz w:val="24"/>
          <w:highlight w:val="none"/>
        </w:rPr>
      </w:pPr>
      <w:r>
        <w:rPr>
          <w:rFonts w:hint="eastAsia" w:ascii="宋体"/>
          <w:bCs/>
          <w:color w:val="auto"/>
          <w:sz w:val="24"/>
          <w:highlight w:val="none"/>
        </w:rPr>
        <w:t>担保人：</w:t>
      </w:r>
      <w:r>
        <w:rPr>
          <w:rFonts w:hint="eastAsia" w:ascii="宋体"/>
          <w:bCs/>
          <w:color w:val="auto"/>
          <w:sz w:val="24"/>
          <w:highlight w:val="none"/>
          <w:u w:val="single"/>
        </w:rPr>
        <w:t>（中标人名称）</w:t>
      </w:r>
      <w:r>
        <w:rPr>
          <w:rFonts w:ascii="宋体"/>
          <w:bCs/>
          <w:color w:val="auto"/>
          <w:sz w:val="24"/>
          <w:highlight w:val="none"/>
          <w:u w:val="single"/>
        </w:rPr>
        <w:t xml:space="preserve">           </w:t>
      </w:r>
      <w:r>
        <w:rPr>
          <w:rFonts w:hint="eastAsia" w:ascii="宋体"/>
          <w:bCs/>
          <w:color w:val="auto"/>
          <w:sz w:val="24"/>
          <w:highlight w:val="none"/>
        </w:rPr>
        <w:t>（盖单位章）</w:t>
      </w:r>
    </w:p>
    <w:p w14:paraId="676067D7">
      <w:pPr>
        <w:spacing w:line="360" w:lineRule="auto"/>
        <w:ind w:firstLine="480" w:firstLineChars="200"/>
        <w:rPr>
          <w:rFonts w:ascii="宋体"/>
          <w:bCs/>
          <w:color w:val="auto"/>
          <w:sz w:val="24"/>
          <w:highlight w:val="none"/>
        </w:rPr>
      </w:pPr>
      <w:r>
        <w:rPr>
          <w:rFonts w:hint="eastAsia" w:ascii="宋体"/>
          <w:bCs/>
          <w:color w:val="auto"/>
          <w:sz w:val="24"/>
          <w:highlight w:val="none"/>
        </w:rPr>
        <w:t>法定代表人或授权委托人：</w:t>
      </w:r>
      <w:r>
        <w:rPr>
          <w:rFonts w:ascii="宋体"/>
          <w:bCs/>
          <w:color w:val="auto"/>
          <w:sz w:val="24"/>
          <w:highlight w:val="none"/>
          <w:u w:val="single"/>
        </w:rPr>
        <w:t xml:space="preserve">        </w:t>
      </w:r>
      <w:r>
        <w:rPr>
          <w:rFonts w:hint="eastAsia" w:ascii="宋体"/>
          <w:bCs/>
          <w:color w:val="auto"/>
          <w:sz w:val="24"/>
          <w:highlight w:val="none"/>
        </w:rPr>
        <w:t>（亲笔签名）</w:t>
      </w:r>
    </w:p>
    <w:p w14:paraId="6DFECF6A">
      <w:pPr>
        <w:spacing w:line="360" w:lineRule="auto"/>
        <w:ind w:firstLine="570"/>
        <w:rPr>
          <w:rFonts w:ascii="宋体"/>
          <w:bCs/>
          <w:color w:val="auto"/>
          <w:sz w:val="24"/>
          <w:highlight w:val="none"/>
        </w:rPr>
      </w:pPr>
      <w:r>
        <w:rPr>
          <w:rFonts w:hint="eastAsia" w:ascii="宋体"/>
          <w:bCs/>
          <w:color w:val="auto"/>
          <w:sz w:val="24"/>
          <w:highlight w:val="none"/>
        </w:rPr>
        <w:t>地址：</w:t>
      </w:r>
      <w:r>
        <w:rPr>
          <w:rFonts w:ascii="宋体"/>
          <w:bCs/>
          <w:color w:val="auto"/>
          <w:sz w:val="24"/>
          <w:highlight w:val="none"/>
          <w:u w:val="single"/>
        </w:rPr>
        <w:t xml:space="preserve">                          </w:t>
      </w:r>
      <w:r>
        <w:rPr>
          <w:rFonts w:ascii="宋体"/>
          <w:bCs/>
          <w:color w:val="auto"/>
          <w:sz w:val="24"/>
          <w:highlight w:val="none"/>
        </w:rPr>
        <w:t xml:space="preserve">   </w:t>
      </w:r>
    </w:p>
    <w:p w14:paraId="0FBD58CD">
      <w:pPr>
        <w:spacing w:line="360" w:lineRule="auto"/>
        <w:ind w:firstLine="570"/>
        <w:rPr>
          <w:rFonts w:ascii="宋体"/>
          <w:bCs/>
          <w:color w:val="auto"/>
          <w:sz w:val="24"/>
          <w:highlight w:val="none"/>
        </w:rPr>
      </w:pPr>
      <w:r>
        <w:rPr>
          <w:rFonts w:hint="eastAsia" w:ascii="宋体"/>
          <w:bCs/>
          <w:color w:val="auto"/>
          <w:sz w:val="24"/>
          <w:highlight w:val="none"/>
        </w:rPr>
        <w:t>邮政编码：</w:t>
      </w:r>
      <w:r>
        <w:rPr>
          <w:rFonts w:ascii="宋体"/>
          <w:bCs/>
          <w:color w:val="auto"/>
          <w:sz w:val="24"/>
          <w:highlight w:val="none"/>
          <w:u w:val="single"/>
        </w:rPr>
        <w:t xml:space="preserve">                      </w:t>
      </w:r>
    </w:p>
    <w:p w14:paraId="3CE46BB0">
      <w:pPr>
        <w:spacing w:line="360" w:lineRule="auto"/>
        <w:ind w:firstLine="570"/>
        <w:rPr>
          <w:rFonts w:ascii="宋体"/>
          <w:bCs/>
          <w:color w:val="auto"/>
          <w:sz w:val="24"/>
          <w:highlight w:val="none"/>
        </w:rPr>
      </w:pPr>
      <w:r>
        <w:rPr>
          <w:rFonts w:hint="eastAsia" w:ascii="宋体"/>
          <w:bCs/>
          <w:color w:val="auto"/>
          <w:sz w:val="24"/>
          <w:highlight w:val="none"/>
        </w:rPr>
        <w:t>电话：</w:t>
      </w:r>
      <w:r>
        <w:rPr>
          <w:rFonts w:ascii="宋体"/>
          <w:bCs/>
          <w:color w:val="auto"/>
          <w:sz w:val="24"/>
          <w:highlight w:val="none"/>
          <w:u w:val="single"/>
        </w:rPr>
        <w:t xml:space="preserve">                          </w:t>
      </w:r>
    </w:p>
    <w:p w14:paraId="36D4E146">
      <w:pPr>
        <w:spacing w:line="360" w:lineRule="auto"/>
        <w:ind w:firstLine="570"/>
        <w:rPr>
          <w:rFonts w:ascii="宋体"/>
          <w:bCs/>
          <w:color w:val="auto"/>
          <w:sz w:val="24"/>
          <w:highlight w:val="none"/>
        </w:rPr>
      </w:pPr>
      <w:r>
        <w:rPr>
          <w:rFonts w:hint="eastAsia" w:ascii="宋体"/>
          <w:bCs/>
          <w:color w:val="auto"/>
          <w:sz w:val="24"/>
          <w:highlight w:val="none"/>
        </w:rPr>
        <w:t>传真：</w:t>
      </w:r>
      <w:r>
        <w:rPr>
          <w:rFonts w:ascii="宋体"/>
          <w:bCs/>
          <w:color w:val="auto"/>
          <w:sz w:val="24"/>
          <w:highlight w:val="none"/>
          <w:u w:val="single"/>
        </w:rPr>
        <w:t xml:space="preserve">                          </w:t>
      </w:r>
    </w:p>
    <w:p w14:paraId="7676816C">
      <w:pPr>
        <w:spacing w:line="360" w:lineRule="auto"/>
        <w:ind w:firstLine="1564" w:firstLineChars="652"/>
        <w:jc w:val="center"/>
        <w:rPr>
          <w:rFonts w:ascii="宋体"/>
          <w:bCs/>
          <w:color w:val="auto"/>
          <w:sz w:val="24"/>
          <w:highlight w:val="none"/>
        </w:rPr>
      </w:pPr>
      <w:r>
        <w:rPr>
          <w:rFonts w:ascii="宋体"/>
          <w:bCs/>
          <w:color w:val="auto"/>
          <w:sz w:val="24"/>
          <w:highlight w:val="none"/>
          <w:u w:val="single"/>
        </w:rPr>
        <w:t xml:space="preserve"> </w:t>
      </w:r>
      <w:r>
        <w:rPr>
          <w:rFonts w:hint="eastAsia" w:ascii="宋体"/>
          <w:bCs/>
          <w:color w:val="auto"/>
          <w:sz w:val="24"/>
          <w:highlight w:val="none"/>
          <w:u w:val="single"/>
        </w:rPr>
        <w:t xml:space="preserve">  </w:t>
      </w:r>
      <w:r>
        <w:rPr>
          <w:rFonts w:ascii="宋体"/>
          <w:bCs/>
          <w:color w:val="auto"/>
          <w:sz w:val="24"/>
          <w:highlight w:val="none"/>
          <w:u w:val="single"/>
        </w:rPr>
        <w:t xml:space="preserve"> </w:t>
      </w:r>
      <w:r>
        <w:rPr>
          <w:rFonts w:hint="eastAsia" w:ascii="宋体"/>
          <w:bCs/>
          <w:color w:val="auto"/>
          <w:sz w:val="24"/>
          <w:highlight w:val="none"/>
        </w:rPr>
        <w:t>年</w:t>
      </w:r>
      <w:r>
        <w:rPr>
          <w:rFonts w:ascii="宋体"/>
          <w:bCs/>
          <w:color w:val="auto"/>
          <w:sz w:val="24"/>
          <w:highlight w:val="none"/>
          <w:u w:val="single"/>
        </w:rPr>
        <w:t xml:space="preserve">   </w:t>
      </w:r>
      <w:r>
        <w:rPr>
          <w:rFonts w:hint="eastAsia" w:ascii="宋体"/>
          <w:bCs/>
          <w:color w:val="auto"/>
          <w:sz w:val="24"/>
          <w:highlight w:val="none"/>
        </w:rPr>
        <w:t>月</w:t>
      </w:r>
      <w:r>
        <w:rPr>
          <w:rFonts w:ascii="宋体"/>
          <w:bCs/>
          <w:color w:val="auto"/>
          <w:sz w:val="24"/>
          <w:highlight w:val="none"/>
          <w:u w:val="single"/>
        </w:rPr>
        <w:t xml:space="preserve">    </w:t>
      </w:r>
      <w:r>
        <w:rPr>
          <w:rFonts w:hint="eastAsia" w:ascii="宋体"/>
          <w:bCs/>
          <w:color w:val="auto"/>
          <w:sz w:val="24"/>
          <w:highlight w:val="none"/>
        </w:rPr>
        <w:t>日</w:t>
      </w:r>
    </w:p>
    <w:p w14:paraId="500359C2">
      <w:pPr>
        <w:spacing w:line="360" w:lineRule="auto"/>
        <w:rPr>
          <w:rFonts w:hAnsi="宋体"/>
          <w:b/>
          <w:bCs/>
          <w:color w:val="auto"/>
          <w:sz w:val="24"/>
          <w:highlight w:val="none"/>
        </w:rPr>
      </w:pPr>
      <w:r>
        <w:rPr>
          <w:rFonts w:ascii="黑体" w:eastAsia="黑体"/>
          <w:b/>
          <w:bCs/>
          <w:color w:val="auto"/>
          <w:sz w:val="24"/>
          <w:highlight w:val="none"/>
        </w:rPr>
        <w:br w:type="page"/>
      </w:r>
      <w:r>
        <w:rPr>
          <w:rFonts w:hint="eastAsia" w:hAnsi="宋体"/>
          <w:b/>
          <w:bCs/>
          <w:color w:val="auto"/>
          <w:sz w:val="24"/>
          <w:highlight w:val="none"/>
        </w:rPr>
        <w:t>附件5</w:t>
      </w:r>
    </w:p>
    <w:p w14:paraId="1F51A7E3">
      <w:pPr>
        <w:spacing w:line="360" w:lineRule="auto"/>
        <w:rPr>
          <w:rFonts w:ascii="黑体" w:eastAsia="黑体"/>
          <w:b/>
          <w:bCs/>
          <w:color w:val="auto"/>
          <w:sz w:val="24"/>
          <w:highlight w:val="none"/>
        </w:rPr>
      </w:pPr>
    </w:p>
    <w:p w14:paraId="01451736">
      <w:pPr>
        <w:spacing w:line="360" w:lineRule="auto"/>
        <w:jc w:val="center"/>
        <w:rPr>
          <w:rFonts w:ascii="黑体" w:eastAsia="黑体"/>
          <w:b/>
          <w:bCs/>
          <w:color w:val="auto"/>
          <w:sz w:val="24"/>
          <w:highlight w:val="none"/>
        </w:rPr>
      </w:pPr>
      <w:r>
        <w:rPr>
          <w:rFonts w:hint="eastAsia" w:ascii="黑体" w:eastAsia="黑体"/>
          <w:b/>
          <w:bCs/>
          <w:color w:val="auto"/>
          <w:sz w:val="24"/>
          <w:highlight w:val="none"/>
        </w:rPr>
        <w:t>承  诺  函</w:t>
      </w:r>
    </w:p>
    <w:p w14:paraId="7807946D">
      <w:pPr>
        <w:spacing w:line="360" w:lineRule="auto"/>
        <w:ind w:firstLine="1571" w:firstLineChars="652"/>
        <w:jc w:val="center"/>
        <w:rPr>
          <w:rFonts w:ascii="黑体" w:eastAsia="黑体"/>
          <w:b/>
          <w:bCs/>
          <w:color w:val="auto"/>
          <w:sz w:val="24"/>
          <w:highlight w:val="none"/>
        </w:rPr>
      </w:pPr>
      <w:r>
        <w:rPr>
          <w:rFonts w:hint="eastAsia" w:ascii="黑体" w:eastAsia="黑体"/>
          <w:b/>
          <w:bCs/>
          <w:color w:val="auto"/>
          <w:sz w:val="24"/>
          <w:highlight w:val="none"/>
        </w:rPr>
        <w:t> </w:t>
      </w:r>
    </w:p>
    <w:p w14:paraId="70B2A75A">
      <w:pPr>
        <w:spacing w:line="360" w:lineRule="auto"/>
        <w:rPr>
          <w:rFonts w:ascii="黑体" w:eastAsia="黑体"/>
          <w:b/>
          <w:bCs/>
          <w:color w:val="auto"/>
          <w:sz w:val="24"/>
          <w:highlight w:val="none"/>
        </w:rPr>
      </w:pPr>
      <w:r>
        <w:rPr>
          <w:rFonts w:hint="eastAsia" w:ascii="黑体" w:eastAsia="黑体"/>
          <w:b/>
          <w:bCs/>
          <w:color w:val="auto"/>
          <w:sz w:val="24"/>
          <w:highlight w:val="none"/>
        </w:rPr>
        <w:t>致：（采购人名称）</w:t>
      </w:r>
    </w:p>
    <w:p w14:paraId="61765DF2">
      <w:pPr>
        <w:spacing w:line="360" w:lineRule="auto"/>
        <w:ind w:firstLine="570"/>
        <w:rPr>
          <w:rFonts w:ascii="宋体"/>
          <w:bCs/>
          <w:color w:val="auto"/>
          <w:sz w:val="24"/>
          <w:highlight w:val="none"/>
        </w:rPr>
      </w:pPr>
      <w:r>
        <w:rPr>
          <w:rFonts w:hint="eastAsia" w:ascii="宋体"/>
          <w:bCs/>
          <w:color w:val="auto"/>
          <w:sz w:val="24"/>
          <w:highlight w:val="none"/>
        </w:rPr>
        <w:t>我公司决定参加</w:t>
      </w:r>
      <w:r>
        <w:rPr>
          <w:rFonts w:hint="eastAsia" w:ascii="宋体"/>
          <w:bCs/>
          <w:color w:val="auto"/>
          <w:sz w:val="24"/>
          <w:highlight w:val="none"/>
          <w:u w:val="single"/>
        </w:rPr>
        <w:t>       （项目名称）   </w:t>
      </w:r>
      <w:r>
        <w:rPr>
          <w:rFonts w:hint="eastAsia" w:ascii="宋体"/>
          <w:bCs/>
          <w:color w:val="auto"/>
          <w:sz w:val="24"/>
          <w:highlight w:val="none"/>
        </w:rPr>
        <w:t>招标的投标并作出如下承诺：</w:t>
      </w:r>
    </w:p>
    <w:p w14:paraId="14793DD9">
      <w:pPr>
        <w:spacing w:line="360" w:lineRule="auto"/>
        <w:ind w:firstLine="570"/>
        <w:rPr>
          <w:rFonts w:ascii="宋体"/>
          <w:bCs/>
          <w:color w:val="auto"/>
          <w:sz w:val="24"/>
          <w:highlight w:val="none"/>
        </w:rPr>
      </w:pPr>
      <w:r>
        <w:rPr>
          <w:rFonts w:hint="eastAsia" w:ascii="宋体"/>
          <w:bCs/>
          <w:color w:val="auto"/>
          <w:sz w:val="24"/>
          <w:highlight w:val="none"/>
        </w:rPr>
        <w:t>    一、我公司保证在递交投标文件截止之日止，在已完或在建的项目中没有存在拖欠或克扣农民工工资的行为；</w:t>
      </w:r>
    </w:p>
    <w:p w14:paraId="5B091118">
      <w:pPr>
        <w:spacing w:line="360" w:lineRule="auto"/>
        <w:ind w:firstLine="570"/>
        <w:rPr>
          <w:rFonts w:ascii="宋体"/>
          <w:bCs/>
          <w:color w:val="auto"/>
          <w:sz w:val="24"/>
          <w:highlight w:val="none"/>
        </w:rPr>
      </w:pPr>
      <w:r>
        <w:rPr>
          <w:rFonts w:hint="eastAsia" w:ascii="宋体"/>
          <w:bCs/>
          <w:color w:val="auto"/>
          <w:sz w:val="24"/>
          <w:highlight w:val="none"/>
        </w:rPr>
        <w:t>    二、如我公司中标后，同意按项目 1%签约合同价缴纳农民工工资保证金；</w:t>
      </w:r>
    </w:p>
    <w:p w14:paraId="683B4CE3">
      <w:pPr>
        <w:spacing w:line="360" w:lineRule="auto"/>
        <w:ind w:firstLine="570"/>
        <w:rPr>
          <w:rFonts w:ascii="宋体"/>
          <w:bCs/>
          <w:color w:val="auto"/>
          <w:sz w:val="24"/>
          <w:highlight w:val="none"/>
        </w:rPr>
      </w:pPr>
      <w:r>
        <w:rPr>
          <w:rFonts w:hint="eastAsia" w:ascii="宋体"/>
          <w:bCs/>
          <w:color w:val="auto"/>
          <w:sz w:val="24"/>
          <w:highlight w:val="none"/>
        </w:rPr>
        <w:t>    三、如我公司中标后，同意在签订合同协议书之前向采购人缴纳农民工工资保证金。</w:t>
      </w:r>
    </w:p>
    <w:p w14:paraId="0DEB6B85">
      <w:pPr>
        <w:spacing w:line="360" w:lineRule="auto"/>
        <w:ind w:firstLine="570"/>
        <w:rPr>
          <w:rFonts w:ascii="宋体"/>
          <w:bCs/>
          <w:color w:val="auto"/>
          <w:sz w:val="24"/>
          <w:highlight w:val="none"/>
        </w:rPr>
      </w:pPr>
      <w:r>
        <w:rPr>
          <w:rFonts w:hint="eastAsia" w:ascii="宋体"/>
          <w:bCs/>
          <w:color w:val="auto"/>
          <w:sz w:val="24"/>
          <w:highlight w:val="none"/>
        </w:rPr>
        <w:t>四、如我公司中标后，承诺开设农民工工资专用账户，实行农民工实名制管理，与每位农民工签订劳动合同，所有农民工工资从该专户中直接支付划入农民工个人银行卡。</w:t>
      </w:r>
    </w:p>
    <w:p w14:paraId="4758BA52">
      <w:pPr>
        <w:spacing w:line="360" w:lineRule="auto"/>
        <w:ind w:firstLine="570"/>
        <w:rPr>
          <w:rFonts w:ascii="宋体"/>
          <w:bCs/>
          <w:color w:val="auto"/>
          <w:sz w:val="24"/>
          <w:highlight w:val="none"/>
        </w:rPr>
      </w:pPr>
      <w:r>
        <w:rPr>
          <w:rFonts w:hint="eastAsia" w:ascii="宋体"/>
          <w:bCs/>
          <w:color w:val="auto"/>
          <w:sz w:val="24"/>
          <w:highlight w:val="none"/>
        </w:rPr>
        <w:t>    五、如我公司中标，保证依法足额支付农民工工资，一旦本公司承建的项目出现拖欠农民工工资的，可由劳动保障、交通主管部门(或交通主管部门授权的机构)及建设单位根据相关规定从本公司的农民工工资保证金中先予支取。其余与农民工工资有关事项我公司严格按交基建发[2007]22号文件要求执行。</w:t>
      </w:r>
    </w:p>
    <w:p w14:paraId="788EE06E">
      <w:pPr>
        <w:spacing w:line="360" w:lineRule="auto"/>
        <w:ind w:firstLine="570"/>
        <w:rPr>
          <w:rFonts w:ascii="宋体"/>
          <w:bCs/>
          <w:color w:val="auto"/>
          <w:sz w:val="24"/>
          <w:highlight w:val="none"/>
        </w:rPr>
      </w:pPr>
      <w:r>
        <w:rPr>
          <w:rFonts w:hint="eastAsia" w:ascii="宋体"/>
          <w:bCs/>
          <w:color w:val="auto"/>
          <w:sz w:val="24"/>
          <w:highlight w:val="none"/>
        </w:rPr>
        <w:t> </w:t>
      </w:r>
    </w:p>
    <w:p w14:paraId="5E28F1A7">
      <w:pPr>
        <w:spacing w:line="360" w:lineRule="auto"/>
        <w:ind w:firstLine="1571" w:firstLineChars="652"/>
        <w:jc w:val="center"/>
        <w:rPr>
          <w:rFonts w:ascii="宋体" w:hAnsi="宋体" w:cs="宋体"/>
          <w:b/>
          <w:bCs/>
          <w:color w:val="auto"/>
          <w:sz w:val="24"/>
          <w:highlight w:val="none"/>
        </w:rPr>
      </w:pPr>
      <w:r>
        <w:rPr>
          <w:rFonts w:hint="eastAsia" w:ascii="宋体" w:hAnsi="宋体" w:cs="宋体"/>
          <w:b/>
          <w:bCs/>
          <w:color w:val="auto"/>
          <w:sz w:val="24"/>
          <w:highlight w:val="none"/>
        </w:rPr>
        <w:t> </w:t>
      </w:r>
    </w:p>
    <w:p w14:paraId="4700932D">
      <w:pPr>
        <w:spacing w:line="360" w:lineRule="auto"/>
        <w:ind w:firstLine="1571" w:firstLineChars="652"/>
        <w:jc w:val="center"/>
        <w:rPr>
          <w:rFonts w:ascii="宋体" w:hAnsi="宋体" w:cs="宋体"/>
          <w:b/>
          <w:bCs/>
          <w:color w:val="auto"/>
          <w:sz w:val="24"/>
          <w:highlight w:val="none"/>
        </w:rPr>
      </w:pPr>
      <w:r>
        <w:rPr>
          <w:rFonts w:hint="eastAsia" w:ascii="宋体" w:hAnsi="宋体" w:cs="宋体"/>
          <w:b/>
          <w:bCs/>
          <w:color w:val="auto"/>
          <w:sz w:val="24"/>
          <w:highlight w:val="none"/>
        </w:rPr>
        <w:t>投标人：(盖单位章)</w:t>
      </w:r>
    </w:p>
    <w:p w14:paraId="19DA6539">
      <w:pPr>
        <w:spacing w:line="360" w:lineRule="auto"/>
        <w:ind w:firstLine="1571" w:firstLineChars="652"/>
        <w:jc w:val="center"/>
        <w:rPr>
          <w:rFonts w:ascii="宋体" w:hAnsi="宋体" w:cs="宋体"/>
          <w:b/>
          <w:bCs/>
          <w:color w:val="auto"/>
          <w:sz w:val="24"/>
          <w:highlight w:val="none"/>
        </w:rPr>
      </w:pPr>
      <w:r>
        <w:rPr>
          <w:rFonts w:hint="eastAsia" w:ascii="宋体" w:hAnsi="宋体" w:cs="宋体"/>
          <w:b/>
          <w:bCs/>
          <w:color w:val="auto"/>
          <w:sz w:val="24"/>
          <w:highlight w:val="none"/>
        </w:rPr>
        <w:t> </w:t>
      </w:r>
    </w:p>
    <w:p w14:paraId="26250701">
      <w:pPr>
        <w:spacing w:line="360" w:lineRule="auto"/>
        <w:ind w:firstLine="1571" w:firstLineChars="652"/>
        <w:jc w:val="center"/>
        <w:rPr>
          <w:rFonts w:ascii="宋体" w:hAnsi="宋体" w:cs="宋体"/>
          <w:b/>
          <w:bCs/>
          <w:color w:val="auto"/>
          <w:sz w:val="24"/>
          <w:highlight w:val="none"/>
        </w:rPr>
      </w:pPr>
      <w:r>
        <w:rPr>
          <w:rFonts w:hint="eastAsia" w:ascii="宋体" w:hAnsi="宋体" w:cs="宋体"/>
          <w:b/>
          <w:bCs/>
          <w:color w:val="auto"/>
          <w:sz w:val="24"/>
          <w:highlight w:val="none"/>
        </w:rPr>
        <w:t>法定代表人或其委托代理人：    (签字)</w:t>
      </w:r>
    </w:p>
    <w:p w14:paraId="345CB217">
      <w:pPr>
        <w:spacing w:line="360" w:lineRule="auto"/>
        <w:ind w:firstLine="1571" w:firstLineChars="652"/>
        <w:jc w:val="center"/>
        <w:rPr>
          <w:rFonts w:ascii="宋体" w:hAnsi="宋体" w:cs="宋体"/>
          <w:b/>
          <w:bCs/>
          <w:color w:val="auto"/>
          <w:sz w:val="24"/>
          <w:highlight w:val="none"/>
        </w:rPr>
      </w:pPr>
      <w:r>
        <w:rPr>
          <w:rFonts w:hint="eastAsia" w:ascii="宋体" w:hAnsi="宋体" w:cs="宋体"/>
          <w:b/>
          <w:bCs/>
          <w:color w:val="auto"/>
          <w:sz w:val="24"/>
          <w:highlight w:val="none"/>
        </w:rPr>
        <w:t> </w:t>
      </w:r>
    </w:p>
    <w:p w14:paraId="22BBB811">
      <w:pPr>
        <w:spacing w:line="360" w:lineRule="auto"/>
        <w:ind w:firstLine="1571" w:firstLineChars="652"/>
        <w:jc w:val="center"/>
        <w:rPr>
          <w:b/>
          <w:color w:val="auto"/>
          <w:sz w:val="24"/>
          <w:highlight w:val="none"/>
        </w:rPr>
      </w:pPr>
      <w:r>
        <w:rPr>
          <w:rFonts w:hint="eastAsia" w:ascii="宋体" w:hAnsi="宋体" w:cs="宋体"/>
          <w:b/>
          <w:bCs/>
          <w:color w:val="auto"/>
          <w:sz w:val="24"/>
          <w:highlight w:val="none"/>
        </w:rPr>
        <w:t>年  月  日</w:t>
      </w:r>
      <w:r>
        <w:rPr>
          <w:rFonts w:ascii="黑体" w:eastAsia="黑体"/>
          <w:b/>
          <w:bCs/>
          <w:color w:val="auto"/>
          <w:sz w:val="24"/>
          <w:highlight w:val="none"/>
        </w:rPr>
        <w:br w:type="page"/>
      </w:r>
      <w:r>
        <w:rPr>
          <w:rFonts w:hint="eastAsia"/>
          <w:b/>
          <w:color w:val="auto"/>
          <w:sz w:val="24"/>
          <w:highlight w:val="none"/>
        </w:rPr>
        <w:t>合同专项条款</w:t>
      </w:r>
    </w:p>
    <w:p w14:paraId="04F69154">
      <w:pPr>
        <w:pStyle w:val="2"/>
        <w:rPr>
          <w:rFonts w:hint="eastAsia"/>
          <w:color w:val="auto"/>
          <w:highlight w:val="none"/>
        </w:rPr>
      </w:pPr>
    </w:p>
    <w:p w14:paraId="674B8F7F">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采购人指示和上级部门检查指示</w:t>
      </w:r>
    </w:p>
    <w:p w14:paraId="2B1653E6">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1.1</w:t>
      </w:r>
      <w:r>
        <w:rPr>
          <w:rFonts w:hint="eastAsia" w:ascii="宋体" w:hAnsi="宋体" w:cs="宋体"/>
          <w:bCs/>
          <w:color w:val="auto"/>
          <w:kern w:val="0"/>
          <w:sz w:val="24"/>
          <w:highlight w:val="none"/>
        </w:rPr>
        <w:t>采购人是指</w:t>
      </w:r>
      <w:r>
        <w:rPr>
          <w:rFonts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rPr>
        <w:t>合浦县公路发展服务中心</w:t>
      </w:r>
      <w:r>
        <w:rPr>
          <w:rFonts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，签订合同后，由采购人向中标人出具业主方的项目负责人委托授权书，由委托授权人具体负责向中标人下达工作指示、与中标人沟通协调、对中标人服务检查考评等工作。</w:t>
      </w:r>
    </w:p>
    <w:p w14:paraId="6F250455">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1.2</w:t>
      </w:r>
      <w:r>
        <w:rPr>
          <w:rFonts w:hint="eastAsia" w:ascii="宋体" w:hAnsi="宋体" w:cs="宋体"/>
          <w:bCs/>
          <w:color w:val="auto"/>
          <w:kern w:val="0"/>
          <w:sz w:val="24"/>
          <w:highlight w:val="none"/>
        </w:rPr>
        <w:t>采购人指示是指包括但不限定于采购人委托授权人或其他工作人员向中标人发出的书面通知、书面工作指令、审核签署的中标人工作计划、会议布置工作要求、现场口头交底的工作指令、通过电话、微信或</w:t>
      </w:r>
      <w:r>
        <w:rPr>
          <w:rFonts w:ascii="宋体" w:hAnsi="宋体" w:cs="宋体"/>
          <w:bCs/>
          <w:color w:val="auto"/>
          <w:kern w:val="0"/>
          <w:sz w:val="24"/>
          <w:highlight w:val="none"/>
        </w:rPr>
        <w:t>QQ</w:t>
      </w:r>
      <w:r>
        <w:rPr>
          <w:rFonts w:hint="eastAsia" w:ascii="宋体" w:hAnsi="宋体" w:cs="宋体"/>
          <w:bCs/>
          <w:color w:val="auto"/>
          <w:kern w:val="0"/>
          <w:sz w:val="24"/>
          <w:highlight w:val="none"/>
        </w:rPr>
        <w:t>下达的临时指令，也包括采购人其他可明确辨识的工作人员现场下达的工作指令、工作通知等。</w:t>
      </w:r>
    </w:p>
    <w:p w14:paraId="30EAA713">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1.3</w:t>
      </w:r>
      <w:r>
        <w:rPr>
          <w:rFonts w:hint="eastAsia" w:ascii="宋体" w:hAnsi="宋体" w:cs="宋体"/>
          <w:bCs/>
          <w:color w:val="auto"/>
          <w:kern w:val="0"/>
          <w:sz w:val="24"/>
          <w:highlight w:val="none"/>
        </w:rPr>
        <w:t>上级部门检查指示是指包括但不限定于采购人工作人员陪同，或虽无采购人陪同但已经通知中标人接受的上级部门或其他部门工作人员现场指出并要求整改的工作问题、提出的工作要求、工作措施等。</w:t>
      </w:r>
    </w:p>
    <w:p w14:paraId="67341770">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1.4</w:t>
      </w:r>
      <w:r>
        <w:rPr>
          <w:rFonts w:hint="eastAsia" w:ascii="宋体" w:hAnsi="宋体" w:cs="宋体"/>
          <w:bCs/>
          <w:color w:val="auto"/>
          <w:kern w:val="0"/>
          <w:sz w:val="24"/>
          <w:highlight w:val="none"/>
        </w:rPr>
        <w:t>中标人无法辨识发出指示的人员是否属于采购人或上级部门工作人员时，应立即电话、微信报告采购人项目负责人予以确认，或者发现接收到的指示可能存在违章指挥或强令冒险作业的，应先向采购人项目负责人电话、微信报告清楚具体情况，由采购人确定是否执行。</w:t>
      </w:r>
    </w:p>
    <w:p w14:paraId="5D32FE70">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2.</w:t>
      </w:r>
      <w:r>
        <w:rPr>
          <w:rFonts w:hint="eastAsia" w:ascii="宋体" w:hAnsi="宋体" w:cs="宋体"/>
          <w:bCs/>
          <w:color w:val="auto"/>
          <w:kern w:val="0"/>
          <w:sz w:val="24"/>
          <w:highlight w:val="none"/>
        </w:rPr>
        <w:t>中标人服务人员岗前业务培训和安全生产培训及安全交底</w:t>
      </w:r>
    </w:p>
    <w:p w14:paraId="1FE81EA5">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2.1</w:t>
      </w:r>
      <w:r>
        <w:rPr>
          <w:rFonts w:hint="eastAsia" w:ascii="宋体" w:hAnsi="宋体" w:cs="宋体"/>
          <w:bCs/>
          <w:color w:val="auto"/>
          <w:kern w:val="0"/>
          <w:sz w:val="24"/>
          <w:highlight w:val="none"/>
        </w:rPr>
        <w:t>中标人服务人员岗前业务培训和安全生产培训的范围和主要内容及培训提纲要由采购人审核批准，主要培训内容包括但不限定于以下内容：</w:t>
      </w:r>
    </w:p>
    <w:p w14:paraId="76F5F68F">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a.</w:t>
      </w:r>
      <w:r>
        <w:rPr>
          <w:rFonts w:hint="eastAsia" w:ascii="宋体" w:hAnsi="宋体" w:cs="宋体"/>
          <w:bCs/>
          <w:color w:val="auto"/>
          <w:kern w:val="0"/>
          <w:sz w:val="24"/>
          <w:highlight w:val="none"/>
        </w:rPr>
        <w:t>公路养护概论和服目管理概论</w:t>
      </w:r>
    </w:p>
    <w:p w14:paraId="2035CDFB">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b.</w:t>
      </w:r>
      <w:r>
        <w:rPr>
          <w:rFonts w:hint="eastAsia" w:ascii="宋体" w:hAnsi="宋体" w:cs="宋体"/>
          <w:bCs/>
          <w:color w:val="auto"/>
          <w:kern w:val="0"/>
          <w:sz w:val="24"/>
          <w:highlight w:val="none"/>
        </w:rPr>
        <w:t>项目基本概况</w:t>
      </w:r>
    </w:p>
    <w:p w14:paraId="7FE13DA5">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c.</w:t>
      </w:r>
      <w:r>
        <w:rPr>
          <w:rFonts w:hint="eastAsia" w:ascii="宋体" w:hAnsi="宋体" w:cs="宋体"/>
          <w:bCs/>
          <w:color w:val="auto"/>
          <w:kern w:val="0"/>
          <w:sz w:val="24"/>
          <w:highlight w:val="none"/>
        </w:rPr>
        <w:t>项目服务范围和主要内容</w:t>
      </w:r>
    </w:p>
    <w:p w14:paraId="3BC5E943">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d.</w:t>
      </w:r>
      <w:r>
        <w:rPr>
          <w:rFonts w:hint="eastAsia" w:ascii="宋体" w:hAnsi="宋体" w:cs="宋体"/>
          <w:bCs/>
          <w:color w:val="auto"/>
          <w:kern w:val="0"/>
          <w:sz w:val="24"/>
          <w:highlight w:val="none"/>
        </w:rPr>
        <w:t>项目服务质量要求</w:t>
      </w:r>
    </w:p>
    <w:p w14:paraId="421C7400">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e.</w:t>
      </w:r>
      <w:r>
        <w:rPr>
          <w:rFonts w:hint="eastAsia" w:ascii="宋体" w:hAnsi="宋体" w:cs="宋体"/>
          <w:bCs/>
          <w:color w:val="auto"/>
          <w:kern w:val="0"/>
          <w:sz w:val="24"/>
          <w:highlight w:val="none"/>
        </w:rPr>
        <w:t>项目服务标准化管理要求</w:t>
      </w:r>
    </w:p>
    <w:p w14:paraId="1E744BAE">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f.</w:t>
      </w:r>
      <w:r>
        <w:rPr>
          <w:rFonts w:hint="eastAsia" w:ascii="宋体" w:hAnsi="宋体" w:cs="宋体"/>
          <w:bCs/>
          <w:color w:val="auto"/>
          <w:kern w:val="0"/>
          <w:sz w:val="24"/>
          <w:highlight w:val="none"/>
        </w:rPr>
        <w:t>劳动合同法、劳动者合法权益受法律保护及劳动者维权途径</w:t>
      </w:r>
    </w:p>
    <w:p w14:paraId="6DCE48AC">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g.</w:t>
      </w:r>
      <w:r>
        <w:rPr>
          <w:rFonts w:hint="eastAsia" w:ascii="宋体" w:hAnsi="宋体" w:cs="宋体"/>
          <w:bCs/>
          <w:color w:val="auto"/>
          <w:kern w:val="0"/>
          <w:sz w:val="24"/>
          <w:highlight w:val="none"/>
        </w:rPr>
        <w:t>安全生产及劳动保护法律法规</w:t>
      </w:r>
    </w:p>
    <w:p w14:paraId="001A358C">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h.</w:t>
      </w:r>
      <w:r>
        <w:rPr>
          <w:rFonts w:hint="eastAsia" w:ascii="宋体" w:hAnsi="宋体" w:cs="宋体"/>
          <w:bCs/>
          <w:color w:val="auto"/>
          <w:kern w:val="0"/>
          <w:sz w:val="24"/>
          <w:highlight w:val="none"/>
        </w:rPr>
        <w:t>服务项目安全生产和职业健康风险、安全生产目标及管理要点</w:t>
      </w:r>
    </w:p>
    <w:p w14:paraId="278515BC">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i.</w:t>
      </w:r>
      <w:r>
        <w:rPr>
          <w:rFonts w:hint="eastAsia" w:ascii="宋体" w:hAnsi="宋体" w:cs="宋体"/>
          <w:bCs/>
          <w:color w:val="auto"/>
          <w:kern w:val="0"/>
          <w:sz w:val="24"/>
          <w:highlight w:val="none"/>
        </w:rPr>
        <w:t>劳动纪律和企业管理规章制度、项目管理制度</w:t>
      </w:r>
    </w:p>
    <w:p w14:paraId="145DC644">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j.</w:t>
      </w:r>
      <w:r>
        <w:rPr>
          <w:rFonts w:hint="eastAsia" w:ascii="宋体" w:hAnsi="宋体" w:cs="宋体"/>
          <w:bCs/>
          <w:color w:val="auto"/>
          <w:kern w:val="0"/>
          <w:sz w:val="24"/>
          <w:highlight w:val="none"/>
        </w:rPr>
        <w:t>养护作业现场安全生产注意事项</w:t>
      </w:r>
    </w:p>
    <w:p w14:paraId="5EE439EA">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k.</w:t>
      </w:r>
      <w:r>
        <w:rPr>
          <w:rFonts w:hint="eastAsia" w:ascii="宋体" w:hAnsi="宋体" w:cs="宋体"/>
          <w:bCs/>
          <w:color w:val="auto"/>
          <w:kern w:val="0"/>
          <w:sz w:val="24"/>
          <w:highlight w:val="none"/>
        </w:rPr>
        <w:t>项目服务合同主要内容</w:t>
      </w:r>
    </w:p>
    <w:p w14:paraId="5C2F4C55">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2.2</w:t>
      </w:r>
      <w:r>
        <w:rPr>
          <w:rFonts w:hint="eastAsia" w:ascii="宋体" w:hAnsi="宋体" w:cs="宋体"/>
          <w:bCs/>
          <w:color w:val="auto"/>
          <w:kern w:val="0"/>
          <w:sz w:val="24"/>
          <w:highlight w:val="none"/>
        </w:rPr>
        <w:t>中标人服务人员岗前培训和及安全生产培训应印发书面培训资料，以集中授课形式开展，并通知采购人现场监督。培训后要整理培训资料报送采购人。</w:t>
      </w:r>
    </w:p>
    <w:p w14:paraId="53A76E90">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2.3</w:t>
      </w:r>
      <w:r>
        <w:rPr>
          <w:rFonts w:hint="eastAsia" w:ascii="宋体" w:hAnsi="宋体" w:cs="宋体"/>
          <w:bCs/>
          <w:color w:val="auto"/>
          <w:kern w:val="0"/>
          <w:sz w:val="24"/>
          <w:highlight w:val="none"/>
        </w:rPr>
        <w:t>中标人项目业务交底和安全生产交底要以书面形式，由交底人和接受交底人共同签字确认。</w:t>
      </w:r>
    </w:p>
    <w:p w14:paraId="1869CC7A">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2.4</w:t>
      </w:r>
      <w:r>
        <w:rPr>
          <w:rFonts w:hint="eastAsia" w:ascii="宋体" w:hAnsi="宋体" w:cs="宋体"/>
          <w:bCs/>
          <w:color w:val="auto"/>
          <w:kern w:val="0"/>
          <w:sz w:val="24"/>
          <w:highlight w:val="none"/>
        </w:rPr>
        <w:t>中标人完成岗前培训后，必须报请采购人对服务人员开展培训成果进行检验确认，采购人将以书面考试形式（考试满分</w:t>
      </w:r>
      <w:r>
        <w:rPr>
          <w:rFonts w:ascii="宋体" w:hAnsi="宋体" w:cs="宋体"/>
          <w:bCs/>
          <w:color w:val="auto"/>
          <w:kern w:val="0"/>
          <w:sz w:val="24"/>
          <w:highlight w:val="none"/>
        </w:rPr>
        <w:t>100</w:t>
      </w:r>
      <w:r>
        <w:rPr>
          <w:rFonts w:hint="eastAsia" w:ascii="宋体" w:hAnsi="宋体" w:cs="宋体"/>
          <w:bCs/>
          <w:color w:val="auto"/>
          <w:kern w:val="0"/>
          <w:sz w:val="24"/>
          <w:highlight w:val="none"/>
        </w:rPr>
        <w:t>分，合格线为</w:t>
      </w:r>
      <w:r>
        <w:rPr>
          <w:rFonts w:ascii="宋体" w:hAnsi="宋体" w:cs="宋体"/>
          <w:bCs/>
          <w:color w:val="auto"/>
          <w:kern w:val="0"/>
          <w:sz w:val="24"/>
          <w:highlight w:val="none"/>
        </w:rPr>
        <w:t>60</w:t>
      </w:r>
      <w:r>
        <w:rPr>
          <w:rFonts w:hint="eastAsia" w:ascii="宋体" w:hAnsi="宋体" w:cs="宋体"/>
          <w:bCs/>
          <w:color w:val="auto"/>
          <w:kern w:val="0"/>
          <w:sz w:val="24"/>
          <w:highlight w:val="none"/>
        </w:rPr>
        <w:t>分）对项目服务全体人员培训成果进行检验，考试检验不合格的，不得上岗，中标人应对检验不合格的人员进行重新培训或更换人员。考试试题由采购人根据培训内容拟定。</w:t>
      </w:r>
    </w:p>
    <w:p w14:paraId="7CA057A4">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2.5</w:t>
      </w:r>
      <w:r>
        <w:rPr>
          <w:rFonts w:hint="eastAsia" w:ascii="宋体" w:hAnsi="宋体" w:cs="宋体"/>
          <w:bCs/>
          <w:color w:val="auto"/>
          <w:kern w:val="0"/>
          <w:sz w:val="24"/>
          <w:highlight w:val="none"/>
        </w:rPr>
        <w:t>中标人在服务期间更换人员，必须按上述要求进行培训、考试和交底。</w:t>
      </w:r>
    </w:p>
    <w:p w14:paraId="567EA174">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3.</w:t>
      </w:r>
      <w:r>
        <w:rPr>
          <w:rFonts w:hint="eastAsia" w:ascii="宋体" w:hAnsi="宋体" w:cs="宋体"/>
          <w:bCs/>
          <w:color w:val="auto"/>
          <w:kern w:val="0"/>
          <w:sz w:val="24"/>
          <w:highlight w:val="none"/>
        </w:rPr>
        <w:t>采购人对中标人的月工作计划审核及检查</w:t>
      </w:r>
    </w:p>
    <w:p w14:paraId="5C427EB5">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3.1</w:t>
      </w:r>
      <w:r>
        <w:rPr>
          <w:rFonts w:hint="eastAsia" w:ascii="宋体" w:hAnsi="宋体" w:cs="宋体"/>
          <w:bCs/>
          <w:color w:val="auto"/>
          <w:kern w:val="0"/>
          <w:sz w:val="24"/>
          <w:highlight w:val="none"/>
        </w:rPr>
        <w:t>中标人应按项目需求规定和采购人要求的时间，将次月工作计划表报送采购人审核，月工作计划必须明确包括以下内容：</w:t>
      </w:r>
    </w:p>
    <w:p w14:paraId="649A3056">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a.</w:t>
      </w:r>
      <w:r>
        <w:rPr>
          <w:rFonts w:hint="eastAsia" w:ascii="宋体" w:hAnsi="宋体" w:cs="宋体"/>
          <w:bCs/>
          <w:color w:val="auto"/>
          <w:kern w:val="0"/>
          <w:sz w:val="24"/>
          <w:highlight w:val="none"/>
        </w:rPr>
        <w:t>当月法定工作天数及应出工总工日数</w:t>
      </w:r>
    </w:p>
    <w:p w14:paraId="6DD70F67">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b.</w:t>
      </w:r>
      <w:r>
        <w:rPr>
          <w:rFonts w:hint="eastAsia" w:ascii="宋体" w:hAnsi="宋体" w:cs="宋体"/>
          <w:bCs/>
          <w:color w:val="auto"/>
          <w:kern w:val="0"/>
          <w:sz w:val="24"/>
          <w:highlight w:val="none"/>
        </w:rPr>
        <w:t>各分项工作内容、拟计划实施路段、工作量</w:t>
      </w:r>
    </w:p>
    <w:p w14:paraId="4DAE97E8">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c.</w:t>
      </w:r>
      <w:r>
        <w:rPr>
          <w:rFonts w:hint="eastAsia" w:ascii="宋体" w:hAnsi="宋体" w:cs="宋体"/>
          <w:bCs/>
          <w:color w:val="auto"/>
          <w:kern w:val="0"/>
          <w:sz w:val="24"/>
          <w:highlight w:val="none"/>
        </w:rPr>
        <w:t>各分项工作质量要求</w:t>
      </w:r>
    </w:p>
    <w:p w14:paraId="54046F10">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d.</w:t>
      </w:r>
      <w:r>
        <w:rPr>
          <w:rFonts w:hint="eastAsia" w:ascii="宋体" w:hAnsi="宋体" w:cs="宋体"/>
          <w:bCs/>
          <w:color w:val="auto"/>
          <w:kern w:val="0"/>
          <w:sz w:val="24"/>
          <w:highlight w:val="none"/>
        </w:rPr>
        <w:t>当月机械设备投入计划</w:t>
      </w:r>
    </w:p>
    <w:p w14:paraId="143A867B">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e.</w:t>
      </w:r>
      <w:r>
        <w:rPr>
          <w:rFonts w:hint="eastAsia" w:ascii="宋体" w:hAnsi="宋体" w:cs="宋体"/>
          <w:bCs/>
          <w:color w:val="auto"/>
          <w:kern w:val="0"/>
          <w:sz w:val="24"/>
          <w:highlight w:val="none"/>
        </w:rPr>
        <w:t>安全生产设备、设施及劳动保护用品发放和使用计划</w:t>
      </w:r>
    </w:p>
    <w:p w14:paraId="3A155E1F">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f.</w:t>
      </w:r>
      <w:r>
        <w:rPr>
          <w:rFonts w:hint="eastAsia" w:ascii="宋体" w:hAnsi="宋体" w:cs="宋体"/>
          <w:bCs/>
          <w:color w:val="auto"/>
          <w:kern w:val="0"/>
          <w:sz w:val="24"/>
          <w:highlight w:val="none"/>
        </w:rPr>
        <w:t>月度工作例会和安全生产例会安排计划</w:t>
      </w:r>
    </w:p>
    <w:p w14:paraId="31F20936">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g.</w:t>
      </w:r>
      <w:r>
        <w:rPr>
          <w:rFonts w:hint="eastAsia" w:ascii="宋体" w:hAnsi="宋体" w:cs="宋体"/>
          <w:bCs/>
          <w:color w:val="auto"/>
          <w:kern w:val="0"/>
          <w:sz w:val="24"/>
          <w:highlight w:val="none"/>
        </w:rPr>
        <w:t>月度业务或安全生产集中培训和学习计划</w:t>
      </w:r>
    </w:p>
    <w:p w14:paraId="517EC6DD">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h.</w:t>
      </w:r>
      <w:r>
        <w:rPr>
          <w:rFonts w:hint="eastAsia" w:ascii="宋体" w:hAnsi="宋体" w:cs="宋体"/>
          <w:bCs/>
          <w:color w:val="auto"/>
          <w:kern w:val="0"/>
          <w:sz w:val="24"/>
          <w:highlight w:val="none"/>
        </w:rPr>
        <w:t>中标人内部业务绩效和安全生产检查考核工作计划</w:t>
      </w:r>
    </w:p>
    <w:p w14:paraId="6CB141D7">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3.2</w:t>
      </w:r>
      <w:r>
        <w:rPr>
          <w:rFonts w:hint="eastAsia" w:ascii="宋体" w:hAnsi="宋体" w:cs="宋体"/>
          <w:bCs/>
          <w:color w:val="auto"/>
          <w:kern w:val="0"/>
          <w:sz w:val="24"/>
          <w:highlight w:val="none"/>
        </w:rPr>
        <w:t>中标人每月报送的月度工作计划表一式两份，经采购人签字批准后退还一份给中标人，另一份由采购人保管，作为月度检查考评的依据。如果采购人认为中标人计划工作量偏低、质量要求不符合相关规范、工作安排不合理等问题，中标人必须根据采购人意见进行修订后再次提交，直至采购人同意为止。</w:t>
      </w:r>
    </w:p>
    <w:p w14:paraId="2C56EBC5">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3.3</w:t>
      </w:r>
      <w:r>
        <w:rPr>
          <w:rFonts w:hint="eastAsia" w:ascii="宋体" w:hAnsi="宋体" w:cs="宋体"/>
          <w:bCs/>
          <w:color w:val="auto"/>
          <w:kern w:val="0"/>
          <w:sz w:val="24"/>
          <w:highlight w:val="none"/>
        </w:rPr>
        <w:t>中标人应按项目需求和采购人要求编制当月养护服务月报表报送采购人，月报表应明确如实反映当月天气晴雨情况、总出勤率、工作计划完成情况、安全生产状况、日常检查巡查情况、月度工作例会和安全生产例会情况、培训学习情况、人员变更情况等。</w:t>
      </w:r>
    </w:p>
    <w:p w14:paraId="01331023">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3.4</w:t>
      </w:r>
      <w:r>
        <w:rPr>
          <w:rFonts w:hint="eastAsia" w:ascii="宋体" w:hAnsi="宋体" w:cs="宋体"/>
          <w:bCs/>
          <w:color w:val="auto"/>
          <w:kern w:val="0"/>
          <w:sz w:val="24"/>
          <w:highlight w:val="none"/>
        </w:rPr>
        <w:t>采购人定期对中标人本月工作计划完成情况及服务成果进行综合考核，考核结果书面印发给中标人，作为计量支付当期经费的依据。</w:t>
      </w:r>
    </w:p>
    <w:p w14:paraId="519D62FE">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4.</w:t>
      </w:r>
      <w:r>
        <w:rPr>
          <w:rFonts w:hint="eastAsia" w:ascii="宋体" w:hAnsi="宋体" w:cs="宋体"/>
          <w:bCs/>
          <w:color w:val="auto"/>
          <w:kern w:val="0"/>
          <w:sz w:val="24"/>
          <w:highlight w:val="none"/>
        </w:rPr>
        <w:t>中标人项目服务档案管理</w:t>
      </w:r>
    </w:p>
    <w:p w14:paraId="2F5839F1">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4.1</w:t>
      </w:r>
      <w:r>
        <w:rPr>
          <w:rFonts w:hint="eastAsia" w:ascii="宋体" w:hAnsi="宋体" w:cs="宋体"/>
          <w:bCs/>
          <w:color w:val="auto"/>
          <w:kern w:val="0"/>
          <w:sz w:val="24"/>
          <w:highlight w:val="none"/>
        </w:rPr>
        <w:t>中标人须在办公场所安设文件档案柜，全部项目服务文件资料集中管理，以便采购人随时检查查阅。</w:t>
      </w:r>
    </w:p>
    <w:p w14:paraId="746F0607">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4.2</w:t>
      </w:r>
      <w:r>
        <w:rPr>
          <w:rFonts w:hint="eastAsia" w:ascii="宋体" w:hAnsi="宋体" w:cs="宋体"/>
          <w:bCs/>
          <w:color w:val="auto"/>
          <w:kern w:val="0"/>
          <w:sz w:val="24"/>
          <w:highlight w:val="none"/>
        </w:rPr>
        <w:t>中标人须按以下要求分类收集项目服务档案资料：</w:t>
      </w:r>
    </w:p>
    <w:p w14:paraId="7CC331EE">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a.</w:t>
      </w:r>
      <w:r>
        <w:rPr>
          <w:rFonts w:hint="eastAsia" w:ascii="宋体" w:hAnsi="宋体" w:cs="宋体"/>
          <w:bCs/>
          <w:color w:val="auto"/>
          <w:kern w:val="0"/>
          <w:sz w:val="24"/>
          <w:highlight w:val="none"/>
        </w:rPr>
        <w:t>项目服务档案要以标准档案盒收装文件资料，档案盒外封面要规范书写案卷题名。</w:t>
      </w:r>
    </w:p>
    <w:p w14:paraId="3CE044F3">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b.</w:t>
      </w:r>
      <w:r>
        <w:rPr>
          <w:rFonts w:hint="eastAsia" w:ascii="宋体" w:hAnsi="宋体" w:cs="宋体"/>
          <w:bCs/>
          <w:color w:val="auto"/>
          <w:kern w:val="0"/>
          <w:sz w:val="24"/>
          <w:highlight w:val="none"/>
        </w:rPr>
        <w:t>项目服务档案至少要按人员名册和劳动合同、岗前业务培训和安全生产培训及业务和安全交底资料、机械设备和安全生产设施及劳动保护用品购置和发放（使用）登记表、月度工作计划及完成情况记录表、月度工作例会和安全生产例会会议纪要、养护工作日志、企业规章制度和项目服务工作制度、农民工工资发放记录、采购人月度工作综合考评文件、养护工作经费申请文件、路面维修施工计量支付资料、应急突击工作记录资料及照片、服务期间相关的照片和记录文件、与采购人往来文件、安全生产日常检查和整改记录、内部绩效考评资料等。</w:t>
      </w:r>
    </w:p>
    <w:p w14:paraId="143D07A9">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c.</w:t>
      </w:r>
      <w:r>
        <w:rPr>
          <w:rFonts w:hint="eastAsia" w:ascii="宋体" w:hAnsi="宋体" w:cs="宋体"/>
          <w:bCs/>
          <w:color w:val="auto"/>
          <w:kern w:val="0"/>
          <w:sz w:val="24"/>
          <w:highlight w:val="none"/>
        </w:rPr>
        <w:t>中标人应安排专人负责项目服务信息、报表报送及资料档案管理工作，服务资料收集整理要做到及时、准确，与养护服务工作同步，禁止事后集中补资料。</w:t>
      </w:r>
    </w:p>
    <w:p w14:paraId="408D31A9">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d.</w:t>
      </w:r>
      <w:r>
        <w:rPr>
          <w:rFonts w:hint="eastAsia" w:ascii="宋体" w:hAnsi="宋体" w:cs="宋体"/>
          <w:bCs/>
          <w:color w:val="auto"/>
          <w:kern w:val="0"/>
          <w:sz w:val="24"/>
          <w:highlight w:val="none"/>
        </w:rPr>
        <w:t>中标人项目服务资料要实行数字化，定期把服务资料扫描制作电子文档，并至少备份一份，确保资料完整和安全。</w:t>
      </w:r>
    </w:p>
    <w:p w14:paraId="66B9F6BB">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4.3</w:t>
      </w:r>
      <w:r>
        <w:rPr>
          <w:rFonts w:hint="eastAsia" w:ascii="宋体" w:hAnsi="宋体" w:cs="宋体"/>
          <w:bCs/>
          <w:color w:val="auto"/>
          <w:kern w:val="0"/>
          <w:sz w:val="24"/>
          <w:highlight w:val="none"/>
        </w:rPr>
        <w:t>项目服务期满后，中标人将项目服务档案复制移交给采购人。</w:t>
      </w:r>
    </w:p>
    <w:p w14:paraId="296AEE3E">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5.</w:t>
      </w:r>
      <w:r>
        <w:rPr>
          <w:rFonts w:hint="eastAsia" w:ascii="宋体" w:hAnsi="宋体" w:cs="宋体"/>
          <w:bCs/>
          <w:color w:val="auto"/>
          <w:kern w:val="0"/>
          <w:sz w:val="24"/>
          <w:highlight w:val="none"/>
        </w:rPr>
        <w:t>路面维修技术试验及成果归属</w:t>
      </w:r>
    </w:p>
    <w:p w14:paraId="1745A390">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5.1</w:t>
      </w:r>
      <w:r>
        <w:rPr>
          <w:rFonts w:hint="eastAsia" w:ascii="宋体" w:hAnsi="宋体" w:cs="宋体"/>
          <w:bCs/>
          <w:color w:val="auto"/>
          <w:kern w:val="0"/>
          <w:sz w:val="24"/>
          <w:highlight w:val="none"/>
        </w:rPr>
        <w:t>中标人应按采购人的书面指示及交底或施工方案，组织工、料、机开展路面维修技术试验段施工工作，并按采购人指示对试验段或试验部位进行跟踪观察、动态检测，及时向采购人报告观察情况。</w:t>
      </w:r>
    </w:p>
    <w:p w14:paraId="6BB6DDD5">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5.2</w:t>
      </w:r>
      <w:r>
        <w:rPr>
          <w:rFonts w:hint="eastAsia" w:ascii="宋体" w:hAnsi="宋体" w:cs="宋体"/>
          <w:bCs/>
          <w:color w:val="auto"/>
          <w:kern w:val="0"/>
          <w:sz w:val="24"/>
          <w:highlight w:val="none"/>
        </w:rPr>
        <w:t>路面维修技术试验成果由中标人和采购人共享，采购人使用试验成果用于无收益的交流、推广、发表等工作，不向中标人提前通报、征求同意或支付费用。采购人使用试验成果用于有收益的活动，应将收益的</w:t>
      </w:r>
      <w:r>
        <w:rPr>
          <w:rFonts w:ascii="宋体" w:hAnsi="宋体" w:cs="宋体"/>
          <w:bCs/>
          <w:color w:val="auto"/>
          <w:kern w:val="0"/>
          <w:sz w:val="24"/>
          <w:highlight w:val="none"/>
        </w:rPr>
        <w:t>30%</w:t>
      </w:r>
      <w:r>
        <w:rPr>
          <w:rFonts w:hint="eastAsia" w:ascii="宋体" w:hAnsi="宋体" w:cs="宋体"/>
          <w:bCs/>
          <w:color w:val="auto"/>
          <w:kern w:val="0"/>
          <w:sz w:val="24"/>
          <w:highlight w:val="none"/>
        </w:rPr>
        <w:t>拨付给中标人。</w:t>
      </w:r>
    </w:p>
    <w:p w14:paraId="5507CD5F">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5.3</w:t>
      </w:r>
      <w:r>
        <w:rPr>
          <w:rFonts w:hint="eastAsia" w:ascii="宋体" w:hAnsi="宋体" w:cs="宋体"/>
          <w:bCs/>
          <w:color w:val="auto"/>
          <w:kern w:val="0"/>
          <w:sz w:val="24"/>
          <w:highlight w:val="none"/>
        </w:rPr>
        <w:t>非采购人指示，中标人自行开展并承担费用的应用新材料、新工艺开展路面维修技术试验工作须征得采购人同意。</w:t>
      </w:r>
    </w:p>
    <w:p w14:paraId="5F267D11">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6.</w:t>
      </w:r>
      <w:r>
        <w:rPr>
          <w:rFonts w:hint="eastAsia" w:ascii="宋体" w:hAnsi="宋体" w:cs="宋体"/>
          <w:bCs/>
          <w:color w:val="auto"/>
          <w:kern w:val="0"/>
          <w:sz w:val="24"/>
          <w:highlight w:val="none"/>
        </w:rPr>
        <w:t>非中标人原因导致合同变更</w:t>
      </w:r>
    </w:p>
    <w:p w14:paraId="2E0B0230">
      <w:pPr>
        <w:widowControl/>
        <w:adjustRightInd w:val="0"/>
        <w:snapToGrid w:val="0"/>
        <w:spacing w:line="360" w:lineRule="auto"/>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6.1</w:t>
      </w:r>
      <w:r>
        <w:rPr>
          <w:rFonts w:hint="eastAsia" w:ascii="宋体" w:hAnsi="宋体" w:cs="宋体"/>
          <w:bCs/>
          <w:color w:val="auto"/>
          <w:kern w:val="0"/>
          <w:sz w:val="24"/>
          <w:highlight w:val="none"/>
        </w:rPr>
        <w:t>在本服务项目履约期间，可能会发生因农村公路建设、采购人机构改革、道路管理权责变更等原因，导致原服务合同履行条件、服务范围和主要内容等发生重大变化，双方同意按以下原则进行合同变更、中止合同或提前解除合同。</w:t>
      </w:r>
    </w:p>
    <w:p w14:paraId="33990B21">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6.1.1</w:t>
      </w:r>
      <w:r>
        <w:rPr>
          <w:rFonts w:hint="eastAsia" w:ascii="宋体" w:hAnsi="宋体" w:cs="宋体"/>
          <w:bCs/>
          <w:color w:val="auto"/>
          <w:kern w:val="0"/>
          <w:sz w:val="24"/>
          <w:highlight w:val="none"/>
        </w:rPr>
        <w:t>因道路管理权责变更导致采购人需要把采购人权利和义务移交给第三方的，由采购人组织中标人和第三方共同协商，签署三方协议，由第三方继承采购人权利和义务。三方协商无法达成一致的，由采购人和中标人协商，按</w:t>
      </w:r>
      <w:r>
        <w:rPr>
          <w:rFonts w:ascii="宋体" w:hAnsi="宋体" w:cs="宋体"/>
          <w:bCs/>
          <w:color w:val="auto"/>
          <w:kern w:val="0"/>
          <w:sz w:val="24"/>
          <w:highlight w:val="none"/>
        </w:rPr>
        <w:t>6.1.3</w:t>
      </w:r>
      <w:r>
        <w:rPr>
          <w:rFonts w:hint="eastAsia" w:ascii="宋体" w:hAnsi="宋体" w:cs="宋体"/>
          <w:bCs/>
          <w:color w:val="auto"/>
          <w:kern w:val="0"/>
          <w:sz w:val="24"/>
          <w:highlight w:val="none"/>
        </w:rPr>
        <w:t>款处理原则提前解除合同。</w:t>
      </w:r>
    </w:p>
    <w:p w14:paraId="6D3ED5FC">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6.1.2</w:t>
      </w:r>
      <w:r>
        <w:rPr>
          <w:rFonts w:hint="eastAsia" w:ascii="宋体" w:hAnsi="宋体" w:cs="宋体"/>
          <w:bCs/>
          <w:color w:val="auto"/>
          <w:kern w:val="0"/>
          <w:sz w:val="24"/>
          <w:highlight w:val="none"/>
        </w:rPr>
        <w:t>因招标项目履约条件发生重大变化、增加中标人安全生产风险、增加或减少中标人义务的，由采购人与中标人协商，签署补充协议，重新明确双方权利和义务、安全生产风险划分原则、服务范围和内容及质量要求、检查考评及计量支付方式、服务费用变更等问题。双方无法协商无法达成一致的，按</w:t>
      </w:r>
      <w:r>
        <w:rPr>
          <w:rFonts w:ascii="宋体" w:hAnsi="宋体" w:cs="宋体"/>
          <w:bCs/>
          <w:color w:val="auto"/>
          <w:kern w:val="0"/>
          <w:sz w:val="24"/>
          <w:highlight w:val="none"/>
        </w:rPr>
        <w:t>6.1.3</w:t>
      </w:r>
      <w:r>
        <w:rPr>
          <w:rFonts w:hint="eastAsia" w:ascii="宋体" w:hAnsi="宋体" w:cs="宋体"/>
          <w:bCs/>
          <w:color w:val="auto"/>
          <w:kern w:val="0"/>
          <w:sz w:val="24"/>
          <w:highlight w:val="none"/>
        </w:rPr>
        <w:t>处理原则提前解除合同。</w:t>
      </w:r>
    </w:p>
    <w:p w14:paraId="65C54554">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6.1.3</w:t>
      </w:r>
      <w:r>
        <w:rPr>
          <w:rFonts w:hint="eastAsia" w:ascii="宋体" w:hAnsi="宋体" w:cs="宋体"/>
          <w:bCs/>
          <w:color w:val="auto"/>
          <w:kern w:val="0"/>
          <w:sz w:val="24"/>
          <w:highlight w:val="none"/>
        </w:rPr>
        <w:t>采购人失去道路管理养护权，导致无法履行采购人义务的，符合提前解除合同条件的，中标人应同意提前解除合同。双方签署提前解除合同的协议，采购人应与中标人对已经完成的服务进行计量结算，一次性结清服务费用。</w:t>
      </w:r>
    </w:p>
    <w:p w14:paraId="44B2F7E6">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6.2</w:t>
      </w:r>
      <w:r>
        <w:rPr>
          <w:rFonts w:hint="eastAsia" w:ascii="宋体" w:hAnsi="宋体" w:cs="宋体"/>
          <w:bCs/>
          <w:color w:val="auto"/>
          <w:kern w:val="0"/>
          <w:sz w:val="24"/>
          <w:highlight w:val="none"/>
        </w:rPr>
        <w:t>因不可抗力事件如桥涵塌毁、交通中断等及政府相关部门另指派单位暂时介入该项目管理养护，导致服务工作暂时中止的，采购人应书面通知中标人暂停服务。不可抗力事件过后需要恢复服务的，采购人应书面通知中标人恢复服务，并相应延顺服务期。不可抗力事件过后不需要恢复服务的，按</w:t>
      </w:r>
      <w:r>
        <w:rPr>
          <w:rFonts w:ascii="宋体" w:hAnsi="宋体" w:cs="宋体"/>
          <w:bCs/>
          <w:color w:val="auto"/>
          <w:kern w:val="0"/>
          <w:sz w:val="24"/>
          <w:highlight w:val="none"/>
        </w:rPr>
        <w:t>6.1.3</w:t>
      </w:r>
      <w:r>
        <w:rPr>
          <w:rFonts w:hint="eastAsia" w:ascii="宋体" w:hAnsi="宋体" w:cs="宋体"/>
          <w:bCs/>
          <w:color w:val="auto"/>
          <w:kern w:val="0"/>
          <w:sz w:val="24"/>
          <w:highlight w:val="none"/>
        </w:rPr>
        <w:t>款规定，由双方签署提前解除合同的协议，并赔偿中标人损失，解除合同日期从采购人通知暂停服务日期起计。服务中止时间不超过</w:t>
      </w:r>
      <w:r>
        <w:rPr>
          <w:rFonts w:ascii="宋体" w:hAnsi="宋体" w:cs="宋体"/>
          <w:bCs/>
          <w:color w:val="auto"/>
          <w:kern w:val="0"/>
          <w:sz w:val="24"/>
          <w:highlight w:val="none"/>
        </w:rPr>
        <w:t>2</w:t>
      </w:r>
      <w:r>
        <w:rPr>
          <w:rFonts w:hint="eastAsia" w:ascii="宋体" w:hAnsi="宋体" w:cs="宋体"/>
          <w:bCs/>
          <w:color w:val="auto"/>
          <w:kern w:val="0"/>
          <w:sz w:val="24"/>
          <w:highlight w:val="none"/>
        </w:rPr>
        <w:t>个月，如超过的，双方应按</w:t>
      </w:r>
      <w:r>
        <w:rPr>
          <w:rFonts w:ascii="宋体" w:hAnsi="宋体" w:cs="宋体"/>
          <w:bCs/>
          <w:color w:val="auto"/>
          <w:kern w:val="0"/>
          <w:sz w:val="24"/>
          <w:highlight w:val="none"/>
        </w:rPr>
        <w:t>6.1.3</w:t>
      </w:r>
      <w:r>
        <w:rPr>
          <w:rFonts w:hint="eastAsia" w:ascii="宋体" w:hAnsi="宋体" w:cs="宋体"/>
          <w:bCs/>
          <w:color w:val="auto"/>
          <w:kern w:val="0"/>
          <w:sz w:val="24"/>
          <w:highlight w:val="none"/>
        </w:rPr>
        <w:t>规定提前解除合同。</w:t>
      </w:r>
    </w:p>
    <w:p w14:paraId="38049995">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7.</w:t>
      </w:r>
      <w:r>
        <w:rPr>
          <w:rFonts w:hint="eastAsia" w:ascii="宋体" w:hAnsi="宋体" w:cs="宋体"/>
          <w:bCs/>
          <w:color w:val="auto"/>
          <w:kern w:val="0"/>
          <w:sz w:val="24"/>
          <w:highlight w:val="none"/>
        </w:rPr>
        <w:t>北海创建文明城市活动及其他大型活动、节假日期间提高服务质量</w:t>
      </w:r>
    </w:p>
    <w:p w14:paraId="7B5D983E">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7.1</w:t>
      </w:r>
      <w:r>
        <w:rPr>
          <w:rFonts w:hint="eastAsia" w:ascii="宋体" w:hAnsi="宋体" w:cs="宋体"/>
          <w:bCs/>
          <w:color w:val="auto"/>
          <w:kern w:val="0"/>
          <w:sz w:val="24"/>
          <w:highlight w:val="none"/>
        </w:rPr>
        <w:t>服务期内，因北海创建文明城市活动及举办如自行车世界巡回赛等大型活动、节假日期间，采购人根据上级部门要求，指示中标人在合同规定的服务范围和服务内容内提高服务质量、安排专人巡查值守等，中标人不得拒绝，并承担因此发生的费用。</w:t>
      </w:r>
    </w:p>
    <w:p w14:paraId="7F22A11B">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7.2</w:t>
      </w:r>
      <w:r>
        <w:rPr>
          <w:rFonts w:hint="eastAsia" w:ascii="宋体" w:hAnsi="宋体" w:cs="宋体"/>
          <w:bCs/>
          <w:color w:val="auto"/>
          <w:kern w:val="0"/>
          <w:sz w:val="24"/>
          <w:highlight w:val="none"/>
        </w:rPr>
        <w:t>服务期内，因采购人需要，指示中标人提供超出合同规定的服务范围和服务内容的服务，原则上按第</w:t>
      </w:r>
      <w:r>
        <w:rPr>
          <w:rFonts w:ascii="宋体" w:hAnsi="宋体" w:cs="宋体"/>
          <w:bCs/>
          <w:color w:val="auto"/>
          <w:kern w:val="0"/>
          <w:sz w:val="24"/>
          <w:highlight w:val="none"/>
        </w:rPr>
        <w:t>12</w:t>
      </w:r>
      <w:r>
        <w:rPr>
          <w:rFonts w:hint="eastAsia" w:ascii="宋体" w:hAnsi="宋体" w:cs="宋体"/>
          <w:bCs/>
          <w:color w:val="auto"/>
          <w:kern w:val="0"/>
          <w:sz w:val="24"/>
          <w:highlight w:val="none"/>
        </w:rPr>
        <w:t>条相关规定计量支付中标人费用。</w:t>
      </w:r>
    </w:p>
    <w:p w14:paraId="4CE4E9E9">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8.</w:t>
      </w:r>
      <w:r>
        <w:rPr>
          <w:rFonts w:hint="eastAsia" w:ascii="宋体" w:hAnsi="宋体" w:cs="宋体"/>
          <w:bCs/>
          <w:color w:val="auto"/>
          <w:kern w:val="0"/>
          <w:sz w:val="24"/>
          <w:highlight w:val="none"/>
        </w:rPr>
        <w:t>农民工工资检查和监管</w:t>
      </w:r>
    </w:p>
    <w:p w14:paraId="23147671">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8.1</w:t>
      </w:r>
      <w:r>
        <w:rPr>
          <w:rFonts w:hint="eastAsia" w:ascii="宋体" w:hAnsi="宋体" w:cs="宋体"/>
          <w:bCs/>
          <w:color w:val="auto"/>
          <w:kern w:val="0"/>
          <w:sz w:val="24"/>
          <w:highlight w:val="none"/>
        </w:rPr>
        <w:t>中标人在第一期申请计量支付服务费用前，应按项目需求的要求，在北海本地设置或项目部，委托授权项目经理，提供本地化服务以提高工作效率和及时应对突发事件处置。为了便于采购人对农民工工资检查和监管，中标人应对农民工工资实行专户管理，每月报送农民工资发放银行对账单等资料。</w:t>
      </w:r>
    </w:p>
    <w:p w14:paraId="18CE21CD">
      <w:pPr>
        <w:widowControl/>
        <w:adjustRightInd w:val="0"/>
        <w:snapToGrid w:val="0"/>
        <w:spacing w:line="400" w:lineRule="exact"/>
        <w:ind w:firstLine="480" w:firstLineChars="200"/>
        <w:jc w:val="left"/>
        <w:rPr>
          <w:rFonts w:ascii="宋体" w:cs="宋体"/>
          <w:color w:val="auto"/>
          <w:kern w:val="0"/>
          <w:sz w:val="24"/>
          <w:highlight w:val="none"/>
        </w:rPr>
      </w:pPr>
      <w:r>
        <w:rPr>
          <w:rFonts w:ascii="宋体" w:hAnsi="宋体" w:cs="宋体"/>
          <w:bCs/>
          <w:color w:val="auto"/>
          <w:kern w:val="0"/>
          <w:sz w:val="24"/>
          <w:highlight w:val="none"/>
        </w:rPr>
        <w:t>8.</w:t>
      </w:r>
      <w:r>
        <w:rPr>
          <w:rFonts w:hint="eastAsia" w:ascii="宋体" w:hAnsi="宋体" w:cs="宋体"/>
          <w:bCs/>
          <w:color w:val="auto"/>
          <w:kern w:val="0"/>
          <w:sz w:val="24"/>
          <w:highlight w:val="none"/>
        </w:rPr>
        <w:t>2</w:t>
      </w:r>
      <w:r>
        <w:rPr>
          <w:rFonts w:hint="eastAsia" w:ascii="宋体" w:hAnsi="宋体" w:cs="宋体"/>
          <w:color w:val="auto"/>
          <w:kern w:val="0"/>
          <w:sz w:val="24"/>
          <w:highlight w:val="none"/>
        </w:rPr>
        <w:t>签订劳动合同的农民工工资不得低于合浦最低工资标准。为了</w:t>
      </w:r>
      <w:r>
        <w:rPr>
          <w:rFonts w:hint="eastAsia" w:ascii="宋体" w:hAnsi="宋体" w:cs="宋体"/>
          <w:color w:val="auto"/>
          <w:kern w:val="0"/>
          <w:sz w:val="24"/>
          <w:highlight w:val="none"/>
        </w:rPr>
        <w:t>完成应急突击任务、路面维修等工作而临时雇请农民工工资（每人当期工资额少于</w:t>
      </w:r>
      <w:r>
        <w:rPr>
          <w:rFonts w:ascii="宋体" w:hAnsi="宋体" w:cs="宋体"/>
          <w:color w:val="auto"/>
          <w:kern w:val="0"/>
          <w:sz w:val="24"/>
          <w:highlight w:val="none"/>
        </w:rPr>
        <w:t>3000</w:t>
      </w:r>
      <w:r>
        <w:rPr>
          <w:rFonts w:hint="eastAsia" w:ascii="宋体" w:hAnsi="宋体" w:cs="宋体"/>
          <w:color w:val="auto"/>
          <w:kern w:val="0"/>
          <w:sz w:val="24"/>
          <w:highlight w:val="none"/>
        </w:rPr>
        <w:t>元）可以采用现金方式发放，但必须有农民工签字盖指模的工资签领表和身份证复印件，且农民工签领工资证明照片、视频同步存档。</w:t>
      </w:r>
    </w:p>
    <w:p w14:paraId="5219044E">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8.3</w:t>
      </w:r>
      <w:r>
        <w:rPr>
          <w:rFonts w:hint="eastAsia" w:ascii="宋体" w:hAnsi="宋体" w:cs="宋体"/>
          <w:color w:val="auto"/>
          <w:kern w:val="0"/>
          <w:sz w:val="24"/>
          <w:highlight w:val="none"/>
        </w:rPr>
        <w:t>采购人不定期抽查中标人的农民工工资发放情况，包括发放方式、发放额度、发放时间、社会保险缴纳等是否符合劳动合同约定，是否存在拖欠农民工工资情况、是否存在不合理克扣农民工资情况等，如果发现存在前述问题，采购人视情况轻重程度，对中标人采取扣罚服务费、直接代扣代发（补）农民工工资、举报到相关部门、指示清退项目经理、解除合同等处置措施。</w:t>
      </w:r>
    </w:p>
    <w:p w14:paraId="30A41B1E">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color w:val="auto"/>
          <w:kern w:val="0"/>
          <w:sz w:val="24"/>
          <w:highlight w:val="none"/>
        </w:rPr>
        <w:t>8.4</w:t>
      </w:r>
      <w:r>
        <w:rPr>
          <w:rFonts w:hint="eastAsia" w:ascii="宋体" w:hAnsi="宋体" w:cs="宋体"/>
          <w:bCs/>
          <w:color w:val="auto"/>
          <w:kern w:val="0"/>
          <w:sz w:val="24"/>
          <w:highlight w:val="none"/>
        </w:rPr>
        <w:t>根据《广西壮族自治区人民政府办公厅关于印发进一步加快全区就业扶贫车间建设工作实施方案的通知》（桂政办发</w:t>
      </w:r>
      <w:r>
        <w:rPr>
          <w:rFonts w:ascii="宋体" w:hAnsi="宋体" w:cs="宋体"/>
          <w:bCs/>
          <w:color w:val="auto"/>
          <w:kern w:val="0"/>
          <w:sz w:val="24"/>
          <w:highlight w:val="none"/>
        </w:rPr>
        <w:t>[2018]149</w:t>
      </w:r>
      <w:r>
        <w:rPr>
          <w:rFonts w:hint="eastAsia" w:ascii="宋体" w:hAnsi="宋体" w:cs="宋体"/>
          <w:bCs/>
          <w:color w:val="auto"/>
          <w:kern w:val="0"/>
          <w:sz w:val="24"/>
          <w:highlight w:val="none"/>
        </w:rPr>
        <w:t>号）文件及自治区交通运输厅鼓励吸纳贫困人口参与农村公路建设和护路项目的精神，中标人在条件许可及人员条件符合的前提下，尽量聘请道路沿线周边贫困群众参与本项目服务工作。</w:t>
      </w:r>
    </w:p>
    <w:p w14:paraId="25259B78">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9.</w:t>
      </w:r>
      <w:r>
        <w:rPr>
          <w:rFonts w:hint="eastAsia" w:ascii="宋体" w:hAnsi="宋体" w:cs="宋体"/>
          <w:bCs/>
          <w:color w:val="auto"/>
          <w:kern w:val="0"/>
          <w:sz w:val="24"/>
          <w:highlight w:val="none"/>
        </w:rPr>
        <w:t>应对路上突发事件</w:t>
      </w:r>
    </w:p>
    <w:p w14:paraId="7AAC98BE">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9.1</w:t>
      </w:r>
      <w:r>
        <w:rPr>
          <w:rFonts w:hint="eastAsia" w:ascii="宋体" w:hAnsi="宋体" w:cs="宋体"/>
          <w:bCs/>
          <w:color w:val="auto"/>
          <w:kern w:val="0"/>
          <w:sz w:val="24"/>
          <w:highlight w:val="none"/>
        </w:rPr>
        <w:t>中标人发现路上存在交通事故现场残渣残骸遗留、油料污染路面、砂石和白泥撒漏、路树倒伏等影响交通安全的情况，应及时主动清理，避免引发交通事故和次生事故。</w:t>
      </w:r>
    </w:p>
    <w:p w14:paraId="594F2799">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9.2</w:t>
      </w:r>
      <w:r>
        <w:rPr>
          <w:rFonts w:hint="eastAsia" w:ascii="宋体" w:hAnsi="宋体" w:cs="宋体"/>
          <w:bCs/>
          <w:color w:val="auto"/>
          <w:kern w:val="0"/>
          <w:sz w:val="24"/>
          <w:highlight w:val="none"/>
        </w:rPr>
        <w:t>中标人发现路上发生交通事故而相关部门未到达处置时，应主动提供帮助，用施工标志和锥标等围挡事故现场，保护事故现场，避免发生事故人员再次伤害，必要时，应安排人指挥和疏导交通，事故处理完毕后，应及时主动清理现场残渣残骸和油料等。</w:t>
      </w:r>
    </w:p>
    <w:p w14:paraId="493D07ED">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9.3</w:t>
      </w:r>
      <w:r>
        <w:rPr>
          <w:rFonts w:hint="eastAsia" w:ascii="宋体" w:hAnsi="宋体" w:cs="宋体"/>
          <w:bCs/>
          <w:color w:val="auto"/>
          <w:kern w:val="0"/>
          <w:sz w:val="24"/>
          <w:highlight w:val="none"/>
        </w:rPr>
        <w:t>中标人应对上述路上突发事件，视为合同范围内的应尽义务，以及养护工人发扬公德精神，中标人不应向采购人提出任何费用要求、误工、窝工、加班的物质补偿及减少当期应完成工作量等要求。</w:t>
      </w:r>
    </w:p>
    <w:p w14:paraId="12A34867">
      <w:pPr>
        <w:widowControl/>
        <w:adjustRightInd w:val="0"/>
        <w:snapToGrid w:val="0"/>
        <w:spacing w:line="400" w:lineRule="exact"/>
        <w:ind w:firstLine="480"/>
        <w:jc w:val="left"/>
        <w:rPr>
          <w:rFonts w:ascii="宋体" w:cs="宋体"/>
          <w:bCs/>
          <w:color w:val="auto"/>
          <w:kern w:val="0"/>
          <w:sz w:val="24"/>
          <w:highlight w:val="none"/>
        </w:rPr>
      </w:pPr>
      <w:r>
        <w:rPr>
          <w:rFonts w:ascii="宋体" w:hAnsi="宋体" w:cs="宋体"/>
          <w:bCs/>
          <w:color w:val="auto"/>
          <w:kern w:val="0"/>
          <w:sz w:val="24"/>
          <w:highlight w:val="none"/>
        </w:rPr>
        <w:t>10.</w:t>
      </w:r>
      <w:r>
        <w:rPr>
          <w:rFonts w:hint="eastAsia" w:ascii="宋体" w:hAnsi="宋体" w:cs="宋体"/>
          <w:bCs/>
          <w:color w:val="auto"/>
          <w:kern w:val="0"/>
          <w:sz w:val="24"/>
          <w:highlight w:val="none"/>
        </w:rPr>
        <w:t>抗台抗汛抢险、抢通和维护</w:t>
      </w:r>
    </w:p>
    <w:p w14:paraId="2A14CE2C">
      <w:pPr>
        <w:widowControl/>
        <w:adjustRightInd w:val="0"/>
        <w:snapToGrid w:val="0"/>
        <w:spacing w:line="400" w:lineRule="exact"/>
        <w:ind w:firstLine="480"/>
        <w:jc w:val="left"/>
        <w:rPr>
          <w:rFonts w:ascii="宋体" w:cs="宋体"/>
          <w:bCs/>
          <w:color w:val="auto"/>
          <w:kern w:val="0"/>
          <w:sz w:val="24"/>
          <w:highlight w:val="none"/>
        </w:rPr>
      </w:pPr>
      <w:r>
        <w:rPr>
          <w:rFonts w:ascii="宋体" w:hAnsi="宋体" w:cs="宋体"/>
          <w:bCs/>
          <w:color w:val="auto"/>
          <w:kern w:val="0"/>
          <w:sz w:val="24"/>
          <w:highlight w:val="none"/>
        </w:rPr>
        <w:t>10.1</w:t>
      </w:r>
      <w:r>
        <w:rPr>
          <w:rFonts w:hint="eastAsia" w:ascii="宋体" w:hAnsi="宋体" w:cs="宋体"/>
          <w:bCs/>
          <w:color w:val="auto"/>
          <w:kern w:val="0"/>
          <w:sz w:val="24"/>
          <w:highlight w:val="none"/>
        </w:rPr>
        <w:t>中标人根据采购人指示组织和参与抗台抗汛值班、巡守、抢险等工作（包括但不限定于本项目范围），视为中标人应尽的合同义务，中标人不得以任何理由拒绝，除非存在采购人指示明显存在违章指挥或强令冒险作业的情况。中标人因此额外发生抢险工、料、机费用，由采购人按第</w:t>
      </w:r>
      <w:r>
        <w:rPr>
          <w:rFonts w:ascii="宋体" w:hAnsi="宋体" w:cs="宋体"/>
          <w:bCs/>
          <w:color w:val="auto"/>
          <w:kern w:val="0"/>
          <w:sz w:val="24"/>
          <w:highlight w:val="none"/>
        </w:rPr>
        <w:t>12</w:t>
      </w:r>
      <w:r>
        <w:rPr>
          <w:rFonts w:hint="eastAsia" w:ascii="宋体" w:hAnsi="宋体" w:cs="宋体"/>
          <w:bCs/>
          <w:color w:val="auto"/>
          <w:kern w:val="0"/>
          <w:sz w:val="24"/>
          <w:highlight w:val="none"/>
        </w:rPr>
        <w:t>条约定计量支付。中标人值班、巡守费用自行负责。</w:t>
      </w:r>
    </w:p>
    <w:p w14:paraId="6FBEA7AC">
      <w:pPr>
        <w:widowControl/>
        <w:adjustRightInd w:val="0"/>
        <w:snapToGrid w:val="0"/>
        <w:spacing w:line="400" w:lineRule="exact"/>
        <w:ind w:firstLine="480"/>
        <w:jc w:val="left"/>
        <w:rPr>
          <w:rFonts w:ascii="宋体" w:cs="宋体"/>
          <w:bCs/>
          <w:color w:val="auto"/>
          <w:kern w:val="0"/>
          <w:sz w:val="24"/>
          <w:highlight w:val="none"/>
        </w:rPr>
      </w:pPr>
      <w:r>
        <w:rPr>
          <w:rFonts w:ascii="宋体" w:hAnsi="宋体" w:cs="宋体"/>
          <w:bCs/>
          <w:color w:val="auto"/>
          <w:kern w:val="0"/>
          <w:sz w:val="24"/>
          <w:highlight w:val="none"/>
        </w:rPr>
        <w:t>10.2</w:t>
      </w:r>
      <w:r>
        <w:rPr>
          <w:rFonts w:hint="eastAsia" w:ascii="宋体" w:hAnsi="宋体" w:cs="宋体"/>
          <w:bCs/>
          <w:color w:val="auto"/>
          <w:kern w:val="0"/>
          <w:sz w:val="24"/>
          <w:highlight w:val="none"/>
        </w:rPr>
        <w:t>中标人根据采购人指示组织和参与交通战备抢通和维护工作（包括但不限定于本项目范围），视为中标人应尽的合同义务，中标人不得以任何理由拒绝。中标人因此额外发生的抢通和维护工、料、机费用，由采购人按第</w:t>
      </w:r>
      <w:r>
        <w:rPr>
          <w:rFonts w:ascii="宋体" w:hAnsi="宋体" w:cs="宋体"/>
          <w:bCs/>
          <w:color w:val="auto"/>
          <w:kern w:val="0"/>
          <w:sz w:val="24"/>
          <w:highlight w:val="none"/>
        </w:rPr>
        <w:t>12</w:t>
      </w:r>
      <w:r>
        <w:rPr>
          <w:rFonts w:hint="eastAsia" w:ascii="宋体" w:hAnsi="宋体" w:cs="宋体"/>
          <w:bCs/>
          <w:color w:val="auto"/>
          <w:kern w:val="0"/>
          <w:sz w:val="24"/>
          <w:highlight w:val="none"/>
        </w:rPr>
        <w:t>条约定计量支付。</w:t>
      </w:r>
    </w:p>
    <w:p w14:paraId="18430153">
      <w:pPr>
        <w:widowControl/>
        <w:adjustRightInd w:val="0"/>
        <w:snapToGrid w:val="0"/>
        <w:spacing w:line="400" w:lineRule="exact"/>
        <w:ind w:firstLine="480"/>
        <w:jc w:val="left"/>
        <w:rPr>
          <w:rFonts w:ascii="宋体" w:cs="宋体"/>
          <w:bCs/>
          <w:color w:val="auto"/>
          <w:kern w:val="0"/>
          <w:sz w:val="24"/>
          <w:highlight w:val="none"/>
        </w:rPr>
      </w:pPr>
      <w:r>
        <w:rPr>
          <w:rFonts w:ascii="宋体" w:hAnsi="宋体" w:cs="宋体"/>
          <w:bCs/>
          <w:color w:val="auto"/>
          <w:kern w:val="0"/>
          <w:sz w:val="24"/>
          <w:highlight w:val="none"/>
        </w:rPr>
        <w:t>10.3</w:t>
      </w:r>
      <w:r>
        <w:rPr>
          <w:rFonts w:hint="eastAsia" w:ascii="宋体" w:hAnsi="宋体" w:cs="宋体"/>
          <w:bCs/>
          <w:color w:val="auto"/>
          <w:kern w:val="0"/>
          <w:sz w:val="24"/>
          <w:highlight w:val="none"/>
        </w:rPr>
        <w:t>中标人根据采购人指示组织和参与水毁抢通等应急预案演练工作（包括但不限定于本项目范围），视为中标人应尽的合同义务，中标人不得以任何理由拒绝。中标人因此额外发生的抢通和维护工、料、机费用，由采购人按第</w:t>
      </w:r>
      <w:r>
        <w:rPr>
          <w:rFonts w:ascii="宋体" w:hAnsi="宋体" w:cs="宋体"/>
          <w:bCs/>
          <w:color w:val="auto"/>
          <w:kern w:val="0"/>
          <w:sz w:val="24"/>
          <w:highlight w:val="none"/>
        </w:rPr>
        <w:t>12</w:t>
      </w:r>
      <w:r>
        <w:rPr>
          <w:rFonts w:hint="eastAsia" w:ascii="宋体" w:hAnsi="宋体" w:cs="宋体"/>
          <w:bCs/>
          <w:color w:val="auto"/>
          <w:kern w:val="0"/>
          <w:sz w:val="24"/>
          <w:highlight w:val="none"/>
        </w:rPr>
        <w:t>条约定计量支付。</w:t>
      </w:r>
    </w:p>
    <w:p w14:paraId="0099915B">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11.</w:t>
      </w:r>
      <w:r>
        <w:rPr>
          <w:rFonts w:hint="eastAsia" w:ascii="宋体" w:hAnsi="宋体" w:cs="宋体"/>
          <w:bCs/>
          <w:color w:val="auto"/>
          <w:kern w:val="0"/>
          <w:sz w:val="24"/>
          <w:highlight w:val="none"/>
        </w:rPr>
        <w:t>日常保养、维修专项费计量支付</w:t>
      </w:r>
    </w:p>
    <w:p w14:paraId="53E2B0AA">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11.1</w:t>
      </w:r>
      <w:r>
        <w:rPr>
          <w:rFonts w:hint="eastAsia" w:ascii="宋体" w:hAnsi="宋体" w:cs="宋体"/>
          <w:bCs/>
          <w:color w:val="auto"/>
          <w:kern w:val="0"/>
          <w:sz w:val="24"/>
          <w:highlight w:val="none"/>
        </w:rPr>
        <w:t>日常保养、维修专项费在服务期内计划安排集中开展，施工前采购人将向中标人书面下达维修方案及工作指示，明确维修范围、维修工程量、维修工艺、质量指标、维修时间等要求。</w:t>
      </w:r>
    </w:p>
    <w:p w14:paraId="5CDE900B">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11.2</w:t>
      </w:r>
      <w:r>
        <w:rPr>
          <w:rFonts w:hint="eastAsia" w:ascii="宋体" w:hAnsi="宋体" w:cs="宋体"/>
          <w:bCs/>
          <w:color w:val="auto"/>
          <w:kern w:val="0"/>
          <w:sz w:val="24"/>
          <w:highlight w:val="none"/>
        </w:rPr>
        <w:t>中标人应根据采购人指示，认真组织维修所需的工、料、机开展路面集中维修工作，并在维修过程中无条件服从采购人现场指挥和安排，严格按相关施工技术规范的技术要求施工操作，确保维修质量。</w:t>
      </w:r>
    </w:p>
    <w:p w14:paraId="4BF30628">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11.3</w:t>
      </w:r>
      <w:r>
        <w:rPr>
          <w:rFonts w:hint="eastAsia" w:ascii="宋体" w:hAnsi="宋体" w:cs="宋体"/>
          <w:bCs/>
          <w:color w:val="auto"/>
          <w:kern w:val="0"/>
          <w:sz w:val="24"/>
          <w:highlight w:val="none"/>
        </w:rPr>
        <w:t>中标人应根据采购人指示及现场口头交底要求，在维修路段及部位设置作业控制区，安排专人负责指挥疏通过往车辆交通。中标人应为临时雇请农民工购买人身意外险。</w:t>
      </w:r>
    </w:p>
    <w:p w14:paraId="188B9F7F">
      <w:pPr>
        <w:widowControl/>
        <w:adjustRightInd w:val="0"/>
        <w:snapToGrid w:val="0"/>
        <w:spacing w:line="400" w:lineRule="exact"/>
        <w:ind w:firstLine="480" w:firstLineChars="200"/>
        <w:jc w:val="left"/>
        <w:rPr>
          <w:rFonts w:ascii="宋体" w:cs="宋体"/>
          <w:bCs/>
          <w:color w:val="auto"/>
          <w:kern w:val="0"/>
          <w:sz w:val="24"/>
          <w:highlight w:val="none"/>
        </w:rPr>
      </w:pPr>
      <w:r>
        <w:rPr>
          <w:rFonts w:ascii="宋体" w:hAnsi="宋体" w:cs="宋体"/>
          <w:bCs/>
          <w:color w:val="auto"/>
          <w:kern w:val="0"/>
          <w:sz w:val="24"/>
          <w:highlight w:val="none"/>
        </w:rPr>
        <w:t>11.4</w:t>
      </w:r>
      <w:r>
        <w:rPr>
          <w:rFonts w:hint="eastAsia" w:ascii="宋体" w:hAnsi="宋体" w:cs="宋体"/>
          <w:bCs/>
          <w:color w:val="auto"/>
          <w:kern w:val="0"/>
          <w:sz w:val="24"/>
          <w:highlight w:val="none"/>
        </w:rPr>
        <w:t>维修完工后</w:t>
      </w:r>
      <w:r>
        <w:rPr>
          <w:rFonts w:ascii="宋体" w:hAnsi="宋体" w:cs="宋体"/>
          <w:bCs/>
          <w:color w:val="auto"/>
          <w:kern w:val="0"/>
          <w:sz w:val="24"/>
          <w:highlight w:val="none"/>
        </w:rPr>
        <w:t>15</w:t>
      </w:r>
      <w:r>
        <w:rPr>
          <w:rFonts w:hint="eastAsia" w:ascii="宋体" w:hAnsi="宋体" w:cs="宋体"/>
          <w:bCs/>
          <w:color w:val="auto"/>
          <w:kern w:val="0"/>
          <w:sz w:val="24"/>
          <w:highlight w:val="none"/>
        </w:rPr>
        <w:t>天为质量观察期，如果发生质量缺陷的，由中标人自行组织返工整治。质量观察期满，由采购人组织人员进行现场验收和工程量收方，并签发验收证书和现场收方单。中标人根据采购人签发的的验收证书和现场收方单填报计量支付报表报送采购人。采购人收到计量支付报表后</w:t>
      </w:r>
      <w:r>
        <w:rPr>
          <w:rFonts w:ascii="宋体" w:hAnsi="宋体" w:cs="宋体"/>
          <w:bCs/>
          <w:color w:val="auto"/>
          <w:kern w:val="0"/>
          <w:sz w:val="24"/>
          <w:highlight w:val="none"/>
        </w:rPr>
        <w:t>5</w:t>
      </w:r>
      <w:r>
        <w:rPr>
          <w:rFonts w:hint="eastAsia" w:ascii="宋体" w:hAnsi="宋体" w:cs="宋体"/>
          <w:bCs/>
          <w:color w:val="auto"/>
          <w:kern w:val="0"/>
          <w:sz w:val="24"/>
          <w:highlight w:val="none"/>
        </w:rPr>
        <w:t>个工作日内审核签署支付意见，在中标人提供发票后</w:t>
      </w:r>
      <w:r>
        <w:rPr>
          <w:rFonts w:ascii="宋体" w:hAnsi="宋体" w:cs="宋体"/>
          <w:bCs/>
          <w:color w:val="auto"/>
          <w:kern w:val="0"/>
          <w:sz w:val="24"/>
          <w:highlight w:val="none"/>
        </w:rPr>
        <w:t>5</w:t>
      </w:r>
      <w:r>
        <w:rPr>
          <w:rFonts w:hint="eastAsia" w:ascii="宋体" w:hAnsi="宋体" w:cs="宋体"/>
          <w:bCs/>
          <w:color w:val="auto"/>
          <w:kern w:val="0"/>
          <w:sz w:val="24"/>
          <w:highlight w:val="none"/>
        </w:rPr>
        <w:t>个工作日内一次性付清当期维修费用。</w:t>
      </w:r>
      <w:r>
        <w:rPr>
          <w:rFonts w:hint="eastAsia" w:ascii="宋体" w:hAnsi="宋体" w:cs="宋体"/>
          <w:bCs/>
          <w:color w:val="auto"/>
          <w:kern w:val="0"/>
          <w:sz w:val="24"/>
          <w:highlight w:val="none"/>
        </w:rPr>
        <w:t>但</w:t>
      </w:r>
      <w:r>
        <w:rPr>
          <w:rFonts w:hint="eastAsia" w:ascii="宋体" w:hAnsi="宋体" w:cs="宋体"/>
          <w:bCs/>
          <w:color w:val="auto"/>
          <w:kern w:val="0"/>
          <w:sz w:val="24"/>
          <w:szCs w:val="21"/>
          <w:highlight w:val="none"/>
        </w:rPr>
        <w:t>单</w:t>
      </w:r>
      <w:r>
        <w:rPr>
          <w:rFonts w:hint="eastAsia" w:ascii="宋体" w:hAnsi="宋体" w:cs="宋体"/>
          <w:bCs/>
          <w:color w:val="auto"/>
          <w:kern w:val="0"/>
          <w:sz w:val="24"/>
          <w:szCs w:val="21"/>
          <w:highlight w:val="none"/>
        </w:rPr>
        <w:t>次实施的单项小修保养及专项维护价格超过1</w:t>
      </w:r>
      <w:r>
        <w:rPr>
          <w:rFonts w:ascii="宋体" w:hAnsi="宋体" w:cs="宋体"/>
          <w:bCs/>
          <w:color w:val="auto"/>
          <w:kern w:val="0"/>
          <w:sz w:val="24"/>
          <w:szCs w:val="21"/>
          <w:highlight w:val="none"/>
        </w:rPr>
        <w:t>0</w:t>
      </w:r>
      <w:r>
        <w:rPr>
          <w:rFonts w:hint="eastAsia" w:ascii="宋体" w:hAnsi="宋体" w:cs="宋体"/>
          <w:bCs/>
          <w:color w:val="auto"/>
          <w:kern w:val="0"/>
          <w:sz w:val="24"/>
          <w:szCs w:val="21"/>
          <w:highlight w:val="none"/>
        </w:rPr>
        <w:t>万元的除外。单次实施的单项小修保养及专项维护价格超过1</w:t>
      </w:r>
      <w:r>
        <w:rPr>
          <w:rFonts w:ascii="宋体" w:hAnsi="宋体" w:cs="宋体"/>
          <w:bCs/>
          <w:color w:val="auto"/>
          <w:kern w:val="0"/>
          <w:sz w:val="24"/>
          <w:szCs w:val="21"/>
          <w:highlight w:val="none"/>
        </w:rPr>
        <w:t>0</w:t>
      </w:r>
      <w:r>
        <w:rPr>
          <w:rFonts w:hint="eastAsia" w:ascii="宋体" w:hAnsi="宋体" w:cs="宋体"/>
          <w:bCs/>
          <w:color w:val="auto"/>
          <w:kern w:val="0"/>
          <w:sz w:val="24"/>
          <w:szCs w:val="21"/>
          <w:highlight w:val="none"/>
        </w:rPr>
        <w:t>万元的，</w:t>
      </w:r>
      <w:r>
        <w:rPr>
          <w:rFonts w:hint="eastAsia" w:ascii="宋体" w:hAnsi="宋体" w:cs="宋体"/>
          <w:bCs/>
          <w:color w:val="auto"/>
          <w:kern w:val="0"/>
          <w:sz w:val="24"/>
          <w:highlight w:val="none"/>
        </w:rPr>
        <w:t>招标人收到计量支付报表后</w:t>
      </w:r>
      <w:r>
        <w:rPr>
          <w:rFonts w:ascii="宋体" w:hAnsi="宋体" w:cs="宋体"/>
          <w:bCs/>
          <w:color w:val="auto"/>
          <w:kern w:val="0"/>
          <w:sz w:val="24"/>
          <w:highlight w:val="none"/>
        </w:rPr>
        <w:t>5</w:t>
      </w:r>
      <w:r>
        <w:rPr>
          <w:rFonts w:hint="eastAsia" w:ascii="宋体" w:hAnsi="宋体" w:cs="宋体"/>
          <w:bCs/>
          <w:color w:val="auto"/>
          <w:kern w:val="0"/>
          <w:sz w:val="24"/>
          <w:highlight w:val="none"/>
        </w:rPr>
        <w:t>个工作日内审核签署支付意见，</w:t>
      </w:r>
      <w:r>
        <w:rPr>
          <w:rFonts w:hint="eastAsia" w:ascii="宋体" w:hAnsi="宋体" w:cs="宋体"/>
          <w:bCs/>
          <w:color w:val="auto"/>
          <w:kern w:val="0"/>
          <w:sz w:val="24"/>
          <w:highlight w:val="none"/>
        </w:rPr>
        <w:t>在中标人提供发票后</w:t>
      </w:r>
      <w:r>
        <w:rPr>
          <w:rFonts w:ascii="宋体" w:hAnsi="宋体" w:cs="宋体"/>
          <w:bCs/>
          <w:color w:val="auto"/>
          <w:kern w:val="0"/>
          <w:sz w:val="24"/>
          <w:highlight w:val="none"/>
        </w:rPr>
        <w:t>5</w:t>
      </w:r>
      <w:r>
        <w:rPr>
          <w:rFonts w:hint="eastAsia" w:ascii="宋体" w:hAnsi="宋体" w:cs="宋体"/>
          <w:bCs/>
          <w:color w:val="auto"/>
          <w:kern w:val="0"/>
          <w:sz w:val="24"/>
          <w:highlight w:val="none"/>
        </w:rPr>
        <w:t>个工作日内支付8</w:t>
      </w:r>
      <w:r>
        <w:rPr>
          <w:rFonts w:ascii="宋体" w:hAnsi="宋体" w:cs="宋体"/>
          <w:bCs/>
          <w:color w:val="auto"/>
          <w:kern w:val="0"/>
          <w:sz w:val="24"/>
          <w:highlight w:val="none"/>
        </w:rPr>
        <w:t>0%</w:t>
      </w:r>
      <w:r>
        <w:rPr>
          <w:rFonts w:hint="eastAsia" w:ascii="宋体" w:hAnsi="宋体" w:cs="宋体"/>
          <w:bCs/>
          <w:color w:val="auto"/>
          <w:kern w:val="0"/>
          <w:sz w:val="24"/>
          <w:highlight w:val="none"/>
        </w:rPr>
        <w:t>费用，</w:t>
      </w:r>
      <w:r>
        <w:rPr>
          <w:rFonts w:hint="eastAsia" w:ascii="宋体" w:hAnsi="宋体" w:cs="宋体"/>
          <w:bCs/>
          <w:color w:val="auto"/>
          <w:kern w:val="0"/>
          <w:sz w:val="24"/>
          <w:szCs w:val="21"/>
          <w:highlight w:val="none"/>
        </w:rPr>
        <w:t>由招标人委托第三方检测机构按规范检测合格后，</w:t>
      </w:r>
      <w:r>
        <w:rPr>
          <w:rFonts w:hint="eastAsia" w:ascii="宋体" w:hAnsi="宋体" w:cs="宋体"/>
          <w:bCs/>
          <w:color w:val="auto"/>
          <w:kern w:val="0"/>
          <w:sz w:val="24"/>
          <w:highlight w:val="none"/>
        </w:rPr>
        <w:t>在中标人提供发票后</w:t>
      </w:r>
      <w:r>
        <w:rPr>
          <w:rFonts w:ascii="宋体" w:hAnsi="宋体" w:cs="宋体"/>
          <w:bCs/>
          <w:color w:val="auto"/>
          <w:kern w:val="0"/>
          <w:sz w:val="24"/>
          <w:highlight w:val="none"/>
        </w:rPr>
        <w:t>5</w:t>
      </w:r>
      <w:r>
        <w:rPr>
          <w:rFonts w:hint="eastAsia" w:ascii="宋体" w:hAnsi="宋体" w:cs="宋体"/>
          <w:bCs/>
          <w:color w:val="auto"/>
          <w:kern w:val="0"/>
          <w:sz w:val="24"/>
          <w:highlight w:val="none"/>
        </w:rPr>
        <w:t>个工作日内支付剩下2</w:t>
      </w:r>
      <w:r>
        <w:rPr>
          <w:rFonts w:ascii="宋体" w:hAnsi="宋体" w:cs="宋体"/>
          <w:bCs/>
          <w:color w:val="auto"/>
          <w:kern w:val="0"/>
          <w:sz w:val="24"/>
          <w:highlight w:val="none"/>
        </w:rPr>
        <w:t>0%</w:t>
      </w:r>
      <w:r>
        <w:rPr>
          <w:rFonts w:hint="eastAsia" w:ascii="宋体" w:hAnsi="宋体" w:cs="宋体"/>
          <w:bCs/>
          <w:color w:val="auto"/>
          <w:kern w:val="0"/>
          <w:sz w:val="24"/>
          <w:highlight w:val="none"/>
        </w:rPr>
        <w:t>费用。</w:t>
      </w:r>
    </w:p>
    <w:p w14:paraId="6751735C">
      <w:pPr>
        <w:widowControl/>
        <w:adjustRightInd w:val="0"/>
        <w:snapToGrid w:val="0"/>
        <w:spacing w:line="40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11.5</w:t>
      </w:r>
      <w:r>
        <w:rPr>
          <w:rFonts w:hint="eastAsia" w:ascii="宋体" w:hAnsi="宋体" w:cs="宋体"/>
          <w:bCs/>
          <w:color w:val="auto"/>
          <w:kern w:val="0"/>
          <w:sz w:val="24"/>
          <w:highlight w:val="none"/>
        </w:rPr>
        <w:t>日常保养、维修专项费工作，单价包括了中标人为完成维修工作的全部人工、材料、机械、安全设施及劳动保护、保险、税金、管理费、利润等以及合同明示的中标人风险。因质量缺陷导致中标人返工整治的费用由中标人自行承担。</w:t>
      </w:r>
    </w:p>
    <w:p w14:paraId="0EB11B36">
      <w:pPr>
        <w:widowControl/>
        <w:adjustRightInd w:val="0"/>
        <w:snapToGrid w:val="0"/>
        <w:spacing w:line="400" w:lineRule="exact"/>
        <w:ind w:left="424"/>
        <w:jc w:val="left"/>
        <w:rPr>
          <w:rFonts w:ascii="宋体" w:cs="宋体"/>
          <w:bCs/>
          <w:color w:val="auto"/>
          <w:kern w:val="0"/>
          <w:sz w:val="24"/>
          <w:highlight w:val="none"/>
        </w:rPr>
      </w:pPr>
      <w:r>
        <w:rPr>
          <w:rFonts w:ascii="宋体" w:hAnsi="宋体" w:cs="宋体"/>
          <w:bCs/>
          <w:color w:val="auto"/>
          <w:kern w:val="0"/>
          <w:sz w:val="24"/>
          <w:highlight w:val="none"/>
        </w:rPr>
        <w:t>12.</w:t>
      </w:r>
      <w:r>
        <w:rPr>
          <w:rFonts w:hint="eastAsia" w:ascii="宋体" w:hAnsi="宋体" w:cs="宋体"/>
          <w:bCs/>
          <w:color w:val="auto"/>
          <w:kern w:val="0"/>
          <w:sz w:val="24"/>
          <w:highlight w:val="none"/>
        </w:rPr>
        <w:t>采购人指示使用应急工作费使用</w:t>
      </w:r>
    </w:p>
    <w:p w14:paraId="659AC2D9">
      <w:pPr>
        <w:widowControl/>
        <w:adjustRightInd w:val="0"/>
        <w:snapToGrid w:val="0"/>
        <w:spacing w:line="400" w:lineRule="exact"/>
        <w:ind w:firstLine="484" w:firstLineChars="202"/>
        <w:jc w:val="left"/>
        <w:rPr>
          <w:rFonts w:ascii="宋体" w:cs="宋体"/>
          <w:bCs/>
          <w:color w:val="auto"/>
          <w:kern w:val="0"/>
          <w:sz w:val="24"/>
          <w:highlight w:val="none"/>
        </w:rPr>
      </w:pPr>
      <w:r>
        <w:rPr>
          <w:rFonts w:ascii="宋体" w:hAnsi="宋体" w:cs="宋体"/>
          <w:bCs/>
          <w:color w:val="auto"/>
          <w:kern w:val="0"/>
          <w:sz w:val="24"/>
          <w:highlight w:val="none"/>
        </w:rPr>
        <w:t>12.1</w:t>
      </w:r>
      <w:r>
        <w:rPr>
          <w:rFonts w:hint="eastAsia" w:ascii="宋体" w:hAnsi="宋体" w:cs="宋体"/>
          <w:bCs/>
          <w:color w:val="auto"/>
          <w:kern w:val="0"/>
          <w:sz w:val="24"/>
          <w:highlight w:val="none"/>
        </w:rPr>
        <w:t>中标人根据采购人指示，组织或参与水急抢修、抗台抗汛抢险、交通战备抢通和维护、路容路貎集中整治等工作，采购人应按以下标准或原则向中标人从应急工作费中计量支付相关费用。</w:t>
      </w:r>
    </w:p>
    <w:p w14:paraId="221794A7">
      <w:pPr>
        <w:widowControl/>
        <w:adjustRightInd w:val="0"/>
        <w:snapToGrid w:val="0"/>
        <w:spacing w:line="400" w:lineRule="exact"/>
        <w:ind w:firstLine="484" w:firstLineChars="202"/>
        <w:jc w:val="left"/>
        <w:rPr>
          <w:rFonts w:ascii="宋体" w:cs="宋体"/>
          <w:bCs/>
          <w:color w:val="auto"/>
          <w:kern w:val="0"/>
          <w:sz w:val="24"/>
          <w:highlight w:val="none"/>
        </w:rPr>
      </w:pPr>
      <w:r>
        <w:rPr>
          <w:rFonts w:ascii="宋体" w:hAnsi="宋体" w:cs="宋体"/>
          <w:bCs/>
          <w:color w:val="auto"/>
          <w:kern w:val="0"/>
          <w:sz w:val="24"/>
          <w:highlight w:val="none"/>
        </w:rPr>
        <w:t>a.</w:t>
      </w:r>
      <w:r>
        <w:rPr>
          <w:rFonts w:hint="eastAsia" w:ascii="宋体" w:hAnsi="宋体" w:cs="宋体"/>
          <w:bCs/>
          <w:color w:val="auto"/>
          <w:kern w:val="0"/>
          <w:sz w:val="24"/>
          <w:highlight w:val="none"/>
        </w:rPr>
        <w:t>临时雇请农民工人工费补贴</w:t>
      </w:r>
      <w:r>
        <w:rPr>
          <w:rFonts w:hint="eastAsia" w:ascii="宋体" w:hAnsi="宋体" w:cs="宋体"/>
          <w:bCs/>
          <w:color w:val="auto"/>
          <w:kern w:val="0"/>
          <w:sz w:val="24"/>
          <w:highlight w:val="none"/>
        </w:rPr>
        <w:t>标准为</w:t>
      </w:r>
      <w:r>
        <w:rPr>
          <w:rFonts w:ascii="宋体" w:hAnsi="宋体" w:cs="宋体"/>
          <w:bCs/>
          <w:color w:val="auto"/>
          <w:kern w:val="0"/>
          <w:sz w:val="24"/>
          <w:highlight w:val="none"/>
          <w:u w:val="single"/>
        </w:rPr>
        <w:t>22.4</w:t>
      </w:r>
      <w:r>
        <w:rPr>
          <w:rFonts w:hint="eastAsia" w:ascii="宋体" w:hAnsi="宋体" w:cs="宋体"/>
          <w:bCs/>
          <w:color w:val="auto"/>
          <w:kern w:val="0"/>
          <w:sz w:val="24"/>
          <w:highlight w:val="none"/>
        </w:rPr>
        <w:t>元</w:t>
      </w:r>
      <w:r>
        <w:rPr>
          <w:rFonts w:ascii="宋体" w:hAnsi="宋体" w:cs="宋体"/>
          <w:bCs/>
          <w:color w:val="auto"/>
          <w:kern w:val="0"/>
          <w:sz w:val="24"/>
          <w:highlight w:val="none"/>
        </w:rPr>
        <w:t>/</w:t>
      </w:r>
      <w:r>
        <w:rPr>
          <w:rFonts w:hint="eastAsia" w:ascii="宋体" w:hAnsi="宋体" w:cs="宋体"/>
          <w:bCs/>
          <w:color w:val="auto"/>
          <w:kern w:val="0"/>
          <w:sz w:val="24"/>
          <w:highlight w:val="none"/>
        </w:rPr>
        <w:t>小时</w:t>
      </w:r>
      <w:r>
        <w:rPr>
          <w:rFonts w:hint="eastAsia" w:ascii="宋体" w:hAnsi="宋体" w:cs="宋体"/>
          <w:bCs/>
          <w:color w:val="auto"/>
          <w:kern w:val="0"/>
          <w:sz w:val="24"/>
          <w:highlight w:val="none"/>
        </w:rPr>
        <w:t>·人，如果发生应急工作时，广西或北海人民政府调整了最低工资标准的，从其标准。项目管理人员和签订劳动合同的农民工工资和加班费由中标人承担。中标人不得以采购人的人工费补贴标准作</w:t>
      </w:r>
      <w:r>
        <w:rPr>
          <w:rFonts w:hint="eastAsia" w:ascii="宋体" w:hAnsi="宋体" w:cs="宋体"/>
          <w:bCs/>
          <w:color w:val="auto"/>
          <w:kern w:val="0"/>
          <w:sz w:val="24"/>
          <w:highlight w:val="none"/>
        </w:rPr>
        <w:t>为发放农民工工资依据。</w:t>
      </w:r>
    </w:p>
    <w:p w14:paraId="69473358">
      <w:pPr>
        <w:widowControl/>
        <w:adjustRightInd w:val="0"/>
        <w:snapToGrid w:val="0"/>
        <w:spacing w:line="400" w:lineRule="exact"/>
        <w:ind w:firstLine="484" w:firstLineChars="202"/>
        <w:jc w:val="left"/>
        <w:rPr>
          <w:rFonts w:ascii="宋体" w:cs="宋体"/>
          <w:bCs/>
          <w:color w:val="auto"/>
          <w:kern w:val="0"/>
          <w:sz w:val="24"/>
          <w:highlight w:val="none"/>
        </w:rPr>
      </w:pPr>
      <w:r>
        <w:rPr>
          <w:rFonts w:ascii="宋体" w:hAnsi="宋体" w:cs="宋体"/>
          <w:bCs/>
          <w:color w:val="auto"/>
          <w:kern w:val="0"/>
          <w:sz w:val="24"/>
          <w:highlight w:val="none"/>
        </w:rPr>
        <w:t>c.</w:t>
      </w:r>
      <w:r>
        <w:rPr>
          <w:rFonts w:hint="eastAsia" w:ascii="宋体" w:hAnsi="宋体" w:cs="宋体"/>
          <w:bCs/>
          <w:color w:val="auto"/>
          <w:kern w:val="0"/>
          <w:sz w:val="24"/>
          <w:highlight w:val="none"/>
        </w:rPr>
        <w:t>中标人经采购人同意临时雇请的机械、车辆、设备等，采购人依据中标人与提供机械、车辆、设备租赁合同及费用支付凭证或发票，向中标人计量支付相关费用。中标人在应急工作期雇请的机械、车辆、设备每天工作时间签证单应当天送采购人签认。</w:t>
      </w:r>
    </w:p>
    <w:p w14:paraId="70292F37">
      <w:pPr>
        <w:widowControl/>
        <w:adjustRightInd w:val="0"/>
        <w:snapToGrid w:val="0"/>
        <w:spacing w:line="400" w:lineRule="exact"/>
        <w:ind w:firstLine="484" w:firstLineChars="202"/>
        <w:jc w:val="left"/>
        <w:rPr>
          <w:rFonts w:ascii="宋体" w:cs="宋体"/>
          <w:bCs/>
          <w:color w:val="auto"/>
          <w:kern w:val="0"/>
          <w:sz w:val="24"/>
          <w:highlight w:val="none"/>
        </w:rPr>
      </w:pPr>
      <w:r>
        <w:rPr>
          <w:rFonts w:ascii="宋体" w:hAnsi="宋体" w:cs="宋体"/>
          <w:bCs/>
          <w:color w:val="auto"/>
          <w:kern w:val="0"/>
          <w:sz w:val="24"/>
          <w:highlight w:val="none"/>
        </w:rPr>
        <w:t>d.</w:t>
      </w:r>
      <w:r>
        <w:rPr>
          <w:rFonts w:hint="eastAsia" w:ascii="宋体" w:hAnsi="宋体" w:cs="宋体"/>
          <w:bCs/>
          <w:color w:val="auto"/>
          <w:kern w:val="0"/>
          <w:sz w:val="24"/>
          <w:highlight w:val="none"/>
        </w:rPr>
        <w:t>中标人按采购人指示投入应急工作的材料价格按当期北海建设工程造价信息相应的材料价格（含税价）进行计量支付，投入材料的收方单应当天送采购人签认。信息价上没有的材料，由采购人在市场上调查确定。</w:t>
      </w:r>
    </w:p>
    <w:p w14:paraId="1453D57F">
      <w:pPr>
        <w:pStyle w:val="13"/>
        <w:snapToGrid w:val="0"/>
        <w:spacing w:line="400" w:lineRule="exact"/>
        <w:ind w:firstLine="480" w:firstLineChars="200"/>
        <w:jc w:val="left"/>
        <w:rPr>
          <w:rFonts w:hAnsi="宋体" w:cs="宋体"/>
          <w:bCs/>
          <w:color w:val="auto"/>
          <w:sz w:val="24"/>
          <w:highlight w:val="none"/>
        </w:rPr>
      </w:pPr>
      <w:r>
        <w:rPr>
          <w:rFonts w:hAnsi="宋体" w:cs="宋体"/>
          <w:bCs/>
          <w:color w:val="auto"/>
          <w:sz w:val="24"/>
          <w:highlight w:val="none"/>
        </w:rPr>
        <w:t>12.2</w:t>
      </w:r>
      <w:r>
        <w:rPr>
          <w:rFonts w:hint="eastAsia" w:hAnsi="宋体" w:cs="宋体"/>
          <w:bCs/>
          <w:color w:val="auto"/>
          <w:sz w:val="24"/>
          <w:highlight w:val="none"/>
        </w:rPr>
        <w:t>上述费用除人工费外，其他费用单价或总额价视为已经包含税金和采保费等，即中标人向采购人提供材料、机械费用发票后，采购人才向中标人支付费用，采购人不再向中标人计量支付应急工作的管理费、采保费、税金等。</w:t>
      </w:r>
    </w:p>
    <w:p w14:paraId="0F31AFEA">
      <w:pPr>
        <w:pStyle w:val="13"/>
        <w:snapToGrid w:val="0"/>
        <w:spacing w:line="600" w:lineRule="exact"/>
        <w:jc w:val="center"/>
        <w:rPr>
          <w:rFonts w:ascii="黑体" w:eastAsia="黑体"/>
          <w:b/>
          <w:color w:val="auto"/>
          <w:sz w:val="30"/>
          <w:szCs w:val="30"/>
          <w:highlight w:val="none"/>
        </w:rPr>
      </w:pPr>
    </w:p>
    <w:p w14:paraId="4A1730FB">
      <w:pPr>
        <w:pStyle w:val="13"/>
        <w:snapToGrid w:val="0"/>
        <w:spacing w:line="600" w:lineRule="exact"/>
        <w:jc w:val="center"/>
        <w:rPr>
          <w:rFonts w:ascii="黑体" w:eastAsia="黑体"/>
          <w:b/>
          <w:color w:val="auto"/>
          <w:sz w:val="30"/>
          <w:szCs w:val="30"/>
          <w:highlight w:val="none"/>
        </w:rPr>
      </w:pPr>
    </w:p>
    <w:p w14:paraId="108D2561">
      <w:pPr>
        <w:pStyle w:val="13"/>
        <w:snapToGrid w:val="0"/>
        <w:spacing w:line="600" w:lineRule="exact"/>
        <w:jc w:val="center"/>
        <w:rPr>
          <w:rFonts w:hAnsi="宋体"/>
          <w:color w:val="auto"/>
          <w:sz w:val="36"/>
          <w:szCs w:val="36"/>
          <w:highlight w:val="none"/>
        </w:rPr>
      </w:pPr>
      <w:r>
        <w:rPr>
          <w:rFonts w:hint="eastAsia" w:ascii="黑体" w:eastAsia="黑体"/>
          <w:b/>
          <w:color w:val="auto"/>
          <w:sz w:val="30"/>
          <w:szCs w:val="30"/>
          <w:highlight w:val="none"/>
        </w:rPr>
        <w:br w:type="page"/>
      </w:r>
    </w:p>
    <w:p w14:paraId="4A1269CE">
      <w:pPr>
        <w:pStyle w:val="13"/>
        <w:snapToGrid w:val="0"/>
        <w:spacing w:line="600" w:lineRule="exact"/>
        <w:jc w:val="left"/>
        <w:rPr>
          <w:rFonts w:hAnsi="宋体"/>
          <w:color w:val="auto"/>
          <w:sz w:val="21"/>
          <w:highlight w:val="none"/>
        </w:rPr>
      </w:pPr>
    </w:p>
    <w:p w14:paraId="7D32C8D5">
      <w:pPr>
        <w:pStyle w:val="13"/>
        <w:snapToGrid w:val="0"/>
        <w:spacing w:line="600" w:lineRule="exact"/>
        <w:jc w:val="left"/>
        <w:rPr>
          <w:rFonts w:hAnsi="宋体"/>
          <w:color w:val="auto"/>
          <w:sz w:val="21"/>
          <w:highlight w:val="none"/>
        </w:rPr>
      </w:pPr>
    </w:p>
    <w:p w14:paraId="0A32514E">
      <w:pPr>
        <w:pStyle w:val="13"/>
        <w:snapToGrid w:val="0"/>
        <w:spacing w:line="600" w:lineRule="exact"/>
        <w:jc w:val="left"/>
        <w:rPr>
          <w:rFonts w:hAnsi="宋体"/>
          <w:color w:val="auto"/>
          <w:sz w:val="21"/>
          <w:highlight w:val="none"/>
        </w:rPr>
      </w:pPr>
    </w:p>
    <w:p w14:paraId="2B9FEB7A">
      <w:pPr>
        <w:pStyle w:val="13"/>
        <w:snapToGrid w:val="0"/>
        <w:spacing w:line="600" w:lineRule="exact"/>
        <w:jc w:val="left"/>
        <w:rPr>
          <w:rFonts w:hAnsi="宋体"/>
          <w:color w:val="auto"/>
          <w:sz w:val="21"/>
          <w:highlight w:val="none"/>
        </w:rPr>
      </w:pPr>
    </w:p>
    <w:p w14:paraId="1ECB0B5D">
      <w:pPr>
        <w:pStyle w:val="13"/>
        <w:snapToGrid w:val="0"/>
        <w:spacing w:line="600" w:lineRule="exact"/>
        <w:jc w:val="left"/>
        <w:rPr>
          <w:rFonts w:hAnsi="宋体"/>
          <w:color w:val="auto"/>
          <w:sz w:val="21"/>
          <w:highlight w:val="none"/>
        </w:rPr>
      </w:pPr>
    </w:p>
    <w:p w14:paraId="6DF5FFEF">
      <w:pPr>
        <w:pStyle w:val="13"/>
        <w:snapToGrid w:val="0"/>
        <w:spacing w:line="600" w:lineRule="exact"/>
        <w:jc w:val="left"/>
        <w:rPr>
          <w:rFonts w:hAnsi="宋体"/>
          <w:color w:val="auto"/>
          <w:sz w:val="21"/>
          <w:highlight w:val="none"/>
        </w:rPr>
      </w:pPr>
    </w:p>
    <w:p w14:paraId="7602F9DA">
      <w:pPr>
        <w:pStyle w:val="3"/>
        <w:jc w:val="center"/>
        <w:rPr>
          <w:rFonts w:ascii="宋体" w:hAnsi="宋体"/>
          <w:color w:val="auto"/>
          <w:highlight w:val="none"/>
        </w:rPr>
      </w:pPr>
      <w:bookmarkStart w:id="20" w:name="_Toc13461"/>
      <w:bookmarkStart w:id="21" w:name="_Toc463706303"/>
      <w:r>
        <w:rPr>
          <w:rFonts w:hint="eastAsia" w:ascii="宋体" w:hAnsi="宋体"/>
          <w:color w:val="auto"/>
          <w:highlight w:val="none"/>
        </w:rPr>
        <w:t>第五章　 投标文件格式</w:t>
      </w:r>
      <w:bookmarkEnd w:id="20"/>
      <w:bookmarkEnd w:id="21"/>
    </w:p>
    <w:p w14:paraId="4CB4BE87">
      <w:pPr>
        <w:snapToGrid w:val="0"/>
        <w:spacing w:line="360" w:lineRule="exact"/>
        <w:rPr>
          <w:rFonts w:ascii="宋体" w:hAnsi="宋体"/>
          <w:b/>
          <w:bCs/>
          <w:color w:val="auto"/>
          <w:sz w:val="36"/>
          <w:szCs w:val="36"/>
          <w:highlight w:val="none"/>
        </w:rPr>
      </w:pPr>
    </w:p>
    <w:p w14:paraId="3FD60C35">
      <w:pPr>
        <w:snapToGrid w:val="0"/>
        <w:spacing w:line="460" w:lineRule="exact"/>
        <w:ind w:firstLine="723" w:firstLineChars="200"/>
        <w:rPr>
          <w:rFonts w:ascii="宋体" w:hAnsi="宋体"/>
          <w:b/>
          <w:bCs/>
          <w:color w:val="auto"/>
          <w:sz w:val="36"/>
          <w:szCs w:val="36"/>
          <w:highlight w:val="none"/>
        </w:rPr>
      </w:pPr>
    </w:p>
    <w:p w14:paraId="00468B96">
      <w:pPr>
        <w:snapToGrid w:val="0"/>
        <w:spacing w:line="460" w:lineRule="exact"/>
        <w:ind w:firstLine="422" w:firstLineChars="200"/>
        <w:rPr>
          <w:rFonts w:ascii="宋体" w:hAnsi="宋体"/>
          <w:b/>
          <w:bCs/>
          <w:color w:val="auto"/>
          <w:szCs w:val="21"/>
          <w:highlight w:val="none"/>
        </w:rPr>
      </w:pPr>
    </w:p>
    <w:p w14:paraId="4ACB84B4">
      <w:pPr>
        <w:snapToGrid w:val="0"/>
        <w:spacing w:line="460" w:lineRule="exact"/>
        <w:ind w:firstLine="422" w:firstLineChars="200"/>
        <w:rPr>
          <w:rFonts w:ascii="宋体" w:hAnsi="宋体"/>
          <w:b/>
          <w:bCs/>
          <w:color w:val="auto"/>
          <w:szCs w:val="21"/>
          <w:highlight w:val="none"/>
        </w:rPr>
      </w:pPr>
    </w:p>
    <w:p w14:paraId="26E9C9E0">
      <w:pPr>
        <w:snapToGrid w:val="0"/>
        <w:spacing w:line="460" w:lineRule="exact"/>
        <w:ind w:firstLine="422" w:firstLineChars="200"/>
        <w:rPr>
          <w:rFonts w:ascii="宋体" w:hAnsi="宋体"/>
          <w:b/>
          <w:bCs/>
          <w:color w:val="auto"/>
          <w:szCs w:val="21"/>
          <w:highlight w:val="none"/>
        </w:rPr>
      </w:pPr>
    </w:p>
    <w:p w14:paraId="72DBE0DD">
      <w:pPr>
        <w:snapToGrid w:val="0"/>
        <w:spacing w:line="460" w:lineRule="exact"/>
        <w:ind w:firstLine="422" w:firstLineChars="200"/>
        <w:rPr>
          <w:rFonts w:ascii="宋体" w:hAnsi="宋体"/>
          <w:b/>
          <w:bCs/>
          <w:color w:val="auto"/>
          <w:szCs w:val="21"/>
          <w:highlight w:val="none"/>
        </w:rPr>
      </w:pPr>
    </w:p>
    <w:p w14:paraId="741F80B6">
      <w:pPr>
        <w:snapToGrid w:val="0"/>
        <w:spacing w:line="460" w:lineRule="exact"/>
        <w:ind w:firstLine="422" w:firstLineChars="200"/>
        <w:rPr>
          <w:rFonts w:ascii="宋体" w:hAnsi="宋体"/>
          <w:b/>
          <w:bCs/>
          <w:color w:val="auto"/>
          <w:szCs w:val="21"/>
          <w:highlight w:val="none"/>
        </w:rPr>
      </w:pPr>
    </w:p>
    <w:p w14:paraId="18B528B2">
      <w:pPr>
        <w:snapToGrid w:val="0"/>
        <w:spacing w:line="460" w:lineRule="exact"/>
        <w:ind w:firstLine="422" w:firstLineChars="200"/>
        <w:rPr>
          <w:rFonts w:ascii="宋体" w:hAnsi="宋体"/>
          <w:b/>
          <w:bCs/>
          <w:color w:val="auto"/>
          <w:szCs w:val="21"/>
          <w:highlight w:val="none"/>
        </w:rPr>
      </w:pPr>
    </w:p>
    <w:p w14:paraId="3CCE3498">
      <w:pPr>
        <w:snapToGrid w:val="0"/>
        <w:spacing w:line="460" w:lineRule="exact"/>
        <w:ind w:firstLine="422" w:firstLineChars="200"/>
        <w:rPr>
          <w:rFonts w:ascii="宋体" w:hAnsi="宋体"/>
          <w:b/>
          <w:bCs/>
          <w:color w:val="auto"/>
          <w:szCs w:val="21"/>
          <w:highlight w:val="none"/>
        </w:rPr>
      </w:pPr>
    </w:p>
    <w:p w14:paraId="57CA91F6">
      <w:pPr>
        <w:snapToGrid w:val="0"/>
        <w:spacing w:line="460" w:lineRule="exact"/>
        <w:ind w:firstLine="422" w:firstLineChars="200"/>
        <w:rPr>
          <w:rFonts w:ascii="宋体" w:hAnsi="宋体"/>
          <w:b/>
          <w:bCs/>
          <w:color w:val="auto"/>
          <w:szCs w:val="21"/>
          <w:highlight w:val="none"/>
        </w:rPr>
      </w:pPr>
    </w:p>
    <w:p w14:paraId="0879BC44">
      <w:pPr>
        <w:snapToGrid w:val="0"/>
        <w:spacing w:line="460" w:lineRule="exact"/>
        <w:ind w:firstLine="422" w:firstLineChars="200"/>
        <w:rPr>
          <w:rFonts w:ascii="宋体" w:hAnsi="宋体"/>
          <w:b/>
          <w:bCs/>
          <w:color w:val="auto"/>
          <w:szCs w:val="21"/>
          <w:highlight w:val="none"/>
        </w:rPr>
      </w:pPr>
    </w:p>
    <w:p w14:paraId="4DF0AF38">
      <w:pPr>
        <w:snapToGrid w:val="0"/>
        <w:spacing w:line="460" w:lineRule="exact"/>
        <w:ind w:firstLine="422" w:firstLineChars="200"/>
        <w:rPr>
          <w:rFonts w:ascii="宋体" w:hAnsi="宋体"/>
          <w:b/>
          <w:bCs/>
          <w:color w:val="auto"/>
          <w:szCs w:val="21"/>
          <w:highlight w:val="none"/>
        </w:rPr>
      </w:pPr>
    </w:p>
    <w:p w14:paraId="5EE65CEA">
      <w:pPr>
        <w:rPr>
          <w:color w:val="auto"/>
          <w:highlight w:val="none"/>
        </w:rPr>
      </w:pPr>
    </w:p>
    <w:p w14:paraId="5DE19C61">
      <w:pPr>
        <w:rPr>
          <w:color w:val="auto"/>
          <w:highlight w:val="none"/>
        </w:rPr>
      </w:pPr>
    </w:p>
    <w:p w14:paraId="06AC3E5E">
      <w:pPr>
        <w:rPr>
          <w:color w:val="auto"/>
          <w:highlight w:val="none"/>
        </w:rPr>
      </w:pPr>
    </w:p>
    <w:p w14:paraId="311E529E">
      <w:pPr>
        <w:rPr>
          <w:color w:val="auto"/>
          <w:highlight w:val="none"/>
        </w:rPr>
      </w:pPr>
    </w:p>
    <w:p w14:paraId="652BBC02">
      <w:pPr>
        <w:snapToGrid w:val="0"/>
        <w:spacing w:line="460" w:lineRule="exact"/>
        <w:ind w:firstLine="422" w:firstLineChars="200"/>
        <w:rPr>
          <w:rFonts w:ascii="宋体" w:hAnsi="宋体"/>
          <w:b/>
          <w:bCs/>
          <w:color w:val="auto"/>
          <w:szCs w:val="21"/>
          <w:highlight w:val="none"/>
        </w:rPr>
      </w:pPr>
    </w:p>
    <w:p w14:paraId="1E7639E9">
      <w:pPr>
        <w:pStyle w:val="2"/>
        <w:rPr>
          <w:rFonts w:ascii="宋体" w:hAnsi="宋体"/>
          <w:b/>
          <w:bCs/>
          <w:color w:val="auto"/>
          <w:szCs w:val="21"/>
          <w:highlight w:val="none"/>
        </w:rPr>
      </w:pPr>
    </w:p>
    <w:p w14:paraId="534F92C1">
      <w:pPr>
        <w:rPr>
          <w:color w:val="auto"/>
          <w:highlight w:val="none"/>
        </w:rPr>
      </w:pPr>
    </w:p>
    <w:p w14:paraId="2412BD15">
      <w:pPr>
        <w:snapToGrid w:val="0"/>
        <w:spacing w:before="156" w:beforeLines="50" w:after="50" w:line="360" w:lineRule="exact"/>
        <w:jc w:val="center"/>
        <w:rPr>
          <w:rFonts w:ascii="宋体" w:hAnsi="宋体"/>
          <w:bCs/>
          <w:color w:val="auto"/>
          <w:sz w:val="32"/>
          <w:szCs w:val="32"/>
          <w:highlight w:val="none"/>
        </w:rPr>
      </w:pPr>
    </w:p>
    <w:p w14:paraId="6B52DFF9">
      <w:pPr>
        <w:snapToGrid w:val="0"/>
        <w:spacing w:before="156" w:beforeLines="50" w:after="50" w:line="360" w:lineRule="exact"/>
        <w:jc w:val="center"/>
        <w:rPr>
          <w:rFonts w:ascii="宋体" w:hAnsi="宋体"/>
          <w:bCs/>
          <w:color w:val="auto"/>
          <w:sz w:val="32"/>
          <w:szCs w:val="32"/>
          <w:highlight w:val="none"/>
        </w:rPr>
      </w:pPr>
    </w:p>
    <w:p w14:paraId="1B7EA018">
      <w:pPr>
        <w:snapToGrid w:val="0"/>
        <w:spacing w:before="156" w:beforeLines="50" w:after="50" w:line="360" w:lineRule="exact"/>
        <w:jc w:val="center"/>
        <w:rPr>
          <w:rFonts w:ascii="宋体" w:hAnsi="宋体"/>
          <w:b/>
          <w:color w:val="auto"/>
          <w:sz w:val="32"/>
          <w:szCs w:val="32"/>
          <w:highlight w:val="none"/>
        </w:rPr>
      </w:pPr>
      <w:r>
        <w:rPr>
          <w:rFonts w:hint="eastAsia" w:ascii="宋体" w:hAnsi="宋体"/>
          <w:b/>
          <w:color w:val="auto"/>
          <w:sz w:val="32"/>
          <w:szCs w:val="32"/>
          <w:highlight w:val="none"/>
        </w:rPr>
        <w:t>一、投标文件外包装封面及投标文件封面格式</w:t>
      </w:r>
    </w:p>
    <w:p w14:paraId="215431C6">
      <w:pPr>
        <w:snapToGrid w:val="0"/>
        <w:spacing w:line="460" w:lineRule="exact"/>
        <w:ind w:firstLine="207" w:firstLineChars="98"/>
        <w:rPr>
          <w:rFonts w:ascii="宋体" w:hAnsi="宋体"/>
          <w:color w:val="auto"/>
          <w:szCs w:val="21"/>
          <w:highlight w:val="none"/>
        </w:rPr>
      </w:pPr>
      <w:r>
        <w:rPr>
          <w:rFonts w:hint="eastAsia" w:ascii="宋体" w:hAnsi="宋体"/>
          <w:b/>
          <w:color w:val="auto"/>
          <w:szCs w:val="21"/>
          <w:highlight w:val="none"/>
        </w:rPr>
        <w:t>（一）投标文件的外包装封面格式：</w:t>
      </w:r>
      <w:r>
        <w:rPr>
          <w:rFonts w:hint="eastAsia" w:ascii="宋体" w:hAnsi="宋体"/>
          <w:color w:val="auto"/>
          <w:szCs w:val="21"/>
          <w:highlight w:val="none"/>
        </w:rPr>
        <w:t xml:space="preserve"> </w:t>
      </w:r>
    </w:p>
    <w:p w14:paraId="3B2AEAA8">
      <w:pPr>
        <w:snapToGrid w:val="0"/>
        <w:spacing w:before="156" w:beforeLines="50" w:after="50" w:line="360" w:lineRule="exact"/>
        <w:ind w:firstLine="3518" w:firstLineChars="1095"/>
        <w:rPr>
          <w:rFonts w:ascii="宋体" w:hAnsi="宋体"/>
          <w:color w:val="auto"/>
          <w:szCs w:val="21"/>
          <w:highlight w:val="none"/>
        </w:rPr>
      </w:pPr>
      <w:r>
        <w:rPr>
          <w:rFonts w:hint="eastAsia" w:ascii="宋体" w:hAnsi="宋体"/>
          <w:b/>
          <w:bCs/>
          <w:color w:val="auto"/>
          <w:sz w:val="32"/>
          <w:szCs w:val="32"/>
          <w:highlight w:val="none"/>
        </w:rPr>
        <w:t xml:space="preserve">投 标 文 件   </w:t>
      </w:r>
      <w:r>
        <w:rPr>
          <w:rFonts w:hint="eastAsia" w:ascii="宋体" w:hAnsi="宋体"/>
          <w:b/>
          <w:bCs/>
          <w:color w:val="auto"/>
          <w:szCs w:val="21"/>
          <w:highlight w:val="none"/>
        </w:rPr>
        <w:t xml:space="preserve">           </w:t>
      </w:r>
    </w:p>
    <w:p w14:paraId="20473380">
      <w:pPr>
        <w:pStyle w:val="6"/>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 xml:space="preserve">采购项目名称： </w:t>
      </w:r>
    </w:p>
    <w:p w14:paraId="5591A4CD">
      <w:pPr>
        <w:pStyle w:val="6"/>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采购项目编号：</w:t>
      </w:r>
    </w:p>
    <w:p w14:paraId="141D7E05">
      <w:pPr>
        <w:pStyle w:val="6"/>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 xml:space="preserve">所投分标： </w:t>
      </w:r>
    </w:p>
    <w:p w14:paraId="562A19EB">
      <w:pPr>
        <w:pStyle w:val="6"/>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投标文件名称：资格文件</w:t>
      </w:r>
    </w:p>
    <w:p w14:paraId="6E6682E8">
      <w:pPr>
        <w:pStyle w:val="6"/>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投标人名称：（盖章）</w:t>
      </w:r>
    </w:p>
    <w:p w14:paraId="1F924800">
      <w:pPr>
        <w:pStyle w:val="6"/>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投标人地址：</w:t>
      </w:r>
    </w:p>
    <w:p w14:paraId="25DAF5F1">
      <w:pPr>
        <w:pStyle w:val="6"/>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在  ×年×月×日×时×分前不得启封（开标时才能启封）</w:t>
      </w:r>
    </w:p>
    <w:p w14:paraId="38EC9D9D">
      <w:pPr>
        <w:snapToGrid w:val="0"/>
        <w:spacing w:line="460" w:lineRule="exact"/>
        <w:rPr>
          <w:rFonts w:ascii="宋体" w:hAnsi="宋体"/>
          <w:color w:val="auto"/>
          <w:szCs w:val="21"/>
          <w:highlight w:val="none"/>
        </w:rPr>
      </w:pPr>
    </w:p>
    <w:p w14:paraId="5D571EB7">
      <w:pPr>
        <w:snapToGrid w:val="0"/>
        <w:spacing w:line="460" w:lineRule="exact"/>
        <w:jc w:val="center"/>
        <w:rPr>
          <w:rFonts w:ascii="宋体" w:hAnsi="宋体"/>
          <w:b/>
          <w:color w:val="auto"/>
          <w:szCs w:val="21"/>
          <w:highlight w:val="none"/>
        </w:rPr>
      </w:pPr>
      <w:r>
        <w:rPr>
          <w:rFonts w:hint="eastAsia" w:ascii="宋体" w:hAnsi="宋体"/>
          <w:b/>
          <w:color w:val="auto"/>
          <w:sz w:val="32"/>
          <w:szCs w:val="32"/>
          <w:highlight w:val="none"/>
        </w:rPr>
        <w:t>投 标 文 件</w:t>
      </w:r>
    </w:p>
    <w:p w14:paraId="7F20D8A7">
      <w:pPr>
        <w:snapToGrid w:val="0"/>
        <w:spacing w:line="4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采购项目名称： </w:t>
      </w:r>
    </w:p>
    <w:p w14:paraId="6F1E11ED">
      <w:pPr>
        <w:snapToGrid w:val="0"/>
        <w:spacing w:line="460" w:lineRule="exact"/>
        <w:ind w:firstLine="630" w:firstLineChars="300"/>
        <w:rPr>
          <w:rFonts w:ascii="宋体" w:hAnsi="宋体"/>
          <w:bCs/>
          <w:color w:val="auto"/>
          <w:szCs w:val="21"/>
          <w:highlight w:val="none"/>
        </w:rPr>
      </w:pPr>
      <w:r>
        <w:rPr>
          <w:rFonts w:hint="eastAsia" w:ascii="宋体" w:hAnsi="宋体"/>
          <w:bCs/>
          <w:color w:val="auto"/>
          <w:szCs w:val="21"/>
          <w:highlight w:val="none"/>
        </w:rPr>
        <w:t>采购项目编号：</w:t>
      </w:r>
    </w:p>
    <w:p w14:paraId="7D24BE00">
      <w:pPr>
        <w:pStyle w:val="6"/>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投标文件名称：商务技术文件、报价文件</w:t>
      </w:r>
    </w:p>
    <w:p w14:paraId="543E2C57">
      <w:pPr>
        <w:pStyle w:val="6"/>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投标人名称：（盖章）</w:t>
      </w:r>
    </w:p>
    <w:p w14:paraId="34B29D4C">
      <w:pPr>
        <w:pStyle w:val="6"/>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投标人地址：</w:t>
      </w:r>
    </w:p>
    <w:p w14:paraId="108605BF">
      <w:pPr>
        <w:pStyle w:val="6"/>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 xml:space="preserve">在  </w:t>
      </w:r>
      <w:r>
        <w:rPr>
          <w:rFonts w:hint="eastAsia" w:ascii="宋体" w:hAnsi="宋体"/>
          <w:color w:val="auto"/>
          <w:sz w:val="21"/>
          <w:szCs w:val="21"/>
          <w:highlight w:val="none"/>
        </w:rPr>
        <w:t>×年×月×日×时×分前</w:t>
      </w:r>
      <w:r>
        <w:rPr>
          <w:rFonts w:hint="eastAsia" w:ascii="宋体" w:hAnsi="宋体"/>
          <w:bCs/>
          <w:color w:val="auto"/>
          <w:sz w:val="21"/>
          <w:szCs w:val="21"/>
          <w:highlight w:val="none"/>
        </w:rPr>
        <w:t>不得启封（开标时才能启封）</w:t>
      </w:r>
    </w:p>
    <w:p w14:paraId="20C23919">
      <w:pPr>
        <w:snapToGrid w:val="0"/>
        <w:spacing w:line="460" w:lineRule="exact"/>
        <w:ind w:firstLine="422" w:firstLineChars="200"/>
        <w:rPr>
          <w:rFonts w:ascii="宋体" w:hAnsi="宋体"/>
          <w:b/>
          <w:color w:val="auto"/>
          <w:sz w:val="24"/>
          <w:highlight w:val="none"/>
        </w:rPr>
      </w:pPr>
      <w:r>
        <w:rPr>
          <w:rFonts w:hint="eastAsia" w:ascii="宋体" w:hAnsi="宋体"/>
          <w:b/>
          <w:color w:val="auto"/>
          <w:szCs w:val="21"/>
          <w:highlight w:val="none"/>
        </w:rPr>
        <w:t>（二）投标文件封面格式：</w:t>
      </w:r>
      <w:r>
        <w:rPr>
          <w:rFonts w:hint="eastAsia" w:ascii="宋体" w:hAnsi="宋体"/>
          <w:b/>
          <w:color w:val="auto"/>
          <w:sz w:val="24"/>
          <w:highlight w:val="none"/>
        </w:rPr>
        <w:t xml:space="preserve"> </w:t>
      </w:r>
    </w:p>
    <w:p w14:paraId="5DDC0774">
      <w:pPr>
        <w:snapToGrid w:val="0"/>
        <w:spacing w:line="460" w:lineRule="exact"/>
        <w:rPr>
          <w:rFonts w:ascii="宋体" w:hAnsi="宋体"/>
          <w:bCs/>
          <w:color w:val="auto"/>
          <w:sz w:val="24"/>
          <w:highlight w:val="none"/>
        </w:rPr>
      </w:pPr>
      <w:r>
        <w:rPr>
          <w:rFonts w:hint="eastAsia" w:ascii="宋体" w:hAnsi="宋体"/>
          <w:color w:val="auto"/>
          <w:sz w:val="24"/>
          <w:highlight w:val="none"/>
        </w:rPr>
        <w:t xml:space="preserve">                                                    </w:t>
      </w:r>
      <w:r>
        <w:rPr>
          <w:rFonts w:hint="eastAsia" w:ascii="宋体" w:hAnsi="宋体"/>
          <w:b/>
          <w:bCs/>
          <w:color w:val="auto"/>
          <w:szCs w:val="21"/>
          <w:highlight w:val="none"/>
        </w:rPr>
        <w:t>（正、副本）</w:t>
      </w:r>
    </w:p>
    <w:p w14:paraId="08535A5C">
      <w:pPr>
        <w:snapToGrid w:val="0"/>
        <w:spacing w:line="460" w:lineRule="exact"/>
        <w:jc w:val="center"/>
        <w:rPr>
          <w:rFonts w:ascii="宋体" w:hAnsi="宋体"/>
          <w:b/>
          <w:color w:val="auto"/>
          <w:sz w:val="32"/>
          <w:szCs w:val="32"/>
          <w:highlight w:val="none"/>
        </w:rPr>
      </w:pPr>
      <w:r>
        <w:rPr>
          <w:rFonts w:hint="eastAsia" w:ascii="宋体" w:hAnsi="宋体"/>
          <w:b/>
          <w:color w:val="auto"/>
          <w:sz w:val="32"/>
          <w:szCs w:val="32"/>
          <w:highlight w:val="none"/>
        </w:rPr>
        <w:t>投标文件</w:t>
      </w:r>
    </w:p>
    <w:p w14:paraId="265C3EC1">
      <w:pPr>
        <w:snapToGrid w:val="0"/>
        <w:spacing w:line="4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项目名称： </w:t>
      </w:r>
    </w:p>
    <w:p w14:paraId="59F34568">
      <w:pPr>
        <w:snapToGrid w:val="0"/>
        <w:spacing w:line="4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项目编号： </w:t>
      </w:r>
    </w:p>
    <w:p w14:paraId="3065A917">
      <w:pPr>
        <w:snapToGrid w:val="0"/>
        <w:spacing w:line="460" w:lineRule="exact"/>
        <w:ind w:firstLine="630" w:firstLineChars="300"/>
        <w:rPr>
          <w:rFonts w:ascii="宋体" w:hAnsi="宋体"/>
          <w:bCs/>
          <w:color w:val="auto"/>
          <w:szCs w:val="21"/>
          <w:highlight w:val="none"/>
        </w:rPr>
      </w:pPr>
      <w:r>
        <w:rPr>
          <w:rFonts w:hint="eastAsia" w:ascii="宋体" w:hAnsi="宋体"/>
          <w:bCs/>
          <w:color w:val="auto"/>
          <w:szCs w:val="21"/>
          <w:highlight w:val="none"/>
        </w:rPr>
        <w:t>投标人名称：（盖章）</w:t>
      </w:r>
    </w:p>
    <w:p w14:paraId="6ED598FB">
      <w:pPr>
        <w:snapToGrid w:val="0"/>
        <w:spacing w:line="460" w:lineRule="exact"/>
        <w:ind w:firstLine="630" w:firstLineChars="300"/>
        <w:rPr>
          <w:rFonts w:ascii="宋体" w:hAnsi="宋体"/>
          <w:bCs/>
          <w:color w:val="auto"/>
          <w:szCs w:val="21"/>
          <w:highlight w:val="none"/>
        </w:rPr>
      </w:pPr>
      <w:r>
        <w:rPr>
          <w:rFonts w:hint="eastAsia" w:ascii="宋体" w:hAnsi="宋体"/>
          <w:bCs/>
          <w:color w:val="auto"/>
          <w:szCs w:val="21"/>
          <w:highlight w:val="none"/>
        </w:rPr>
        <w:t>投标人地址：</w:t>
      </w:r>
    </w:p>
    <w:p w14:paraId="62249286">
      <w:pPr>
        <w:snapToGrid w:val="0"/>
        <w:spacing w:line="460" w:lineRule="exact"/>
        <w:jc w:val="center"/>
        <w:rPr>
          <w:rFonts w:ascii="宋体" w:hAnsi="宋体"/>
          <w:color w:val="auto"/>
          <w:szCs w:val="21"/>
          <w:highlight w:val="none"/>
        </w:rPr>
      </w:pPr>
      <w:r>
        <w:rPr>
          <w:rFonts w:hint="eastAsia" w:ascii="宋体" w:hAnsi="宋体"/>
          <w:color w:val="auto"/>
          <w:sz w:val="24"/>
          <w:highlight w:val="none"/>
        </w:rPr>
        <w:t xml:space="preserve">                        年   月   日</w:t>
      </w:r>
    </w:p>
    <w:p w14:paraId="44B4E5EC">
      <w:pPr>
        <w:snapToGrid w:val="0"/>
        <w:spacing w:before="156" w:beforeLines="50" w:after="50" w:line="360" w:lineRule="exact"/>
        <w:jc w:val="left"/>
        <w:rPr>
          <w:rFonts w:ascii="宋体" w:hAnsi="宋体"/>
          <w:bCs/>
          <w:color w:val="auto"/>
          <w:szCs w:val="21"/>
          <w:highlight w:val="none"/>
        </w:rPr>
      </w:pPr>
      <w:r>
        <w:rPr>
          <w:rFonts w:hint="eastAsia" w:ascii="宋体" w:hAnsi="宋体"/>
          <w:bCs/>
          <w:color w:val="auto"/>
          <w:szCs w:val="21"/>
          <w:highlight w:val="none"/>
        </w:rPr>
        <w:t>[注：</w:t>
      </w:r>
      <w:r>
        <w:rPr>
          <w:rFonts w:hint="eastAsia" w:ascii="宋体" w:hAnsi="宋体"/>
          <w:color w:val="auto"/>
          <w:szCs w:val="21"/>
          <w:highlight w:val="none"/>
        </w:rPr>
        <w:t>投标文件由</w:t>
      </w:r>
      <w:r>
        <w:rPr>
          <w:rFonts w:hint="eastAsia" w:ascii="宋体" w:hAnsi="宋体"/>
          <w:b/>
          <w:color w:val="auto"/>
          <w:szCs w:val="21"/>
          <w:highlight w:val="none"/>
        </w:rPr>
        <w:t>资格文件、商务技术文件、报价文件</w:t>
      </w:r>
      <w:r>
        <w:rPr>
          <w:rFonts w:hint="eastAsia" w:ascii="宋体" w:hAnsi="宋体"/>
          <w:color w:val="auto"/>
          <w:szCs w:val="21"/>
          <w:highlight w:val="none"/>
        </w:rPr>
        <w:t>三部份组成</w:t>
      </w:r>
      <w:r>
        <w:rPr>
          <w:rFonts w:hint="eastAsia" w:ascii="宋体" w:hAnsi="宋体" w:cs="Arial"/>
          <w:b/>
          <w:color w:val="auto"/>
          <w:szCs w:val="21"/>
          <w:highlight w:val="none"/>
        </w:rPr>
        <w:t>，</w:t>
      </w:r>
      <w:r>
        <w:rPr>
          <w:rFonts w:hint="eastAsia" w:ascii="宋体" w:hAnsi="宋体"/>
          <w:bCs/>
          <w:color w:val="auto"/>
          <w:szCs w:val="21"/>
          <w:highlight w:val="none"/>
        </w:rPr>
        <w:t>其中商务技术文件、报价文件部分分别用封面标记分隔]</w:t>
      </w:r>
    </w:p>
    <w:p w14:paraId="5F0E5BA1">
      <w:pPr>
        <w:snapToGrid w:val="0"/>
        <w:spacing w:before="156" w:beforeLines="50" w:after="50" w:line="360" w:lineRule="exact"/>
        <w:jc w:val="center"/>
        <w:rPr>
          <w:rFonts w:ascii="宋体" w:hAnsi="宋体"/>
          <w:bCs/>
          <w:color w:val="auto"/>
          <w:sz w:val="32"/>
          <w:szCs w:val="32"/>
          <w:highlight w:val="none"/>
        </w:rPr>
      </w:pPr>
    </w:p>
    <w:p w14:paraId="325B7B9B">
      <w:pPr>
        <w:snapToGrid w:val="0"/>
        <w:spacing w:before="156" w:beforeLines="50" w:after="50" w:line="360" w:lineRule="exact"/>
        <w:jc w:val="center"/>
        <w:rPr>
          <w:rFonts w:ascii="宋体" w:hAnsi="宋体"/>
          <w:b/>
          <w:color w:val="auto"/>
          <w:sz w:val="32"/>
          <w:szCs w:val="32"/>
          <w:highlight w:val="none"/>
        </w:rPr>
      </w:pPr>
      <w:r>
        <w:rPr>
          <w:rFonts w:hint="eastAsia" w:ascii="宋体" w:hAnsi="宋体"/>
          <w:b/>
          <w:color w:val="auto"/>
          <w:sz w:val="32"/>
          <w:szCs w:val="32"/>
          <w:highlight w:val="none"/>
        </w:rPr>
        <w:t>二、投标文件目录</w:t>
      </w:r>
    </w:p>
    <w:p w14:paraId="343C2319">
      <w:pPr>
        <w:spacing w:before="69" w:line="184" w:lineRule="auto"/>
        <w:jc w:val="center"/>
        <w:rPr>
          <w:rFonts w:ascii="宋体" w:hAnsi="宋体" w:cs="宋体"/>
          <w:color w:val="auto"/>
          <w:szCs w:val="21"/>
          <w:highlight w:val="none"/>
        </w:rPr>
      </w:pPr>
      <w:r>
        <w:rPr>
          <w:rFonts w:ascii="宋体" w:hAnsi="宋体" w:cs="宋体"/>
          <w:color w:val="auto"/>
          <w:spacing w:val="-1"/>
          <w:szCs w:val="21"/>
          <w:highlight w:val="none"/>
        </w:rPr>
        <w:t>根据招标文件规定及投标人提供的材料自行编写目录。</w:t>
      </w:r>
    </w:p>
    <w:p w14:paraId="6F20491A">
      <w:pPr>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1.资格文件：</w:t>
      </w:r>
    </w:p>
    <w:p w14:paraId="1B2992E0">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（1）投标声明书</w:t>
      </w:r>
      <w:r>
        <w:rPr>
          <w:rFonts w:hint="eastAsia" w:ascii="宋体" w:hAnsi="宋体"/>
          <w:b/>
          <w:bCs/>
          <w:color w:val="auto"/>
          <w:szCs w:val="21"/>
          <w:highlight w:val="none"/>
        </w:rPr>
        <w:t>（必须提供）；</w:t>
      </w:r>
    </w:p>
    <w:p w14:paraId="022A03CE">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（2）北海市政府采购供应商信用承诺函</w:t>
      </w:r>
      <w:r>
        <w:rPr>
          <w:rFonts w:hint="eastAsia" w:ascii="宋体" w:hAnsi="宋体"/>
          <w:b/>
          <w:color w:val="auto"/>
          <w:szCs w:val="21"/>
          <w:highlight w:val="none"/>
        </w:rPr>
        <w:t>（必须提供）；</w:t>
      </w:r>
      <w:r>
        <w:rPr>
          <w:rFonts w:hint="eastAsia" w:ascii="宋体" w:hAnsi="宋体"/>
          <w:color w:val="auto"/>
          <w:szCs w:val="21"/>
          <w:highlight w:val="none"/>
        </w:rPr>
        <w:t xml:space="preserve"> </w:t>
      </w:r>
    </w:p>
    <w:p w14:paraId="5F45AF5D">
      <w:pPr>
        <w:adjustRightInd w:val="0"/>
        <w:snapToGrid w:val="0"/>
        <w:spacing w:line="36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 xml:space="preserve">▲（3）承诺函 </w:t>
      </w:r>
      <w:r>
        <w:rPr>
          <w:rFonts w:hint="eastAsia" w:ascii="宋体" w:hAnsi="宋体"/>
          <w:b/>
          <w:color w:val="auto"/>
          <w:szCs w:val="21"/>
          <w:highlight w:val="none"/>
        </w:rPr>
        <w:t>（格式见第五章，必须提供）</w:t>
      </w:r>
    </w:p>
    <w:p w14:paraId="5DF2548F">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（4）法定代表人（负责人）授权委托书和委托代理人身份证复印件</w:t>
      </w:r>
      <w:r>
        <w:rPr>
          <w:rFonts w:hint="eastAsia" w:ascii="宋体" w:hAnsi="宋体"/>
          <w:b/>
          <w:color w:val="auto"/>
          <w:szCs w:val="21"/>
          <w:highlight w:val="none"/>
        </w:rPr>
        <w:t>（委托代理时必须提供，格式见第五章）</w:t>
      </w:r>
      <w:r>
        <w:rPr>
          <w:rFonts w:hint="eastAsia" w:ascii="宋体" w:hAnsi="宋体"/>
          <w:color w:val="auto"/>
          <w:szCs w:val="21"/>
          <w:highlight w:val="none"/>
        </w:rPr>
        <w:t>；法定代表人（负责人）参加投标时，提供法定代表人（负责人）身份证明书和身份证复印件</w:t>
      </w:r>
      <w:r>
        <w:rPr>
          <w:rFonts w:hint="eastAsia" w:ascii="宋体" w:hAnsi="宋体"/>
          <w:b/>
          <w:color w:val="auto"/>
          <w:szCs w:val="21"/>
          <w:highlight w:val="none"/>
        </w:rPr>
        <w:t>（必须提供，格式见第五章）</w:t>
      </w:r>
      <w:r>
        <w:rPr>
          <w:rFonts w:ascii="宋体" w:hAnsi="宋体" w:cs="Arial"/>
          <w:b/>
          <w:color w:val="auto"/>
          <w:szCs w:val="21"/>
          <w:highlight w:val="none"/>
        </w:rPr>
        <w:t>；</w:t>
      </w:r>
    </w:p>
    <w:p w14:paraId="52F0D6DF">
      <w:pPr>
        <w:pStyle w:val="14"/>
        <w:ind w:firstLine="420" w:firstLineChars="200"/>
        <w:rPr>
          <w:color w:val="auto"/>
          <w:highlight w:val="none"/>
        </w:rPr>
      </w:pPr>
      <w:r>
        <w:rPr>
          <w:rFonts w:hint="eastAsia" w:ascii="宋体" w:hAnsi="宋体"/>
          <w:color w:val="auto"/>
          <w:kern w:val="2"/>
          <w:sz w:val="21"/>
          <w:szCs w:val="24"/>
          <w:highlight w:val="none"/>
        </w:rPr>
        <w:t>▲（5）中小企业声明函（格式后附）</w:t>
      </w:r>
      <w:r>
        <w:rPr>
          <w:rFonts w:hint="eastAsia" w:ascii="宋体" w:hAnsi="宋体"/>
          <w:color w:val="auto"/>
          <w:kern w:val="2"/>
          <w:sz w:val="21"/>
          <w:szCs w:val="21"/>
          <w:highlight w:val="none"/>
        </w:rPr>
        <w:t>；</w:t>
      </w:r>
      <w:r>
        <w:rPr>
          <w:rFonts w:hint="eastAsia" w:ascii="宋体" w:hAnsi="宋体"/>
          <w:b/>
          <w:bCs/>
          <w:color w:val="auto"/>
          <w:kern w:val="2"/>
          <w:sz w:val="21"/>
          <w:szCs w:val="21"/>
          <w:highlight w:val="none"/>
        </w:rPr>
        <w:t>（如为中小企业，须提供）</w:t>
      </w:r>
      <w:r>
        <w:rPr>
          <w:rFonts w:hint="eastAsia" w:ascii="宋体" w:hAnsi="宋体"/>
          <w:color w:val="auto"/>
          <w:kern w:val="2"/>
          <w:sz w:val="21"/>
          <w:szCs w:val="21"/>
          <w:highlight w:val="none"/>
        </w:rPr>
        <w:t>；省级以上监狱管理局、戒毒管理局出具的属于监狱企业的证明文件；</w:t>
      </w:r>
      <w:r>
        <w:rPr>
          <w:rFonts w:hint="eastAsia" w:ascii="宋体" w:hAnsi="宋体"/>
          <w:b/>
          <w:bCs/>
          <w:color w:val="auto"/>
          <w:kern w:val="2"/>
          <w:sz w:val="21"/>
          <w:szCs w:val="21"/>
          <w:highlight w:val="none"/>
        </w:rPr>
        <w:t>（如为监狱企业，须提供）</w:t>
      </w:r>
      <w:r>
        <w:rPr>
          <w:rFonts w:hint="eastAsia" w:ascii="宋体" w:hAnsi="宋体"/>
          <w:color w:val="auto"/>
          <w:kern w:val="2"/>
          <w:sz w:val="21"/>
          <w:szCs w:val="21"/>
          <w:highlight w:val="none"/>
        </w:rPr>
        <w:t>；</w:t>
      </w:r>
    </w:p>
    <w:p w14:paraId="6C5C45F3">
      <w:pPr>
        <w:adjustRightInd w:val="0"/>
        <w:snapToGrid w:val="0"/>
        <w:spacing w:line="36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 xml:space="preserve">可作为投标人资信评分的资质证明材料（可选）  </w:t>
      </w:r>
    </w:p>
    <w:p w14:paraId="290AA764">
      <w:pPr>
        <w:adjustRightInd w:val="0"/>
        <w:snapToGrid w:val="0"/>
        <w:spacing w:line="360" w:lineRule="exact"/>
        <w:ind w:left="63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rPr>
        <w:t>6）</w:t>
      </w:r>
      <w:r>
        <w:rPr>
          <w:rFonts w:hint="eastAsia" w:ascii="宋体" w:hAnsi="宋体"/>
          <w:color w:val="auto"/>
          <w:highlight w:val="none"/>
        </w:rPr>
        <w:t>类似案例成功业绩</w:t>
      </w:r>
      <w:r>
        <w:rPr>
          <w:rFonts w:hint="eastAsia" w:ascii="宋体" w:hAnsi="宋体"/>
          <w:color w:val="auto"/>
          <w:szCs w:val="21"/>
          <w:highlight w:val="none"/>
        </w:rPr>
        <w:t>；</w:t>
      </w:r>
    </w:p>
    <w:p w14:paraId="424239B5">
      <w:pPr>
        <w:pStyle w:val="14"/>
        <w:ind w:left="630"/>
        <w:rPr>
          <w:rFonts w:ascii="宋体" w:hAnsi="宋体"/>
          <w:color w:val="auto"/>
          <w:kern w:val="2"/>
          <w:sz w:val="21"/>
          <w:szCs w:val="24"/>
          <w:highlight w:val="none"/>
        </w:rPr>
      </w:pPr>
      <w:r>
        <w:rPr>
          <w:rFonts w:hint="eastAsia" w:ascii="宋体" w:hAnsi="宋体"/>
          <w:color w:val="auto"/>
          <w:kern w:val="2"/>
          <w:sz w:val="21"/>
          <w:szCs w:val="24"/>
          <w:highlight w:val="none"/>
        </w:rPr>
        <w:t>（7）其他特殊资质证书（如本地化服务能力等）；</w:t>
      </w:r>
    </w:p>
    <w:p w14:paraId="4F94CEFC">
      <w:pPr>
        <w:pStyle w:val="14"/>
        <w:ind w:left="630"/>
        <w:rPr>
          <w:rFonts w:ascii="宋体" w:hAnsi="宋体"/>
          <w:color w:val="auto"/>
          <w:kern w:val="2"/>
          <w:sz w:val="21"/>
          <w:szCs w:val="24"/>
          <w:highlight w:val="none"/>
        </w:rPr>
      </w:pPr>
      <w:r>
        <w:rPr>
          <w:rFonts w:hint="eastAsia" w:ascii="宋体" w:hAnsi="宋体"/>
          <w:color w:val="auto"/>
          <w:kern w:val="2"/>
          <w:sz w:val="21"/>
          <w:szCs w:val="24"/>
          <w:highlight w:val="none"/>
        </w:rPr>
        <w:t>（8）投标人认为可以证明其能力的证明材料；</w:t>
      </w:r>
    </w:p>
    <w:p w14:paraId="15B0FBAE">
      <w:pPr>
        <w:adjustRightInd w:val="0"/>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（9）投标人关于本单位债务纠纷、违法违规记录等方面的情况（内容见投标声明书）；</w:t>
      </w:r>
    </w:p>
    <w:p w14:paraId="2A03BAAE">
      <w:pPr>
        <w:adjustRightInd w:val="0"/>
        <w:snapToGrid w:val="0"/>
        <w:spacing w:line="36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2.商务技术文件</w:t>
      </w:r>
    </w:p>
    <w:p w14:paraId="6594B382">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（1）商务响应表（格式见第五章）</w:t>
      </w:r>
      <w:r>
        <w:rPr>
          <w:rFonts w:hint="eastAsia" w:ascii="宋体" w:hAnsi="宋体"/>
          <w:b/>
          <w:color w:val="auto"/>
          <w:szCs w:val="21"/>
          <w:highlight w:val="none"/>
        </w:rPr>
        <w:t>（必须提供）</w:t>
      </w:r>
      <w:r>
        <w:rPr>
          <w:rFonts w:hint="eastAsia" w:ascii="宋体" w:hAnsi="宋体"/>
          <w:color w:val="auto"/>
          <w:szCs w:val="21"/>
          <w:highlight w:val="none"/>
        </w:rPr>
        <w:t>。</w:t>
      </w:r>
    </w:p>
    <w:p w14:paraId="3ED87F9E">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（2）技术服务响应表</w:t>
      </w:r>
      <w:r>
        <w:rPr>
          <w:rFonts w:hint="eastAsia" w:ascii="宋体" w:hAnsi="宋体"/>
          <w:b/>
          <w:color w:val="auto"/>
          <w:szCs w:val="21"/>
          <w:highlight w:val="none"/>
        </w:rPr>
        <w:t>（必须提供）</w:t>
      </w:r>
      <w:r>
        <w:rPr>
          <w:rFonts w:hint="eastAsia" w:ascii="宋体" w:hAnsi="宋体"/>
          <w:color w:val="auto"/>
          <w:szCs w:val="21"/>
          <w:highlight w:val="none"/>
        </w:rPr>
        <w:t>；</w:t>
      </w:r>
    </w:p>
    <w:p w14:paraId="349C27EE">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（3）</w:t>
      </w:r>
      <w:r>
        <w:rPr>
          <w:rFonts w:hint="eastAsia" w:ascii="宋体" w:hAnsi="宋体"/>
          <w:color w:val="auto"/>
          <w:highlight w:val="none"/>
        </w:rPr>
        <w:t>服务方案</w:t>
      </w:r>
      <w:r>
        <w:rPr>
          <w:rFonts w:hint="eastAsia" w:ascii="宋体" w:hAnsi="宋体"/>
          <w:b/>
          <w:color w:val="auto"/>
          <w:szCs w:val="21"/>
          <w:highlight w:val="none"/>
        </w:rPr>
        <w:t>（格式自拟，必须提供）</w:t>
      </w:r>
      <w:r>
        <w:rPr>
          <w:rFonts w:hint="eastAsia" w:ascii="宋体" w:hAnsi="宋体"/>
          <w:color w:val="auto"/>
          <w:szCs w:val="21"/>
          <w:highlight w:val="none"/>
        </w:rPr>
        <w:t>；</w:t>
      </w:r>
    </w:p>
    <w:p w14:paraId="630F54A2">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▲（4）</w:t>
      </w:r>
      <w:r>
        <w:rPr>
          <w:rFonts w:hint="eastAsia" w:ascii="宋体" w:hAnsi="宋体"/>
          <w:color w:val="auto"/>
          <w:szCs w:val="21"/>
          <w:highlight w:val="none"/>
        </w:rPr>
        <w:t>拟投入项目主要管理人员一览表及资格证明材料；</w:t>
      </w:r>
    </w:p>
    <w:p w14:paraId="6CED5581">
      <w:pPr>
        <w:adjustRightInd w:val="0"/>
        <w:snapToGrid w:val="0"/>
        <w:spacing w:line="360" w:lineRule="exact"/>
        <w:ind w:firstLine="630" w:firstLineChars="300"/>
        <w:jc w:val="left"/>
        <w:rPr>
          <w:rFonts w:ascii="宋体" w:hAnsi="宋体"/>
          <w:color w:val="auto"/>
          <w:szCs w:val="21"/>
          <w:highlight w:val="none"/>
        </w:rPr>
      </w:pPr>
      <w:r>
        <w:rPr>
          <w:rFonts w:hint="eastAsia" w:ascii="宋体" w:hAnsi="宋体"/>
          <w:color w:val="auto"/>
          <w:highlight w:val="none"/>
        </w:rPr>
        <w:t>（5）</w:t>
      </w:r>
      <w:r>
        <w:rPr>
          <w:rFonts w:hint="eastAsia" w:ascii="宋体" w:hAnsi="宋体"/>
          <w:color w:val="auto"/>
          <w:szCs w:val="21"/>
          <w:highlight w:val="none"/>
        </w:rPr>
        <w:t xml:space="preserve">拟投入项目主要机械、设备一览表； </w:t>
      </w:r>
    </w:p>
    <w:p w14:paraId="4870878D">
      <w:pPr>
        <w:adjustRightInd w:val="0"/>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（6）投标人对本项目的合理化建议和改进措施；</w:t>
      </w:r>
    </w:p>
    <w:p w14:paraId="4AE769C1">
      <w:pPr>
        <w:adjustRightInd w:val="0"/>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（7）投标人需要说明的其他文件和说明（格式略）；</w:t>
      </w:r>
    </w:p>
    <w:p w14:paraId="57EC2C3F">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3.报价文件：</w:t>
      </w:r>
    </w:p>
    <w:p w14:paraId="2AAF04D6">
      <w:pPr>
        <w:tabs>
          <w:tab w:val="left" w:pos="3870"/>
          <w:tab w:val="left" w:pos="4085"/>
        </w:tabs>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（1）已标价的报价清单及说明</w:t>
      </w:r>
      <w:r>
        <w:rPr>
          <w:rFonts w:hint="eastAsia" w:ascii="宋体" w:hAnsi="宋体"/>
          <w:b/>
          <w:color w:val="auto"/>
          <w:szCs w:val="21"/>
          <w:highlight w:val="none"/>
        </w:rPr>
        <w:t>（格式见第五章，必须提供</w:t>
      </w:r>
      <w:r>
        <w:rPr>
          <w:rFonts w:hint="eastAsia" w:ascii="宋体" w:hAnsi="宋体"/>
          <w:color w:val="auto"/>
          <w:szCs w:val="21"/>
          <w:highlight w:val="none"/>
        </w:rPr>
        <w:t xml:space="preserve">）； </w:t>
      </w:r>
    </w:p>
    <w:p w14:paraId="427B2A41">
      <w:pPr>
        <w:tabs>
          <w:tab w:val="left" w:pos="3870"/>
          <w:tab w:val="left" w:pos="4085"/>
        </w:tabs>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（2）投标函</w:t>
      </w:r>
      <w:r>
        <w:rPr>
          <w:rFonts w:hint="eastAsia" w:ascii="宋体" w:hAnsi="宋体"/>
          <w:b/>
          <w:color w:val="auto"/>
          <w:szCs w:val="21"/>
          <w:highlight w:val="none"/>
        </w:rPr>
        <w:t>（格式见第五章，必须提供</w:t>
      </w:r>
      <w:r>
        <w:rPr>
          <w:rFonts w:hint="eastAsia" w:ascii="宋体" w:hAnsi="宋体"/>
          <w:color w:val="auto"/>
          <w:szCs w:val="21"/>
          <w:highlight w:val="none"/>
        </w:rPr>
        <w:t>）；</w:t>
      </w:r>
    </w:p>
    <w:p w14:paraId="6C2ADDD9">
      <w:pPr>
        <w:tabs>
          <w:tab w:val="left" w:pos="3870"/>
          <w:tab w:val="left" w:pos="4085"/>
        </w:tabs>
        <w:adjustRightInd w:val="0"/>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14:paraId="56D89EFA">
      <w:pPr>
        <w:tabs>
          <w:tab w:val="left" w:pos="3870"/>
          <w:tab w:val="left" w:pos="4085"/>
        </w:tabs>
        <w:adjustRightInd w:val="0"/>
        <w:snapToGrid w:val="0"/>
        <w:spacing w:line="360" w:lineRule="exact"/>
        <w:ind w:firstLine="420" w:firstLineChars="200"/>
        <w:jc w:val="left"/>
        <w:rPr>
          <w:rFonts w:ascii="宋体" w:hAnsi="宋体"/>
          <w:color w:val="auto"/>
          <w:szCs w:val="21"/>
          <w:highlight w:val="none"/>
        </w:rPr>
      </w:pPr>
    </w:p>
    <w:p w14:paraId="33197D4C">
      <w:pPr>
        <w:pStyle w:val="18"/>
        <w:spacing w:line="360" w:lineRule="exact"/>
        <w:ind w:firstLine="400" w:firstLineChars="200"/>
        <w:rPr>
          <w:rFonts w:ascii="宋体" w:hAnsi="宋体"/>
          <w:b/>
          <w:bCs/>
          <w:color w:val="auto"/>
          <w:sz w:val="21"/>
          <w:szCs w:val="21"/>
          <w:highlight w:val="none"/>
        </w:rPr>
      </w:pPr>
      <w:r>
        <w:rPr>
          <w:rFonts w:hint="eastAsia" w:ascii="宋体" w:hAnsi="宋体"/>
          <w:color w:val="auto"/>
          <w:szCs w:val="21"/>
          <w:highlight w:val="none"/>
        </w:rPr>
        <w:t>▲</w:t>
      </w:r>
      <w:r>
        <w:rPr>
          <w:rFonts w:hint="eastAsia" w:ascii="宋体" w:hAnsi="宋体"/>
          <w:b/>
          <w:bCs/>
          <w:color w:val="auto"/>
          <w:spacing w:val="-2"/>
          <w:kern w:val="2"/>
          <w:sz w:val="21"/>
          <w:szCs w:val="21"/>
          <w:highlight w:val="none"/>
        </w:rPr>
        <w:t>注：</w:t>
      </w:r>
      <w:r>
        <w:rPr>
          <w:rFonts w:hint="eastAsia" w:ascii="宋体" w:hAnsi="宋体"/>
          <w:b/>
          <w:bCs/>
          <w:color w:val="auto"/>
          <w:sz w:val="21"/>
          <w:szCs w:val="21"/>
          <w:highlight w:val="none"/>
        </w:rPr>
        <w:t>特别说明：</w:t>
      </w:r>
    </w:p>
    <w:p w14:paraId="4D844E6D">
      <w:pPr>
        <w:pStyle w:val="18"/>
        <w:spacing w:line="360" w:lineRule="exact"/>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1）法定代表人（负责人）授权委托书必须由法定代表人（负责人）签名并加盖单位公章；承诺函、投标函必须由法定代表人（负责人）或委托代理人签名并加盖单位公章。电子投标文件须加盖公章部分均采用CA签章。</w:t>
      </w:r>
    </w:p>
    <w:p w14:paraId="2D91BEAC">
      <w:pPr>
        <w:pStyle w:val="18"/>
        <w:spacing w:line="360" w:lineRule="exact"/>
        <w:ind w:firstLine="422" w:firstLineChars="200"/>
        <w:rPr>
          <w:rFonts w:ascii="宋体" w:hAnsi="宋体"/>
          <w:b/>
          <w:color w:val="auto"/>
          <w:sz w:val="21"/>
          <w:szCs w:val="21"/>
          <w:highlight w:val="none"/>
        </w:rPr>
      </w:pPr>
      <w:r>
        <w:rPr>
          <w:rFonts w:hint="eastAsia" w:ascii="宋体" w:hAnsi="宋体"/>
          <w:b/>
          <w:color w:val="auto"/>
          <w:sz w:val="21"/>
          <w:szCs w:val="21"/>
          <w:highlight w:val="none"/>
        </w:rPr>
        <w:t>（2）投标文件（包含电子投标文件电子、备份投标文件），纸质投标文件存档，其中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04AC334B">
      <w:pPr>
        <w:pStyle w:val="18"/>
        <w:adjustRightInd w:val="0"/>
        <w:snapToGrid w:val="0"/>
        <w:spacing w:after="0" w:line="360" w:lineRule="exact"/>
        <w:ind w:firstLine="414" w:firstLineChars="200"/>
        <w:rPr>
          <w:rFonts w:ascii="宋体" w:hAnsi="宋体"/>
          <w:b/>
          <w:bCs/>
          <w:color w:val="auto"/>
          <w:spacing w:val="-2"/>
          <w:kern w:val="2"/>
          <w:sz w:val="21"/>
          <w:szCs w:val="21"/>
          <w:highlight w:val="none"/>
        </w:rPr>
      </w:pPr>
    </w:p>
    <w:p w14:paraId="209EB54D">
      <w:pPr>
        <w:snapToGrid w:val="0"/>
        <w:spacing w:before="156" w:beforeLines="50" w:after="50" w:line="360" w:lineRule="exact"/>
        <w:jc w:val="center"/>
        <w:rPr>
          <w:rFonts w:ascii="宋体" w:hAnsi="宋体"/>
          <w:b/>
          <w:color w:val="auto"/>
          <w:sz w:val="32"/>
          <w:szCs w:val="32"/>
          <w:highlight w:val="none"/>
        </w:rPr>
      </w:pPr>
      <w:r>
        <w:rPr>
          <w:rFonts w:hint="eastAsia" w:ascii="宋体" w:hAnsi="宋体"/>
          <w:bCs/>
          <w:color w:val="auto"/>
          <w:sz w:val="32"/>
          <w:szCs w:val="32"/>
          <w:highlight w:val="none"/>
        </w:rPr>
        <w:br w:type="page"/>
      </w:r>
      <w:r>
        <w:rPr>
          <w:rFonts w:hint="eastAsia" w:ascii="宋体" w:hAnsi="宋体"/>
          <w:b/>
          <w:color w:val="auto"/>
          <w:sz w:val="32"/>
          <w:szCs w:val="32"/>
          <w:highlight w:val="none"/>
        </w:rPr>
        <w:t>三、投标文件格式</w:t>
      </w:r>
    </w:p>
    <w:p w14:paraId="04FDAE37">
      <w:pPr>
        <w:snapToGrid w:val="0"/>
        <w:spacing w:before="50" w:after="156" w:afterLines="50" w:line="360" w:lineRule="exact"/>
        <w:jc w:val="left"/>
        <w:rPr>
          <w:rFonts w:ascii="宋体" w:hAnsi="宋体"/>
          <w:b/>
          <w:color w:val="auto"/>
          <w:szCs w:val="21"/>
          <w:highlight w:val="none"/>
        </w:rPr>
      </w:pPr>
      <w:r>
        <w:rPr>
          <w:rFonts w:hint="eastAsia" w:ascii="宋体" w:hAnsi="宋体"/>
          <w:b/>
          <w:color w:val="auto"/>
          <w:szCs w:val="21"/>
          <w:highlight w:val="none"/>
        </w:rPr>
        <w:t>（一）</w:t>
      </w:r>
      <w:r>
        <w:rPr>
          <w:rFonts w:hint="eastAsia" w:ascii="宋体" w:hAnsi="宋体"/>
          <w:b/>
          <w:bCs/>
          <w:color w:val="auto"/>
          <w:szCs w:val="21"/>
          <w:highlight w:val="none"/>
        </w:rPr>
        <w:t>资格文件部分（格式）</w:t>
      </w:r>
    </w:p>
    <w:p w14:paraId="5CB00EE5">
      <w:pPr>
        <w:snapToGrid w:val="0"/>
        <w:spacing w:line="360" w:lineRule="auto"/>
        <w:ind w:firstLine="207" w:firstLineChars="98"/>
        <w:jc w:val="left"/>
        <w:rPr>
          <w:b/>
          <w:color w:val="auto"/>
          <w:sz w:val="24"/>
          <w:highlight w:val="none"/>
        </w:rPr>
      </w:pPr>
      <w:r>
        <w:rPr>
          <w:rFonts w:hint="eastAsia" w:ascii="宋体" w:hAnsi="宋体"/>
          <w:b/>
          <w:color w:val="auto"/>
          <w:szCs w:val="21"/>
          <w:highlight w:val="none"/>
        </w:rPr>
        <w:t>▲（1）投标声明书；（必须提供）</w:t>
      </w:r>
    </w:p>
    <w:p w14:paraId="1CA3ACC5">
      <w:pPr>
        <w:snapToGrid w:val="0"/>
        <w:spacing w:before="156" w:beforeLines="50" w:after="50"/>
        <w:jc w:val="center"/>
        <w:rPr>
          <w:rFonts w:ascii="宋体"/>
          <w:b/>
          <w:color w:val="auto"/>
          <w:sz w:val="24"/>
          <w:highlight w:val="none"/>
        </w:rPr>
      </w:pPr>
      <w:r>
        <w:rPr>
          <w:rFonts w:hint="eastAsia" w:ascii="宋体" w:hAnsi="宋体"/>
          <w:b/>
          <w:color w:val="auto"/>
          <w:sz w:val="24"/>
          <w:highlight w:val="none"/>
        </w:rPr>
        <w:t>投标声明书</w:t>
      </w:r>
    </w:p>
    <w:p w14:paraId="1F6B2131">
      <w:pPr>
        <w:snapToGrid w:val="0"/>
        <w:spacing w:before="156" w:beforeLines="50" w:after="50" w:line="360" w:lineRule="auto"/>
        <w:rPr>
          <w:rFonts w:asci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14:paraId="78FEB5B4">
      <w:pPr>
        <w:snapToGrid w:val="0"/>
        <w:spacing w:before="156" w:beforeLines="50" w:after="50" w:line="360" w:lineRule="auto"/>
        <w:ind w:firstLine="720" w:firstLineChars="300"/>
        <w:rPr>
          <w:rFonts w:ascii="宋体"/>
          <w:color w:val="auto"/>
          <w:sz w:val="24"/>
          <w:highlight w:val="none"/>
        </w:rPr>
      </w:pPr>
      <w:r>
        <w:rPr>
          <w:rFonts w:hint="eastAsia" w:ascii="宋体" w:hAnsi="宋体"/>
          <w:color w:val="auto"/>
          <w:sz w:val="24"/>
          <w:highlight w:val="none"/>
          <w:u w:val="single"/>
        </w:rPr>
        <w:t>（投标人名称）</w:t>
      </w:r>
      <w:r>
        <w:rPr>
          <w:rFonts w:ascii="宋体" w:hAnsi="宋体"/>
          <w:color w:val="auto"/>
          <w:sz w:val="24"/>
          <w:highlight w:val="none"/>
          <w:u w:val="single"/>
        </w:rPr>
        <w:t xml:space="preserve"> </w:t>
      </w:r>
      <w:r>
        <w:rPr>
          <w:rFonts w:hint="eastAsia" w:ascii="宋体" w:hAnsi="宋体"/>
          <w:color w:val="auto"/>
          <w:sz w:val="24"/>
          <w:highlight w:val="none"/>
        </w:rPr>
        <w:t>系中华人民共和国合法企业，经营地址</w:t>
      </w:r>
      <w:r>
        <w:rPr>
          <w:rFonts w:ascii="宋体" w:hAnsi="宋体"/>
          <w:color w:val="auto"/>
          <w:sz w:val="24"/>
          <w:highlight w:val="none"/>
          <w:u w:val="single"/>
        </w:rPr>
        <w:t xml:space="preserve">                               </w:t>
      </w:r>
      <w:r>
        <w:rPr>
          <w:rFonts w:hint="eastAsia" w:ascii="宋体" w:hAnsi="宋体"/>
          <w:color w:val="auto"/>
          <w:sz w:val="24"/>
          <w:highlight w:val="none"/>
        </w:rPr>
        <w:t>。</w:t>
      </w:r>
    </w:p>
    <w:p w14:paraId="3E936883">
      <w:pPr>
        <w:snapToGrid w:val="0"/>
        <w:spacing w:before="156" w:beforeLines="50" w:line="360" w:lineRule="auto"/>
        <w:ind w:firstLine="480" w:firstLineChars="200"/>
        <w:rPr>
          <w:rFonts w:ascii="宋体"/>
          <w:color w:val="auto"/>
          <w:sz w:val="24"/>
          <w:highlight w:val="none"/>
        </w:rPr>
      </w:pPr>
      <w:r>
        <w:rPr>
          <w:rFonts w:hint="eastAsia" w:ascii="宋体" w:hAnsi="宋体"/>
          <w:color w:val="auto"/>
          <w:sz w:val="24"/>
          <w:highlight w:val="none"/>
        </w:rPr>
        <w:t>我</w:t>
      </w:r>
      <w:r>
        <w:rPr>
          <w:rFonts w:ascii="宋体" w:hAnsi="宋体"/>
          <w:color w:val="auto"/>
          <w:sz w:val="24"/>
          <w:highlight w:val="none"/>
        </w:rPr>
        <w:t xml:space="preserve"> </w:t>
      </w:r>
      <w:r>
        <w:rPr>
          <w:rFonts w:hint="eastAsia" w:ascii="宋体" w:hAnsi="宋体"/>
          <w:color w:val="auto"/>
          <w:sz w:val="24"/>
          <w:highlight w:val="none"/>
          <w:u w:val="single"/>
        </w:rPr>
        <w:t>（姓名）</w:t>
      </w:r>
      <w:r>
        <w:rPr>
          <w:rFonts w:ascii="宋体" w:hAnsi="宋体"/>
          <w:color w:val="auto"/>
          <w:sz w:val="24"/>
          <w:highlight w:val="none"/>
          <w:u w:val="single"/>
        </w:rPr>
        <w:t xml:space="preserve">  </w:t>
      </w:r>
      <w:r>
        <w:rPr>
          <w:rFonts w:hint="eastAsia" w:ascii="宋体" w:hAnsi="宋体"/>
          <w:color w:val="auto"/>
          <w:sz w:val="24"/>
          <w:highlight w:val="none"/>
        </w:rPr>
        <w:t>系</w:t>
      </w:r>
      <w:r>
        <w:rPr>
          <w:rFonts w:hint="eastAsia" w:ascii="宋体" w:hAnsi="宋体"/>
          <w:color w:val="auto"/>
          <w:sz w:val="24"/>
          <w:highlight w:val="none"/>
          <w:u w:val="single"/>
        </w:rPr>
        <w:t>（投标人名称）</w:t>
      </w:r>
      <w:r>
        <w:rPr>
          <w:rFonts w:hint="eastAsia" w:ascii="宋体" w:hAnsi="宋体"/>
          <w:color w:val="auto"/>
          <w:sz w:val="24"/>
          <w:highlight w:val="none"/>
        </w:rPr>
        <w:t>的法定代表人，我方愿意参加贵方组织的</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（项目全称 </w:t>
      </w:r>
      <w:r>
        <w:rPr>
          <w:rFonts w:hint="eastAsia" w:ascii="宋体" w:hAnsi="宋体"/>
          <w:color w:val="auto"/>
          <w:sz w:val="24"/>
          <w:highlight w:val="none"/>
        </w:rPr>
        <w:t>的投标，为便于贵方公正、择优地确定中标人及其投标服务，我方就本次投标有关事项郑重声明如下：</w:t>
      </w:r>
    </w:p>
    <w:p w14:paraId="0EC34DA4">
      <w:pPr>
        <w:snapToGrid w:val="0"/>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我方向贵方提交的所有投标文件、资料都是准确的和真实的。</w:t>
      </w:r>
    </w:p>
    <w:p w14:paraId="7D5A5E12">
      <w:pPr>
        <w:snapToGrid w:val="0"/>
        <w:spacing w:before="156" w:beforeLines="5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我方不是采购人的附属机构；在获知本项目采购信息后，与采购人聘请的为此项目提供咨询服务的公司及其附属机构没有任何联系。</w:t>
      </w:r>
    </w:p>
    <w:p w14:paraId="3EA003AA">
      <w:pPr>
        <w:pStyle w:val="11"/>
        <w:snapToGrid w:val="0"/>
        <w:spacing w:line="360" w:lineRule="auto"/>
        <w:ind w:firstLine="480" w:firstLineChars="200"/>
        <w:rPr>
          <w:rFonts w:ascii="宋体" w:eastAsia="宋体"/>
          <w:color w:val="auto"/>
          <w:sz w:val="24"/>
          <w:szCs w:val="24"/>
          <w:highlight w:val="none"/>
          <w:u w:val="single"/>
        </w:rPr>
      </w:pPr>
      <w:r>
        <w:rPr>
          <w:rFonts w:ascii="宋体" w:hAnsi="宋体" w:eastAsia="宋体"/>
          <w:color w:val="auto"/>
          <w:sz w:val="24"/>
          <w:szCs w:val="24"/>
          <w:highlight w:val="none"/>
        </w:rPr>
        <w:t xml:space="preserve">3. </w:t>
      </w:r>
      <w:r>
        <w:rPr>
          <w:rFonts w:hint="eastAsia" w:ascii="宋体" w:hAnsi="宋体" w:eastAsia="宋体"/>
          <w:color w:val="auto"/>
          <w:sz w:val="24"/>
          <w:szCs w:val="24"/>
          <w:highlight w:val="none"/>
        </w:rPr>
        <w:t>对于投标事宜如有虚假或隐瞒，我方愿意承担一切后果，并不再寻求任何旨在减轻或免除法律责任的辩解。</w:t>
      </w:r>
    </w:p>
    <w:p w14:paraId="5A63050C">
      <w:pPr>
        <w:spacing w:line="360" w:lineRule="auto"/>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我方就对本次投标文件进行注明如下：（两项内容中必须选择一项）</w:t>
      </w:r>
    </w:p>
    <w:p w14:paraId="4D10BF15">
      <w:pPr>
        <w:spacing w:line="360" w:lineRule="auto"/>
        <w:ind w:firstLine="480" w:firstLineChars="200"/>
        <w:rPr>
          <w:rFonts w:ascii="宋体"/>
          <w:color w:val="auto"/>
          <w:sz w:val="24"/>
          <w:highlight w:val="none"/>
        </w:rPr>
      </w:pPr>
      <w:r>
        <w:rPr>
          <w:rFonts w:hint="eastAsia" w:ascii="宋体" w:hAnsi="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olor w:val="auto"/>
          <w:sz w:val="24"/>
          <w:highlight w:val="none"/>
        </w:rPr>
        <w:t>未</w:t>
      </w:r>
      <w:r>
        <w:rPr>
          <w:rFonts w:hint="eastAsia" w:ascii="宋体" w:hAnsi="宋体" w:cs="宋体"/>
          <w:color w:val="auto"/>
          <w:kern w:val="0"/>
          <w:sz w:val="24"/>
          <w:highlight w:val="none"/>
        </w:rPr>
        <w:t>涉及商业秘密；</w:t>
      </w:r>
    </w:p>
    <w:p w14:paraId="1B68D2D1">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□我方本次投标文件</w:t>
      </w:r>
      <w:r>
        <w:rPr>
          <w:rFonts w:hint="eastAsia" w:ascii="宋体" w:hAnsi="宋体" w:cs="宋体"/>
          <w:color w:val="auto"/>
          <w:kern w:val="0"/>
          <w:sz w:val="24"/>
          <w:highlight w:val="none"/>
        </w:rPr>
        <w:t>涉及商业秘密的内容有：</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D9BCDAB">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5. </w:t>
      </w:r>
      <w:r>
        <w:rPr>
          <w:rFonts w:hint="eastAsia" w:ascii="宋体" w:hAnsi="宋体"/>
          <w:color w:val="auto"/>
          <w:sz w:val="24"/>
          <w:highlight w:val="none"/>
        </w:rPr>
        <w:t>我方在此声明，我方及由本人担任法定代表人的其他机构在参加本项目的政府采购活动前三年内，在经营活动中没有重大违法记录，符合招标文件规定的投标人条件，我方对此声明负全部法律责任。</w:t>
      </w:r>
    </w:p>
    <w:p w14:paraId="021CE1C8">
      <w:pPr>
        <w:pStyle w:val="12"/>
        <w:tabs>
          <w:tab w:val="left" w:pos="939"/>
        </w:tabs>
        <w:snapToGrid w:val="0"/>
        <w:spacing w:line="360" w:lineRule="auto"/>
        <w:ind w:left="773" w:leftChars="150" w:hanging="458" w:hangingChars="191"/>
        <w:rPr>
          <w:rFonts w:ascii="宋体"/>
          <w:color w:val="auto"/>
          <w:sz w:val="24"/>
          <w:highlight w:val="none"/>
        </w:rPr>
      </w:pPr>
    </w:p>
    <w:p w14:paraId="7AE354B9">
      <w:pPr>
        <w:pStyle w:val="29"/>
        <w:snapToGrid w:val="0"/>
        <w:spacing w:before="156" w:beforeLines="50" w:line="360" w:lineRule="auto"/>
        <w:ind w:firstLine="410" w:firstLineChars="171"/>
        <w:rPr>
          <w:rFonts w:ascii="宋体"/>
          <w:color w:val="auto"/>
          <w:szCs w:val="24"/>
          <w:highlight w:val="none"/>
        </w:rPr>
      </w:pPr>
      <w:r>
        <w:rPr>
          <w:rFonts w:hint="eastAsia" w:ascii="宋体" w:hAnsi="宋体"/>
          <w:color w:val="auto"/>
          <w:szCs w:val="24"/>
          <w:highlight w:val="none"/>
        </w:rPr>
        <w:t>投标人公章：</w:t>
      </w:r>
      <w:r>
        <w:rPr>
          <w:rFonts w:ascii="宋体" w:hAnsi="宋体"/>
          <w:color w:val="auto"/>
          <w:szCs w:val="24"/>
          <w:highlight w:val="none"/>
          <w:u w:val="single"/>
        </w:rPr>
        <w:t xml:space="preserve">                 </w:t>
      </w:r>
    </w:p>
    <w:p w14:paraId="786296AA">
      <w:pPr>
        <w:snapToGrid w:val="0"/>
        <w:spacing w:before="156" w:beforeLines="50" w:line="360" w:lineRule="auto"/>
        <w:ind w:right="480" w:firstLine="480" w:firstLineChars="200"/>
        <w:rPr>
          <w:rFonts w:ascii="宋体"/>
          <w:color w:val="auto"/>
          <w:sz w:val="24"/>
          <w:highlight w:val="none"/>
          <w:u w:val="single"/>
        </w:rPr>
      </w:pPr>
      <w:r>
        <w:rPr>
          <w:rFonts w:hint="eastAsia" w:ascii="宋体" w:hAnsi="宋体"/>
          <w:color w:val="auto"/>
          <w:sz w:val="24"/>
          <w:highlight w:val="none"/>
        </w:rPr>
        <w:t>法定代表人签字：</w:t>
      </w:r>
      <w:r>
        <w:rPr>
          <w:rFonts w:ascii="宋体" w:hAnsi="宋体"/>
          <w:color w:val="auto"/>
          <w:sz w:val="24"/>
          <w:highlight w:val="none"/>
          <w:u w:val="single"/>
        </w:rPr>
        <w:t xml:space="preserve">             </w:t>
      </w:r>
    </w:p>
    <w:p w14:paraId="46BFC135">
      <w:pPr>
        <w:snapToGrid w:val="0"/>
        <w:spacing w:before="50" w:after="156" w:afterLines="50" w:line="340" w:lineRule="exact"/>
        <w:jc w:val="left"/>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4BDB1C06">
      <w:pPr>
        <w:snapToGrid w:val="0"/>
        <w:spacing w:before="50" w:after="156" w:afterLines="50" w:line="360" w:lineRule="exact"/>
        <w:ind w:firstLine="420" w:firstLineChars="200"/>
        <w:jc w:val="left"/>
        <w:rPr>
          <w:rFonts w:ascii="宋体" w:hAnsi="宋体" w:cs="宋体"/>
          <w:b/>
          <w:bCs/>
          <w:color w:val="auto"/>
          <w:kern w:val="0"/>
          <w:sz w:val="24"/>
          <w:highlight w:val="none"/>
          <w:lang w:bidi="ar"/>
        </w:rPr>
      </w:pPr>
      <w:r>
        <w:rPr>
          <w:rFonts w:hint="eastAsia" w:ascii="宋体" w:hAnsi="宋体"/>
          <w:color w:val="auto"/>
          <w:highlight w:val="none"/>
        </w:rPr>
        <w:br w:type="page"/>
      </w:r>
      <w:r>
        <w:rPr>
          <w:rFonts w:hint="eastAsia" w:ascii="宋体" w:hAnsi="宋体"/>
          <w:b/>
          <w:color w:val="auto"/>
          <w:szCs w:val="21"/>
          <w:highlight w:val="none"/>
        </w:rPr>
        <w:t>▲（2）北海市政府采购供应商信用承诺函（必须提供）</w:t>
      </w:r>
    </w:p>
    <w:p w14:paraId="33F49CBF">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lang w:bidi="ar"/>
        </w:rPr>
        <w:t>致（采购人或采购代理机构）：</w:t>
      </w:r>
    </w:p>
    <w:p w14:paraId="4F45FF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供应商名称：</w:t>
      </w:r>
    </w:p>
    <w:p w14:paraId="12556B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统一社会信用代码：</w:t>
      </w:r>
    </w:p>
    <w:p w14:paraId="3A105D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供应商地址：</w:t>
      </w:r>
    </w:p>
    <w:p w14:paraId="5E3D6A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09B18137">
      <w:pPr>
        <w:widowControl/>
        <w:spacing w:line="360" w:lineRule="auto"/>
        <w:ind w:firstLine="547" w:firstLineChars="228"/>
        <w:jc w:val="left"/>
        <w:rPr>
          <w:rFonts w:ascii="宋体" w:hAnsi="宋体" w:cs="宋体"/>
          <w:color w:val="auto"/>
          <w:sz w:val="24"/>
          <w:highlight w:val="none"/>
        </w:rPr>
      </w:pPr>
      <w:r>
        <w:rPr>
          <w:rFonts w:hint="eastAsia" w:ascii="宋体" w:hAnsi="宋体" w:cs="宋体"/>
          <w:color w:val="auto"/>
          <w:kern w:val="0"/>
          <w:sz w:val="24"/>
          <w:highlight w:val="none"/>
          <w:lang w:bidi="ar"/>
        </w:rPr>
        <w:t>1.我单位具有符合采购文件资格要求独立承担民事责任的能力。</w:t>
      </w:r>
    </w:p>
    <w:p w14:paraId="0D7F17B3">
      <w:pPr>
        <w:widowControl/>
        <w:spacing w:line="360" w:lineRule="auto"/>
        <w:ind w:firstLine="547" w:firstLineChars="228"/>
        <w:jc w:val="left"/>
        <w:rPr>
          <w:rFonts w:ascii="宋体" w:hAnsi="宋体" w:cs="宋体"/>
          <w:color w:val="auto"/>
          <w:sz w:val="24"/>
          <w:highlight w:val="none"/>
        </w:rPr>
      </w:pPr>
      <w:r>
        <w:rPr>
          <w:rFonts w:hint="eastAsia" w:ascii="宋体" w:hAnsi="宋体" w:cs="宋体"/>
          <w:color w:val="auto"/>
          <w:kern w:val="0"/>
          <w:sz w:val="24"/>
          <w:highlight w:val="none"/>
          <w:lang w:bidi="ar"/>
        </w:rPr>
        <w:t>2.我单位具有符合采购文件资格要求的财务状况报告。</w:t>
      </w:r>
    </w:p>
    <w:p w14:paraId="25C22CAC">
      <w:pPr>
        <w:widowControl/>
        <w:spacing w:line="360" w:lineRule="auto"/>
        <w:ind w:firstLine="547" w:firstLineChars="228"/>
        <w:jc w:val="left"/>
        <w:rPr>
          <w:rFonts w:ascii="宋体" w:hAnsi="宋体" w:cs="宋体"/>
          <w:color w:val="auto"/>
          <w:sz w:val="24"/>
          <w:highlight w:val="none"/>
        </w:rPr>
      </w:pPr>
      <w:r>
        <w:rPr>
          <w:rFonts w:hint="eastAsia" w:ascii="宋体" w:hAnsi="宋体" w:cs="宋体"/>
          <w:color w:val="auto"/>
          <w:kern w:val="0"/>
          <w:sz w:val="24"/>
          <w:highlight w:val="none"/>
          <w:lang w:bidi="ar"/>
        </w:rPr>
        <w:t>3.我单位具有符合采购文件资格要求的依法缴纳税收和社会保障记录的良好记录。</w:t>
      </w:r>
    </w:p>
    <w:p w14:paraId="6C640F65">
      <w:pPr>
        <w:widowControl/>
        <w:spacing w:line="360" w:lineRule="auto"/>
        <w:ind w:firstLine="547" w:firstLineChars="228"/>
        <w:jc w:val="left"/>
        <w:rPr>
          <w:rFonts w:ascii="宋体" w:hAnsi="宋体" w:cs="宋体"/>
          <w:color w:val="auto"/>
          <w:sz w:val="24"/>
          <w:highlight w:val="none"/>
        </w:rPr>
      </w:pPr>
      <w:r>
        <w:rPr>
          <w:rFonts w:hint="eastAsia" w:ascii="宋体" w:hAnsi="宋体" w:cs="宋体"/>
          <w:color w:val="auto"/>
          <w:kern w:val="0"/>
          <w:sz w:val="24"/>
          <w:highlight w:val="none"/>
          <w:lang w:bidi="ar"/>
        </w:rPr>
        <w:t>4.我单位具有符合采购文件资格要求履行合同所必需的设备和专业技术能力。</w:t>
      </w:r>
    </w:p>
    <w:p w14:paraId="2E70240B">
      <w:pPr>
        <w:widowControl/>
        <w:spacing w:line="360" w:lineRule="auto"/>
        <w:ind w:firstLine="547" w:firstLineChars="228"/>
        <w:jc w:val="left"/>
        <w:rPr>
          <w:rFonts w:ascii="宋体" w:hAnsi="宋体" w:cs="宋体"/>
          <w:color w:val="auto"/>
          <w:sz w:val="24"/>
          <w:highlight w:val="none"/>
        </w:rPr>
      </w:pPr>
      <w:r>
        <w:rPr>
          <w:rFonts w:hint="eastAsia" w:ascii="宋体" w:hAnsi="宋体" w:cs="宋体"/>
          <w:color w:val="auto"/>
          <w:kern w:val="0"/>
          <w:sz w:val="24"/>
          <w:highlight w:val="none"/>
          <w:lang w:bidi="ar"/>
        </w:rPr>
        <w:t>5.参加政府采购活动前三年内，在经营活动中没有重大违法记录。</w:t>
      </w:r>
    </w:p>
    <w:p w14:paraId="74C5FACA">
      <w:pPr>
        <w:widowControl/>
        <w:spacing w:line="360" w:lineRule="auto"/>
        <w:ind w:firstLine="547" w:firstLineChars="228"/>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若我单位承诺不实，自愿承担提供虚假材料谋取中标、成交的法律责任。</w:t>
      </w:r>
    </w:p>
    <w:p w14:paraId="734A0A7C">
      <w:pPr>
        <w:widowControl/>
        <w:spacing w:line="360" w:lineRule="auto"/>
        <w:jc w:val="left"/>
        <w:rPr>
          <w:rFonts w:ascii="宋体" w:hAnsi="宋体" w:cs="宋体"/>
          <w:color w:val="auto"/>
          <w:sz w:val="24"/>
          <w:highlight w:val="none"/>
          <w:u w:val="single"/>
        </w:rPr>
      </w:pPr>
      <w:r>
        <w:rPr>
          <w:rFonts w:hint="eastAsia" w:ascii="宋体" w:hAnsi="宋体" w:cs="宋体"/>
          <w:color w:val="auto"/>
          <w:kern w:val="0"/>
          <w:sz w:val="24"/>
          <w:highlight w:val="none"/>
          <w:lang w:bidi="ar"/>
        </w:rPr>
        <w:t>供应商名称（公章）：</w:t>
      </w:r>
    </w:p>
    <w:p w14:paraId="6D875214">
      <w:pPr>
        <w:widowControl/>
        <w:spacing w:line="360" w:lineRule="auto"/>
        <w:jc w:val="left"/>
        <w:rPr>
          <w:rFonts w:ascii="宋体" w:hAnsi="宋体" w:cs="宋体"/>
          <w:color w:val="auto"/>
          <w:sz w:val="24"/>
          <w:highlight w:val="none"/>
          <w:u w:val="single"/>
        </w:rPr>
      </w:pPr>
      <w:r>
        <w:rPr>
          <w:rFonts w:hint="eastAsia" w:ascii="宋体" w:hAnsi="宋体" w:cs="宋体"/>
          <w:color w:val="auto"/>
          <w:kern w:val="0"/>
          <w:sz w:val="24"/>
          <w:highlight w:val="none"/>
          <w:lang w:bidi="ar"/>
        </w:rPr>
        <w:t>法定代表人或授权代表(签名)：</w:t>
      </w:r>
    </w:p>
    <w:p w14:paraId="627BF1F9">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lang w:bidi="ar"/>
        </w:rPr>
        <w:t>日期：    年   月   日</w:t>
      </w:r>
    </w:p>
    <w:p w14:paraId="5324D473">
      <w:pPr>
        <w:widowControl/>
        <w:spacing w:line="360" w:lineRule="auto"/>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注：1.供应商须在投标（响应）文件中按此模板提供承诺函，未提供视为未实质性响应招标（采购）文件要求，按无效投标（响应）处理。2.供应商的法定代表人（其他组织的为负责人）或者授权代表的签名或盖章应真实、有效，如‛授权代表签名或盖章的，应提供“法定代表人授权书”。</w:t>
      </w:r>
    </w:p>
    <w:p w14:paraId="0172A0BD">
      <w:pPr>
        <w:snapToGrid w:val="0"/>
        <w:spacing w:before="50" w:after="156" w:afterLines="50" w:line="360" w:lineRule="exact"/>
        <w:jc w:val="left"/>
        <w:rPr>
          <w:rFonts w:ascii="宋体" w:hAnsi="宋体"/>
          <w:b/>
          <w:color w:val="auto"/>
          <w:szCs w:val="21"/>
          <w:highlight w:val="none"/>
        </w:rPr>
      </w:pPr>
    </w:p>
    <w:p w14:paraId="28AFA0D3">
      <w:pPr>
        <w:snapToGrid w:val="0"/>
        <w:spacing w:before="50" w:after="156" w:afterLines="50" w:line="360" w:lineRule="exact"/>
        <w:jc w:val="left"/>
        <w:rPr>
          <w:rFonts w:ascii="宋体" w:hAnsi="宋体"/>
          <w:b/>
          <w:color w:val="auto"/>
          <w:szCs w:val="21"/>
          <w:highlight w:val="none"/>
        </w:rPr>
      </w:pPr>
    </w:p>
    <w:p w14:paraId="633CFCB9">
      <w:pPr>
        <w:snapToGrid w:val="0"/>
        <w:spacing w:before="50" w:after="156" w:afterLines="50" w:line="360" w:lineRule="exact"/>
        <w:jc w:val="left"/>
        <w:rPr>
          <w:rFonts w:ascii="宋体" w:hAnsi="宋体"/>
          <w:b/>
          <w:color w:val="auto"/>
          <w:szCs w:val="21"/>
          <w:highlight w:val="none"/>
        </w:rPr>
      </w:pPr>
    </w:p>
    <w:p w14:paraId="4750BA09">
      <w:pPr>
        <w:snapToGrid w:val="0"/>
        <w:spacing w:before="50" w:after="156" w:afterLines="50" w:line="360" w:lineRule="exact"/>
        <w:jc w:val="left"/>
        <w:rPr>
          <w:rFonts w:ascii="宋体" w:hAnsi="宋体"/>
          <w:b/>
          <w:color w:val="auto"/>
          <w:szCs w:val="21"/>
          <w:highlight w:val="none"/>
        </w:rPr>
      </w:pPr>
    </w:p>
    <w:p w14:paraId="610EF681">
      <w:pPr>
        <w:snapToGrid w:val="0"/>
        <w:spacing w:before="50" w:after="156" w:afterLines="50" w:line="360" w:lineRule="exact"/>
        <w:jc w:val="left"/>
        <w:rPr>
          <w:rFonts w:ascii="宋体" w:hAnsi="宋体"/>
          <w:b/>
          <w:color w:val="auto"/>
          <w:szCs w:val="21"/>
          <w:highlight w:val="none"/>
        </w:rPr>
      </w:pPr>
    </w:p>
    <w:p w14:paraId="329C5789">
      <w:pPr>
        <w:snapToGrid w:val="0"/>
        <w:spacing w:before="50" w:after="156" w:afterLines="50" w:line="360" w:lineRule="exact"/>
        <w:jc w:val="left"/>
        <w:rPr>
          <w:rFonts w:ascii="宋体" w:hAnsi="宋体"/>
          <w:b/>
          <w:color w:val="auto"/>
          <w:szCs w:val="21"/>
          <w:highlight w:val="none"/>
        </w:rPr>
      </w:pPr>
    </w:p>
    <w:p w14:paraId="758F22B7">
      <w:pPr>
        <w:snapToGrid w:val="0"/>
        <w:spacing w:before="50" w:after="156" w:afterLines="50" w:line="360" w:lineRule="exact"/>
        <w:ind w:firstLine="420" w:firstLineChars="200"/>
        <w:jc w:val="left"/>
        <w:rPr>
          <w:rFonts w:ascii="宋体" w:hAnsi="宋体"/>
          <w:b/>
          <w:color w:val="auto"/>
          <w:szCs w:val="21"/>
          <w:highlight w:val="none"/>
        </w:rPr>
      </w:pPr>
      <w:r>
        <w:rPr>
          <w:rFonts w:hint="eastAsia" w:hAnsi="宋体"/>
          <w:color w:val="auto"/>
          <w:highlight w:val="none"/>
        </w:rPr>
        <w:br w:type="page"/>
      </w:r>
      <w:r>
        <w:rPr>
          <w:rFonts w:hint="eastAsia" w:hAnsi="宋体"/>
          <w:color w:val="auto"/>
          <w:highlight w:val="none"/>
        </w:rPr>
        <w:t>▲</w:t>
      </w:r>
      <w:r>
        <w:rPr>
          <w:rFonts w:hint="eastAsia" w:ascii="宋体" w:hAnsi="宋体"/>
          <w:b/>
          <w:color w:val="auto"/>
          <w:szCs w:val="21"/>
          <w:highlight w:val="none"/>
        </w:rPr>
        <w:t>（3）承诺函格式：（必须提供）</w:t>
      </w:r>
    </w:p>
    <w:p w14:paraId="5DF4D6E6">
      <w:pPr>
        <w:snapToGrid w:val="0"/>
        <w:spacing w:before="156" w:beforeLines="50" w:after="50" w:line="360" w:lineRule="exact"/>
        <w:jc w:val="center"/>
        <w:rPr>
          <w:rFonts w:ascii="仿宋_GB2312" w:hAnsi="宋体" w:eastAsia="仿宋_GB2312"/>
          <w:b/>
          <w:color w:val="auto"/>
          <w:sz w:val="30"/>
          <w:szCs w:val="30"/>
          <w:highlight w:val="none"/>
        </w:rPr>
      </w:pPr>
    </w:p>
    <w:p w14:paraId="7A089924">
      <w:pPr>
        <w:ind w:firstLine="640" w:firstLineChars="200"/>
        <w:jc w:val="center"/>
        <w:rPr>
          <w:rFonts w:ascii="黑体" w:hAnsi="黑体" w:eastAsia="黑体"/>
          <w:color w:val="auto"/>
          <w:kern w:val="0"/>
          <w:sz w:val="32"/>
          <w:szCs w:val="21"/>
          <w:highlight w:val="none"/>
        </w:rPr>
      </w:pPr>
      <w:r>
        <w:rPr>
          <w:rFonts w:hint="eastAsia" w:ascii="黑体" w:hAnsi="黑体" w:eastAsia="黑体"/>
          <w:color w:val="auto"/>
          <w:kern w:val="0"/>
          <w:sz w:val="32"/>
          <w:szCs w:val="21"/>
          <w:highlight w:val="none"/>
        </w:rPr>
        <w:t>承诺函（格式）</w:t>
      </w:r>
    </w:p>
    <w:p w14:paraId="19DEF1B2">
      <w:pPr>
        <w:widowControl/>
        <w:ind w:firstLine="640" w:firstLineChars="200"/>
        <w:jc w:val="left"/>
        <w:rPr>
          <w:rFonts w:ascii="仿宋_GB2312" w:hAnsi="宋体" w:eastAsia="仿宋_GB2312"/>
          <w:color w:val="auto"/>
          <w:kern w:val="0"/>
          <w:sz w:val="32"/>
          <w:szCs w:val="21"/>
          <w:highlight w:val="none"/>
        </w:rPr>
      </w:pPr>
    </w:p>
    <w:p w14:paraId="2504F34A">
      <w:pPr>
        <w:widowControl/>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广西向海韵工程咨询有限公司：</w:t>
      </w:r>
    </w:p>
    <w:p w14:paraId="635BFA34">
      <w:pPr>
        <w:widowControl/>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我方作为本次采购项目的投标人，根据招标文件要求，现郑重承诺如下：</w:t>
      </w:r>
    </w:p>
    <w:p w14:paraId="2E157F51">
      <w:pPr>
        <w:widowControl/>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一、我方已认真阅读并接受本项目招标文件第二章的全部实质性要求，如对招标文件有异议，已依法进行维权救济，不存在对招标文件有异议的同时又参加投标以求侥幸中标或者为实现其他非法目的的行为。</w:t>
      </w:r>
    </w:p>
    <w:p w14:paraId="74BDCEBD">
      <w:pPr>
        <w:widowControl/>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二、参加本次招标采购活动，不存在与单位负责人为同一人或者存在直接控股、管理关系的其他供应商参与同一合同项下的政府采购活动的行为。</w:t>
      </w:r>
    </w:p>
    <w:p w14:paraId="7BF92B5F">
      <w:pPr>
        <w:widowControl/>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三、为采购项目提供整体设计、规范编制或者项目管理、监理、检测等服务的供应商，不得再参加该采购项目的其他采购活动，我方承诺不属于此类禁止参加本项目的供应商。</w:t>
      </w:r>
    </w:p>
    <w:p w14:paraId="64278793">
      <w:pPr>
        <w:widowControl/>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四、参加本次招标采购活动，不存在和其他供应商在同一合同项下的采购项目中，同时委托同一个自然人、同一家庭的人员、同一单位的人员作为代理人的行为。</w:t>
      </w:r>
    </w:p>
    <w:p w14:paraId="069EB962">
      <w:pPr>
        <w:widowControl/>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五、投标文件中提供的能够给予我方带来优惠、好处的任何材料资料和技术、服务、商务、响应产品等响应承诺情况都是真实的、有效的、合法的。</w:t>
      </w:r>
    </w:p>
    <w:p w14:paraId="01FBDFA2">
      <w:pPr>
        <w:widowControl/>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2E47012A">
      <w:pPr>
        <w:widowControl/>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七、国家或行业主管部门对采购产品的技术标准、质量标准和资格资质条件等有强制性规定的，我方承诺符合其要求。</w:t>
      </w:r>
    </w:p>
    <w:p w14:paraId="2703142C">
      <w:pPr>
        <w:widowControl/>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八、参加本次招标采购活动，我方完全同意招标文件第二章关于“投标费用”、“合同分包”、“合同转包”、“履约保证金”的实质性要求，并承诺严格按照招标文件要求履行。</w:t>
      </w:r>
    </w:p>
    <w:p w14:paraId="57EE343B">
      <w:pPr>
        <w:widowControl/>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7E84BE5D">
      <w:pPr>
        <w:widowControl/>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我方对上述承诺的内容事项真实性负责。如经查实上述承诺的内容事项存在虚假，我方愿意接受以提供虚假材料谋取中标追究法律责任。</w:t>
      </w:r>
    </w:p>
    <w:p w14:paraId="76992174">
      <w:pPr>
        <w:widowControl/>
        <w:ind w:firstLine="420" w:firstLineChars="200"/>
        <w:jc w:val="left"/>
        <w:rPr>
          <w:rFonts w:ascii="宋体" w:hAnsi="宋体"/>
          <w:color w:val="auto"/>
          <w:kern w:val="0"/>
          <w:szCs w:val="21"/>
          <w:highlight w:val="none"/>
        </w:rPr>
      </w:pPr>
    </w:p>
    <w:p w14:paraId="139674E2">
      <w:pPr>
        <w:widowControl/>
        <w:ind w:firstLine="420" w:firstLineChars="200"/>
        <w:jc w:val="right"/>
        <w:rPr>
          <w:rFonts w:ascii="宋体" w:hAnsi="宋体"/>
          <w:color w:val="auto"/>
          <w:kern w:val="0"/>
          <w:szCs w:val="21"/>
          <w:highlight w:val="none"/>
        </w:rPr>
      </w:pPr>
    </w:p>
    <w:p w14:paraId="528FDFB5">
      <w:pPr>
        <w:widowControl/>
        <w:ind w:right="420" w:firstLine="7035" w:firstLineChars="3350"/>
        <w:rPr>
          <w:rFonts w:ascii="宋体" w:hAnsi="宋体"/>
          <w:color w:val="auto"/>
          <w:kern w:val="0"/>
          <w:szCs w:val="21"/>
          <w:highlight w:val="none"/>
        </w:rPr>
      </w:pPr>
      <w:r>
        <w:rPr>
          <w:rFonts w:hint="eastAsia" w:ascii="宋体" w:hAnsi="宋体"/>
          <w:color w:val="auto"/>
          <w:kern w:val="0"/>
          <w:szCs w:val="21"/>
          <w:highlight w:val="none"/>
        </w:rPr>
        <w:t>投标人（公章）：</w:t>
      </w:r>
    </w:p>
    <w:p w14:paraId="080B6C81">
      <w:pPr>
        <w:widowControl/>
        <w:ind w:right="420" w:firstLine="4725" w:firstLineChars="2250"/>
        <w:rPr>
          <w:rFonts w:ascii="宋体" w:hAnsi="宋体"/>
          <w:color w:val="auto"/>
          <w:kern w:val="0"/>
          <w:szCs w:val="21"/>
          <w:highlight w:val="none"/>
        </w:rPr>
      </w:pPr>
      <w:r>
        <w:rPr>
          <w:rFonts w:hint="eastAsia" w:ascii="宋体" w:hAnsi="宋体"/>
          <w:bCs/>
          <w:color w:val="auto"/>
          <w:szCs w:val="21"/>
          <w:highlight w:val="none"/>
        </w:rPr>
        <w:t>法定代表人（负责人）或委托代理人签名</w:t>
      </w:r>
      <w:r>
        <w:rPr>
          <w:rFonts w:hint="eastAsia" w:ascii="宋体" w:hAnsi="宋体"/>
          <w:color w:val="auto"/>
          <w:kern w:val="0"/>
          <w:szCs w:val="21"/>
          <w:highlight w:val="none"/>
        </w:rPr>
        <w:t>：</w:t>
      </w:r>
    </w:p>
    <w:p w14:paraId="301708F2">
      <w:pPr>
        <w:widowControl/>
        <w:ind w:right="420" w:firstLine="8085" w:firstLineChars="3850"/>
        <w:rPr>
          <w:rFonts w:ascii="宋体" w:hAnsi="宋体"/>
          <w:color w:val="auto"/>
          <w:kern w:val="0"/>
          <w:szCs w:val="21"/>
          <w:highlight w:val="none"/>
        </w:rPr>
      </w:pPr>
      <w:r>
        <w:rPr>
          <w:rFonts w:hint="eastAsia" w:ascii="宋体" w:hAnsi="宋体"/>
          <w:color w:val="auto"/>
          <w:kern w:val="0"/>
          <w:szCs w:val="21"/>
          <w:highlight w:val="none"/>
        </w:rPr>
        <w:t>日期：</w:t>
      </w:r>
    </w:p>
    <w:p w14:paraId="1801529C">
      <w:pPr>
        <w:snapToGrid w:val="0"/>
        <w:spacing w:before="50" w:after="156" w:afterLines="50" w:line="340" w:lineRule="exact"/>
        <w:jc w:val="left"/>
        <w:rPr>
          <w:rFonts w:ascii="宋体" w:hAnsi="宋体"/>
          <w:b/>
          <w:color w:val="auto"/>
          <w:szCs w:val="21"/>
          <w:highlight w:val="none"/>
        </w:rPr>
      </w:pPr>
    </w:p>
    <w:p w14:paraId="7CFFDAA2">
      <w:pPr>
        <w:snapToGrid w:val="0"/>
        <w:spacing w:before="50" w:after="156" w:afterLines="50" w:line="340" w:lineRule="exact"/>
        <w:jc w:val="left"/>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（4）法定代表人（负责人）授权委托书格式：</w:t>
      </w:r>
    </w:p>
    <w:p w14:paraId="60B41FFD">
      <w:pPr>
        <w:snapToGrid w:val="0"/>
        <w:spacing w:before="50" w:after="156" w:afterLines="50" w:line="340" w:lineRule="exact"/>
        <w:jc w:val="left"/>
        <w:rPr>
          <w:rFonts w:ascii="宋体" w:hAnsi="宋体"/>
          <w:b/>
          <w:color w:val="auto"/>
          <w:szCs w:val="21"/>
          <w:highlight w:val="none"/>
        </w:rPr>
      </w:pPr>
    </w:p>
    <w:p w14:paraId="7CDB59E1">
      <w:pPr>
        <w:snapToGrid w:val="0"/>
        <w:spacing w:before="50" w:after="156" w:afterLines="50" w:line="340" w:lineRule="exact"/>
        <w:jc w:val="left"/>
        <w:rPr>
          <w:rFonts w:ascii="宋体" w:hAnsi="宋体"/>
          <w:b/>
          <w:color w:val="auto"/>
          <w:szCs w:val="21"/>
          <w:highlight w:val="none"/>
        </w:rPr>
      </w:pPr>
    </w:p>
    <w:p w14:paraId="17D91B0D">
      <w:pPr>
        <w:snapToGrid w:val="0"/>
        <w:spacing w:before="156" w:beforeLines="50" w:after="50" w:line="340" w:lineRule="exact"/>
        <w:jc w:val="center"/>
        <w:rPr>
          <w:rFonts w:ascii="宋体" w:hAnsi="宋体"/>
          <w:b/>
          <w:color w:val="auto"/>
          <w:sz w:val="30"/>
          <w:szCs w:val="30"/>
          <w:highlight w:val="none"/>
        </w:rPr>
      </w:pPr>
      <w:r>
        <w:rPr>
          <w:rFonts w:hint="eastAsia" w:ascii="宋体" w:hAnsi="宋体"/>
          <w:b/>
          <w:color w:val="auto"/>
          <w:sz w:val="30"/>
          <w:szCs w:val="30"/>
          <w:highlight w:val="none"/>
        </w:rPr>
        <w:t>法定代表人（负责人）授权委托书</w:t>
      </w:r>
    </w:p>
    <w:p w14:paraId="6D349342">
      <w:pPr>
        <w:snapToGrid w:val="0"/>
        <w:spacing w:before="156" w:beforeLines="50" w:after="50" w:line="340" w:lineRule="exact"/>
        <w:jc w:val="center"/>
        <w:rPr>
          <w:rFonts w:ascii="宋体" w:hAnsi="宋体"/>
          <w:b/>
          <w:color w:val="auto"/>
          <w:sz w:val="30"/>
          <w:szCs w:val="30"/>
          <w:highlight w:val="none"/>
        </w:rPr>
      </w:pPr>
    </w:p>
    <w:p w14:paraId="58750D57">
      <w:pPr>
        <w:snapToGrid w:val="0"/>
        <w:spacing w:before="156" w:beforeLines="50" w:after="50" w:line="340" w:lineRule="exact"/>
        <w:rPr>
          <w:rFonts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highlight w:val="none"/>
          <w:u w:val="single"/>
        </w:rPr>
        <w:t>广西向海韵工程咨询有限公司</w:t>
      </w:r>
    </w:p>
    <w:p w14:paraId="3E9D42B4">
      <w:pPr>
        <w:snapToGrid w:val="0"/>
        <w:spacing w:before="156" w:beforeLines="50" w:after="50" w:line="340" w:lineRule="exact"/>
        <w:ind w:firstLine="630" w:firstLineChars="300"/>
        <w:rPr>
          <w:rFonts w:ascii="宋体" w:hAnsi="宋体"/>
          <w:color w:val="auto"/>
          <w:szCs w:val="21"/>
          <w:highlight w:val="none"/>
          <w:u w:val="singl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（投标人名称）的法定代表人（负责人），现授权委托本单位在职职工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（项目全称</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14:paraId="1D14D725">
      <w:pPr>
        <w:snapToGrid w:val="0"/>
        <w:spacing w:before="156" w:beforeLines="50" w:after="50" w:line="340" w:lineRule="exact"/>
        <w:rPr>
          <w:rFonts w:ascii="宋体" w:hAnsi="宋体"/>
          <w:color w:val="auto"/>
          <w:szCs w:val="21"/>
          <w:highlight w:val="none"/>
        </w:rPr>
      </w:pPr>
      <w:r>
        <w:rPr>
          <w:rFonts w:hint="eastAsia" w:ascii="宋体" w:hAnsi="宋体"/>
          <w:color w:val="auto"/>
          <w:szCs w:val="21"/>
          <w:highlight w:val="none"/>
        </w:rPr>
        <w:t xml:space="preserve">    我方对被授权人的签名事项负全部责任。</w:t>
      </w:r>
    </w:p>
    <w:p w14:paraId="76D5CBCC">
      <w:pPr>
        <w:snapToGrid w:val="0"/>
        <w:spacing w:before="156" w:beforeLines="50" w:after="50" w:line="340" w:lineRule="exact"/>
        <w:ind w:firstLine="48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14:paraId="3A852073">
      <w:pPr>
        <w:snapToGrid w:val="0"/>
        <w:spacing w:before="156" w:beforeLines="50" w:after="50" w:line="340" w:lineRule="exact"/>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14:paraId="13610C7C">
      <w:pPr>
        <w:snapToGrid w:val="0"/>
        <w:spacing w:before="156" w:beforeLines="50" w:after="50" w:line="340" w:lineRule="exact"/>
        <w:ind w:firstLine="4935" w:firstLineChars="2350"/>
        <w:rPr>
          <w:rFonts w:ascii="宋体" w:hAnsi="宋体"/>
          <w:color w:val="auto"/>
          <w:szCs w:val="21"/>
          <w:highlight w:val="none"/>
          <w:u w:val="single"/>
        </w:rPr>
      </w:pPr>
      <w:r>
        <w:rPr>
          <w:rFonts w:hint="eastAsia" w:ascii="宋体" w:hAnsi="宋体"/>
          <w:color w:val="auto"/>
          <w:szCs w:val="21"/>
          <w:highlight w:val="none"/>
        </w:rPr>
        <w:t>法定代表人（负责人）签名：</w:t>
      </w:r>
      <w:r>
        <w:rPr>
          <w:rFonts w:hint="eastAsia" w:ascii="宋体" w:hAnsi="宋体"/>
          <w:color w:val="auto"/>
          <w:szCs w:val="21"/>
          <w:highlight w:val="none"/>
          <w:u w:val="single"/>
        </w:rPr>
        <w:t xml:space="preserve">          </w:t>
      </w:r>
    </w:p>
    <w:p w14:paraId="5422F40D">
      <w:pPr>
        <w:snapToGrid w:val="0"/>
        <w:spacing w:before="156" w:beforeLines="50" w:after="50" w:line="340" w:lineRule="exact"/>
        <w:ind w:firstLine="6405" w:firstLineChars="3050"/>
        <w:rPr>
          <w:rFonts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EC33ADB">
      <w:pPr>
        <w:snapToGrid w:val="0"/>
        <w:spacing w:before="156" w:beforeLines="50" w:after="50" w:line="340" w:lineRule="exact"/>
        <w:ind w:firstLine="7035" w:firstLineChars="3350"/>
        <w:rPr>
          <w:rFonts w:ascii="宋体" w:hAnsi="宋体"/>
          <w:color w:val="auto"/>
          <w:szCs w:val="21"/>
          <w:highlight w:val="none"/>
        </w:rPr>
      </w:pPr>
      <w:r>
        <w:rPr>
          <w:rFonts w:hint="eastAsia" w:ascii="宋体" w:hAnsi="宋体"/>
          <w:color w:val="auto"/>
          <w:szCs w:val="21"/>
          <w:highlight w:val="none"/>
        </w:rPr>
        <w:t xml:space="preserve"> 年    月    日</w:t>
      </w:r>
    </w:p>
    <w:p w14:paraId="0FE7908C">
      <w:pPr>
        <w:snapToGrid w:val="0"/>
        <w:spacing w:before="156" w:beforeLines="50" w:after="50" w:line="340" w:lineRule="exact"/>
        <w:ind w:firstLine="4935" w:firstLineChars="2350"/>
        <w:rPr>
          <w:rFonts w:ascii="宋体" w:hAnsi="宋体"/>
          <w:color w:val="auto"/>
          <w:szCs w:val="21"/>
          <w:highlight w:val="none"/>
          <w:u w:val="single"/>
        </w:rPr>
      </w:pPr>
    </w:p>
    <w:p w14:paraId="4D11EFC2">
      <w:pPr>
        <w:snapToGrid w:val="0"/>
        <w:spacing w:before="156" w:beforeLines="50" w:after="50" w:line="340" w:lineRule="exact"/>
        <w:ind w:firstLine="4935" w:firstLineChars="2350"/>
        <w:rPr>
          <w:rFonts w:ascii="宋体" w:hAnsi="宋体"/>
          <w:color w:val="auto"/>
          <w:szCs w:val="21"/>
          <w:highlight w:val="none"/>
          <w:u w:val="single"/>
        </w:rPr>
      </w:pPr>
    </w:p>
    <w:p w14:paraId="332D1B9E">
      <w:pPr>
        <w:snapToGrid w:val="0"/>
        <w:spacing w:before="156" w:beforeLines="50" w:after="50" w:line="340" w:lineRule="exact"/>
        <w:rPr>
          <w:rFonts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14:paraId="74316192">
      <w:pPr>
        <w:snapToGrid w:val="0"/>
        <w:spacing w:before="156" w:beforeLines="50" w:after="50" w:line="340" w:lineRule="exact"/>
        <w:rPr>
          <w:rFonts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E6C2C43">
      <w:pPr>
        <w:snapToGrid w:val="0"/>
        <w:spacing w:before="156" w:beforeLines="50" w:after="50" w:line="340" w:lineRule="exact"/>
        <w:rPr>
          <w:rFonts w:ascii="宋体" w:hAnsi="宋体"/>
          <w:color w:val="auto"/>
          <w:szCs w:val="21"/>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1087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759B6F30">
            <w:pPr>
              <w:snapToGrid w:val="0"/>
              <w:spacing w:line="360" w:lineRule="exact"/>
              <w:rPr>
                <w:rFonts w:ascii="宋体" w:hAnsi="宋体"/>
                <w:color w:val="auto"/>
                <w:szCs w:val="21"/>
                <w:highlight w:val="none"/>
              </w:rPr>
            </w:pPr>
            <w:r>
              <w:rPr>
                <w:rFonts w:hint="eastAsia" w:ascii="宋体" w:hAnsi="宋体"/>
                <w:color w:val="auto"/>
                <w:szCs w:val="21"/>
                <w:highlight w:val="none"/>
              </w:rPr>
              <w:t>贴附“法定代表人（负责人）及委托代理人身份证复印件（正反两面）</w:t>
            </w:r>
          </w:p>
        </w:tc>
      </w:tr>
      <w:tr w14:paraId="7266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124" w:type="dxa"/>
          </w:tcPr>
          <w:p w14:paraId="302B35AD">
            <w:pPr>
              <w:snapToGrid w:val="0"/>
              <w:spacing w:line="360" w:lineRule="exact"/>
              <w:rPr>
                <w:rFonts w:ascii="宋体" w:hAnsi="宋体"/>
                <w:color w:val="auto"/>
                <w:szCs w:val="21"/>
                <w:highlight w:val="none"/>
              </w:rPr>
            </w:pPr>
          </w:p>
          <w:p w14:paraId="75361D3B">
            <w:pPr>
              <w:snapToGrid w:val="0"/>
              <w:spacing w:line="360" w:lineRule="exact"/>
              <w:rPr>
                <w:rFonts w:ascii="宋体" w:hAnsi="宋体"/>
                <w:color w:val="auto"/>
                <w:szCs w:val="21"/>
                <w:highlight w:val="none"/>
              </w:rPr>
            </w:pPr>
          </w:p>
          <w:p w14:paraId="27FE4063">
            <w:pPr>
              <w:snapToGrid w:val="0"/>
              <w:spacing w:line="360" w:lineRule="exact"/>
              <w:rPr>
                <w:rFonts w:ascii="宋体" w:hAnsi="宋体"/>
                <w:color w:val="auto"/>
                <w:szCs w:val="21"/>
                <w:highlight w:val="none"/>
              </w:rPr>
            </w:pPr>
          </w:p>
        </w:tc>
      </w:tr>
    </w:tbl>
    <w:p w14:paraId="194B9C2A">
      <w:pPr>
        <w:snapToGrid w:val="0"/>
        <w:spacing w:before="156" w:beforeLines="50" w:after="50" w:line="340" w:lineRule="exact"/>
        <w:rPr>
          <w:rFonts w:ascii="宋体" w:hAnsi="宋体"/>
          <w:color w:val="auto"/>
          <w:szCs w:val="21"/>
          <w:highlight w:val="none"/>
        </w:rPr>
      </w:pPr>
    </w:p>
    <w:p w14:paraId="0B9ED521">
      <w:pPr>
        <w:snapToGrid w:val="0"/>
        <w:spacing w:before="156" w:beforeLines="50" w:after="50" w:line="340" w:lineRule="exact"/>
        <w:ind w:firstLine="4620" w:firstLineChars="2200"/>
        <w:rPr>
          <w:rFonts w:ascii="宋体" w:hAnsi="宋体"/>
          <w:color w:val="auto"/>
          <w:szCs w:val="21"/>
          <w:highlight w:val="none"/>
        </w:rPr>
      </w:pPr>
      <w:r>
        <w:rPr>
          <w:rFonts w:hint="eastAsia" w:ascii="宋体" w:hAnsi="宋体"/>
          <w:color w:val="auto"/>
          <w:szCs w:val="21"/>
          <w:highlight w:val="none"/>
        </w:rPr>
        <w:t xml:space="preserve"> </w:t>
      </w:r>
    </w:p>
    <w:p w14:paraId="4956A6A3">
      <w:pPr>
        <w:snapToGrid w:val="0"/>
        <w:spacing w:before="156" w:beforeLines="50" w:after="50" w:line="340" w:lineRule="exact"/>
        <w:rPr>
          <w:rFonts w:ascii="宋体" w:hAnsi="宋体"/>
          <w:color w:val="auto"/>
          <w:szCs w:val="21"/>
          <w:highlight w:val="none"/>
        </w:rPr>
      </w:pPr>
    </w:p>
    <w:p w14:paraId="032C658C">
      <w:pPr>
        <w:snapToGrid w:val="0"/>
        <w:spacing w:before="156" w:beforeLines="50" w:after="50" w:line="340" w:lineRule="exact"/>
        <w:rPr>
          <w:rFonts w:ascii="宋体" w:hAnsi="宋体"/>
          <w:color w:val="auto"/>
          <w:szCs w:val="21"/>
          <w:highlight w:val="none"/>
        </w:rPr>
      </w:pPr>
    </w:p>
    <w:p w14:paraId="1C7995FB">
      <w:pPr>
        <w:snapToGrid w:val="0"/>
        <w:spacing w:before="156" w:beforeLines="50" w:after="50" w:line="340" w:lineRule="exact"/>
        <w:rPr>
          <w:rFonts w:ascii="宋体" w:hAnsi="宋体"/>
          <w:color w:val="auto"/>
          <w:szCs w:val="21"/>
          <w:highlight w:val="none"/>
        </w:rPr>
      </w:pPr>
    </w:p>
    <w:p w14:paraId="0C75CF2C">
      <w:pPr>
        <w:snapToGrid w:val="0"/>
        <w:spacing w:before="156" w:beforeLines="50" w:after="50" w:line="340" w:lineRule="exact"/>
        <w:rPr>
          <w:rFonts w:ascii="宋体" w:hAnsi="宋体"/>
          <w:color w:val="auto"/>
          <w:szCs w:val="21"/>
          <w:highlight w:val="none"/>
        </w:rPr>
      </w:pPr>
    </w:p>
    <w:p w14:paraId="25A4649B">
      <w:pPr>
        <w:adjustRightInd w:val="0"/>
        <w:snapToGrid w:val="0"/>
        <w:spacing w:line="276" w:lineRule="auto"/>
        <w:rPr>
          <w:rFonts w:ascii="宋体" w:hAnsi="宋体"/>
          <w:b/>
          <w:color w:val="auto"/>
          <w:szCs w:val="21"/>
          <w:highlight w:val="none"/>
        </w:rPr>
      </w:pPr>
      <w:r>
        <w:rPr>
          <w:rFonts w:hint="eastAsia" w:ascii="宋体" w:hAnsi="宋体"/>
          <w:b/>
          <w:color w:val="auto"/>
          <w:szCs w:val="21"/>
          <w:highlight w:val="none"/>
        </w:rPr>
        <w:t>法定代表人（负责人）身份证明书格式如下：</w:t>
      </w:r>
    </w:p>
    <w:p w14:paraId="7E2CF574">
      <w:pPr>
        <w:adjustRightInd w:val="0"/>
        <w:snapToGrid w:val="0"/>
        <w:spacing w:line="276" w:lineRule="auto"/>
        <w:rPr>
          <w:rFonts w:ascii="宋体" w:hAnsi="宋体"/>
          <w:b/>
          <w:color w:val="auto"/>
          <w:sz w:val="32"/>
          <w:szCs w:val="32"/>
          <w:highlight w:val="none"/>
        </w:rPr>
      </w:pPr>
    </w:p>
    <w:p w14:paraId="16B12A9B">
      <w:pPr>
        <w:adjustRightInd w:val="0"/>
        <w:snapToGrid w:val="0"/>
        <w:spacing w:line="276" w:lineRule="auto"/>
        <w:rPr>
          <w:rFonts w:ascii="宋体" w:hAnsi="宋体"/>
          <w:b/>
          <w:color w:val="auto"/>
          <w:sz w:val="32"/>
          <w:szCs w:val="32"/>
          <w:highlight w:val="none"/>
        </w:rPr>
      </w:pPr>
    </w:p>
    <w:p w14:paraId="48A29EB2">
      <w:pPr>
        <w:adjustRightInd w:val="0"/>
        <w:snapToGrid w:val="0"/>
        <w:spacing w:line="276"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法定代表人（负责人）身份证明书</w:t>
      </w:r>
    </w:p>
    <w:p w14:paraId="67C736AA">
      <w:pPr>
        <w:adjustRightInd w:val="0"/>
        <w:snapToGrid w:val="0"/>
        <w:spacing w:line="276" w:lineRule="auto"/>
        <w:ind w:firstLine="960" w:firstLineChars="400"/>
        <w:rPr>
          <w:rFonts w:ascii="宋体" w:hAnsi="宋体"/>
          <w:color w:val="auto"/>
          <w:sz w:val="24"/>
          <w:highlight w:val="none"/>
          <w:u w:val="single"/>
        </w:rPr>
      </w:pPr>
    </w:p>
    <w:p w14:paraId="2148F2D2">
      <w:pPr>
        <w:adjustRightInd w:val="0"/>
        <w:snapToGrid w:val="0"/>
        <w:spacing w:line="720" w:lineRule="exact"/>
        <w:ind w:firstLine="840" w:firstLineChars="4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在我</w:t>
      </w:r>
      <w:r>
        <w:rPr>
          <w:rFonts w:hint="eastAsia" w:ascii="宋体" w:hAnsi="宋体"/>
          <w:color w:val="auto"/>
          <w:szCs w:val="21"/>
          <w:highlight w:val="none"/>
          <w:u w:val="single"/>
        </w:rPr>
        <w:t xml:space="preserve">       </w:t>
      </w:r>
      <w:r>
        <w:rPr>
          <w:rFonts w:hint="eastAsia" w:ascii="宋体" w:hAnsi="宋体"/>
          <w:color w:val="auto"/>
          <w:szCs w:val="21"/>
          <w:highlight w:val="none"/>
        </w:rPr>
        <w:t>任</w:t>
      </w:r>
      <w:r>
        <w:rPr>
          <w:rFonts w:hint="eastAsia" w:ascii="宋体" w:hAnsi="宋体"/>
          <w:color w:val="auto"/>
          <w:szCs w:val="21"/>
          <w:highlight w:val="none"/>
          <w:u w:val="single"/>
        </w:rPr>
        <w:t xml:space="preserve">          </w:t>
      </w:r>
      <w:r>
        <w:rPr>
          <w:rFonts w:hint="eastAsia" w:ascii="宋体" w:hAnsi="宋体"/>
          <w:color w:val="auto"/>
          <w:szCs w:val="21"/>
          <w:highlight w:val="none"/>
        </w:rPr>
        <w:t>职务，是我</w:t>
      </w:r>
      <w:r>
        <w:rPr>
          <w:rFonts w:hint="eastAsia" w:ascii="宋体" w:hAnsi="宋体"/>
          <w:color w:val="auto"/>
          <w:szCs w:val="21"/>
          <w:highlight w:val="none"/>
          <w:u w:val="single"/>
        </w:rPr>
        <w:t xml:space="preserve">                 </w:t>
      </w:r>
      <w:r>
        <w:rPr>
          <w:rFonts w:hint="eastAsia" w:ascii="宋体" w:hAnsi="宋体"/>
          <w:color w:val="auto"/>
          <w:szCs w:val="21"/>
          <w:highlight w:val="none"/>
        </w:rPr>
        <w:t>的法定代表人（负责人）。</w:t>
      </w:r>
    </w:p>
    <w:p w14:paraId="5A97DAED">
      <w:pPr>
        <w:adjustRightInd w:val="0"/>
        <w:snapToGrid w:val="0"/>
        <w:spacing w:line="720" w:lineRule="exact"/>
        <w:ind w:firstLine="735" w:firstLineChars="350"/>
        <w:rPr>
          <w:rFonts w:ascii="宋体" w:hAnsi="宋体"/>
          <w:color w:val="auto"/>
          <w:szCs w:val="21"/>
          <w:highlight w:val="none"/>
        </w:rPr>
      </w:pPr>
      <w:r>
        <w:rPr>
          <w:rFonts w:hint="eastAsia" w:ascii="宋体" w:hAnsi="宋体"/>
          <w:color w:val="auto"/>
          <w:szCs w:val="21"/>
          <w:highlight w:val="none"/>
        </w:rPr>
        <w:t>特此证明。</w:t>
      </w:r>
    </w:p>
    <w:p w14:paraId="1395FCCF">
      <w:pPr>
        <w:adjustRightInd w:val="0"/>
        <w:snapToGrid w:val="0"/>
        <w:spacing w:line="276" w:lineRule="auto"/>
        <w:rPr>
          <w:rFonts w:ascii="宋体" w:hAnsi="宋体"/>
          <w:color w:val="auto"/>
          <w:szCs w:val="21"/>
          <w:highlight w:val="none"/>
        </w:rPr>
      </w:pPr>
    </w:p>
    <w:p w14:paraId="38B6D119">
      <w:pPr>
        <w:adjustRightInd w:val="0"/>
        <w:snapToGrid w:val="0"/>
        <w:spacing w:line="276" w:lineRule="auto"/>
        <w:ind w:firstLine="3885" w:firstLineChars="1850"/>
        <w:rPr>
          <w:rFonts w:ascii="宋体" w:hAnsi="宋体"/>
          <w:color w:val="auto"/>
          <w:szCs w:val="21"/>
          <w:highlight w:val="none"/>
          <w:u w:val="singl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14:paraId="777D3C1A">
      <w:pPr>
        <w:adjustRightInd w:val="0"/>
        <w:snapToGrid w:val="0"/>
        <w:spacing w:line="276" w:lineRule="auto"/>
        <w:rPr>
          <w:rFonts w:ascii="宋体" w:hAnsi="宋体"/>
          <w:color w:val="auto"/>
          <w:szCs w:val="21"/>
          <w:highlight w:val="none"/>
        </w:rPr>
      </w:pPr>
      <w:r>
        <w:rPr>
          <w:rFonts w:hint="eastAsia" w:ascii="宋体" w:hAnsi="宋体"/>
          <w:color w:val="auto"/>
          <w:szCs w:val="21"/>
          <w:highlight w:val="none"/>
        </w:rPr>
        <w:t xml:space="preserve">                                                          （单位公章）</w:t>
      </w:r>
    </w:p>
    <w:p w14:paraId="4DE3A6E1">
      <w:pPr>
        <w:adjustRightInd w:val="0"/>
        <w:snapToGrid w:val="0"/>
        <w:spacing w:line="276" w:lineRule="auto"/>
        <w:rPr>
          <w:rFonts w:ascii="宋体" w:hAnsi="宋体"/>
          <w:color w:val="auto"/>
          <w:szCs w:val="21"/>
          <w:highlight w:val="none"/>
        </w:rPr>
      </w:pPr>
    </w:p>
    <w:p w14:paraId="1E30D2E7">
      <w:pPr>
        <w:adjustRightInd w:val="0"/>
        <w:snapToGrid w:val="0"/>
        <w:spacing w:line="276" w:lineRule="auto"/>
        <w:rPr>
          <w:rFonts w:ascii="宋体" w:hAnsi="宋体"/>
          <w:color w:val="auto"/>
          <w:szCs w:val="21"/>
          <w:highlight w:val="none"/>
        </w:rPr>
      </w:pPr>
      <w:r>
        <w:rPr>
          <w:rFonts w:hint="eastAsia" w:ascii="宋体" w:hAnsi="宋体"/>
          <w:color w:val="auto"/>
          <w:szCs w:val="21"/>
          <w:highlight w:val="none"/>
        </w:rPr>
        <w:t xml:space="preserve">                                                            年     月    日</w:t>
      </w:r>
    </w:p>
    <w:p w14:paraId="0460B965">
      <w:pPr>
        <w:adjustRightInd w:val="0"/>
        <w:snapToGrid w:val="0"/>
        <w:spacing w:line="276" w:lineRule="auto"/>
        <w:rPr>
          <w:rFonts w:ascii="宋体" w:hAnsi="宋体"/>
          <w:color w:val="auto"/>
          <w:szCs w:val="21"/>
          <w:highlight w:val="none"/>
        </w:rPr>
      </w:pPr>
    </w:p>
    <w:p w14:paraId="55A4F940">
      <w:pPr>
        <w:adjustRightInd w:val="0"/>
        <w:snapToGrid w:val="0"/>
        <w:spacing w:line="276" w:lineRule="auto"/>
        <w:rPr>
          <w:rFonts w:ascii="宋体" w:hAnsi="宋体"/>
          <w:color w:val="auto"/>
          <w:szCs w:val="21"/>
          <w:highlight w:val="none"/>
        </w:rPr>
      </w:pPr>
    </w:p>
    <w:p w14:paraId="39F6824D">
      <w:pPr>
        <w:adjustRightInd w:val="0"/>
        <w:snapToGrid w:val="0"/>
        <w:spacing w:line="276" w:lineRule="auto"/>
        <w:ind w:firstLine="315" w:firstLineChars="150"/>
        <w:rPr>
          <w:rFonts w:ascii="宋体" w:hAnsi="宋体"/>
          <w:color w:val="auto"/>
          <w:szCs w:val="21"/>
          <w:highlight w:val="none"/>
        </w:rPr>
      </w:pPr>
      <w:r>
        <w:rPr>
          <w:rFonts w:hint="eastAsia" w:ascii="宋体" w:hAnsi="宋体"/>
          <w:color w:val="auto"/>
          <w:szCs w:val="21"/>
          <w:highlight w:val="none"/>
        </w:rPr>
        <w:t>住    址：</w:t>
      </w:r>
    </w:p>
    <w:p w14:paraId="1301D304">
      <w:pPr>
        <w:adjustRightInd w:val="0"/>
        <w:snapToGrid w:val="0"/>
        <w:spacing w:line="276" w:lineRule="auto"/>
        <w:ind w:firstLine="315" w:firstLineChars="150"/>
        <w:rPr>
          <w:rFonts w:ascii="宋体" w:hAnsi="宋体"/>
          <w:color w:val="auto"/>
          <w:szCs w:val="21"/>
          <w:highlight w:val="none"/>
        </w:rPr>
      </w:pPr>
    </w:p>
    <w:p w14:paraId="0CE231BA">
      <w:pPr>
        <w:adjustRightInd w:val="0"/>
        <w:snapToGrid w:val="0"/>
        <w:spacing w:line="276" w:lineRule="auto"/>
        <w:rPr>
          <w:rFonts w:ascii="宋体" w:hAnsi="宋体"/>
          <w:color w:val="auto"/>
          <w:szCs w:val="21"/>
          <w:highlight w:val="none"/>
        </w:rPr>
      </w:pPr>
    </w:p>
    <w:p w14:paraId="20595D5E">
      <w:pPr>
        <w:pStyle w:val="13"/>
        <w:adjustRightInd w:val="0"/>
        <w:snapToGrid w:val="0"/>
        <w:spacing w:line="276" w:lineRule="auto"/>
        <w:ind w:firstLine="315" w:firstLineChars="150"/>
        <w:rPr>
          <w:rFonts w:hAnsi="宋体"/>
          <w:color w:val="auto"/>
          <w:sz w:val="21"/>
          <w:highlight w:val="none"/>
        </w:rPr>
      </w:pPr>
      <w:r>
        <w:rPr>
          <w:rFonts w:hint="eastAsia" w:hAnsi="宋体"/>
          <w:color w:val="auto"/>
          <w:sz w:val="21"/>
          <w:highlight w:val="none"/>
        </w:rPr>
        <w:t>联系电话：</w:t>
      </w:r>
    </w:p>
    <w:p w14:paraId="06D085BD">
      <w:pPr>
        <w:pStyle w:val="13"/>
        <w:adjustRightInd w:val="0"/>
        <w:snapToGrid w:val="0"/>
        <w:spacing w:line="276" w:lineRule="auto"/>
        <w:rPr>
          <w:rFonts w:hAnsi="宋体"/>
          <w:color w:val="auto"/>
          <w:sz w:val="21"/>
          <w:highlight w:val="none"/>
        </w:rPr>
      </w:pPr>
    </w:p>
    <w:p w14:paraId="5843DEE3">
      <w:pPr>
        <w:pStyle w:val="13"/>
        <w:adjustRightInd w:val="0"/>
        <w:snapToGrid w:val="0"/>
        <w:spacing w:line="276" w:lineRule="auto"/>
        <w:rPr>
          <w:rFonts w:hAnsi="宋体"/>
          <w:color w:val="auto"/>
          <w:sz w:val="21"/>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2FA9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267CB017">
            <w:pPr>
              <w:snapToGrid w:val="0"/>
              <w:spacing w:line="360" w:lineRule="exact"/>
              <w:rPr>
                <w:rFonts w:ascii="宋体" w:hAnsi="宋体"/>
                <w:color w:val="auto"/>
                <w:szCs w:val="21"/>
                <w:highlight w:val="none"/>
              </w:rPr>
            </w:pPr>
            <w:r>
              <w:rPr>
                <w:rFonts w:hint="eastAsia" w:ascii="宋体" w:hAnsi="宋体"/>
                <w:color w:val="auto"/>
                <w:szCs w:val="21"/>
                <w:highlight w:val="none"/>
              </w:rPr>
              <w:t>贴附“法定代表人（负责人）身份证复印件”（正反两面）</w:t>
            </w:r>
          </w:p>
        </w:tc>
      </w:tr>
      <w:tr w14:paraId="1F47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124" w:type="dxa"/>
          </w:tcPr>
          <w:p w14:paraId="0116B4F2">
            <w:pPr>
              <w:snapToGrid w:val="0"/>
              <w:spacing w:line="360" w:lineRule="exact"/>
              <w:rPr>
                <w:rFonts w:ascii="宋体" w:hAnsi="宋体"/>
                <w:color w:val="auto"/>
                <w:szCs w:val="21"/>
                <w:highlight w:val="none"/>
              </w:rPr>
            </w:pPr>
          </w:p>
          <w:p w14:paraId="4B904C1D">
            <w:pPr>
              <w:snapToGrid w:val="0"/>
              <w:spacing w:line="360" w:lineRule="exact"/>
              <w:rPr>
                <w:rFonts w:ascii="宋体" w:hAnsi="宋体"/>
                <w:color w:val="auto"/>
                <w:szCs w:val="21"/>
                <w:highlight w:val="none"/>
              </w:rPr>
            </w:pPr>
          </w:p>
          <w:p w14:paraId="226CDF36">
            <w:pPr>
              <w:snapToGrid w:val="0"/>
              <w:spacing w:line="360" w:lineRule="exact"/>
              <w:rPr>
                <w:rFonts w:ascii="宋体" w:hAnsi="宋体"/>
                <w:color w:val="auto"/>
                <w:szCs w:val="21"/>
                <w:highlight w:val="none"/>
              </w:rPr>
            </w:pPr>
          </w:p>
        </w:tc>
      </w:tr>
    </w:tbl>
    <w:p w14:paraId="2C8D4DDF">
      <w:pPr>
        <w:snapToGrid w:val="0"/>
        <w:spacing w:before="50" w:line="360" w:lineRule="exact"/>
        <w:jc w:val="left"/>
        <w:rPr>
          <w:rFonts w:ascii="宋体" w:hAnsi="宋体"/>
          <w:color w:val="auto"/>
          <w:highlight w:val="none"/>
        </w:rPr>
      </w:pPr>
    </w:p>
    <w:p w14:paraId="27111E46">
      <w:pPr>
        <w:snapToGrid w:val="0"/>
        <w:spacing w:before="50" w:line="360" w:lineRule="exact"/>
        <w:jc w:val="left"/>
        <w:rPr>
          <w:rFonts w:ascii="宋体" w:hAnsi="宋体"/>
          <w:color w:val="auto"/>
          <w:highlight w:val="none"/>
        </w:rPr>
      </w:pPr>
    </w:p>
    <w:p w14:paraId="7BFD05B1">
      <w:pPr>
        <w:snapToGrid w:val="0"/>
        <w:spacing w:before="50" w:line="360" w:lineRule="exact"/>
        <w:jc w:val="left"/>
        <w:rPr>
          <w:rFonts w:ascii="宋体" w:hAnsi="宋体"/>
          <w:color w:val="auto"/>
          <w:highlight w:val="none"/>
        </w:rPr>
      </w:pPr>
    </w:p>
    <w:p w14:paraId="0A10F2FB">
      <w:pPr>
        <w:snapToGrid w:val="0"/>
        <w:spacing w:before="50" w:line="360" w:lineRule="exact"/>
        <w:jc w:val="left"/>
        <w:rPr>
          <w:rFonts w:ascii="宋体" w:hAnsi="宋体"/>
          <w:color w:val="auto"/>
          <w:highlight w:val="none"/>
        </w:rPr>
      </w:pPr>
    </w:p>
    <w:p w14:paraId="2BFC6EFE">
      <w:pPr>
        <w:snapToGrid w:val="0"/>
        <w:spacing w:before="50" w:line="360" w:lineRule="exact"/>
        <w:jc w:val="left"/>
        <w:rPr>
          <w:rFonts w:ascii="宋体" w:hAnsi="宋体"/>
          <w:color w:val="auto"/>
          <w:highlight w:val="none"/>
        </w:rPr>
      </w:pPr>
    </w:p>
    <w:p w14:paraId="0F6C03E5">
      <w:pPr>
        <w:snapToGrid w:val="0"/>
        <w:spacing w:before="50" w:line="360" w:lineRule="exact"/>
        <w:jc w:val="left"/>
        <w:rPr>
          <w:rFonts w:ascii="宋体" w:hAnsi="宋体"/>
          <w:color w:val="auto"/>
          <w:highlight w:val="none"/>
        </w:rPr>
      </w:pPr>
    </w:p>
    <w:p w14:paraId="3A3C0391">
      <w:pPr>
        <w:snapToGrid w:val="0"/>
        <w:spacing w:before="50" w:line="360" w:lineRule="exact"/>
        <w:jc w:val="left"/>
        <w:rPr>
          <w:rFonts w:ascii="宋体" w:hAnsi="宋体"/>
          <w:color w:val="auto"/>
          <w:highlight w:val="none"/>
        </w:rPr>
      </w:pPr>
    </w:p>
    <w:p w14:paraId="325A7491">
      <w:pPr>
        <w:snapToGrid w:val="0"/>
        <w:spacing w:before="50" w:line="360" w:lineRule="exact"/>
        <w:jc w:val="left"/>
        <w:rPr>
          <w:rFonts w:ascii="宋体" w:hAnsi="宋体"/>
          <w:color w:val="auto"/>
          <w:highlight w:val="none"/>
        </w:rPr>
      </w:pPr>
    </w:p>
    <w:p w14:paraId="6DA09F56">
      <w:pPr>
        <w:snapToGrid w:val="0"/>
        <w:spacing w:before="50" w:line="360" w:lineRule="exact"/>
        <w:jc w:val="left"/>
        <w:rPr>
          <w:rFonts w:ascii="宋体" w:hAnsi="宋体"/>
          <w:color w:val="auto"/>
          <w:highlight w:val="none"/>
        </w:rPr>
      </w:pPr>
    </w:p>
    <w:p w14:paraId="064F8F71">
      <w:pPr>
        <w:snapToGrid w:val="0"/>
        <w:spacing w:before="50" w:line="360" w:lineRule="exact"/>
        <w:jc w:val="left"/>
        <w:rPr>
          <w:rFonts w:ascii="宋体" w:hAnsi="宋体"/>
          <w:color w:val="auto"/>
          <w:highlight w:val="none"/>
        </w:rPr>
      </w:pPr>
    </w:p>
    <w:p w14:paraId="692652E3">
      <w:pPr>
        <w:snapToGrid w:val="0"/>
        <w:spacing w:before="50" w:line="360" w:lineRule="exact"/>
        <w:jc w:val="left"/>
        <w:rPr>
          <w:rFonts w:ascii="宋体" w:hAnsi="宋体"/>
          <w:color w:val="auto"/>
          <w:highlight w:val="none"/>
        </w:rPr>
      </w:pPr>
    </w:p>
    <w:p w14:paraId="3935F7CA">
      <w:pPr>
        <w:pStyle w:val="19"/>
        <w:adjustRightInd w:val="0"/>
        <w:snapToGrid w:val="0"/>
        <w:spacing w:beforeAutospacing="0" w:afterAutospacing="0"/>
        <w:jc w:val="center"/>
        <w:rPr>
          <w:color w:val="auto"/>
          <w:highlight w:val="none"/>
        </w:rPr>
      </w:pPr>
    </w:p>
    <w:p w14:paraId="5DC89A33">
      <w:pPr>
        <w:rPr>
          <w:color w:val="auto"/>
          <w:highlight w:val="none"/>
        </w:rPr>
      </w:pPr>
    </w:p>
    <w:p w14:paraId="21765485">
      <w:pPr>
        <w:snapToGrid w:val="0"/>
        <w:spacing w:before="50" w:after="156" w:afterLines="50" w:line="340" w:lineRule="exact"/>
        <w:jc w:val="left"/>
        <w:rPr>
          <w:rFonts w:ascii="宋体" w:hAnsi="宋体"/>
          <w:b/>
          <w:color w:val="auto"/>
          <w:szCs w:val="21"/>
          <w:highlight w:val="none"/>
        </w:rPr>
      </w:pPr>
      <w:r>
        <w:rPr>
          <w:rFonts w:hint="eastAsia" w:ascii="宋体" w:hAnsi="宋体"/>
          <w:b/>
          <w:color w:val="auto"/>
          <w:szCs w:val="21"/>
          <w:highlight w:val="none"/>
        </w:rPr>
        <w:t>▲（5）中小企业声明函（格式后附）；（如为中小企业，须提供）；省级以上监狱管理局、戒毒管理局出具的属于监狱企业的证明文件；（如为监狱企业，须提供）；</w:t>
      </w:r>
    </w:p>
    <w:p w14:paraId="7821C528">
      <w:pPr>
        <w:snapToGrid w:val="0"/>
        <w:spacing w:before="50" w:after="156" w:afterLines="50"/>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中小企业声明函（服务）</w:t>
      </w:r>
    </w:p>
    <w:p w14:paraId="7EEB2C4E">
      <w:pPr>
        <w:pStyle w:val="19"/>
        <w:adjustRightInd w:val="0"/>
        <w:snapToGrid w:val="0"/>
        <w:spacing w:beforeAutospacing="0" w:afterAutospacing="0"/>
        <w:jc w:val="center"/>
        <w:rPr>
          <w:color w:val="auto"/>
          <w:kern w:val="2"/>
          <w:sz w:val="21"/>
          <w:szCs w:val="21"/>
          <w:highlight w:val="none"/>
        </w:rPr>
      </w:pPr>
    </w:p>
    <w:p w14:paraId="169A940D">
      <w:pPr>
        <w:pStyle w:val="19"/>
        <w:adjustRightInd w:val="0"/>
        <w:snapToGrid w:val="0"/>
        <w:spacing w:beforeAutospacing="0" w:afterAutospacing="0"/>
        <w:rPr>
          <w:color w:val="auto"/>
          <w:kern w:val="2"/>
          <w:sz w:val="21"/>
          <w:szCs w:val="21"/>
          <w:highlight w:val="none"/>
        </w:rPr>
      </w:pPr>
    </w:p>
    <w:p w14:paraId="39C5C3D6">
      <w:pPr>
        <w:spacing w:line="360" w:lineRule="auto"/>
        <w:ind w:firstLine="420" w:firstLineChars="200"/>
        <w:rPr>
          <w:rFonts w:ascii="宋体" w:hAnsi="宋体" w:cs="宋体"/>
          <w:color w:val="auto"/>
          <w:szCs w:val="21"/>
          <w:highlight w:val="none"/>
        </w:rPr>
      </w:pPr>
      <w:r>
        <w:rPr>
          <w:rFonts w:hint="eastAsia"/>
          <w:color w:val="auto"/>
          <w:szCs w:val="21"/>
          <w:highlight w:val="none"/>
        </w:rPr>
        <w:t>　　</w:t>
      </w:r>
      <w:r>
        <w:rPr>
          <w:rFonts w:hint="eastAsia" w:ascii="宋体" w:hAnsi="宋体" w:cs="宋体"/>
          <w:color w:val="auto"/>
          <w:szCs w:val="21"/>
          <w:highlight w:val="none"/>
        </w:rPr>
        <w:t>本公司（联合体）郑重申明，根据《政府采购促进中小企业发展管理办法》（财库[2020]46号）的规定，本公司（联合体）参加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（项目全称）A/B标 </w:t>
      </w:r>
      <w:r>
        <w:rPr>
          <w:rFonts w:hint="eastAsia" w:ascii="宋体" w:hAnsi="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61923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行业；承建（承接）为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355BC9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行业；承建（承接）为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0C134F45">
      <w:pPr>
        <w:pStyle w:val="9"/>
        <w:spacing w:line="360"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w:t>
      </w:r>
    </w:p>
    <w:p w14:paraId="4176A2FF">
      <w:pPr>
        <w:pStyle w:val="10"/>
        <w:spacing w:after="0" w:line="360" w:lineRule="auto"/>
        <w:ind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以上企业，不属于大企业的分支机构，不存在控股股东为大企业的情形，也不存在与大企业的负责人为同一的情形。</w:t>
      </w:r>
    </w:p>
    <w:p w14:paraId="71D1BEC8">
      <w:pPr>
        <w:pStyle w:val="10"/>
        <w:spacing w:after="0" w:line="360" w:lineRule="auto"/>
        <w:ind w:firstLineChars="200"/>
        <w:rPr>
          <w:rFonts w:ascii="宋体" w:hAnsi="宋体" w:cs="宋体"/>
          <w:color w:val="auto"/>
          <w:szCs w:val="21"/>
          <w:highlight w:val="none"/>
        </w:rPr>
      </w:pPr>
      <w:r>
        <w:rPr>
          <w:rFonts w:hint="eastAsia" w:ascii="宋体" w:hAnsi="宋体" w:cs="宋体"/>
          <w:color w:val="auto"/>
          <w:szCs w:val="21"/>
          <w:highlight w:val="none"/>
        </w:rPr>
        <w:t>本企业对上述声明的真实性负责。如有虚假，将依法承担相应责任。</w:t>
      </w:r>
    </w:p>
    <w:p w14:paraId="19839C3A">
      <w:pPr>
        <w:spacing w:line="360" w:lineRule="auto"/>
        <w:ind w:firstLine="700"/>
        <w:rPr>
          <w:rFonts w:ascii="宋体" w:hAnsi="宋体" w:cs="宋体"/>
          <w:color w:val="auto"/>
          <w:szCs w:val="21"/>
          <w:highlight w:val="none"/>
        </w:rPr>
      </w:pPr>
      <w:r>
        <w:rPr>
          <w:rFonts w:hint="eastAsia" w:ascii="宋体" w:hAnsi="宋体" w:cs="宋体"/>
          <w:color w:val="auto"/>
          <w:szCs w:val="21"/>
          <w:highlight w:val="none"/>
        </w:rPr>
        <w:t>企业名称（盖章）：　</w:t>
      </w:r>
    </w:p>
    <w:p w14:paraId="71F952E5">
      <w:pPr>
        <w:spacing w:line="360" w:lineRule="auto"/>
        <w:ind w:firstLine="700"/>
        <w:rPr>
          <w:rFonts w:ascii="宋体" w:hAnsi="宋体" w:cs="宋体"/>
          <w:color w:val="auto"/>
          <w:szCs w:val="21"/>
          <w:highlight w:val="none"/>
        </w:rPr>
      </w:pPr>
      <w:r>
        <w:rPr>
          <w:rFonts w:hint="eastAsia" w:ascii="宋体" w:hAnsi="宋体" w:cs="宋体"/>
          <w:color w:val="auto"/>
          <w:szCs w:val="21"/>
          <w:highlight w:val="none"/>
        </w:rPr>
        <w:t>日期：</w:t>
      </w:r>
    </w:p>
    <w:p w14:paraId="3DF38623">
      <w:pPr>
        <w:rPr>
          <w:color w:val="auto"/>
          <w:highlight w:val="none"/>
        </w:rPr>
      </w:pPr>
    </w:p>
    <w:p w14:paraId="75C1C338">
      <w:pPr>
        <w:widowControl/>
        <w:spacing w:line="360" w:lineRule="auto"/>
        <w:ind w:firstLine="422" w:firstLineChars="200"/>
        <w:rPr>
          <w:b/>
          <w:color w:val="auto"/>
          <w:highlight w:val="none"/>
        </w:rPr>
      </w:pPr>
      <w:r>
        <w:rPr>
          <w:rFonts w:hint="eastAsia"/>
          <w:b/>
          <w:color w:val="auto"/>
          <w:highlight w:val="none"/>
        </w:rPr>
        <w:t>填写注意事项：</w:t>
      </w:r>
    </w:p>
    <w:p w14:paraId="247EAA7D">
      <w:pPr>
        <w:widowControl/>
        <w:spacing w:line="360" w:lineRule="auto"/>
        <w:ind w:firstLine="422" w:firstLineChars="200"/>
        <w:rPr>
          <w:b/>
          <w:color w:val="auto"/>
          <w:highlight w:val="none"/>
        </w:rPr>
      </w:pPr>
      <w:r>
        <w:rPr>
          <w:rFonts w:hint="eastAsia"/>
          <w:b/>
          <w:color w:val="auto"/>
          <w:highlight w:val="none"/>
        </w:rPr>
        <w:t>（1）从业人员、营业收入、资产总额填报上一年度数据，无上一年度数据的新成立企业可不填报。</w:t>
      </w:r>
    </w:p>
    <w:p w14:paraId="351FFAB8">
      <w:pPr>
        <w:widowControl/>
        <w:spacing w:line="360" w:lineRule="auto"/>
        <w:ind w:firstLine="422" w:firstLineChars="200"/>
        <w:rPr>
          <w:b/>
          <w:color w:val="auto"/>
          <w:szCs w:val="21"/>
          <w:highlight w:val="none"/>
          <w:shd w:val="clear" w:color="auto" w:fill="FFFFFF"/>
        </w:rPr>
      </w:pPr>
      <w:r>
        <w:rPr>
          <w:rFonts w:hint="eastAsia"/>
          <w:b/>
          <w:color w:val="auto"/>
          <w:szCs w:val="21"/>
          <w:highlight w:val="none"/>
          <w:shd w:val="clear" w:color="auto" w:fill="FFFFFF"/>
        </w:rPr>
        <w:t>（2）供应商按照本办法规定提供声明函内容不实的，属于提供虚假材料谋取中标、成交，依照《中华人民共和国政府采购法》等国家有关规定追究相应责任。</w:t>
      </w:r>
    </w:p>
    <w:p w14:paraId="327FC610">
      <w:pPr>
        <w:widowControl/>
        <w:spacing w:line="360" w:lineRule="auto"/>
        <w:ind w:firstLine="422" w:firstLineChars="200"/>
        <w:rPr>
          <w:b/>
          <w:color w:val="auto"/>
          <w:szCs w:val="21"/>
          <w:highlight w:val="none"/>
          <w:shd w:val="clear" w:color="auto" w:fill="FFFFFF"/>
        </w:rPr>
      </w:pPr>
      <w:r>
        <w:rPr>
          <w:rFonts w:hint="eastAsia"/>
          <w:b/>
          <w:color w:val="auto"/>
          <w:szCs w:val="21"/>
          <w:highlight w:val="none"/>
          <w:shd w:val="clear" w:color="auto" w:fill="FFFFFF"/>
        </w:rPr>
        <w:t>（3）政府采购监督检查、投诉处理及政府采购行政处罚中对中小企业的认定，由货物制造商或者工程、服务供应商注册登记所在地的县级以上人民政府中小企业主管部门负责。</w:t>
      </w:r>
    </w:p>
    <w:p w14:paraId="04F6C8BC">
      <w:pPr>
        <w:pStyle w:val="20"/>
        <w:spacing w:line="360" w:lineRule="exact"/>
        <w:ind w:firstLine="562" w:firstLineChars="268"/>
        <w:jc w:val="left"/>
        <w:outlineLvl w:val="9"/>
        <w:rPr>
          <w:b w:val="0"/>
          <w:color w:val="auto"/>
          <w:szCs w:val="21"/>
          <w:highlight w:val="none"/>
          <w:shd w:val="clear" w:color="auto" w:fill="FFFFFF"/>
        </w:rPr>
      </w:pPr>
      <w:r>
        <w:rPr>
          <w:rFonts w:hint="eastAsia" w:ascii="宋体" w:hAnsi="宋体" w:cs="宋体"/>
          <w:b w:val="0"/>
          <w:color w:val="auto"/>
          <w:sz w:val="21"/>
          <w:szCs w:val="21"/>
          <w:highlight w:val="none"/>
        </w:rPr>
        <w:t xml:space="preserve">    </w:t>
      </w:r>
    </w:p>
    <w:p w14:paraId="5A5487CD">
      <w:pPr>
        <w:rPr>
          <w:color w:val="auto"/>
          <w:highlight w:val="none"/>
        </w:rPr>
      </w:pPr>
    </w:p>
    <w:p w14:paraId="7970655E">
      <w:pPr>
        <w:rPr>
          <w:color w:val="auto"/>
          <w:highlight w:val="none"/>
        </w:rPr>
      </w:pPr>
    </w:p>
    <w:p w14:paraId="07CBB8C1">
      <w:pPr>
        <w:rPr>
          <w:color w:val="auto"/>
          <w:highlight w:val="none"/>
        </w:rPr>
      </w:pPr>
    </w:p>
    <w:p w14:paraId="5F34B458">
      <w:pPr>
        <w:spacing w:before="101" w:line="320" w:lineRule="exact"/>
        <w:rPr>
          <w:rFonts w:ascii="宋体" w:hAnsi="宋体" w:cs="宋体"/>
          <w:color w:val="auto"/>
          <w:sz w:val="31"/>
          <w:szCs w:val="31"/>
          <w:highlight w:val="none"/>
        </w:rPr>
      </w:pPr>
      <w:r>
        <w:rPr>
          <w:rFonts w:ascii="宋体" w:hAnsi="宋体" w:cs="宋体"/>
          <w:color w:val="auto"/>
          <w:spacing w:val="-8"/>
          <w:sz w:val="31"/>
          <w:szCs w:val="31"/>
          <w:highlight w:val="none"/>
        </w:rPr>
        <w:br w:type="page"/>
      </w:r>
      <w:r>
        <w:rPr>
          <w:rFonts w:ascii="宋体" w:hAnsi="宋体" w:cs="宋体"/>
          <w:color w:val="auto"/>
          <w:spacing w:val="-8"/>
          <w:sz w:val="31"/>
          <w:szCs w:val="31"/>
          <w:highlight w:val="none"/>
        </w:rPr>
        <w:t>附</w:t>
      </w:r>
      <w:r>
        <w:rPr>
          <w:rFonts w:ascii="宋体" w:hAnsi="宋体" w:cs="宋体"/>
          <w:color w:val="auto"/>
          <w:spacing w:val="-6"/>
          <w:sz w:val="31"/>
          <w:szCs w:val="31"/>
          <w:highlight w:val="none"/>
        </w:rPr>
        <w:t>件：</w:t>
      </w:r>
    </w:p>
    <w:p w14:paraId="283FBD21">
      <w:pPr>
        <w:tabs>
          <w:tab w:val="left" w:pos="0"/>
        </w:tabs>
        <w:spacing w:before="66" w:line="320" w:lineRule="exact"/>
        <w:jc w:val="center"/>
        <w:rPr>
          <w:rFonts w:ascii="宋体" w:hAnsi="宋体" w:cs="宋体"/>
          <w:color w:val="auto"/>
          <w:sz w:val="40"/>
          <w:szCs w:val="40"/>
          <w:highlight w:val="none"/>
        </w:rPr>
      </w:pPr>
      <w:r>
        <w:rPr>
          <w:rFonts w:ascii="宋体" w:hAnsi="宋体" w:cs="宋体"/>
          <w:color w:val="auto"/>
          <w:spacing w:val="-10"/>
          <w:sz w:val="40"/>
          <w:szCs w:val="40"/>
          <w:highlight w:val="none"/>
        </w:rPr>
        <w:t>中</w:t>
      </w:r>
      <w:r>
        <w:rPr>
          <w:rFonts w:ascii="宋体" w:hAnsi="宋体" w:cs="宋体"/>
          <w:color w:val="auto"/>
          <w:spacing w:val="-7"/>
          <w:sz w:val="40"/>
          <w:szCs w:val="40"/>
          <w:highlight w:val="none"/>
        </w:rPr>
        <w:t>小</w:t>
      </w:r>
      <w:r>
        <w:rPr>
          <w:rFonts w:ascii="宋体" w:hAnsi="宋体" w:cs="宋体"/>
          <w:color w:val="auto"/>
          <w:spacing w:val="-5"/>
          <w:sz w:val="40"/>
          <w:szCs w:val="40"/>
          <w:highlight w:val="none"/>
        </w:rPr>
        <w:t>微企业划型标准</w:t>
      </w:r>
    </w:p>
    <w:tbl>
      <w:tblPr>
        <w:tblStyle w:val="2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1"/>
        <w:gridCol w:w="1751"/>
        <w:gridCol w:w="1158"/>
        <w:gridCol w:w="1916"/>
        <w:gridCol w:w="1906"/>
        <w:gridCol w:w="1110"/>
      </w:tblGrid>
      <w:tr w14:paraId="0F511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2071" w:type="dxa"/>
            <w:vAlign w:val="center"/>
          </w:tcPr>
          <w:p w14:paraId="7946F9FC">
            <w:pPr>
              <w:spacing w:before="37" w:line="229" w:lineRule="auto"/>
              <w:jc w:val="center"/>
              <w:rPr>
                <w:rFonts w:ascii="宋体" w:hAnsi="宋体" w:cs="宋体"/>
                <w:color w:val="auto"/>
                <w:sz w:val="20"/>
                <w:szCs w:val="20"/>
                <w:highlight w:val="none"/>
              </w:rPr>
            </w:pPr>
            <w:r>
              <w:rPr>
                <w:rFonts w:ascii="宋体" w:hAnsi="宋体" w:cs="宋体"/>
                <w:color w:val="auto"/>
                <w:spacing w:val="10"/>
                <w:sz w:val="20"/>
                <w:szCs w:val="20"/>
                <w:highlight w:val="none"/>
              </w:rPr>
              <w:t>行</w:t>
            </w:r>
            <w:r>
              <w:rPr>
                <w:rFonts w:ascii="宋体" w:hAnsi="宋体" w:cs="宋体"/>
                <w:color w:val="auto"/>
                <w:spacing w:val="7"/>
                <w:sz w:val="20"/>
                <w:szCs w:val="20"/>
                <w:highlight w:val="none"/>
              </w:rPr>
              <w:t>业名称</w:t>
            </w:r>
          </w:p>
        </w:tc>
        <w:tc>
          <w:tcPr>
            <w:tcW w:w="1751" w:type="dxa"/>
          </w:tcPr>
          <w:p w14:paraId="57DA92D5">
            <w:pPr>
              <w:spacing w:before="37" w:line="229" w:lineRule="auto"/>
              <w:ind w:left="459"/>
              <w:rPr>
                <w:rFonts w:ascii="宋体" w:hAnsi="宋体" w:cs="宋体"/>
                <w:color w:val="auto"/>
                <w:sz w:val="20"/>
                <w:szCs w:val="20"/>
                <w:highlight w:val="none"/>
              </w:rPr>
            </w:pPr>
            <w:r>
              <w:rPr>
                <w:rFonts w:ascii="宋体" w:hAnsi="宋体" w:cs="宋体"/>
                <w:color w:val="auto"/>
                <w:spacing w:val="8"/>
                <w:sz w:val="20"/>
                <w:szCs w:val="20"/>
                <w:highlight w:val="none"/>
              </w:rPr>
              <w:t>指标名</w:t>
            </w:r>
            <w:r>
              <w:rPr>
                <w:rFonts w:ascii="宋体" w:hAnsi="宋体" w:cs="宋体"/>
                <w:color w:val="auto"/>
                <w:spacing w:val="7"/>
                <w:sz w:val="20"/>
                <w:szCs w:val="20"/>
                <w:highlight w:val="none"/>
              </w:rPr>
              <w:t>称</w:t>
            </w:r>
          </w:p>
        </w:tc>
        <w:tc>
          <w:tcPr>
            <w:tcW w:w="1158" w:type="dxa"/>
          </w:tcPr>
          <w:p w14:paraId="52A833BB">
            <w:pPr>
              <w:spacing w:before="37" w:line="229" w:lineRule="auto"/>
              <w:ind w:left="162"/>
              <w:rPr>
                <w:rFonts w:ascii="宋体" w:hAnsi="宋体" w:cs="宋体"/>
                <w:color w:val="auto"/>
                <w:sz w:val="20"/>
                <w:szCs w:val="20"/>
                <w:highlight w:val="none"/>
              </w:rPr>
            </w:pPr>
            <w:r>
              <w:rPr>
                <w:rFonts w:ascii="宋体" w:hAnsi="宋体" w:cs="宋体"/>
                <w:color w:val="auto"/>
                <w:spacing w:val="10"/>
                <w:sz w:val="20"/>
                <w:szCs w:val="20"/>
                <w:highlight w:val="none"/>
              </w:rPr>
              <w:t>计</w:t>
            </w:r>
            <w:r>
              <w:rPr>
                <w:rFonts w:ascii="宋体" w:hAnsi="宋体" w:cs="宋体"/>
                <w:color w:val="auto"/>
                <w:spacing w:val="8"/>
                <w:sz w:val="20"/>
                <w:szCs w:val="20"/>
                <w:highlight w:val="none"/>
              </w:rPr>
              <w:t>量单位</w:t>
            </w:r>
          </w:p>
        </w:tc>
        <w:tc>
          <w:tcPr>
            <w:tcW w:w="1916" w:type="dxa"/>
          </w:tcPr>
          <w:p w14:paraId="4A254231">
            <w:pPr>
              <w:spacing w:before="37" w:line="229" w:lineRule="auto"/>
              <w:ind w:left="771"/>
              <w:rPr>
                <w:rFonts w:ascii="宋体" w:hAnsi="宋体" w:cs="宋体"/>
                <w:color w:val="auto"/>
                <w:sz w:val="20"/>
                <w:szCs w:val="20"/>
                <w:highlight w:val="none"/>
              </w:rPr>
            </w:pPr>
            <w:r>
              <w:rPr>
                <w:rFonts w:ascii="宋体" w:hAnsi="宋体" w:cs="宋体"/>
                <w:color w:val="auto"/>
                <w:spacing w:val="-4"/>
                <w:sz w:val="20"/>
                <w:szCs w:val="20"/>
                <w:highlight w:val="none"/>
              </w:rPr>
              <w:t>中型</w:t>
            </w:r>
          </w:p>
        </w:tc>
        <w:tc>
          <w:tcPr>
            <w:tcW w:w="1906" w:type="dxa"/>
          </w:tcPr>
          <w:p w14:paraId="3DCEA929">
            <w:pPr>
              <w:spacing w:before="36" w:line="231" w:lineRule="auto"/>
              <w:ind w:left="754"/>
              <w:rPr>
                <w:rFonts w:ascii="宋体" w:hAnsi="宋体" w:cs="宋体"/>
                <w:color w:val="auto"/>
                <w:sz w:val="20"/>
                <w:szCs w:val="20"/>
                <w:highlight w:val="none"/>
              </w:rPr>
            </w:pPr>
            <w:r>
              <w:rPr>
                <w:rFonts w:ascii="宋体" w:hAnsi="宋体" w:cs="宋体"/>
                <w:color w:val="auto"/>
                <w:spacing w:val="3"/>
                <w:sz w:val="20"/>
                <w:szCs w:val="20"/>
                <w:highlight w:val="none"/>
              </w:rPr>
              <w:t>小型</w:t>
            </w:r>
          </w:p>
        </w:tc>
        <w:tc>
          <w:tcPr>
            <w:tcW w:w="1110" w:type="dxa"/>
          </w:tcPr>
          <w:p w14:paraId="5BAEDF54">
            <w:pPr>
              <w:spacing w:before="37" w:line="228" w:lineRule="auto"/>
              <w:ind w:left="349"/>
              <w:rPr>
                <w:rFonts w:ascii="宋体" w:hAnsi="宋体" w:cs="宋体"/>
                <w:color w:val="auto"/>
                <w:sz w:val="20"/>
                <w:szCs w:val="20"/>
                <w:highlight w:val="none"/>
              </w:rPr>
            </w:pPr>
            <w:r>
              <w:rPr>
                <w:rFonts w:ascii="宋体" w:hAnsi="宋体" w:cs="宋体"/>
                <w:color w:val="auto"/>
                <w:spacing w:val="6"/>
                <w:sz w:val="20"/>
                <w:szCs w:val="20"/>
                <w:highlight w:val="none"/>
              </w:rPr>
              <w:t>微型</w:t>
            </w:r>
          </w:p>
        </w:tc>
      </w:tr>
      <w:tr w14:paraId="3EF57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2071" w:type="dxa"/>
            <w:vAlign w:val="center"/>
          </w:tcPr>
          <w:p w14:paraId="185A3303">
            <w:pPr>
              <w:spacing w:before="81" w:line="231" w:lineRule="auto"/>
              <w:jc w:val="center"/>
              <w:rPr>
                <w:rFonts w:ascii="宋体" w:hAnsi="宋体" w:cs="宋体"/>
                <w:color w:val="auto"/>
                <w:sz w:val="20"/>
                <w:szCs w:val="20"/>
                <w:highlight w:val="none"/>
              </w:rPr>
            </w:pPr>
            <w:r>
              <w:rPr>
                <w:rFonts w:ascii="宋体" w:hAnsi="宋体" w:cs="宋体"/>
                <w:color w:val="auto"/>
                <w:spacing w:val="11"/>
                <w:sz w:val="20"/>
                <w:szCs w:val="20"/>
                <w:highlight w:val="none"/>
              </w:rPr>
              <w:t>农</w:t>
            </w:r>
            <w:r>
              <w:rPr>
                <w:rFonts w:ascii="宋体" w:hAnsi="宋体" w:cs="宋体"/>
                <w:color w:val="auto"/>
                <w:spacing w:val="9"/>
                <w:sz w:val="20"/>
                <w:szCs w:val="20"/>
                <w:highlight w:val="none"/>
              </w:rPr>
              <w:t>、林、牧、渔</w:t>
            </w:r>
          </w:p>
        </w:tc>
        <w:tc>
          <w:tcPr>
            <w:tcW w:w="1751" w:type="dxa"/>
          </w:tcPr>
          <w:p w14:paraId="72FACEBC">
            <w:pPr>
              <w:spacing w:before="81" w:line="228" w:lineRule="auto"/>
              <w:ind w:left="204"/>
              <w:rPr>
                <w:rFonts w:ascii="宋体" w:hAnsi="宋体" w:cs="宋体"/>
                <w:color w:val="auto"/>
                <w:sz w:val="20"/>
                <w:szCs w:val="20"/>
                <w:highlight w:val="none"/>
              </w:rPr>
            </w:pPr>
            <w:r>
              <w:rPr>
                <w:rFonts w:ascii="宋体" w:hAnsi="宋体" w:cs="宋体"/>
                <w:color w:val="auto"/>
                <w:spacing w:val="8"/>
                <w:sz w:val="20"/>
                <w:szCs w:val="20"/>
                <w:highlight w:val="none"/>
              </w:rPr>
              <w:t>营</w:t>
            </w:r>
            <w:r>
              <w:rPr>
                <w:rFonts w:ascii="宋体" w:hAnsi="宋体" w:cs="宋体"/>
                <w:color w:val="auto"/>
                <w:spacing w:val="5"/>
                <w:sz w:val="20"/>
                <w:szCs w:val="20"/>
                <w:highlight w:val="none"/>
              </w:rPr>
              <w:t>业收入(</w:t>
            </w:r>
            <w:r>
              <w:rPr>
                <w:rFonts w:ascii="宋体" w:hAnsi="宋体" w:cs="宋体"/>
                <w:color w:val="auto"/>
                <w:sz w:val="20"/>
                <w:szCs w:val="20"/>
                <w:highlight w:val="none"/>
              </w:rPr>
              <w:t>Y</w:t>
            </w:r>
            <w:r>
              <w:rPr>
                <w:rFonts w:ascii="宋体" w:hAnsi="宋体" w:cs="宋体"/>
                <w:color w:val="auto"/>
                <w:spacing w:val="5"/>
                <w:sz w:val="20"/>
                <w:szCs w:val="20"/>
                <w:highlight w:val="none"/>
              </w:rPr>
              <w:t>)</w:t>
            </w:r>
          </w:p>
        </w:tc>
        <w:tc>
          <w:tcPr>
            <w:tcW w:w="1158" w:type="dxa"/>
          </w:tcPr>
          <w:p w14:paraId="4AB45B97">
            <w:pPr>
              <w:spacing w:before="81"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6703B1B7">
            <w:pPr>
              <w:spacing w:before="81" w:line="265" w:lineRule="exact"/>
              <w:ind w:left="285"/>
              <w:rPr>
                <w:rFonts w:ascii="宋体" w:hAnsi="宋体" w:cs="宋体"/>
                <w:color w:val="auto"/>
                <w:sz w:val="20"/>
                <w:szCs w:val="20"/>
                <w:highlight w:val="none"/>
              </w:rPr>
            </w:pPr>
            <w:r>
              <w:rPr>
                <w:rFonts w:ascii="宋体" w:hAnsi="宋体" w:cs="宋体"/>
                <w:color w:val="auto"/>
                <w:spacing w:val="7"/>
                <w:position w:val="1"/>
                <w:sz w:val="20"/>
                <w:szCs w:val="20"/>
                <w:highlight w:val="none"/>
              </w:rPr>
              <w:t>5</w:t>
            </w:r>
            <w:r>
              <w:rPr>
                <w:rFonts w:ascii="宋体" w:hAnsi="宋体" w:cs="宋体"/>
                <w:color w:val="auto"/>
                <w:spacing w:val="5"/>
                <w:position w:val="1"/>
                <w:sz w:val="20"/>
                <w:szCs w:val="20"/>
                <w:highlight w:val="none"/>
              </w:rPr>
              <w:t>00≤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＜20000</w:t>
            </w:r>
          </w:p>
        </w:tc>
        <w:tc>
          <w:tcPr>
            <w:tcW w:w="1906" w:type="dxa"/>
          </w:tcPr>
          <w:p w14:paraId="17A3D342">
            <w:pPr>
              <w:spacing w:before="81" w:line="265" w:lineRule="exact"/>
              <w:ind w:left="438"/>
              <w:rPr>
                <w:rFonts w:ascii="宋体" w:hAnsi="宋体" w:cs="宋体"/>
                <w:color w:val="auto"/>
                <w:sz w:val="20"/>
                <w:szCs w:val="20"/>
                <w:highlight w:val="none"/>
              </w:rPr>
            </w:pPr>
            <w:r>
              <w:rPr>
                <w:rFonts w:ascii="宋体" w:hAnsi="宋体" w:cs="宋体"/>
                <w:color w:val="auto"/>
                <w:spacing w:val="10"/>
                <w:position w:val="1"/>
                <w:sz w:val="20"/>
                <w:szCs w:val="20"/>
                <w:highlight w:val="none"/>
              </w:rPr>
              <w:t>5</w:t>
            </w:r>
            <w:r>
              <w:rPr>
                <w:rFonts w:ascii="宋体" w:hAnsi="宋体" w:cs="宋体"/>
                <w:color w:val="auto"/>
                <w:spacing w:val="5"/>
                <w:position w:val="1"/>
                <w:sz w:val="20"/>
                <w:szCs w:val="20"/>
                <w:highlight w:val="none"/>
              </w:rPr>
              <w:t>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＜500</w:t>
            </w:r>
          </w:p>
        </w:tc>
        <w:tc>
          <w:tcPr>
            <w:tcW w:w="1110" w:type="dxa"/>
          </w:tcPr>
          <w:p w14:paraId="09749C2D">
            <w:pPr>
              <w:spacing w:before="81" w:line="269" w:lineRule="exact"/>
              <w:ind w:left="293"/>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8"/>
                <w:position w:val="1"/>
                <w:sz w:val="20"/>
                <w:szCs w:val="20"/>
                <w:highlight w:val="none"/>
              </w:rPr>
              <w:t>＜</w:t>
            </w:r>
            <w:r>
              <w:rPr>
                <w:rFonts w:ascii="宋体" w:hAnsi="宋体" w:cs="宋体"/>
                <w:color w:val="auto"/>
                <w:spacing w:val="7"/>
                <w:position w:val="1"/>
                <w:sz w:val="20"/>
                <w:szCs w:val="20"/>
                <w:highlight w:val="none"/>
              </w:rPr>
              <w:t>50</w:t>
            </w:r>
          </w:p>
        </w:tc>
      </w:tr>
      <w:tr w14:paraId="62E35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2071" w:type="dxa"/>
            <w:vMerge w:val="restart"/>
            <w:tcBorders>
              <w:bottom w:val="nil"/>
            </w:tcBorders>
            <w:vAlign w:val="center"/>
          </w:tcPr>
          <w:p w14:paraId="150FEB9A">
            <w:pPr>
              <w:spacing w:before="228" w:line="241" w:lineRule="auto"/>
              <w:jc w:val="center"/>
              <w:rPr>
                <w:rFonts w:ascii="宋体" w:hAnsi="宋体" w:cs="宋体"/>
                <w:color w:val="auto"/>
                <w:sz w:val="20"/>
                <w:szCs w:val="20"/>
                <w:highlight w:val="none"/>
              </w:rPr>
            </w:pPr>
            <w:r>
              <w:rPr>
                <w:rFonts w:ascii="宋体" w:hAnsi="宋体" w:cs="宋体"/>
                <w:color w:val="auto"/>
                <w:spacing w:val="5"/>
                <w:sz w:val="20"/>
                <w:szCs w:val="20"/>
                <w:highlight w:val="none"/>
              </w:rPr>
              <w:t>工</w:t>
            </w:r>
            <w:r>
              <w:rPr>
                <w:rFonts w:ascii="宋体" w:hAnsi="宋体" w:cs="宋体"/>
                <w:color w:val="auto"/>
                <w:spacing w:val="4"/>
                <w:sz w:val="20"/>
                <w:szCs w:val="20"/>
                <w:highlight w:val="none"/>
              </w:rPr>
              <w:t>业</w:t>
            </w:r>
          </w:p>
        </w:tc>
        <w:tc>
          <w:tcPr>
            <w:tcW w:w="1751" w:type="dxa"/>
          </w:tcPr>
          <w:p w14:paraId="4846EA35">
            <w:pPr>
              <w:spacing w:before="34" w:line="229" w:lineRule="auto"/>
              <w:ind w:left="200"/>
              <w:rPr>
                <w:rFonts w:ascii="宋体" w:hAnsi="宋体" w:cs="宋体"/>
                <w:color w:val="auto"/>
                <w:sz w:val="20"/>
                <w:szCs w:val="20"/>
                <w:highlight w:val="none"/>
              </w:rPr>
            </w:pPr>
            <w:r>
              <w:rPr>
                <w:rFonts w:ascii="宋体" w:hAnsi="宋体" w:cs="宋体"/>
                <w:color w:val="auto"/>
                <w:spacing w:val="6"/>
                <w:sz w:val="20"/>
                <w:szCs w:val="20"/>
                <w:highlight w:val="none"/>
              </w:rPr>
              <w:t>从业人员(</w:t>
            </w:r>
            <w:r>
              <w:rPr>
                <w:rFonts w:ascii="宋体" w:hAnsi="宋体" w:cs="宋体"/>
                <w:color w:val="auto"/>
                <w:sz w:val="20"/>
                <w:szCs w:val="20"/>
                <w:highlight w:val="none"/>
              </w:rPr>
              <w:t>X</w:t>
            </w:r>
            <w:r>
              <w:rPr>
                <w:rFonts w:ascii="宋体" w:hAnsi="宋体" w:cs="宋体"/>
                <w:color w:val="auto"/>
                <w:spacing w:val="6"/>
                <w:sz w:val="20"/>
                <w:szCs w:val="20"/>
                <w:highlight w:val="none"/>
              </w:rPr>
              <w:t>)</w:t>
            </w:r>
          </w:p>
        </w:tc>
        <w:tc>
          <w:tcPr>
            <w:tcW w:w="1158" w:type="dxa"/>
          </w:tcPr>
          <w:p w14:paraId="724FCD65">
            <w:pPr>
              <w:spacing w:before="34" w:line="231" w:lineRule="auto"/>
              <w:ind w:left="481"/>
              <w:rPr>
                <w:rFonts w:ascii="宋体" w:hAnsi="宋体" w:cs="宋体"/>
                <w:color w:val="auto"/>
                <w:sz w:val="20"/>
                <w:szCs w:val="20"/>
                <w:highlight w:val="none"/>
              </w:rPr>
            </w:pPr>
            <w:r>
              <w:rPr>
                <w:rFonts w:ascii="宋体" w:hAnsi="宋体" w:cs="宋体"/>
                <w:color w:val="auto"/>
                <w:sz w:val="20"/>
                <w:szCs w:val="20"/>
                <w:highlight w:val="none"/>
              </w:rPr>
              <w:t>人</w:t>
            </w:r>
          </w:p>
        </w:tc>
        <w:tc>
          <w:tcPr>
            <w:tcW w:w="1916" w:type="dxa"/>
          </w:tcPr>
          <w:p w14:paraId="63404F22">
            <w:pPr>
              <w:spacing w:before="34" w:line="265" w:lineRule="exact"/>
              <w:ind w:left="338"/>
              <w:rPr>
                <w:rFonts w:ascii="宋体" w:hAnsi="宋体" w:cs="宋体"/>
                <w:color w:val="auto"/>
                <w:sz w:val="20"/>
                <w:szCs w:val="20"/>
                <w:highlight w:val="none"/>
              </w:rPr>
            </w:pPr>
            <w:r>
              <w:rPr>
                <w:rFonts w:ascii="宋体" w:hAnsi="宋体" w:cs="宋体"/>
                <w:color w:val="auto"/>
                <w:spacing w:val="8"/>
                <w:position w:val="1"/>
                <w:sz w:val="20"/>
                <w:szCs w:val="20"/>
                <w:highlight w:val="none"/>
              </w:rPr>
              <w:t>3</w:t>
            </w:r>
            <w:r>
              <w:rPr>
                <w:rFonts w:ascii="宋体" w:hAnsi="宋体" w:cs="宋体"/>
                <w:color w:val="auto"/>
                <w:spacing w:val="5"/>
                <w:position w:val="1"/>
                <w:sz w:val="20"/>
                <w:szCs w:val="20"/>
                <w:highlight w:val="none"/>
              </w:rPr>
              <w:t>00≤</w:t>
            </w:r>
            <w:r>
              <w:rPr>
                <w:rFonts w:ascii="宋体" w:hAnsi="宋体" w:cs="宋体"/>
                <w:color w:val="auto"/>
                <w:position w:val="1"/>
                <w:sz w:val="20"/>
                <w:szCs w:val="20"/>
                <w:highlight w:val="none"/>
              </w:rPr>
              <w:t>X</w:t>
            </w:r>
            <w:r>
              <w:rPr>
                <w:rFonts w:ascii="宋体" w:hAnsi="宋体" w:cs="宋体"/>
                <w:color w:val="auto"/>
                <w:spacing w:val="5"/>
                <w:position w:val="1"/>
                <w:sz w:val="20"/>
                <w:szCs w:val="20"/>
                <w:highlight w:val="none"/>
              </w:rPr>
              <w:t>＜1000</w:t>
            </w:r>
          </w:p>
        </w:tc>
        <w:tc>
          <w:tcPr>
            <w:tcW w:w="1906" w:type="dxa"/>
          </w:tcPr>
          <w:p w14:paraId="7B5CBA0B">
            <w:pPr>
              <w:spacing w:before="34" w:line="265" w:lineRule="exact"/>
              <w:ind w:left="436"/>
              <w:rPr>
                <w:rFonts w:ascii="宋体" w:hAnsi="宋体" w:cs="宋体"/>
                <w:color w:val="auto"/>
                <w:sz w:val="20"/>
                <w:szCs w:val="20"/>
                <w:highlight w:val="none"/>
              </w:rPr>
            </w:pPr>
            <w:r>
              <w:rPr>
                <w:rFonts w:ascii="宋体" w:hAnsi="宋体" w:cs="宋体"/>
                <w:color w:val="auto"/>
                <w:spacing w:val="6"/>
                <w:position w:val="1"/>
                <w:sz w:val="20"/>
                <w:szCs w:val="20"/>
                <w:highlight w:val="none"/>
              </w:rPr>
              <w:t>20≤</w:t>
            </w:r>
            <w:r>
              <w:rPr>
                <w:rFonts w:ascii="宋体" w:hAnsi="宋体" w:cs="宋体"/>
                <w:color w:val="auto"/>
                <w:position w:val="1"/>
                <w:sz w:val="20"/>
                <w:szCs w:val="20"/>
                <w:highlight w:val="none"/>
              </w:rPr>
              <w:t>X</w:t>
            </w:r>
            <w:r>
              <w:rPr>
                <w:rFonts w:ascii="宋体" w:hAnsi="宋体" w:cs="宋体"/>
                <w:color w:val="auto"/>
                <w:spacing w:val="6"/>
                <w:position w:val="1"/>
                <w:sz w:val="20"/>
                <w:szCs w:val="20"/>
                <w:highlight w:val="none"/>
              </w:rPr>
              <w:t>＜30</w:t>
            </w:r>
            <w:r>
              <w:rPr>
                <w:rFonts w:ascii="宋体" w:hAnsi="宋体" w:cs="宋体"/>
                <w:color w:val="auto"/>
                <w:spacing w:val="5"/>
                <w:position w:val="1"/>
                <w:sz w:val="20"/>
                <w:szCs w:val="20"/>
                <w:highlight w:val="none"/>
              </w:rPr>
              <w:t>0</w:t>
            </w:r>
          </w:p>
        </w:tc>
        <w:tc>
          <w:tcPr>
            <w:tcW w:w="1110" w:type="dxa"/>
          </w:tcPr>
          <w:p w14:paraId="68EC9589">
            <w:pPr>
              <w:spacing w:before="34" w:line="269" w:lineRule="exact"/>
              <w:ind w:left="294"/>
              <w:rPr>
                <w:rFonts w:ascii="宋体" w:hAnsi="宋体" w:cs="宋体"/>
                <w:color w:val="auto"/>
                <w:sz w:val="20"/>
                <w:szCs w:val="20"/>
                <w:highlight w:val="none"/>
              </w:rPr>
            </w:pPr>
            <w:r>
              <w:rPr>
                <w:rFonts w:ascii="宋体" w:hAnsi="宋体" w:cs="宋体"/>
                <w:color w:val="auto"/>
                <w:position w:val="1"/>
                <w:sz w:val="20"/>
                <w:szCs w:val="20"/>
                <w:highlight w:val="none"/>
              </w:rPr>
              <w:t>X</w:t>
            </w:r>
            <w:r>
              <w:rPr>
                <w:rFonts w:ascii="宋体" w:hAnsi="宋体" w:cs="宋体"/>
                <w:color w:val="auto"/>
                <w:spacing w:val="7"/>
                <w:position w:val="1"/>
                <w:sz w:val="20"/>
                <w:szCs w:val="20"/>
                <w:highlight w:val="none"/>
              </w:rPr>
              <w:t>＜20</w:t>
            </w:r>
          </w:p>
        </w:tc>
      </w:tr>
      <w:tr w14:paraId="450C0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continue"/>
            <w:tcBorders>
              <w:top w:val="nil"/>
            </w:tcBorders>
            <w:vAlign w:val="center"/>
          </w:tcPr>
          <w:p w14:paraId="175CF03E">
            <w:pPr>
              <w:jc w:val="center"/>
              <w:rPr>
                <w:rFonts w:ascii="Arial"/>
                <w:color w:val="auto"/>
                <w:highlight w:val="none"/>
              </w:rPr>
            </w:pPr>
          </w:p>
        </w:tc>
        <w:tc>
          <w:tcPr>
            <w:tcW w:w="1751" w:type="dxa"/>
          </w:tcPr>
          <w:p w14:paraId="4BBE5F36">
            <w:pPr>
              <w:spacing w:before="31" w:line="228" w:lineRule="auto"/>
              <w:ind w:left="204"/>
              <w:rPr>
                <w:rFonts w:ascii="宋体" w:hAnsi="宋体" w:cs="宋体"/>
                <w:color w:val="auto"/>
                <w:sz w:val="20"/>
                <w:szCs w:val="20"/>
                <w:highlight w:val="none"/>
              </w:rPr>
            </w:pPr>
            <w:r>
              <w:rPr>
                <w:rFonts w:ascii="宋体" w:hAnsi="宋体" w:cs="宋体"/>
                <w:color w:val="auto"/>
                <w:spacing w:val="8"/>
                <w:sz w:val="20"/>
                <w:szCs w:val="20"/>
                <w:highlight w:val="none"/>
              </w:rPr>
              <w:t>营</w:t>
            </w:r>
            <w:r>
              <w:rPr>
                <w:rFonts w:ascii="宋体" w:hAnsi="宋体" w:cs="宋体"/>
                <w:color w:val="auto"/>
                <w:spacing w:val="5"/>
                <w:sz w:val="20"/>
                <w:szCs w:val="20"/>
                <w:highlight w:val="none"/>
              </w:rPr>
              <w:t>业收入(</w:t>
            </w:r>
            <w:r>
              <w:rPr>
                <w:rFonts w:ascii="宋体" w:hAnsi="宋体" w:cs="宋体"/>
                <w:color w:val="auto"/>
                <w:sz w:val="20"/>
                <w:szCs w:val="20"/>
                <w:highlight w:val="none"/>
              </w:rPr>
              <w:t>Y</w:t>
            </w:r>
            <w:r>
              <w:rPr>
                <w:rFonts w:ascii="宋体" w:hAnsi="宋体" w:cs="宋体"/>
                <w:color w:val="auto"/>
                <w:spacing w:val="5"/>
                <w:sz w:val="20"/>
                <w:szCs w:val="20"/>
                <w:highlight w:val="none"/>
              </w:rPr>
              <w:t>)</w:t>
            </w:r>
          </w:p>
        </w:tc>
        <w:tc>
          <w:tcPr>
            <w:tcW w:w="1158" w:type="dxa"/>
          </w:tcPr>
          <w:p w14:paraId="673A01CF">
            <w:pPr>
              <w:spacing w:before="31"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4CBEF229">
            <w:pPr>
              <w:spacing w:before="31" w:line="265" w:lineRule="exact"/>
              <w:ind w:left="231"/>
              <w:rPr>
                <w:rFonts w:ascii="宋体" w:hAnsi="宋体" w:cs="宋体"/>
                <w:color w:val="auto"/>
                <w:sz w:val="20"/>
                <w:szCs w:val="20"/>
                <w:highlight w:val="none"/>
              </w:rPr>
            </w:pPr>
            <w:r>
              <w:rPr>
                <w:rFonts w:ascii="宋体" w:hAnsi="宋体" w:cs="宋体"/>
                <w:color w:val="auto"/>
                <w:spacing w:val="9"/>
                <w:position w:val="1"/>
                <w:sz w:val="20"/>
                <w:szCs w:val="20"/>
                <w:highlight w:val="none"/>
              </w:rPr>
              <w:t>2</w:t>
            </w:r>
            <w:r>
              <w:rPr>
                <w:rFonts w:ascii="宋体" w:hAnsi="宋体" w:cs="宋体"/>
                <w:color w:val="auto"/>
                <w:spacing w:val="5"/>
                <w:position w:val="1"/>
                <w:sz w:val="20"/>
                <w:szCs w:val="20"/>
                <w:highlight w:val="none"/>
              </w:rPr>
              <w:t>000≤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＜40000</w:t>
            </w:r>
          </w:p>
        </w:tc>
        <w:tc>
          <w:tcPr>
            <w:tcW w:w="1906" w:type="dxa"/>
          </w:tcPr>
          <w:p w14:paraId="4D66BF93">
            <w:pPr>
              <w:spacing w:before="31" w:line="265" w:lineRule="exact"/>
              <w:ind w:left="335"/>
              <w:rPr>
                <w:rFonts w:ascii="宋体" w:hAnsi="宋体" w:cs="宋体"/>
                <w:color w:val="auto"/>
                <w:sz w:val="20"/>
                <w:szCs w:val="20"/>
                <w:highlight w:val="none"/>
              </w:rPr>
            </w:pPr>
            <w:r>
              <w:rPr>
                <w:rFonts w:ascii="宋体" w:hAnsi="宋体" w:cs="宋体"/>
                <w:color w:val="auto"/>
                <w:spacing w:val="6"/>
                <w:position w:val="1"/>
                <w:sz w:val="20"/>
                <w:szCs w:val="20"/>
                <w:highlight w:val="none"/>
              </w:rPr>
              <w:t>3</w:t>
            </w:r>
            <w:r>
              <w:rPr>
                <w:rFonts w:ascii="宋体" w:hAnsi="宋体" w:cs="宋体"/>
                <w:color w:val="auto"/>
                <w:spacing w:val="5"/>
                <w:position w:val="1"/>
                <w:sz w:val="20"/>
                <w:szCs w:val="20"/>
                <w:highlight w:val="none"/>
              </w:rPr>
              <w:t>00≤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＜2000</w:t>
            </w:r>
          </w:p>
        </w:tc>
        <w:tc>
          <w:tcPr>
            <w:tcW w:w="1110" w:type="dxa"/>
          </w:tcPr>
          <w:p w14:paraId="1F820A19">
            <w:pPr>
              <w:spacing w:before="31" w:line="269" w:lineRule="exact"/>
              <w:ind w:left="243"/>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7"/>
                <w:position w:val="1"/>
                <w:sz w:val="20"/>
                <w:szCs w:val="20"/>
                <w:highlight w:val="none"/>
              </w:rPr>
              <w:t>＜</w:t>
            </w:r>
            <w:r>
              <w:rPr>
                <w:rFonts w:ascii="宋体" w:hAnsi="宋体" w:cs="宋体"/>
                <w:color w:val="auto"/>
                <w:spacing w:val="6"/>
                <w:position w:val="1"/>
                <w:sz w:val="20"/>
                <w:szCs w:val="20"/>
                <w:highlight w:val="none"/>
              </w:rPr>
              <w:t>300</w:t>
            </w:r>
          </w:p>
        </w:tc>
      </w:tr>
      <w:tr w14:paraId="66BF0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restart"/>
            <w:tcBorders>
              <w:bottom w:val="nil"/>
            </w:tcBorders>
            <w:vAlign w:val="center"/>
          </w:tcPr>
          <w:p w14:paraId="2898BCA6">
            <w:pPr>
              <w:spacing w:before="228" w:line="229" w:lineRule="auto"/>
              <w:jc w:val="center"/>
              <w:rPr>
                <w:rFonts w:ascii="宋体" w:hAnsi="宋体" w:cs="宋体"/>
                <w:color w:val="auto"/>
                <w:sz w:val="20"/>
                <w:szCs w:val="20"/>
                <w:highlight w:val="none"/>
              </w:rPr>
            </w:pPr>
            <w:r>
              <w:rPr>
                <w:rFonts w:ascii="宋体" w:hAnsi="宋体" w:cs="宋体"/>
                <w:color w:val="auto"/>
                <w:spacing w:val="7"/>
                <w:sz w:val="20"/>
                <w:szCs w:val="20"/>
                <w:highlight w:val="none"/>
              </w:rPr>
              <w:t>建筑</w:t>
            </w:r>
            <w:r>
              <w:rPr>
                <w:rFonts w:ascii="宋体" w:hAnsi="宋体" w:cs="宋体"/>
                <w:color w:val="auto"/>
                <w:spacing w:val="6"/>
                <w:sz w:val="20"/>
                <w:szCs w:val="20"/>
                <w:highlight w:val="none"/>
              </w:rPr>
              <w:t>业</w:t>
            </w:r>
          </w:p>
        </w:tc>
        <w:tc>
          <w:tcPr>
            <w:tcW w:w="1751" w:type="dxa"/>
          </w:tcPr>
          <w:p w14:paraId="09B640EB">
            <w:pPr>
              <w:spacing w:before="31" w:line="228" w:lineRule="auto"/>
              <w:ind w:left="204"/>
              <w:rPr>
                <w:rFonts w:ascii="宋体" w:hAnsi="宋体" w:cs="宋体"/>
                <w:color w:val="auto"/>
                <w:sz w:val="20"/>
                <w:szCs w:val="20"/>
                <w:highlight w:val="none"/>
              </w:rPr>
            </w:pPr>
            <w:r>
              <w:rPr>
                <w:rFonts w:ascii="宋体" w:hAnsi="宋体" w:cs="宋体"/>
                <w:color w:val="auto"/>
                <w:spacing w:val="8"/>
                <w:sz w:val="20"/>
                <w:szCs w:val="20"/>
                <w:highlight w:val="none"/>
              </w:rPr>
              <w:t>营</w:t>
            </w:r>
            <w:r>
              <w:rPr>
                <w:rFonts w:ascii="宋体" w:hAnsi="宋体" w:cs="宋体"/>
                <w:color w:val="auto"/>
                <w:spacing w:val="5"/>
                <w:sz w:val="20"/>
                <w:szCs w:val="20"/>
                <w:highlight w:val="none"/>
              </w:rPr>
              <w:t>业收入(</w:t>
            </w:r>
            <w:r>
              <w:rPr>
                <w:rFonts w:ascii="宋体" w:hAnsi="宋体" w:cs="宋体"/>
                <w:color w:val="auto"/>
                <w:sz w:val="20"/>
                <w:szCs w:val="20"/>
                <w:highlight w:val="none"/>
              </w:rPr>
              <w:t>Y</w:t>
            </w:r>
            <w:r>
              <w:rPr>
                <w:rFonts w:ascii="宋体" w:hAnsi="宋体" w:cs="宋体"/>
                <w:color w:val="auto"/>
                <w:spacing w:val="5"/>
                <w:sz w:val="20"/>
                <w:szCs w:val="20"/>
                <w:highlight w:val="none"/>
              </w:rPr>
              <w:t>)</w:t>
            </w:r>
          </w:p>
        </w:tc>
        <w:tc>
          <w:tcPr>
            <w:tcW w:w="1158" w:type="dxa"/>
          </w:tcPr>
          <w:p w14:paraId="38145A91">
            <w:pPr>
              <w:spacing w:before="31"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41B1DB6A">
            <w:pPr>
              <w:spacing w:before="31" w:line="265" w:lineRule="exact"/>
              <w:ind w:left="230"/>
              <w:rPr>
                <w:rFonts w:ascii="宋体" w:hAnsi="宋体" w:cs="宋体"/>
                <w:color w:val="auto"/>
                <w:sz w:val="20"/>
                <w:szCs w:val="20"/>
                <w:highlight w:val="none"/>
              </w:rPr>
            </w:pPr>
            <w:r>
              <w:rPr>
                <w:rFonts w:ascii="宋体" w:hAnsi="宋体" w:cs="宋体"/>
                <w:color w:val="auto"/>
                <w:spacing w:val="10"/>
                <w:position w:val="1"/>
                <w:sz w:val="20"/>
                <w:szCs w:val="20"/>
                <w:highlight w:val="none"/>
              </w:rPr>
              <w:t>6</w:t>
            </w:r>
            <w:r>
              <w:rPr>
                <w:rFonts w:ascii="宋体" w:hAnsi="宋体" w:cs="宋体"/>
                <w:color w:val="auto"/>
                <w:spacing w:val="5"/>
                <w:position w:val="1"/>
                <w:sz w:val="20"/>
                <w:szCs w:val="20"/>
                <w:highlight w:val="none"/>
              </w:rPr>
              <w:t>000≤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＜80000</w:t>
            </w:r>
          </w:p>
        </w:tc>
        <w:tc>
          <w:tcPr>
            <w:tcW w:w="1906" w:type="dxa"/>
          </w:tcPr>
          <w:p w14:paraId="1E8E3A2F">
            <w:pPr>
              <w:spacing w:before="31" w:line="265" w:lineRule="exact"/>
              <w:ind w:left="335"/>
              <w:rPr>
                <w:rFonts w:ascii="宋体" w:hAnsi="宋体" w:cs="宋体"/>
                <w:color w:val="auto"/>
                <w:sz w:val="20"/>
                <w:szCs w:val="20"/>
                <w:highlight w:val="none"/>
              </w:rPr>
            </w:pPr>
            <w:r>
              <w:rPr>
                <w:rFonts w:ascii="宋体" w:hAnsi="宋体" w:cs="宋体"/>
                <w:color w:val="auto"/>
                <w:spacing w:val="6"/>
                <w:position w:val="1"/>
                <w:sz w:val="20"/>
                <w:szCs w:val="20"/>
                <w:highlight w:val="none"/>
              </w:rPr>
              <w:t>3</w:t>
            </w:r>
            <w:r>
              <w:rPr>
                <w:rFonts w:ascii="宋体" w:hAnsi="宋体" w:cs="宋体"/>
                <w:color w:val="auto"/>
                <w:spacing w:val="5"/>
                <w:position w:val="1"/>
                <w:sz w:val="20"/>
                <w:szCs w:val="20"/>
                <w:highlight w:val="none"/>
              </w:rPr>
              <w:t>00≤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＜6000</w:t>
            </w:r>
          </w:p>
        </w:tc>
        <w:tc>
          <w:tcPr>
            <w:tcW w:w="1110" w:type="dxa"/>
          </w:tcPr>
          <w:p w14:paraId="473052F6">
            <w:pPr>
              <w:spacing w:before="31" w:line="269" w:lineRule="exact"/>
              <w:ind w:left="243"/>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7"/>
                <w:position w:val="1"/>
                <w:sz w:val="20"/>
                <w:szCs w:val="20"/>
                <w:highlight w:val="none"/>
              </w:rPr>
              <w:t>＜</w:t>
            </w:r>
            <w:r>
              <w:rPr>
                <w:rFonts w:ascii="宋体" w:hAnsi="宋体" w:cs="宋体"/>
                <w:color w:val="auto"/>
                <w:spacing w:val="6"/>
                <w:position w:val="1"/>
                <w:sz w:val="20"/>
                <w:szCs w:val="20"/>
                <w:highlight w:val="none"/>
              </w:rPr>
              <w:t>300</w:t>
            </w:r>
          </w:p>
        </w:tc>
      </w:tr>
      <w:tr w14:paraId="3D269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2071" w:type="dxa"/>
            <w:vMerge w:val="continue"/>
            <w:tcBorders>
              <w:top w:val="nil"/>
            </w:tcBorders>
            <w:vAlign w:val="center"/>
          </w:tcPr>
          <w:p w14:paraId="567BA599">
            <w:pPr>
              <w:jc w:val="center"/>
              <w:rPr>
                <w:rFonts w:ascii="Arial"/>
                <w:color w:val="auto"/>
                <w:highlight w:val="none"/>
              </w:rPr>
            </w:pPr>
          </w:p>
        </w:tc>
        <w:tc>
          <w:tcPr>
            <w:tcW w:w="1751" w:type="dxa"/>
          </w:tcPr>
          <w:p w14:paraId="6CBA14B7">
            <w:pPr>
              <w:spacing w:before="34" w:line="227" w:lineRule="auto"/>
              <w:ind w:left="206"/>
              <w:rPr>
                <w:rFonts w:ascii="宋体" w:hAnsi="宋体" w:cs="宋体"/>
                <w:color w:val="auto"/>
                <w:sz w:val="20"/>
                <w:szCs w:val="20"/>
                <w:highlight w:val="none"/>
              </w:rPr>
            </w:pPr>
            <w:r>
              <w:rPr>
                <w:rFonts w:ascii="宋体" w:hAnsi="宋体" w:cs="宋体"/>
                <w:color w:val="auto"/>
                <w:spacing w:val="6"/>
                <w:sz w:val="20"/>
                <w:szCs w:val="20"/>
                <w:highlight w:val="none"/>
              </w:rPr>
              <w:t>资</w:t>
            </w:r>
            <w:r>
              <w:rPr>
                <w:rFonts w:ascii="宋体" w:hAnsi="宋体" w:cs="宋体"/>
                <w:color w:val="auto"/>
                <w:spacing w:val="5"/>
                <w:sz w:val="20"/>
                <w:szCs w:val="20"/>
                <w:highlight w:val="none"/>
              </w:rPr>
              <w:t>产总额(</w:t>
            </w:r>
            <w:r>
              <w:rPr>
                <w:rFonts w:ascii="宋体" w:hAnsi="宋体" w:cs="宋体"/>
                <w:color w:val="auto"/>
                <w:sz w:val="20"/>
                <w:szCs w:val="20"/>
                <w:highlight w:val="none"/>
              </w:rPr>
              <w:t>Z</w:t>
            </w:r>
            <w:r>
              <w:rPr>
                <w:rFonts w:ascii="宋体" w:hAnsi="宋体" w:cs="宋体"/>
                <w:color w:val="auto"/>
                <w:spacing w:val="5"/>
                <w:sz w:val="20"/>
                <w:szCs w:val="20"/>
                <w:highlight w:val="none"/>
              </w:rPr>
              <w:t>)</w:t>
            </w:r>
          </w:p>
        </w:tc>
        <w:tc>
          <w:tcPr>
            <w:tcW w:w="1158" w:type="dxa"/>
          </w:tcPr>
          <w:p w14:paraId="420AB84F">
            <w:pPr>
              <w:spacing w:before="34"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1D3F0DB5">
            <w:pPr>
              <w:spacing w:before="34" w:line="265" w:lineRule="exact"/>
              <w:ind w:left="232"/>
              <w:rPr>
                <w:rFonts w:ascii="宋体" w:hAnsi="宋体" w:cs="宋体"/>
                <w:color w:val="auto"/>
                <w:sz w:val="20"/>
                <w:szCs w:val="20"/>
                <w:highlight w:val="none"/>
              </w:rPr>
            </w:pPr>
            <w:r>
              <w:rPr>
                <w:rFonts w:ascii="宋体" w:hAnsi="宋体" w:cs="宋体"/>
                <w:color w:val="auto"/>
                <w:spacing w:val="7"/>
                <w:position w:val="1"/>
                <w:sz w:val="20"/>
                <w:szCs w:val="20"/>
                <w:highlight w:val="none"/>
              </w:rPr>
              <w:t>5</w:t>
            </w:r>
            <w:r>
              <w:rPr>
                <w:rFonts w:ascii="宋体" w:hAnsi="宋体" w:cs="宋体"/>
                <w:color w:val="auto"/>
                <w:spacing w:val="5"/>
                <w:position w:val="1"/>
                <w:sz w:val="20"/>
                <w:szCs w:val="20"/>
                <w:highlight w:val="none"/>
              </w:rPr>
              <w:t>000≤</w:t>
            </w:r>
            <w:r>
              <w:rPr>
                <w:rFonts w:ascii="宋体" w:hAnsi="宋体" w:cs="宋体"/>
                <w:color w:val="auto"/>
                <w:position w:val="1"/>
                <w:sz w:val="20"/>
                <w:szCs w:val="20"/>
                <w:highlight w:val="none"/>
              </w:rPr>
              <w:t>Z</w:t>
            </w:r>
            <w:r>
              <w:rPr>
                <w:rFonts w:ascii="宋体" w:hAnsi="宋体" w:cs="宋体"/>
                <w:color w:val="auto"/>
                <w:spacing w:val="5"/>
                <w:position w:val="1"/>
                <w:sz w:val="20"/>
                <w:szCs w:val="20"/>
                <w:highlight w:val="none"/>
              </w:rPr>
              <w:t>＜80000</w:t>
            </w:r>
          </w:p>
        </w:tc>
        <w:tc>
          <w:tcPr>
            <w:tcW w:w="1906" w:type="dxa"/>
          </w:tcPr>
          <w:p w14:paraId="49DAF49A">
            <w:pPr>
              <w:spacing w:before="34" w:line="265" w:lineRule="exact"/>
              <w:ind w:left="335"/>
              <w:rPr>
                <w:rFonts w:ascii="宋体" w:hAnsi="宋体" w:cs="宋体"/>
                <w:color w:val="auto"/>
                <w:sz w:val="20"/>
                <w:szCs w:val="20"/>
                <w:highlight w:val="none"/>
              </w:rPr>
            </w:pPr>
            <w:r>
              <w:rPr>
                <w:rFonts w:ascii="宋体" w:hAnsi="宋体" w:cs="宋体"/>
                <w:color w:val="auto"/>
                <w:spacing w:val="6"/>
                <w:position w:val="1"/>
                <w:sz w:val="20"/>
                <w:szCs w:val="20"/>
                <w:highlight w:val="none"/>
              </w:rPr>
              <w:t>3</w:t>
            </w:r>
            <w:r>
              <w:rPr>
                <w:rFonts w:ascii="宋体" w:hAnsi="宋体" w:cs="宋体"/>
                <w:color w:val="auto"/>
                <w:spacing w:val="5"/>
                <w:position w:val="1"/>
                <w:sz w:val="20"/>
                <w:szCs w:val="20"/>
                <w:highlight w:val="none"/>
              </w:rPr>
              <w:t>00≤</w:t>
            </w:r>
            <w:r>
              <w:rPr>
                <w:rFonts w:ascii="宋体" w:hAnsi="宋体" w:cs="宋体"/>
                <w:color w:val="auto"/>
                <w:position w:val="1"/>
                <w:sz w:val="20"/>
                <w:szCs w:val="20"/>
                <w:highlight w:val="none"/>
              </w:rPr>
              <w:t>Z</w:t>
            </w:r>
            <w:r>
              <w:rPr>
                <w:rFonts w:ascii="宋体" w:hAnsi="宋体" w:cs="宋体"/>
                <w:color w:val="auto"/>
                <w:spacing w:val="5"/>
                <w:position w:val="1"/>
                <w:sz w:val="20"/>
                <w:szCs w:val="20"/>
                <w:highlight w:val="none"/>
              </w:rPr>
              <w:t>＜5000</w:t>
            </w:r>
          </w:p>
        </w:tc>
        <w:tc>
          <w:tcPr>
            <w:tcW w:w="1110" w:type="dxa"/>
          </w:tcPr>
          <w:p w14:paraId="5BA45E1B">
            <w:pPr>
              <w:spacing w:before="34" w:line="269" w:lineRule="exact"/>
              <w:ind w:left="245"/>
              <w:rPr>
                <w:rFonts w:ascii="宋体" w:hAnsi="宋体" w:cs="宋体"/>
                <w:color w:val="auto"/>
                <w:sz w:val="20"/>
                <w:szCs w:val="20"/>
                <w:highlight w:val="none"/>
              </w:rPr>
            </w:pPr>
            <w:r>
              <w:rPr>
                <w:rFonts w:ascii="宋体" w:hAnsi="宋体" w:cs="宋体"/>
                <w:color w:val="auto"/>
                <w:position w:val="1"/>
                <w:sz w:val="20"/>
                <w:szCs w:val="20"/>
                <w:highlight w:val="none"/>
              </w:rPr>
              <w:t>Z</w:t>
            </w:r>
            <w:r>
              <w:rPr>
                <w:rFonts w:ascii="宋体" w:hAnsi="宋体" w:cs="宋体"/>
                <w:color w:val="auto"/>
                <w:spacing w:val="7"/>
                <w:position w:val="1"/>
                <w:sz w:val="20"/>
                <w:szCs w:val="20"/>
                <w:highlight w:val="none"/>
              </w:rPr>
              <w:t>＜</w:t>
            </w:r>
            <w:r>
              <w:rPr>
                <w:rFonts w:ascii="宋体" w:hAnsi="宋体" w:cs="宋体"/>
                <w:color w:val="auto"/>
                <w:spacing w:val="5"/>
                <w:position w:val="1"/>
                <w:sz w:val="20"/>
                <w:szCs w:val="20"/>
                <w:highlight w:val="none"/>
              </w:rPr>
              <w:t>300</w:t>
            </w:r>
          </w:p>
        </w:tc>
      </w:tr>
      <w:tr w14:paraId="3A61D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2071" w:type="dxa"/>
            <w:vMerge w:val="restart"/>
            <w:tcBorders>
              <w:bottom w:val="nil"/>
            </w:tcBorders>
            <w:vAlign w:val="center"/>
          </w:tcPr>
          <w:p w14:paraId="0F25C8D5">
            <w:pPr>
              <w:spacing w:before="229" w:line="229" w:lineRule="auto"/>
              <w:jc w:val="center"/>
              <w:rPr>
                <w:rFonts w:ascii="宋体" w:hAnsi="宋体" w:cs="宋体"/>
                <w:color w:val="auto"/>
                <w:sz w:val="20"/>
                <w:szCs w:val="20"/>
                <w:highlight w:val="none"/>
              </w:rPr>
            </w:pPr>
            <w:r>
              <w:rPr>
                <w:rFonts w:ascii="宋体" w:hAnsi="宋体" w:cs="宋体"/>
                <w:color w:val="auto"/>
                <w:spacing w:val="8"/>
                <w:sz w:val="20"/>
                <w:szCs w:val="20"/>
                <w:highlight w:val="none"/>
              </w:rPr>
              <w:t>批发业</w:t>
            </w:r>
          </w:p>
        </w:tc>
        <w:tc>
          <w:tcPr>
            <w:tcW w:w="1751" w:type="dxa"/>
          </w:tcPr>
          <w:p w14:paraId="3CF7692B">
            <w:pPr>
              <w:spacing w:before="35" w:line="229" w:lineRule="auto"/>
              <w:ind w:left="200"/>
              <w:rPr>
                <w:rFonts w:ascii="宋体" w:hAnsi="宋体" w:cs="宋体"/>
                <w:color w:val="auto"/>
                <w:sz w:val="20"/>
                <w:szCs w:val="20"/>
                <w:highlight w:val="none"/>
              </w:rPr>
            </w:pPr>
            <w:r>
              <w:rPr>
                <w:rFonts w:ascii="宋体" w:hAnsi="宋体" w:cs="宋体"/>
                <w:color w:val="auto"/>
                <w:spacing w:val="6"/>
                <w:sz w:val="20"/>
                <w:szCs w:val="20"/>
                <w:highlight w:val="none"/>
              </w:rPr>
              <w:t>从业人员(</w:t>
            </w:r>
            <w:r>
              <w:rPr>
                <w:rFonts w:ascii="宋体" w:hAnsi="宋体" w:cs="宋体"/>
                <w:color w:val="auto"/>
                <w:sz w:val="20"/>
                <w:szCs w:val="20"/>
                <w:highlight w:val="none"/>
              </w:rPr>
              <w:t>X</w:t>
            </w:r>
            <w:r>
              <w:rPr>
                <w:rFonts w:ascii="宋体" w:hAnsi="宋体" w:cs="宋体"/>
                <w:color w:val="auto"/>
                <w:spacing w:val="6"/>
                <w:sz w:val="20"/>
                <w:szCs w:val="20"/>
                <w:highlight w:val="none"/>
              </w:rPr>
              <w:t>)</w:t>
            </w:r>
          </w:p>
        </w:tc>
        <w:tc>
          <w:tcPr>
            <w:tcW w:w="1158" w:type="dxa"/>
          </w:tcPr>
          <w:p w14:paraId="4E5FF8CD">
            <w:pPr>
              <w:spacing w:before="35" w:line="231" w:lineRule="auto"/>
              <w:ind w:left="481"/>
              <w:rPr>
                <w:rFonts w:ascii="宋体" w:hAnsi="宋体" w:cs="宋体"/>
                <w:color w:val="auto"/>
                <w:sz w:val="20"/>
                <w:szCs w:val="20"/>
                <w:highlight w:val="none"/>
              </w:rPr>
            </w:pPr>
            <w:r>
              <w:rPr>
                <w:rFonts w:ascii="宋体" w:hAnsi="宋体" w:cs="宋体"/>
                <w:color w:val="auto"/>
                <w:sz w:val="20"/>
                <w:szCs w:val="20"/>
                <w:highlight w:val="none"/>
              </w:rPr>
              <w:t>人</w:t>
            </w:r>
          </w:p>
        </w:tc>
        <w:tc>
          <w:tcPr>
            <w:tcW w:w="1916" w:type="dxa"/>
          </w:tcPr>
          <w:p w14:paraId="7249C8E6">
            <w:pPr>
              <w:spacing w:before="35" w:line="265" w:lineRule="exact"/>
              <w:ind w:left="442"/>
              <w:rPr>
                <w:rFonts w:ascii="宋体" w:hAnsi="宋体" w:cs="宋体"/>
                <w:color w:val="auto"/>
                <w:sz w:val="20"/>
                <w:szCs w:val="20"/>
                <w:highlight w:val="none"/>
              </w:rPr>
            </w:pPr>
            <w:r>
              <w:rPr>
                <w:rFonts w:ascii="宋体" w:hAnsi="宋体" w:cs="宋体"/>
                <w:color w:val="auto"/>
                <w:spacing w:val="9"/>
                <w:position w:val="1"/>
                <w:sz w:val="20"/>
                <w:szCs w:val="20"/>
                <w:highlight w:val="none"/>
              </w:rPr>
              <w:t>2</w:t>
            </w:r>
            <w:r>
              <w:rPr>
                <w:rFonts w:ascii="宋体" w:hAnsi="宋体" w:cs="宋体"/>
                <w:color w:val="auto"/>
                <w:spacing w:val="5"/>
                <w:position w:val="1"/>
                <w:sz w:val="20"/>
                <w:szCs w:val="20"/>
                <w:highlight w:val="none"/>
              </w:rPr>
              <w:t>0≤</w:t>
            </w:r>
            <w:r>
              <w:rPr>
                <w:rFonts w:ascii="宋体" w:hAnsi="宋体" w:cs="宋体"/>
                <w:color w:val="auto"/>
                <w:position w:val="1"/>
                <w:sz w:val="20"/>
                <w:szCs w:val="20"/>
                <w:highlight w:val="none"/>
              </w:rPr>
              <w:t>X</w:t>
            </w:r>
            <w:r>
              <w:rPr>
                <w:rFonts w:ascii="宋体" w:hAnsi="宋体" w:cs="宋体"/>
                <w:color w:val="auto"/>
                <w:spacing w:val="5"/>
                <w:position w:val="1"/>
                <w:sz w:val="20"/>
                <w:szCs w:val="20"/>
                <w:highlight w:val="none"/>
              </w:rPr>
              <w:t>＜200</w:t>
            </w:r>
          </w:p>
        </w:tc>
        <w:tc>
          <w:tcPr>
            <w:tcW w:w="1906" w:type="dxa"/>
          </w:tcPr>
          <w:p w14:paraId="24A11020">
            <w:pPr>
              <w:spacing w:before="35" w:line="265" w:lineRule="exact"/>
              <w:ind w:left="543"/>
              <w:rPr>
                <w:rFonts w:ascii="宋体" w:hAnsi="宋体" w:cs="宋体"/>
                <w:color w:val="auto"/>
                <w:sz w:val="20"/>
                <w:szCs w:val="20"/>
                <w:highlight w:val="none"/>
              </w:rPr>
            </w:pPr>
            <w:r>
              <w:rPr>
                <w:rFonts w:ascii="宋体" w:hAnsi="宋体" w:cs="宋体"/>
                <w:color w:val="auto"/>
                <w:spacing w:val="8"/>
                <w:position w:val="1"/>
                <w:sz w:val="20"/>
                <w:szCs w:val="20"/>
                <w:highlight w:val="none"/>
              </w:rPr>
              <w:t>5</w:t>
            </w:r>
            <w:r>
              <w:rPr>
                <w:rFonts w:ascii="宋体" w:hAnsi="宋体" w:cs="宋体"/>
                <w:color w:val="auto"/>
                <w:spacing w:val="5"/>
                <w:position w:val="1"/>
                <w:sz w:val="20"/>
                <w:szCs w:val="20"/>
                <w:highlight w:val="none"/>
              </w:rPr>
              <w:t>≤</w:t>
            </w:r>
            <w:r>
              <w:rPr>
                <w:rFonts w:ascii="宋体" w:hAnsi="宋体" w:cs="宋体"/>
                <w:color w:val="auto"/>
                <w:position w:val="1"/>
                <w:sz w:val="20"/>
                <w:szCs w:val="20"/>
                <w:highlight w:val="none"/>
              </w:rPr>
              <w:t>X</w:t>
            </w:r>
            <w:r>
              <w:rPr>
                <w:rFonts w:ascii="宋体" w:hAnsi="宋体" w:cs="宋体"/>
                <w:color w:val="auto"/>
                <w:spacing w:val="5"/>
                <w:position w:val="1"/>
                <w:sz w:val="20"/>
                <w:szCs w:val="20"/>
                <w:highlight w:val="none"/>
              </w:rPr>
              <w:t>＜20</w:t>
            </w:r>
          </w:p>
        </w:tc>
        <w:tc>
          <w:tcPr>
            <w:tcW w:w="1110" w:type="dxa"/>
          </w:tcPr>
          <w:p w14:paraId="4CCA5013">
            <w:pPr>
              <w:spacing w:before="35" w:line="269" w:lineRule="exact"/>
              <w:ind w:left="347"/>
              <w:rPr>
                <w:rFonts w:ascii="宋体" w:hAnsi="宋体" w:cs="宋体"/>
                <w:color w:val="auto"/>
                <w:sz w:val="20"/>
                <w:szCs w:val="20"/>
                <w:highlight w:val="none"/>
              </w:rPr>
            </w:pPr>
            <w:r>
              <w:rPr>
                <w:rFonts w:ascii="宋体" w:hAnsi="宋体" w:cs="宋体"/>
                <w:color w:val="auto"/>
                <w:position w:val="1"/>
                <w:sz w:val="20"/>
                <w:szCs w:val="20"/>
                <w:highlight w:val="none"/>
              </w:rPr>
              <w:t>X</w:t>
            </w:r>
            <w:r>
              <w:rPr>
                <w:rFonts w:ascii="宋体" w:hAnsi="宋体" w:cs="宋体"/>
                <w:color w:val="auto"/>
                <w:spacing w:val="8"/>
                <w:position w:val="1"/>
                <w:sz w:val="20"/>
                <w:szCs w:val="20"/>
                <w:highlight w:val="none"/>
              </w:rPr>
              <w:t>＜</w:t>
            </w:r>
            <w:r>
              <w:rPr>
                <w:rFonts w:ascii="宋体" w:hAnsi="宋体" w:cs="宋体"/>
                <w:color w:val="auto"/>
                <w:spacing w:val="7"/>
                <w:position w:val="1"/>
                <w:sz w:val="20"/>
                <w:szCs w:val="20"/>
                <w:highlight w:val="none"/>
              </w:rPr>
              <w:t>5</w:t>
            </w:r>
          </w:p>
        </w:tc>
      </w:tr>
      <w:tr w14:paraId="160C9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continue"/>
            <w:tcBorders>
              <w:top w:val="nil"/>
            </w:tcBorders>
            <w:vAlign w:val="center"/>
          </w:tcPr>
          <w:p w14:paraId="14628EFA">
            <w:pPr>
              <w:jc w:val="center"/>
              <w:rPr>
                <w:rFonts w:ascii="Arial"/>
                <w:color w:val="auto"/>
                <w:highlight w:val="none"/>
              </w:rPr>
            </w:pPr>
          </w:p>
        </w:tc>
        <w:tc>
          <w:tcPr>
            <w:tcW w:w="1751" w:type="dxa"/>
          </w:tcPr>
          <w:p w14:paraId="3ED32C42">
            <w:pPr>
              <w:spacing w:before="34" w:line="228" w:lineRule="auto"/>
              <w:ind w:left="204"/>
              <w:rPr>
                <w:rFonts w:ascii="宋体" w:hAnsi="宋体" w:cs="宋体"/>
                <w:color w:val="auto"/>
                <w:sz w:val="20"/>
                <w:szCs w:val="20"/>
                <w:highlight w:val="none"/>
              </w:rPr>
            </w:pPr>
            <w:r>
              <w:rPr>
                <w:rFonts w:ascii="宋体" w:hAnsi="宋体" w:cs="宋体"/>
                <w:color w:val="auto"/>
                <w:spacing w:val="8"/>
                <w:sz w:val="20"/>
                <w:szCs w:val="20"/>
                <w:highlight w:val="none"/>
              </w:rPr>
              <w:t>营</w:t>
            </w:r>
            <w:r>
              <w:rPr>
                <w:rFonts w:ascii="宋体" w:hAnsi="宋体" w:cs="宋体"/>
                <w:color w:val="auto"/>
                <w:spacing w:val="5"/>
                <w:sz w:val="20"/>
                <w:szCs w:val="20"/>
                <w:highlight w:val="none"/>
              </w:rPr>
              <w:t>业收入(</w:t>
            </w:r>
            <w:r>
              <w:rPr>
                <w:rFonts w:ascii="宋体" w:hAnsi="宋体" w:cs="宋体"/>
                <w:color w:val="auto"/>
                <w:sz w:val="20"/>
                <w:szCs w:val="20"/>
                <w:highlight w:val="none"/>
              </w:rPr>
              <w:t>Y</w:t>
            </w:r>
            <w:r>
              <w:rPr>
                <w:rFonts w:ascii="宋体" w:hAnsi="宋体" w:cs="宋体"/>
                <w:color w:val="auto"/>
                <w:spacing w:val="5"/>
                <w:sz w:val="20"/>
                <w:szCs w:val="20"/>
                <w:highlight w:val="none"/>
              </w:rPr>
              <w:t>)</w:t>
            </w:r>
          </w:p>
        </w:tc>
        <w:tc>
          <w:tcPr>
            <w:tcW w:w="1158" w:type="dxa"/>
          </w:tcPr>
          <w:p w14:paraId="25A766DC">
            <w:pPr>
              <w:spacing w:before="34"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30C7A234">
            <w:pPr>
              <w:spacing w:before="34" w:line="265" w:lineRule="exact"/>
              <w:ind w:left="232"/>
              <w:rPr>
                <w:rFonts w:ascii="宋体" w:hAnsi="宋体" w:cs="宋体"/>
                <w:color w:val="auto"/>
                <w:sz w:val="20"/>
                <w:szCs w:val="20"/>
                <w:highlight w:val="none"/>
              </w:rPr>
            </w:pPr>
            <w:r>
              <w:rPr>
                <w:rFonts w:ascii="宋体" w:hAnsi="宋体" w:cs="宋体"/>
                <w:color w:val="auto"/>
                <w:spacing w:val="7"/>
                <w:position w:val="1"/>
                <w:sz w:val="20"/>
                <w:szCs w:val="20"/>
                <w:highlight w:val="none"/>
              </w:rPr>
              <w:t>5</w:t>
            </w:r>
            <w:r>
              <w:rPr>
                <w:rFonts w:ascii="宋体" w:hAnsi="宋体" w:cs="宋体"/>
                <w:color w:val="auto"/>
                <w:spacing w:val="5"/>
                <w:position w:val="1"/>
                <w:sz w:val="20"/>
                <w:szCs w:val="20"/>
                <w:highlight w:val="none"/>
              </w:rPr>
              <w:t>000≤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＜40000</w:t>
            </w:r>
          </w:p>
        </w:tc>
        <w:tc>
          <w:tcPr>
            <w:tcW w:w="1906" w:type="dxa"/>
          </w:tcPr>
          <w:p w14:paraId="124127DC">
            <w:pPr>
              <w:spacing w:before="34" w:line="265" w:lineRule="exact"/>
              <w:ind w:left="293"/>
              <w:rPr>
                <w:rFonts w:ascii="宋体" w:hAnsi="宋体" w:cs="宋体"/>
                <w:color w:val="auto"/>
                <w:sz w:val="20"/>
                <w:szCs w:val="20"/>
                <w:highlight w:val="none"/>
              </w:rPr>
            </w:pPr>
            <w:r>
              <w:rPr>
                <w:rFonts w:ascii="宋体" w:hAnsi="宋体" w:cs="宋体"/>
                <w:color w:val="auto"/>
                <w:spacing w:val="4"/>
                <w:position w:val="1"/>
                <w:sz w:val="20"/>
                <w:szCs w:val="20"/>
                <w:highlight w:val="none"/>
              </w:rPr>
              <w:t>1000≤</w:t>
            </w:r>
            <w:r>
              <w:rPr>
                <w:rFonts w:ascii="宋体" w:hAnsi="宋体" w:cs="宋体"/>
                <w:color w:val="auto"/>
                <w:position w:val="1"/>
                <w:sz w:val="20"/>
                <w:szCs w:val="20"/>
                <w:highlight w:val="none"/>
              </w:rPr>
              <w:t>Y</w:t>
            </w:r>
            <w:r>
              <w:rPr>
                <w:rFonts w:ascii="宋体" w:hAnsi="宋体" w:cs="宋体"/>
                <w:color w:val="auto"/>
                <w:spacing w:val="4"/>
                <w:position w:val="1"/>
                <w:sz w:val="20"/>
                <w:szCs w:val="20"/>
                <w:highlight w:val="none"/>
              </w:rPr>
              <w:t>＜5000</w:t>
            </w:r>
          </w:p>
        </w:tc>
        <w:tc>
          <w:tcPr>
            <w:tcW w:w="1110" w:type="dxa"/>
          </w:tcPr>
          <w:p w14:paraId="4B33B5D6">
            <w:pPr>
              <w:spacing w:before="34" w:line="269" w:lineRule="exact"/>
              <w:ind w:left="190"/>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6"/>
                <w:position w:val="1"/>
                <w:sz w:val="20"/>
                <w:szCs w:val="20"/>
                <w:highlight w:val="none"/>
              </w:rPr>
              <w:t>＜1000</w:t>
            </w:r>
          </w:p>
        </w:tc>
      </w:tr>
      <w:tr w14:paraId="413A5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restart"/>
            <w:tcBorders>
              <w:bottom w:val="nil"/>
            </w:tcBorders>
            <w:vAlign w:val="center"/>
          </w:tcPr>
          <w:p w14:paraId="65E74EFF">
            <w:pPr>
              <w:spacing w:before="228" w:line="225" w:lineRule="auto"/>
              <w:jc w:val="center"/>
              <w:rPr>
                <w:rFonts w:ascii="宋体" w:hAnsi="宋体" w:cs="宋体"/>
                <w:color w:val="auto"/>
                <w:sz w:val="20"/>
                <w:szCs w:val="20"/>
                <w:highlight w:val="none"/>
              </w:rPr>
            </w:pPr>
            <w:r>
              <w:rPr>
                <w:rFonts w:ascii="宋体" w:hAnsi="宋体" w:cs="宋体"/>
                <w:color w:val="auto"/>
                <w:spacing w:val="8"/>
                <w:sz w:val="20"/>
                <w:szCs w:val="20"/>
                <w:highlight w:val="none"/>
              </w:rPr>
              <w:t>零</w:t>
            </w:r>
            <w:r>
              <w:rPr>
                <w:rFonts w:ascii="宋体" w:hAnsi="宋体" w:cs="宋体"/>
                <w:color w:val="auto"/>
                <w:spacing w:val="7"/>
                <w:sz w:val="20"/>
                <w:szCs w:val="20"/>
                <w:highlight w:val="none"/>
              </w:rPr>
              <w:t>售业</w:t>
            </w:r>
          </w:p>
        </w:tc>
        <w:tc>
          <w:tcPr>
            <w:tcW w:w="1751" w:type="dxa"/>
          </w:tcPr>
          <w:p w14:paraId="1B2DCC91">
            <w:pPr>
              <w:spacing w:before="32" w:line="229" w:lineRule="auto"/>
              <w:ind w:left="200"/>
              <w:rPr>
                <w:rFonts w:ascii="宋体" w:hAnsi="宋体" w:cs="宋体"/>
                <w:color w:val="auto"/>
                <w:sz w:val="20"/>
                <w:szCs w:val="20"/>
                <w:highlight w:val="none"/>
              </w:rPr>
            </w:pPr>
            <w:r>
              <w:rPr>
                <w:rFonts w:ascii="宋体" w:hAnsi="宋体" w:cs="宋体"/>
                <w:color w:val="auto"/>
                <w:spacing w:val="6"/>
                <w:sz w:val="20"/>
                <w:szCs w:val="20"/>
                <w:highlight w:val="none"/>
              </w:rPr>
              <w:t>从业人员(</w:t>
            </w:r>
            <w:r>
              <w:rPr>
                <w:rFonts w:ascii="宋体" w:hAnsi="宋体" w:cs="宋体"/>
                <w:color w:val="auto"/>
                <w:sz w:val="20"/>
                <w:szCs w:val="20"/>
                <w:highlight w:val="none"/>
              </w:rPr>
              <w:t>X</w:t>
            </w:r>
            <w:r>
              <w:rPr>
                <w:rFonts w:ascii="宋体" w:hAnsi="宋体" w:cs="宋体"/>
                <w:color w:val="auto"/>
                <w:spacing w:val="6"/>
                <w:sz w:val="20"/>
                <w:szCs w:val="20"/>
                <w:highlight w:val="none"/>
              </w:rPr>
              <w:t>)</w:t>
            </w:r>
          </w:p>
        </w:tc>
        <w:tc>
          <w:tcPr>
            <w:tcW w:w="1158" w:type="dxa"/>
          </w:tcPr>
          <w:p w14:paraId="7BA82D0D">
            <w:pPr>
              <w:spacing w:before="32" w:line="231" w:lineRule="auto"/>
              <w:ind w:left="481"/>
              <w:rPr>
                <w:rFonts w:ascii="宋体" w:hAnsi="宋体" w:cs="宋体"/>
                <w:color w:val="auto"/>
                <w:sz w:val="20"/>
                <w:szCs w:val="20"/>
                <w:highlight w:val="none"/>
              </w:rPr>
            </w:pPr>
            <w:r>
              <w:rPr>
                <w:rFonts w:ascii="宋体" w:hAnsi="宋体" w:cs="宋体"/>
                <w:color w:val="auto"/>
                <w:sz w:val="20"/>
                <w:szCs w:val="20"/>
                <w:highlight w:val="none"/>
              </w:rPr>
              <w:t>人</w:t>
            </w:r>
          </w:p>
        </w:tc>
        <w:tc>
          <w:tcPr>
            <w:tcW w:w="1916" w:type="dxa"/>
          </w:tcPr>
          <w:p w14:paraId="1B992E63">
            <w:pPr>
              <w:spacing w:before="32" w:line="265" w:lineRule="exact"/>
              <w:ind w:left="443"/>
              <w:rPr>
                <w:rFonts w:ascii="宋体" w:hAnsi="宋体" w:cs="宋体"/>
                <w:color w:val="auto"/>
                <w:sz w:val="20"/>
                <w:szCs w:val="20"/>
                <w:highlight w:val="none"/>
              </w:rPr>
            </w:pPr>
            <w:r>
              <w:rPr>
                <w:rFonts w:ascii="宋体" w:hAnsi="宋体" w:cs="宋体"/>
                <w:color w:val="auto"/>
                <w:spacing w:val="7"/>
                <w:position w:val="1"/>
                <w:sz w:val="20"/>
                <w:szCs w:val="20"/>
                <w:highlight w:val="none"/>
              </w:rPr>
              <w:t>5</w:t>
            </w:r>
            <w:r>
              <w:rPr>
                <w:rFonts w:ascii="宋体" w:hAnsi="宋体" w:cs="宋体"/>
                <w:color w:val="auto"/>
                <w:spacing w:val="5"/>
                <w:position w:val="1"/>
                <w:sz w:val="20"/>
                <w:szCs w:val="20"/>
                <w:highlight w:val="none"/>
              </w:rPr>
              <w:t>0≤</w:t>
            </w:r>
            <w:r>
              <w:rPr>
                <w:rFonts w:ascii="宋体" w:hAnsi="宋体" w:cs="宋体"/>
                <w:color w:val="auto"/>
                <w:position w:val="1"/>
                <w:sz w:val="20"/>
                <w:szCs w:val="20"/>
                <w:highlight w:val="none"/>
              </w:rPr>
              <w:t>X</w:t>
            </w:r>
            <w:r>
              <w:rPr>
                <w:rFonts w:ascii="宋体" w:hAnsi="宋体" w:cs="宋体"/>
                <w:color w:val="auto"/>
                <w:spacing w:val="5"/>
                <w:position w:val="1"/>
                <w:sz w:val="20"/>
                <w:szCs w:val="20"/>
                <w:highlight w:val="none"/>
              </w:rPr>
              <w:t>＜300</w:t>
            </w:r>
          </w:p>
        </w:tc>
        <w:tc>
          <w:tcPr>
            <w:tcW w:w="1906" w:type="dxa"/>
          </w:tcPr>
          <w:p w14:paraId="5EE00117">
            <w:pPr>
              <w:spacing w:before="32" w:line="265" w:lineRule="exact"/>
              <w:ind w:left="502"/>
              <w:rPr>
                <w:rFonts w:ascii="宋体" w:hAnsi="宋体" w:cs="宋体"/>
                <w:color w:val="auto"/>
                <w:sz w:val="20"/>
                <w:szCs w:val="20"/>
                <w:highlight w:val="none"/>
              </w:rPr>
            </w:pPr>
            <w:r>
              <w:rPr>
                <w:rFonts w:ascii="宋体" w:hAnsi="宋体" w:cs="宋体"/>
                <w:color w:val="auto"/>
                <w:spacing w:val="4"/>
                <w:position w:val="1"/>
                <w:sz w:val="20"/>
                <w:szCs w:val="20"/>
                <w:highlight w:val="none"/>
              </w:rPr>
              <w:t>10≤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＜5</w:t>
            </w:r>
            <w:r>
              <w:rPr>
                <w:rFonts w:ascii="宋体" w:hAnsi="宋体" w:cs="宋体"/>
                <w:color w:val="auto"/>
                <w:spacing w:val="3"/>
                <w:position w:val="1"/>
                <w:sz w:val="20"/>
                <w:szCs w:val="20"/>
                <w:highlight w:val="none"/>
              </w:rPr>
              <w:t>0</w:t>
            </w:r>
          </w:p>
        </w:tc>
        <w:tc>
          <w:tcPr>
            <w:tcW w:w="1110" w:type="dxa"/>
          </w:tcPr>
          <w:p w14:paraId="7A7F0F8F">
            <w:pPr>
              <w:spacing w:before="32" w:line="269" w:lineRule="exact"/>
              <w:ind w:left="294"/>
              <w:rPr>
                <w:rFonts w:ascii="宋体" w:hAnsi="宋体" w:cs="宋体"/>
                <w:color w:val="auto"/>
                <w:sz w:val="20"/>
                <w:szCs w:val="20"/>
                <w:highlight w:val="none"/>
              </w:rPr>
            </w:pPr>
            <w:r>
              <w:rPr>
                <w:rFonts w:ascii="宋体" w:hAnsi="宋体" w:cs="宋体"/>
                <w:color w:val="auto"/>
                <w:position w:val="1"/>
                <w:sz w:val="20"/>
                <w:szCs w:val="20"/>
                <w:highlight w:val="none"/>
              </w:rPr>
              <w:t>X</w:t>
            </w:r>
            <w:r>
              <w:rPr>
                <w:rFonts w:ascii="宋体" w:hAnsi="宋体" w:cs="宋体"/>
                <w:color w:val="auto"/>
                <w:spacing w:val="7"/>
                <w:position w:val="1"/>
                <w:sz w:val="20"/>
                <w:szCs w:val="20"/>
                <w:highlight w:val="none"/>
              </w:rPr>
              <w:t>＜10</w:t>
            </w:r>
          </w:p>
        </w:tc>
      </w:tr>
      <w:tr w14:paraId="09E07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2071" w:type="dxa"/>
            <w:vMerge w:val="continue"/>
            <w:tcBorders>
              <w:top w:val="nil"/>
            </w:tcBorders>
            <w:vAlign w:val="center"/>
          </w:tcPr>
          <w:p w14:paraId="6714F38D">
            <w:pPr>
              <w:jc w:val="center"/>
              <w:rPr>
                <w:rFonts w:ascii="Arial"/>
                <w:color w:val="auto"/>
                <w:highlight w:val="none"/>
              </w:rPr>
            </w:pPr>
          </w:p>
        </w:tc>
        <w:tc>
          <w:tcPr>
            <w:tcW w:w="1751" w:type="dxa"/>
          </w:tcPr>
          <w:p w14:paraId="54C30FE2">
            <w:pPr>
              <w:spacing w:before="35" w:line="228" w:lineRule="auto"/>
              <w:ind w:left="204"/>
              <w:rPr>
                <w:rFonts w:ascii="宋体" w:hAnsi="宋体" w:cs="宋体"/>
                <w:color w:val="auto"/>
                <w:sz w:val="20"/>
                <w:szCs w:val="20"/>
                <w:highlight w:val="none"/>
              </w:rPr>
            </w:pPr>
            <w:r>
              <w:rPr>
                <w:rFonts w:ascii="宋体" w:hAnsi="宋体" w:cs="宋体"/>
                <w:color w:val="auto"/>
                <w:spacing w:val="8"/>
                <w:sz w:val="20"/>
                <w:szCs w:val="20"/>
                <w:highlight w:val="none"/>
              </w:rPr>
              <w:t>营</w:t>
            </w:r>
            <w:r>
              <w:rPr>
                <w:rFonts w:ascii="宋体" w:hAnsi="宋体" w:cs="宋体"/>
                <w:color w:val="auto"/>
                <w:spacing w:val="5"/>
                <w:sz w:val="20"/>
                <w:szCs w:val="20"/>
                <w:highlight w:val="none"/>
              </w:rPr>
              <w:t>业收入(</w:t>
            </w:r>
            <w:r>
              <w:rPr>
                <w:rFonts w:ascii="宋体" w:hAnsi="宋体" w:cs="宋体"/>
                <w:color w:val="auto"/>
                <w:sz w:val="20"/>
                <w:szCs w:val="20"/>
                <w:highlight w:val="none"/>
              </w:rPr>
              <w:t>Y</w:t>
            </w:r>
            <w:r>
              <w:rPr>
                <w:rFonts w:ascii="宋体" w:hAnsi="宋体" w:cs="宋体"/>
                <w:color w:val="auto"/>
                <w:spacing w:val="5"/>
                <w:sz w:val="20"/>
                <w:szCs w:val="20"/>
                <w:highlight w:val="none"/>
              </w:rPr>
              <w:t>)</w:t>
            </w:r>
          </w:p>
        </w:tc>
        <w:tc>
          <w:tcPr>
            <w:tcW w:w="1158" w:type="dxa"/>
          </w:tcPr>
          <w:p w14:paraId="0103CC76">
            <w:pPr>
              <w:spacing w:before="35"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761E7468">
            <w:pPr>
              <w:spacing w:before="34" w:line="266" w:lineRule="exact"/>
              <w:ind w:left="285"/>
              <w:rPr>
                <w:rFonts w:ascii="宋体" w:hAnsi="宋体" w:cs="宋体"/>
                <w:color w:val="auto"/>
                <w:sz w:val="20"/>
                <w:szCs w:val="20"/>
                <w:highlight w:val="none"/>
              </w:rPr>
            </w:pPr>
            <w:r>
              <w:rPr>
                <w:rFonts w:ascii="宋体" w:hAnsi="宋体" w:cs="宋体"/>
                <w:color w:val="auto"/>
                <w:spacing w:val="7"/>
                <w:position w:val="1"/>
                <w:sz w:val="20"/>
                <w:szCs w:val="20"/>
                <w:highlight w:val="none"/>
              </w:rPr>
              <w:t>5</w:t>
            </w:r>
            <w:r>
              <w:rPr>
                <w:rFonts w:ascii="宋体" w:hAnsi="宋体" w:cs="宋体"/>
                <w:color w:val="auto"/>
                <w:spacing w:val="5"/>
                <w:position w:val="1"/>
                <w:sz w:val="20"/>
                <w:szCs w:val="20"/>
                <w:highlight w:val="none"/>
              </w:rPr>
              <w:t>00≤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＜20000</w:t>
            </w:r>
          </w:p>
        </w:tc>
        <w:tc>
          <w:tcPr>
            <w:tcW w:w="1906" w:type="dxa"/>
          </w:tcPr>
          <w:p w14:paraId="6B251A78">
            <w:pPr>
              <w:spacing w:before="34" w:line="266" w:lineRule="exact"/>
              <w:ind w:left="399"/>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Y</w:t>
            </w:r>
            <w:r>
              <w:rPr>
                <w:rFonts w:ascii="宋体" w:hAnsi="宋体" w:cs="宋体"/>
                <w:color w:val="auto"/>
                <w:spacing w:val="4"/>
                <w:position w:val="1"/>
                <w:sz w:val="20"/>
                <w:szCs w:val="20"/>
                <w:highlight w:val="none"/>
              </w:rPr>
              <w:t>＜500</w:t>
            </w:r>
          </w:p>
        </w:tc>
        <w:tc>
          <w:tcPr>
            <w:tcW w:w="1110" w:type="dxa"/>
          </w:tcPr>
          <w:p w14:paraId="6A67BCCE">
            <w:pPr>
              <w:spacing w:before="34" w:line="270" w:lineRule="exact"/>
              <w:ind w:left="243"/>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7"/>
                <w:position w:val="1"/>
                <w:sz w:val="20"/>
                <w:szCs w:val="20"/>
                <w:highlight w:val="none"/>
              </w:rPr>
              <w:t>＜</w:t>
            </w:r>
            <w:r>
              <w:rPr>
                <w:rFonts w:ascii="宋体" w:hAnsi="宋体" w:cs="宋体"/>
                <w:color w:val="auto"/>
                <w:spacing w:val="6"/>
                <w:position w:val="1"/>
                <w:sz w:val="20"/>
                <w:szCs w:val="20"/>
                <w:highlight w:val="none"/>
              </w:rPr>
              <w:t>100</w:t>
            </w:r>
          </w:p>
        </w:tc>
      </w:tr>
      <w:tr w14:paraId="7CD85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2071" w:type="dxa"/>
            <w:vMerge w:val="restart"/>
            <w:tcBorders>
              <w:bottom w:val="nil"/>
            </w:tcBorders>
            <w:vAlign w:val="center"/>
          </w:tcPr>
          <w:p w14:paraId="6FD3BF07">
            <w:pPr>
              <w:spacing w:before="228" w:line="228" w:lineRule="auto"/>
              <w:jc w:val="center"/>
              <w:rPr>
                <w:rFonts w:ascii="宋体" w:hAnsi="宋体" w:cs="宋体"/>
                <w:color w:val="auto"/>
                <w:sz w:val="20"/>
                <w:szCs w:val="20"/>
                <w:highlight w:val="none"/>
              </w:rPr>
            </w:pPr>
            <w:r>
              <w:rPr>
                <w:rFonts w:ascii="宋体" w:hAnsi="宋体" w:cs="宋体"/>
                <w:color w:val="auto"/>
                <w:spacing w:val="8"/>
                <w:sz w:val="20"/>
                <w:szCs w:val="20"/>
                <w:highlight w:val="none"/>
              </w:rPr>
              <w:t>交通运输</w:t>
            </w:r>
            <w:r>
              <w:rPr>
                <w:rFonts w:ascii="宋体" w:hAnsi="宋体" w:cs="宋体"/>
                <w:color w:val="auto"/>
                <w:spacing w:val="7"/>
                <w:sz w:val="20"/>
                <w:szCs w:val="20"/>
                <w:highlight w:val="none"/>
              </w:rPr>
              <w:t>业</w:t>
            </w:r>
          </w:p>
        </w:tc>
        <w:tc>
          <w:tcPr>
            <w:tcW w:w="1751" w:type="dxa"/>
          </w:tcPr>
          <w:p w14:paraId="580E0C0E">
            <w:pPr>
              <w:spacing w:before="34" w:line="229" w:lineRule="auto"/>
              <w:ind w:left="200"/>
              <w:rPr>
                <w:rFonts w:ascii="宋体" w:hAnsi="宋体" w:cs="宋体"/>
                <w:color w:val="auto"/>
                <w:sz w:val="20"/>
                <w:szCs w:val="20"/>
                <w:highlight w:val="none"/>
              </w:rPr>
            </w:pPr>
            <w:r>
              <w:rPr>
                <w:rFonts w:ascii="宋体" w:hAnsi="宋体" w:cs="宋体"/>
                <w:color w:val="auto"/>
                <w:spacing w:val="6"/>
                <w:sz w:val="20"/>
                <w:szCs w:val="20"/>
                <w:highlight w:val="none"/>
              </w:rPr>
              <w:t>从业人员(</w:t>
            </w:r>
            <w:r>
              <w:rPr>
                <w:rFonts w:ascii="宋体" w:hAnsi="宋体" w:cs="宋体"/>
                <w:color w:val="auto"/>
                <w:sz w:val="20"/>
                <w:szCs w:val="20"/>
                <w:highlight w:val="none"/>
              </w:rPr>
              <w:t>X</w:t>
            </w:r>
            <w:r>
              <w:rPr>
                <w:rFonts w:ascii="宋体" w:hAnsi="宋体" w:cs="宋体"/>
                <w:color w:val="auto"/>
                <w:spacing w:val="6"/>
                <w:sz w:val="20"/>
                <w:szCs w:val="20"/>
                <w:highlight w:val="none"/>
              </w:rPr>
              <w:t>)</w:t>
            </w:r>
          </w:p>
        </w:tc>
        <w:tc>
          <w:tcPr>
            <w:tcW w:w="1158" w:type="dxa"/>
          </w:tcPr>
          <w:p w14:paraId="4D745243">
            <w:pPr>
              <w:spacing w:before="34" w:line="231" w:lineRule="auto"/>
              <w:ind w:left="481"/>
              <w:rPr>
                <w:rFonts w:ascii="宋体" w:hAnsi="宋体" w:cs="宋体"/>
                <w:color w:val="auto"/>
                <w:sz w:val="20"/>
                <w:szCs w:val="20"/>
                <w:highlight w:val="none"/>
              </w:rPr>
            </w:pPr>
            <w:r>
              <w:rPr>
                <w:rFonts w:ascii="宋体" w:hAnsi="宋体" w:cs="宋体"/>
                <w:color w:val="auto"/>
                <w:sz w:val="20"/>
                <w:szCs w:val="20"/>
                <w:highlight w:val="none"/>
              </w:rPr>
              <w:t>人</w:t>
            </w:r>
          </w:p>
        </w:tc>
        <w:tc>
          <w:tcPr>
            <w:tcW w:w="1916" w:type="dxa"/>
          </w:tcPr>
          <w:p w14:paraId="6E274C66">
            <w:pPr>
              <w:spacing w:before="34" w:line="265" w:lineRule="exact"/>
              <w:ind w:left="338"/>
              <w:rPr>
                <w:rFonts w:ascii="宋体" w:hAnsi="宋体" w:cs="宋体"/>
                <w:color w:val="auto"/>
                <w:sz w:val="20"/>
                <w:szCs w:val="20"/>
                <w:highlight w:val="none"/>
              </w:rPr>
            </w:pPr>
            <w:r>
              <w:rPr>
                <w:rFonts w:ascii="宋体" w:hAnsi="宋体" w:cs="宋体"/>
                <w:color w:val="auto"/>
                <w:spacing w:val="8"/>
                <w:position w:val="1"/>
                <w:sz w:val="20"/>
                <w:szCs w:val="20"/>
                <w:highlight w:val="none"/>
              </w:rPr>
              <w:t>3</w:t>
            </w:r>
            <w:r>
              <w:rPr>
                <w:rFonts w:ascii="宋体" w:hAnsi="宋体" w:cs="宋体"/>
                <w:color w:val="auto"/>
                <w:spacing w:val="5"/>
                <w:position w:val="1"/>
                <w:sz w:val="20"/>
                <w:szCs w:val="20"/>
                <w:highlight w:val="none"/>
              </w:rPr>
              <w:t>00≤</w:t>
            </w:r>
            <w:r>
              <w:rPr>
                <w:rFonts w:ascii="宋体" w:hAnsi="宋体" w:cs="宋体"/>
                <w:color w:val="auto"/>
                <w:position w:val="1"/>
                <w:sz w:val="20"/>
                <w:szCs w:val="20"/>
                <w:highlight w:val="none"/>
              </w:rPr>
              <w:t>X</w:t>
            </w:r>
            <w:r>
              <w:rPr>
                <w:rFonts w:ascii="宋体" w:hAnsi="宋体" w:cs="宋体"/>
                <w:color w:val="auto"/>
                <w:spacing w:val="5"/>
                <w:position w:val="1"/>
                <w:sz w:val="20"/>
                <w:szCs w:val="20"/>
                <w:highlight w:val="none"/>
              </w:rPr>
              <w:t>＜1000</w:t>
            </w:r>
          </w:p>
        </w:tc>
        <w:tc>
          <w:tcPr>
            <w:tcW w:w="1906" w:type="dxa"/>
          </w:tcPr>
          <w:p w14:paraId="4F067291">
            <w:pPr>
              <w:spacing w:before="34" w:line="265" w:lineRule="exact"/>
              <w:ind w:left="436"/>
              <w:rPr>
                <w:rFonts w:ascii="宋体" w:hAnsi="宋体" w:cs="宋体"/>
                <w:color w:val="auto"/>
                <w:sz w:val="20"/>
                <w:szCs w:val="20"/>
                <w:highlight w:val="none"/>
              </w:rPr>
            </w:pPr>
            <w:r>
              <w:rPr>
                <w:rFonts w:ascii="宋体" w:hAnsi="宋体" w:cs="宋体"/>
                <w:color w:val="auto"/>
                <w:spacing w:val="6"/>
                <w:position w:val="1"/>
                <w:sz w:val="20"/>
                <w:szCs w:val="20"/>
                <w:highlight w:val="none"/>
              </w:rPr>
              <w:t>20≤</w:t>
            </w:r>
            <w:r>
              <w:rPr>
                <w:rFonts w:ascii="宋体" w:hAnsi="宋体" w:cs="宋体"/>
                <w:color w:val="auto"/>
                <w:position w:val="1"/>
                <w:sz w:val="20"/>
                <w:szCs w:val="20"/>
                <w:highlight w:val="none"/>
              </w:rPr>
              <w:t>X</w:t>
            </w:r>
            <w:r>
              <w:rPr>
                <w:rFonts w:ascii="宋体" w:hAnsi="宋体" w:cs="宋体"/>
                <w:color w:val="auto"/>
                <w:spacing w:val="6"/>
                <w:position w:val="1"/>
                <w:sz w:val="20"/>
                <w:szCs w:val="20"/>
                <w:highlight w:val="none"/>
              </w:rPr>
              <w:t>＜30</w:t>
            </w:r>
            <w:r>
              <w:rPr>
                <w:rFonts w:ascii="宋体" w:hAnsi="宋体" w:cs="宋体"/>
                <w:color w:val="auto"/>
                <w:spacing w:val="5"/>
                <w:position w:val="1"/>
                <w:sz w:val="20"/>
                <w:szCs w:val="20"/>
                <w:highlight w:val="none"/>
              </w:rPr>
              <w:t>0</w:t>
            </w:r>
          </w:p>
        </w:tc>
        <w:tc>
          <w:tcPr>
            <w:tcW w:w="1110" w:type="dxa"/>
          </w:tcPr>
          <w:p w14:paraId="5D688A69">
            <w:pPr>
              <w:spacing w:before="34" w:line="269" w:lineRule="exact"/>
              <w:ind w:left="294"/>
              <w:rPr>
                <w:rFonts w:ascii="宋体" w:hAnsi="宋体" w:cs="宋体"/>
                <w:color w:val="auto"/>
                <w:sz w:val="20"/>
                <w:szCs w:val="20"/>
                <w:highlight w:val="none"/>
              </w:rPr>
            </w:pPr>
            <w:r>
              <w:rPr>
                <w:rFonts w:ascii="宋体" w:hAnsi="宋体" w:cs="宋体"/>
                <w:color w:val="auto"/>
                <w:position w:val="1"/>
                <w:sz w:val="20"/>
                <w:szCs w:val="20"/>
                <w:highlight w:val="none"/>
              </w:rPr>
              <w:t>X</w:t>
            </w:r>
            <w:r>
              <w:rPr>
                <w:rFonts w:ascii="宋体" w:hAnsi="宋体" w:cs="宋体"/>
                <w:color w:val="auto"/>
                <w:spacing w:val="7"/>
                <w:position w:val="1"/>
                <w:sz w:val="20"/>
                <w:szCs w:val="20"/>
                <w:highlight w:val="none"/>
              </w:rPr>
              <w:t>＜20</w:t>
            </w:r>
          </w:p>
        </w:tc>
      </w:tr>
      <w:tr w14:paraId="2E0C4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continue"/>
            <w:tcBorders>
              <w:top w:val="nil"/>
            </w:tcBorders>
            <w:vAlign w:val="center"/>
          </w:tcPr>
          <w:p w14:paraId="19F6D787">
            <w:pPr>
              <w:jc w:val="center"/>
              <w:rPr>
                <w:rFonts w:ascii="Arial"/>
                <w:color w:val="auto"/>
                <w:highlight w:val="none"/>
              </w:rPr>
            </w:pPr>
          </w:p>
        </w:tc>
        <w:tc>
          <w:tcPr>
            <w:tcW w:w="1751" w:type="dxa"/>
          </w:tcPr>
          <w:p w14:paraId="080F19F9">
            <w:pPr>
              <w:spacing w:before="35" w:line="228" w:lineRule="auto"/>
              <w:ind w:left="204"/>
              <w:rPr>
                <w:rFonts w:ascii="宋体" w:hAnsi="宋体" w:cs="宋体"/>
                <w:color w:val="auto"/>
                <w:sz w:val="20"/>
                <w:szCs w:val="20"/>
                <w:highlight w:val="none"/>
              </w:rPr>
            </w:pPr>
            <w:r>
              <w:rPr>
                <w:rFonts w:ascii="宋体" w:hAnsi="宋体" w:cs="宋体"/>
                <w:color w:val="auto"/>
                <w:spacing w:val="8"/>
                <w:sz w:val="20"/>
                <w:szCs w:val="20"/>
                <w:highlight w:val="none"/>
              </w:rPr>
              <w:t>营</w:t>
            </w:r>
            <w:r>
              <w:rPr>
                <w:rFonts w:ascii="宋体" w:hAnsi="宋体" w:cs="宋体"/>
                <w:color w:val="auto"/>
                <w:spacing w:val="5"/>
                <w:sz w:val="20"/>
                <w:szCs w:val="20"/>
                <w:highlight w:val="none"/>
              </w:rPr>
              <w:t>业收入(</w:t>
            </w:r>
            <w:r>
              <w:rPr>
                <w:rFonts w:ascii="宋体" w:hAnsi="宋体" w:cs="宋体"/>
                <w:color w:val="auto"/>
                <w:sz w:val="20"/>
                <w:szCs w:val="20"/>
                <w:highlight w:val="none"/>
              </w:rPr>
              <w:t>Y</w:t>
            </w:r>
            <w:r>
              <w:rPr>
                <w:rFonts w:ascii="宋体" w:hAnsi="宋体" w:cs="宋体"/>
                <w:color w:val="auto"/>
                <w:spacing w:val="5"/>
                <w:sz w:val="20"/>
                <w:szCs w:val="20"/>
                <w:highlight w:val="none"/>
              </w:rPr>
              <w:t>)</w:t>
            </w:r>
          </w:p>
        </w:tc>
        <w:tc>
          <w:tcPr>
            <w:tcW w:w="1158" w:type="dxa"/>
          </w:tcPr>
          <w:p w14:paraId="0A3B9F74">
            <w:pPr>
              <w:spacing w:before="35"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061A0C40">
            <w:pPr>
              <w:spacing w:before="35" w:line="265" w:lineRule="exact"/>
              <w:ind w:left="232"/>
              <w:rPr>
                <w:rFonts w:ascii="宋体" w:hAnsi="宋体" w:cs="宋体"/>
                <w:color w:val="auto"/>
                <w:sz w:val="20"/>
                <w:szCs w:val="20"/>
                <w:highlight w:val="none"/>
              </w:rPr>
            </w:pPr>
            <w:r>
              <w:rPr>
                <w:rFonts w:ascii="宋体" w:hAnsi="宋体" w:cs="宋体"/>
                <w:color w:val="auto"/>
                <w:spacing w:val="7"/>
                <w:position w:val="1"/>
                <w:sz w:val="20"/>
                <w:szCs w:val="20"/>
                <w:highlight w:val="none"/>
              </w:rPr>
              <w:t>3</w:t>
            </w:r>
            <w:r>
              <w:rPr>
                <w:rFonts w:ascii="宋体" w:hAnsi="宋体" w:cs="宋体"/>
                <w:color w:val="auto"/>
                <w:spacing w:val="5"/>
                <w:position w:val="1"/>
                <w:sz w:val="20"/>
                <w:szCs w:val="20"/>
                <w:highlight w:val="none"/>
              </w:rPr>
              <w:t>000≤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＜30000</w:t>
            </w:r>
          </w:p>
        </w:tc>
        <w:tc>
          <w:tcPr>
            <w:tcW w:w="1906" w:type="dxa"/>
          </w:tcPr>
          <w:p w14:paraId="1537F789">
            <w:pPr>
              <w:spacing w:before="35" w:line="265" w:lineRule="exact"/>
              <w:ind w:left="333"/>
              <w:rPr>
                <w:rFonts w:ascii="宋体" w:hAnsi="宋体" w:cs="宋体"/>
                <w:color w:val="auto"/>
                <w:sz w:val="20"/>
                <w:szCs w:val="20"/>
                <w:highlight w:val="none"/>
              </w:rPr>
            </w:pPr>
            <w:r>
              <w:rPr>
                <w:rFonts w:ascii="宋体" w:hAnsi="宋体" w:cs="宋体"/>
                <w:color w:val="auto"/>
                <w:spacing w:val="8"/>
                <w:position w:val="1"/>
                <w:sz w:val="20"/>
                <w:szCs w:val="20"/>
                <w:highlight w:val="none"/>
              </w:rPr>
              <w:t>2</w:t>
            </w:r>
            <w:r>
              <w:rPr>
                <w:rFonts w:ascii="宋体" w:hAnsi="宋体" w:cs="宋体"/>
                <w:color w:val="auto"/>
                <w:spacing w:val="5"/>
                <w:position w:val="1"/>
                <w:sz w:val="20"/>
                <w:szCs w:val="20"/>
                <w:highlight w:val="none"/>
              </w:rPr>
              <w:t>00≤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＜3000</w:t>
            </w:r>
          </w:p>
        </w:tc>
        <w:tc>
          <w:tcPr>
            <w:tcW w:w="1110" w:type="dxa"/>
          </w:tcPr>
          <w:p w14:paraId="0693A73D">
            <w:pPr>
              <w:spacing w:before="35" w:line="269" w:lineRule="exact"/>
              <w:ind w:left="243"/>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7"/>
                <w:position w:val="1"/>
                <w:sz w:val="20"/>
                <w:szCs w:val="20"/>
                <w:highlight w:val="none"/>
              </w:rPr>
              <w:t>＜</w:t>
            </w:r>
            <w:r>
              <w:rPr>
                <w:rFonts w:ascii="宋体" w:hAnsi="宋体" w:cs="宋体"/>
                <w:color w:val="auto"/>
                <w:spacing w:val="6"/>
                <w:position w:val="1"/>
                <w:sz w:val="20"/>
                <w:szCs w:val="20"/>
                <w:highlight w:val="none"/>
              </w:rPr>
              <w:t>200</w:t>
            </w:r>
          </w:p>
        </w:tc>
      </w:tr>
      <w:tr w14:paraId="2A266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restart"/>
            <w:tcBorders>
              <w:bottom w:val="nil"/>
            </w:tcBorders>
            <w:vAlign w:val="center"/>
          </w:tcPr>
          <w:p w14:paraId="4AFC132D">
            <w:pPr>
              <w:spacing w:before="230" w:line="229" w:lineRule="auto"/>
              <w:jc w:val="center"/>
              <w:rPr>
                <w:rFonts w:ascii="宋体" w:hAnsi="宋体" w:cs="宋体"/>
                <w:color w:val="auto"/>
                <w:sz w:val="20"/>
                <w:szCs w:val="20"/>
                <w:highlight w:val="none"/>
              </w:rPr>
            </w:pPr>
            <w:r>
              <w:rPr>
                <w:rFonts w:ascii="宋体" w:hAnsi="宋体" w:cs="宋体"/>
                <w:color w:val="auto"/>
                <w:spacing w:val="8"/>
                <w:sz w:val="20"/>
                <w:szCs w:val="20"/>
                <w:highlight w:val="none"/>
              </w:rPr>
              <w:t>仓储业</w:t>
            </w:r>
          </w:p>
        </w:tc>
        <w:tc>
          <w:tcPr>
            <w:tcW w:w="1751" w:type="dxa"/>
          </w:tcPr>
          <w:p w14:paraId="567BF826">
            <w:pPr>
              <w:spacing w:before="35" w:line="229" w:lineRule="auto"/>
              <w:ind w:left="200"/>
              <w:rPr>
                <w:rFonts w:ascii="宋体" w:hAnsi="宋体" w:cs="宋体"/>
                <w:color w:val="auto"/>
                <w:sz w:val="20"/>
                <w:szCs w:val="20"/>
                <w:highlight w:val="none"/>
              </w:rPr>
            </w:pPr>
            <w:r>
              <w:rPr>
                <w:rFonts w:ascii="宋体" w:hAnsi="宋体" w:cs="宋体"/>
                <w:color w:val="auto"/>
                <w:spacing w:val="6"/>
                <w:sz w:val="20"/>
                <w:szCs w:val="20"/>
                <w:highlight w:val="none"/>
              </w:rPr>
              <w:t>从业人员(</w:t>
            </w:r>
            <w:r>
              <w:rPr>
                <w:rFonts w:ascii="宋体" w:hAnsi="宋体" w:cs="宋体"/>
                <w:color w:val="auto"/>
                <w:sz w:val="20"/>
                <w:szCs w:val="20"/>
                <w:highlight w:val="none"/>
              </w:rPr>
              <w:t>X</w:t>
            </w:r>
            <w:r>
              <w:rPr>
                <w:rFonts w:ascii="宋体" w:hAnsi="宋体" w:cs="宋体"/>
                <w:color w:val="auto"/>
                <w:spacing w:val="6"/>
                <w:sz w:val="20"/>
                <w:szCs w:val="20"/>
                <w:highlight w:val="none"/>
              </w:rPr>
              <w:t>)</w:t>
            </w:r>
          </w:p>
        </w:tc>
        <w:tc>
          <w:tcPr>
            <w:tcW w:w="1158" w:type="dxa"/>
          </w:tcPr>
          <w:p w14:paraId="2C36D3D1">
            <w:pPr>
              <w:spacing w:before="35" w:line="231" w:lineRule="auto"/>
              <w:ind w:left="481"/>
              <w:rPr>
                <w:rFonts w:ascii="宋体" w:hAnsi="宋体" w:cs="宋体"/>
                <w:color w:val="auto"/>
                <w:sz w:val="20"/>
                <w:szCs w:val="20"/>
                <w:highlight w:val="none"/>
              </w:rPr>
            </w:pPr>
            <w:r>
              <w:rPr>
                <w:rFonts w:ascii="宋体" w:hAnsi="宋体" w:cs="宋体"/>
                <w:color w:val="auto"/>
                <w:sz w:val="20"/>
                <w:szCs w:val="20"/>
                <w:highlight w:val="none"/>
              </w:rPr>
              <w:t>人</w:t>
            </w:r>
          </w:p>
        </w:tc>
        <w:tc>
          <w:tcPr>
            <w:tcW w:w="1916" w:type="dxa"/>
          </w:tcPr>
          <w:p w14:paraId="33DE8A51">
            <w:pPr>
              <w:spacing w:before="35" w:line="265" w:lineRule="exact"/>
              <w:ind w:left="402"/>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＜200</w:t>
            </w:r>
          </w:p>
        </w:tc>
        <w:tc>
          <w:tcPr>
            <w:tcW w:w="1906" w:type="dxa"/>
          </w:tcPr>
          <w:p w14:paraId="3D5EDD86">
            <w:pPr>
              <w:spacing w:before="35" w:line="265" w:lineRule="exact"/>
              <w:ind w:left="436"/>
              <w:rPr>
                <w:rFonts w:ascii="宋体" w:hAnsi="宋体" w:cs="宋体"/>
                <w:color w:val="auto"/>
                <w:sz w:val="20"/>
                <w:szCs w:val="20"/>
                <w:highlight w:val="none"/>
              </w:rPr>
            </w:pPr>
            <w:r>
              <w:rPr>
                <w:rFonts w:ascii="宋体" w:hAnsi="宋体" w:cs="宋体"/>
                <w:color w:val="auto"/>
                <w:spacing w:val="6"/>
                <w:position w:val="1"/>
                <w:sz w:val="20"/>
                <w:szCs w:val="20"/>
                <w:highlight w:val="none"/>
              </w:rPr>
              <w:t>20≤</w:t>
            </w:r>
            <w:r>
              <w:rPr>
                <w:rFonts w:ascii="宋体" w:hAnsi="宋体" w:cs="宋体"/>
                <w:color w:val="auto"/>
                <w:position w:val="1"/>
                <w:sz w:val="20"/>
                <w:szCs w:val="20"/>
                <w:highlight w:val="none"/>
              </w:rPr>
              <w:t>X</w:t>
            </w:r>
            <w:r>
              <w:rPr>
                <w:rFonts w:ascii="宋体" w:hAnsi="宋体" w:cs="宋体"/>
                <w:color w:val="auto"/>
                <w:spacing w:val="6"/>
                <w:position w:val="1"/>
                <w:sz w:val="20"/>
                <w:szCs w:val="20"/>
                <w:highlight w:val="none"/>
              </w:rPr>
              <w:t>＜10</w:t>
            </w:r>
            <w:r>
              <w:rPr>
                <w:rFonts w:ascii="宋体" w:hAnsi="宋体" w:cs="宋体"/>
                <w:color w:val="auto"/>
                <w:spacing w:val="5"/>
                <w:position w:val="1"/>
                <w:sz w:val="20"/>
                <w:szCs w:val="20"/>
                <w:highlight w:val="none"/>
              </w:rPr>
              <w:t>0</w:t>
            </w:r>
          </w:p>
        </w:tc>
        <w:tc>
          <w:tcPr>
            <w:tcW w:w="1110" w:type="dxa"/>
          </w:tcPr>
          <w:p w14:paraId="153BB1F9">
            <w:pPr>
              <w:spacing w:before="35" w:line="269" w:lineRule="exact"/>
              <w:ind w:left="294"/>
              <w:rPr>
                <w:rFonts w:ascii="宋体" w:hAnsi="宋体" w:cs="宋体"/>
                <w:color w:val="auto"/>
                <w:sz w:val="20"/>
                <w:szCs w:val="20"/>
                <w:highlight w:val="none"/>
              </w:rPr>
            </w:pPr>
            <w:r>
              <w:rPr>
                <w:rFonts w:ascii="宋体" w:hAnsi="宋体" w:cs="宋体"/>
                <w:color w:val="auto"/>
                <w:position w:val="1"/>
                <w:sz w:val="20"/>
                <w:szCs w:val="20"/>
                <w:highlight w:val="none"/>
              </w:rPr>
              <w:t>X</w:t>
            </w:r>
            <w:r>
              <w:rPr>
                <w:rFonts w:ascii="宋体" w:hAnsi="宋体" w:cs="宋体"/>
                <w:color w:val="auto"/>
                <w:spacing w:val="7"/>
                <w:position w:val="1"/>
                <w:sz w:val="20"/>
                <w:szCs w:val="20"/>
                <w:highlight w:val="none"/>
              </w:rPr>
              <w:t>＜20</w:t>
            </w:r>
          </w:p>
        </w:tc>
      </w:tr>
      <w:tr w14:paraId="1D28C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2071" w:type="dxa"/>
            <w:vMerge w:val="continue"/>
            <w:tcBorders>
              <w:top w:val="nil"/>
            </w:tcBorders>
            <w:vAlign w:val="center"/>
          </w:tcPr>
          <w:p w14:paraId="43760A30">
            <w:pPr>
              <w:jc w:val="center"/>
              <w:rPr>
                <w:rFonts w:ascii="Arial"/>
                <w:color w:val="auto"/>
                <w:highlight w:val="none"/>
              </w:rPr>
            </w:pPr>
          </w:p>
        </w:tc>
        <w:tc>
          <w:tcPr>
            <w:tcW w:w="1751" w:type="dxa"/>
          </w:tcPr>
          <w:p w14:paraId="5B7DA8E0">
            <w:pPr>
              <w:spacing w:before="36" w:line="228" w:lineRule="auto"/>
              <w:ind w:left="204"/>
              <w:rPr>
                <w:rFonts w:ascii="宋体" w:hAnsi="宋体" w:cs="宋体"/>
                <w:color w:val="auto"/>
                <w:sz w:val="20"/>
                <w:szCs w:val="20"/>
                <w:highlight w:val="none"/>
              </w:rPr>
            </w:pPr>
            <w:r>
              <w:rPr>
                <w:rFonts w:ascii="宋体" w:hAnsi="宋体" w:cs="宋体"/>
                <w:color w:val="auto"/>
                <w:spacing w:val="8"/>
                <w:sz w:val="20"/>
                <w:szCs w:val="20"/>
                <w:highlight w:val="none"/>
              </w:rPr>
              <w:t>营</w:t>
            </w:r>
            <w:r>
              <w:rPr>
                <w:rFonts w:ascii="宋体" w:hAnsi="宋体" w:cs="宋体"/>
                <w:color w:val="auto"/>
                <w:spacing w:val="5"/>
                <w:sz w:val="20"/>
                <w:szCs w:val="20"/>
                <w:highlight w:val="none"/>
              </w:rPr>
              <w:t>业收入(</w:t>
            </w:r>
            <w:r>
              <w:rPr>
                <w:rFonts w:ascii="宋体" w:hAnsi="宋体" w:cs="宋体"/>
                <w:color w:val="auto"/>
                <w:sz w:val="20"/>
                <w:szCs w:val="20"/>
                <w:highlight w:val="none"/>
              </w:rPr>
              <w:t>Y</w:t>
            </w:r>
            <w:r>
              <w:rPr>
                <w:rFonts w:ascii="宋体" w:hAnsi="宋体" w:cs="宋体"/>
                <w:color w:val="auto"/>
                <w:spacing w:val="5"/>
                <w:sz w:val="20"/>
                <w:szCs w:val="20"/>
                <w:highlight w:val="none"/>
              </w:rPr>
              <w:t>)</w:t>
            </w:r>
          </w:p>
        </w:tc>
        <w:tc>
          <w:tcPr>
            <w:tcW w:w="1158" w:type="dxa"/>
          </w:tcPr>
          <w:p w14:paraId="1895F85B">
            <w:pPr>
              <w:spacing w:before="35"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65D011C9">
            <w:pPr>
              <w:spacing w:before="35" w:line="266" w:lineRule="exact"/>
              <w:ind w:left="244"/>
              <w:rPr>
                <w:rFonts w:ascii="宋体" w:hAnsi="宋体" w:cs="宋体"/>
                <w:color w:val="auto"/>
                <w:sz w:val="20"/>
                <w:szCs w:val="20"/>
                <w:highlight w:val="none"/>
              </w:rPr>
            </w:pPr>
            <w:r>
              <w:rPr>
                <w:rFonts w:ascii="宋体" w:hAnsi="宋体" w:cs="宋体"/>
                <w:color w:val="auto"/>
                <w:spacing w:val="6"/>
                <w:position w:val="1"/>
                <w:sz w:val="20"/>
                <w:szCs w:val="20"/>
                <w:highlight w:val="none"/>
              </w:rPr>
              <w:t>1</w:t>
            </w:r>
            <w:r>
              <w:rPr>
                <w:rFonts w:ascii="宋体" w:hAnsi="宋体" w:cs="宋体"/>
                <w:color w:val="auto"/>
                <w:spacing w:val="4"/>
                <w:position w:val="1"/>
                <w:sz w:val="20"/>
                <w:szCs w:val="20"/>
                <w:highlight w:val="none"/>
              </w:rPr>
              <w:t>000≤</w:t>
            </w:r>
            <w:r>
              <w:rPr>
                <w:rFonts w:ascii="宋体" w:hAnsi="宋体" w:cs="宋体"/>
                <w:color w:val="auto"/>
                <w:position w:val="1"/>
                <w:sz w:val="20"/>
                <w:szCs w:val="20"/>
                <w:highlight w:val="none"/>
              </w:rPr>
              <w:t>Y</w:t>
            </w:r>
            <w:r>
              <w:rPr>
                <w:rFonts w:ascii="宋体" w:hAnsi="宋体" w:cs="宋体"/>
                <w:color w:val="auto"/>
                <w:spacing w:val="4"/>
                <w:position w:val="1"/>
                <w:sz w:val="20"/>
                <w:szCs w:val="20"/>
                <w:highlight w:val="none"/>
              </w:rPr>
              <w:t>＜30000</w:t>
            </w:r>
          </w:p>
        </w:tc>
        <w:tc>
          <w:tcPr>
            <w:tcW w:w="1906" w:type="dxa"/>
          </w:tcPr>
          <w:p w14:paraId="01F4AB0D">
            <w:pPr>
              <w:spacing w:before="35" w:line="266" w:lineRule="exact"/>
              <w:ind w:left="346"/>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Y</w:t>
            </w:r>
            <w:r>
              <w:rPr>
                <w:rFonts w:ascii="宋体" w:hAnsi="宋体" w:cs="宋体"/>
                <w:color w:val="auto"/>
                <w:spacing w:val="4"/>
                <w:position w:val="1"/>
                <w:sz w:val="20"/>
                <w:szCs w:val="20"/>
                <w:highlight w:val="none"/>
              </w:rPr>
              <w:t>＜100</w:t>
            </w:r>
            <w:r>
              <w:rPr>
                <w:rFonts w:ascii="宋体" w:hAnsi="宋体" w:cs="宋体"/>
                <w:color w:val="auto"/>
                <w:spacing w:val="3"/>
                <w:position w:val="1"/>
                <w:sz w:val="20"/>
                <w:szCs w:val="20"/>
                <w:highlight w:val="none"/>
              </w:rPr>
              <w:t>0</w:t>
            </w:r>
          </w:p>
        </w:tc>
        <w:tc>
          <w:tcPr>
            <w:tcW w:w="1110" w:type="dxa"/>
          </w:tcPr>
          <w:p w14:paraId="2EACCB19">
            <w:pPr>
              <w:spacing w:before="35" w:line="269" w:lineRule="exact"/>
              <w:ind w:left="243"/>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7"/>
                <w:position w:val="1"/>
                <w:sz w:val="20"/>
                <w:szCs w:val="20"/>
                <w:highlight w:val="none"/>
              </w:rPr>
              <w:t>＜</w:t>
            </w:r>
            <w:r>
              <w:rPr>
                <w:rFonts w:ascii="宋体" w:hAnsi="宋体" w:cs="宋体"/>
                <w:color w:val="auto"/>
                <w:spacing w:val="6"/>
                <w:position w:val="1"/>
                <w:sz w:val="20"/>
                <w:szCs w:val="20"/>
                <w:highlight w:val="none"/>
              </w:rPr>
              <w:t>100</w:t>
            </w:r>
          </w:p>
        </w:tc>
      </w:tr>
      <w:tr w14:paraId="3B192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restart"/>
            <w:tcBorders>
              <w:bottom w:val="nil"/>
            </w:tcBorders>
            <w:vAlign w:val="center"/>
          </w:tcPr>
          <w:p w14:paraId="773B1AED">
            <w:pPr>
              <w:spacing w:before="229" w:line="230" w:lineRule="auto"/>
              <w:jc w:val="center"/>
              <w:rPr>
                <w:rFonts w:ascii="宋体" w:hAnsi="宋体" w:cs="宋体"/>
                <w:color w:val="auto"/>
                <w:sz w:val="20"/>
                <w:szCs w:val="20"/>
                <w:highlight w:val="none"/>
              </w:rPr>
            </w:pPr>
            <w:r>
              <w:rPr>
                <w:rFonts w:ascii="宋体" w:hAnsi="宋体" w:cs="宋体"/>
                <w:color w:val="auto"/>
                <w:spacing w:val="3"/>
                <w:sz w:val="20"/>
                <w:szCs w:val="20"/>
                <w:highlight w:val="none"/>
              </w:rPr>
              <w:t>邮</w:t>
            </w:r>
            <w:r>
              <w:rPr>
                <w:rFonts w:ascii="宋体" w:hAnsi="宋体" w:cs="宋体"/>
                <w:color w:val="auto"/>
                <w:spacing w:val="2"/>
                <w:sz w:val="20"/>
                <w:szCs w:val="20"/>
                <w:highlight w:val="none"/>
              </w:rPr>
              <w:t>政业</w:t>
            </w:r>
          </w:p>
        </w:tc>
        <w:tc>
          <w:tcPr>
            <w:tcW w:w="1751" w:type="dxa"/>
          </w:tcPr>
          <w:p w14:paraId="2CF42029">
            <w:pPr>
              <w:spacing w:before="34" w:line="229" w:lineRule="auto"/>
              <w:ind w:left="200"/>
              <w:rPr>
                <w:rFonts w:ascii="宋体" w:hAnsi="宋体" w:cs="宋体"/>
                <w:color w:val="auto"/>
                <w:sz w:val="20"/>
                <w:szCs w:val="20"/>
                <w:highlight w:val="none"/>
              </w:rPr>
            </w:pPr>
            <w:r>
              <w:rPr>
                <w:rFonts w:ascii="宋体" w:hAnsi="宋体" w:cs="宋体"/>
                <w:color w:val="auto"/>
                <w:spacing w:val="6"/>
                <w:sz w:val="20"/>
                <w:szCs w:val="20"/>
                <w:highlight w:val="none"/>
              </w:rPr>
              <w:t>从业人员(</w:t>
            </w:r>
            <w:r>
              <w:rPr>
                <w:rFonts w:ascii="宋体" w:hAnsi="宋体" w:cs="宋体"/>
                <w:color w:val="auto"/>
                <w:sz w:val="20"/>
                <w:szCs w:val="20"/>
                <w:highlight w:val="none"/>
              </w:rPr>
              <w:t>X</w:t>
            </w:r>
            <w:r>
              <w:rPr>
                <w:rFonts w:ascii="宋体" w:hAnsi="宋体" w:cs="宋体"/>
                <w:color w:val="auto"/>
                <w:spacing w:val="6"/>
                <w:sz w:val="20"/>
                <w:szCs w:val="20"/>
                <w:highlight w:val="none"/>
              </w:rPr>
              <w:t>)</w:t>
            </w:r>
          </w:p>
        </w:tc>
        <w:tc>
          <w:tcPr>
            <w:tcW w:w="1158" w:type="dxa"/>
          </w:tcPr>
          <w:p w14:paraId="61BC5D9F">
            <w:pPr>
              <w:spacing w:before="35" w:line="231" w:lineRule="auto"/>
              <w:ind w:left="481"/>
              <w:rPr>
                <w:rFonts w:ascii="宋体" w:hAnsi="宋体" w:cs="宋体"/>
                <w:color w:val="auto"/>
                <w:sz w:val="20"/>
                <w:szCs w:val="20"/>
                <w:highlight w:val="none"/>
              </w:rPr>
            </w:pPr>
            <w:r>
              <w:rPr>
                <w:rFonts w:ascii="宋体" w:hAnsi="宋体" w:cs="宋体"/>
                <w:color w:val="auto"/>
                <w:sz w:val="20"/>
                <w:szCs w:val="20"/>
                <w:highlight w:val="none"/>
              </w:rPr>
              <w:t>人</w:t>
            </w:r>
          </w:p>
        </w:tc>
        <w:tc>
          <w:tcPr>
            <w:tcW w:w="1916" w:type="dxa"/>
          </w:tcPr>
          <w:p w14:paraId="41E8C942">
            <w:pPr>
              <w:spacing w:before="34" w:line="266" w:lineRule="exact"/>
              <w:ind w:left="338"/>
              <w:rPr>
                <w:rFonts w:ascii="宋体" w:hAnsi="宋体" w:cs="宋体"/>
                <w:color w:val="auto"/>
                <w:sz w:val="20"/>
                <w:szCs w:val="20"/>
                <w:highlight w:val="none"/>
              </w:rPr>
            </w:pPr>
            <w:r>
              <w:rPr>
                <w:rFonts w:ascii="宋体" w:hAnsi="宋体" w:cs="宋体"/>
                <w:color w:val="auto"/>
                <w:spacing w:val="8"/>
                <w:position w:val="1"/>
                <w:sz w:val="20"/>
                <w:szCs w:val="20"/>
                <w:highlight w:val="none"/>
              </w:rPr>
              <w:t>3</w:t>
            </w:r>
            <w:r>
              <w:rPr>
                <w:rFonts w:ascii="宋体" w:hAnsi="宋体" w:cs="宋体"/>
                <w:color w:val="auto"/>
                <w:spacing w:val="5"/>
                <w:position w:val="1"/>
                <w:sz w:val="20"/>
                <w:szCs w:val="20"/>
                <w:highlight w:val="none"/>
              </w:rPr>
              <w:t>00≤</w:t>
            </w:r>
            <w:r>
              <w:rPr>
                <w:rFonts w:ascii="宋体" w:hAnsi="宋体" w:cs="宋体"/>
                <w:color w:val="auto"/>
                <w:position w:val="1"/>
                <w:sz w:val="20"/>
                <w:szCs w:val="20"/>
                <w:highlight w:val="none"/>
              </w:rPr>
              <w:t>X</w:t>
            </w:r>
            <w:r>
              <w:rPr>
                <w:rFonts w:ascii="宋体" w:hAnsi="宋体" w:cs="宋体"/>
                <w:color w:val="auto"/>
                <w:spacing w:val="5"/>
                <w:position w:val="1"/>
                <w:sz w:val="20"/>
                <w:szCs w:val="20"/>
                <w:highlight w:val="none"/>
              </w:rPr>
              <w:t>＜1000</w:t>
            </w:r>
          </w:p>
        </w:tc>
        <w:tc>
          <w:tcPr>
            <w:tcW w:w="1906" w:type="dxa"/>
          </w:tcPr>
          <w:p w14:paraId="644BF5E2">
            <w:pPr>
              <w:spacing w:before="34" w:line="266" w:lineRule="exact"/>
              <w:ind w:left="436"/>
              <w:rPr>
                <w:rFonts w:ascii="宋体" w:hAnsi="宋体" w:cs="宋体"/>
                <w:color w:val="auto"/>
                <w:sz w:val="20"/>
                <w:szCs w:val="20"/>
                <w:highlight w:val="none"/>
              </w:rPr>
            </w:pPr>
            <w:r>
              <w:rPr>
                <w:rFonts w:ascii="宋体" w:hAnsi="宋体" w:cs="宋体"/>
                <w:color w:val="auto"/>
                <w:spacing w:val="6"/>
                <w:position w:val="1"/>
                <w:sz w:val="20"/>
                <w:szCs w:val="20"/>
                <w:highlight w:val="none"/>
              </w:rPr>
              <w:t>20≤</w:t>
            </w:r>
            <w:r>
              <w:rPr>
                <w:rFonts w:ascii="宋体" w:hAnsi="宋体" w:cs="宋体"/>
                <w:color w:val="auto"/>
                <w:position w:val="1"/>
                <w:sz w:val="20"/>
                <w:szCs w:val="20"/>
                <w:highlight w:val="none"/>
              </w:rPr>
              <w:t>X</w:t>
            </w:r>
            <w:r>
              <w:rPr>
                <w:rFonts w:ascii="宋体" w:hAnsi="宋体" w:cs="宋体"/>
                <w:color w:val="auto"/>
                <w:spacing w:val="6"/>
                <w:position w:val="1"/>
                <w:sz w:val="20"/>
                <w:szCs w:val="20"/>
                <w:highlight w:val="none"/>
              </w:rPr>
              <w:t>＜30</w:t>
            </w:r>
            <w:r>
              <w:rPr>
                <w:rFonts w:ascii="宋体" w:hAnsi="宋体" w:cs="宋体"/>
                <w:color w:val="auto"/>
                <w:spacing w:val="5"/>
                <w:position w:val="1"/>
                <w:sz w:val="20"/>
                <w:szCs w:val="20"/>
                <w:highlight w:val="none"/>
              </w:rPr>
              <w:t>0</w:t>
            </w:r>
          </w:p>
        </w:tc>
        <w:tc>
          <w:tcPr>
            <w:tcW w:w="1110" w:type="dxa"/>
          </w:tcPr>
          <w:p w14:paraId="18C8050F">
            <w:pPr>
              <w:spacing w:before="34" w:line="270" w:lineRule="exact"/>
              <w:ind w:left="294"/>
              <w:rPr>
                <w:rFonts w:ascii="宋体" w:hAnsi="宋体" w:cs="宋体"/>
                <w:color w:val="auto"/>
                <w:sz w:val="20"/>
                <w:szCs w:val="20"/>
                <w:highlight w:val="none"/>
              </w:rPr>
            </w:pPr>
            <w:r>
              <w:rPr>
                <w:rFonts w:ascii="宋体" w:hAnsi="宋体" w:cs="宋体"/>
                <w:color w:val="auto"/>
                <w:position w:val="1"/>
                <w:sz w:val="20"/>
                <w:szCs w:val="20"/>
                <w:highlight w:val="none"/>
              </w:rPr>
              <w:t>X</w:t>
            </w:r>
            <w:r>
              <w:rPr>
                <w:rFonts w:ascii="宋体" w:hAnsi="宋体" w:cs="宋体"/>
                <w:color w:val="auto"/>
                <w:spacing w:val="7"/>
                <w:position w:val="1"/>
                <w:sz w:val="20"/>
                <w:szCs w:val="20"/>
                <w:highlight w:val="none"/>
              </w:rPr>
              <w:t>＜20</w:t>
            </w:r>
          </w:p>
        </w:tc>
      </w:tr>
      <w:tr w14:paraId="06357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continue"/>
            <w:tcBorders>
              <w:top w:val="nil"/>
            </w:tcBorders>
            <w:vAlign w:val="center"/>
          </w:tcPr>
          <w:p w14:paraId="0D9DFAD3">
            <w:pPr>
              <w:jc w:val="center"/>
              <w:rPr>
                <w:rFonts w:ascii="Arial"/>
                <w:color w:val="auto"/>
                <w:highlight w:val="none"/>
              </w:rPr>
            </w:pPr>
          </w:p>
        </w:tc>
        <w:tc>
          <w:tcPr>
            <w:tcW w:w="1751" w:type="dxa"/>
          </w:tcPr>
          <w:p w14:paraId="23CBAB3C">
            <w:pPr>
              <w:spacing w:before="35" w:line="228" w:lineRule="auto"/>
              <w:ind w:left="204"/>
              <w:rPr>
                <w:rFonts w:ascii="宋体" w:hAnsi="宋体" w:cs="宋体"/>
                <w:color w:val="auto"/>
                <w:sz w:val="20"/>
                <w:szCs w:val="20"/>
                <w:highlight w:val="none"/>
              </w:rPr>
            </w:pPr>
            <w:r>
              <w:rPr>
                <w:rFonts w:ascii="宋体" w:hAnsi="宋体" w:cs="宋体"/>
                <w:color w:val="auto"/>
                <w:spacing w:val="8"/>
                <w:sz w:val="20"/>
                <w:szCs w:val="20"/>
                <w:highlight w:val="none"/>
              </w:rPr>
              <w:t>营</w:t>
            </w:r>
            <w:r>
              <w:rPr>
                <w:rFonts w:ascii="宋体" w:hAnsi="宋体" w:cs="宋体"/>
                <w:color w:val="auto"/>
                <w:spacing w:val="5"/>
                <w:sz w:val="20"/>
                <w:szCs w:val="20"/>
                <w:highlight w:val="none"/>
              </w:rPr>
              <w:t>业收入(</w:t>
            </w:r>
            <w:r>
              <w:rPr>
                <w:rFonts w:ascii="宋体" w:hAnsi="宋体" w:cs="宋体"/>
                <w:color w:val="auto"/>
                <w:sz w:val="20"/>
                <w:szCs w:val="20"/>
                <w:highlight w:val="none"/>
              </w:rPr>
              <w:t>Y</w:t>
            </w:r>
            <w:r>
              <w:rPr>
                <w:rFonts w:ascii="宋体" w:hAnsi="宋体" w:cs="宋体"/>
                <w:color w:val="auto"/>
                <w:spacing w:val="5"/>
                <w:sz w:val="20"/>
                <w:szCs w:val="20"/>
                <w:highlight w:val="none"/>
              </w:rPr>
              <w:t>)</w:t>
            </w:r>
          </w:p>
        </w:tc>
        <w:tc>
          <w:tcPr>
            <w:tcW w:w="1158" w:type="dxa"/>
          </w:tcPr>
          <w:p w14:paraId="555EE64B">
            <w:pPr>
              <w:spacing w:before="35"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6C360B3F">
            <w:pPr>
              <w:spacing w:before="35" w:line="265" w:lineRule="exact"/>
              <w:ind w:left="231"/>
              <w:rPr>
                <w:rFonts w:ascii="宋体" w:hAnsi="宋体" w:cs="宋体"/>
                <w:color w:val="auto"/>
                <w:sz w:val="20"/>
                <w:szCs w:val="20"/>
                <w:highlight w:val="none"/>
              </w:rPr>
            </w:pPr>
            <w:r>
              <w:rPr>
                <w:rFonts w:ascii="宋体" w:hAnsi="宋体" w:cs="宋体"/>
                <w:color w:val="auto"/>
                <w:spacing w:val="9"/>
                <w:position w:val="1"/>
                <w:sz w:val="20"/>
                <w:szCs w:val="20"/>
                <w:highlight w:val="none"/>
              </w:rPr>
              <w:t>2</w:t>
            </w:r>
            <w:r>
              <w:rPr>
                <w:rFonts w:ascii="宋体" w:hAnsi="宋体" w:cs="宋体"/>
                <w:color w:val="auto"/>
                <w:spacing w:val="5"/>
                <w:position w:val="1"/>
                <w:sz w:val="20"/>
                <w:szCs w:val="20"/>
                <w:highlight w:val="none"/>
              </w:rPr>
              <w:t>000≤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＜30000</w:t>
            </w:r>
          </w:p>
        </w:tc>
        <w:tc>
          <w:tcPr>
            <w:tcW w:w="1906" w:type="dxa"/>
          </w:tcPr>
          <w:p w14:paraId="74C4FE0B">
            <w:pPr>
              <w:spacing w:before="35" w:line="265" w:lineRule="exact"/>
              <w:ind w:left="346"/>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Y</w:t>
            </w:r>
            <w:r>
              <w:rPr>
                <w:rFonts w:ascii="宋体" w:hAnsi="宋体" w:cs="宋体"/>
                <w:color w:val="auto"/>
                <w:spacing w:val="4"/>
                <w:position w:val="1"/>
                <w:sz w:val="20"/>
                <w:szCs w:val="20"/>
                <w:highlight w:val="none"/>
              </w:rPr>
              <w:t>＜200</w:t>
            </w:r>
            <w:r>
              <w:rPr>
                <w:rFonts w:ascii="宋体" w:hAnsi="宋体" w:cs="宋体"/>
                <w:color w:val="auto"/>
                <w:spacing w:val="3"/>
                <w:position w:val="1"/>
                <w:sz w:val="20"/>
                <w:szCs w:val="20"/>
                <w:highlight w:val="none"/>
              </w:rPr>
              <w:t>0</w:t>
            </w:r>
          </w:p>
        </w:tc>
        <w:tc>
          <w:tcPr>
            <w:tcW w:w="1110" w:type="dxa"/>
          </w:tcPr>
          <w:p w14:paraId="4E23BDBD">
            <w:pPr>
              <w:spacing w:before="35" w:line="269" w:lineRule="exact"/>
              <w:ind w:left="243"/>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7"/>
                <w:position w:val="1"/>
                <w:sz w:val="20"/>
                <w:szCs w:val="20"/>
                <w:highlight w:val="none"/>
              </w:rPr>
              <w:t>＜</w:t>
            </w:r>
            <w:r>
              <w:rPr>
                <w:rFonts w:ascii="宋体" w:hAnsi="宋体" w:cs="宋体"/>
                <w:color w:val="auto"/>
                <w:spacing w:val="6"/>
                <w:position w:val="1"/>
                <w:sz w:val="20"/>
                <w:szCs w:val="20"/>
                <w:highlight w:val="none"/>
              </w:rPr>
              <w:t>100</w:t>
            </w:r>
          </w:p>
        </w:tc>
      </w:tr>
      <w:tr w14:paraId="1147B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2071" w:type="dxa"/>
            <w:vMerge w:val="restart"/>
            <w:tcBorders>
              <w:bottom w:val="nil"/>
            </w:tcBorders>
            <w:vAlign w:val="center"/>
          </w:tcPr>
          <w:p w14:paraId="19589AD1">
            <w:pPr>
              <w:spacing w:before="230" w:line="228" w:lineRule="auto"/>
              <w:jc w:val="center"/>
              <w:rPr>
                <w:rFonts w:ascii="宋体" w:hAnsi="宋体" w:cs="宋体"/>
                <w:color w:val="auto"/>
                <w:sz w:val="20"/>
                <w:szCs w:val="20"/>
                <w:highlight w:val="none"/>
              </w:rPr>
            </w:pPr>
            <w:r>
              <w:rPr>
                <w:rFonts w:ascii="宋体" w:hAnsi="宋体" w:cs="宋体"/>
                <w:color w:val="auto"/>
                <w:spacing w:val="8"/>
                <w:sz w:val="20"/>
                <w:szCs w:val="20"/>
                <w:highlight w:val="none"/>
              </w:rPr>
              <w:t>住宿业</w:t>
            </w:r>
          </w:p>
        </w:tc>
        <w:tc>
          <w:tcPr>
            <w:tcW w:w="1751" w:type="dxa"/>
          </w:tcPr>
          <w:p w14:paraId="7852CCDC">
            <w:pPr>
              <w:spacing w:before="35" w:line="229" w:lineRule="auto"/>
              <w:ind w:left="200"/>
              <w:rPr>
                <w:rFonts w:ascii="宋体" w:hAnsi="宋体" w:cs="宋体"/>
                <w:color w:val="auto"/>
                <w:sz w:val="20"/>
                <w:szCs w:val="20"/>
                <w:highlight w:val="none"/>
              </w:rPr>
            </w:pPr>
            <w:r>
              <w:rPr>
                <w:rFonts w:ascii="宋体" w:hAnsi="宋体" w:cs="宋体"/>
                <w:color w:val="auto"/>
                <w:spacing w:val="6"/>
                <w:sz w:val="20"/>
                <w:szCs w:val="20"/>
                <w:highlight w:val="none"/>
              </w:rPr>
              <w:t>从业人员(</w:t>
            </w:r>
            <w:r>
              <w:rPr>
                <w:rFonts w:ascii="宋体" w:hAnsi="宋体" w:cs="宋体"/>
                <w:color w:val="auto"/>
                <w:sz w:val="20"/>
                <w:szCs w:val="20"/>
                <w:highlight w:val="none"/>
              </w:rPr>
              <w:t>X</w:t>
            </w:r>
            <w:r>
              <w:rPr>
                <w:rFonts w:ascii="宋体" w:hAnsi="宋体" w:cs="宋体"/>
                <w:color w:val="auto"/>
                <w:spacing w:val="6"/>
                <w:sz w:val="20"/>
                <w:szCs w:val="20"/>
                <w:highlight w:val="none"/>
              </w:rPr>
              <w:t>)</w:t>
            </w:r>
          </w:p>
        </w:tc>
        <w:tc>
          <w:tcPr>
            <w:tcW w:w="1158" w:type="dxa"/>
          </w:tcPr>
          <w:p w14:paraId="118FDD5E">
            <w:pPr>
              <w:spacing w:before="35" w:line="231" w:lineRule="auto"/>
              <w:ind w:left="481"/>
              <w:rPr>
                <w:rFonts w:ascii="宋体" w:hAnsi="宋体" w:cs="宋体"/>
                <w:color w:val="auto"/>
                <w:sz w:val="20"/>
                <w:szCs w:val="20"/>
                <w:highlight w:val="none"/>
              </w:rPr>
            </w:pPr>
            <w:r>
              <w:rPr>
                <w:rFonts w:ascii="宋体" w:hAnsi="宋体" w:cs="宋体"/>
                <w:color w:val="auto"/>
                <w:sz w:val="20"/>
                <w:szCs w:val="20"/>
                <w:highlight w:val="none"/>
              </w:rPr>
              <w:t>人</w:t>
            </w:r>
          </w:p>
        </w:tc>
        <w:tc>
          <w:tcPr>
            <w:tcW w:w="1916" w:type="dxa"/>
          </w:tcPr>
          <w:p w14:paraId="5267DF67">
            <w:pPr>
              <w:spacing w:before="35" w:line="265" w:lineRule="exact"/>
              <w:ind w:left="402"/>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＜300</w:t>
            </w:r>
          </w:p>
        </w:tc>
        <w:tc>
          <w:tcPr>
            <w:tcW w:w="1906" w:type="dxa"/>
          </w:tcPr>
          <w:p w14:paraId="6FCF05B8">
            <w:pPr>
              <w:spacing w:before="35" w:line="265" w:lineRule="exact"/>
              <w:ind w:left="449"/>
              <w:rPr>
                <w:rFonts w:ascii="宋体" w:hAnsi="宋体" w:cs="宋体"/>
                <w:color w:val="auto"/>
                <w:sz w:val="20"/>
                <w:szCs w:val="20"/>
                <w:highlight w:val="none"/>
              </w:rPr>
            </w:pPr>
            <w:r>
              <w:rPr>
                <w:rFonts w:ascii="宋体" w:hAnsi="宋体" w:cs="宋体"/>
                <w:color w:val="auto"/>
                <w:spacing w:val="4"/>
                <w:position w:val="1"/>
                <w:sz w:val="20"/>
                <w:szCs w:val="20"/>
                <w:highlight w:val="none"/>
              </w:rPr>
              <w:t>10≤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＜100</w:t>
            </w:r>
          </w:p>
        </w:tc>
        <w:tc>
          <w:tcPr>
            <w:tcW w:w="1110" w:type="dxa"/>
          </w:tcPr>
          <w:p w14:paraId="1994B8C2">
            <w:pPr>
              <w:spacing w:before="35" w:line="269" w:lineRule="exact"/>
              <w:ind w:left="294"/>
              <w:rPr>
                <w:rFonts w:ascii="宋体" w:hAnsi="宋体" w:cs="宋体"/>
                <w:color w:val="auto"/>
                <w:sz w:val="20"/>
                <w:szCs w:val="20"/>
                <w:highlight w:val="none"/>
              </w:rPr>
            </w:pPr>
            <w:r>
              <w:rPr>
                <w:rFonts w:ascii="宋体" w:hAnsi="宋体" w:cs="宋体"/>
                <w:color w:val="auto"/>
                <w:position w:val="1"/>
                <w:sz w:val="20"/>
                <w:szCs w:val="20"/>
                <w:highlight w:val="none"/>
              </w:rPr>
              <w:t>X</w:t>
            </w:r>
            <w:r>
              <w:rPr>
                <w:rFonts w:ascii="宋体" w:hAnsi="宋体" w:cs="宋体"/>
                <w:color w:val="auto"/>
                <w:spacing w:val="7"/>
                <w:position w:val="1"/>
                <w:sz w:val="20"/>
                <w:szCs w:val="20"/>
                <w:highlight w:val="none"/>
              </w:rPr>
              <w:t>＜10</w:t>
            </w:r>
          </w:p>
        </w:tc>
      </w:tr>
      <w:tr w14:paraId="1FE12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continue"/>
            <w:tcBorders>
              <w:top w:val="nil"/>
            </w:tcBorders>
            <w:vAlign w:val="center"/>
          </w:tcPr>
          <w:p w14:paraId="1368C3CB">
            <w:pPr>
              <w:jc w:val="center"/>
              <w:rPr>
                <w:rFonts w:ascii="Arial"/>
                <w:color w:val="auto"/>
                <w:highlight w:val="none"/>
              </w:rPr>
            </w:pPr>
          </w:p>
        </w:tc>
        <w:tc>
          <w:tcPr>
            <w:tcW w:w="1751" w:type="dxa"/>
          </w:tcPr>
          <w:p w14:paraId="3E528481">
            <w:pPr>
              <w:spacing w:before="34" w:line="228" w:lineRule="auto"/>
              <w:ind w:left="204"/>
              <w:rPr>
                <w:rFonts w:ascii="宋体" w:hAnsi="宋体" w:cs="宋体"/>
                <w:color w:val="auto"/>
                <w:sz w:val="20"/>
                <w:szCs w:val="20"/>
                <w:highlight w:val="none"/>
              </w:rPr>
            </w:pPr>
            <w:r>
              <w:rPr>
                <w:rFonts w:ascii="宋体" w:hAnsi="宋体" w:cs="宋体"/>
                <w:color w:val="auto"/>
                <w:spacing w:val="8"/>
                <w:sz w:val="20"/>
                <w:szCs w:val="20"/>
                <w:highlight w:val="none"/>
              </w:rPr>
              <w:t>营</w:t>
            </w:r>
            <w:r>
              <w:rPr>
                <w:rFonts w:ascii="宋体" w:hAnsi="宋体" w:cs="宋体"/>
                <w:color w:val="auto"/>
                <w:spacing w:val="5"/>
                <w:sz w:val="20"/>
                <w:szCs w:val="20"/>
                <w:highlight w:val="none"/>
              </w:rPr>
              <w:t>业收入(</w:t>
            </w:r>
            <w:r>
              <w:rPr>
                <w:rFonts w:ascii="宋体" w:hAnsi="宋体" w:cs="宋体"/>
                <w:color w:val="auto"/>
                <w:sz w:val="20"/>
                <w:szCs w:val="20"/>
                <w:highlight w:val="none"/>
              </w:rPr>
              <w:t>Y</w:t>
            </w:r>
            <w:r>
              <w:rPr>
                <w:rFonts w:ascii="宋体" w:hAnsi="宋体" w:cs="宋体"/>
                <w:color w:val="auto"/>
                <w:spacing w:val="5"/>
                <w:sz w:val="20"/>
                <w:szCs w:val="20"/>
                <w:highlight w:val="none"/>
              </w:rPr>
              <w:t>)</w:t>
            </w:r>
          </w:p>
        </w:tc>
        <w:tc>
          <w:tcPr>
            <w:tcW w:w="1158" w:type="dxa"/>
          </w:tcPr>
          <w:p w14:paraId="4F280900">
            <w:pPr>
              <w:spacing w:before="34"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0BFC080A">
            <w:pPr>
              <w:spacing w:before="34" w:line="265" w:lineRule="exact"/>
              <w:ind w:left="231"/>
              <w:rPr>
                <w:rFonts w:ascii="宋体" w:hAnsi="宋体" w:cs="宋体"/>
                <w:color w:val="auto"/>
                <w:sz w:val="20"/>
                <w:szCs w:val="20"/>
                <w:highlight w:val="none"/>
              </w:rPr>
            </w:pPr>
            <w:r>
              <w:rPr>
                <w:rFonts w:ascii="宋体" w:hAnsi="宋体" w:cs="宋体"/>
                <w:color w:val="auto"/>
                <w:spacing w:val="9"/>
                <w:position w:val="1"/>
                <w:sz w:val="20"/>
                <w:szCs w:val="20"/>
                <w:highlight w:val="none"/>
              </w:rPr>
              <w:t>2</w:t>
            </w:r>
            <w:r>
              <w:rPr>
                <w:rFonts w:ascii="宋体" w:hAnsi="宋体" w:cs="宋体"/>
                <w:color w:val="auto"/>
                <w:spacing w:val="5"/>
                <w:position w:val="1"/>
                <w:sz w:val="20"/>
                <w:szCs w:val="20"/>
                <w:highlight w:val="none"/>
              </w:rPr>
              <w:t>000≤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＜10000</w:t>
            </w:r>
          </w:p>
        </w:tc>
        <w:tc>
          <w:tcPr>
            <w:tcW w:w="1906" w:type="dxa"/>
          </w:tcPr>
          <w:p w14:paraId="4BE5CA56">
            <w:pPr>
              <w:spacing w:before="34" w:line="265" w:lineRule="exact"/>
              <w:ind w:left="346"/>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Y</w:t>
            </w:r>
            <w:r>
              <w:rPr>
                <w:rFonts w:ascii="宋体" w:hAnsi="宋体" w:cs="宋体"/>
                <w:color w:val="auto"/>
                <w:spacing w:val="4"/>
                <w:position w:val="1"/>
                <w:sz w:val="20"/>
                <w:szCs w:val="20"/>
                <w:highlight w:val="none"/>
              </w:rPr>
              <w:t>＜200</w:t>
            </w:r>
            <w:r>
              <w:rPr>
                <w:rFonts w:ascii="宋体" w:hAnsi="宋体" w:cs="宋体"/>
                <w:color w:val="auto"/>
                <w:spacing w:val="3"/>
                <w:position w:val="1"/>
                <w:sz w:val="20"/>
                <w:szCs w:val="20"/>
                <w:highlight w:val="none"/>
              </w:rPr>
              <w:t>0</w:t>
            </w:r>
          </w:p>
        </w:tc>
        <w:tc>
          <w:tcPr>
            <w:tcW w:w="1110" w:type="dxa"/>
          </w:tcPr>
          <w:p w14:paraId="4E11411D">
            <w:pPr>
              <w:spacing w:before="34" w:line="269" w:lineRule="exact"/>
              <w:ind w:left="243"/>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7"/>
                <w:position w:val="1"/>
                <w:sz w:val="20"/>
                <w:szCs w:val="20"/>
                <w:highlight w:val="none"/>
              </w:rPr>
              <w:t>＜</w:t>
            </w:r>
            <w:r>
              <w:rPr>
                <w:rFonts w:ascii="宋体" w:hAnsi="宋体" w:cs="宋体"/>
                <w:color w:val="auto"/>
                <w:spacing w:val="6"/>
                <w:position w:val="1"/>
                <w:sz w:val="20"/>
                <w:szCs w:val="20"/>
                <w:highlight w:val="none"/>
              </w:rPr>
              <w:t>100</w:t>
            </w:r>
          </w:p>
        </w:tc>
      </w:tr>
      <w:tr w14:paraId="020D0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restart"/>
            <w:tcBorders>
              <w:bottom w:val="nil"/>
            </w:tcBorders>
            <w:vAlign w:val="center"/>
          </w:tcPr>
          <w:p w14:paraId="6531A603">
            <w:pPr>
              <w:spacing w:before="228" w:line="228" w:lineRule="auto"/>
              <w:jc w:val="center"/>
              <w:rPr>
                <w:rFonts w:ascii="宋体" w:hAnsi="宋体" w:cs="宋体"/>
                <w:color w:val="auto"/>
                <w:sz w:val="20"/>
                <w:szCs w:val="20"/>
                <w:highlight w:val="none"/>
              </w:rPr>
            </w:pPr>
            <w:r>
              <w:rPr>
                <w:rFonts w:ascii="宋体" w:hAnsi="宋体" w:cs="宋体"/>
                <w:color w:val="auto"/>
                <w:spacing w:val="7"/>
                <w:sz w:val="20"/>
                <w:szCs w:val="20"/>
                <w:highlight w:val="none"/>
              </w:rPr>
              <w:t>餐饮业</w:t>
            </w:r>
          </w:p>
        </w:tc>
        <w:tc>
          <w:tcPr>
            <w:tcW w:w="1751" w:type="dxa"/>
          </w:tcPr>
          <w:p w14:paraId="2A4E65D6">
            <w:pPr>
              <w:spacing w:before="34" w:line="229" w:lineRule="auto"/>
              <w:ind w:left="200"/>
              <w:rPr>
                <w:rFonts w:ascii="宋体" w:hAnsi="宋体" w:cs="宋体"/>
                <w:color w:val="auto"/>
                <w:sz w:val="20"/>
                <w:szCs w:val="20"/>
                <w:highlight w:val="none"/>
              </w:rPr>
            </w:pPr>
            <w:r>
              <w:rPr>
                <w:rFonts w:ascii="宋体" w:hAnsi="宋体" w:cs="宋体"/>
                <w:color w:val="auto"/>
                <w:spacing w:val="6"/>
                <w:sz w:val="20"/>
                <w:szCs w:val="20"/>
                <w:highlight w:val="none"/>
              </w:rPr>
              <w:t>从业人员(</w:t>
            </w:r>
            <w:r>
              <w:rPr>
                <w:rFonts w:ascii="宋体" w:hAnsi="宋体" w:cs="宋体"/>
                <w:color w:val="auto"/>
                <w:sz w:val="20"/>
                <w:szCs w:val="20"/>
                <w:highlight w:val="none"/>
              </w:rPr>
              <w:t>X</w:t>
            </w:r>
            <w:r>
              <w:rPr>
                <w:rFonts w:ascii="宋体" w:hAnsi="宋体" w:cs="宋体"/>
                <w:color w:val="auto"/>
                <w:spacing w:val="6"/>
                <w:sz w:val="20"/>
                <w:szCs w:val="20"/>
                <w:highlight w:val="none"/>
              </w:rPr>
              <w:t>)</w:t>
            </w:r>
          </w:p>
        </w:tc>
        <w:tc>
          <w:tcPr>
            <w:tcW w:w="1158" w:type="dxa"/>
          </w:tcPr>
          <w:p w14:paraId="39DEACAC">
            <w:pPr>
              <w:spacing w:before="34" w:line="231" w:lineRule="auto"/>
              <w:ind w:left="481"/>
              <w:rPr>
                <w:rFonts w:ascii="宋体" w:hAnsi="宋体" w:cs="宋体"/>
                <w:color w:val="auto"/>
                <w:sz w:val="20"/>
                <w:szCs w:val="20"/>
                <w:highlight w:val="none"/>
              </w:rPr>
            </w:pPr>
            <w:r>
              <w:rPr>
                <w:rFonts w:ascii="宋体" w:hAnsi="宋体" w:cs="宋体"/>
                <w:color w:val="auto"/>
                <w:sz w:val="20"/>
                <w:szCs w:val="20"/>
                <w:highlight w:val="none"/>
              </w:rPr>
              <w:t>人</w:t>
            </w:r>
          </w:p>
        </w:tc>
        <w:tc>
          <w:tcPr>
            <w:tcW w:w="1916" w:type="dxa"/>
          </w:tcPr>
          <w:p w14:paraId="1D3FA52B">
            <w:pPr>
              <w:spacing w:before="34" w:line="266" w:lineRule="exact"/>
              <w:ind w:left="402"/>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＜300</w:t>
            </w:r>
          </w:p>
        </w:tc>
        <w:tc>
          <w:tcPr>
            <w:tcW w:w="1906" w:type="dxa"/>
          </w:tcPr>
          <w:p w14:paraId="3097BB16">
            <w:pPr>
              <w:spacing w:before="34" w:line="266" w:lineRule="exact"/>
              <w:ind w:left="449"/>
              <w:rPr>
                <w:rFonts w:ascii="宋体" w:hAnsi="宋体" w:cs="宋体"/>
                <w:color w:val="auto"/>
                <w:sz w:val="20"/>
                <w:szCs w:val="20"/>
                <w:highlight w:val="none"/>
              </w:rPr>
            </w:pPr>
            <w:r>
              <w:rPr>
                <w:rFonts w:ascii="宋体" w:hAnsi="宋体" w:cs="宋体"/>
                <w:color w:val="auto"/>
                <w:spacing w:val="4"/>
                <w:position w:val="1"/>
                <w:sz w:val="20"/>
                <w:szCs w:val="20"/>
                <w:highlight w:val="none"/>
              </w:rPr>
              <w:t>10≤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＜100</w:t>
            </w:r>
          </w:p>
        </w:tc>
        <w:tc>
          <w:tcPr>
            <w:tcW w:w="1110" w:type="dxa"/>
          </w:tcPr>
          <w:p w14:paraId="451BDA93">
            <w:pPr>
              <w:spacing w:before="34" w:line="269" w:lineRule="exact"/>
              <w:ind w:left="294"/>
              <w:rPr>
                <w:rFonts w:ascii="宋体" w:hAnsi="宋体" w:cs="宋体"/>
                <w:color w:val="auto"/>
                <w:sz w:val="20"/>
                <w:szCs w:val="20"/>
                <w:highlight w:val="none"/>
              </w:rPr>
            </w:pPr>
            <w:r>
              <w:rPr>
                <w:rFonts w:ascii="宋体" w:hAnsi="宋体" w:cs="宋体"/>
                <w:color w:val="auto"/>
                <w:position w:val="1"/>
                <w:sz w:val="20"/>
                <w:szCs w:val="20"/>
                <w:highlight w:val="none"/>
              </w:rPr>
              <w:t>X</w:t>
            </w:r>
            <w:r>
              <w:rPr>
                <w:rFonts w:ascii="宋体" w:hAnsi="宋体" w:cs="宋体"/>
                <w:color w:val="auto"/>
                <w:spacing w:val="7"/>
                <w:position w:val="1"/>
                <w:sz w:val="20"/>
                <w:szCs w:val="20"/>
                <w:highlight w:val="none"/>
              </w:rPr>
              <w:t>＜10</w:t>
            </w:r>
          </w:p>
        </w:tc>
      </w:tr>
      <w:tr w14:paraId="43244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continue"/>
            <w:tcBorders>
              <w:top w:val="nil"/>
            </w:tcBorders>
            <w:vAlign w:val="center"/>
          </w:tcPr>
          <w:p w14:paraId="194DE980">
            <w:pPr>
              <w:jc w:val="center"/>
              <w:rPr>
                <w:rFonts w:ascii="Arial"/>
                <w:color w:val="auto"/>
                <w:highlight w:val="none"/>
              </w:rPr>
            </w:pPr>
          </w:p>
        </w:tc>
        <w:tc>
          <w:tcPr>
            <w:tcW w:w="1751" w:type="dxa"/>
          </w:tcPr>
          <w:p w14:paraId="1BA63F08">
            <w:pPr>
              <w:spacing w:before="35" w:line="228" w:lineRule="auto"/>
              <w:ind w:left="204"/>
              <w:rPr>
                <w:rFonts w:ascii="宋体" w:hAnsi="宋体" w:cs="宋体"/>
                <w:color w:val="auto"/>
                <w:sz w:val="20"/>
                <w:szCs w:val="20"/>
                <w:highlight w:val="none"/>
              </w:rPr>
            </w:pPr>
            <w:r>
              <w:rPr>
                <w:rFonts w:ascii="宋体" w:hAnsi="宋体" w:cs="宋体"/>
                <w:color w:val="auto"/>
                <w:spacing w:val="8"/>
                <w:sz w:val="20"/>
                <w:szCs w:val="20"/>
                <w:highlight w:val="none"/>
              </w:rPr>
              <w:t>营</w:t>
            </w:r>
            <w:r>
              <w:rPr>
                <w:rFonts w:ascii="宋体" w:hAnsi="宋体" w:cs="宋体"/>
                <w:color w:val="auto"/>
                <w:spacing w:val="5"/>
                <w:sz w:val="20"/>
                <w:szCs w:val="20"/>
                <w:highlight w:val="none"/>
              </w:rPr>
              <w:t>业收入(</w:t>
            </w:r>
            <w:r>
              <w:rPr>
                <w:rFonts w:ascii="宋体" w:hAnsi="宋体" w:cs="宋体"/>
                <w:color w:val="auto"/>
                <w:sz w:val="20"/>
                <w:szCs w:val="20"/>
                <w:highlight w:val="none"/>
              </w:rPr>
              <w:t>Y</w:t>
            </w:r>
            <w:r>
              <w:rPr>
                <w:rFonts w:ascii="宋体" w:hAnsi="宋体" w:cs="宋体"/>
                <w:color w:val="auto"/>
                <w:spacing w:val="5"/>
                <w:sz w:val="20"/>
                <w:szCs w:val="20"/>
                <w:highlight w:val="none"/>
              </w:rPr>
              <w:t>)</w:t>
            </w:r>
          </w:p>
        </w:tc>
        <w:tc>
          <w:tcPr>
            <w:tcW w:w="1158" w:type="dxa"/>
          </w:tcPr>
          <w:p w14:paraId="367AACFC">
            <w:pPr>
              <w:spacing w:before="34"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2B52C3F2">
            <w:pPr>
              <w:spacing w:before="34" w:line="266" w:lineRule="exact"/>
              <w:ind w:left="231"/>
              <w:rPr>
                <w:rFonts w:ascii="宋体" w:hAnsi="宋体" w:cs="宋体"/>
                <w:color w:val="auto"/>
                <w:sz w:val="20"/>
                <w:szCs w:val="20"/>
                <w:highlight w:val="none"/>
              </w:rPr>
            </w:pPr>
            <w:r>
              <w:rPr>
                <w:rFonts w:ascii="宋体" w:hAnsi="宋体" w:cs="宋体"/>
                <w:color w:val="auto"/>
                <w:spacing w:val="9"/>
                <w:position w:val="1"/>
                <w:sz w:val="20"/>
                <w:szCs w:val="20"/>
                <w:highlight w:val="none"/>
              </w:rPr>
              <w:t>2</w:t>
            </w:r>
            <w:r>
              <w:rPr>
                <w:rFonts w:ascii="宋体" w:hAnsi="宋体" w:cs="宋体"/>
                <w:color w:val="auto"/>
                <w:spacing w:val="5"/>
                <w:position w:val="1"/>
                <w:sz w:val="20"/>
                <w:szCs w:val="20"/>
                <w:highlight w:val="none"/>
              </w:rPr>
              <w:t>000≤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＜10000</w:t>
            </w:r>
          </w:p>
        </w:tc>
        <w:tc>
          <w:tcPr>
            <w:tcW w:w="1906" w:type="dxa"/>
          </w:tcPr>
          <w:p w14:paraId="2A9E2328">
            <w:pPr>
              <w:spacing w:before="34" w:line="266" w:lineRule="exact"/>
              <w:ind w:left="346"/>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Y</w:t>
            </w:r>
            <w:r>
              <w:rPr>
                <w:rFonts w:ascii="宋体" w:hAnsi="宋体" w:cs="宋体"/>
                <w:color w:val="auto"/>
                <w:spacing w:val="4"/>
                <w:position w:val="1"/>
                <w:sz w:val="20"/>
                <w:szCs w:val="20"/>
                <w:highlight w:val="none"/>
              </w:rPr>
              <w:t>＜200</w:t>
            </w:r>
            <w:r>
              <w:rPr>
                <w:rFonts w:ascii="宋体" w:hAnsi="宋体" w:cs="宋体"/>
                <w:color w:val="auto"/>
                <w:spacing w:val="3"/>
                <w:position w:val="1"/>
                <w:sz w:val="20"/>
                <w:szCs w:val="20"/>
                <w:highlight w:val="none"/>
              </w:rPr>
              <w:t>0</w:t>
            </w:r>
          </w:p>
        </w:tc>
        <w:tc>
          <w:tcPr>
            <w:tcW w:w="1110" w:type="dxa"/>
          </w:tcPr>
          <w:p w14:paraId="0B8E0C68">
            <w:pPr>
              <w:spacing w:before="34" w:line="270" w:lineRule="exact"/>
              <w:ind w:left="243"/>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7"/>
                <w:position w:val="1"/>
                <w:sz w:val="20"/>
                <w:szCs w:val="20"/>
                <w:highlight w:val="none"/>
              </w:rPr>
              <w:t>＜</w:t>
            </w:r>
            <w:r>
              <w:rPr>
                <w:rFonts w:ascii="宋体" w:hAnsi="宋体" w:cs="宋体"/>
                <w:color w:val="auto"/>
                <w:spacing w:val="6"/>
                <w:position w:val="1"/>
                <w:sz w:val="20"/>
                <w:szCs w:val="20"/>
                <w:highlight w:val="none"/>
              </w:rPr>
              <w:t>100</w:t>
            </w:r>
          </w:p>
        </w:tc>
      </w:tr>
      <w:tr w14:paraId="3CCA8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2071" w:type="dxa"/>
            <w:vMerge w:val="restart"/>
            <w:tcBorders>
              <w:bottom w:val="nil"/>
            </w:tcBorders>
            <w:vAlign w:val="center"/>
          </w:tcPr>
          <w:p w14:paraId="1D5182D5">
            <w:pPr>
              <w:spacing w:before="229" w:line="225" w:lineRule="auto"/>
              <w:jc w:val="center"/>
              <w:rPr>
                <w:rFonts w:ascii="宋体" w:hAnsi="宋体" w:cs="宋体"/>
                <w:color w:val="auto"/>
                <w:sz w:val="20"/>
                <w:szCs w:val="20"/>
                <w:highlight w:val="none"/>
              </w:rPr>
            </w:pPr>
            <w:r>
              <w:rPr>
                <w:rFonts w:ascii="宋体" w:hAnsi="宋体" w:cs="宋体"/>
                <w:color w:val="auto"/>
                <w:spacing w:val="11"/>
                <w:sz w:val="20"/>
                <w:szCs w:val="20"/>
                <w:highlight w:val="none"/>
              </w:rPr>
              <w:t>信</w:t>
            </w:r>
            <w:r>
              <w:rPr>
                <w:rFonts w:ascii="宋体" w:hAnsi="宋体" w:cs="宋体"/>
                <w:color w:val="auto"/>
                <w:spacing w:val="8"/>
                <w:sz w:val="20"/>
                <w:szCs w:val="20"/>
                <w:highlight w:val="none"/>
              </w:rPr>
              <w:t>息传输业</w:t>
            </w:r>
          </w:p>
        </w:tc>
        <w:tc>
          <w:tcPr>
            <w:tcW w:w="1751" w:type="dxa"/>
          </w:tcPr>
          <w:p w14:paraId="24226EF7">
            <w:pPr>
              <w:spacing w:before="35" w:line="229" w:lineRule="auto"/>
              <w:ind w:left="200"/>
              <w:rPr>
                <w:rFonts w:ascii="宋体" w:hAnsi="宋体" w:cs="宋体"/>
                <w:color w:val="auto"/>
                <w:sz w:val="20"/>
                <w:szCs w:val="20"/>
                <w:highlight w:val="none"/>
              </w:rPr>
            </w:pPr>
            <w:r>
              <w:rPr>
                <w:rFonts w:ascii="宋体" w:hAnsi="宋体" w:cs="宋体"/>
                <w:color w:val="auto"/>
                <w:spacing w:val="6"/>
                <w:sz w:val="20"/>
                <w:szCs w:val="20"/>
                <w:highlight w:val="none"/>
              </w:rPr>
              <w:t>从业人员(</w:t>
            </w:r>
            <w:r>
              <w:rPr>
                <w:rFonts w:ascii="宋体" w:hAnsi="宋体" w:cs="宋体"/>
                <w:color w:val="auto"/>
                <w:sz w:val="20"/>
                <w:szCs w:val="20"/>
                <w:highlight w:val="none"/>
              </w:rPr>
              <w:t>X</w:t>
            </w:r>
            <w:r>
              <w:rPr>
                <w:rFonts w:ascii="宋体" w:hAnsi="宋体" w:cs="宋体"/>
                <w:color w:val="auto"/>
                <w:spacing w:val="6"/>
                <w:sz w:val="20"/>
                <w:szCs w:val="20"/>
                <w:highlight w:val="none"/>
              </w:rPr>
              <w:t>)</w:t>
            </w:r>
          </w:p>
        </w:tc>
        <w:tc>
          <w:tcPr>
            <w:tcW w:w="1158" w:type="dxa"/>
          </w:tcPr>
          <w:p w14:paraId="5AE8E3E7">
            <w:pPr>
              <w:spacing w:before="35" w:line="231" w:lineRule="auto"/>
              <w:ind w:left="481"/>
              <w:rPr>
                <w:rFonts w:ascii="宋体" w:hAnsi="宋体" w:cs="宋体"/>
                <w:color w:val="auto"/>
                <w:sz w:val="20"/>
                <w:szCs w:val="20"/>
                <w:highlight w:val="none"/>
              </w:rPr>
            </w:pPr>
            <w:r>
              <w:rPr>
                <w:rFonts w:ascii="宋体" w:hAnsi="宋体" w:cs="宋体"/>
                <w:color w:val="auto"/>
                <w:sz w:val="20"/>
                <w:szCs w:val="20"/>
                <w:highlight w:val="none"/>
              </w:rPr>
              <w:t>人</w:t>
            </w:r>
          </w:p>
        </w:tc>
        <w:tc>
          <w:tcPr>
            <w:tcW w:w="1916" w:type="dxa"/>
          </w:tcPr>
          <w:p w14:paraId="0B8C4EF7">
            <w:pPr>
              <w:spacing w:before="35" w:line="265" w:lineRule="exact"/>
              <w:ind w:left="349"/>
              <w:rPr>
                <w:rFonts w:ascii="宋体" w:hAnsi="宋体" w:cs="宋体"/>
                <w:color w:val="auto"/>
                <w:sz w:val="20"/>
                <w:szCs w:val="20"/>
                <w:highlight w:val="none"/>
              </w:rPr>
            </w:pPr>
            <w:r>
              <w:rPr>
                <w:rFonts w:ascii="宋体" w:hAnsi="宋体" w:cs="宋体"/>
                <w:color w:val="auto"/>
                <w:spacing w:val="5"/>
                <w:position w:val="1"/>
                <w:sz w:val="20"/>
                <w:szCs w:val="20"/>
                <w:highlight w:val="none"/>
              </w:rPr>
              <w:t>1</w:t>
            </w:r>
            <w:r>
              <w:rPr>
                <w:rFonts w:ascii="宋体" w:hAnsi="宋体" w:cs="宋体"/>
                <w:color w:val="auto"/>
                <w:spacing w:val="4"/>
                <w:position w:val="1"/>
                <w:sz w:val="20"/>
                <w:szCs w:val="20"/>
                <w:highlight w:val="none"/>
              </w:rPr>
              <w:t>00≤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＜2000</w:t>
            </w:r>
          </w:p>
        </w:tc>
        <w:tc>
          <w:tcPr>
            <w:tcW w:w="1906" w:type="dxa"/>
          </w:tcPr>
          <w:p w14:paraId="28975E25">
            <w:pPr>
              <w:spacing w:before="35" w:line="265" w:lineRule="exact"/>
              <w:ind w:left="449"/>
              <w:rPr>
                <w:rFonts w:ascii="宋体" w:hAnsi="宋体" w:cs="宋体"/>
                <w:color w:val="auto"/>
                <w:sz w:val="20"/>
                <w:szCs w:val="20"/>
                <w:highlight w:val="none"/>
              </w:rPr>
            </w:pPr>
            <w:r>
              <w:rPr>
                <w:rFonts w:ascii="宋体" w:hAnsi="宋体" w:cs="宋体"/>
                <w:color w:val="auto"/>
                <w:spacing w:val="4"/>
                <w:position w:val="1"/>
                <w:sz w:val="20"/>
                <w:szCs w:val="20"/>
                <w:highlight w:val="none"/>
              </w:rPr>
              <w:t>10≤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＜100</w:t>
            </w:r>
          </w:p>
        </w:tc>
        <w:tc>
          <w:tcPr>
            <w:tcW w:w="1110" w:type="dxa"/>
          </w:tcPr>
          <w:p w14:paraId="3C1D575D">
            <w:pPr>
              <w:spacing w:before="35" w:line="269" w:lineRule="exact"/>
              <w:ind w:left="294"/>
              <w:rPr>
                <w:rFonts w:ascii="宋体" w:hAnsi="宋体" w:cs="宋体"/>
                <w:color w:val="auto"/>
                <w:sz w:val="20"/>
                <w:szCs w:val="20"/>
                <w:highlight w:val="none"/>
              </w:rPr>
            </w:pPr>
            <w:r>
              <w:rPr>
                <w:rFonts w:ascii="宋体" w:hAnsi="宋体" w:cs="宋体"/>
                <w:color w:val="auto"/>
                <w:position w:val="1"/>
                <w:sz w:val="20"/>
                <w:szCs w:val="20"/>
                <w:highlight w:val="none"/>
              </w:rPr>
              <w:t>X</w:t>
            </w:r>
            <w:r>
              <w:rPr>
                <w:rFonts w:ascii="宋体" w:hAnsi="宋体" w:cs="宋体"/>
                <w:color w:val="auto"/>
                <w:spacing w:val="7"/>
                <w:position w:val="1"/>
                <w:sz w:val="20"/>
                <w:szCs w:val="20"/>
                <w:highlight w:val="none"/>
              </w:rPr>
              <w:t>＜10</w:t>
            </w:r>
          </w:p>
        </w:tc>
      </w:tr>
      <w:tr w14:paraId="1BFAF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continue"/>
            <w:tcBorders>
              <w:top w:val="nil"/>
            </w:tcBorders>
            <w:vAlign w:val="center"/>
          </w:tcPr>
          <w:p w14:paraId="7868FB6F">
            <w:pPr>
              <w:jc w:val="center"/>
              <w:rPr>
                <w:rFonts w:ascii="Arial"/>
                <w:color w:val="auto"/>
                <w:highlight w:val="none"/>
              </w:rPr>
            </w:pPr>
          </w:p>
        </w:tc>
        <w:tc>
          <w:tcPr>
            <w:tcW w:w="1751" w:type="dxa"/>
          </w:tcPr>
          <w:p w14:paraId="002A1B64">
            <w:pPr>
              <w:spacing w:before="34" w:line="228" w:lineRule="auto"/>
              <w:ind w:left="204"/>
              <w:rPr>
                <w:rFonts w:ascii="宋体" w:hAnsi="宋体" w:cs="宋体"/>
                <w:color w:val="auto"/>
                <w:sz w:val="20"/>
                <w:szCs w:val="20"/>
                <w:highlight w:val="none"/>
              </w:rPr>
            </w:pPr>
            <w:r>
              <w:rPr>
                <w:rFonts w:ascii="宋体" w:hAnsi="宋体" w:cs="宋体"/>
                <w:color w:val="auto"/>
                <w:spacing w:val="8"/>
                <w:sz w:val="20"/>
                <w:szCs w:val="20"/>
                <w:highlight w:val="none"/>
              </w:rPr>
              <w:t>营</w:t>
            </w:r>
            <w:r>
              <w:rPr>
                <w:rFonts w:ascii="宋体" w:hAnsi="宋体" w:cs="宋体"/>
                <w:color w:val="auto"/>
                <w:spacing w:val="5"/>
                <w:sz w:val="20"/>
                <w:szCs w:val="20"/>
                <w:highlight w:val="none"/>
              </w:rPr>
              <w:t>业收入(</w:t>
            </w:r>
            <w:r>
              <w:rPr>
                <w:rFonts w:ascii="宋体" w:hAnsi="宋体" w:cs="宋体"/>
                <w:color w:val="auto"/>
                <w:sz w:val="20"/>
                <w:szCs w:val="20"/>
                <w:highlight w:val="none"/>
              </w:rPr>
              <w:t>Y</w:t>
            </w:r>
            <w:r>
              <w:rPr>
                <w:rFonts w:ascii="宋体" w:hAnsi="宋体" w:cs="宋体"/>
                <w:color w:val="auto"/>
                <w:spacing w:val="5"/>
                <w:sz w:val="20"/>
                <w:szCs w:val="20"/>
                <w:highlight w:val="none"/>
              </w:rPr>
              <w:t>)</w:t>
            </w:r>
          </w:p>
        </w:tc>
        <w:tc>
          <w:tcPr>
            <w:tcW w:w="1158" w:type="dxa"/>
          </w:tcPr>
          <w:p w14:paraId="12B701C4">
            <w:pPr>
              <w:spacing w:before="34"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0C3E398A">
            <w:pPr>
              <w:spacing w:before="34" w:line="265" w:lineRule="exact"/>
              <w:ind w:left="191"/>
              <w:rPr>
                <w:rFonts w:ascii="宋体" w:hAnsi="宋体" w:cs="宋体"/>
                <w:color w:val="auto"/>
                <w:sz w:val="20"/>
                <w:szCs w:val="20"/>
                <w:highlight w:val="none"/>
              </w:rPr>
            </w:pPr>
            <w:r>
              <w:rPr>
                <w:rFonts w:ascii="宋体" w:hAnsi="宋体" w:cs="宋体"/>
                <w:color w:val="auto"/>
                <w:spacing w:val="8"/>
                <w:position w:val="1"/>
                <w:sz w:val="20"/>
                <w:szCs w:val="20"/>
                <w:highlight w:val="none"/>
              </w:rPr>
              <w:t>1</w:t>
            </w:r>
            <w:r>
              <w:rPr>
                <w:rFonts w:ascii="宋体" w:hAnsi="宋体" w:cs="宋体"/>
                <w:color w:val="auto"/>
                <w:spacing w:val="4"/>
                <w:position w:val="1"/>
                <w:sz w:val="20"/>
                <w:szCs w:val="20"/>
                <w:highlight w:val="none"/>
              </w:rPr>
              <w:t>000≤</w:t>
            </w:r>
            <w:r>
              <w:rPr>
                <w:rFonts w:ascii="宋体" w:hAnsi="宋体" w:cs="宋体"/>
                <w:color w:val="auto"/>
                <w:position w:val="1"/>
                <w:sz w:val="20"/>
                <w:szCs w:val="20"/>
                <w:highlight w:val="none"/>
              </w:rPr>
              <w:t>Y</w:t>
            </w:r>
            <w:r>
              <w:rPr>
                <w:rFonts w:ascii="宋体" w:hAnsi="宋体" w:cs="宋体"/>
                <w:color w:val="auto"/>
                <w:spacing w:val="4"/>
                <w:position w:val="1"/>
                <w:sz w:val="20"/>
                <w:szCs w:val="20"/>
                <w:highlight w:val="none"/>
              </w:rPr>
              <w:t>＜100000</w:t>
            </w:r>
          </w:p>
        </w:tc>
        <w:tc>
          <w:tcPr>
            <w:tcW w:w="1906" w:type="dxa"/>
          </w:tcPr>
          <w:p w14:paraId="3DF08576">
            <w:pPr>
              <w:spacing w:before="34" w:line="265" w:lineRule="exact"/>
              <w:ind w:left="346"/>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Y</w:t>
            </w:r>
            <w:r>
              <w:rPr>
                <w:rFonts w:ascii="宋体" w:hAnsi="宋体" w:cs="宋体"/>
                <w:color w:val="auto"/>
                <w:spacing w:val="4"/>
                <w:position w:val="1"/>
                <w:sz w:val="20"/>
                <w:szCs w:val="20"/>
                <w:highlight w:val="none"/>
              </w:rPr>
              <w:t>＜100</w:t>
            </w:r>
            <w:r>
              <w:rPr>
                <w:rFonts w:ascii="宋体" w:hAnsi="宋体" w:cs="宋体"/>
                <w:color w:val="auto"/>
                <w:spacing w:val="3"/>
                <w:position w:val="1"/>
                <w:sz w:val="20"/>
                <w:szCs w:val="20"/>
                <w:highlight w:val="none"/>
              </w:rPr>
              <w:t>0</w:t>
            </w:r>
          </w:p>
        </w:tc>
        <w:tc>
          <w:tcPr>
            <w:tcW w:w="1110" w:type="dxa"/>
          </w:tcPr>
          <w:p w14:paraId="2BE8F5A7">
            <w:pPr>
              <w:spacing w:before="34" w:line="269" w:lineRule="exact"/>
              <w:ind w:left="243"/>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7"/>
                <w:position w:val="1"/>
                <w:sz w:val="20"/>
                <w:szCs w:val="20"/>
                <w:highlight w:val="none"/>
              </w:rPr>
              <w:t>＜</w:t>
            </w:r>
            <w:r>
              <w:rPr>
                <w:rFonts w:ascii="宋体" w:hAnsi="宋体" w:cs="宋体"/>
                <w:color w:val="auto"/>
                <w:spacing w:val="6"/>
                <w:position w:val="1"/>
                <w:sz w:val="20"/>
                <w:szCs w:val="20"/>
                <w:highlight w:val="none"/>
              </w:rPr>
              <w:t>100</w:t>
            </w:r>
          </w:p>
        </w:tc>
      </w:tr>
      <w:tr w14:paraId="24C55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restart"/>
            <w:tcBorders>
              <w:bottom w:val="nil"/>
            </w:tcBorders>
            <w:vAlign w:val="center"/>
          </w:tcPr>
          <w:p w14:paraId="6ECC928D">
            <w:pPr>
              <w:spacing w:before="39" w:line="379" w:lineRule="exact"/>
              <w:jc w:val="center"/>
              <w:rPr>
                <w:rFonts w:ascii="宋体" w:hAnsi="宋体" w:cs="宋体"/>
                <w:color w:val="auto"/>
                <w:sz w:val="20"/>
                <w:szCs w:val="20"/>
                <w:highlight w:val="none"/>
              </w:rPr>
            </w:pPr>
            <w:r>
              <w:rPr>
                <w:rFonts w:ascii="宋体" w:hAnsi="宋体" w:cs="宋体"/>
                <w:color w:val="auto"/>
                <w:spacing w:val="11"/>
                <w:position w:val="13"/>
                <w:sz w:val="20"/>
                <w:szCs w:val="20"/>
                <w:highlight w:val="none"/>
              </w:rPr>
              <w:t>软</w:t>
            </w:r>
            <w:r>
              <w:rPr>
                <w:rFonts w:ascii="宋体" w:hAnsi="宋体" w:cs="宋体"/>
                <w:color w:val="auto"/>
                <w:spacing w:val="9"/>
                <w:position w:val="13"/>
                <w:sz w:val="20"/>
                <w:szCs w:val="20"/>
                <w:highlight w:val="none"/>
              </w:rPr>
              <w:t>件和信息技术服</w:t>
            </w:r>
          </w:p>
          <w:p w14:paraId="607A5FE2">
            <w:pPr>
              <w:spacing w:line="228" w:lineRule="auto"/>
              <w:jc w:val="center"/>
              <w:rPr>
                <w:rFonts w:ascii="宋体" w:hAnsi="宋体" w:cs="宋体"/>
                <w:color w:val="auto"/>
                <w:sz w:val="20"/>
                <w:szCs w:val="20"/>
                <w:highlight w:val="none"/>
              </w:rPr>
            </w:pPr>
            <w:r>
              <w:rPr>
                <w:rFonts w:ascii="宋体" w:hAnsi="宋体" w:cs="宋体"/>
                <w:color w:val="auto"/>
                <w:spacing w:val="5"/>
                <w:sz w:val="20"/>
                <w:szCs w:val="20"/>
                <w:highlight w:val="none"/>
              </w:rPr>
              <w:t>务业</w:t>
            </w:r>
          </w:p>
        </w:tc>
        <w:tc>
          <w:tcPr>
            <w:tcW w:w="1751" w:type="dxa"/>
          </w:tcPr>
          <w:p w14:paraId="05C583DF">
            <w:pPr>
              <w:spacing w:before="34" w:line="229" w:lineRule="auto"/>
              <w:ind w:left="200"/>
              <w:rPr>
                <w:rFonts w:ascii="宋体" w:hAnsi="宋体" w:cs="宋体"/>
                <w:color w:val="auto"/>
                <w:sz w:val="20"/>
                <w:szCs w:val="20"/>
                <w:highlight w:val="none"/>
              </w:rPr>
            </w:pPr>
            <w:r>
              <w:rPr>
                <w:rFonts w:ascii="宋体" w:hAnsi="宋体" w:cs="宋体"/>
                <w:color w:val="auto"/>
                <w:spacing w:val="6"/>
                <w:sz w:val="20"/>
                <w:szCs w:val="20"/>
                <w:highlight w:val="none"/>
              </w:rPr>
              <w:t>从业人员(</w:t>
            </w:r>
            <w:r>
              <w:rPr>
                <w:rFonts w:ascii="宋体" w:hAnsi="宋体" w:cs="宋体"/>
                <w:color w:val="auto"/>
                <w:sz w:val="20"/>
                <w:szCs w:val="20"/>
                <w:highlight w:val="none"/>
              </w:rPr>
              <w:t>X</w:t>
            </w:r>
            <w:r>
              <w:rPr>
                <w:rFonts w:ascii="宋体" w:hAnsi="宋体" w:cs="宋体"/>
                <w:color w:val="auto"/>
                <w:spacing w:val="6"/>
                <w:sz w:val="20"/>
                <w:szCs w:val="20"/>
                <w:highlight w:val="none"/>
              </w:rPr>
              <w:t>)</w:t>
            </w:r>
          </w:p>
        </w:tc>
        <w:tc>
          <w:tcPr>
            <w:tcW w:w="1158" w:type="dxa"/>
          </w:tcPr>
          <w:p w14:paraId="6813FD82">
            <w:pPr>
              <w:spacing w:before="34" w:line="231" w:lineRule="auto"/>
              <w:ind w:left="481"/>
              <w:rPr>
                <w:rFonts w:ascii="宋体" w:hAnsi="宋体" w:cs="宋体"/>
                <w:color w:val="auto"/>
                <w:sz w:val="20"/>
                <w:szCs w:val="20"/>
                <w:highlight w:val="none"/>
              </w:rPr>
            </w:pPr>
            <w:r>
              <w:rPr>
                <w:rFonts w:ascii="宋体" w:hAnsi="宋体" w:cs="宋体"/>
                <w:color w:val="auto"/>
                <w:sz w:val="20"/>
                <w:szCs w:val="20"/>
                <w:highlight w:val="none"/>
              </w:rPr>
              <w:t>人</w:t>
            </w:r>
          </w:p>
        </w:tc>
        <w:tc>
          <w:tcPr>
            <w:tcW w:w="1916" w:type="dxa"/>
          </w:tcPr>
          <w:p w14:paraId="1CF4D6C6">
            <w:pPr>
              <w:spacing w:before="34" w:line="265" w:lineRule="exact"/>
              <w:ind w:left="402"/>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＜300</w:t>
            </w:r>
          </w:p>
        </w:tc>
        <w:tc>
          <w:tcPr>
            <w:tcW w:w="1906" w:type="dxa"/>
          </w:tcPr>
          <w:p w14:paraId="617D019D">
            <w:pPr>
              <w:spacing w:before="34" w:line="265" w:lineRule="exact"/>
              <w:ind w:left="449"/>
              <w:rPr>
                <w:rFonts w:ascii="宋体" w:hAnsi="宋体" w:cs="宋体"/>
                <w:color w:val="auto"/>
                <w:sz w:val="20"/>
                <w:szCs w:val="20"/>
                <w:highlight w:val="none"/>
              </w:rPr>
            </w:pPr>
            <w:r>
              <w:rPr>
                <w:rFonts w:ascii="宋体" w:hAnsi="宋体" w:cs="宋体"/>
                <w:color w:val="auto"/>
                <w:spacing w:val="4"/>
                <w:position w:val="1"/>
                <w:sz w:val="20"/>
                <w:szCs w:val="20"/>
                <w:highlight w:val="none"/>
              </w:rPr>
              <w:t>10≤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＜100</w:t>
            </w:r>
          </w:p>
        </w:tc>
        <w:tc>
          <w:tcPr>
            <w:tcW w:w="1110" w:type="dxa"/>
          </w:tcPr>
          <w:p w14:paraId="2533EE2E">
            <w:pPr>
              <w:spacing w:before="34" w:line="269" w:lineRule="exact"/>
              <w:ind w:left="294"/>
              <w:rPr>
                <w:rFonts w:ascii="宋体" w:hAnsi="宋体" w:cs="宋体"/>
                <w:color w:val="auto"/>
                <w:sz w:val="20"/>
                <w:szCs w:val="20"/>
                <w:highlight w:val="none"/>
              </w:rPr>
            </w:pPr>
            <w:r>
              <w:rPr>
                <w:rFonts w:ascii="宋体" w:hAnsi="宋体" w:cs="宋体"/>
                <w:color w:val="auto"/>
                <w:position w:val="1"/>
                <w:sz w:val="20"/>
                <w:szCs w:val="20"/>
                <w:highlight w:val="none"/>
              </w:rPr>
              <w:t>X</w:t>
            </w:r>
            <w:r>
              <w:rPr>
                <w:rFonts w:ascii="宋体" w:hAnsi="宋体" w:cs="宋体"/>
                <w:color w:val="auto"/>
                <w:spacing w:val="7"/>
                <w:position w:val="1"/>
                <w:sz w:val="20"/>
                <w:szCs w:val="20"/>
                <w:highlight w:val="none"/>
              </w:rPr>
              <w:t>＜10</w:t>
            </w:r>
          </w:p>
        </w:tc>
      </w:tr>
      <w:tr w14:paraId="4464C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continue"/>
            <w:tcBorders>
              <w:top w:val="nil"/>
            </w:tcBorders>
            <w:vAlign w:val="center"/>
          </w:tcPr>
          <w:p w14:paraId="19E39D8A">
            <w:pPr>
              <w:jc w:val="center"/>
              <w:rPr>
                <w:rFonts w:ascii="Arial"/>
                <w:color w:val="auto"/>
                <w:highlight w:val="none"/>
              </w:rPr>
            </w:pPr>
          </w:p>
        </w:tc>
        <w:tc>
          <w:tcPr>
            <w:tcW w:w="1751" w:type="dxa"/>
          </w:tcPr>
          <w:p w14:paraId="378042ED">
            <w:pPr>
              <w:spacing w:before="35" w:line="228" w:lineRule="auto"/>
              <w:ind w:left="204"/>
              <w:rPr>
                <w:rFonts w:ascii="宋体" w:hAnsi="宋体" w:cs="宋体"/>
                <w:color w:val="auto"/>
                <w:sz w:val="20"/>
                <w:szCs w:val="20"/>
                <w:highlight w:val="none"/>
              </w:rPr>
            </w:pPr>
            <w:r>
              <w:rPr>
                <w:rFonts w:ascii="宋体" w:hAnsi="宋体" w:cs="宋体"/>
                <w:color w:val="auto"/>
                <w:spacing w:val="8"/>
                <w:sz w:val="20"/>
                <w:szCs w:val="20"/>
                <w:highlight w:val="none"/>
              </w:rPr>
              <w:t>营</w:t>
            </w:r>
            <w:r>
              <w:rPr>
                <w:rFonts w:ascii="宋体" w:hAnsi="宋体" w:cs="宋体"/>
                <w:color w:val="auto"/>
                <w:spacing w:val="5"/>
                <w:sz w:val="20"/>
                <w:szCs w:val="20"/>
                <w:highlight w:val="none"/>
              </w:rPr>
              <w:t>业收入(</w:t>
            </w:r>
            <w:r>
              <w:rPr>
                <w:rFonts w:ascii="宋体" w:hAnsi="宋体" w:cs="宋体"/>
                <w:color w:val="auto"/>
                <w:sz w:val="20"/>
                <w:szCs w:val="20"/>
                <w:highlight w:val="none"/>
              </w:rPr>
              <w:t>Y</w:t>
            </w:r>
            <w:r>
              <w:rPr>
                <w:rFonts w:ascii="宋体" w:hAnsi="宋体" w:cs="宋体"/>
                <w:color w:val="auto"/>
                <w:spacing w:val="5"/>
                <w:sz w:val="20"/>
                <w:szCs w:val="20"/>
                <w:highlight w:val="none"/>
              </w:rPr>
              <w:t>)</w:t>
            </w:r>
          </w:p>
        </w:tc>
        <w:tc>
          <w:tcPr>
            <w:tcW w:w="1158" w:type="dxa"/>
          </w:tcPr>
          <w:p w14:paraId="1F3EF003">
            <w:pPr>
              <w:spacing w:before="34"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64B078D4">
            <w:pPr>
              <w:spacing w:before="34" w:line="266" w:lineRule="exact"/>
              <w:ind w:left="244"/>
              <w:rPr>
                <w:rFonts w:ascii="宋体" w:hAnsi="宋体" w:cs="宋体"/>
                <w:color w:val="auto"/>
                <w:sz w:val="20"/>
                <w:szCs w:val="20"/>
                <w:highlight w:val="none"/>
              </w:rPr>
            </w:pPr>
            <w:r>
              <w:rPr>
                <w:rFonts w:ascii="宋体" w:hAnsi="宋体" w:cs="宋体"/>
                <w:color w:val="auto"/>
                <w:spacing w:val="6"/>
                <w:position w:val="1"/>
                <w:sz w:val="20"/>
                <w:szCs w:val="20"/>
                <w:highlight w:val="none"/>
              </w:rPr>
              <w:t>1</w:t>
            </w:r>
            <w:r>
              <w:rPr>
                <w:rFonts w:ascii="宋体" w:hAnsi="宋体" w:cs="宋体"/>
                <w:color w:val="auto"/>
                <w:spacing w:val="4"/>
                <w:position w:val="1"/>
                <w:sz w:val="20"/>
                <w:szCs w:val="20"/>
                <w:highlight w:val="none"/>
              </w:rPr>
              <w:t>000≤</w:t>
            </w:r>
            <w:r>
              <w:rPr>
                <w:rFonts w:ascii="宋体" w:hAnsi="宋体" w:cs="宋体"/>
                <w:color w:val="auto"/>
                <w:position w:val="1"/>
                <w:sz w:val="20"/>
                <w:szCs w:val="20"/>
                <w:highlight w:val="none"/>
              </w:rPr>
              <w:t>Y</w:t>
            </w:r>
            <w:r>
              <w:rPr>
                <w:rFonts w:ascii="宋体" w:hAnsi="宋体" w:cs="宋体"/>
                <w:color w:val="auto"/>
                <w:spacing w:val="4"/>
                <w:position w:val="1"/>
                <w:sz w:val="20"/>
                <w:szCs w:val="20"/>
                <w:highlight w:val="none"/>
              </w:rPr>
              <w:t>＜10000</w:t>
            </w:r>
          </w:p>
        </w:tc>
        <w:tc>
          <w:tcPr>
            <w:tcW w:w="1906" w:type="dxa"/>
          </w:tcPr>
          <w:p w14:paraId="57098038">
            <w:pPr>
              <w:spacing w:before="34" w:line="266" w:lineRule="exact"/>
              <w:ind w:left="387"/>
              <w:rPr>
                <w:rFonts w:ascii="宋体" w:hAnsi="宋体" w:cs="宋体"/>
                <w:color w:val="auto"/>
                <w:sz w:val="20"/>
                <w:szCs w:val="20"/>
                <w:highlight w:val="none"/>
              </w:rPr>
            </w:pPr>
            <w:r>
              <w:rPr>
                <w:rFonts w:ascii="宋体" w:hAnsi="宋体" w:cs="宋体"/>
                <w:color w:val="auto"/>
                <w:spacing w:val="8"/>
                <w:position w:val="1"/>
                <w:sz w:val="20"/>
                <w:szCs w:val="20"/>
                <w:highlight w:val="none"/>
              </w:rPr>
              <w:t>5</w:t>
            </w:r>
            <w:r>
              <w:rPr>
                <w:rFonts w:ascii="宋体" w:hAnsi="宋体" w:cs="宋体"/>
                <w:color w:val="auto"/>
                <w:spacing w:val="5"/>
                <w:position w:val="1"/>
                <w:sz w:val="20"/>
                <w:szCs w:val="20"/>
                <w:highlight w:val="none"/>
              </w:rPr>
              <w:t>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＜1000</w:t>
            </w:r>
          </w:p>
        </w:tc>
        <w:tc>
          <w:tcPr>
            <w:tcW w:w="1110" w:type="dxa"/>
          </w:tcPr>
          <w:p w14:paraId="13AC8B45">
            <w:pPr>
              <w:spacing w:before="34" w:line="269" w:lineRule="exact"/>
              <w:ind w:left="293"/>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8"/>
                <w:position w:val="1"/>
                <w:sz w:val="20"/>
                <w:szCs w:val="20"/>
                <w:highlight w:val="none"/>
              </w:rPr>
              <w:t>＜</w:t>
            </w:r>
            <w:r>
              <w:rPr>
                <w:rFonts w:ascii="宋体" w:hAnsi="宋体" w:cs="宋体"/>
                <w:color w:val="auto"/>
                <w:spacing w:val="7"/>
                <w:position w:val="1"/>
                <w:sz w:val="20"/>
                <w:szCs w:val="20"/>
                <w:highlight w:val="none"/>
              </w:rPr>
              <w:t>50</w:t>
            </w:r>
          </w:p>
        </w:tc>
      </w:tr>
      <w:tr w14:paraId="76E5A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2071" w:type="dxa"/>
            <w:vMerge w:val="restart"/>
            <w:tcBorders>
              <w:bottom w:val="nil"/>
            </w:tcBorders>
            <w:vAlign w:val="center"/>
          </w:tcPr>
          <w:p w14:paraId="7B86A17F">
            <w:pPr>
              <w:spacing w:before="65" w:line="228" w:lineRule="auto"/>
              <w:jc w:val="center"/>
              <w:rPr>
                <w:rFonts w:ascii="宋体" w:hAnsi="宋体" w:cs="宋体"/>
                <w:color w:val="auto"/>
                <w:sz w:val="20"/>
                <w:szCs w:val="20"/>
                <w:highlight w:val="none"/>
              </w:rPr>
            </w:pPr>
            <w:r>
              <w:rPr>
                <w:rFonts w:ascii="宋体" w:hAnsi="宋体" w:cs="宋体"/>
                <w:color w:val="auto"/>
                <w:spacing w:val="10"/>
                <w:sz w:val="20"/>
                <w:szCs w:val="20"/>
                <w:highlight w:val="none"/>
              </w:rPr>
              <w:t>房</w:t>
            </w:r>
            <w:r>
              <w:rPr>
                <w:rFonts w:ascii="宋体" w:hAnsi="宋体" w:cs="宋体"/>
                <w:color w:val="auto"/>
                <w:spacing w:val="9"/>
                <w:sz w:val="20"/>
                <w:szCs w:val="20"/>
                <w:highlight w:val="none"/>
              </w:rPr>
              <w:t>地产开发经营</w:t>
            </w:r>
          </w:p>
        </w:tc>
        <w:tc>
          <w:tcPr>
            <w:tcW w:w="1751" w:type="dxa"/>
          </w:tcPr>
          <w:p w14:paraId="6F846970">
            <w:pPr>
              <w:spacing w:before="126" w:line="228" w:lineRule="auto"/>
              <w:ind w:left="204"/>
              <w:rPr>
                <w:rFonts w:ascii="宋体" w:hAnsi="宋体" w:cs="宋体"/>
                <w:color w:val="auto"/>
                <w:sz w:val="20"/>
                <w:szCs w:val="20"/>
                <w:highlight w:val="none"/>
              </w:rPr>
            </w:pPr>
            <w:r>
              <w:rPr>
                <w:rFonts w:ascii="宋体" w:hAnsi="宋体" w:cs="宋体"/>
                <w:color w:val="auto"/>
                <w:spacing w:val="8"/>
                <w:sz w:val="20"/>
                <w:szCs w:val="20"/>
                <w:highlight w:val="none"/>
              </w:rPr>
              <w:t>营</w:t>
            </w:r>
            <w:r>
              <w:rPr>
                <w:rFonts w:ascii="宋体" w:hAnsi="宋体" w:cs="宋体"/>
                <w:color w:val="auto"/>
                <w:spacing w:val="5"/>
                <w:sz w:val="20"/>
                <w:szCs w:val="20"/>
                <w:highlight w:val="none"/>
              </w:rPr>
              <w:t>业收入(</w:t>
            </w:r>
            <w:r>
              <w:rPr>
                <w:rFonts w:ascii="宋体" w:hAnsi="宋体" w:cs="宋体"/>
                <w:color w:val="auto"/>
                <w:sz w:val="20"/>
                <w:szCs w:val="20"/>
                <w:highlight w:val="none"/>
              </w:rPr>
              <w:t>Y</w:t>
            </w:r>
            <w:r>
              <w:rPr>
                <w:rFonts w:ascii="宋体" w:hAnsi="宋体" w:cs="宋体"/>
                <w:color w:val="auto"/>
                <w:spacing w:val="5"/>
                <w:sz w:val="20"/>
                <w:szCs w:val="20"/>
                <w:highlight w:val="none"/>
              </w:rPr>
              <w:t>)</w:t>
            </w:r>
          </w:p>
        </w:tc>
        <w:tc>
          <w:tcPr>
            <w:tcW w:w="1158" w:type="dxa"/>
          </w:tcPr>
          <w:p w14:paraId="753C18F0">
            <w:pPr>
              <w:spacing w:before="126"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6CFF67FC">
            <w:pPr>
              <w:spacing w:before="126" w:line="265" w:lineRule="exact"/>
              <w:ind w:left="191"/>
              <w:rPr>
                <w:rFonts w:ascii="宋体" w:hAnsi="宋体" w:cs="宋体"/>
                <w:color w:val="auto"/>
                <w:sz w:val="20"/>
                <w:szCs w:val="20"/>
                <w:highlight w:val="none"/>
              </w:rPr>
            </w:pPr>
            <w:r>
              <w:rPr>
                <w:rFonts w:ascii="宋体" w:hAnsi="宋体" w:cs="宋体"/>
                <w:color w:val="auto"/>
                <w:spacing w:val="8"/>
                <w:position w:val="1"/>
                <w:sz w:val="20"/>
                <w:szCs w:val="20"/>
                <w:highlight w:val="none"/>
              </w:rPr>
              <w:t>1</w:t>
            </w:r>
            <w:r>
              <w:rPr>
                <w:rFonts w:ascii="宋体" w:hAnsi="宋体" w:cs="宋体"/>
                <w:color w:val="auto"/>
                <w:spacing w:val="4"/>
                <w:position w:val="1"/>
                <w:sz w:val="20"/>
                <w:szCs w:val="20"/>
                <w:highlight w:val="none"/>
              </w:rPr>
              <w:t>000≤</w:t>
            </w:r>
            <w:r>
              <w:rPr>
                <w:rFonts w:ascii="宋体" w:hAnsi="宋体" w:cs="宋体"/>
                <w:color w:val="auto"/>
                <w:position w:val="1"/>
                <w:sz w:val="20"/>
                <w:szCs w:val="20"/>
                <w:highlight w:val="none"/>
              </w:rPr>
              <w:t>Y</w:t>
            </w:r>
            <w:r>
              <w:rPr>
                <w:rFonts w:ascii="宋体" w:hAnsi="宋体" w:cs="宋体"/>
                <w:color w:val="auto"/>
                <w:spacing w:val="4"/>
                <w:position w:val="1"/>
                <w:sz w:val="20"/>
                <w:szCs w:val="20"/>
                <w:highlight w:val="none"/>
              </w:rPr>
              <w:t>＜200000</w:t>
            </w:r>
          </w:p>
        </w:tc>
        <w:tc>
          <w:tcPr>
            <w:tcW w:w="1906" w:type="dxa"/>
          </w:tcPr>
          <w:p w14:paraId="4D274A9D">
            <w:pPr>
              <w:spacing w:before="126" w:line="265" w:lineRule="exact"/>
              <w:ind w:left="346"/>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＜100</w:t>
            </w:r>
            <w:r>
              <w:rPr>
                <w:rFonts w:ascii="宋体" w:hAnsi="宋体" w:cs="宋体"/>
                <w:color w:val="auto"/>
                <w:spacing w:val="3"/>
                <w:position w:val="1"/>
                <w:sz w:val="20"/>
                <w:szCs w:val="20"/>
                <w:highlight w:val="none"/>
              </w:rPr>
              <w:t>0</w:t>
            </w:r>
          </w:p>
        </w:tc>
        <w:tc>
          <w:tcPr>
            <w:tcW w:w="1110" w:type="dxa"/>
          </w:tcPr>
          <w:p w14:paraId="7F618CF5">
            <w:pPr>
              <w:spacing w:before="126" w:line="269" w:lineRule="exact"/>
              <w:ind w:left="244"/>
              <w:rPr>
                <w:rFonts w:ascii="宋体" w:hAnsi="宋体" w:cs="宋体"/>
                <w:color w:val="auto"/>
                <w:sz w:val="20"/>
                <w:szCs w:val="20"/>
                <w:highlight w:val="none"/>
              </w:rPr>
            </w:pPr>
            <w:r>
              <w:rPr>
                <w:rFonts w:ascii="宋体" w:hAnsi="宋体" w:cs="宋体"/>
                <w:color w:val="auto"/>
                <w:position w:val="1"/>
                <w:sz w:val="20"/>
                <w:szCs w:val="20"/>
                <w:highlight w:val="none"/>
              </w:rPr>
              <w:t>X</w:t>
            </w:r>
            <w:r>
              <w:rPr>
                <w:rFonts w:ascii="宋体" w:hAnsi="宋体" w:cs="宋体"/>
                <w:color w:val="auto"/>
                <w:spacing w:val="6"/>
                <w:position w:val="1"/>
                <w:sz w:val="20"/>
                <w:szCs w:val="20"/>
                <w:highlight w:val="none"/>
              </w:rPr>
              <w:t>＜100</w:t>
            </w:r>
          </w:p>
        </w:tc>
      </w:tr>
      <w:tr w14:paraId="3B3F6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2071" w:type="dxa"/>
            <w:vMerge w:val="continue"/>
            <w:tcBorders>
              <w:top w:val="nil"/>
            </w:tcBorders>
            <w:vAlign w:val="center"/>
          </w:tcPr>
          <w:p w14:paraId="5D0945AA">
            <w:pPr>
              <w:jc w:val="center"/>
              <w:rPr>
                <w:rFonts w:ascii="Arial"/>
                <w:color w:val="auto"/>
                <w:highlight w:val="none"/>
              </w:rPr>
            </w:pPr>
          </w:p>
        </w:tc>
        <w:tc>
          <w:tcPr>
            <w:tcW w:w="1751" w:type="dxa"/>
          </w:tcPr>
          <w:p w14:paraId="5E21194B">
            <w:pPr>
              <w:spacing w:before="35" w:line="227" w:lineRule="auto"/>
              <w:ind w:left="206"/>
              <w:rPr>
                <w:rFonts w:ascii="宋体" w:hAnsi="宋体" w:cs="宋体"/>
                <w:color w:val="auto"/>
                <w:sz w:val="20"/>
                <w:szCs w:val="20"/>
                <w:highlight w:val="none"/>
              </w:rPr>
            </w:pPr>
            <w:r>
              <w:rPr>
                <w:rFonts w:ascii="宋体" w:hAnsi="宋体" w:cs="宋体"/>
                <w:color w:val="auto"/>
                <w:spacing w:val="6"/>
                <w:sz w:val="20"/>
                <w:szCs w:val="20"/>
                <w:highlight w:val="none"/>
              </w:rPr>
              <w:t>资</w:t>
            </w:r>
            <w:r>
              <w:rPr>
                <w:rFonts w:ascii="宋体" w:hAnsi="宋体" w:cs="宋体"/>
                <w:color w:val="auto"/>
                <w:spacing w:val="5"/>
                <w:sz w:val="20"/>
                <w:szCs w:val="20"/>
                <w:highlight w:val="none"/>
              </w:rPr>
              <w:t>产总额(</w:t>
            </w:r>
            <w:r>
              <w:rPr>
                <w:rFonts w:ascii="宋体" w:hAnsi="宋体" w:cs="宋体"/>
                <w:color w:val="auto"/>
                <w:sz w:val="20"/>
                <w:szCs w:val="20"/>
                <w:highlight w:val="none"/>
              </w:rPr>
              <w:t>Z</w:t>
            </w:r>
            <w:r>
              <w:rPr>
                <w:rFonts w:ascii="宋体" w:hAnsi="宋体" w:cs="宋体"/>
                <w:color w:val="auto"/>
                <w:spacing w:val="5"/>
                <w:sz w:val="20"/>
                <w:szCs w:val="20"/>
                <w:highlight w:val="none"/>
              </w:rPr>
              <w:t>)</w:t>
            </w:r>
          </w:p>
        </w:tc>
        <w:tc>
          <w:tcPr>
            <w:tcW w:w="1158" w:type="dxa"/>
          </w:tcPr>
          <w:p w14:paraId="73EA67B9">
            <w:pPr>
              <w:spacing w:before="35"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1F5D784C">
            <w:pPr>
              <w:spacing w:before="35" w:line="265" w:lineRule="exact"/>
              <w:ind w:left="232"/>
              <w:rPr>
                <w:rFonts w:ascii="宋体" w:hAnsi="宋体" w:cs="宋体"/>
                <w:color w:val="auto"/>
                <w:sz w:val="20"/>
                <w:szCs w:val="20"/>
                <w:highlight w:val="none"/>
              </w:rPr>
            </w:pPr>
            <w:r>
              <w:rPr>
                <w:rFonts w:ascii="宋体" w:hAnsi="宋体" w:cs="宋体"/>
                <w:color w:val="auto"/>
                <w:spacing w:val="7"/>
                <w:position w:val="1"/>
                <w:sz w:val="20"/>
                <w:szCs w:val="20"/>
                <w:highlight w:val="none"/>
              </w:rPr>
              <w:t>5</w:t>
            </w:r>
            <w:r>
              <w:rPr>
                <w:rFonts w:ascii="宋体" w:hAnsi="宋体" w:cs="宋体"/>
                <w:color w:val="auto"/>
                <w:spacing w:val="5"/>
                <w:position w:val="1"/>
                <w:sz w:val="20"/>
                <w:szCs w:val="20"/>
                <w:highlight w:val="none"/>
              </w:rPr>
              <w:t>000≤</w:t>
            </w:r>
            <w:r>
              <w:rPr>
                <w:rFonts w:ascii="宋体" w:hAnsi="宋体" w:cs="宋体"/>
                <w:color w:val="auto"/>
                <w:position w:val="1"/>
                <w:sz w:val="20"/>
                <w:szCs w:val="20"/>
                <w:highlight w:val="none"/>
              </w:rPr>
              <w:t>Z</w:t>
            </w:r>
            <w:r>
              <w:rPr>
                <w:rFonts w:ascii="宋体" w:hAnsi="宋体" w:cs="宋体"/>
                <w:color w:val="auto"/>
                <w:spacing w:val="5"/>
                <w:position w:val="1"/>
                <w:sz w:val="20"/>
                <w:szCs w:val="20"/>
                <w:highlight w:val="none"/>
              </w:rPr>
              <w:t>＜10000</w:t>
            </w:r>
          </w:p>
        </w:tc>
        <w:tc>
          <w:tcPr>
            <w:tcW w:w="1906" w:type="dxa"/>
          </w:tcPr>
          <w:p w14:paraId="279943AB">
            <w:pPr>
              <w:spacing w:before="35" w:line="265" w:lineRule="exact"/>
              <w:ind w:left="280"/>
              <w:rPr>
                <w:rFonts w:ascii="宋体" w:hAnsi="宋体" w:cs="宋体"/>
                <w:color w:val="auto"/>
                <w:sz w:val="20"/>
                <w:szCs w:val="20"/>
                <w:highlight w:val="none"/>
              </w:rPr>
            </w:pPr>
            <w:r>
              <w:rPr>
                <w:rFonts w:ascii="宋体" w:hAnsi="宋体" w:cs="宋体"/>
                <w:color w:val="auto"/>
                <w:spacing w:val="8"/>
                <w:position w:val="1"/>
                <w:sz w:val="20"/>
                <w:szCs w:val="20"/>
                <w:highlight w:val="none"/>
              </w:rPr>
              <w:t>2</w:t>
            </w:r>
            <w:r>
              <w:rPr>
                <w:rFonts w:ascii="宋体" w:hAnsi="宋体" w:cs="宋体"/>
                <w:color w:val="auto"/>
                <w:spacing w:val="5"/>
                <w:position w:val="1"/>
                <w:sz w:val="20"/>
                <w:szCs w:val="20"/>
                <w:highlight w:val="none"/>
              </w:rPr>
              <w:t>000≤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＜5000</w:t>
            </w:r>
          </w:p>
        </w:tc>
        <w:tc>
          <w:tcPr>
            <w:tcW w:w="1110" w:type="dxa"/>
          </w:tcPr>
          <w:p w14:paraId="71A059B1">
            <w:pPr>
              <w:spacing w:before="35" w:line="269" w:lineRule="exact"/>
              <w:ind w:left="190"/>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6"/>
                <w:position w:val="1"/>
                <w:sz w:val="20"/>
                <w:szCs w:val="20"/>
                <w:highlight w:val="none"/>
              </w:rPr>
              <w:t>＜2000</w:t>
            </w:r>
          </w:p>
        </w:tc>
      </w:tr>
      <w:tr w14:paraId="64AD2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restart"/>
            <w:tcBorders>
              <w:bottom w:val="nil"/>
            </w:tcBorders>
            <w:vAlign w:val="center"/>
          </w:tcPr>
          <w:p w14:paraId="0C7F42D6">
            <w:pPr>
              <w:spacing w:before="231" w:line="228" w:lineRule="auto"/>
              <w:jc w:val="center"/>
              <w:rPr>
                <w:rFonts w:ascii="宋体" w:hAnsi="宋体" w:cs="宋体"/>
                <w:color w:val="auto"/>
                <w:sz w:val="20"/>
                <w:szCs w:val="20"/>
                <w:highlight w:val="none"/>
              </w:rPr>
            </w:pPr>
            <w:r>
              <w:rPr>
                <w:rFonts w:ascii="宋体" w:hAnsi="宋体" w:cs="宋体"/>
                <w:color w:val="auto"/>
                <w:spacing w:val="10"/>
                <w:sz w:val="20"/>
                <w:szCs w:val="20"/>
                <w:highlight w:val="none"/>
              </w:rPr>
              <w:t>物</w:t>
            </w:r>
            <w:r>
              <w:rPr>
                <w:rFonts w:ascii="宋体" w:hAnsi="宋体" w:cs="宋体"/>
                <w:color w:val="auto"/>
                <w:spacing w:val="8"/>
                <w:sz w:val="20"/>
                <w:szCs w:val="20"/>
                <w:highlight w:val="none"/>
              </w:rPr>
              <w:t>业管理</w:t>
            </w:r>
          </w:p>
        </w:tc>
        <w:tc>
          <w:tcPr>
            <w:tcW w:w="1751" w:type="dxa"/>
          </w:tcPr>
          <w:p w14:paraId="120B74EC">
            <w:pPr>
              <w:spacing w:before="34" w:line="229" w:lineRule="auto"/>
              <w:ind w:left="200"/>
              <w:rPr>
                <w:rFonts w:ascii="宋体" w:hAnsi="宋体" w:cs="宋体"/>
                <w:color w:val="auto"/>
                <w:sz w:val="20"/>
                <w:szCs w:val="20"/>
                <w:highlight w:val="none"/>
              </w:rPr>
            </w:pPr>
            <w:r>
              <w:rPr>
                <w:rFonts w:ascii="宋体" w:hAnsi="宋体" w:cs="宋体"/>
                <w:color w:val="auto"/>
                <w:spacing w:val="6"/>
                <w:sz w:val="20"/>
                <w:szCs w:val="20"/>
                <w:highlight w:val="none"/>
              </w:rPr>
              <w:t>从业人员(</w:t>
            </w:r>
            <w:r>
              <w:rPr>
                <w:rFonts w:ascii="宋体" w:hAnsi="宋体" w:cs="宋体"/>
                <w:color w:val="auto"/>
                <w:sz w:val="20"/>
                <w:szCs w:val="20"/>
                <w:highlight w:val="none"/>
              </w:rPr>
              <w:t>X</w:t>
            </w:r>
            <w:r>
              <w:rPr>
                <w:rFonts w:ascii="宋体" w:hAnsi="宋体" w:cs="宋体"/>
                <w:color w:val="auto"/>
                <w:spacing w:val="6"/>
                <w:sz w:val="20"/>
                <w:szCs w:val="20"/>
                <w:highlight w:val="none"/>
              </w:rPr>
              <w:t>)</w:t>
            </w:r>
          </w:p>
        </w:tc>
        <w:tc>
          <w:tcPr>
            <w:tcW w:w="1158" w:type="dxa"/>
          </w:tcPr>
          <w:p w14:paraId="5BABA4F0">
            <w:pPr>
              <w:spacing w:before="34" w:line="231" w:lineRule="auto"/>
              <w:ind w:left="481"/>
              <w:rPr>
                <w:rFonts w:ascii="宋体" w:hAnsi="宋体" w:cs="宋体"/>
                <w:color w:val="auto"/>
                <w:sz w:val="20"/>
                <w:szCs w:val="20"/>
                <w:highlight w:val="none"/>
              </w:rPr>
            </w:pPr>
            <w:r>
              <w:rPr>
                <w:rFonts w:ascii="宋体" w:hAnsi="宋体" w:cs="宋体"/>
                <w:color w:val="auto"/>
                <w:sz w:val="20"/>
                <w:szCs w:val="20"/>
                <w:highlight w:val="none"/>
              </w:rPr>
              <w:t>人</w:t>
            </w:r>
          </w:p>
        </w:tc>
        <w:tc>
          <w:tcPr>
            <w:tcW w:w="1916" w:type="dxa"/>
          </w:tcPr>
          <w:p w14:paraId="7A40B0FF">
            <w:pPr>
              <w:spacing w:before="34" w:line="266" w:lineRule="exact"/>
              <w:ind w:left="338"/>
              <w:rPr>
                <w:rFonts w:ascii="宋体" w:hAnsi="宋体" w:cs="宋体"/>
                <w:color w:val="auto"/>
                <w:sz w:val="20"/>
                <w:szCs w:val="20"/>
                <w:highlight w:val="none"/>
              </w:rPr>
            </w:pPr>
            <w:r>
              <w:rPr>
                <w:rFonts w:ascii="宋体" w:hAnsi="宋体" w:cs="宋体"/>
                <w:color w:val="auto"/>
                <w:spacing w:val="8"/>
                <w:position w:val="1"/>
                <w:sz w:val="20"/>
                <w:szCs w:val="20"/>
                <w:highlight w:val="none"/>
              </w:rPr>
              <w:t>3</w:t>
            </w:r>
            <w:r>
              <w:rPr>
                <w:rFonts w:ascii="宋体" w:hAnsi="宋体" w:cs="宋体"/>
                <w:color w:val="auto"/>
                <w:spacing w:val="5"/>
                <w:position w:val="1"/>
                <w:sz w:val="20"/>
                <w:szCs w:val="20"/>
                <w:highlight w:val="none"/>
              </w:rPr>
              <w:t>00≤</w:t>
            </w:r>
            <w:r>
              <w:rPr>
                <w:rFonts w:ascii="宋体" w:hAnsi="宋体" w:cs="宋体"/>
                <w:color w:val="auto"/>
                <w:position w:val="1"/>
                <w:sz w:val="20"/>
                <w:szCs w:val="20"/>
                <w:highlight w:val="none"/>
              </w:rPr>
              <w:t>X</w:t>
            </w:r>
            <w:r>
              <w:rPr>
                <w:rFonts w:ascii="宋体" w:hAnsi="宋体" w:cs="宋体"/>
                <w:color w:val="auto"/>
                <w:spacing w:val="5"/>
                <w:position w:val="1"/>
                <w:sz w:val="20"/>
                <w:szCs w:val="20"/>
                <w:highlight w:val="none"/>
              </w:rPr>
              <w:t>＜1000</w:t>
            </w:r>
          </w:p>
        </w:tc>
        <w:tc>
          <w:tcPr>
            <w:tcW w:w="1906" w:type="dxa"/>
          </w:tcPr>
          <w:p w14:paraId="5526F3A0">
            <w:pPr>
              <w:spacing w:before="34" w:line="266" w:lineRule="exact"/>
              <w:ind w:left="399"/>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＜300</w:t>
            </w:r>
          </w:p>
        </w:tc>
        <w:tc>
          <w:tcPr>
            <w:tcW w:w="1110" w:type="dxa"/>
          </w:tcPr>
          <w:p w14:paraId="3F1A56F0">
            <w:pPr>
              <w:spacing w:before="34" w:line="269" w:lineRule="exact"/>
              <w:ind w:left="244"/>
              <w:rPr>
                <w:rFonts w:ascii="宋体" w:hAnsi="宋体" w:cs="宋体"/>
                <w:color w:val="auto"/>
                <w:sz w:val="20"/>
                <w:szCs w:val="20"/>
                <w:highlight w:val="none"/>
              </w:rPr>
            </w:pPr>
            <w:r>
              <w:rPr>
                <w:rFonts w:ascii="宋体" w:hAnsi="宋体" w:cs="宋体"/>
                <w:color w:val="auto"/>
                <w:position w:val="1"/>
                <w:sz w:val="20"/>
                <w:szCs w:val="20"/>
                <w:highlight w:val="none"/>
              </w:rPr>
              <w:t>X</w:t>
            </w:r>
            <w:r>
              <w:rPr>
                <w:rFonts w:ascii="宋体" w:hAnsi="宋体" w:cs="宋体"/>
                <w:color w:val="auto"/>
                <w:spacing w:val="6"/>
                <w:position w:val="1"/>
                <w:sz w:val="20"/>
                <w:szCs w:val="20"/>
                <w:highlight w:val="none"/>
              </w:rPr>
              <w:t>＜100</w:t>
            </w:r>
          </w:p>
        </w:tc>
      </w:tr>
      <w:tr w14:paraId="4B1A5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continue"/>
            <w:tcBorders>
              <w:top w:val="nil"/>
            </w:tcBorders>
            <w:vAlign w:val="center"/>
          </w:tcPr>
          <w:p w14:paraId="0AE309E9">
            <w:pPr>
              <w:jc w:val="center"/>
              <w:rPr>
                <w:rFonts w:ascii="Arial"/>
                <w:color w:val="auto"/>
                <w:highlight w:val="none"/>
              </w:rPr>
            </w:pPr>
          </w:p>
        </w:tc>
        <w:tc>
          <w:tcPr>
            <w:tcW w:w="1751" w:type="dxa"/>
          </w:tcPr>
          <w:p w14:paraId="1066CE4A">
            <w:pPr>
              <w:spacing w:before="37" w:line="228" w:lineRule="auto"/>
              <w:ind w:left="204"/>
              <w:rPr>
                <w:rFonts w:ascii="宋体" w:hAnsi="宋体" w:cs="宋体"/>
                <w:color w:val="auto"/>
                <w:sz w:val="20"/>
                <w:szCs w:val="20"/>
                <w:highlight w:val="none"/>
              </w:rPr>
            </w:pPr>
            <w:r>
              <w:rPr>
                <w:rFonts w:ascii="宋体" w:hAnsi="宋体" w:cs="宋体"/>
                <w:color w:val="auto"/>
                <w:spacing w:val="8"/>
                <w:sz w:val="20"/>
                <w:szCs w:val="20"/>
                <w:highlight w:val="none"/>
              </w:rPr>
              <w:t>营</w:t>
            </w:r>
            <w:r>
              <w:rPr>
                <w:rFonts w:ascii="宋体" w:hAnsi="宋体" w:cs="宋体"/>
                <w:color w:val="auto"/>
                <w:spacing w:val="5"/>
                <w:sz w:val="20"/>
                <w:szCs w:val="20"/>
                <w:highlight w:val="none"/>
              </w:rPr>
              <w:t>业收入(</w:t>
            </w:r>
            <w:r>
              <w:rPr>
                <w:rFonts w:ascii="宋体" w:hAnsi="宋体" w:cs="宋体"/>
                <w:color w:val="auto"/>
                <w:sz w:val="20"/>
                <w:szCs w:val="20"/>
                <w:highlight w:val="none"/>
              </w:rPr>
              <w:t>Y</w:t>
            </w:r>
            <w:r>
              <w:rPr>
                <w:rFonts w:ascii="宋体" w:hAnsi="宋体" w:cs="宋体"/>
                <w:color w:val="auto"/>
                <w:spacing w:val="5"/>
                <w:sz w:val="20"/>
                <w:szCs w:val="20"/>
                <w:highlight w:val="none"/>
              </w:rPr>
              <w:t>)</w:t>
            </w:r>
          </w:p>
        </w:tc>
        <w:tc>
          <w:tcPr>
            <w:tcW w:w="1158" w:type="dxa"/>
          </w:tcPr>
          <w:p w14:paraId="10625053">
            <w:pPr>
              <w:spacing w:before="37"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5AC11391">
            <w:pPr>
              <w:spacing w:before="37" w:line="265" w:lineRule="exact"/>
              <w:ind w:left="296"/>
              <w:rPr>
                <w:rFonts w:ascii="宋体" w:hAnsi="宋体" w:cs="宋体"/>
                <w:color w:val="auto"/>
                <w:sz w:val="20"/>
                <w:szCs w:val="20"/>
                <w:highlight w:val="none"/>
              </w:rPr>
            </w:pPr>
            <w:r>
              <w:rPr>
                <w:rFonts w:ascii="宋体" w:hAnsi="宋体" w:cs="宋体"/>
                <w:color w:val="auto"/>
                <w:spacing w:val="7"/>
                <w:position w:val="1"/>
                <w:sz w:val="20"/>
                <w:szCs w:val="20"/>
                <w:highlight w:val="none"/>
              </w:rPr>
              <w:t>1</w:t>
            </w:r>
            <w:r>
              <w:rPr>
                <w:rFonts w:ascii="宋体" w:hAnsi="宋体" w:cs="宋体"/>
                <w:color w:val="auto"/>
                <w:spacing w:val="4"/>
                <w:position w:val="1"/>
                <w:sz w:val="20"/>
                <w:szCs w:val="20"/>
                <w:highlight w:val="none"/>
              </w:rPr>
              <w:t>000≤</w:t>
            </w:r>
            <w:r>
              <w:rPr>
                <w:rFonts w:ascii="宋体" w:hAnsi="宋体" w:cs="宋体"/>
                <w:color w:val="auto"/>
                <w:position w:val="1"/>
                <w:sz w:val="20"/>
                <w:szCs w:val="20"/>
                <w:highlight w:val="none"/>
              </w:rPr>
              <w:t>Y</w:t>
            </w:r>
            <w:r>
              <w:rPr>
                <w:rFonts w:ascii="宋体" w:hAnsi="宋体" w:cs="宋体"/>
                <w:color w:val="auto"/>
                <w:spacing w:val="4"/>
                <w:position w:val="1"/>
                <w:sz w:val="20"/>
                <w:szCs w:val="20"/>
                <w:highlight w:val="none"/>
              </w:rPr>
              <w:t>＜5000</w:t>
            </w:r>
          </w:p>
        </w:tc>
        <w:tc>
          <w:tcPr>
            <w:tcW w:w="1906" w:type="dxa"/>
          </w:tcPr>
          <w:p w14:paraId="409FA6BB">
            <w:pPr>
              <w:spacing w:before="37" w:line="265" w:lineRule="exact"/>
              <w:ind w:left="335"/>
              <w:rPr>
                <w:rFonts w:ascii="宋体" w:hAnsi="宋体" w:cs="宋体"/>
                <w:color w:val="auto"/>
                <w:sz w:val="20"/>
                <w:szCs w:val="20"/>
                <w:highlight w:val="none"/>
              </w:rPr>
            </w:pPr>
            <w:r>
              <w:rPr>
                <w:rFonts w:ascii="宋体" w:hAnsi="宋体" w:cs="宋体"/>
                <w:color w:val="auto"/>
                <w:spacing w:val="6"/>
                <w:position w:val="1"/>
                <w:sz w:val="20"/>
                <w:szCs w:val="20"/>
                <w:highlight w:val="none"/>
              </w:rPr>
              <w:t>5</w:t>
            </w:r>
            <w:r>
              <w:rPr>
                <w:rFonts w:ascii="宋体" w:hAnsi="宋体" w:cs="宋体"/>
                <w:color w:val="auto"/>
                <w:spacing w:val="5"/>
                <w:position w:val="1"/>
                <w:sz w:val="20"/>
                <w:szCs w:val="20"/>
                <w:highlight w:val="none"/>
              </w:rPr>
              <w:t>00≤</w:t>
            </w:r>
            <w:r>
              <w:rPr>
                <w:rFonts w:ascii="宋体" w:hAnsi="宋体" w:cs="宋体"/>
                <w:color w:val="auto"/>
                <w:position w:val="1"/>
                <w:sz w:val="20"/>
                <w:szCs w:val="20"/>
                <w:highlight w:val="none"/>
              </w:rPr>
              <w:t>Y</w:t>
            </w:r>
            <w:r>
              <w:rPr>
                <w:rFonts w:ascii="宋体" w:hAnsi="宋体" w:cs="宋体"/>
                <w:color w:val="auto"/>
                <w:spacing w:val="5"/>
                <w:position w:val="1"/>
                <w:sz w:val="20"/>
                <w:szCs w:val="20"/>
                <w:highlight w:val="none"/>
              </w:rPr>
              <w:t>＜1000</w:t>
            </w:r>
          </w:p>
        </w:tc>
        <w:tc>
          <w:tcPr>
            <w:tcW w:w="1110" w:type="dxa"/>
          </w:tcPr>
          <w:p w14:paraId="7F7A88D8">
            <w:pPr>
              <w:spacing w:before="37" w:line="269" w:lineRule="exact"/>
              <w:ind w:left="243"/>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7"/>
                <w:position w:val="1"/>
                <w:sz w:val="20"/>
                <w:szCs w:val="20"/>
                <w:highlight w:val="none"/>
              </w:rPr>
              <w:t>＜</w:t>
            </w:r>
            <w:r>
              <w:rPr>
                <w:rFonts w:ascii="宋体" w:hAnsi="宋体" w:cs="宋体"/>
                <w:color w:val="auto"/>
                <w:spacing w:val="6"/>
                <w:position w:val="1"/>
                <w:sz w:val="20"/>
                <w:szCs w:val="20"/>
                <w:highlight w:val="none"/>
              </w:rPr>
              <w:t>500</w:t>
            </w:r>
          </w:p>
        </w:tc>
      </w:tr>
      <w:tr w14:paraId="2C165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2071" w:type="dxa"/>
            <w:vMerge w:val="restart"/>
            <w:tcBorders>
              <w:bottom w:val="nil"/>
            </w:tcBorders>
            <w:vAlign w:val="center"/>
          </w:tcPr>
          <w:p w14:paraId="7926E233">
            <w:pPr>
              <w:spacing w:before="232" w:line="226" w:lineRule="auto"/>
              <w:jc w:val="center"/>
              <w:rPr>
                <w:rFonts w:ascii="宋体" w:hAnsi="宋体" w:cs="宋体"/>
                <w:color w:val="auto"/>
                <w:sz w:val="20"/>
                <w:szCs w:val="20"/>
                <w:highlight w:val="none"/>
              </w:rPr>
            </w:pPr>
            <w:r>
              <w:rPr>
                <w:rFonts w:ascii="宋体" w:hAnsi="宋体" w:cs="宋体"/>
                <w:color w:val="auto"/>
                <w:spacing w:val="12"/>
                <w:sz w:val="20"/>
                <w:szCs w:val="20"/>
                <w:highlight w:val="none"/>
              </w:rPr>
              <w:t>租</w:t>
            </w:r>
            <w:r>
              <w:rPr>
                <w:rFonts w:ascii="宋体" w:hAnsi="宋体" w:cs="宋体"/>
                <w:color w:val="auto"/>
                <w:spacing w:val="9"/>
                <w:sz w:val="20"/>
                <w:szCs w:val="20"/>
                <w:highlight w:val="none"/>
              </w:rPr>
              <w:t>赁和商务服务业</w:t>
            </w:r>
          </w:p>
        </w:tc>
        <w:tc>
          <w:tcPr>
            <w:tcW w:w="1751" w:type="dxa"/>
          </w:tcPr>
          <w:p w14:paraId="68B32D48">
            <w:pPr>
              <w:spacing w:before="37" w:line="229" w:lineRule="auto"/>
              <w:ind w:left="200"/>
              <w:rPr>
                <w:rFonts w:ascii="宋体" w:hAnsi="宋体" w:cs="宋体"/>
                <w:color w:val="auto"/>
                <w:sz w:val="20"/>
                <w:szCs w:val="20"/>
                <w:highlight w:val="none"/>
              </w:rPr>
            </w:pPr>
            <w:r>
              <w:rPr>
                <w:rFonts w:ascii="宋体" w:hAnsi="宋体" w:cs="宋体"/>
                <w:color w:val="auto"/>
                <w:spacing w:val="6"/>
                <w:sz w:val="20"/>
                <w:szCs w:val="20"/>
                <w:highlight w:val="none"/>
              </w:rPr>
              <w:t>从业人员(</w:t>
            </w:r>
            <w:r>
              <w:rPr>
                <w:rFonts w:ascii="宋体" w:hAnsi="宋体" w:cs="宋体"/>
                <w:color w:val="auto"/>
                <w:sz w:val="20"/>
                <w:szCs w:val="20"/>
                <w:highlight w:val="none"/>
              </w:rPr>
              <w:t>X</w:t>
            </w:r>
            <w:r>
              <w:rPr>
                <w:rFonts w:ascii="宋体" w:hAnsi="宋体" w:cs="宋体"/>
                <w:color w:val="auto"/>
                <w:spacing w:val="6"/>
                <w:sz w:val="20"/>
                <w:szCs w:val="20"/>
                <w:highlight w:val="none"/>
              </w:rPr>
              <w:t>)</w:t>
            </w:r>
          </w:p>
        </w:tc>
        <w:tc>
          <w:tcPr>
            <w:tcW w:w="1158" w:type="dxa"/>
          </w:tcPr>
          <w:p w14:paraId="4E728943">
            <w:pPr>
              <w:spacing w:before="37" w:line="231" w:lineRule="auto"/>
              <w:ind w:left="481"/>
              <w:rPr>
                <w:rFonts w:ascii="宋体" w:hAnsi="宋体" w:cs="宋体"/>
                <w:color w:val="auto"/>
                <w:sz w:val="20"/>
                <w:szCs w:val="20"/>
                <w:highlight w:val="none"/>
              </w:rPr>
            </w:pPr>
            <w:r>
              <w:rPr>
                <w:rFonts w:ascii="宋体" w:hAnsi="宋体" w:cs="宋体"/>
                <w:color w:val="auto"/>
                <w:sz w:val="20"/>
                <w:szCs w:val="20"/>
                <w:highlight w:val="none"/>
              </w:rPr>
              <w:t>人</w:t>
            </w:r>
          </w:p>
        </w:tc>
        <w:tc>
          <w:tcPr>
            <w:tcW w:w="1916" w:type="dxa"/>
          </w:tcPr>
          <w:p w14:paraId="09BC0A01">
            <w:pPr>
              <w:spacing w:before="37" w:line="265" w:lineRule="exact"/>
              <w:ind w:left="402"/>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＜300</w:t>
            </w:r>
          </w:p>
        </w:tc>
        <w:tc>
          <w:tcPr>
            <w:tcW w:w="1906" w:type="dxa"/>
          </w:tcPr>
          <w:p w14:paraId="199F543A">
            <w:pPr>
              <w:spacing w:before="37" w:line="265" w:lineRule="exact"/>
              <w:ind w:left="449"/>
              <w:rPr>
                <w:rFonts w:ascii="宋体" w:hAnsi="宋体" w:cs="宋体"/>
                <w:color w:val="auto"/>
                <w:sz w:val="20"/>
                <w:szCs w:val="20"/>
                <w:highlight w:val="none"/>
              </w:rPr>
            </w:pPr>
            <w:r>
              <w:rPr>
                <w:rFonts w:ascii="宋体" w:hAnsi="宋体" w:cs="宋体"/>
                <w:color w:val="auto"/>
                <w:spacing w:val="4"/>
                <w:position w:val="1"/>
                <w:sz w:val="20"/>
                <w:szCs w:val="20"/>
                <w:highlight w:val="none"/>
              </w:rPr>
              <w:t>10≤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＜100</w:t>
            </w:r>
          </w:p>
        </w:tc>
        <w:tc>
          <w:tcPr>
            <w:tcW w:w="1110" w:type="dxa"/>
          </w:tcPr>
          <w:p w14:paraId="7FA2EB51">
            <w:pPr>
              <w:spacing w:before="37" w:line="269" w:lineRule="exact"/>
              <w:ind w:left="294"/>
              <w:rPr>
                <w:rFonts w:ascii="宋体" w:hAnsi="宋体" w:cs="宋体"/>
                <w:color w:val="auto"/>
                <w:sz w:val="20"/>
                <w:szCs w:val="20"/>
                <w:highlight w:val="none"/>
              </w:rPr>
            </w:pPr>
            <w:r>
              <w:rPr>
                <w:rFonts w:ascii="宋体" w:hAnsi="宋体" w:cs="宋体"/>
                <w:color w:val="auto"/>
                <w:position w:val="1"/>
                <w:sz w:val="20"/>
                <w:szCs w:val="20"/>
                <w:highlight w:val="none"/>
              </w:rPr>
              <w:t>X</w:t>
            </w:r>
            <w:r>
              <w:rPr>
                <w:rFonts w:ascii="宋体" w:hAnsi="宋体" w:cs="宋体"/>
                <w:color w:val="auto"/>
                <w:spacing w:val="7"/>
                <w:position w:val="1"/>
                <w:sz w:val="20"/>
                <w:szCs w:val="20"/>
                <w:highlight w:val="none"/>
              </w:rPr>
              <w:t>＜10</w:t>
            </w:r>
          </w:p>
        </w:tc>
      </w:tr>
      <w:tr w14:paraId="0DFF9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071" w:type="dxa"/>
            <w:vMerge w:val="continue"/>
            <w:tcBorders>
              <w:top w:val="nil"/>
            </w:tcBorders>
            <w:vAlign w:val="center"/>
          </w:tcPr>
          <w:p w14:paraId="3AA81B5D">
            <w:pPr>
              <w:jc w:val="center"/>
              <w:rPr>
                <w:rFonts w:ascii="Arial"/>
                <w:color w:val="auto"/>
                <w:highlight w:val="none"/>
              </w:rPr>
            </w:pPr>
          </w:p>
        </w:tc>
        <w:tc>
          <w:tcPr>
            <w:tcW w:w="1751" w:type="dxa"/>
          </w:tcPr>
          <w:p w14:paraId="01FE3CAD">
            <w:pPr>
              <w:spacing w:before="34" w:line="227" w:lineRule="auto"/>
              <w:ind w:left="206"/>
              <w:rPr>
                <w:rFonts w:ascii="宋体" w:hAnsi="宋体" w:cs="宋体"/>
                <w:color w:val="auto"/>
                <w:sz w:val="20"/>
                <w:szCs w:val="20"/>
                <w:highlight w:val="none"/>
              </w:rPr>
            </w:pPr>
            <w:r>
              <w:rPr>
                <w:rFonts w:ascii="宋体" w:hAnsi="宋体" w:cs="宋体"/>
                <w:color w:val="auto"/>
                <w:spacing w:val="6"/>
                <w:sz w:val="20"/>
                <w:szCs w:val="20"/>
                <w:highlight w:val="none"/>
              </w:rPr>
              <w:t>资</w:t>
            </w:r>
            <w:r>
              <w:rPr>
                <w:rFonts w:ascii="宋体" w:hAnsi="宋体" w:cs="宋体"/>
                <w:color w:val="auto"/>
                <w:spacing w:val="5"/>
                <w:sz w:val="20"/>
                <w:szCs w:val="20"/>
                <w:highlight w:val="none"/>
              </w:rPr>
              <w:t>产总额(</w:t>
            </w:r>
            <w:r>
              <w:rPr>
                <w:rFonts w:ascii="宋体" w:hAnsi="宋体" w:cs="宋体"/>
                <w:color w:val="auto"/>
                <w:sz w:val="20"/>
                <w:szCs w:val="20"/>
                <w:highlight w:val="none"/>
              </w:rPr>
              <w:t>Z</w:t>
            </w:r>
            <w:r>
              <w:rPr>
                <w:rFonts w:ascii="宋体" w:hAnsi="宋体" w:cs="宋体"/>
                <w:color w:val="auto"/>
                <w:spacing w:val="5"/>
                <w:sz w:val="20"/>
                <w:szCs w:val="20"/>
                <w:highlight w:val="none"/>
              </w:rPr>
              <w:t>)</w:t>
            </w:r>
          </w:p>
        </w:tc>
        <w:tc>
          <w:tcPr>
            <w:tcW w:w="1158" w:type="dxa"/>
          </w:tcPr>
          <w:p w14:paraId="7DAFA73B">
            <w:pPr>
              <w:spacing w:before="34" w:line="229" w:lineRule="auto"/>
              <w:ind w:left="378"/>
              <w:rPr>
                <w:rFonts w:ascii="宋体" w:hAnsi="宋体" w:cs="宋体"/>
                <w:color w:val="auto"/>
                <w:sz w:val="20"/>
                <w:szCs w:val="20"/>
                <w:highlight w:val="none"/>
              </w:rPr>
            </w:pPr>
            <w:r>
              <w:rPr>
                <w:rFonts w:ascii="宋体" w:hAnsi="宋体" w:cs="宋体"/>
                <w:color w:val="auto"/>
                <w:spacing w:val="2"/>
                <w:sz w:val="20"/>
                <w:szCs w:val="20"/>
                <w:highlight w:val="none"/>
              </w:rPr>
              <w:t>万元</w:t>
            </w:r>
          </w:p>
        </w:tc>
        <w:tc>
          <w:tcPr>
            <w:tcW w:w="1916" w:type="dxa"/>
          </w:tcPr>
          <w:p w14:paraId="38E01ACB">
            <w:pPr>
              <w:spacing w:before="34" w:line="265" w:lineRule="exact"/>
              <w:ind w:left="176"/>
              <w:rPr>
                <w:rFonts w:ascii="宋体" w:hAnsi="宋体" w:cs="宋体"/>
                <w:color w:val="auto"/>
                <w:sz w:val="20"/>
                <w:szCs w:val="20"/>
                <w:highlight w:val="none"/>
              </w:rPr>
            </w:pPr>
            <w:r>
              <w:rPr>
                <w:rFonts w:ascii="宋体" w:hAnsi="宋体" w:cs="宋体"/>
                <w:color w:val="auto"/>
                <w:spacing w:val="10"/>
                <w:position w:val="1"/>
                <w:sz w:val="20"/>
                <w:szCs w:val="20"/>
                <w:highlight w:val="none"/>
              </w:rPr>
              <w:t>8</w:t>
            </w:r>
            <w:r>
              <w:rPr>
                <w:rFonts w:ascii="宋体" w:hAnsi="宋体" w:cs="宋体"/>
                <w:color w:val="auto"/>
                <w:spacing w:val="6"/>
                <w:position w:val="1"/>
                <w:sz w:val="20"/>
                <w:szCs w:val="20"/>
                <w:highlight w:val="none"/>
              </w:rPr>
              <w:t>0</w:t>
            </w:r>
            <w:r>
              <w:rPr>
                <w:rFonts w:ascii="宋体" w:hAnsi="宋体" w:cs="宋体"/>
                <w:color w:val="auto"/>
                <w:spacing w:val="5"/>
                <w:position w:val="1"/>
                <w:sz w:val="20"/>
                <w:szCs w:val="20"/>
                <w:highlight w:val="none"/>
              </w:rPr>
              <w:t>00≤</w:t>
            </w:r>
            <w:r>
              <w:rPr>
                <w:rFonts w:ascii="宋体" w:hAnsi="宋体" w:cs="宋体"/>
                <w:color w:val="auto"/>
                <w:position w:val="1"/>
                <w:sz w:val="20"/>
                <w:szCs w:val="20"/>
                <w:highlight w:val="none"/>
              </w:rPr>
              <w:t>Z</w:t>
            </w:r>
            <w:r>
              <w:rPr>
                <w:rFonts w:ascii="宋体" w:hAnsi="宋体" w:cs="宋体"/>
                <w:color w:val="auto"/>
                <w:spacing w:val="5"/>
                <w:position w:val="1"/>
                <w:sz w:val="20"/>
                <w:szCs w:val="20"/>
                <w:highlight w:val="none"/>
              </w:rPr>
              <w:t>＜120000</w:t>
            </w:r>
          </w:p>
        </w:tc>
        <w:tc>
          <w:tcPr>
            <w:tcW w:w="1906" w:type="dxa"/>
          </w:tcPr>
          <w:p w14:paraId="0492519A">
            <w:pPr>
              <w:spacing w:before="34" w:line="265" w:lineRule="exact"/>
              <w:ind w:left="346"/>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Z</w:t>
            </w:r>
            <w:r>
              <w:rPr>
                <w:rFonts w:ascii="宋体" w:hAnsi="宋体" w:cs="宋体"/>
                <w:color w:val="auto"/>
                <w:spacing w:val="4"/>
                <w:position w:val="1"/>
                <w:sz w:val="20"/>
                <w:szCs w:val="20"/>
                <w:highlight w:val="none"/>
              </w:rPr>
              <w:t>＜800</w:t>
            </w:r>
            <w:r>
              <w:rPr>
                <w:rFonts w:ascii="宋体" w:hAnsi="宋体" w:cs="宋体"/>
                <w:color w:val="auto"/>
                <w:spacing w:val="3"/>
                <w:position w:val="1"/>
                <w:sz w:val="20"/>
                <w:szCs w:val="20"/>
                <w:highlight w:val="none"/>
              </w:rPr>
              <w:t>0</w:t>
            </w:r>
          </w:p>
        </w:tc>
        <w:tc>
          <w:tcPr>
            <w:tcW w:w="1110" w:type="dxa"/>
          </w:tcPr>
          <w:p w14:paraId="38D07EA6">
            <w:pPr>
              <w:spacing w:before="34" w:line="269" w:lineRule="exact"/>
              <w:ind w:left="243"/>
              <w:rPr>
                <w:rFonts w:ascii="宋体" w:hAnsi="宋体" w:cs="宋体"/>
                <w:color w:val="auto"/>
                <w:sz w:val="20"/>
                <w:szCs w:val="20"/>
                <w:highlight w:val="none"/>
              </w:rPr>
            </w:pPr>
            <w:r>
              <w:rPr>
                <w:rFonts w:ascii="宋体" w:hAnsi="宋体" w:cs="宋体"/>
                <w:color w:val="auto"/>
                <w:position w:val="1"/>
                <w:sz w:val="20"/>
                <w:szCs w:val="20"/>
                <w:highlight w:val="none"/>
              </w:rPr>
              <w:t>Y</w:t>
            </w:r>
            <w:r>
              <w:rPr>
                <w:rFonts w:ascii="宋体" w:hAnsi="宋体" w:cs="宋体"/>
                <w:color w:val="auto"/>
                <w:spacing w:val="7"/>
                <w:position w:val="1"/>
                <w:sz w:val="20"/>
                <w:szCs w:val="20"/>
                <w:highlight w:val="none"/>
              </w:rPr>
              <w:t>＜</w:t>
            </w:r>
            <w:r>
              <w:rPr>
                <w:rFonts w:ascii="宋体" w:hAnsi="宋体" w:cs="宋体"/>
                <w:color w:val="auto"/>
                <w:spacing w:val="6"/>
                <w:position w:val="1"/>
                <w:sz w:val="20"/>
                <w:szCs w:val="20"/>
                <w:highlight w:val="none"/>
              </w:rPr>
              <w:t>100</w:t>
            </w:r>
          </w:p>
        </w:tc>
      </w:tr>
      <w:tr w14:paraId="3139D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2071" w:type="dxa"/>
            <w:vAlign w:val="center"/>
          </w:tcPr>
          <w:p w14:paraId="1B5F7876">
            <w:pPr>
              <w:spacing w:before="34" w:line="226" w:lineRule="auto"/>
              <w:jc w:val="center"/>
              <w:rPr>
                <w:rFonts w:ascii="宋体" w:hAnsi="宋体" w:cs="宋体"/>
                <w:color w:val="auto"/>
                <w:sz w:val="20"/>
                <w:szCs w:val="20"/>
                <w:highlight w:val="none"/>
              </w:rPr>
            </w:pPr>
            <w:r>
              <w:rPr>
                <w:rFonts w:ascii="宋体" w:hAnsi="宋体" w:cs="宋体"/>
                <w:color w:val="auto"/>
                <w:spacing w:val="10"/>
                <w:sz w:val="20"/>
                <w:szCs w:val="20"/>
                <w:highlight w:val="none"/>
              </w:rPr>
              <w:t>其</w:t>
            </w:r>
            <w:r>
              <w:rPr>
                <w:rFonts w:ascii="宋体" w:hAnsi="宋体" w:cs="宋体"/>
                <w:color w:val="auto"/>
                <w:spacing w:val="9"/>
                <w:sz w:val="20"/>
                <w:szCs w:val="20"/>
                <w:highlight w:val="none"/>
              </w:rPr>
              <w:t>他未列明行业</w:t>
            </w:r>
          </w:p>
        </w:tc>
        <w:tc>
          <w:tcPr>
            <w:tcW w:w="1751" w:type="dxa"/>
          </w:tcPr>
          <w:p w14:paraId="16F317C5">
            <w:pPr>
              <w:spacing w:before="34" w:line="229" w:lineRule="auto"/>
              <w:ind w:left="200"/>
              <w:rPr>
                <w:rFonts w:ascii="宋体" w:hAnsi="宋体" w:cs="宋体"/>
                <w:color w:val="auto"/>
                <w:sz w:val="20"/>
                <w:szCs w:val="20"/>
                <w:highlight w:val="none"/>
              </w:rPr>
            </w:pPr>
            <w:r>
              <w:rPr>
                <w:rFonts w:ascii="宋体" w:hAnsi="宋体" w:cs="宋体"/>
                <w:color w:val="auto"/>
                <w:spacing w:val="6"/>
                <w:sz w:val="20"/>
                <w:szCs w:val="20"/>
                <w:highlight w:val="none"/>
              </w:rPr>
              <w:t>从业人员(</w:t>
            </w:r>
            <w:r>
              <w:rPr>
                <w:rFonts w:ascii="宋体" w:hAnsi="宋体" w:cs="宋体"/>
                <w:color w:val="auto"/>
                <w:sz w:val="20"/>
                <w:szCs w:val="20"/>
                <w:highlight w:val="none"/>
              </w:rPr>
              <w:t>X</w:t>
            </w:r>
            <w:r>
              <w:rPr>
                <w:rFonts w:ascii="宋体" w:hAnsi="宋体" w:cs="宋体"/>
                <w:color w:val="auto"/>
                <w:spacing w:val="6"/>
                <w:sz w:val="20"/>
                <w:szCs w:val="20"/>
                <w:highlight w:val="none"/>
              </w:rPr>
              <w:t>)</w:t>
            </w:r>
          </w:p>
        </w:tc>
        <w:tc>
          <w:tcPr>
            <w:tcW w:w="1158" w:type="dxa"/>
          </w:tcPr>
          <w:p w14:paraId="11715937">
            <w:pPr>
              <w:spacing w:before="34" w:line="231" w:lineRule="auto"/>
              <w:ind w:left="481"/>
              <w:rPr>
                <w:rFonts w:ascii="宋体" w:hAnsi="宋体" w:cs="宋体"/>
                <w:color w:val="auto"/>
                <w:sz w:val="20"/>
                <w:szCs w:val="20"/>
                <w:highlight w:val="none"/>
              </w:rPr>
            </w:pPr>
            <w:r>
              <w:rPr>
                <w:rFonts w:ascii="宋体" w:hAnsi="宋体" w:cs="宋体"/>
                <w:color w:val="auto"/>
                <w:sz w:val="20"/>
                <w:szCs w:val="20"/>
                <w:highlight w:val="none"/>
              </w:rPr>
              <w:t>人</w:t>
            </w:r>
          </w:p>
        </w:tc>
        <w:tc>
          <w:tcPr>
            <w:tcW w:w="1916" w:type="dxa"/>
          </w:tcPr>
          <w:p w14:paraId="55C3D324">
            <w:pPr>
              <w:spacing w:before="34" w:line="265" w:lineRule="exact"/>
              <w:ind w:left="402"/>
              <w:rPr>
                <w:rFonts w:ascii="宋体" w:hAnsi="宋体" w:cs="宋体"/>
                <w:color w:val="auto"/>
                <w:sz w:val="20"/>
                <w:szCs w:val="20"/>
                <w:highlight w:val="none"/>
              </w:rPr>
            </w:pPr>
            <w:r>
              <w:rPr>
                <w:rFonts w:ascii="宋体" w:hAnsi="宋体" w:cs="宋体"/>
                <w:color w:val="auto"/>
                <w:spacing w:val="4"/>
                <w:position w:val="1"/>
                <w:sz w:val="20"/>
                <w:szCs w:val="20"/>
                <w:highlight w:val="none"/>
              </w:rPr>
              <w:t>100≤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＜300</w:t>
            </w:r>
          </w:p>
        </w:tc>
        <w:tc>
          <w:tcPr>
            <w:tcW w:w="1906" w:type="dxa"/>
          </w:tcPr>
          <w:p w14:paraId="355C5693">
            <w:pPr>
              <w:spacing w:before="34" w:line="265" w:lineRule="exact"/>
              <w:ind w:left="449"/>
              <w:rPr>
                <w:rFonts w:ascii="宋体" w:hAnsi="宋体" w:cs="宋体"/>
                <w:color w:val="auto"/>
                <w:sz w:val="20"/>
                <w:szCs w:val="20"/>
                <w:highlight w:val="none"/>
              </w:rPr>
            </w:pPr>
            <w:r>
              <w:rPr>
                <w:rFonts w:ascii="宋体" w:hAnsi="宋体" w:cs="宋体"/>
                <w:color w:val="auto"/>
                <w:spacing w:val="4"/>
                <w:position w:val="1"/>
                <w:sz w:val="20"/>
                <w:szCs w:val="20"/>
                <w:highlight w:val="none"/>
              </w:rPr>
              <w:t>10≤</w:t>
            </w:r>
            <w:r>
              <w:rPr>
                <w:rFonts w:ascii="宋体" w:hAnsi="宋体" w:cs="宋体"/>
                <w:color w:val="auto"/>
                <w:position w:val="1"/>
                <w:sz w:val="20"/>
                <w:szCs w:val="20"/>
                <w:highlight w:val="none"/>
              </w:rPr>
              <w:t>X</w:t>
            </w:r>
            <w:r>
              <w:rPr>
                <w:rFonts w:ascii="宋体" w:hAnsi="宋体" w:cs="宋体"/>
                <w:color w:val="auto"/>
                <w:spacing w:val="4"/>
                <w:position w:val="1"/>
                <w:sz w:val="20"/>
                <w:szCs w:val="20"/>
                <w:highlight w:val="none"/>
              </w:rPr>
              <w:t>＜100</w:t>
            </w:r>
          </w:p>
        </w:tc>
        <w:tc>
          <w:tcPr>
            <w:tcW w:w="1110" w:type="dxa"/>
          </w:tcPr>
          <w:p w14:paraId="36F1E6A0">
            <w:pPr>
              <w:spacing w:before="34" w:line="269" w:lineRule="exact"/>
              <w:ind w:left="294"/>
              <w:rPr>
                <w:rFonts w:ascii="宋体" w:hAnsi="宋体" w:cs="宋体"/>
                <w:color w:val="auto"/>
                <w:sz w:val="20"/>
                <w:szCs w:val="20"/>
                <w:highlight w:val="none"/>
              </w:rPr>
            </w:pPr>
            <w:r>
              <w:rPr>
                <w:rFonts w:ascii="宋体" w:hAnsi="宋体" w:cs="宋体"/>
                <w:color w:val="auto"/>
                <w:position w:val="1"/>
                <w:sz w:val="20"/>
                <w:szCs w:val="20"/>
                <w:highlight w:val="none"/>
              </w:rPr>
              <w:t>X</w:t>
            </w:r>
            <w:r>
              <w:rPr>
                <w:rFonts w:ascii="宋体" w:hAnsi="宋体" w:cs="宋体"/>
                <w:color w:val="auto"/>
                <w:spacing w:val="7"/>
                <w:position w:val="1"/>
                <w:sz w:val="20"/>
                <w:szCs w:val="20"/>
                <w:highlight w:val="none"/>
              </w:rPr>
              <w:t>＜10</w:t>
            </w:r>
          </w:p>
        </w:tc>
      </w:tr>
    </w:tbl>
    <w:p w14:paraId="2ED89F81">
      <w:pPr>
        <w:spacing w:line="245" w:lineRule="auto"/>
        <w:rPr>
          <w:rFonts w:ascii="宋体" w:hAnsi="宋体" w:cs="宋体"/>
          <w:color w:val="auto"/>
          <w:sz w:val="20"/>
          <w:szCs w:val="20"/>
          <w:highlight w:val="none"/>
        </w:rPr>
      </w:pPr>
      <w:r>
        <w:rPr>
          <w:rFonts w:ascii="宋体" w:hAnsi="宋体" w:cs="宋体"/>
          <w:color w:val="auto"/>
          <w:spacing w:val="4"/>
          <w:sz w:val="20"/>
          <w:szCs w:val="20"/>
          <w:highlight w:val="none"/>
        </w:rPr>
        <w:t>说明：上述标准参照《关于印发中小企业划型标准规定的通知》(工信部联企业[2011]300号)，</w:t>
      </w:r>
      <w:r>
        <w:rPr>
          <w:rFonts w:ascii="宋体" w:hAnsi="宋体" w:cs="宋体"/>
          <w:color w:val="auto"/>
          <w:sz w:val="20"/>
          <w:szCs w:val="20"/>
          <w:highlight w:val="none"/>
        </w:rPr>
        <w:t>大</w:t>
      </w:r>
      <w:r>
        <w:rPr>
          <w:rFonts w:ascii="宋体" w:hAnsi="宋体" w:cs="宋体"/>
          <w:color w:val="auto"/>
          <w:spacing w:val="18"/>
          <w:sz w:val="20"/>
          <w:szCs w:val="20"/>
          <w:highlight w:val="none"/>
        </w:rPr>
        <w:t>型</w:t>
      </w:r>
      <w:r>
        <w:rPr>
          <w:rFonts w:ascii="宋体" w:hAnsi="宋体" w:cs="宋体"/>
          <w:color w:val="auto"/>
          <w:spacing w:val="17"/>
          <w:sz w:val="20"/>
          <w:szCs w:val="20"/>
          <w:highlight w:val="none"/>
        </w:rPr>
        <w:t>、</w:t>
      </w:r>
      <w:r>
        <w:rPr>
          <w:rFonts w:ascii="宋体" w:hAnsi="宋体" w:cs="宋体"/>
          <w:color w:val="auto"/>
          <w:spacing w:val="9"/>
          <w:sz w:val="20"/>
          <w:szCs w:val="20"/>
          <w:highlight w:val="none"/>
        </w:rPr>
        <w:t>中型和小型企业须同时满足所列指标的下限，否则下划一档；微型企业</w:t>
      </w:r>
      <w:r>
        <w:rPr>
          <w:rFonts w:hint="eastAsia" w:ascii="宋体" w:hAnsi="宋体" w:cs="宋体"/>
          <w:color w:val="auto"/>
          <w:spacing w:val="9"/>
          <w:sz w:val="20"/>
          <w:szCs w:val="20"/>
          <w:highlight w:val="none"/>
        </w:rPr>
        <w:t>只需</w:t>
      </w:r>
      <w:r>
        <w:rPr>
          <w:rFonts w:ascii="宋体" w:hAnsi="宋体" w:cs="宋体"/>
          <w:color w:val="auto"/>
          <w:spacing w:val="9"/>
          <w:sz w:val="20"/>
          <w:szCs w:val="20"/>
          <w:highlight w:val="none"/>
        </w:rPr>
        <w:t>满足所列指标中的一项即</w:t>
      </w:r>
      <w:r>
        <w:rPr>
          <w:rFonts w:ascii="宋体" w:hAnsi="宋体" w:cs="宋体"/>
          <w:color w:val="auto"/>
          <w:spacing w:val="-1"/>
          <w:sz w:val="20"/>
          <w:szCs w:val="20"/>
          <w:highlight w:val="none"/>
        </w:rPr>
        <w:t>可</w:t>
      </w:r>
      <w:r>
        <w:rPr>
          <w:rFonts w:ascii="宋体" w:hAnsi="宋体" w:cs="宋体"/>
          <w:color w:val="auto"/>
          <w:sz w:val="20"/>
          <w:szCs w:val="20"/>
          <w:highlight w:val="none"/>
        </w:rPr>
        <w:t>。</w:t>
      </w:r>
    </w:p>
    <w:p w14:paraId="3C023520">
      <w:pPr>
        <w:rPr>
          <w:color w:val="auto"/>
          <w:highlight w:val="none"/>
        </w:rPr>
      </w:pPr>
    </w:p>
    <w:p w14:paraId="281598FA">
      <w:pPr>
        <w:widowControl/>
        <w:spacing w:line="588" w:lineRule="exact"/>
        <w:jc w:val="center"/>
        <w:rPr>
          <w:rFonts w:ascii="宋体" w:hAnsi="宋体"/>
          <w:color w:val="auto"/>
          <w:szCs w:val="21"/>
          <w:highlight w:val="none"/>
        </w:rPr>
      </w:pPr>
      <w:r>
        <w:rPr>
          <w:rFonts w:hint="eastAsia"/>
          <w:color w:val="auto"/>
          <w:highlight w:val="none"/>
        </w:rPr>
        <w:br w:type="page"/>
      </w:r>
      <w:r>
        <w:rPr>
          <w:rFonts w:hint="eastAsia" w:ascii="宋体" w:hAnsi="宋体"/>
          <w:color w:val="auto"/>
          <w:szCs w:val="21"/>
          <w:highlight w:val="none"/>
        </w:rPr>
        <w:t>（6）类似案例成功的业绩（以合同文件或交工验收证书复印件加盖投标人单位公章为准）；</w:t>
      </w:r>
    </w:p>
    <w:p w14:paraId="4138CA4D">
      <w:pPr>
        <w:pStyle w:val="17"/>
        <w:snapToGrid w:val="0"/>
        <w:spacing w:line="260" w:lineRule="exact"/>
        <w:ind w:left="97" w:leftChars="46" w:firstLine="1050" w:firstLineChars="500"/>
        <w:rPr>
          <w:rFonts w:ascii="宋体" w:hAnsi="宋体"/>
          <w:color w:val="auto"/>
          <w:sz w:val="21"/>
          <w:szCs w:val="21"/>
          <w:highlight w:val="none"/>
        </w:rPr>
      </w:pPr>
    </w:p>
    <w:p w14:paraId="369649AB">
      <w:pPr>
        <w:pStyle w:val="17"/>
        <w:snapToGrid w:val="0"/>
        <w:ind w:left="482" w:hanging="482"/>
        <w:jc w:val="center"/>
        <w:rPr>
          <w:rFonts w:ascii="宋体"/>
          <w:b/>
          <w:color w:val="auto"/>
          <w:sz w:val="24"/>
          <w:highlight w:val="none"/>
        </w:rPr>
      </w:pPr>
      <w:r>
        <w:rPr>
          <w:rFonts w:hint="eastAsia" w:ascii="宋体" w:hAnsi="宋体"/>
          <w:b/>
          <w:color w:val="auto"/>
          <w:sz w:val="24"/>
          <w:highlight w:val="none"/>
        </w:rPr>
        <w:t>投标人同类项目实施情况一览表格式：</w:t>
      </w:r>
    </w:p>
    <w:p w14:paraId="03D219A8">
      <w:pPr>
        <w:pStyle w:val="17"/>
        <w:snapToGrid w:val="0"/>
        <w:ind w:left="420" w:hanging="420"/>
        <w:rPr>
          <w:rFonts w:ascii="宋体"/>
          <w:color w:val="auto"/>
          <w:sz w:val="21"/>
          <w:szCs w:val="21"/>
          <w:highlight w:val="none"/>
        </w:rPr>
      </w:pPr>
      <w:r>
        <w:rPr>
          <w:rFonts w:hint="eastAsia" w:ascii="宋体" w:hAnsi="宋体"/>
          <w:color w:val="auto"/>
          <w:sz w:val="21"/>
          <w:szCs w:val="21"/>
          <w:highlight w:val="none"/>
        </w:rPr>
        <w:t>（投标人同类项目合同复印件、用户验收报告、用户评价意见格式自拟）</w:t>
      </w:r>
    </w:p>
    <w:p w14:paraId="51D3C5D6">
      <w:pPr>
        <w:pStyle w:val="17"/>
        <w:snapToGrid w:val="0"/>
        <w:ind w:left="174" w:hanging="174" w:hangingChars="83"/>
        <w:rPr>
          <w:rFonts w:ascii="宋体"/>
          <w:color w:val="auto"/>
          <w:sz w:val="21"/>
          <w:szCs w:val="21"/>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8"/>
        <w:gridCol w:w="1468"/>
        <w:gridCol w:w="933"/>
        <w:gridCol w:w="1200"/>
        <w:gridCol w:w="1333"/>
        <w:gridCol w:w="800"/>
        <w:gridCol w:w="799"/>
        <w:gridCol w:w="740"/>
        <w:gridCol w:w="1395"/>
      </w:tblGrid>
      <w:tr w14:paraId="10D43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1168" w:type="dxa"/>
            <w:vMerge w:val="restart"/>
            <w:tcBorders>
              <w:top w:val="single" w:color="auto" w:sz="4" w:space="0"/>
              <w:bottom w:val="single" w:color="auto" w:sz="4" w:space="0"/>
              <w:right w:val="single" w:color="auto" w:sz="4" w:space="0"/>
            </w:tcBorders>
            <w:vAlign w:val="center"/>
          </w:tcPr>
          <w:p w14:paraId="7ECF7C63">
            <w:pPr>
              <w:snapToGrid w:val="0"/>
              <w:spacing w:line="240" w:lineRule="exact"/>
              <w:jc w:val="center"/>
              <w:rPr>
                <w:rFonts w:ascii="宋体"/>
                <w:color w:val="auto"/>
                <w:szCs w:val="21"/>
                <w:highlight w:val="none"/>
              </w:rPr>
            </w:pPr>
            <w:r>
              <w:rPr>
                <w:rFonts w:hint="eastAsia" w:ascii="宋体" w:hAnsi="宋体"/>
                <w:color w:val="auto"/>
                <w:szCs w:val="21"/>
                <w:highlight w:val="none"/>
              </w:rPr>
              <w:t>业主单位名称</w:t>
            </w:r>
          </w:p>
        </w:tc>
        <w:tc>
          <w:tcPr>
            <w:tcW w:w="1468" w:type="dxa"/>
            <w:vMerge w:val="restart"/>
            <w:tcBorders>
              <w:top w:val="single" w:color="auto" w:sz="4" w:space="0"/>
              <w:left w:val="single" w:color="auto" w:sz="4" w:space="0"/>
              <w:bottom w:val="single" w:color="auto" w:sz="4" w:space="0"/>
              <w:right w:val="single" w:color="auto" w:sz="4" w:space="0"/>
            </w:tcBorders>
            <w:vAlign w:val="center"/>
          </w:tcPr>
          <w:p w14:paraId="38494325">
            <w:pPr>
              <w:snapToGrid w:val="0"/>
              <w:spacing w:line="240" w:lineRule="exact"/>
              <w:jc w:val="center"/>
              <w:rPr>
                <w:rFonts w:ascii="宋体"/>
                <w:color w:val="auto"/>
                <w:szCs w:val="21"/>
                <w:highlight w:val="none"/>
              </w:rPr>
            </w:pPr>
            <w:r>
              <w:rPr>
                <w:rFonts w:hint="eastAsia" w:ascii="宋体" w:hAnsi="宋体"/>
                <w:color w:val="auto"/>
                <w:szCs w:val="21"/>
                <w:highlight w:val="none"/>
              </w:rPr>
              <w:t>项目名称</w:t>
            </w:r>
          </w:p>
        </w:tc>
        <w:tc>
          <w:tcPr>
            <w:tcW w:w="933" w:type="dxa"/>
            <w:vMerge w:val="restart"/>
            <w:tcBorders>
              <w:top w:val="single" w:color="auto" w:sz="4" w:space="0"/>
              <w:left w:val="single" w:color="auto" w:sz="4" w:space="0"/>
              <w:bottom w:val="single" w:color="auto" w:sz="4" w:space="0"/>
              <w:right w:val="single" w:color="auto" w:sz="4" w:space="0"/>
            </w:tcBorders>
            <w:vAlign w:val="center"/>
          </w:tcPr>
          <w:p w14:paraId="439894E6">
            <w:pPr>
              <w:snapToGrid w:val="0"/>
              <w:spacing w:line="240" w:lineRule="exact"/>
              <w:jc w:val="center"/>
              <w:rPr>
                <w:rFonts w:ascii="宋体"/>
                <w:color w:val="auto"/>
                <w:szCs w:val="21"/>
                <w:highlight w:val="none"/>
              </w:rPr>
            </w:pPr>
            <w:r>
              <w:rPr>
                <w:rFonts w:hint="eastAsia" w:ascii="宋体" w:hAnsi="宋体"/>
                <w:color w:val="auto"/>
                <w:szCs w:val="21"/>
                <w:highlight w:val="none"/>
              </w:rPr>
              <w:t>采购</w:t>
            </w:r>
          </w:p>
          <w:p w14:paraId="32A5D9CF">
            <w:pPr>
              <w:snapToGrid w:val="0"/>
              <w:spacing w:line="240" w:lineRule="exact"/>
              <w:jc w:val="center"/>
              <w:rPr>
                <w:rFonts w:ascii="宋体"/>
                <w:color w:val="auto"/>
                <w:szCs w:val="21"/>
                <w:highlight w:val="none"/>
              </w:rPr>
            </w:pPr>
            <w:r>
              <w:rPr>
                <w:rFonts w:hint="eastAsia" w:ascii="宋体" w:hAnsi="宋体"/>
                <w:color w:val="auto"/>
                <w:szCs w:val="21"/>
                <w:highlight w:val="none"/>
              </w:rPr>
              <w:t>数量</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14:paraId="1D057467">
            <w:pPr>
              <w:snapToGrid w:val="0"/>
              <w:spacing w:line="240" w:lineRule="exact"/>
              <w:jc w:val="center"/>
              <w:rPr>
                <w:rFonts w:ascii="宋体"/>
                <w:color w:val="auto"/>
                <w:szCs w:val="21"/>
                <w:highlight w:val="none"/>
              </w:rPr>
            </w:pPr>
            <w:r>
              <w:rPr>
                <w:rFonts w:hint="eastAsia" w:ascii="宋体" w:hAnsi="宋体"/>
                <w:color w:val="auto"/>
                <w:szCs w:val="21"/>
                <w:highlight w:val="none"/>
              </w:rPr>
              <w:t>单价</w:t>
            </w:r>
          </w:p>
        </w:tc>
        <w:tc>
          <w:tcPr>
            <w:tcW w:w="1333" w:type="dxa"/>
            <w:vMerge w:val="restart"/>
            <w:tcBorders>
              <w:top w:val="single" w:color="auto" w:sz="4" w:space="0"/>
              <w:left w:val="single" w:color="auto" w:sz="4" w:space="0"/>
              <w:bottom w:val="single" w:color="auto" w:sz="4" w:space="0"/>
              <w:right w:val="single" w:color="auto" w:sz="4" w:space="0"/>
            </w:tcBorders>
            <w:vAlign w:val="center"/>
          </w:tcPr>
          <w:p w14:paraId="7F9813B2">
            <w:pPr>
              <w:snapToGrid w:val="0"/>
              <w:spacing w:line="240" w:lineRule="exact"/>
              <w:jc w:val="center"/>
              <w:rPr>
                <w:rFonts w:ascii="宋体"/>
                <w:color w:val="auto"/>
                <w:szCs w:val="21"/>
                <w:highlight w:val="none"/>
              </w:rPr>
            </w:pPr>
            <w:r>
              <w:rPr>
                <w:rFonts w:hint="eastAsia" w:ascii="宋体" w:hAnsi="宋体"/>
                <w:color w:val="auto"/>
                <w:szCs w:val="21"/>
                <w:highlight w:val="none"/>
              </w:rPr>
              <w:t>合同</w:t>
            </w:r>
          </w:p>
          <w:p w14:paraId="2C501E79">
            <w:pPr>
              <w:snapToGrid w:val="0"/>
              <w:spacing w:line="240" w:lineRule="exact"/>
              <w:jc w:val="center"/>
              <w:rPr>
                <w:rFonts w:ascii="宋体"/>
                <w:color w:val="auto"/>
                <w:szCs w:val="21"/>
                <w:highlight w:val="none"/>
              </w:rPr>
            </w:pPr>
            <w:r>
              <w:rPr>
                <w:rFonts w:hint="eastAsia" w:ascii="宋体" w:hAnsi="宋体"/>
                <w:color w:val="auto"/>
                <w:szCs w:val="21"/>
                <w:highlight w:val="none"/>
              </w:rPr>
              <w:t>金额</w:t>
            </w:r>
          </w:p>
          <w:p w14:paraId="63FEC66A">
            <w:pPr>
              <w:snapToGrid w:val="0"/>
              <w:spacing w:line="240" w:lineRule="exact"/>
              <w:jc w:val="center"/>
              <w:rPr>
                <w:rFonts w:ascii="宋体"/>
                <w:color w:val="auto"/>
                <w:szCs w:val="21"/>
                <w:highlight w:val="none"/>
              </w:rPr>
            </w:pPr>
            <w:r>
              <w:rPr>
                <w:rFonts w:hint="eastAsia" w:ascii="宋体" w:hAnsi="宋体"/>
                <w:color w:val="auto"/>
                <w:szCs w:val="21"/>
                <w:highlight w:val="none"/>
              </w:rPr>
              <w:t>（万元）</w:t>
            </w:r>
          </w:p>
        </w:tc>
        <w:tc>
          <w:tcPr>
            <w:tcW w:w="2339" w:type="dxa"/>
            <w:gridSpan w:val="3"/>
            <w:tcBorders>
              <w:top w:val="single" w:color="auto" w:sz="4" w:space="0"/>
              <w:left w:val="single" w:color="auto" w:sz="4" w:space="0"/>
              <w:bottom w:val="single" w:color="auto" w:sz="4" w:space="0"/>
              <w:right w:val="single" w:color="auto" w:sz="4" w:space="0"/>
            </w:tcBorders>
            <w:vAlign w:val="center"/>
          </w:tcPr>
          <w:p w14:paraId="76C1F94A">
            <w:pPr>
              <w:snapToGrid w:val="0"/>
              <w:spacing w:line="240" w:lineRule="exact"/>
              <w:jc w:val="center"/>
              <w:rPr>
                <w:rFonts w:ascii="宋体"/>
                <w:color w:val="auto"/>
                <w:szCs w:val="21"/>
                <w:highlight w:val="none"/>
              </w:rPr>
            </w:pPr>
            <w:r>
              <w:rPr>
                <w:rFonts w:hint="eastAsia" w:ascii="宋体" w:hAnsi="宋体"/>
                <w:color w:val="auto"/>
                <w:szCs w:val="21"/>
                <w:highlight w:val="none"/>
              </w:rPr>
              <w:t>附件页码</w:t>
            </w:r>
          </w:p>
        </w:tc>
        <w:tc>
          <w:tcPr>
            <w:tcW w:w="1395" w:type="dxa"/>
            <w:vMerge w:val="restart"/>
            <w:tcBorders>
              <w:top w:val="single" w:color="auto" w:sz="4" w:space="0"/>
              <w:left w:val="single" w:color="auto" w:sz="4" w:space="0"/>
              <w:bottom w:val="single" w:color="auto" w:sz="4" w:space="0"/>
            </w:tcBorders>
            <w:vAlign w:val="center"/>
          </w:tcPr>
          <w:p w14:paraId="784E25BF">
            <w:pPr>
              <w:snapToGrid w:val="0"/>
              <w:jc w:val="center"/>
              <w:rPr>
                <w:rFonts w:ascii="宋体"/>
                <w:color w:val="auto"/>
                <w:szCs w:val="21"/>
                <w:highlight w:val="none"/>
              </w:rPr>
            </w:pPr>
            <w:r>
              <w:rPr>
                <w:rFonts w:hint="eastAsia" w:ascii="宋体" w:hAnsi="宋体"/>
                <w:color w:val="auto"/>
                <w:szCs w:val="21"/>
                <w:highlight w:val="none"/>
              </w:rPr>
              <w:t>招标单位联系人及联系电话</w:t>
            </w:r>
          </w:p>
        </w:tc>
      </w:tr>
      <w:tr w14:paraId="7A78D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1168" w:type="dxa"/>
            <w:vMerge w:val="continue"/>
            <w:tcBorders>
              <w:top w:val="single" w:color="auto" w:sz="4" w:space="0"/>
              <w:bottom w:val="single" w:color="auto" w:sz="4" w:space="0"/>
              <w:right w:val="single" w:color="auto" w:sz="4" w:space="0"/>
            </w:tcBorders>
            <w:vAlign w:val="center"/>
          </w:tcPr>
          <w:p w14:paraId="030FBFAD">
            <w:pPr>
              <w:widowControl/>
              <w:jc w:val="left"/>
              <w:rPr>
                <w:rFonts w:ascii="宋体"/>
                <w:color w:val="auto"/>
                <w:szCs w:val="21"/>
                <w:highlight w:val="none"/>
              </w:rPr>
            </w:pPr>
          </w:p>
        </w:tc>
        <w:tc>
          <w:tcPr>
            <w:tcW w:w="1468" w:type="dxa"/>
            <w:vMerge w:val="continue"/>
            <w:tcBorders>
              <w:top w:val="single" w:color="auto" w:sz="4" w:space="0"/>
              <w:left w:val="single" w:color="auto" w:sz="4" w:space="0"/>
              <w:bottom w:val="single" w:color="auto" w:sz="4" w:space="0"/>
              <w:right w:val="single" w:color="auto" w:sz="4" w:space="0"/>
            </w:tcBorders>
            <w:vAlign w:val="center"/>
          </w:tcPr>
          <w:p w14:paraId="53F08BD0">
            <w:pPr>
              <w:widowControl/>
              <w:jc w:val="left"/>
              <w:rPr>
                <w:rFonts w:ascii="宋体"/>
                <w:color w:val="auto"/>
                <w:szCs w:val="21"/>
                <w:highlight w:val="none"/>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4B661AF1">
            <w:pPr>
              <w:widowControl/>
              <w:jc w:val="left"/>
              <w:rPr>
                <w:rFonts w:ascii="宋体"/>
                <w:color w:val="auto"/>
                <w:szCs w:val="21"/>
                <w:highlight w:val="none"/>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21CF34E8">
            <w:pPr>
              <w:widowControl/>
              <w:jc w:val="left"/>
              <w:rPr>
                <w:rFonts w:ascii="宋体"/>
                <w:color w:val="auto"/>
                <w:szCs w:val="21"/>
                <w:highlight w:val="none"/>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70B13074">
            <w:pPr>
              <w:widowControl/>
              <w:jc w:val="left"/>
              <w:rPr>
                <w:rFonts w:ascii="宋体"/>
                <w:color w:val="auto"/>
                <w:szCs w:val="21"/>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3E2A7194">
            <w:pPr>
              <w:snapToGrid w:val="0"/>
              <w:spacing w:line="240" w:lineRule="exact"/>
              <w:jc w:val="center"/>
              <w:rPr>
                <w:rFonts w:ascii="宋体"/>
                <w:color w:val="auto"/>
                <w:szCs w:val="21"/>
                <w:highlight w:val="none"/>
              </w:rPr>
            </w:pPr>
            <w:r>
              <w:rPr>
                <w:rFonts w:hint="eastAsia" w:ascii="宋体" w:hAnsi="宋体"/>
                <w:color w:val="auto"/>
                <w:szCs w:val="21"/>
                <w:highlight w:val="none"/>
              </w:rPr>
              <w:t>合同</w:t>
            </w:r>
          </w:p>
        </w:tc>
        <w:tc>
          <w:tcPr>
            <w:tcW w:w="799" w:type="dxa"/>
            <w:tcBorders>
              <w:top w:val="single" w:color="auto" w:sz="4" w:space="0"/>
              <w:left w:val="single" w:color="auto" w:sz="4" w:space="0"/>
              <w:bottom w:val="single" w:color="auto" w:sz="4" w:space="0"/>
              <w:right w:val="single" w:color="auto" w:sz="4" w:space="0"/>
            </w:tcBorders>
            <w:vAlign w:val="center"/>
          </w:tcPr>
          <w:p w14:paraId="38FECC33">
            <w:pPr>
              <w:snapToGrid w:val="0"/>
              <w:spacing w:line="240" w:lineRule="exact"/>
              <w:jc w:val="center"/>
              <w:rPr>
                <w:rFonts w:ascii="宋体"/>
                <w:color w:val="auto"/>
                <w:szCs w:val="21"/>
                <w:highlight w:val="none"/>
              </w:rPr>
            </w:pPr>
            <w:r>
              <w:rPr>
                <w:rFonts w:hint="eastAsia" w:ascii="宋体" w:hAnsi="宋体"/>
                <w:color w:val="auto"/>
                <w:szCs w:val="21"/>
                <w:highlight w:val="none"/>
              </w:rPr>
              <w:t>验收报告</w:t>
            </w:r>
          </w:p>
        </w:tc>
        <w:tc>
          <w:tcPr>
            <w:tcW w:w="740" w:type="dxa"/>
            <w:tcBorders>
              <w:top w:val="single" w:color="auto" w:sz="4" w:space="0"/>
              <w:left w:val="single" w:color="auto" w:sz="4" w:space="0"/>
              <w:bottom w:val="single" w:color="auto" w:sz="4" w:space="0"/>
              <w:right w:val="single" w:color="auto" w:sz="4" w:space="0"/>
            </w:tcBorders>
            <w:vAlign w:val="center"/>
          </w:tcPr>
          <w:p w14:paraId="1CED777D">
            <w:pPr>
              <w:snapToGrid w:val="0"/>
              <w:spacing w:line="240" w:lineRule="exact"/>
              <w:jc w:val="center"/>
              <w:rPr>
                <w:rFonts w:ascii="宋体"/>
                <w:color w:val="auto"/>
                <w:szCs w:val="21"/>
                <w:highlight w:val="none"/>
              </w:rPr>
            </w:pPr>
            <w:r>
              <w:rPr>
                <w:rFonts w:hint="eastAsia" w:ascii="宋体" w:hAnsi="宋体"/>
                <w:color w:val="auto"/>
                <w:szCs w:val="21"/>
                <w:highlight w:val="none"/>
              </w:rPr>
              <w:t>用户评价</w:t>
            </w:r>
          </w:p>
        </w:tc>
        <w:tc>
          <w:tcPr>
            <w:tcW w:w="1395" w:type="dxa"/>
            <w:vMerge w:val="continue"/>
            <w:tcBorders>
              <w:top w:val="single" w:color="auto" w:sz="4" w:space="0"/>
              <w:left w:val="single" w:color="auto" w:sz="4" w:space="0"/>
              <w:bottom w:val="single" w:color="auto" w:sz="4" w:space="0"/>
            </w:tcBorders>
            <w:vAlign w:val="center"/>
          </w:tcPr>
          <w:p w14:paraId="3B2D54D4">
            <w:pPr>
              <w:widowControl/>
              <w:jc w:val="left"/>
              <w:rPr>
                <w:rFonts w:ascii="宋体"/>
                <w:color w:val="auto"/>
                <w:szCs w:val="21"/>
                <w:highlight w:val="none"/>
              </w:rPr>
            </w:pPr>
          </w:p>
        </w:tc>
      </w:tr>
      <w:tr w14:paraId="6B2F4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168" w:type="dxa"/>
            <w:tcBorders>
              <w:top w:val="single" w:color="auto" w:sz="4" w:space="0"/>
              <w:bottom w:val="single" w:color="auto" w:sz="4" w:space="0"/>
              <w:right w:val="single" w:color="auto" w:sz="4" w:space="0"/>
            </w:tcBorders>
          </w:tcPr>
          <w:p w14:paraId="57153CD8">
            <w:pPr>
              <w:snapToGrid w:val="0"/>
              <w:spacing w:line="240" w:lineRule="exact"/>
              <w:jc w:val="left"/>
              <w:rPr>
                <w:rFonts w:ascii="宋体"/>
                <w:color w:val="auto"/>
                <w:szCs w:val="21"/>
                <w:highlight w:val="none"/>
              </w:rPr>
            </w:pPr>
          </w:p>
        </w:tc>
        <w:tc>
          <w:tcPr>
            <w:tcW w:w="1468" w:type="dxa"/>
            <w:tcBorders>
              <w:top w:val="single" w:color="auto" w:sz="4" w:space="0"/>
              <w:left w:val="single" w:color="auto" w:sz="4" w:space="0"/>
              <w:bottom w:val="single" w:color="auto" w:sz="4" w:space="0"/>
              <w:right w:val="single" w:color="auto" w:sz="4" w:space="0"/>
            </w:tcBorders>
          </w:tcPr>
          <w:p w14:paraId="6672ABBC">
            <w:pPr>
              <w:snapToGrid w:val="0"/>
              <w:spacing w:line="240" w:lineRule="exact"/>
              <w:jc w:val="left"/>
              <w:rPr>
                <w:rFonts w:ascii="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tcPr>
          <w:p w14:paraId="1DB386F6">
            <w:pPr>
              <w:snapToGrid w:val="0"/>
              <w:spacing w:line="240" w:lineRule="exact"/>
              <w:jc w:val="left"/>
              <w:rPr>
                <w:rFonts w:asci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61EEA579">
            <w:pPr>
              <w:snapToGrid w:val="0"/>
              <w:spacing w:line="240" w:lineRule="exact"/>
              <w:jc w:val="left"/>
              <w:rPr>
                <w:rFonts w:ascii="宋体"/>
                <w:color w:val="auto"/>
                <w:szCs w:val="21"/>
                <w:highlight w:val="none"/>
              </w:rPr>
            </w:pPr>
          </w:p>
        </w:tc>
        <w:tc>
          <w:tcPr>
            <w:tcW w:w="1333" w:type="dxa"/>
            <w:tcBorders>
              <w:top w:val="single" w:color="auto" w:sz="4" w:space="0"/>
              <w:left w:val="single" w:color="auto" w:sz="4" w:space="0"/>
              <w:bottom w:val="single" w:color="auto" w:sz="4" w:space="0"/>
              <w:right w:val="single" w:color="auto" w:sz="4" w:space="0"/>
            </w:tcBorders>
          </w:tcPr>
          <w:p w14:paraId="0D1F7908">
            <w:pPr>
              <w:snapToGrid w:val="0"/>
              <w:spacing w:line="240" w:lineRule="exact"/>
              <w:jc w:val="left"/>
              <w:rPr>
                <w:rFonts w:ascii="宋体"/>
                <w:color w:val="auto"/>
                <w:szCs w:val="21"/>
                <w:highlight w:val="none"/>
              </w:rPr>
            </w:pPr>
          </w:p>
        </w:tc>
        <w:tc>
          <w:tcPr>
            <w:tcW w:w="800" w:type="dxa"/>
            <w:tcBorders>
              <w:top w:val="single" w:color="auto" w:sz="4" w:space="0"/>
              <w:left w:val="single" w:color="auto" w:sz="4" w:space="0"/>
              <w:bottom w:val="single" w:color="auto" w:sz="4" w:space="0"/>
              <w:right w:val="single" w:color="auto" w:sz="4" w:space="0"/>
            </w:tcBorders>
          </w:tcPr>
          <w:p w14:paraId="41A8BFCB">
            <w:pPr>
              <w:snapToGrid w:val="0"/>
              <w:spacing w:line="240" w:lineRule="exact"/>
              <w:jc w:val="left"/>
              <w:rPr>
                <w:rFonts w:ascii="宋体"/>
                <w:color w:val="auto"/>
                <w:szCs w:val="21"/>
                <w:highlight w:val="none"/>
              </w:rPr>
            </w:pPr>
          </w:p>
        </w:tc>
        <w:tc>
          <w:tcPr>
            <w:tcW w:w="799" w:type="dxa"/>
            <w:tcBorders>
              <w:top w:val="single" w:color="auto" w:sz="4" w:space="0"/>
              <w:left w:val="single" w:color="auto" w:sz="4" w:space="0"/>
              <w:bottom w:val="single" w:color="auto" w:sz="4" w:space="0"/>
              <w:right w:val="single" w:color="auto" w:sz="4" w:space="0"/>
            </w:tcBorders>
          </w:tcPr>
          <w:p w14:paraId="140014B0">
            <w:pPr>
              <w:snapToGrid w:val="0"/>
              <w:spacing w:line="240" w:lineRule="exact"/>
              <w:jc w:val="left"/>
              <w:rPr>
                <w:rFonts w:ascii="宋体"/>
                <w:color w:val="auto"/>
                <w:szCs w:val="21"/>
                <w:highlight w:val="none"/>
              </w:rPr>
            </w:pPr>
          </w:p>
        </w:tc>
        <w:tc>
          <w:tcPr>
            <w:tcW w:w="740" w:type="dxa"/>
            <w:tcBorders>
              <w:top w:val="single" w:color="auto" w:sz="4" w:space="0"/>
              <w:left w:val="single" w:color="auto" w:sz="4" w:space="0"/>
              <w:bottom w:val="single" w:color="auto" w:sz="4" w:space="0"/>
              <w:right w:val="single" w:color="auto" w:sz="4" w:space="0"/>
            </w:tcBorders>
          </w:tcPr>
          <w:p w14:paraId="762016A0">
            <w:pPr>
              <w:snapToGrid w:val="0"/>
              <w:spacing w:line="240" w:lineRule="exact"/>
              <w:jc w:val="left"/>
              <w:rPr>
                <w:rFonts w:ascii="宋体"/>
                <w:color w:val="auto"/>
                <w:szCs w:val="21"/>
                <w:highlight w:val="none"/>
              </w:rPr>
            </w:pPr>
          </w:p>
        </w:tc>
        <w:tc>
          <w:tcPr>
            <w:tcW w:w="1395" w:type="dxa"/>
            <w:tcBorders>
              <w:top w:val="single" w:color="auto" w:sz="4" w:space="0"/>
              <w:left w:val="single" w:color="auto" w:sz="4" w:space="0"/>
              <w:bottom w:val="single" w:color="auto" w:sz="4" w:space="0"/>
            </w:tcBorders>
          </w:tcPr>
          <w:p w14:paraId="697A1978">
            <w:pPr>
              <w:snapToGrid w:val="0"/>
              <w:spacing w:line="240" w:lineRule="exact"/>
              <w:jc w:val="left"/>
              <w:rPr>
                <w:rFonts w:ascii="宋体"/>
                <w:color w:val="auto"/>
                <w:szCs w:val="21"/>
                <w:highlight w:val="none"/>
              </w:rPr>
            </w:pPr>
          </w:p>
        </w:tc>
      </w:tr>
      <w:tr w14:paraId="6ADF3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168" w:type="dxa"/>
            <w:tcBorders>
              <w:top w:val="single" w:color="auto" w:sz="4" w:space="0"/>
              <w:bottom w:val="single" w:color="auto" w:sz="4" w:space="0"/>
              <w:right w:val="single" w:color="auto" w:sz="4" w:space="0"/>
            </w:tcBorders>
          </w:tcPr>
          <w:p w14:paraId="68DC7190">
            <w:pPr>
              <w:snapToGrid w:val="0"/>
              <w:spacing w:before="50" w:after="156" w:afterLines="50" w:line="400" w:lineRule="exact"/>
              <w:jc w:val="left"/>
              <w:rPr>
                <w:rFonts w:ascii="宋体"/>
                <w:color w:val="auto"/>
                <w:szCs w:val="21"/>
                <w:highlight w:val="none"/>
              </w:rPr>
            </w:pPr>
          </w:p>
        </w:tc>
        <w:tc>
          <w:tcPr>
            <w:tcW w:w="1468" w:type="dxa"/>
            <w:tcBorders>
              <w:top w:val="single" w:color="auto" w:sz="4" w:space="0"/>
              <w:left w:val="single" w:color="auto" w:sz="4" w:space="0"/>
              <w:bottom w:val="single" w:color="auto" w:sz="4" w:space="0"/>
              <w:right w:val="single" w:color="auto" w:sz="4" w:space="0"/>
            </w:tcBorders>
          </w:tcPr>
          <w:p w14:paraId="434C3565">
            <w:pPr>
              <w:snapToGrid w:val="0"/>
              <w:spacing w:before="50" w:after="156" w:afterLines="50" w:line="400" w:lineRule="exact"/>
              <w:jc w:val="left"/>
              <w:rPr>
                <w:rFonts w:ascii="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tcPr>
          <w:p w14:paraId="16F240A6">
            <w:pPr>
              <w:snapToGrid w:val="0"/>
              <w:spacing w:before="50" w:after="156" w:afterLines="50" w:line="400" w:lineRule="exact"/>
              <w:jc w:val="left"/>
              <w:rPr>
                <w:rFonts w:asci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37E462CF">
            <w:pPr>
              <w:snapToGrid w:val="0"/>
              <w:spacing w:before="50" w:after="156" w:afterLines="50" w:line="400" w:lineRule="exact"/>
              <w:jc w:val="left"/>
              <w:rPr>
                <w:rFonts w:ascii="宋体"/>
                <w:color w:val="auto"/>
                <w:szCs w:val="21"/>
                <w:highlight w:val="none"/>
              </w:rPr>
            </w:pPr>
          </w:p>
        </w:tc>
        <w:tc>
          <w:tcPr>
            <w:tcW w:w="1333" w:type="dxa"/>
            <w:tcBorders>
              <w:top w:val="single" w:color="auto" w:sz="4" w:space="0"/>
              <w:left w:val="single" w:color="auto" w:sz="4" w:space="0"/>
              <w:bottom w:val="single" w:color="auto" w:sz="4" w:space="0"/>
              <w:right w:val="single" w:color="auto" w:sz="4" w:space="0"/>
            </w:tcBorders>
          </w:tcPr>
          <w:p w14:paraId="7FE6C0E1">
            <w:pPr>
              <w:snapToGrid w:val="0"/>
              <w:spacing w:before="50" w:after="156" w:afterLines="50" w:line="400" w:lineRule="exact"/>
              <w:jc w:val="left"/>
              <w:rPr>
                <w:rFonts w:ascii="宋体"/>
                <w:color w:val="auto"/>
                <w:szCs w:val="21"/>
                <w:highlight w:val="none"/>
              </w:rPr>
            </w:pPr>
          </w:p>
        </w:tc>
        <w:tc>
          <w:tcPr>
            <w:tcW w:w="800" w:type="dxa"/>
            <w:tcBorders>
              <w:top w:val="single" w:color="auto" w:sz="4" w:space="0"/>
              <w:left w:val="single" w:color="auto" w:sz="4" w:space="0"/>
              <w:bottom w:val="single" w:color="auto" w:sz="4" w:space="0"/>
              <w:right w:val="single" w:color="auto" w:sz="4" w:space="0"/>
            </w:tcBorders>
          </w:tcPr>
          <w:p w14:paraId="6B4BEA05">
            <w:pPr>
              <w:snapToGrid w:val="0"/>
              <w:spacing w:before="50" w:after="156" w:afterLines="50" w:line="400" w:lineRule="exact"/>
              <w:jc w:val="left"/>
              <w:rPr>
                <w:rFonts w:ascii="宋体"/>
                <w:color w:val="auto"/>
                <w:szCs w:val="21"/>
                <w:highlight w:val="none"/>
              </w:rPr>
            </w:pPr>
          </w:p>
        </w:tc>
        <w:tc>
          <w:tcPr>
            <w:tcW w:w="799" w:type="dxa"/>
            <w:tcBorders>
              <w:top w:val="single" w:color="auto" w:sz="4" w:space="0"/>
              <w:left w:val="single" w:color="auto" w:sz="4" w:space="0"/>
              <w:bottom w:val="single" w:color="auto" w:sz="4" w:space="0"/>
              <w:right w:val="single" w:color="auto" w:sz="4" w:space="0"/>
            </w:tcBorders>
          </w:tcPr>
          <w:p w14:paraId="5EEAA03A">
            <w:pPr>
              <w:snapToGrid w:val="0"/>
              <w:spacing w:before="50" w:after="156" w:afterLines="50" w:line="400" w:lineRule="exact"/>
              <w:jc w:val="left"/>
              <w:rPr>
                <w:rFonts w:ascii="宋体"/>
                <w:color w:val="auto"/>
                <w:szCs w:val="21"/>
                <w:highlight w:val="none"/>
              </w:rPr>
            </w:pPr>
          </w:p>
        </w:tc>
        <w:tc>
          <w:tcPr>
            <w:tcW w:w="740" w:type="dxa"/>
            <w:tcBorders>
              <w:top w:val="single" w:color="auto" w:sz="4" w:space="0"/>
              <w:left w:val="single" w:color="auto" w:sz="4" w:space="0"/>
              <w:bottom w:val="single" w:color="auto" w:sz="4" w:space="0"/>
              <w:right w:val="single" w:color="auto" w:sz="4" w:space="0"/>
            </w:tcBorders>
          </w:tcPr>
          <w:p w14:paraId="3A020F83">
            <w:pPr>
              <w:snapToGrid w:val="0"/>
              <w:spacing w:before="50" w:after="156" w:afterLines="50" w:line="400" w:lineRule="exact"/>
              <w:jc w:val="left"/>
              <w:rPr>
                <w:rFonts w:ascii="宋体"/>
                <w:color w:val="auto"/>
                <w:szCs w:val="21"/>
                <w:highlight w:val="none"/>
              </w:rPr>
            </w:pPr>
          </w:p>
        </w:tc>
        <w:tc>
          <w:tcPr>
            <w:tcW w:w="1395" w:type="dxa"/>
            <w:tcBorders>
              <w:top w:val="single" w:color="auto" w:sz="4" w:space="0"/>
              <w:left w:val="single" w:color="auto" w:sz="4" w:space="0"/>
              <w:bottom w:val="single" w:color="auto" w:sz="4" w:space="0"/>
            </w:tcBorders>
          </w:tcPr>
          <w:p w14:paraId="5C4FC97E">
            <w:pPr>
              <w:snapToGrid w:val="0"/>
              <w:spacing w:before="50" w:after="156" w:afterLines="50" w:line="400" w:lineRule="exact"/>
              <w:jc w:val="left"/>
              <w:rPr>
                <w:rFonts w:ascii="宋体"/>
                <w:color w:val="auto"/>
                <w:szCs w:val="21"/>
                <w:highlight w:val="none"/>
              </w:rPr>
            </w:pPr>
          </w:p>
        </w:tc>
      </w:tr>
      <w:tr w14:paraId="5A51C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68" w:type="dxa"/>
            <w:tcBorders>
              <w:top w:val="single" w:color="auto" w:sz="4" w:space="0"/>
              <w:bottom w:val="single" w:color="auto" w:sz="4" w:space="0"/>
              <w:right w:val="single" w:color="auto" w:sz="4" w:space="0"/>
            </w:tcBorders>
          </w:tcPr>
          <w:p w14:paraId="048F2375">
            <w:pPr>
              <w:snapToGrid w:val="0"/>
              <w:spacing w:before="50" w:after="156" w:afterLines="50" w:line="400" w:lineRule="exact"/>
              <w:jc w:val="left"/>
              <w:rPr>
                <w:rFonts w:ascii="宋体"/>
                <w:color w:val="auto"/>
                <w:szCs w:val="21"/>
                <w:highlight w:val="none"/>
              </w:rPr>
            </w:pPr>
          </w:p>
        </w:tc>
        <w:tc>
          <w:tcPr>
            <w:tcW w:w="1468" w:type="dxa"/>
            <w:tcBorders>
              <w:top w:val="single" w:color="auto" w:sz="4" w:space="0"/>
              <w:left w:val="single" w:color="auto" w:sz="4" w:space="0"/>
              <w:bottom w:val="single" w:color="auto" w:sz="4" w:space="0"/>
              <w:right w:val="single" w:color="auto" w:sz="4" w:space="0"/>
            </w:tcBorders>
          </w:tcPr>
          <w:p w14:paraId="11584656">
            <w:pPr>
              <w:snapToGrid w:val="0"/>
              <w:spacing w:before="50" w:after="156" w:afterLines="50" w:line="400" w:lineRule="exact"/>
              <w:jc w:val="left"/>
              <w:rPr>
                <w:rFonts w:ascii="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tcPr>
          <w:p w14:paraId="413CBA15">
            <w:pPr>
              <w:snapToGrid w:val="0"/>
              <w:spacing w:before="50" w:after="156" w:afterLines="50" w:line="400" w:lineRule="exact"/>
              <w:jc w:val="left"/>
              <w:rPr>
                <w:rFonts w:asci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5C101E97">
            <w:pPr>
              <w:snapToGrid w:val="0"/>
              <w:spacing w:before="50" w:after="156" w:afterLines="50" w:line="400" w:lineRule="exact"/>
              <w:jc w:val="left"/>
              <w:rPr>
                <w:rFonts w:ascii="宋体"/>
                <w:color w:val="auto"/>
                <w:szCs w:val="21"/>
                <w:highlight w:val="none"/>
              </w:rPr>
            </w:pPr>
          </w:p>
        </w:tc>
        <w:tc>
          <w:tcPr>
            <w:tcW w:w="1333" w:type="dxa"/>
            <w:tcBorders>
              <w:top w:val="single" w:color="auto" w:sz="4" w:space="0"/>
              <w:left w:val="single" w:color="auto" w:sz="4" w:space="0"/>
              <w:bottom w:val="single" w:color="auto" w:sz="4" w:space="0"/>
              <w:right w:val="single" w:color="auto" w:sz="4" w:space="0"/>
            </w:tcBorders>
          </w:tcPr>
          <w:p w14:paraId="2677C6AB">
            <w:pPr>
              <w:snapToGrid w:val="0"/>
              <w:spacing w:before="50" w:after="156" w:afterLines="50" w:line="400" w:lineRule="exact"/>
              <w:jc w:val="left"/>
              <w:rPr>
                <w:rFonts w:ascii="宋体"/>
                <w:color w:val="auto"/>
                <w:szCs w:val="21"/>
                <w:highlight w:val="none"/>
              </w:rPr>
            </w:pPr>
          </w:p>
        </w:tc>
        <w:tc>
          <w:tcPr>
            <w:tcW w:w="800" w:type="dxa"/>
            <w:tcBorders>
              <w:top w:val="single" w:color="auto" w:sz="4" w:space="0"/>
              <w:left w:val="single" w:color="auto" w:sz="4" w:space="0"/>
              <w:bottom w:val="single" w:color="auto" w:sz="4" w:space="0"/>
              <w:right w:val="single" w:color="auto" w:sz="4" w:space="0"/>
            </w:tcBorders>
          </w:tcPr>
          <w:p w14:paraId="5F9F6DFF">
            <w:pPr>
              <w:snapToGrid w:val="0"/>
              <w:spacing w:before="50" w:after="156" w:afterLines="50" w:line="400" w:lineRule="exact"/>
              <w:jc w:val="left"/>
              <w:rPr>
                <w:rFonts w:ascii="宋体"/>
                <w:color w:val="auto"/>
                <w:szCs w:val="21"/>
                <w:highlight w:val="none"/>
              </w:rPr>
            </w:pPr>
          </w:p>
        </w:tc>
        <w:tc>
          <w:tcPr>
            <w:tcW w:w="799" w:type="dxa"/>
            <w:tcBorders>
              <w:top w:val="single" w:color="auto" w:sz="4" w:space="0"/>
              <w:left w:val="single" w:color="auto" w:sz="4" w:space="0"/>
              <w:bottom w:val="single" w:color="auto" w:sz="4" w:space="0"/>
              <w:right w:val="single" w:color="auto" w:sz="4" w:space="0"/>
            </w:tcBorders>
          </w:tcPr>
          <w:p w14:paraId="31BC0708">
            <w:pPr>
              <w:snapToGrid w:val="0"/>
              <w:spacing w:before="50" w:after="156" w:afterLines="50" w:line="400" w:lineRule="exact"/>
              <w:jc w:val="left"/>
              <w:rPr>
                <w:rFonts w:ascii="宋体"/>
                <w:color w:val="auto"/>
                <w:szCs w:val="21"/>
                <w:highlight w:val="none"/>
              </w:rPr>
            </w:pPr>
          </w:p>
        </w:tc>
        <w:tc>
          <w:tcPr>
            <w:tcW w:w="740" w:type="dxa"/>
            <w:tcBorders>
              <w:top w:val="single" w:color="auto" w:sz="4" w:space="0"/>
              <w:left w:val="single" w:color="auto" w:sz="4" w:space="0"/>
              <w:bottom w:val="single" w:color="auto" w:sz="4" w:space="0"/>
              <w:right w:val="single" w:color="auto" w:sz="4" w:space="0"/>
            </w:tcBorders>
          </w:tcPr>
          <w:p w14:paraId="527EEF6C">
            <w:pPr>
              <w:snapToGrid w:val="0"/>
              <w:spacing w:before="50" w:after="156" w:afterLines="50" w:line="400" w:lineRule="exact"/>
              <w:jc w:val="left"/>
              <w:rPr>
                <w:rFonts w:ascii="宋体"/>
                <w:color w:val="auto"/>
                <w:szCs w:val="21"/>
                <w:highlight w:val="none"/>
              </w:rPr>
            </w:pPr>
          </w:p>
        </w:tc>
        <w:tc>
          <w:tcPr>
            <w:tcW w:w="1395" w:type="dxa"/>
            <w:tcBorders>
              <w:top w:val="single" w:color="auto" w:sz="4" w:space="0"/>
              <w:left w:val="single" w:color="auto" w:sz="4" w:space="0"/>
              <w:bottom w:val="single" w:color="auto" w:sz="4" w:space="0"/>
            </w:tcBorders>
          </w:tcPr>
          <w:p w14:paraId="14FFFA4F">
            <w:pPr>
              <w:snapToGrid w:val="0"/>
              <w:spacing w:before="50" w:after="156" w:afterLines="50" w:line="400" w:lineRule="exact"/>
              <w:jc w:val="left"/>
              <w:rPr>
                <w:rFonts w:ascii="宋体"/>
                <w:color w:val="auto"/>
                <w:szCs w:val="21"/>
                <w:highlight w:val="none"/>
              </w:rPr>
            </w:pPr>
          </w:p>
        </w:tc>
      </w:tr>
      <w:tr w14:paraId="31602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168" w:type="dxa"/>
            <w:tcBorders>
              <w:top w:val="single" w:color="auto" w:sz="4" w:space="0"/>
              <w:bottom w:val="single" w:color="auto" w:sz="4" w:space="0"/>
              <w:right w:val="single" w:color="auto" w:sz="4" w:space="0"/>
            </w:tcBorders>
          </w:tcPr>
          <w:p w14:paraId="21313FE5">
            <w:pPr>
              <w:snapToGrid w:val="0"/>
              <w:spacing w:before="50" w:after="156" w:afterLines="50" w:line="400" w:lineRule="exact"/>
              <w:jc w:val="left"/>
              <w:rPr>
                <w:rFonts w:ascii="宋体"/>
                <w:color w:val="auto"/>
                <w:szCs w:val="21"/>
                <w:highlight w:val="none"/>
              </w:rPr>
            </w:pPr>
          </w:p>
        </w:tc>
        <w:tc>
          <w:tcPr>
            <w:tcW w:w="1468" w:type="dxa"/>
            <w:tcBorders>
              <w:top w:val="single" w:color="auto" w:sz="4" w:space="0"/>
              <w:left w:val="single" w:color="auto" w:sz="4" w:space="0"/>
              <w:bottom w:val="single" w:color="auto" w:sz="4" w:space="0"/>
              <w:right w:val="single" w:color="auto" w:sz="4" w:space="0"/>
            </w:tcBorders>
          </w:tcPr>
          <w:p w14:paraId="6B085431">
            <w:pPr>
              <w:snapToGrid w:val="0"/>
              <w:spacing w:before="50" w:after="156" w:afterLines="50" w:line="400" w:lineRule="exact"/>
              <w:jc w:val="left"/>
              <w:rPr>
                <w:rFonts w:ascii="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tcPr>
          <w:p w14:paraId="721293E6">
            <w:pPr>
              <w:snapToGrid w:val="0"/>
              <w:spacing w:before="50" w:after="156" w:afterLines="50" w:line="400" w:lineRule="exact"/>
              <w:jc w:val="left"/>
              <w:rPr>
                <w:rFonts w:asci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4025F646">
            <w:pPr>
              <w:snapToGrid w:val="0"/>
              <w:spacing w:before="50" w:after="156" w:afterLines="50" w:line="400" w:lineRule="exact"/>
              <w:jc w:val="left"/>
              <w:rPr>
                <w:rFonts w:ascii="宋体"/>
                <w:color w:val="auto"/>
                <w:szCs w:val="21"/>
                <w:highlight w:val="none"/>
              </w:rPr>
            </w:pPr>
          </w:p>
        </w:tc>
        <w:tc>
          <w:tcPr>
            <w:tcW w:w="1333" w:type="dxa"/>
            <w:tcBorders>
              <w:top w:val="single" w:color="auto" w:sz="4" w:space="0"/>
              <w:left w:val="single" w:color="auto" w:sz="4" w:space="0"/>
              <w:bottom w:val="single" w:color="auto" w:sz="4" w:space="0"/>
              <w:right w:val="single" w:color="auto" w:sz="4" w:space="0"/>
            </w:tcBorders>
          </w:tcPr>
          <w:p w14:paraId="030154D4">
            <w:pPr>
              <w:snapToGrid w:val="0"/>
              <w:spacing w:before="50" w:after="156" w:afterLines="50" w:line="400" w:lineRule="exact"/>
              <w:jc w:val="left"/>
              <w:rPr>
                <w:rFonts w:ascii="宋体"/>
                <w:color w:val="auto"/>
                <w:szCs w:val="21"/>
                <w:highlight w:val="none"/>
              </w:rPr>
            </w:pPr>
          </w:p>
        </w:tc>
        <w:tc>
          <w:tcPr>
            <w:tcW w:w="800" w:type="dxa"/>
            <w:tcBorders>
              <w:top w:val="single" w:color="auto" w:sz="4" w:space="0"/>
              <w:left w:val="single" w:color="auto" w:sz="4" w:space="0"/>
              <w:bottom w:val="single" w:color="auto" w:sz="4" w:space="0"/>
              <w:right w:val="single" w:color="auto" w:sz="4" w:space="0"/>
            </w:tcBorders>
          </w:tcPr>
          <w:p w14:paraId="79389B06">
            <w:pPr>
              <w:snapToGrid w:val="0"/>
              <w:spacing w:before="50" w:after="156" w:afterLines="50" w:line="400" w:lineRule="exact"/>
              <w:jc w:val="left"/>
              <w:rPr>
                <w:rFonts w:ascii="宋体"/>
                <w:color w:val="auto"/>
                <w:szCs w:val="21"/>
                <w:highlight w:val="none"/>
              </w:rPr>
            </w:pPr>
          </w:p>
        </w:tc>
        <w:tc>
          <w:tcPr>
            <w:tcW w:w="799" w:type="dxa"/>
            <w:tcBorders>
              <w:top w:val="single" w:color="auto" w:sz="4" w:space="0"/>
              <w:left w:val="single" w:color="auto" w:sz="4" w:space="0"/>
              <w:bottom w:val="single" w:color="auto" w:sz="4" w:space="0"/>
              <w:right w:val="single" w:color="auto" w:sz="4" w:space="0"/>
            </w:tcBorders>
          </w:tcPr>
          <w:p w14:paraId="592168A1">
            <w:pPr>
              <w:snapToGrid w:val="0"/>
              <w:spacing w:before="50" w:after="156" w:afterLines="50" w:line="400" w:lineRule="exact"/>
              <w:jc w:val="left"/>
              <w:rPr>
                <w:rFonts w:ascii="宋体"/>
                <w:color w:val="auto"/>
                <w:szCs w:val="21"/>
                <w:highlight w:val="none"/>
              </w:rPr>
            </w:pPr>
          </w:p>
        </w:tc>
        <w:tc>
          <w:tcPr>
            <w:tcW w:w="740" w:type="dxa"/>
            <w:tcBorders>
              <w:top w:val="single" w:color="auto" w:sz="4" w:space="0"/>
              <w:left w:val="single" w:color="auto" w:sz="4" w:space="0"/>
              <w:bottom w:val="single" w:color="auto" w:sz="4" w:space="0"/>
              <w:right w:val="single" w:color="auto" w:sz="4" w:space="0"/>
            </w:tcBorders>
          </w:tcPr>
          <w:p w14:paraId="5541BFD0">
            <w:pPr>
              <w:snapToGrid w:val="0"/>
              <w:spacing w:before="50" w:after="156" w:afterLines="50" w:line="400" w:lineRule="exact"/>
              <w:jc w:val="left"/>
              <w:rPr>
                <w:rFonts w:ascii="宋体"/>
                <w:color w:val="auto"/>
                <w:szCs w:val="21"/>
                <w:highlight w:val="none"/>
              </w:rPr>
            </w:pPr>
          </w:p>
        </w:tc>
        <w:tc>
          <w:tcPr>
            <w:tcW w:w="1395" w:type="dxa"/>
            <w:tcBorders>
              <w:top w:val="single" w:color="auto" w:sz="4" w:space="0"/>
              <w:left w:val="single" w:color="auto" w:sz="4" w:space="0"/>
              <w:bottom w:val="single" w:color="auto" w:sz="4" w:space="0"/>
            </w:tcBorders>
          </w:tcPr>
          <w:p w14:paraId="10029B9A">
            <w:pPr>
              <w:snapToGrid w:val="0"/>
              <w:spacing w:before="50" w:after="156" w:afterLines="50" w:line="400" w:lineRule="exact"/>
              <w:jc w:val="left"/>
              <w:rPr>
                <w:rFonts w:ascii="宋体"/>
                <w:color w:val="auto"/>
                <w:szCs w:val="21"/>
                <w:highlight w:val="none"/>
              </w:rPr>
            </w:pPr>
          </w:p>
        </w:tc>
      </w:tr>
      <w:tr w14:paraId="60A23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168" w:type="dxa"/>
            <w:tcBorders>
              <w:top w:val="single" w:color="auto" w:sz="4" w:space="0"/>
              <w:bottom w:val="single" w:color="auto" w:sz="4" w:space="0"/>
              <w:right w:val="single" w:color="auto" w:sz="4" w:space="0"/>
            </w:tcBorders>
          </w:tcPr>
          <w:p w14:paraId="264717FA">
            <w:pPr>
              <w:snapToGrid w:val="0"/>
              <w:spacing w:before="50" w:after="156" w:afterLines="50" w:line="400" w:lineRule="exact"/>
              <w:jc w:val="left"/>
              <w:rPr>
                <w:rFonts w:ascii="宋体"/>
                <w:color w:val="auto"/>
                <w:szCs w:val="21"/>
                <w:highlight w:val="none"/>
              </w:rPr>
            </w:pPr>
          </w:p>
        </w:tc>
        <w:tc>
          <w:tcPr>
            <w:tcW w:w="1468" w:type="dxa"/>
            <w:tcBorders>
              <w:top w:val="single" w:color="auto" w:sz="4" w:space="0"/>
              <w:left w:val="single" w:color="auto" w:sz="4" w:space="0"/>
              <w:bottom w:val="single" w:color="auto" w:sz="4" w:space="0"/>
              <w:right w:val="single" w:color="auto" w:sz="4" w:space="0"/>
            </w:tcBorders>
          </w:tcPr>
          <w:p w14:paraId="37D5E4A9">
            <w:pPr>
              <w:snapToGrid w:val="0"/>
              <w:spacing w:before="50" w:after="156" w:afterLines="50" w:line="400" w:lineRule="exact"/>
              <w:jc w:val="left"/>
              <w:rPr>
                <w:rFonts w:ascii="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tcPr>
          <w:p w14:paraId="0CB119DD">
            <w:pPr>
              <w:snapToGrid w:val="0"/>
              <w:spacing w:before="50" w:after="156" w:afterLines="50" w:line="400" w:lineRule="exact"/>
              <w:jc w:val="left"/>
              <w:rPr>
                <w:rFonts w:asci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65F4AB63">
            <w:pPr>
              <w:snapToGrid w:val="0"/>
              <w:spacing w:before="50" w:after="156" w:afterLines="50" w:line="400" w:lineRule="exact"/>
              <w:jc w:val="left"/>
              <w:rPr>
                <w:rFonts w:ascii="宋体"/>
                <w:color w:val="auto"/>
                <w:szCs w:val="21"/>
                <w:highlight w:val="none"/>
              </w:rPr>
            </w:pPr>
          </w:p>
        </w:tc>
        <w:tc>
          <w:tcPr>
            <w:tcW w:w="1333" w:type="dxa"/>
            <w:tcBorders>
              <w:top w:val="single" w:color="auto" w:sz="4" w:space="0"/>
              <w:left w:val="single" w:color="auto" w:sz="4" w:space="0"/>
              <w:bottom w:val="single" w:color="auto" w:sz="4" w:space="0"/>
              <w:right w:val="single" w:color="auto" w:sz="4" w:space="0"/>
            </w:tcBorders>
          </w:tcPr>
          <w:p w14:paraId="53DCD6ED">
            <w:pPr>
              <w:snapToGrid w:val="0"/>
              <w:spacing w:before="50" w:after="156" w:afterLines="50" w:line="400" w:lineRule="exact"/>
              <w:jc w:val="left"/>
              <w:rPr>
                <w:rFonts w:ascii="宋体"/>
                <w:color w:val="auto"/>
                <w:szCs w:val="21"/>
                <w:highlight w:val="none"/>
              </w:rPr>
            </w:pPr>
          </w:p>
        </w:tc>
        <w:tc>
          <w:tcPr>
            <w:tcW w:w="800" w:type="dxa"/>
            <w:tcBorders>
              <w:top w:val="single" w:color="auto" w:sz="4" w:space="0"/>
              <w:left w:val="single" w:color="auto" w:sz="4" w:space="0"/>
              <w:bottom w:val="single" w:color="auto" w:sz="4" w:space="0"/>
              <w:right w:val="single" w:color="auto" w:sz="4" w:space="0"/>
            </w:tcBorders>
          </w:tcPr>
          <w:p w14:paraId="523E6BB2">
            <w:pPr>
              <w:snapToGrid w:val="0"/>
              <w:spacing w:before="50" w:after="156" w:afterLines="50" w:line="400" w:lineRule="exact"/>
              <w:jc w:val="left"/>
              <w:rPr>
                <w:rFonts w:ascii="宋体"/>
                <w:color w:val="auto"/>
                <w:szCs w:val="21"/>
                <w:highlight w:val="none"/>
              </w:rPr>
            </w:pPr>
          </w:p>
        </w:tc>
        <w:tc>
          <w:tcPr>
            <w:tcW w:w="799" w:type="dxa"/>
            <w:tcBorders>
              <w:top w:val="single" w:color="auto" w:sz="4" w:space="0"/>
              <w:left w:val="single" w:color="auto" w:sz="4" w:space="0"/>
              <w:bottom w:val="single" w:color="auto" w:sz="4" w:space="0"/>
              <w:right w:val="single" w:color="auto" w:sz="4" w:space="0"/>
            </w:tcBorders>
          </w:tcPr>
          <w:p w14:paraId="1F8DD9AF">
            <w:pPr>
              <w:snapToGrid w:val="0"/>
              <w:spacing w:before="50" w:after="156" w:afterLines="50" w:line="400" w:lineRule="exact"/>
              <w:jc w:val="left"/>
              <w:rPr>
                <w:rFonts w:ascii="宋体"/>
                <w:color w:val="auto"/>
                <w:szCs w:val="21"/>
                <w:highlight w:val="none"/>
              </w:rPr>
            </w:pPr>
          </w:p>
        </w:tc>
        <w:tc>
          <w:tcPr>
            <w:tcW w:w="740" w:type="dxa"/>
            <w:tcBorders>
              <w:top w:val="single" w:color="auto" w:sz="4" w:space="0"/>
              <w:left w:val="single" w:color="auto" w:sz="4" w:space="0"/>
              <w:bottom w:val="single" w:color="auto" w:sz="4" w:space="0"/>
              <w:right w:val="single" w:color="auto" w:sz="4" w:space="0"/>
            </w:tcBorders>
          </w:tcPr>
          <w:p w14:paraId="33723700">
            <w:pPr>
              <w:snapToGrid w:val="0"/>
              <w:spacing w:before="50" w:after="156" w:afterLines="50" w:line="400" w:lineRule="exact"/>
              <w:jc w:val="left"/>
              <w:rPr>
                <w:rFonts w:ascii="宋体"/>
                <w:color w:val="auto"/>
                <w:szCs w:val="21"/>
                <w:highlight w:val="none"/>
              </w:rPr>
            </w:pPr>
          </w:p>
        </w:tc>
        <w:tc>
          <w:tcPr>
            <w:tcW w:w="1395" w:type="dxa"/>
            <w:tcBorders>
              <w:top w:val="single" w:color="auto" w:sz="4" w:space="0"/>
              <w:left w:val="single" w:color="auto" w:sz="4" w:space="0"/>
              <w:bottom w:val="single" w:color="auto" w:sz="4" w:space="0"/>
            </w:tcBorders>
          </w:tcPr>
          <w:p w14:paraId="33AF80FE">
            <w:pPr>
              <w:snapToGrid w:val="0"/>
              <w:spacing w:before="50" w:after="156" w:afterLines="50" w:line="400" w:lineRule="exact"/>
              <w:jc w:val="left"/>
              <w:rPr>
                <w:rFonts w:ascii="宋体"/>
                <w:color w:val="auto"/>
                <w:szCs w:val="21"/>
                <w:highlight w:val="none"/>
              </w:rPr>
            </w:pPr>
          </w:p>
        </w:tc>
      </w:tr>
    </w:tbl>
    <w:p w14:paraId="6EA9EB77">
      <w:pPr>
        <w:pStyle w:val="7"/>
        <w:snapToGrid w:val="0"/>
        <w:rPr>
          <w:rFonts w:ascii="宋体" w:eastAsia="宋体"/>
          <w:color w:val="auto"/>
          <w:sz w:val="21"/>
          <w:szCs w:val="21"/>
          <w:highlight w:val="none"/>
        </w:rPr>
      </w:pPr>
    </w:p>
    <w:p w14:paraId="5B40DB92">
      <w:pPr>
        <w:pStyle w:val="7"/>
        <w:snapToGrid w:val="0"/>
        <w:rPr>
          <w:rFonts w:ascii="宋体" w:hAnsi="宋体" w:eastAsia="宋体"/>
          <w:color w:val="auto"/>
          <w:sz w:val="21"/>
          <w:szCs w:val="21"/>
          <w:highlight w:val="none"/>
        </w:rPr>
      </w:pPr>
      <w:r>
        <w:rPr>
          <w:rFonts w:hint="eastAsia" w:ascii="宋体" w:hAnsi="宋体" w:eastAsia="宋体"/>
          <w:color w:val="auto"/>
          <w:sz w:val="21"/>
          <w:szCs w:val="21"/>
          <w:highlight w:val="none"/>
        </w:rPr>
        <w:t>投标人（公章）：</w:t>
      </w:r>
      <w:r>
        <w:rPr>
          <w:rFonts w:ascii="宋体" w:hAnsi="宋体" w:eastAsia="宋体"/>
          <w:color w:val="auto"/>
          <w:sz w:val="21"/>
          <w:szCs w:val="21"/>
          <w:highlight w:val="none"/>
          <w:u w:val="single"/>
        </w:rPr>
        <w:t xml:space="preserve">                       </w:t>
      </w:r>
      <w:r>
        <w:rPr>
          <w:rFonts w:ascii="宋体" w:hAnsi="宋体" w:eastAsia="宋体"/>
          <w:color w:val="auto"/>
          <w:sz w:val="21"/>
          <w:szCs w:val="21"/>
          <w:highlight w:val="none"/>
        </w:rPr>
        <w:t xml:space="preserve"> </w:t>
      </w:r>
    </w:p>
    <w:p w14:paraId="528A76EF">
      <w:pPr>
        <w:snapToGrid w:val="0"/>
        <w:spacing w:before="50" w:line="360" w:lineRule="exact"/>
        <w:jc w:val="left"/>
        <w:rPr>
          <w:rFonts w:ascii="宋体" w:hAnsi="宋体"/>
          <w:color w:val="auto"/>
          <w:szCs w:val="21"/>
          <w:highlight w:val="none"/>
        </w:rPr>
      </w:pPr>
      <w:r>
        <w:rPr>
          <w:rFonts w:hint="eastAsia" w:ascii="宋体" w:hAnsi="宋体"/>
          <w:color w:val="auto"/>
          <w:szCs w:val="21"/>
          <w:highlight w:val="none"/>
        </w:rPr>
        <w:t>法定代表人或被授权人签名：</w:t>
      </w:r>
      <w:r>
        <w:rPr>
          <w:rFonts w:hint="eastAsia" w:ascii="宋体" w:hAnsi="宋体"/>
          <w:color w:val="auto"/>
          <w:szCs w:val="21"/>
          <w:highlight w:val="none"/>
          <w:u w:val="single"/>
        </w:rPr>
        <w:t>　　　</w:t>
      </w:r>
      <w:r>
        <w:rPr>
          <w:rFonts w:ascii="宋体" w:hAnsi="宋体"/>
          <w:color w:val="auto"/>
          <w:szCs w:val="21"/>
          <w:highlight w:val="none"/>
          <w:u w:val="single"/>
        </w:rPr>
        <w:t xml:space="preserve">  </w:t>
      </w:r>
    </w:p>
    <w:p w14:paraId="0E1B1001">
      <w:pPr>
        <w:snapToGrid w:val="0"/>
        <w:spacing w:line="360" w:lineRule="auto"/>
        <w:jc w:val="left"/>
        <w:rPr>
          <w:rFonts w:ascii="宋体" w:hAnsi="宋体"/>
          <w:color w:val="auto"/>
          <w:spacing w:val="20"/>
          <w:sz w:val="24"/>
          <w:highlight w:val="none"/>
        </w:rPr>
      </w:pPr>
    </w:p>
    <w:p w14:paraId="72490375">
      <w:pPr>
        <w:snapToGrid w:val="0"/>
        <w:spacing w:line="360" w:lineRule="auto"/>
        <w:jc w:val="left"/>
        <w:rPr>
          <w:rFonts w:ascii="宋体" w:hAnsi="宋体"/>
          <w:color w:val="auto"/>
          <w:sz w:val="24"/>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2D606F2F">
      <w:pPr>
        <w:adjustRightInd w:val="0"/>
        <w:snapToGrid w:val="0"/>
        <w:spacing w:line="360" w:lineRule="exact"/>
        <w:ind w:firstLine="420" w:firstLineChars="200"/>
        <w:jc w:val="left"/>
        <w:rPr>
          <w:rFonts w:ascii="宋体" w:hAnsi="宋体"/>
          <w:color w:val="auto"/>
          <w:szCs w:val="21"/>
          <w:highlight w:val="none"/>
        </w:rPr>
      </w:pPr>
    </w:p>
    <w:p w14:paraId="46F86849">
      <w:pPr>
        <w:snapToGrid w:val="0"/>
        <w:spacing w:line="360" w:lineRule="exact"/>
        <w:jc w:val="left"/>
        <w:rPr>
          <w:rFonts w:ascii="宋体" w:hAnsi="宋体"/>
          <w:bCs/>
          <w:color w:val="auto"/>
          <w:szCs w:val="21"/>
          <w:highlight w:val="none"/>
        </w:rPr>
      </w:pPr>
      <w:r>
        <w:rPr>
          <w:rFonts w:hint="eastAsia" w:ascii="宋体" w:hAnsi="宋体"/>
          <w:bCs/>
          <w:color w:val="auto"/>
          <w:szCs w:val="21"/>
          <w:highlight w:val="none"/>
        </w:rPr>
        <w:t>（7）其他特殊资质证书（如本地化服务能力等）；</w:t>
      </w:r>
    </w:p>
    <w:p w14:paraId="11B0465E">
      <w:pPr>
        <w:snapToGrid w:val="0"/>
        <w:spacing w:line="360" w:lineRule="exact"/>
        <w:jc w:val="left"/>
        <w:rPr>
          <w:rFonts w:ascii="宋体" w:hAnsi="宋体"/>
          <w:bCs/>
          <w:color w:val="auto"/>
          <w:szCs w:val="21"/>
          <w:highlight w:val="none"/>
        </w:rPr>
      </w:pPr>
      <w:r>
        <w:rPr>
          <w:rFonts w:hint="eastAsia" w:ascii="宋体" w:hAnsi="宋体"/>
          <w:bCs/>
          <w:color w:val="auto"/>
          <w:szCs w:val="21"/>
          <w:highlight w:val="none"/>
        </w:rPr>
        <w:t>（8）投标人认为可以证明其能力的证明材料；</w:t>
      </w:r>
    </w:p>
    <w:p w14:paraId="6303C929">
      <w:pPr>
        <w:snapToGrid w:val="0"/>
        <w:spacing w:line="360" w:lineRule="exact"/>
        <w:jc w:val="left"/>
        <w:rPr>
          <w:rFonts w:ascii="宋体" w:hAnsi="宋体"/>
          <w:bCs/>
          <w:color w:val="auto"/>
          <w:szCs w:val="21"/>
          <w:highlight w:val="none"/>
        </w:rPr>
      </w:pPr>
      <w:r>
        <w:rPr>
          <w:rFonts w:hint="eastAsia" w:ascii="宋体" w:hAnsi="宋体"/>
          <w:bCs/>
          <w:color w:val="auto"/>
          <w:szCs w:val="21"/>
          <w:highlight w:val="none"/>
        </w:rPr>
        <w:t>（9）投标人关于本单位债务纠纷、违法违规记录等方面的情况（内容见投标声明书）；</w:t>
      </w:r>
    </w:p>
    <w:p w14:paraId="2BEC0A8B">
      <w:pPr>
        <w:snapToGrid w:val="0"/>
        <w:spacing w:line="360" w:lineRule="exact"/>
        <w:ind w:firstLine="519" w:firstLineChars="246"/>
        <w:jc w:val="left"/>
        <w:rPr>
          <w:rFonts w:ascii="宋体" w:hAnsi="宋体"/>
          <w:b/>
          <w:color w:val="auto"/>
          <w:szCs w:val="21"/>
          <w:highlight w:val="none"/>
        </w:rPr>
      </w:pPr>
    </w:p>
    <w:p w14:paraId="73483357">
      <w:pPr>
        <w:snapToGrid w:val="0"/>
        <w:spacing w:line="360" w:lineRule="exact"/>
        <w:ind w:firstLine="519" w:firstLineChars="246"/>
        <w:jc w:val="left"/>
        <w:rPr>
          <w:rFonts w:ascii="宋体" w:hAnsi="宋体"/>
          <w:b/>
          <w:color w:val="auto"/>
          <w:szCs w:val="21"/>
          <w:highlight w:val="none"/>
        </w:rPr>
      </w:pPr>
    </w:p>
    <w:p w14:paraId="0C296EEC">
      <w:pPr>
        <w:snapToGrid w:val="0"/>
        <w:spacing w:line="360" w:lineRule="exact"/>
        <w:ind w:firstLine="519" w:firstLineChars="246"/>
        <w:jc w:val="left"/>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（二）、商务技术文件部分（格式）</w:t>
      </w:r>
    </w:p>
    <w:p w14:paraId="73C4EB42">
      <w:pPr>
        <w:snapToGrid w:val="0"/>
        <w:spacing w:before="50" w:line="360" w:lineRule="exact"/>
        <w:jc w:val="left"/>
        <w:rPr>
          <w:rFonts w:ascii="宋体" w:hAnsi="宋体"/>
          <w:b/>
          <w:color w:val="auto"/>
          <w:szCs w:val="21"/>
          <w:highlight w:val="none"/>
        </w:rPr>
      </w:pPr>
      <w:r>
        <w:rPr>
          <w:rFonts w:hint="eastAsia" w:ascii="宋体" w:hAnsi="宋体"/>
          <w:color w:val="auto"/>
          <w:highlight w:val="none"/>
        </w:rPr>
        <w:t>▲</w:t>
      </w:r>
      <w:r>
        <w:rPr>
          <w:rFonts w:hint="eastAsia" w:ascii="宋体" w:hAnsi="宋体"/>
          <w:b/>
          <w:bCs/>
          <w:color w:val="auto"/>
          <w:szCs w:val="21"/>
          <w:highlight w:val="none"/>
        </w:rPr>
        <w:t>（1）</w:t>
      </w:r>
      <w:r>
        <w:rPr>
          <w:rFonts w:hint="eastAsia" w:ascii="宋体" w:hAnsi="宋体"/>
          <w:b/>
          <w:color w:val="auto"/>
          <w:szCs w:val="21"/>
          <w:highlight w:val="none"/>
        </w:rPr>
        <w:t>商务响应表格式：</w:t>
      </w:r>
    </w:p>
    <w:p w14:paraId="0268DD7A">
      <w:pPr>
        <w:snapToGrid w:val="0"/>
        <w:spacing w:before="50" w:line="360" w:lineRule="exact"/>
        <w:jc w:val="center"/>
        <w:rPr>
          <w:rFonts w:ascii="宋体" w:hAnsi="宋体"/>
          <w:color w:val="auto"/>
          <w:szCs w:val="21"/>
          <w:highlight w:val="none"/>
          <w:u w:val="single"/>
        </w:rPr>
      </w:pPr>
      <w:r>
        <w:rPr>
          <w:rFonts w:hint="eastAsia" w:ascii="宋体" w:hAnsi="宋体"/>
          <w:b/>
          <w:color w:val="auto"/>
          <w:szCs w:val="21"/>
          <w:highlight w:val="none"/>
        </w:rPr>
        <w:t>商务响应表</w:t>
      </w:r>
    </w:p>
    <w:tbl>
      <w:tblPr>
        <w:tblStyle w:val="21"/>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4485"/>
        <w:gridCol w:w="2700"/>
        <w:gridCol w:w="1620"/>
      </w:tblGrid>
      <w:tr w14:paraId="2B735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663" w:type="dxa"/>
            <w:tcBorders>
              <w:top w:val="single" w:color="auto" w:sz="4" w:space="0"/>
              <w:bottom w:val="single" w:color="auto" w:sz="4" w:space="0"/>
              <w:right w:val="single" w:color="auto" w:sz="4" w:space="0"/>
            </w:tcBorders>
          </w:tcPr>
          <w:p w14:paraId="36557168">
            <w:pPr>
              <w:snapToGrid w:val="0"/>
              <w:spacing w:before="156" w:beforeLines="50" w:line="360" w:lineRule="exact"/>
              <w:jc w:val="center"/>
              <w:rPr>
                <w:rFonts w:ascii="宋体" w:hAnsi="宋体" w:cs="宋体"/>
                <w:color w:val="auto"/>
                <w:highlight w:val="none"/>
              </w:rPr>
            </w:pPr>
            <w:r>
              <w:rPr>
                <w:rFonts w:hint="eastAsia" w:ascii="宋体" w:hAnsi="宋体" w:cs="宋体"/>
                <w:color w:val="auto"/>
                <w:highlight w:val="none"/>
              </w:rPr>
              <w:t>序号</w:t>
            </w:r>
          </w:p>
        </w:tc>
        <w:tc>
          <w:tcPr>
            <w:tcW w:w="4485" w:type="dxa"/>
            <w:tcBorders>
              <w:top w:val="single" w:color="auto" w:sz="4" w:space="0"/>
              <w:left w:val="single" w:color="auto" w:sz="4" w:space="0"/>
              <w:bottom w:val="single" w:color="auto" w:sz="4" w:space="0"/>
              <w:right w:val="single" w:color="auto" w:sz="4" w:space="0"/>
            </w:tcBorders>
          </w:tcPr>
          <w:p w14:paraId="3E0C18BD">
            <w:pPr>
              <w:snapToGrid w:val="0"/>
              <w:spacing w:before="156" w:beforeLines="50" w:line="360" w:lineRule="exact"/>
              <w:jc w:val="center"/>
              <w:rPr>
                <w:rFonts w:ascii="宋体" w:hAnsi="宋体" w:cs="宋体"/>
                <w:color w:val="auto"/>
                <w:highlight w:val="none"/>
              </w:rPr>
            </w:pPr>
            <w:r>
              <w:rPr>
                <w:rFonts w:hint="eastAsia" w:ascii="宋体" w:hAnsi="宋体" w:cs="宋体"/>
                <w:color w:val="auto"/>
                <w:highlight w:val="none"/>
              </w:rPr>
              <w:t>招标文件要求内容</w:t>
            </w:r>
          </w:p>
        </w:tc>
        <w:tc>
          <w:tcPr>
            <w:tcW w:w="2700" w:type="dxa"/>
            <w:tcBorders>
              <w:top w:val="single" w:color="auto" w:sz="4" w:space="0"/>
              <w:left w:val="single" w:color="auto" w:sz="4" w:space="0"/>
              <w:bottom w:val="single" w:color="auto" w:sz="4" w:space="0"/>
              <w:right w:val="single" w:color="auto" w:sz="4" w:space="0"/>
            </w:tcBorders>
          </w:tcPr>
          <w:p w14:paraId="62362AAC">
            <w:pPr>
              <w:snapToGrid w:val="0"/>
              <w:spacing w:before="156" w:beforeLines="50" w:line="360" w:lineRule="exact"/>
              <w:jc w:val="center"/>
              <w:rPr>
                <w:rFonts w:ascii="宋体" w:hAnsi="宋体" w:cs="宋体"/>
                <w:color w:val="auto"/>
                <w:highlight w:val="none"/>
              </w:rPr>
            </w:pPr>
            <w:r>
              <w:rPr>
                <w:rFonts w:hint="eastAsia" w:ascii="宋体" w:hAnsi="宋体" w:cs="宋体"/>
                <w:color w:val="auto"/>
                <w:highlight w:val="none"/>
              </w:rPr>
              <w:t>投标人的承诺或说明</w:t>
            </w:r>
          </w:p>
        </w:tc>
        <w:tc>
          <w:tcPr>
            <w:tcW w:w="1620" w:type="dxa"/>
            <w:tcBorders>
              <w:top w:val="single" w:color="auto" w:sz="4" w:space="0"/>
              <w:left w:val="single" w:color="auto" w:sz="4" w:space="0"/>
              <w:bottom w:val="single" w:color="auto" w:sz="4" w:space="0"/>
            </w:tcBorders>
          </w:tcPr>
          <w:p w14:paraId="0674F47B">
            <w:pPr>
              <w:snapToGrid w:val="0"/>
              <w:spacing w:before="156" w:beforeLines="50" w:line="360" w:lineRule="exact"/>
              <w:jc w:val="center"/>
              <w:rPr>
                <w:rFonts w:ascii="宋体" w:hAnsi="宋体" w:cs="宋体"/>
                <w:color w:val="auto"/>
                <w:highlight w:val="none"/>
              </w:rPr>
            </w:pPr>
            <w:r>
              <w:rPr>
                <w:rFonts w:hint="eastAsia" w:ascii="宋体" w:hAnsi="宋体" w:cs="宋体"/>
                <w:color w:val="auto"/>
                <w:highlight w:val="none"/>
              </w:rPr>
              <w:t>是否响应</w:t>
            </w:r>
          </w:p>
        </w:tc>
      </w:tr>
      <w:tr w14:paraId="7C16B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63" w:type="dxa"/>
            <w:tcBorders>
              <w:top w:val="single" w:color="auto" w:sz="4" w:space="0"/>
              <w:bottom w:val="single" w:color="auto" w:sz="4" w:space="0"/>
              <w:right w:val="single" w:color="auto" w:sz="4" w:space="0"/>
            </w:tcBorders>
            <w:vAlign w:val="center"/>
          </w:tcPr>
          <w:p w14:paraId="176FF4DA">
            <w:pPr>
              <w:snapToGrid w:val="0"/>
              <w:spacing w:before="156" w:beforeLines="50"/>
              <w:jc w:val="center"/>
              <w:rPr>
                <w:rFonts w:ascii="宋体" w:hAnsi="宋体" w:cs="宋体"/>
                <w:color w:val="auto"/>
                <w:highlight w:val="none"/>
              </w:rPr>
            </w:pPr>
            <w:r>
              <w:rPr>
                <w:rFonts w:hint="eastAsia" w:ascii="宋体" w:hAnsi="宋体" w:cs="宋体"/>
                <w:color w:val="auto"/>
                <w:highlight w:val="none"/>
              </w:rPr>
              <w:t>1</w:t>
            </w:r>
          </w:p>
        </w:tc>
        <w:tc>
          <w:tcPr>
            <w:tcW w:w="4485" w:type="dxa"/>
            <w:tcBorders>
              <w:top w:val="single" w:color="auto" w:sz="4" w:space="0"/>
              <w:left w:val="single" w:color="auto" w:sz="4" w:space="0"/>
              <w:bottom w:val="single" w:color="auto" w:sz="4" w:space="0"/>
              <w:right w:val="single" w:color="auto" w:sz="4" w:space="0"/>
            </w:tcBorders>
            <w:vAlign w:val="center"/>
          </w:tcPr>
          <w:p w14:paraId="53F7C6FC">
            <w:pPr>
              <w:pStyle w:val="14"/>
              <w:ind w:firstLine="180" w:firstLineChars="100"/>
              <w:jc w:val="center"/>
              <w:rPr>
                <w:rFonts w:ascii="宋体" w:hAnsi="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1FD3F1FB">
            <w:pPr>
              <w:snapToGrid w:val="0"/>
              <w:spacing w:before="156" w:beforeLines="50" w:line="360" w:lineRule="exact"/>
              <w:rPr>
                <w:rFonts w:ascii="宋体" w:hAnsi="宋体" w:cs="宋体"/>
                <w:color w:val="auto"/>
                <w:highlight w:val="none"/>
              </w:rPr>
            </w:pPr>
          </w:p>
        </w:tc>
        <w:tc>
          <w:tcPr>
            <w:tcW w:w="1620" w:type="dxa"/>
            <w:tcBorders>
              <w:top w:val="single" w:color="auto" w:sz="4" w:space="0"/>
              <w:left w:val="single" w:color="auto" w:sz="4" w:space="0"/>
              <w:bottom w:val="single" w:color="auto" w:sz="4" w:space="0"/>
            </w:tcBorders>
          </w:tcPr>
          <w:p w14:paraId="2380639B">
            <w:pPr>
              <w:snapToGrid w:val="0"/>
              <w:spacing w:before="156" w:beforeLines="50" w:line="360" w:lineRule="exact"/>
              <w:rPr>
                <w:rFonts w:ascii="宋体" w:hAnsi="宋体" w:cs="宋体"/>
                <w:color w:val="auto"/>
                <w:highlight w:val="none"/>
              </w:rPr>
            </w:pPr>
          </w:p>
        </w:tc>
      </w:tr>
      <w:tr w14:paraId="33427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663" w:type="dxa"/>
            <w:tcBorders>
              <w:top w:val="single" w:color="auto" w:sz="4" w:space="0"/>
              <w:bottom w:val="single" w:color="auto" w:sz="4" w:space="0"/>
              <w:right w:val="single" w:color="auto" w:sz="4" w:space="0"/>
            </w:tcBorders>
            <w:vAlign w:val="center"/>
          </w:tcPr>
          <w:p w14:paraId="63D70F8B">
            <w:pPr>
              <w:snapToGrid w:val="0"/>
              <w:spacing w:before="156" w:beforeLines="50"/>
              <w:jc w:val="center"/>
              <w:rPr>
                <w:rFonts w:ascii="宋体" w:hAnsi="宋体" w:cs="宋体"/>
                <w:color w:val="auto"/>
                <w:highlight w:val="none"/>
              </w:rPr>
            </w:pPr>
            <w:r>
              <w:rPr>
                <w:rFonts w:hint="eastAsia" w:ascii="宋体" w:hAnsi="宋体" w:cs="宋体"/>
                <w:color w:val="auto"/>
                <w:highlight w:val="none"/>
              </w:rPr>
              <w:t>2</w:t>
            </w:r>
          </w:p>
        </w:tc>
        <w:tc>
          <w:tcPr>
            <w:tcW w:w="4485" w:type="dxa"/>
            <w:tcBorders>
              <w:top w:val="single" w:color="auto" w:sz="4" w:space="0"/>
              <w:left w:val="single" w:color="auto" w:sz="4" w:space="0"/>
              <w:bottom w:val="single" w:color="auto" w:sz="4" w:space="0"/>
              <w:right w:val="single" w:color="auto" w:sz="4" w:space="0"/>
            </w:tcBorders>
            <w:vAlign w:val="center"/>
          </w:tcPr>
          <w:p w14:paraId="201F0990">
            <w:pPr>
              <w:widowControl/>
              <w:jc w:val="center"/>
              <w:rPr>
                <w:rFonts w:ascii="宋体" w:hAnsi="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0D41E231">
            <w:pPr>
              <w:snapToGrid w:val="0"/>
              <w:spacing w:before="156" w:beforeLines="50" w:line="360" w:lineRule="exact"/>
              <w:ind w:left="43"/>
              <w:rPr>
                <w:rFonts w:ascii="宋体" w:hAnsi="宋体" w:cs="宋体"/>
                <w:color w:val="auto"/>
                <w:highlight w:val="none"/>
              </w:rPr>
            </w:pPr>
          </w:p>
        </w:tc>
        <w:tc>
          <w:tcPr>
            <w:tcW w:w="1620" w:type="dxa"/>
            <w:tcBorders>
              <w:top w:val="single" w:color="auto" w:sz="4" w:space="0"/>
              <w:left w:val="single" w:color="auto" w:sz="4" w:space="0"/>
              <w:bottom w:val="single" w:color="auto" w:sz="4" w:space="0"/>
            </w:tcBorders>
          </w:tcPr>
          <w:p w14:paraId="395BE585">
            <w:pPr>
              <w:snapToGrid w:val="0"/>
              <w:spacing w:before="156" w:beforeLines="50" w:line="360" w:lineRule="exact"/>
              <w:ind w:left="43"/>
              <w:rPr>
                <w:rFonts w:ascii="宋体" w:hAnsi="宋体" w:cs="宋体"/>
                <w:color w:val="auto"/>
                <w:highlight w:val="none"/>
              </w:rPr>
            </w:pPr>
          </w:p>
        </w:tc>
      </w:tr>
      <w:tr w14:paraId="69BE8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63" w:type="dxa"/>
            <w:tcBorders>
              <w:top w:val="single" w:color="auto" w:sz="4" w:space="0"/>
              <w:bottom w:val="single" w:color="auto" w:sz="4" w:space="0"/>
              <w:right w:val="single" w:color="auto" w:sz="4" w:space="0"/>
            </w:tcBorders>
            <w:vAlign w:val="center"/>
          </w:tcPr>
          <w:p w14:paraId="149C97ED">
            <w:pPr>
              <w:snapToGrid w:val="0"/>
              <w:spacing w:before="156" w:beforeLines="50"/>
              <w:jc w:val="center"/>
              <w:rPr>
                <w:rFonts w:ascii="宋体" w:hAnsi="宋体" w:cs="宋体"/>
                <w:color w:val="auto"/>
                <w:highlight w:val="none"/>
              </w:rPr>
            </w:pPr>
            <w:r>
              <w:rPr>
                <w:rFonts w:hint="eastAsia" w:ascii="宋体" w:hAnsi="宋体" w:cs="宋体"/>
                <w:color w:val="auto"/>
                <w:highlight w:val="none"/>
              </w:rPr>
              <w:t>3</w:t>
            </w:r>
          </w:p>
        </w:tc>
        <w:tc>
          <w:tcPr>
            <w:tcW w:w="4485" w:type="dxa"/>
            <w:tcBorders>
              <w:top w:val="single" w:color="auto" w:sz="4" w:space="0"/>
              <w:left w:val="single" w:color="auto" w:sz="4" w:space="0"/>
              <w:bottom w:val="single" w:color="auto" w:sz="4" w:space="0"/>
              <w:right w:val="single" w:color="auto" w:sz="4" w:space="0"/>
            </w:tcBorders>
            <w:vAlign w:val="center"/>
          </w:tcPr>
          <w:p w14:paraId="5E3E31EF">
            <w:pPr>
              <w:pStyle w:val="14"/>
              <w:jc w:val="center"/>
              <w:rPr>
                <w:rFonts w:ascii="宋体" w:hAnsi="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74E3DF08">
            <w:pPr>
              <w:snapToGrid w:val="0"/>
              <w:spacing w:before="156" w:beforeLines="50" w:line="360" w:lineRule="exact"/>
              <w:rPr>
                <w:rFonts w:ascii="宋体" w:hAnsi="宋体" w:cs="宋体"/>
                <w:color w:val="auto"/>
                <w:highlight w:val="none"/>
              </w:rPr>
            </w:pPr>
          </w:p>
        </w:tc>
        <w:tc>
          <w:tcPr>
            <w:tcW w:w="1620" w:type="dxa"/>
            <w:tcBorders>
              <w:top w:val="single" w:color="auto" w:sz="4" w:space="0"/>
              <w:left w:val="single" w:color="auto" w:sz="4" w:space="0"/>
              <w:bottom w:val="single" w:color="auto" w:sz="4" w:space="0"/>
            </w:tcBorders>
          </w:tcPr>
          <w:p w14:paraId="1FE50541">
            <w:pPr>
              <w:snapToGrid w:val="0"/>
              <w:spacing w:before="156" w:beforeLines="50" w:line="360" w:lineRule="exact"/>
              <w:rPr>
                <w:rFonts w:ascii="宋体" w:hAnsi="宋体" w:cs="宋体"/>
                <w:color w:val="auto"/>
                <w:highlight w:val="none"/>
              </w:rPr>
            </w:pPr>
          </w:p>
        </w:tc>
      </w:tr>
      <w:tr w14:paraId="75686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vAlign w:val="center"/>
          </w:tcPr>
          <w:p w14:paraId="32ED9D44">
            <w:pPr>
              <w:snapToGrid w:val="0"/>
              <w:spacing w:before="156" w:beforeLines="50"/>
              <w:jc w:val="center"/>
              <w:rPr>
                <w:rFonts w:ascii="宋体" w:hAnsi="宋体" w:cs="宋体"/>
                <w:color w:val="auto"/>
                <w:highlight w:val="none"/>
              </w:rPr>
            </w:pPr>
            <w:r>
              <w:rPr>
                <w:rFonts w:hint="eastAsia" w:ascii="宋体" w:hAnsi="宋体" w:cs="宋体"/>
                <w:color w:val="auto"/>
                <w:highlight w:val="none"/>
              </w:rPr>
              <w:t>4</w:t>
            </w:r>
          </w:p>
        </w:tc>
        <w:tc>
          <w:tcPr>
            <w:tcW w:w="4485" w:type="dxa"/>
            <w:tcBorders>
              <w:top w:val="single" w:color="auto" w:sz="4" w:space="0"/>
              <w:left w:val="single" w:color="auto" w:sz="4" w:space="0"/>
              <w:bottom w:val="single" w:color="auto" w:sz="4" w:space="0"/>
              <w:right w:val="single" w:color="auto" w:sz="4" w:space="0"/>
            </w:tcBorders>
            <w:vAlign w:val="center"/>
          </w:tcPr>
          <w:p w14:paraId="7144C959">
            <w:pPr>
              <w:pStyle w:val="14"/>
              <w:jc w:val="center"/>
              <w:rPr>
                <w:rFonts w:ascii="宋体" w:hAnsi="宋体" w:cs="宋体"/>
                <w:b/>
                <w:bCs/>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541D6328">
            <w:pPr>
              <w:snapToGrid w:val="0"/>
              <w:spacing w:before="156" w:beforeLines="50" w:line="360" w:lineRule="exact"/>
              <w:rPr>
                <w:rFonts w:ascii="宋体" w:hAnsi="宋体" w:cs="宋体"/>
                <w:color w:val="auto"/>
                <w:highlight w:val="none"/>
              </w:rPr>
            </w:pPr>
          </w:p>
        </w:tc>
        <w:tc>
          <w:tcPr>
            <w:tcW w:w="1620" w:type="dxa"/>
            <w:tcBorders>
              <w:top w:val="single" w:color="auto" w:sz="4" w:space="0"/>
              <w:left w:val="single" w:color="auto" w:sz="4" w:space="0"/>
              <w:bottom w:val="single" w:color="auto" w:sz="4" w:space="0"/>
            </w:tcBorders>
          </w:tcPr>
          <w:p w14:paraId="777DDF6E">
            <w:pPr>
              <w:snapToGrid w:val="0"/>
              <w:spacing w:before="156" w:beforeLines="50" w:line="360" w:lineRule="exact"/>
              <w:rPr>
                <w:rFonts w:ascii="宋体" w:hAnsi="宋体" w:cs="宋体"/>
                <w:color w:val="auto"/>
                <w:highlight w:val="none"/>
              </w:rPr>
            </w:pPr>
          </w:p>
        </w:tc>
      </w:tr>
      <w:tr w14:paraId="2F34B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1627D288">
            <w:pPr>
              <w:snapToGrid w:val="0"/>
              <w:spacing w:before="156" w:beforeLines="50" w:line="360" w:lineRule="exact"/>
              <w:jc w:val="center"/>
              <w:rPr>
                <w:rFonts w:ascii="宋体" w:hAnsi="宋体" w:cs="宋体"/>
                <w:color w:val="auto"/>
                <w:highlight w:val="none"/>
              </w:rPr>
            </w:pPr>
            <w:r>
              <w:rPr>
                <w:rFonts w:hint="eastAsia" w:ascii="宋体" w:hAnsi="宋体" w:cs="宋体"/>
                <w:color w:val="auto"/>
                <w:highlight w:val="none"/>
              </w:rPr>
              <w:t>5</w:t>
            </w:r>
          </w:p>
        </w:tc>
        <w:tc>
          <w:tcPr>
            <w:tcW w:w="4485" w:type="dxa"/>
            <w:tcBorders>
              <w:top w:val="single" w:color="auto" w:sz="4" w:space="0"/>
              <w:left w:val="single" w:color="auto" w:sz="4" w:space="0"/>
              <w:bottom w:val="single" w:color="auto" w:sz="4" w:space="0"/>
              <w:right w:val="single" w:color="auto" w:sz="4" w:space="0"/>
            </w:tcBorders>
            <w:vAlign w:val="center"/>
          </w:tcPr>
          <w:p w14:paraId="75163397">
            <w:pPr>
              <w:pStyle w:val="14"/>
              <w:ind w:firstLine="181" w:firstLineChars="100"/>
              <w:jc w:val="center"/>
              <w:rPr>
                <w:rFonts w:ascii="宋体" w:hAnsi="宋体" w:cs="宋体"/>
                <w:b/>
                <w:bCs/>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6D722467">
            <w:pPr>
              <w:snapToGrid w:val="0"/>
              <w:spacing w:before="156" w:beforeLines="50" w:line="360" w:lineRule="exact"/>
              <w:rPr>
                <w:rFonts w:ascii="宋体" w:hAnsi="宋体" w:cs="宋体"/>
                <w:color w:val="auto"/>
                <w:highlight w:val="none"/>
              </w:rPr>
            </w:pPr>
          </w:p>
        </w:tc>
        <w:tc>
          <w:tcPr>
            <w:tcW w:w="1620" w:type="dxa"/>
            <w:tcBorders>
              <w:top w:val="single" w:color="auto" w:sz="4" w:space="0"/>
              <w:left w:val="single" w:color="auto" w:sz="4" w:space="0"/>
              <w:bottom w:val="single" w:color="auto" w:sz="4" w:space="0"/>
            </w:tcBorders>
          </w:tcPr>
          <w:p w14:paraId="58F26998">
            <w:pPr>
              <w:snapToGrid w:val="0"/>
              <w:spacing w:before="156" w:beforeLines="50" w:line="360" w:lineRule="exact"/>
              <w:rPr>
                <w:rFonts w:ascii="宋体" w:hAnsi="宋体" w:cs="宋体"/>
                <w:color w:val="auto"/>
                <w:highlight w:val="none"/>
              </w:rPr>
            </w:pPr>
          </w:p>
        </w:tc>
      </w:tr>
      <w:tr w14:paraId="601F0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62CEE46F">
            <w:pPr>
              <w:snapToGrid w:val="0"/>
              <w:spacing w:before="156" w:beforeLines="50" w:line="360" w:lineRule="exact"/>
              <w:jc w:val="center"/>
              <w:rPr>
                <w:rFonts w:ascii="宋体" w:hAnsi="宋体" w:cs="宋体"/>
                <w:color w:val="auto"/>
                <w:highlight w:val="none"/>
              </w:rPr>
            </w:pPr>
            <w:r>
              <w:rPr>
                <w:rFonts w:hint="eastAsia" w:ascii="宋体" w:hAnsi="宋体" w:cs="宋体"/>
                <w:color w:val="auto"/>
                <w:highlight w:val="none"/>
              </w:rPr>
              <w:t>6</w:t>
            </w:r>
          </w:p>
        </w:tc>
        <w:tc>
          <w:tcPr>
            <w:tcW w:w="4485" w:type="dxa"/>
            <w:tcBorders>
              <w:top w:val="single" w:color="auto" w:sz="4" w:space="0"/>
              <w:left w:val="single" w:color="auto" w:sz="4" w:space="0"/>
              <w:bottom w:val="single" w:color="auto" w:sz="4" w:space="0"/>
              <w:right w:val="single" w:color="auto" w:sz="4" w:space="0"/>
            </w:tcBorders>
            <w:vAlign w:val="center"/>
          </w:tcPr>
          <w:p w14:paraId="21E717B3">
            <w:pPr>
              <w:pStyle w:val="14"/>
              <w:ind w:firstLine="180" w:firstLineChars="100"/>
              <w:jc w:val="center"/>
              <w:rPr>
                <w:rFonts w:ascii="宋体" w:hAnsi="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628CB8B8">
            <w:pPr>
              <w:snapToGrid w:val="0"/>
              <w:spacing w:before="156" w:beforeLines="50" w:line="360" w:lineRule="exact"/>
              <w:rPr>
                <w:rFonts w:ascii="宋体" w:hAnsi="宋体" w:cs="宋体"/>
                <w:color w:val="auto"/>
                <w:highlight w:val="none"/>
              </w:rPr>
            </w:pPr>
          </w:p>
        </w:tc>
        <w:tc>
          <w:tcPr>
            <w:tcW w:w="1620" w:type="dxa"/>
            <w:tcBorders>
              <w:top w:val="single" w:color="auto" w:sz="4" w:space="0"/>
              <w:left w:val="single" w:color="auto" w:sz="4" w:space="0"/>
              <w:bottom w:val="single" w:color="auto" w:sz="4" w:space="0"/>
            </w:tcBorders>
          </w:tcPr>
          <w:p w14:paraId="18D6260C">
            <w:pPr>
              <w:snapToGrid w:val="0"/>
              <w:spacing w:before="156" w:beforeLines="50" w:line="360" w:lineRule="exact"/>
              <w:rPr>
                <w:rFonts w:ascii="宋体" w:hAnsi="宋体" w:cs="宋体"/>
                <w:color w:val="auto"/>
                <w:highlight w:val="none"/>
              </w:rPr>
            </w:pPr>
          </w:p>
        </w:tc>
      </w:tr>
      <w:tr w14:paraId="33F19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094DCA4D">
            <w:pPr>
              <w:snapToGrid w:val="0"/>
              <w:spacing w:before="156" w:beforeLines="50" w:line="360" w:lineRule="exact"/>
              <w:jc w:val="center"/>
              <w:rPr>
                <w:rFonts w:ascii="宋体" w:hAnsi="宋体" w:cs="宋体"/>
                <w:color w:val="auto"/>
                <w:highlight w:val="none"/>
              </w:rPr>
            </w:pPr>
          </w:p>
        </w:tc>
        <w:tc>
          <w:tcPr>
            <w:tcW w:w="4485" w:type="dxa"/>
            <w:tcBorders>
              <w:top w:val="single" w:color="auto" w:sz="4" w:space="0"/>
              <w:left w:val="single" w:color="auto" w:sz="4" w:space="0"/>
              <w:bottom w:val="single" w:color="auto" w:sz="4" w:space="0"/>
              <w:right w:val="single" w:color="auto" w:sz="4" w:space="0"/>
            </w:tcBorders>
          </w:tcPr>
          <w:p w14:paraId="70DACA87">
            <w:pPr>
              <w:snapToGrid w:val="0"/>
              <w:spacing w:before="156" w:beforeLines="50" w:line="360" w:lineRule="exact"/>
              <w:jc w:val="center"/>
              <w:rPr>
                <w:rFonts w:ascii="宋体" w:hAnsi="宋体" w:cs="宋体"/>
                <w:color w:val="auto"/>
                <w:highlight w:val="none"/>
              </w:rPr>
            </w:pPr>
            <w:r>
              <w:rPr>
                <w:rFonts w:hint="eastAsia" w:ascii="宋体" w:hAnsi="宋体"/>
                <w:color w:val="auto"/>
                <w:szCs w:val="21"/>
                <w:highlight w:val="none"/>
              </w:rPr>
              <w:t>…</w:t>
            </w:r>
          </w:p>
        </w:tc>
        <w:tc>
          <w:tcPr>
            <w:tcW w:w="2700" w:type="dxa"/>
            <w:tcBorders>
              <w:top w:val="single" w:color="auto" w:sz="4" w:space="0"/>
              <w:left w:val="single" w:color="auto" w:sz="4" w:space="0"/>
              <w:bottom w:val="single" w:color="auto" w:sz="4" w:space="0"/>
              <w:right w:val="single" w:color="auto" w:sz="4" w:space="0"/>
            </w:tcBorders>
          </w:tcPr>
          <w:p w14:paraId="69387628">
            <w:pPr>
              <w:snapToGrid w:val="0"/>
              <w:spacing w:before="156" w:beforeLines="50" w:line="360" w:lineRule="exact"/>
              <w:rPr>
                <w:rFonts w:ascii="宋体" w:hAnsi="宋体" w:cs="宋体"/>
                <w:color w:val="auto"/>
                <w:highlight w:val="none"/>
              </w:rPr>
            </w:pPr>
          </w:p>
        </w:tc>
        <w:tc>
          <w:tcPr>
            <w:tcW w:w="1620" w:type="dxa"/>
            <w:tcBorders>
              <w:top w:val="single" w:color="auto" w:sz="4" w:space="0"/>
              <w:left w:val="single" w:color="auto" w:sz="4" w:space="0"/>
              <w:bottom w:val="single" w:color="auto" w:sz="4" w:space="0"/>
            </w:tcBorders>
          </w:tcPr>
          <w:p w14:paraId="4C95FB90">
            <w:pPr>
              <w:snapToGrid w:val="0"/>
              <w:spacing w:before="156" w:beforeLines="50" w:line="360" w:lineRule="exact"/>
              <w:rPr>
                <w:rFonts w:ascii="宋体" w:hAnsi="宋体" w:cs="宋体"/>
                <w:color w:val="auto"/>
                <w:highlight w:val="none"/>
              </w:rPr>
            </w:pPr>
          </w:p>
        </w:tc>
      </w:tr>
      <w:tr w14:paraId="4818E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5E3FFB8B">
            <w:pPr>
              <w:snapToGrid w:val="0"/>
              <w:spacing w:before="156" w:beforeLines="50" w:line="360" w:lineRule="exact"/>
              <w:jc w:val="center"/>
              <w:rPr>
                <w:rFonts w:ascii="宋体" w:hAnsi="宋体" w:cs="宋体"/>
                <w:color w:val="auto"/>
                <w:highlight w:val="none"/>
              </w:rPr>
            </w:pPr>
          </w:p>
        </w:tc>
        <w:tc>
          <w:tcPr>
            <w:tcW w:w="4485" w:type="dxa"/>
            <w:tcBorders>
              <w:top w:val="single" w:color="auto" w:sz="4" w:space="0"/>
              <w:left w:val="single" w:color="auto" w:sz="4" w:space="0"/>
              <w:bottom w:val="single" w:color="auto" w:sz="4" w:space="0"/>
              <w:right w:val="single" w:color="auto" w:sz="4" w:space="0"/>
            </w:tcBorders>
          </w:tcPr>
          <w:p w14:paraId="54B8D166">
            <w:pPr>
              <w:snapToGrid w:val="0"/>
              <w:spacing w:before="156" w:beforeLines="50" w:line="360" w:lineRule="exact"/>
              <w:rPr>
                <w:rFonts w:ascii="宋体" w:hAnsi="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14:paraId="3A229C0C">
            <w:pPr>
              <w:snapToGrid w:val="0"/>
              <w:spacing w:before="156" w:beforeLines="50" w:line="360" w:lineRule="exact"/>
              <w:rPr>
                <w:rFonts w:ascii="宋体" w:hAnsi="宋体" w:cs="宋体"/>
                <w:color w:val="auto"/>
                <w:highlight w:val="none"/>
              </w:rPr>
            </w:pPr>
          </w:p>
        </w:tc>
        <w:tc>
          <w:tcPr>
            <w:tcW w:w="1620" w:type="dxa"/>
            <w:tcBorders>
              <w:top w:val="single" w:color="auto" w:sz="4" w:space="0"/>
              <w:left w:val="single" w:color="auto" w:sz="4" w:space="0"/>
              <w:bottom w:val="single" w:color="auto" w:sz="4" w:space="0"/>
            </w:tcBorders>
          </w:tcPr>
          <w:p w14:paraId="3B3A37BF">
            <w:pPr>
              <w:snapToGrid w:val="0"/>
              <w:spacing w:before="156" w:beforeLines="50" w:line="360" w:lineRule="exact"/>
              <w:rPr>
                <w:rFonts w:ascii="宋体" w:hAnsi="宋体" w:cs="宋体"/>
                <w:color w:val="auto"/>
                <w:highlight w:val="none"/>
              </w:rPr>
            </w:pPr>
          </w:p>
        </w:tc>
      </w:tr>
    </w:tbl>
    <w:p w14:paraId="5F861D9E">
      <w:pPr>
        <w:snapToGrid w:val="0"/>
        <w:spacing w:before="50" w:after="50" w:line="360" w:lineRule="exact"/>
        <w:rPr>
          <w:rFonts w:ascii="宋体" w:hAnsi="宋体"/>
          <w:color w:val="auto"/>
          <w:spacing w:val="20"/>
          <w:szCs w:val="21"/>
          <w:highlight w:val="none"/>
        </w:rPr>
      </w:pPr>
    </w:p>
    <w:p w14:paraId="20CC7575">
      <w:pPr>
        <w:snapToGrid w:val="0"/>
        <w:spacing w:before="50" w:after="50" w:line="360" w:lineRule="exact"/>
        <w:ind w:firstLine="210" w:firstLineChars="100"/>
        <w:rPr>
          <w:rFonts w:ascii="宋体" w:hAnsi="宋体"/>
          <w:color w:val="auto"/>
          <w:spacing w:val="20"/>
          <w:szCs w:val="21"/>
          <w:highlight w:val="none"/>
          <w:u w:val="single"/>
        </w:rPr>
      </w:pPr>
      <w:r>
        <w:rPr>
          <w:rFonts w:hint="eastAsia" w:ascii="宋体" w:hAnsi="宋体"/>
          <w:bCs/>
          <w:color w:val="auto"/>
          <w:szCs w:val="21"/>
          <w:highlight w:val="none"/>
        </w:rPr>
        <w:t>法定代表人（负责人）或委托代理人签名</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14:paraId="5DAFD535">
      <w:pPr>
        <w:snapToGrid w:val="0"/>
        <w:spacing w:line="360" w:lineRule="exact"/>
        <w:ind w:firstLine="245" w:firstLineChars="98"/>
        <w:jc w:val="left"/>
        <w:rPr>
          <w:rFonts w:ascii="宋体" w:hAnsi="宋体"/>
          <w:color w:val="auto"/>
          <w:spacing w:val="20"/>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w:t>
      </w:r>
    </w:p>
    <w:p w14:paraId="59526324">
      <w:pPr>
        <w:snapToGrid w:val="0"/>
        <w:spacing w:line="360" w:lineRule="exact"/>
        <w:ind w:firstLine="245" w:firstLineChars="98"/>
        <w:jc w:val="left"/>
        <w:rPr>
          <w:rFonts w:ascii="宋体" w:hAnsi="宋体"/>
          <w:b/>
          <w:color w:val="auto"/>
          <w:szCs w:val="21"/>
          <w:highlight w:val="none"/>
        </w:rPr>
      </w:pPr>
      <w:r>
        <w:rPr>
          <w:rFonts w:hint="eastAsia" w:ascii="宋体" w:hAnsi="宋体"/>
          <w:color w:val="auto"/>
          <w:spacing w:val="20"/>
          <w:szCs w:val="21"/>
          <w:highlight w:val="none"/>
        </w:rPr>
        <w:t>日 期：</w:t>
      </w:r>
      <w:r>
        <w:rPr>
          <w:rFonts w:hint="eastAsia" w:ascii="宋体" w:hAnsi="宋体"/>
          <w:color w:val="auto"/>
          <w:spacing w:val="20"/>
          <w:szCs w:val="21"/>
          <w:highlight w:val="none"/>
          <w:u w:val="single"/>
        </w:rPr>
        <w:t xml:space="preserve">          </w:t>
      </w:r>
    </w:p>
    <w:p w14:paraId="2F0BCC35">
      <w:pPr>
        <w:adjustRightInd w:val="0"/>
        <w:snapToGrid w:val="0"/>
        <w:spacing w:line="360" w:lineRule="exact"/>
        <w:ind w:firstLine="420" w:firstLineChars="200"/>
        <w:jc w:val="left"/>
        <w:rPr>
          <w:rFonts w:ascii="宋体" w:hAnsi="宋体"/>
          <w:b/>
          <w:color w:val="auto"/>
          <w:szCs w:val="21"/>
          <w:highlight w:val="none"/>
        </w:rPr>
      </w:pPr>
      <w:r>
        <w:rPr>
          <w:rFonts w:hint="eastAsia" w:ascii="宋体" w:hAnsi="宋体"/>
          <w:color w:val="auto"/>
          <w:highlight w:val="none"/>
        </w:rPr>
        <w:br w:type="page"/>
      </w:r>
      <w:r>
        <w:rPr>
          <w:rFonts w:hint="eastAsia" w:ascii="宋体" w:hAnsi="宋体"/>
          <w:color w:val="auto"/>
          <w:highlight w:val="none"/>
        </w:rPr>
        <w:t>▲</w:t>
      </w:r>
      <w:r>
        <w:rPr>
          <w:rFonts w:hint="eastAsia" w:ascii="宋体" w:hAnsi="宋体"/>
          <w:b/>
          <w:bCs/>
          <w:color w:val="auto"/>
          <w:szCs w:val="21"/>
          <w:highlight w:val="none"/>
        </w:rPr>
        <w:t>（2）技术服务响应表格式：</w:t>
      </w:r>
    </w:p>
    <w:p w14:paraId="29AE1B0D">
      <w:pPr>
        <w:pStyle w:val="13"/>
        <w:jc w:val="center"/>
        <w:rPr>
          <w:color w:val="auto"/>
          <w:sz w:val="24"/>
          <w:szCs w:val="24"/>
          <w:highlight w:val="none"/>
        </w:rPr>
      </w:pPr>
      <w:r>
        <w:rPr>
          <w:rFonts w:hint="eastAsia"/>
          <w:b/>
          <w:color w:val="auto"/>
          <w:sz w:val="21"/>
          <w:highlight w:val="none"/>
        </w:rPr>
        <w:t>服务响应表</w:t>
      </w:r>
    </w:p>
    <w:tbl>
      <w:tblPr>
        <w:tblStyle w:val="21"/>
        <w:tblW w:w="10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372"/>
        <w:gridCol w:w="1410"/>
        <w:gridCol w:w="3060"/>
        <w:gridCol w:w="1443"/>
        <w:gridCol w:w="1342"/>
        <w:gridCol w:w="1342"/>
      </w:tblGrid>
      <w:tr w14:paraId="13C0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48" w:type="dxa"/>
            <w:vAlign w:val="center"/>
          </w:tcPr>
          <w:p w14:paraId="0A2C1F7D">
            <w:pPr>
              <w:pStyle w:val="13"/>
              <w:spacing w:line="400" w:lineRule="exact"/>
              <w:jc w:val="center"/>
              <w:rPr>
                <w:rFonts w:hAnsi="宋体" w:cs="宋体"/>
                <w:color w:val="auto"/>
                <w:kern w:val="2"/>
                <w:sz w:val="21"/>
                <w:highlight w:val="none"/>
              </w:rPr>
            </w:pPr>
            <w:r>
              <w:rPr>
                <w:rFonts w:hint="eastAsia" w:hAnsi="宋体" w:cs="宋体"/>
                <w:color w:val="auto"/>
                <w:kern w:val="2"/>
                <w:sz w:val="21"/>
                <w:highlight w:val="none"/>
              </w:rPr>
              <w:t>项号</w:t>
            </w:r>
          </w:p>
        </w:tc>
        <w:tc>
          <w:tcPr>
            <w:tcW w:w="1372" w:type="dxa"/>
            <w:vAlign w:val="center"/>
          </w:tcPr>
          <w:p w14:paraId="55B469A8">
            <w:pPr>
              <w:pStyle w:val="13"/>
              <w:spacing w:line="400" w:lineRule="exact"/>
              <w:jc w:val="center"/>
              <w:rPr>
                <w:rFonts w:hAnsi="宋体" w:cs="宋体"/>
                <w:color w:val="auto"/>
                <w:kern w:val="2"/>
                <w:sz w:val="21"/>
                <w:highlight w:val="none"/>
              </w:rPr>
            </w:pPr>
            <w:r>
              <w:rPr>
                <w:rFonts w:hint="eastAsia" w:hAnsi="宋体" w:cs="宋体"/>
                <w:color w:val="auto"/>
                <w:kern w:val="2"/>
                <w:sz w:val="21"/>
                <w:highlight w:val="none"/>
              </w:rPr>
              <w:t>服务名称</w:t>
            </w:r>
          </w:p>
        </w:tc>
        <w:tc>
          <w:tcPr>
            <w:tcW w:w="1410" w:type="dxa"/>
            <w:vAlign w:val="center"/>
          </w:tcPr>
          <w:p w14:paraId="7996E938">
            <w:pPr>
              <w:pStyle w:val="13"/>
              <w:spacing w:line="400" w:lineRule="exact"/>
              <w:jc w:val="center"/>
              <w:rPr>
                <w:rFonts w:hAnsi="宋体" w:cs="宋体"/>
                <w:color w:val="auto"/>
                <w:kern w:val="2"/>
                <w:sz w:val="21"/>
                <w:highlight w:val="none"/>
              </w:rPr>
            </w:pPr>
            <w:r>
              <w:rPr>
                <w:rFonts w:hint="eastAsia" w:hAnsi="宋体" w:cs="宋体"/>
                <w:color w:val="auto"/>
                <w:kern w:val="2"/>
                <w:sz w:val="21"/>
                <w:highlight w:val="none"/>
              </w:rPr>
              <w:t>服务条款</w:t>
            </w:r>
          </w:p>
          <w:p w14:paraId="67D649D2">
            <w:pPr>
              <w:pStyle w:val="13"/>
              <w:spacing w:line="400" w:lineRule="exact"/>
              <w:jc w:val="center"/>
              <w:rPr>
                <w:rFonts w:hAnsi="宋体" w:cs="宋体"/>
                <w:color w:val="auto"/>
                <w:kern w:val="2"/>
                <w:sz w:val="21"/>
                <w:highlight w:val="none"/>
              </w:rPr>
            </w:pPr>
            <w:r>
              <w:rPr>
                <w:rFonts w:hint="eastAsia" w:hAnsi="宋体" w:cs="宋体"/>
                <w:color w:val="auto"/>
                <w:kern w:val="2"/>
                <w:sz w:val="21"/>
                <w:highlight w:val="none"/>
              </w:rPr>
              <w:t>（条款号）</w:t>
            </w:r>
          </w:p>
        </w:tc>
        <w:tc>
          <w:tcPr>
            <w:tcW w:w="3060" w:type="dxa"/>
            <w:vAlign w:val="center"/>
          </w:tcPr>
          <w:p w14:paraId="6DA86C7D">
            <w:pPr>
              <w:pStyle w:val="13"/>
              <w:spacing w:line="400" w:lineRule="exact"/>
              <w:jc w:val="center"/>
              <w:rPr>
                <w:rFonts w:hAnsi="宋体" w:cs="宋体"/>
                <w:color w:val="auto"/>
                <w:kern w:val="2"/>
                <w:sz w:val="21"/>
                <w:highlight w:val="none"/>
              </w:rPr>
            </w:pPr>
            <w:r>
              <w:rPr>
                <w:rFonts w:hint="eastAsia" w:hAnsi="宋体" w:cs="宋体"/>
                <w:color w:val="auto"/>
                <w:kern w:val="2"/>
                <w:sz w:val="21"/>
                <w:highlight w:val="none"/>
              </w:rPr>
              <w:t>招标要求</w:t>
            </w:r>
          </w:p>
        </w:tc>
        <w:tc>
          <w:tcPr>
            <w:tcW w:w="1443" w:type="dxa"/>
            <w:vAlign w:val="center"/>
          </w:tcPr>
          <w:p w14:paraId="0DF7ACB0">
            <w:pPr>
              <w:pStyle w:val="13"/>
              <w:spacing w:line="400" w:lineRule="exact"/>
              <w:jc w:val="center"/>
              <w:rPr>
                <w:rFonts w:hAnsi="宋体" w:cs="宋体"/>
                <w:color w:val="auto"/>
                <w:kern w:val="2"/>
                <w:sz w:val="21"/>
                <w:highlight w:val="none"/>
              </w:rPr>
            </w:pPr>
            <w:r>
              <w:rPr>
                <w:rFonts w:hint="eastAsia" w:hAnsi="宋体" w:cs="宋体"/>
                <w:color w:val="auto"/>
                <w:kern w:val="2"/>
                <w:sz w:val="21"/>
                <w:highlight w:val="none"/>
              </w:rPr>
              <w:t>投标响应</w:t>
            </w:r>
          </w:p>
        </w:tc>
        <w:tc>
          <w:tcPr>
            <w:tcW w:w="1342" w:type="dxa"/>
            <w:vAlign w:val="center"/>
          </w:tcPr>
          <w:p w14:paraId="6CFC2C2D">
            <w:pPr>
              <w:pStyle w:val="13"/>
              <w:spacing w:line="400" w:lineRule="exact"/>
              <w:jc w:val="center"/>
              <w:rPr>
                <w:rFonts w:hAnsi="宋体" w:cs="宋体"/>
                <w:color w:val="auto"/>
                <w:kern w:val="2"/>
                <w:sz w:val="21"/>
                <w:highlight w:val="none"/>
              </w:rPr>
            </w:pPr>
            <w:r>
              <w:rPr>
                <w:rFonts w:hint="eastAsia" w:hAnsi="宋体" w:cs="宋体"/>
                <w:color w:val="auto"/>
                <w:kern w:val="2"/>
                <w:sz w:val="21"/>
                <w:highlight w:val="none"/>
              </w:rPr>
              <w:t>偏离情况</w:t>
            </w:r>
          </w:p>
        </w:tc>
        <w:tc>
          <w:tcPr>
            <w:tcW w:w="1342" w:type="dxa"/>
            <w:vAlign w:val="center"/>
          </w:tcPr>
          <w:p w14:paraId="17447ED6">
            <w:pPr>
              <w:pStyle w:val="13"/>
              <w:spacing w:line="400" w:lineRule="exact"/>
              <w:jc w:val="center"/>
              <w:rPr>
                <w:rFonts w:hAnsi="宋体" w:cs="宋体"/>
                <w:color w:val="auto"/>
                <w:kern w:val="2"/>
                <w:sz w:val="21"/>
                <w:highlight w:val="none"/>
              </w:rPr>
            </w:pPr>
            <w:r>
              <w:rPr>
                <w:rFonts w:hint="eastAsia" w:hAnsi="宋体" w:cs="宋体"/>
                <w:color w:val="auto"/>
                <w:kern w:val="2"/>
                <w:sz w:val="21"/>
                <w:highlight w:val="none"/>
              </w:rPr>
              <w:t>偏离说明</w:t>
            </w:r>
          </w:p>
        </w:tc>
      </w:tr>
      <w:tr w14:paraId="23D2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48" w:type="dxa"/>
            <w:vAlign w:val="center"/>
          </w:tcPr>
          <w:p w14:paraId="3DBA0691">
            <w:pPr>
              <w:pStyle w:val="13"/>
              <w:spacing w:line="600" w:lineRule="exact"/>
              <w:jc w:val="center"/>
              <w:rPr>
                <w:rFonts w:hAnsi="宋体" w:cs="宋体"/>
                <w:color w:val="auto"/>
                <w:kern w:val="2"/>
                <w:sz w:val="21"/>
                <w:highlight w:val="none"/>
              </w:rPr>
            </w:pPr>
            <w:r>
              <w:rPr>
                <w:rFonts w:hint="eastAsia" w:hAnsi="宋体" w:cs="宋体"/>
                <w:color w:val="auto"/>
                <w:kern w:val="2"/>
                <w:sz w:val="21"/>
                <w:highlight w:val="none"/>
              </w:rPr>
              <w:t>1</w:t>
            </w:r>
          </w:p>
        </w:tc>
        <w:tc>
          <w:tcPr>
            <w:tcW w:w="1372" w:type="dxa"/>
            <w:vAlign w:val="center"/>
          </w:tcPr>
          <w:p w14:paraId="28F207F7">
            <w:pPr>
              <w:pStyle w:val="13"/>
              <w:spacing w:line="600" w:lineRule="exact"/>
              <w:jc w:val="center"/>
              <w:rPr>
                <w:rFonts w:hAnsi="宋体" w:cs="宋体"/>
                <w:color w:val="auto"/>
                <w:kern w:val="2"/>
                <w:sz w:val="21"/>
                <w:highlight w:val="none"/>
              </w:rPr>
            </w:pPr>
          </w:p>
        </w:tc>
        <w:tc>
          <w:tcPr>
            <w:tcW w:w="1410" w:type="dxa"/>
            <w:vAlign w:val="center"/>
          </w:tcPr>
          <w:p w14:paraId="3E7D5437">
            <w:pPr>
              <w:pStyle w:val="13"/>
              <w:jc w:val="center"/>
              <w:rPr>
                <w:rFonts w:hAnsi="宋体" w:cs="宋体"/>
                <w:color w:val="auto"/>
                <w:kern w:val="2"/>
                <w:sz w:val="21"/>
                <w:highlight w:val="none"/>
              </w:rPr>
            </w:pPr>
          </w:p>
        </w:tc>
        <w:tc>
          <w:tcPr>
            <w:tcW w:w="3060" w:type="dxa"/>
          </w:tcPr>
          <w:p w14:paraId="61BEC3E2">
            <w:pPr>
              <w:pStyle w:val="13"/>
              <w:rPr>
                <w:rFonts w:hAnsi="宋体" w:cs="宋体"/>
                <w:color w:val="auto"/>
                <w:kern w:val="2"/>
                <w:sz w:val="21"/>
                <w:highlight w:val="none"/>
              </w:rPr>
            </w:pPr>
          </w:p>
        </w:tc>
        <w:tc>
          <w:tcPr>
            <w:tcW w:w="1443" w:type="dxa"/>
          </w:tcPr>
          <w:p w14:paraId="2C2646A0">
            <w:pPr>
              <w:pStyle w:val="13"/>
              <w:rPr>
                <w:rFonts w:hAnsi="宋体" w:cs="宋体"/>
                <w:color w:val="auto"/>
                <w:kern w:val="2"/>
                <w:sz w:val="21"/>
                <w:highlight w:val="none"/>
              </w:rPr>
            </w:pPr>
          </w:p>
        </w:tc>
        <w:tc>
          <w:tcPr>
            <w:tcW w:w="1342" w:type="dxa"/>
          </w:tcPr>
          <w:p w14:paraId="0C68FEBB">
            <w:pPr>
              <w:pStyle w:val="13"/>
              <w:rPr>
                <w:rFonts w:hAnsi="宋体" w:cs="宋体"/>
                <w:color w:val="auto"/>
                <w:kern w:val="2"/>
                <w:sz w:val="21"/>
                <w:highlight w:val="none"/>
              </w:rPr>
            </w:pPr>
          </w:p>
        </w:tc>
        <w:tc>
          <w:tcPr>
            <w:tcW w:w="1342" w:type="dxa"/>
          </w:tcPr>
          <w:p w14:paraId="2FD14398">
            <w:pPr>
              <w:pStyle w:val="13"/>
              <w:rPr>
                <w:rFonts w:hAnsi="宋体" w:cs="宋体"/>
                <w:color w:val="auto"/>
                <w:kern w:val="2"/>
                <w:sz w:val="21"/>
                <w:highlight w:val="none"/>
              </w:rPr>
            </w:pPr>
          </w:p>
        </w:tc>
      </w:tr>
      <w:tr w14:paraId="49C6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F215496">
            <w:pPr>
              <w:pStyle w:val="13"/>
              <w:spacing w:line="600" w:lineRule="exact"/>
              <w:jc w:val="center"/>
              <w:rPr>
                <w:rFonts w:hAnsi="宋体" w:cs="宋体"/>
                <w:color w:val="auto"/>
                <w:kern w:val="2"/>
                <w:sz w:val="21"/>
                <w:highlight w:val="none"/>
              </w:rPr>
            </w:pPr>
            <w:r>
              <w:rPr>
                <w:rFonts w:hint="eastAsia" w:hAnsi="宋体" w:cs="宋体"/>
                <w:color w:val="auto"/>
                <w:kern w:val="2"/>
                <w:sz w:val="21"/>
                <w:highlight w:val="none"/>
              </w:rPr>
              <w:t>2</w:t>
            </w:r>
          </w:p>
        </w:tc>
        <w:tc>
          <w:tcPr>
            <w:tcW w:w="1372" w:type="dxa"/>
            <w:vAlign w:val="center"/>
          </w:tcPr>
          <w:p w14:paraId="606219F4">
            <w:pPr>
              <w:pStyle w:val="13"/>
              <w:spacing w:line="600" w:lineRule="exact"/>
              <w:jc w:val="center"/>
              <w:rPr>
                <w:rFonts w:hAnsi="宋体" w:cs="宋体"/>
                <w:color w:val="auto"/>
                <w:kern w:val="2"/>
                <w:sz w:val="21"/>
                <w:highlight w:val="none"/>
              </w:rPr>
            </w:pPr>
          </w:p>
        </w:tc>
        <w:tc>
          <w:tcPr>
            <w:tcW w:w="1410" w:type="dxa"/>
            <w:vAlign w:val="center"/>
          </w:tcPr>
          <w:p w14:paraId="41AFF78C">
            <w:pPr>
              <w:pStyle w:val="13"/>
              <w:jc w:val="center"/>
              <w:rPr>
                <w:rFonts w:hAnsi="宋体" w:cs="宋体"/>
                <w:color w:val="auto"/>
                <w:kern w:val="2"/>
                <w:sz w:val="21"/>
                <w:highlight w:val="none"/>
              </w:rPr>
            </w:pPr>
          </w:p>
        </w:tc>
        <w:tc>
          <w:tcPr>
            <w:tcW w:w="3060" w:type="dxa"/>
          </w:tcPr>
          <w:p w14:paraId="70F317FA">
            <w:pPr>
              <w:pStyle w:val="13"/>
              <w:rPr>
                <w:rFonts w:hAnsi="宋体" w:cs="宋体"/>
                <w:color w:val="auto"/>
                <w:kern w:val="2"/>
                <w:sz w:val="21"/>
                <w:highlight w:val="none"/>
              </w:rPr>
            </w:pPr>
          </w:p>
        </w:tc>
        <w:tc>
          <w:tcPr>
            <w:tcW w:w="1443" w:type="dxa"/>
          </w:tcPr>
          <w:p w14:paraId="02BE04B7">
            <w:pPr>
              <w:pStyle w:val="13"/>
              <w:rPr>
                <w:rFonts w:hAnsi="宋体" w:cs="宋体"/>
                <w:color w:val="auto"/>
                <w:kern w:val="2"/>
                <w:sz w:val="21"/>
                <w:highlight w:val="none"/>
              </w:rPr>
            </w:pPr>
          </w:p>
        </w:tc>
        <w:tc>
          <w:tcPr>
            <w:tcW w:w="1342" w:type="dxa"/>
          </w:tcPr>
          <w:p w14:paraId="54E7AC08">
            <w:pPr>
              <w:pStyle w:val="13"/>
              <w:rPr>
                <w:rFonts w:hAnsi="宋体" w:cs="宋体"/>
                <w:color w:val="auto"/>
                <w:kern w:val="2"/>
                <w:sz w:val="21"/>
                <w:highlight w:val="none"/>
              </w:rPr>
            </w:pPr>
          </w:p>
        </w:tc>
        <w:tc>
          <w:tcPr>
            <w:tcW w:w="1342" w:type="dxa"/>
          </w:tcPr>
          <w:p w14:paraId="790CB0DE">
            <w:pPr>
              <w:pStyle w:val="13"/>
              <w:rPr>
                <w:rFonts w:hAnsi="宋体" w:cs="宋体"/>
                <w:color w:val="auto"/>
                <w:kern w:val="2"/>
                <w:sz w:val="21"/>
                <w:highlight w:val="none"/>
              </w:rPr>
            </w:pPr>
          </w:p>
        </w:tc>
      </w:tr>
      <w:tr w14:paraId="3FFE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A55C947">
            <w:pPr>
              <w:pStyle w:val="13"/>
              <w:jc w:val="center"/>
              <w:rPr>
                <w:rFonts w:hAnsi="宋体" w:cs="宋体"/>
                <w:color w:val="auto"/>
                <w:kern w:val="2"/>
                <w:sz w:val="21"/>
                <w:highlight w:val="none"/>
              </w:rPr>
            </w:pPr>
            <w:r>
              <w:rPr>
                <w:rFonts w:hint="eastAsia" w:hAnsi="宋体" w:cs="宋体"/>
                <w:color w:val="auto"/>
                <w:kern w:val="2"/>
                <w:sz w:val="21"/>
                <w:highlight w:val="none"/>
              </w:rPr>
              <w:t>3</w:t>
            </w:r>
          </w:p>
        </w:tc>
        <w:tc>
          <w:tcPr>
            <w:tcW w:w="1372" w:type="dxa"/>
            <w:vAlign w:val="center"/>
          </w:tcPr>
          <w:p w14:paraId="4F361153">
            <w:pPr>
              <w:pStyle w:val="13"/>
              <w:jc w:val="center"/>
              <w:rPr>
                <w:rFonts w:hAnsi="宋体" w:cs="宋体"/>
                <w:color w:val="auto"/>
                <w:kern w:val="2"/>
                <w:sz w:val="21"/>
                <w:highlight w:val="none"/>
              </w:rPr>
            </w:pPr>
          </w:p>
        </w:tc>
        <w:tc>
          <w:tcPr>
            <w:tcW w:w="1410" w:type="dxa"/>
            <w:vAlign w:val="center"/>
          </w:tcPr>
          <w:p w14:paraId="74E630A5">
            <w:pPr>
              <w:pStyle w:val="13"/>
              <w:jc w:val="center"/>
              <w:rPr>
                <w:rFonts w:hAnsi="宋体" w:cs="宋体"/>
                <w:color w:val="auto"/>
                <w:kern w:val="2"/>
                <w:sz w:val="21"/>
                <w:highlight w:val="none"/>
              </w:rPr>
            </w:pPr>
          </w:p>
        </w:tc>
        <w:tc>
          <w:tcPr>
            <w:tcW w:w="3060" w:type="dxa"/>
          </w:tcPr>
          <w:p w14:paraId="353FA87E">
            <w:pPr>
              <w:pStyle w:val="13"/>
              <w:rPr>
                <w:rFonts w:hAnsi="宋体" w:cs="宋体"/>
                <w:color w:val="auto"/>
                <w:kern w:val="2"/>
                <w:sz w:val="21"/>
                <w:highlight w:val="none"/>
              </w:rPr>
            </w:pPr>
          </w:p>
        </w:tc>
        <w:tc>
          <w:tcPr>
            <w:tcW w:w="1443" w:type="dxa"/>
          </w:tcPr>
          <w:p w14:paraId="063A9E7C">
            <w:pPr>
              <w:pStyle w:val="13"/>
              <w:rPr>
                <w:rFonts w:hAnsi="宋体" w:cs="宋体"/>
                <w:color w:val="auto"/>
                <w:kern w:val="2"/>
                <w:sz w:val="21"/>
                <w:highlight w:val="none"/>
              </w:rPr>
            </w:pPr>
          </w:p>
        </w:tc>
        <w:tc>
          <w:tcPr>
            <w:tcW w:w="1342" w:type="dxa"/>
          </w:tcPr>
          <w:p w14:paraId="09C4DF13">
            <w:pPr>
              <w:pStyle w:val="13"/>
              <w:rPr>
                <w:rFonts w:hAnsi="宋体" w:cs="宋体"/>
                <w:color w:val="auto"/>
                <w:kern w:val="2"/>
                <w:sz w:val="21"/>
                <w:highlight w:val="none"/>
              </w:rPr>
            </w:pPr>
          </w:p>
        </w:tc>
        <w:tc>
          <w:tcPr>
            <w:tcW w:w="1342" w:type="dxa"/>
          </w:tcPr>
          <w:p w14:paraId="5ED98C1A">
            <w:pPr>
              <w:pStyle w:val="13"/>
              <w:rPr>
                <w:rFonts w:hAnsi="宋体" w:cs="宋体"/>
                <w:color w:val="auto"/>
                <w:kern w:val="2"/>
                <w:sz w:val="21"/>
                <w:highlight w:val="none"/>
              </w:rPr>
            </w:pPr>
          </w:p>
        </w:tc>
      </w:tr>
      <w:tr w14:paraId="10CF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7D9D550F">
            <w:pPr>
              <w:pStyle w:val="13"/>
              <w:jc w:val="center"/>
              <w:rPr>
                <w:rFonts w:hAnsi="宋体" w:cs="宋体"/>
                <w:color w:val="auto"/>
                <w:kern w:val="2"/>
                <w:sz w:val="21"/>
                <w:highlight w:val="none"/>
              </w:rPr>
            </w:pPr>
            <w:r>
              <w:rPr>
                <w:rFonts w:hint="eastAsia" w:hAnsi="宋体" w:cs="宋体"/>
                <w:color w:val="auto"/>
                <w:kern w:val="2"/>
                <w:sz w:val="21"/>
                <w:highlight w:val="none"/>
              </w:rPr>
              <w:t>4</w:t>
            </w:r>
          </w:p>
        </w:tc>
        <w:tc>
          <w:tcPr>
            <w:tcW w:w="1372" w:type="dxa"/>
            <w:vAlign w:val="center"/>
          </w:tcPr>
          <w:p w14:paraId="13104E65">
            <w:pPr>
              <w:pStyle w:val="13"/>
              <w:jc w:val="center"/>
              <w:rPr>
                <w:rFonts w:hAnsi="宋体" w:cs="宋体"/>
                <w:color w:val="auto"/>
                <w:kern w:val="2"/>
                <w:sz w:val="21"/>
                <w:highlight w:val="none"/>
              </w:rPr>
            </w:pPr>
          </w:p>
        </w:tc>
        <w:tc>
          <w:tcPr>
            <w:tcW w:w="1410" w:type="dxa"/>
            <w:vAlign w:val="center"/>
          </w:tcPr>
          <w:p w14:paraId="38416D53">
            <w:pPr>
              <w:pStyle w:val="13"/>
              <w:jc w:val="center"/>
              <w:rPr>
                <w:rFonts w:hAnsi="宋体" w:cs="宋体"/>
                <w:color w:val="auto"/>
                <w:kern w:val="2"/>
                <w:sz w:val="21"/>
                <w:highlight w:val="none"/>
              </w:rPr>
            </w:pPr>
          </w:p>
        </w:tc>
        <w:tc>
          <w:tcPr>
            <w:tcW w:w="3060" w:type="dxa"/>
          </w:tcPr>
          <w:p w14:paraId="1CC3B561">
            <w:pPr>
              <w:pStyle w:val="13"/>
              <w:rPr>
                <w:rFonts w:hAnsi="宋体" w:cs="宋体"/>
                <w:color w:val="auto"/>
                <w:kern w:val="2"/>
                <w:sz w:val="21"/>
                <w:highlight w:val="none"/>
              </w:rPr>
            </w:pPr>
          </w:p>
        </w:tc>
        <w:tc>
          <w:tcPr>
            <w:tcW w:w="1443" w:type="dxa"/>
          </w:tcPr>
          <w:p w14:paraId="649E2C5E">
            <w:pPr>
              <w:pStyle w:val="13"/>
              <w:rPr>
                <w:rFonts w:hAnsi="宋体" w:cs="宋体"/>
                <w:color w:val="auto"/>
                <w:kern w:val="2"/>
                <w:sz w:val="21"/>
                <w:highlight w:val="none"/>
              </w:rPr>
            </w:pPr>
          </w:p>
        </w:tc>
        <w:tc>
          <w:tcPr>
            <w:tcW w:w="1342" w:type="dxa"/>
          </w:tcPr>
          <w:p w14:paraId="73A68C95">
            <w:pPr>
              <w:pStyle w:val="13"/>
              <w:rPr>
                <w:rFonts w:hAnsi="宋体" w:cs="宋体"/>
                <w:color w:val="auto"/>
                <w:kern w:val="2"/>
                <w:sz w:val="21"/>
                <w:highlight w:val="none"/>
              </w:rPr>
            </w:pPr>
          </w:p>
        </w:tc>
        <w:tc>
          <w:tcPr>
            <w:tcW w:w="1342" w:type="dxa"/>
          </w:tcPr>
          <w:p w14:paraId="535AD7FE">
            <w:pPr>
              <w:pStyle w:val="13"/>
              <w:rPr>
                <w:rFonts w:hAnsi="宋体" w:cs="宋体"/>
                <w:color w:val="auto"/>
                <w:kern w:val="2"/>
                <w:sz w:val="21"/>
                <w:highlight w:val="none"/>
              </w:rPr>
            </w:pPr>
          </w:p>
        </w:tc>
      </w:tr>
      <w:tr w14:paraId="459B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6AF69AD1">
            <w:pPr>
              <w:pStyle w:val="13"/>
              <w:jc w:val="center"/>
              <w:rPr>
                <w:rFonts w:hAnsi="宋体" w:cs="宋体"/>
                <w:color w:val="auto"/>
                <w:kern w:val="2"/>
                <w:sz w:val="21"/>
                <w:highlight w:val="none"/>
              </w:rPr>
            </w:pPr>
            <w:r>
              <w:rPr>
                <w:rFonts w:hint="eastAsia" w:hAnsi="宋体" w:cs="宋体"/>
                <w:color w:val="auto"/>
                <w:kern w:val="2"/>
                <w:sz w:val="21"/>
                <w:highlight w:val="none"/>
              </w:rPr>
              <w:t>5</w:t>
            </w:r>
          </w:p>
        </w:tc>
        <w:tc>
          <w:tcPr>
            <w:tcW w:w="1372" w:type="dxa"/>
            <w:vAlign w:val="center"/>
          </w:tcPr>
          <w:p w14:paraId="61B3E273">
            <w:pPr>
              <w:pStyle w:val="13"/>
              <w:jc w:val="center"/>
              <w:rPr>
                <w:rFonts w:hAnsi="宋体" w:cs="宋体"/>
                <w:color w:val="auto"/>
                <w:kern w:val="2"/>
                <w:sz w:val="21"/>
                <w:highlight w:val="none"/>
              </w:rPr>
            </w:pPr>
          </w:p>
        </w:tc>
        <w:tc>
          <w:tcPr>
            <w:tcW w:w="1410" w:type="dxa"/>
            <w:vAlign w:val="center"/>
          </w:tcPr>
          <w:p w14:paraId="24357B17">
            <w:pPr>
              <w:pStyle w:val="13"/>
              <w:jc w:val="center"/>
              <w:rPr>
                <w:rFonts w:hAnsi="宋体" w:cs="宋体"/>
                <w:color w:val="auto"/>
                <w:kern w:val="2"/>
                <w:sz w:val="21"/>
                <w:highlight w:val="none"/>
              </w:rPr>
            </w:pPr>
          </w:p>
        </w:tc>
        <w:tc>
          <w:tcPr>
            <w:tcW w:w="3060" w:type="dxa"/>
          </w:tcPr>
          <w:p w14:paraId="71369B09">
            <w:pPr>
              <w:pStyle w:val="13"/>
              <w:rPr>
                <w:rFonts w:hAnsi="宋体" w:cs="宋体"/>
                <w:color w:val="auto"/>
                <w:kern w:val="2"/>
                <w:sz w:val="21"/>
                <w:highlight w:val="none"/>
              </w:rPr>
            </w:pPr>
          </w:p>
        </w:tc>
        <w:tc>
          <w:tcPr>
            <w:tcW w:w="1443" w:type="dxa"/>
          </w:tcPr>
          <w:p w14:paraId="1663AFEA">
            <w:pPr>
              <w:pStyle w:val="13"/>
              <w:rPr>
                <w:rFonts w:hAnsi="宋体" w:cs="宋体"/>
                <w:color w:val="auto"/>
                <w:kern w:val="2"/>
                <w:sz w:val="21"/>
                <w:highlight w:val="none"/>
              </w:rPr>
            </w:pPr>
          </w:p>
        </w:tc>
        <w:tc>
          <w:tcPr>
            <w:tcW w:w="1342" w:type="dxa"/>
          </w:tcPr>
          <w:p w14:paraId="0A5B5747">
            <w:pPr>
              <w:pStyle w:val="13"/>
              <w:rPr>
                <w:rFonts w:hAnsi="宋体" w:cs="宋体"/>
                <w:color w:val="auto"/>
                <w:kern w:val="2"/>
                <w:sz w:val="21"/>
                <w:highlight w:val="none"/>
              </w:rPr>
            </w:pPr>
          </w:p>
        </w:tc>
        <w:tc>
          <w:tcPr>
            <w:tcW w:w="1342" w:type="dxa"/>
          </w:tcPr>
          <w:p w14:paraId="2C64B5A7">
            <w:pPr>
              <w:pStyle w:val="13"/>
              <w:rPr>
                <w:rFonts w:hAnsi="宋体" w:cs="宋体"/>
                <w:color w:val="auto"/>
                <w:kern w:val="2"/>
                <w:sz w:val="21"/>
                <w:highlight w:val="none"/>
              </w:rPr>
            </w:pPr>
          </w:p>
        </w:tc>
      </w:tr>
      <w:tr w14:paraId="4E38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48" w:type="dxa"/>
            <w:vAlign w:val="center"/>
          </w:tcPr>
          <w:p w14:paraId="45C770F0">
            <w:pPr>
              <w:pStyle w:val="13"/>
              <w:jc w:val="center"/>
              <w:rPr>
                <w:rFonts w:hAnsi="宋体" w:cs="宋体"/>
                <w:color w:val="auto"/>
                <w:kern w:val="2"/>
                <w:sz w:val="21"/>
                <w:highlight w:val="none"/>
              </w:rPr>
            </w:pPr>
            <w:r>
              <w:rPr>
                <w:rFonts w:hint="eastAsia" w:hAnsi="宋体" w:cs="宋体"/>
                <w:color w:val="auto"/>
                <w:kern w:val="2"/>
                <w:sz w:val="21"/>
                <w:highlight w:val="none"/>
              </w:rPr>
              <w:t>……</w:t>
            </w:r>
          </w:p>
        </w:tc>
        <w:tc>
          <w:tcPr>
            <w:tcW w:w="1372" w:type="dxa"/>
            <w:vAlign w:val="center"/>
          </w:tcPr>
          <w:p w14:paraId="689841FC">
            <w:pPr>
              <w:pStyle w:val="13"/>
              <w:jc w:val="center"/>
              <w:rPr>
                <w:rFonts w:hAnsi="宋体" w:cs="宋体"/>
                <w:color w:val="auto"/>
                <w:kern w:val="2"/>
                <w:sz w:val="21"/>
                <w:highlight w:val="none"/>
              </w:rPr>
            </w:pPr>
          </w:p>
        </w:tc>
        <w:tc>
          <w:tcPr>
            <w:tcW w:w="1410" w:type="dxa"/>
            <w:vAlign w:val="center"/>
          </w:tcPr>
          <w:p w14:paraId="37DAD33E">
            <w:pPr>
              <w:pStyle w:val="13"/>
              <w:jc w:val="center"/>
              <w:rPr>
                <w:rFonts w:hAnsi="宋体" w:cs="宋体"/>
                <w:color w:val="auto"/>
                <w:kern w:val="2"/>
                <w:sz w:val="21"/>
                <w:highlight w:val="none"/>
              </w:rPr>
            </w:pPr>
          </w:p>
        </w:tc>
        <w:tc>
          <w:tcPr>
            <w:tcW w:w="3060" w:type="dxa"/>
          </w:tcPr>
          <w:p w14:paraId="0CF6F6BF">
            <w:pPr>
              <w:pStyle w:val="13"/>
              <w:rPr>
                <w:rFonts w:hAnsi="宋体" w:cs="宋体"/>
                <w:color w:val="auto"/>
                <w:kern w:val="2"/>
                <w:sz w:val="21"/>
                <w:highlight w:val="none"/>
              </w:rPr>
            </w:pPr>
          </w:p>
        </w:tc>
        <w:tc>
          <w:tcPr>
            <w:tcW w:w="1443" w:type="dxa"/>
          </w:tcPr>
          <w:p w14:paraId="36F08CCA">
            <w:pPr>
              <w:pStyle w:val="13"/>
              <w:rPr>
                <w:rFonts w:hAnsi="宋体" w:cs="宋体"/>
                <w:color w:val="auto"/>
                <w:kern w:val="2"/>
                <w:sz w:val="21"/>
                <w:highlight w:val="none"/>
              </w:rPr>
            </w:pPr>
          </w:p>
        </w:tc>
        <w:tc>
          <w:tcPr>
            <w:tcW w:w="1342" w:type="dxa"/>
          </w:tcPr>
          <w:p w14:paraId="71A6214B">
            <w:pPr>
              <w:pStyle w:val="13"/>
              <w:rPr>
                <w:rFonts w:hAnsi="宋体" w:cs="宋体"/>
                <w:color w:val="auto"/>
                <w:kern w:val="2"/>
                <w:sz w:val="21"/>
                <w:highlight w:val="none"/>
              </w:rPr>
            </w:pPr>
          </w:p>
        </w:tc>
        <w:tc>
          <w:tcPr>
            <w:tcW w:w="1342" w:type="dxa"/>
          </w:tcPr>
          <w:p w14:paraId="6ECBD760">
            <w:pPr>
              <w:pStyle w:val="13"/>
              <w:rPr>
                <w:rFonts w:hAnsi="宋体" w:cs="宋体"/>
                <w:color w:val="auto"/>
                <w:kern w:val="2"/>
                <w:sz w:val="21"/>
                <w:highlight w:val="none"/>
              </w:rPr>
            </w:pPr>
          </w:p>
        </w:tc>
      </w:tr>
    </w:tbl>
    <w:p w14:paraId="24FBCE97">
      <w:pPr>
        <w:pStyle w:val="8"/>
        <w:rPr>
          <w:rFonts w:ascii="宋体" w:hAnsi="宋体" w:cs="宋体"/>
          <w:b w:val="0"/>
          <w:color w:val="auto"/>
          <w:sz w:val="21"/>
          <w:szCs w:val="21"/>
          <w:highlight w:val="none"/>
        </w:rPr>
      </w:pPr>
    </w:p>
    <w:p w14:paraId="057A7BD2">
      <w:pPr>
        <w:pStyle w:val="8"/>
        <w:rPr>
          <w:rFonts w:ascii="宋体" w:hAnsi="宋体" w:cs="宋体"/>
          <w:b w:val="0"/>
          <w:color w:val="auto"/>
          <w:sz w:val="21"/>
          <w:szCs w:val="21"/>
          <w:highlight w:val="none"/>
        </w:rPr>
      </w:pPr>
      <w:r>
        <w:rPr>
          <w:rFonts w:hint="eastAsia" w:ascii="宋体" w:hAnsi="宋体" w:cs="宋体"/>
          <w:b w:val="0"/>
          <w:color w:val="auto"/>
          <w:sz w:val="21"/>
          <w:szCs w:val="21"/>
          <w:highlight w:val="none"/>
        </w:rPr>
        <w:t>注：投标人应根据自身对本项目的理解及投标服务方案，对照招标文件要求在“偏离情况”栏注明“正偏离”、“负偏离”或“无偏离”。</w:t>
      </w:r>
    </w:p>
    <w:p w14:paraId="7C7E0036">
      <w:pPr>
        <w:pStyle w:val="8"/>
        <w:rPr>
          <w:rFonts w:ascii="宋体" w:hAnsi="宋体" w:cs="宋体"/>
          <w:b w:val="0"/>
          <w:color w:val="auto"/>
          <w:sz w:val="21"/>
          <w:szCs w:val="21"/>
          <w:highlight w:val="none"/>
        </w:rPr>
      </w:pPr>
    </w:p>
    <w:p w14:paraId="36883797">
      <w:pPr>
        <w:pStyle w:val="8"/>
        <w:spacing w:line="360" w:lineRule="auto"/>
        <w:rPr>
          <w:rFonts w:ascii="宋体" w:hAnsi="宋体" w:cs="宋体"/>
          <w:b w:val="0"/>
          <w:color w:val="auto"/>
          <w:spacing w:val="20"/>
          <w:sz w:val="21"/>
          <w:szCs w:val="21"/>
          <w:highlight w:val="none"/>
        </w:rPr>
      </w:pPr>
      <w:r>
        <w:rPr>
          <w:rFonts w:hint="eastAsia" w:ascii="宋体" w:hAnsi="宋体" w:cs="宋体"/>
          <w:b w:val="0"/>
          <w:color w:val="auto"/>
          <w:spacing w:val="20"/>
          <w:sz w:val="21"/>
          <w:szCs w:val="21"/>
          <w:highlight w:val="none"/>
        </w:rPr>
        <w:t>投标人盖公章：</w:t>
      </w:r>
      <w:r>
        <w:rPr>
          <w:rFonts w:hint="eastAsia" w:ascii="宋体" w:hAnsi="宋体" w:cs="宋体"/>
          <w:b w:val="0"/>
          <w:color w:val="auto"/>
          <w:spacing w:val="20"/>
          <w:sz w:val="21"/>
          <w:szCs w:val="21"/>
          <w:highlight w:val="none"/>
          <w:u w:val="single"/>
        </w:rPr>
        <w:t xml:space="preserve">                </w:t>
      </w:r>
    </w:p>
    <w:p w14:paraId="4ED41FDD">
      <w:pPr>
        <w:snapToGrid w:val="0"/>
        <w:spacing w:before="50" w:after="50" w:line="360" w:lineRule="auto"/>
        <w:rPr>
          <w:rFonts w:ascii="宋体" w:hAnsi="宋体" w:cs="宋体"/>
          <w:color w:val="auto"/>
          <w:spacing w:val="20"/>
          <w:szCs w:val="21"/>
          <w:highlight w:val="none"/>
          <w:u w:val="single"/>
        </w:rPr>
      </w:pPr>
      <w:r>
        <w:rPr>
          <w:rFonts w:hint="eastAsia" w:ascii="宋体" w:hAnsi="宋体" w:cs="宋体"/>
          <w:color w:val="auto"/>
          <w:szCs w:val="21"/>
          <w:highlight w:val="none"/>
        </w:rPr>
        <w:t>法定代表人或被授权人</w:t>
      </w:r>
      <w:r>
        <w:rPr>
          <w:rFonts w:hint="eastAsia" w:ascii="宋体" w:hAnsi="宋体" w:cs="宋体"/>
          <w:color w:val="auto"/>
          <w:spacing w:val="20"/>
          <w:szCs w:val="21"/>
          <w:highlight w:val="none"/>
        </w:rPr>
        <w:t>签名：</w:t>
      </w:r>
      <w:r>
        <w:rPr>
          <w:rFonts w:hint="eastAsia" w:ascii="宋体" w:hAnsi="宋体" w:cs="宋体"/>
          <w:color w:val="auto"/>
          <w:spacing w:val="20"/>
          <w:szCs w:val="21"/>
          <w:highlight w:val="none"/>
          <w:u w:val="single"/>
        </w:rPr>
        <w:t xml:space="preserve">        </w:t>
      </w:r>
    </w:p>
    <w:p w14:paraId="01A0372A">
      <w:pPr>
        <w:adjustRightInd w:val="0"/>
        <w:snapToGrid w:val="0"/>
        <w:spacing w:line="360" w:lineRule="exact"/>
        <w:ind w:firstLine="250" w:firstLineChars="100"/>
        <w:jc w:val="left"/>
        <w:rPr>
          <w:rFonts w:ascii="宋体" w:hAnsi="宋体" w:cs="宋体"/>
          <w:color w:val="auto"/>
          <w:szCs w:val="21"/>
          <w:highlight w:val="none"/>
        </w:rPr>
      </w:pPr>
      <w:r>
        <w:rPr>
          <w:rFonts w:hint="eastAsia" w:ascii="宋体" w:hAnsi="宋体" w:cs="宋体"/>
          <w:color w:val="auto"/>
          <w:spacing w:val="20"/>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F732868">
      <w:pPr>
        <w:adjustRightInd w:val="0"/>
        <w:snapToGrid w:val="0"/>
        <w:spacing w:line="360" w:lineRule="exact"/>
        <w:ind w:firstLine="240" w:firstLineChars="100"/>
        <w:jc w:val="left"/>
        <w:rPr>
          <w:rFonts w:ascii="宋体" w:hAnsi="宋体"/>
          <w:color w:val="auto"/>
          <w:sz w:val="24"/>
          <w:highlight w:val="none"/>
        </w:rPr>
      </w:pPr>
    </w:p>
    <w:p w14:paraId="6500722A">
      <w:pPr>
        <w:adjustRightInd w:val="0"/>
        <w:snapToGrid w:val="0"/>
        <w:spacing w:line="360" w:lineRule="exact"/>
        <w:ind w:firstLine="240" w:firstLineChars="100"/>
        <w:jc w:val="left"/>
        <w:rPr>
          <w:rFonts w:ascii="宋体" w:hAnsi="宋体"/>
          <w:color w:val="auto"/>
          <w:sz w:val="24"/>
          <w:highlight w:val="none"/>
        </w:rPr>
      </w:pPr>
    </w:p>
    <w:p w14:paraId="169C2D20">
      <w:pPr>
        <w:adjustRightInd w:val="0"/>
        <w:snapToGrid w:val="0"/>
        <w:spacing w:line="360" w:lineRule="exact"/>
        <w:ind w:firstLine="241" w:firstLineChars="100"/>
        <w:jc w:val="left"/>
        <w:rPr>
          <w:rFonts w:ascii="宋体" w:hAnsi="宋体"/>
          <w:b/>
          <w:bCs/>
          <w:color w:val="auto"/>
          <w:sz w:val="24"/>
          <w:highlight w:val="none"/>
        </w:rPr>
      </w:pPr>
    </w:p>
    <w:p w14:paraId="4AB96E42">
      <w:pPr>
        <w:adjustRightInd w:val="0"/>
        <w:snapToGrid w:val="0"/>
        <w:spacing w:line="360" w:lineRule="exact"/>
        <w:ind w:firstLine="211" w:firstLineChars="100"/>
        <w:jc w:val="left"/>
        <w:rPr>
          <w:rFonts w:ascii="宋体" w:hAnsi="宋体"/>
          <w:color w:val="auto"/>
          <w:szCs w:val="21"/>
          <w:highlight w:val="none"/>
        </w:rPr>
      </w:pPr>
      <w:r>
        <w:rPr>
          <w:rFonts w:hint="eastAsia" w:ascii="宋体" w:hAnsi="宋体"/>
          <w:b/>
          <w:bCs/>
          <w:color w:val="auto"/>
          <w:highlight w:val="none"/>
        </w:rPr>
        <w:t>▲</w:t>
      </w:r>
      <w:r>
        <w:rPr>
          <w:rFonts w:hint="eastAsia" w:ascii="宋体" w:hAnsi="宋体"/>
          <w:b/>
          <w:bCs/>
          <w:color w:val="auto"/>
          <w:szCs w:val="21"/>
          <w:highlight w:val="none"/>
        </w:rPr>
        <w:t>（3）</w:t>
      </w:r>
      <w:r>
        <w:rPr>
          <w:rFonts w:hint="eastAsia" w:ascii="宋体" w:hAnsi="宋体"/>
          <w:b/>
          <w:bCs/>
          <w:color w:val="auto"/>
          <w:highlight w:val="none"/>
        </w:rPr>
        <w:t>服务方案</w:t>
      </w:r>
      <w:r>
        <w:rPr>
          <w:rFonts w:hint="eastAsia" w:ascii="宋体" w:hAnsi="宋体"/>
          <w:b/>
          <w:bCs/>
          <w:color w:val="auto"/>
          <w:szCs w:val="21"/>
          <w:highlight w:val="none"/>
        </w:rPr>
        <w:t>；（</w:t>
      </w:r>
      <w:r>
        <w:rPr>
          <w:rFonts w:hint="eastAsia" w:ascii="宋体" w:hAnsi="宋体"/>
          <w:b/>
          <w:color w:val="auto"/>
          <w:szCs w:val="21"/>
          <w:highlight w:val="none"/>
        </w:rPr>
        <w:t>格式自拟，必须提供）</w:t>
      </w:r>
    </w:p>
    <w:p w14:paraId="5CCC30B1">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b/>
          <w:bCs/>
          <w:color w:val="auto"/>
          <w:szCs w:val="21"/>
          <w:highlight w:val="none"/>
        </w:rPr>
        <w:t xml:space="preserve">（4）拟投入项目主要管理人员一览表及资格证明材料； </w:t>
      </w:r>
    </w:p>
    <w:p w14:paraId="64B449CA">
      <w:pPr>
        <w:adjustRightInd w:val="0"/>
        <w:snapToGrid w:val="0"/>
        <w:spacing w:line="360" w:lineRule="exact"/>
        <w:jc w:val="left"/>
        <w:rPr>
          <w:rFonts w:ascii="宋体" w:hAnsi="宋体"/>
          <w:color w:val="auto"/>
          <w:szCs w:val="21"/>
          <w:highlight w:val="none"/>
        </w:rPr>
      </w:pPr>
    </w:p>
    <w:p w14:paraId="14D2F945">
      <w:pPr>
        <w:snapToGrid w:val="0"/>
        <w:spacing w:before="50" w:after="156" w:afterLines="50"/>
        <w:jc w:val="center"/>
        <w:rPr>
          <w:rFonts w:ascii="黑体" w:hAnsi="宋体" w:eastAsia="黑体"/>
          <w:color w:val="auto"/>
          <w:szCs w:val="21"/>
          <w:highlight w:val="none"/>
        </w:rPr>
      </w:pPr>
      <w:r>
        <w:rPr>
          <w:rFonts w:hint="eastAsia" w:ascii="黑体" w:hAnsi="宋体" w:eastAsia="黑体"/>
          <w:color w:val="auto"/>
          <w:szCs w:val="21"/>
          <w:highlight w:val="none"/>
        </w:rPr>
        <w:t>拟投入项目主要人员情况一览表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774"/>
        <w:gridCol w:w="1410"/>
        <w:gridCol w:w="1650"/>
        <w:gridCol w:w="3254"/>
      </w:tblGrid>
      <w:tr w14:paraId="4272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04DB549F">
            <w:pPr>
              <w:snapToGrid w:val="0"/>
              <w:spacing w:before="50" w:after="156" w:afterLines="50"/>
              <w:jc w:val="center"/>
              <w:rPr>
                <w:rFonts w:ascii="宋体"/>
                <w:b/>
                <w:bCs/>
                <w:color w:val="auto"/>
                <w:szCs w:val="21"/>
                <w:highlight w:val="none"/>
              </w:rPr>
            </w:pPr>
            <w:r>
              <w:rPr>
                <w:rFonts w:hint="eastAsia" w:ascii="宋体" w:hAnsi="宋体"/>
                <w:b/>
                <w:bCs/>
                <w:color w:val="auto"/>
                <w:szCs w:val="21"/>
                <w:highlight w:val="none"/>
              </w:rPr>
              <w:t>姓名</w:t>
            </w:r>
          </w:p>
        </w:tc>
        <w:tc>
          <w:tcPr>
            <w:tcW w:w="1774" w:type="dxa"/>
            <w:vAlign w:val="center"/>
          </w:tcPr>
          <w:p w14:paraId="2C7D35E6">
            <w:pPr>
              <w:snapToGrid w:val="0"/>
              <w:spacing w:before="50" w:after="156" w:afterLines="50"/>
              <w:jc w:val="center"/>
              <w:rPr>
                <w:rFonts w:ascii="宋体"/>
                <w:b/>
                <w:bCs/>
                <w:color w:val="auto"/>
                <w:szCs w:val="21"/>
                <w:highlight w:val="none"/>
              </w:rPr>
            </w:pPr>
            <w:r>
              <w:rPr>
                <w:rFonts w:hint="eastAsia" w:ascii="宋体" w:hAnsi="宋体"/>
                <w:b/>
                <w:bCs/>
                <w:color w:val="auto"/>
                <w:szCs w:val="21"/>
                <w:highlight w:val="none"/>
              </w:rPr>
              <w:t>拟担任</w:t>
            </w:r>
          </w:p>
          <w:p w14:paraId="53F993B0">
            <w:pPr>
              <w:snapToGrid w:val="0"/>
              <w:spacing w:before="50" w:after="156" w:afterLines="50"/>
              <w:jc w:val="center"/>
              <w:rPr>
                <w:rFonts w:ascii="宋体"/>
                <w:b/>
                <w:bCs/>
                <w:color w:val="auto"/>
                <w:szCs w:val="21"/>
                <w:highlight w:val="none"/>
              </w:rPr>
            </w:pPr>
            <w:r>
              <w:rPr>
                <w:rFonts w:hint="eastAsia" w:ascii="宋体" w:hAnsi="宋体"/>
                <w:b/>
                <w:bCs/>
                <w:color w:val="auto"/>
                <w:szCs w:val="21"/>
                <w:highlight w:val="none"/>
              </w:rPr>
              <w:t>岗位职务</w:t>
            </w:r>
          </w:p>
        </w:tc>
        <w:tc>
          <w:tcPr>
            <w:tcW w:w="1410" w:type="dxa"/>
            <w:vAlign w:val="center"/>
          </w:tcPr>
          <w:p w14:paraId="29EAA6F2">
            <w:pPr>
              <w:snapToGrid w:val="0"/>
              <w:spacing w:before="50" w:after="156" w:afterLines="50"/>
              <w:jc w:val="center"/>
              <w:rPr>
                <w:rFonts w:ascii="宋体" w:hAnsi="宋体"/>
                <w:b/>
                <w:bCs/>
                <w:color w:val="auto"/>
                <w:szCs w:val="21"/>
                <w:highlight w:val="none"/>
              </w:rPr>
            </w:pPr>
            <w:r>
              <w:rPr>
                <w:rFonts w:hint="eastAsia" w:ascii="宋体" w:hAnsi="宋体"/>
                <w:b/>
                <w:bCs/>
                <w:color w:val="auto"/>
                <w:szCs w:val="21"/>
                <w:highlight w:val="none"/>
              </w:rPr>
              <w:t>资质</w:t>
            </w:r>
          </w:p>
          <w:p w14:paraId="10C86CA1">
            <w:pPr>
              <w:snapToGrid w:val="0"/>
              <w:spacing w:before="50" w:after="156" w:afterLines="50"/>
              <w:jc w:val="center"/>
              <w:rPr>
                <w:rFonts w:ascii="宋体"/>
                <w:b/>
                <w:bCs/>
                <w:color w:val="auto"/>
                <w:szCs w:val="21"/>
                <w:highlight w:val="none"/>
              </w:rPr>
            </w:pPr>
            <w:r>
              <w:rPr>
                <w:rFonts w:hint="eastAsia" w:ascii="宋体" w:hAnsi="宋体"/>
                <w:b/>
                <w:bCs/>
                <w:color w:val="auto"/>
                <w:szCs w:val="21"/>
                <w:highlight w:val="none"/>
              </w:rPr>
              <w:t>（资质等级）</w:t>
            </w:r>
          </w:p>
        </w:tc>
        <w:tc>
          <w:tcPr>
            <w:tcW w:w="1650" w:type="dxa"/>
            <w:vAlign w:val="center"/>
          </w:tcPr>
          <w:p w14:paraId="612237E0">
            <w:pPr>
              <w:snapToGrid w:val="0"/>
              <w:spacing w:before="50" w:after="156" w:afterLines="50"/>
              <w:jc w:val="center"/>
              <w:rPr>
                <w:rFonts w:ascii="宋体"/>
                <w:b/>
                <w:bCs/>
                <w:color w:val="auto"/>
                <w:szCs w:val="21"/>
                <w:highlight w:val="none"/>
              </w:rPr>
            </w:pPr>
            <w:r>
              <w:rPr>
                <w:rFonts w:hint="eastAsia" w:ascii="宋体" w:hAnsi="宋体"/>
                <w:b/>
                <w:bCs/>
                <w:color w:val="auto"/>
                <w:szCs w:val="21"/>
                <w:highlight w:val="none"/>
              </w:rPr>
              <w:t>参加本单位</w:t>
            </w:r>
          </w:p>
          <w:p w14:paraId="40576B58">
            <w:pPr>
              <w:snapToGrid w:val="0"/>
              <w:spacing w:before="50" w:after="156" w:afterLines="50"/>
              <w:jc w:val="center"/>
              <w:rPr>
                <w:rFonts w:ascii="宋体"/>
                <w:b/>
                <w:bCs/>
                <w:color w:val="auto"/>
                <w:szCs w:val="21"/>
                <w:highlight w:val="none"/>
              </w:rPr>
            </w:pPr>
            <w:r>
              <w:rPr>
                <w:rFonts w:hint="eastAsia" w:ascii="宋体" w:hAnsi="宋体"/>
                <w:b/>
                <w:bCs/>
                <w:color w:val="auto"/>
                <w:szCs w:val="21"/>
                <w:highlight w:val="none"/>
              </w:rPr>
              <w:t>工作时间</w:t>
            </w:r>
          </w:p>
        </w:tc>
        <w:tc>
          <w:tcPr>
            <w:tcW w:w="3254" w:type="dxa"/>
            <w:vAlign w:val="center"/>
          </w:tcPr>
          <w:p w14:paraId="4DD9AFFA">
            <w:pPr>
              <w:snapToGrid w:val="0"/>
              <w:spacing w:before="50" w:after="156" w:afterLines="50"/>
              <w:jc w:val="center"/>
              <w:rPr>
                <w:rFonts w:ascii="宋体" w:hAnsi="宋体"/>
                <w:b/>
                <w:bCs/>
                <w:color w:val="auto"/>
                <w:szCs w:val="21"/>
                <w:highlight w:val="none"/>
              </w:rPr>
            </w:pPr>
            <w:r>
              <w:rPr>
                <w:rFonts w:hint="eastAsia" w:ascii="宋体" w:hAnsi="宋体"/>
                <w:b/>
                <w:bCs/>
                <w:color w:val="auto"/>
                <w:szCs w:val="21"/>
                <w:highlight w:val="none"/>
              </w:rPr>
              <w:t>在岗要求</w:t>
            </w:r>
          </w:p>
        </w:tc>
      </w:tr>
      <w:tr w14:paraId="29B6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0A9D321F">
            <w:pPr>
              <w:snapToGrid w:val="0"/>
              <w:spacing w:before="50" w:after="156" w:afterLines="50"/>
              <w:jc w:val="center"/>
              <w:rPr>
                <w:rFonts w:ascii="宋体"/>
                <w:color w:val="auto"/>
                <w:szCs w:val="21"/>
                <w:highlight w:val="none"/>
              </w:rPr>
            </w:pPr>
          </w:p>
        </w:tc>
        <w:tc>
          <w:tcPr>
            <w:tcW w:w="1774" w:type="dxa"/>
            <w:vAlign w:val="center"/>
          </w:tcPr>
          <w:p w14:paraId="0FA55E48">
            <w:pPr>
              <w:snapToGrid w:val="0"/>
              <w:spacing w:before="50" w:after="156" w:afterLines="50"/>
              <w:jc w:val="center"/>
              <w:rPr>
                <w:rFonts w:ascii="宋体"/>
                <w:color w:val="auto"/>
                <w:szCs w:val="21"/>
                <w:highlight w:val="none"/>
              </w:rPr>
            </w:pPr>
            <w:r>
              <w:rPr>
                <w:rFonts w:hint="eastAsia" w:ascii="宋体"/>
                <w:color w:val="auto"/>
                <w:szCs w:val="21"/>
                <w:highlight w:val="none"/>
              </w:rPr>
              <w:t>项目经理</w:t>
            </w:r>
          </w:p>
        </w:tc>
        <w:tc>
          <w:tcPr>
            <w:tcW w:w="1410" w:type="dxa"/>
            <w:vAlign w:val="center"/>
          </w:tcPr>
          <w:p w14:paraId="605831B9">
            <w:pPr>
              <w:snapToGrid w:val="0"/>
              <w:spacing w:before="50" w:after="156" w:afterLines="50"/>
              <w:jc w:val="center"/>
              <w:rPr>
                <w:rFonts w:ascii="宋体"/>
                <w:color w:val="auto"/>
                <w:szCs w:val="21"/>
                <w:highlight w:val="none"/>
              </w:rPr>
            </w:pPr>
          </w:p>
        </w:tc>
        <w:tc>
          <w:tcPr>
            <w:tcW w:w="1650" w:type="dxa"/>
            <w:vAlign w:val="center"/>
          </w:tcPr>
          <w:p w14:paraId="385D5F2E">
            <w:pPr>
              <w:snapToGrid w:val="0"/>
              <w:spacing w:before="50" w:after="156" w:afterLines="50"/>
              <w:jc w:val="center"/>
              <w:rPr>
                <w:rFonts w:ascii="宋体"/>
                <w:color w:val="auto"/>
                <w:szCs w:val="21"/>
                <w:highlight w:val="none"/>
              </w:rPr>
            </w:pPr>
          </w:p>
        </w:tc>
        <w:tc>
          <w:tcPr>
            <w:tcW w:w="3254" w:type="dxa"/>
          </w:tcPr>
          <w:p w14:paraId="1B7C4977">
            <w:pPr>
              <w:snapToGrid w:val="0"/>
              <w:spacing w:before="50" w:after="156" w:afterLines="50"/>
              <w:rPr>
                <w:rFonts w:ascii="宋体" w:hAnsi="宋体"/>
                <w:color w:val="auto"/>
                <w:szCs w:val="21"/>
                <w:highlight w:val="none"/>
              </w:rPr>
            </w:pPr>
            <w:r>
              <w:rPr>
                <w:rFonts w:hint="eastAsia" w:ascii="宋体" w:hAnsi="宋体"/>
                <w:color w:val="auto"/>
                <w:szCs w:val="21"/>
                <w:highlight w:val="none"/>
              </w:rPr>
              <w:t>无在岗项目（指目前未在其他项目上任职，或虽在其他项目上任职但本项目中标后能够从该项目撤离）</w:t>
            </w:r>
          </w:p>
        </w:tc>
      </w:tr>
      <w:tr w14:paraId="7836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0D167BF9">
            <w:pPr>
              <w:snapToGrid w:val="0"/>
              <w:spacing w:before="50" w:after="156" w:afterLines="50"/>
              <w:jc w:val="center"/>
              <w:rPr>
                <w:rFonts w:ascii="宋体"/>
                <w:color w:val="auto"/>
                <w:szCs w:val="21"/>
                <w:highlight w:val="none"/>
              </w:rPr>
            </w:pPr>
          </w:p>
        </w:tc>
        <w:tc>
          <w:tcPr>
            <w:tcW w:w="1774" w:type="dxa"/>
            <w:vAlign w:val="center"/>
          </w:tcPr>
          <w:p w14:paraId="31DF507C">
            <w:pPr>
              <w:snapToGrid w:val="0"/>
              <w:spacing w:before="50" w:after="156" w:afterLines="50"/>
              <w:jc w:val="center"/>
              <w:rPr>
                <w:rFonts w:ascii="宋体"/>
                <w:color w:val="auto"/>
                <w:szCs w:val="21"/>
                <w:highlight w:val="none"/>
              </w:rPr>
            </w:pPr>
            <w:r>
              <w:rPr>
                <w:rFonts w:hint="eastAsia" w:ascii="宋体"/>
                <w:color w:val="auto"/>
                <w:szCs w:val="21"/>
                <w:highlight w:val="none"/>
              </w:rPr>
              <w:t>安全员</w:t>
            </w:r>
          </w:p>
        </w:tc>
        <w:tc>
          <w:tcPr>
            <w:tcW w:w="1410" w:type="dxa"/>
            <w:vAlign w:val="center"/>
          </w:tcPr>
          <w:p w14:paraId="50C79007">
            <w:pPr>
              <w:snapToGrid w:val="0"/>
              <w:spacing w:before="50" w:after="156" w:afterLines="50"/>
              <w:jc w:val="center"/>
              <w:rPr>
                <w:rFonts w:ascii="宋体"/>
                <w:color w:val="auto"/>
                <w:szCs w:val="21"/>
                <w:highlight w:val="none"/>
              </w:rPr>
            </w:pPr>
          </w:p>
        </w:tc>
        <w:tc>
          <w:tcPr>
            <w:tcW w:w="1650" w:type="dxa"/>
            <w:vAlign w:val="center"/>
          </w:tcPr>
          <w:p w14:paraId="1E3AA0AF">
            <w:pPr>
              <w:snapToGrid w:val="0"/>
              <w:spacing w:before="50" w:after="156" w:afterLines="50"/>
              <w:jc w:val="center"/>
              <w:rPr>
                <w:rFonts w:ascii="宋体"/>
                <w:color w:val="auto"/>
                <w:szCs w:val="21"/>
                <w:highlight w:val="none"/>
              </w:rPr>
            </w:pPr>
          </w:p>
        </w:tc>
        <w:tc>
          <w:tcPr>
            <w:tcW w:w="3254" w:type="dxa"/>
            <w:vAlign w:val="center"/>
          </w:tcPr>
          <w:p w14:paraId="108F5A7A">
            <w:pPr>
              <w:snapToGrid w:val="0"/>
              <w:spacing w:before="50" w:after="156" w:afterLines="50"/>
              <w:jc w:val="center"/>
              <w:rPr>
                <w:rFonts w:ascii="宋体"/>
                <w:color w:val="auto"/>
                <w:szCs w:val="21"/>
                <w:highlight w:val="none"/>
              </w:rPr>
            </w:pPr>
          </w:p>
        </w:tc>
      </w:tr>
      <w:tr w14:paraId="484A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5146CFFD">
            <w:pPr>
              <w:snapToGrid w:val="0"/>
              <w:spacing w:before="50" w:after="156" w:afterLines="50"/>
              <w:jc w:val="center"/>
              <w:rPr>
                <w:rFonts w:ascii="宋体"/>
                <w:color w:val="auto"/>
                <w:szCs w:val="21"/>
                <w:highlight w:val="none"/>
              </w:rPr>
            </w:pPr>
          </w:p>
        </w:tc>
        <w:tc>
          <w:tcPr>
            <w:tcW w:w="1774" w:type="dxa"/>
            <w:vAlign w:val="center"/>
          </w:tcPr>
          <w:p w14:paraId="69EE22F0">
            <w:pPr>
              <w:snapToGrid w:val="0"/>
              <w:spacing w:before="50" w:after="156" w:afterLines="50"/>
              <w:jc w:val="center"/>
              <w:rPr>
                <w:rFonts w:ascii="宋体"/>
                <w:color w:val="auto"/>
                <w:szCs w:val="21"/>
                <w:highlight w:val="none"/>
              </w:rPr>
            </w:pPr>
            <w:r>
              <w:rPr>
                <w:rFonts w:hint="eastAsia" w:ascii="宋体"/>
                <w:color w:val="auto"/>
                <w:szCs w:val="21"/>
                <w:highlight w:val="none"/>
              </w:rPr>
              <w:t>资料员</w:t>
            </w:r>
          </w:p>
        </w:tc>
        <w:tc>
          <w:tcPr>
            <w:tcW w:w="1410" w:type="dxa"/>
            <w:vAlign w:val="center"/>
          </w:tcPr>
          <w:p w14:paraId="6848E7EE">
            <w:pPr>
              <w:snapToGrid w:val="0"/>
              <w:spacing w:before="50" w:after="156" w:afterLines="50"/>
              <w:jc w:val="center"/>
              <w:rPr>
                <w:rFonts w:ascii="宋体"/>
                <w:color w:val="auto"/>
                <w:szCs w:val="21"/>
                <w:highlight w:val="none"/>
              </w:rPr>
            </w:pPr>
          </w:p>
        </w:tc>
        <w:tc>
          <w:tcPr>
            <w:tcW w:w="1650" w:type="dxa"/>
            <w:vAlign w:val="center"/>
          </w:tcPr>
          <w:p w14:paraId="23786440">
            <w:pPr>
              <w:snapToGrid w:val="0"/>
              <w:spacing w:before="50" w:after="156" w:afterLines="50"/>
              <w:jc w:val="center"/>
              <w:rPr>
                <w:rFonts w:ascii="宋体"/>
                <w:color w:val="auto"/>
                <w:szCs w:val="21"/>
                <w:highlight w:val="none"/>
              </w:rPr>
            </w:pPr>
          </w:p>
        </w:tc>
        <w:tc>
          <w:tcPr>
            <w:tcW w:w="3254" w:type="dxa"/>
            <w:vAlign w:val="center"/>
          </w:tcPr>
          <w:p w14:paraId="1509CAF6">
            <w:pPr>
              <w:snapToGrid w:val="0"/>
              <w:spacing w:before="50" w:after="156" w:afterLines="50"/>
              <w:jc w:val="center"/>
              <w:rPr>
                <w:rFonts w:ascii="宋体"/>
                <w:color w:val="auto"/>
                <w:szCs w:val="21"/>
                <w:highlight w:val="none"/>
              </w:rPr>
            </w:pPr>
          </w:p>
        </w:tc>
      </w:tr>
      <w:tr w14:paraId="1223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4D82D664">
            <w:pPr>
              <w:snapToGrid w:val="0"/>
              <w:spacing w:before="50" w:after="156" w:afterLines="50"/>
              <w:jc w:val="center"/>
              <w:rPr>
                <w:rFonts w:ascii="宋体"/>
                <w:color w:val="auto"/>
                <w:szCs w:val="21"/>
                <w:highlight w:val="none"/>
              </w:rPr>
            </w:pPr>
          </w:p>
        </w:tc>
        <w:tc>
          <w:tcPr>
            <w:tcW w:w="1774" w:type="dxa"/>
            <w:vAlign w:val="center"/>
          </w:tcPr>
          <w:p w14:paraId="0A0CFDE0">
            <w:pPr>
              <w:snapToGrid w:val="0"/>
              <w:spacing w:before="50" w:after="156" w:afterLines="50"/>
              <w:jc w:val="center"/>
              <w:rPr>
                <w:rFonts w:ascii="宋体"/>
                <w:color w:val="auto"/>
                <w:szCs w:val="21"/>
                <w:highlight w:val="none"/>
              </w:rPr>
            </w:pPr>
            <w:r>
              <w:rPr>
                <w:rFonts w:hint="eastAsia" w:ascii="宋体"/>
                <w:color w:val="auto"/>
                <w:szCs w:val="21"/>
                <w:highlight w:val="none"/>
              </w:rPr>
              <w:t>计量员</w:t>
            </w:r>
          </w:p>
        </w:tc>
        <w:tc>
          <w:tcPr>
            <w:tcW w:w="1410" w:type="dxa"/>
            <w:vAlign w:val="center"/>
          </w:tcPr>
          <w:p w14:paraId="1634A799">
            <w:pPr>
              <w:snapToGrid w:val="0"/>
              <w:spacing w:before="50" w:after="156" w:afterLines="50"/>
              <w:jc w:val="center"/>
              <w:rPr>
                <w:rFonts w:ascii="宋体"/>
                <w:color w:val="auto"/>
                <w:szCs w:val="21"/>
                <w:highlight w:val="none"/>
              </w:rPr>
            </w:pPr>
          </w:p>
        </w:tc>
        <w:tc>
          <w:tcPr>
            <w:tcW w:w="1650" w:type="dxa"/>
            <w:vAlign w:val="center"/>
          </w:tcPr>
          <w:p w14:paraId="4E0AD96B">
            <w:pPr>
              <w:snapToGrid w:val="0"/>
              <w:spacing w:before="50" w:after="156" w:afterLines="50"/>
              <w:jc w:val="center"/>
              <w:rPr>
                <w:rFonts w:ascii="宋体"/>
                <w:color w:val="auto"/>
                <w:szCs w:val="21"/>
                <w:highlight w:val="none"/>
              </w:rPr>
            </w:pPr>
          </w:p>
        </w:tc>
        <w:tc>
          <w:tcPr>
            <w:tcW w:w="3254" w:type="dxa"/>
            <w:vAlign w:val="center"/>
          </w:tcPr>
          <w:p w14:paraId="66EBADED">
            <w:pPr>
              <w:snapToGrid w:val="0"/>
              <w:spacing w:before="50" w:after="156" w:afterLines="50"/>
              <w:jc w:val="center"/>
              <w:rPr>
                <w:rFonts w:ascii="宋体"/>
                <w:color w:val="auto"/>
                <w:szCs w:val="21"/>
                <w:highlight w:val="none"/>
              </w:rPr>
            </w:pPr>
          </w:p>
        </w:tc>
      </w:tr>
      <w:tr w14:paraId="1CA6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14:paraId="7DF3A92E">
            <w:pPr>
              <w:snapToGrid w:val="0"/>
              <w:spacing w:before="50" w:after="156" w:afterLines="50"/>
              <w:jc w:val="center"/>
              <w:rPr>
                <w:rFonts w:ascii="宋体"/>
                <w:color w:val="auto"/>
                <w:szCs w:val="21"/>
                <w:highlight w:val="none"/>
              </w:rPr>
            </w:pPr>
          </w:p>
        </w:tc>
        <w:tc>
          <w:tcPr>
            <w:tcW w:w="1774" w:type="dxa"/>
            <w:vAlign w:val="center"/>
          </w:tcPr>
          <w:p w14:paraId="4A64474A">
            <w:pPr>
              <w:snapToGrid w:val="0"/>
              <w:spacing w:before="50" w:after="156" w:afterLines="50"/>
              <w:jc w:val="center"/>
              <w:rPr>
                <w:rFonts w:ascii="宋体"/>
                <w:color w:val="auto"/>
                <w:szCs w:val="21"/>
                <w:highlight w:val="none"/>
              </w:rPr>
            </w:pPr>
            <w:r>
              <w:rPr>
                <w:rFonts w:hint="eastAsia" w:ascii="宋体"/>
                <w:color w:val="auto"/>
                <w:szCs w:val="21"/>
                <w:highlight w:val="none"/>
              </w:rPr>
              <w:t>……</w:t>
            </w:r>
          </w:p>
        </w:tc>
        <w:tc>
          <w:tcPr>
            <w:tcW w:w="1410" w:type="dxa"/>
            <w:vAlign w:val="center"/>
          </w:tcPr>
          <w:p w14:paraId="1E844D10">
            <w:pPr>
              <w:snapToGrid w:val="0"/>
              <w:spacing w:before="50" w:after="156" w:afterLines="50"/>
              <w:jc w:val="center"/>
              <w:rPr>
                <w:rFonts w:ascii="宋体"/>
                <w:color w:val="auto"/>
                <w:szCs w:val="21"/>
                <w:highlight w:val="none"/>
              </w:rPr>
            </w:pPr>
          </w:p>
        </w:tc>
        <w:tc>
          <w:tcPr>
            <w:tcW w:w="1650" w:type="dxa"/>
            <w:vAlign w:val="center"/>
          </w:tcPr>
          <w:p w14:paraId="603139F4">
            <w:pPr>
              <w:snapToGrid w:val="0"/>
              <w:spacing w:before="50" w:after="156" w:afterLines="50"/>
              <w:jc w:val="center"/>
              <w:rPr>
                <w:rFonts w:ascii="宋体"/>
                <w:color w:val="auto"/>
                <w:szCs w:val="21"/>
                <w:highlight w:val="none"/>
              </w:rPr>
            </w:pPr>
          </w:p>
        </w:tc>
        <w:tc>
          <w:tcPr>
            <w:tcW w:w="3254" w:type="dxa"/>
            <w:vAlign w:val="center"/>
          </w:tcPr>
          <w:p w14:paraId="510C076B">
            <w:pPr>
              <w:snapToGrid w:val="0"/>
              <w:spacing w:before="50" w:after="156" w:afterLines="50"/>
              <w:jc w:val="center"/>
              <w:rPr>
                <w:rFonts w:ascii="宋体"/>
                <w:color w:val="auto"/>
                <w:szCs w:val="21"/>
                <w:highlight w:val="none"/>
              </w:rPr>
            </w:pPr>
          </w:p>
        </w:tc>
      </w:tr>
    </w:tbl>
    <w:p w14:paraId="5F058603">
      <w:pPr>
        <w:snapToGrid w:val="0"/>
        <w:spacing w:before="50" w:after="156" w:afterLines="50"/>
        <w:jc w:val="left"/>
        <w:rPr>
          <w:rFonts w:ascii="宋体"/>
          <w:color w:val="auto"/>
          <w:szCs w:val="21"/>
          <w:highlight w:val="none"/>
        </w:rPr>
      </w:pPr>
    </w:p>
    <w:p w14:paraId="01D622DF">
      <w:pPr>
        <w:snapToGrid w:val="0"/>
        <w:spacing w:before="50" w:after="156" w:afterLines="50"/>
        <w:jc w:val="left"/>
        <w:rPr>
          <w:rFonts w:asci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）项目主要人员是指按招标文件规定的项目经理、安全员、资料员、计量员等，不计养护作业人员。</w:t>
      </w:r>
    </w:p>
    <w:p w14:paraId="717E2FFA">
      <w:pPr>
        <w:snapToGrid w:val="0"/>
        <w:spacing w:before="50" w:after="156" w:afterLines="50"/>
        <w:ind w:firstLine="315" w:firstLineChars="150"/>
        <w:jc w:val="left"/>
        <w:rPr>
          <w:rFonts w:ascii="宋体"/>
          <w:color w:val="auto"/>
          <w:szCs w:val="21"/>
          <w:highlight w:val="none"/>
        </w:rPr>
      </w:pPr>
      <w:r>
        <w:rPr>
          <w:rFonts w:hint="eastAsia" w:ascii="宋体"/>
          <w:color w:val="auto"/>
          <w:szCs w:val="21"/>
          <w:highlight w:val="none"/>
        </w:rPr>
        <w:t>（</w:t>
      </w:r>
      <w:r>
        <w:rPr>
          <w:rFonts w:ascii="宋体"/>
          <w:color w:val="auto"/>
          <w:szCs w:val="21"/>
          <w:highlight w:val="none"/>
        </w:rPr>
        <w:t>2</w:t>
      </w:r>
      <w:r>
        <w:rPr>
          <w:rFonts w:hint="eastAsia" w:ascii="宋体"/>
          <w:color w:val="auto"/>
          <w:szCs w:val="21"/>
          <w:highlight w:val="none"/>
        </w:rPr>
        <w:t>）项目经理应附身份证正反面复印件、建造师注册证复印件、安全</w:t>
      </w:r>
      <w:r>
        <w:rPr>
          <w:rFonts w:ascii="宋体"/>
          <w:color w:val="auto"/>
          <w:szCs w:val="21"/>
          <w:highlight w:val="none"/>
        </w:rPr>
        <w:t>B</w:t>
      </w:r>
      <w:r>
        <w:rPr>
          <w:rFonts w:hint="eastAsia" w:ascii="宋体"/>
          <w:color w:val="auto"/>
          <w:szCs w:val="21"/>
          <w:highlight w:val="none"/>
        </w:rPr>
        <w:t>证复印件、</w:t>
      </w:r>
      <w:r>
        <w:rPr>
          <w:rFonts w:hint="eastAsia" w:ascii="宋体" w:hAnsi="宋体"/>
          <w:color w:val="auto"/>
          <w:szCs w:val="21"/>
          <w:highlight w:val="none"/>
        </w:rPr>
        <w:t>无在岗项目承诺</w:t>
      </w:r>
      <w:r>
        <w:rPr>
          <w:rFonts w:hint="eastAsia" w:ascii="宋体"/>
          <w:color w:val="auto"/>
          <w:szCs w:val="21"/>
          <w:highlight w:val="none"/>
        </w:rPr>
        <w:t>；</w:t>
      </w:r>
    </w:p>
    <w:p w14:paraId="12E98F86">
      <w:pPr>
        <w:snapToGrid w:val="0"/>
        <w:spacing w:before="50" w:after="156" w:afterLines="50"/>
        <w:jc w:val="left"/>
        <w:rPr>
          <w:rFonts w:ascii="宋体"/>
          <w:color w:val="auto"/>
          <w:szCs w:val="21"/>
          <w:highlight w:val="none"/>
        </w:rPr>
      </w:pPr>
      <w:r>
        <w:rPr>
          <w:rFonts w:ascii="宋体"/>
          <w:color w:val="auto"/>
          <w:szCs w:val="21"/>
          <w:highlight w:val="none"/>
        </w:rPr>
        <w:t xml:space="preserve">   </w:t>
      </w:r>
      <w:r>
        <w:rPr>
          <w:rFonts w:hint="eastAsia" w:ascii="宋体"/>
          <w:color w:val="auto"/>
          <w:szCs w:val="21"/>
          <w:highlight w:val="none"/>
        </w:rPr>
        <w:t>（</w:t>
      </w:r>
      <w:r>
        <w:rPr>
          <w:rFonts w:ascii="宋体"/>
          <w:color w:val="auto"/>
          <w:szCs w:val="21"/>
          <w:highlight w:val="none"/>
        </w:rPr>
        <w:t>3</w:t>
      </w:r>
      <w:r>
        <w:rPr>
          <w:rFonts w:hint="eastAsia" w:ascii="宋体"/>
          <w:color w:val="auto"/>
          <w:szCs w:val="21"/>
          <w:highlight w:val="none"/>
        </w:rPr>
        <w:t>）安全员应附身份证正反面复印件、安全</w:t>
      </w:r>
      <w:r>
        <w:rPr>
          <w:rFonts w:ascii="宋体"/>
          <w:color w:val="auto"/>
          <w:szCs w:val="21"/>
          <w:highlight w:val="none"/>
        </w:rPr>
        <w:t>C</w:t>
      </w:r>
      <w:r>
        <w:rPr>
          <w:rFonts w:hint="eastAsia" w:ascii="宋体"/>
          <w:color w:val="auto"/>
          <w:szCs w:val="21"/>
          <w:highlight w:val="none"/>
        </w:rPr>
        <w:t>证复印件；</w:t>
      </w:r>
    </w:p>
    <w:p w14:paraId="54EE8236">
      <w:pPr>
        <w:snapToGrid w:val="0"/>
        <w:spacing w:before="50" w:after="156" w:afterLines="50"/>
        <w:jc w:val="left"/>
        <w:rPr>
          <w:rFonts w:ascii="宋体"/>
          <w:color w:val="auto"/>
          <w:szCs w:val="21"/>
          <w:highlight w:val="none"/>
        </w:rPr>
      </w:pPr>
      <w:r>
        <w:rPr>
          <w:rFonts w:ascii="宋体"/>
          <w:color w:val="auto"/>
          <w:szCs w:val="21"/>
          <w:highlight w:val="none"/>
        </w:rPr>
        <w:t xml:space="preserve">   </w:t>
      </w:r>
      <w:r>
        <w:rPr>
          <w:rFonts w:hint="eastAsia" w:ascii="宋体"/>
          <w:color w:val="auto"/>
          <w:szCs w:val="21"/>
          <w:highlight w:val="none"/>
        </w:rPr>
        <w:t>（</w:t>
      </w:r>
      <w:r>
        <w:rPr>
          <w:rFonts w:ascii="宋体"/>
          <w:color w:val="auto"/>
          <w:szCs w:val="21"/>
          <w:highlight w:val="none"/>
        </w:rPr>
        <w:t>4</w:t>
      </w:r>
      <w:r>
        <w:rPr>
          <w:rFonts w:hint="eastAsia" w:ascii="宋体"/>
          <w:color w:val="auto"/>
          <w:szCs w:val="21"/>
          <w:highlight w:val="none"/>
        </w:rPr>
        <w:t>）其他主要人员应附身份证复印件、职称证或学历证复印件。</w:t>
      </w:r>
    </w:p>
    <w:p w14:paraId="0A28A003">
      <w:pPr>
        <w:snapToGrid w:val="0"/>
        <w:spacing w:before="50" w:after="5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）所有人员应附截标时间前半年内投标人为拟投入人员连续三个月缴纳社保费的凭证复印件。</w:t>
      </w:r>
    </w:p>
    <w:p w14:paraId="0CDFDC15">
      <w:pPr>
        <w:snapToGrid w:val="0"/>
        <w:spacing w:before="50" w:after="50"/>
        <w:rPr>
          <w:rFonts w:ascii="宋体"/>
          <w:color w:val="auto"/>
          <w:szCs w:val="21"/>
          <w:highlight w:val="none"/>
        </w:rPr>
      </w:pPr>
    </w:p>
    <w:p w14:paraId="13EB69F0">
      <w:pPr>
        <w:snapToGrid w:val="0"/>
        <w:spacing w:before="50" w:after="50"/>
        <w:rPr>
          <w:rFonts w:ascii="宋体"/>
          <w:color w:val="auto"/>
          <w:szCs w:val="21"/>
          <w:highlight w:val="none"/>
        </w:rPr>
      </w:pPr>
    </w:p>
    <w:p w14:paraId="0988F3E3">
      <w:pPr>
        <w:snapToGrid w:val="0"/>
        <w:spacing w:before="50" w:after="50" w:line="360" w:lineRule="auto"/>
        <w:rPr>
          <w:rFonts w:ascii="宋体"/>
          <w:color w:val="auto"/>
          <w:szCs w:val="21"/>
          <w:highlight w:val="none"/>
        </w:rPr>
      </w:pPr>
      <w:r>
        <w:rPr>
          <w:rFonts w:hint="eastAsia" w:ascii="宋体" w:hAnsi="宋体"/>
          <w:color w:val="auto"/>
          <w:spacing w:val="20"/>
          <w:szCs w:val="21"/>
          <w:highlight w:val="none"/>
        </w:rPr>
        <w:t>投标人盖公章：</w:t>
      </w:r>
      <w:r>
        <w:rPr>
          <w:rFonts w:ascii="宋体" w:hAnsi="宋体"/>
          <w:color w:val="auto"/>
          <w:spacing w:val="20"/>
          <w:szCs w:val="21"/>
          <w:highlight w:val="none"/>
          <w:u w:val="single"/>
        </w:rPr>
        <w:t xml:space="preserve">                 </w:t>
      </w:r>
    </w:p>
    <w:p w14:paraId="27C01EF3">
      <w:pPr>
        <w:snapToGrid w:val="0"/>
        <w:spacing w:before="50" w:after="50" w:line="360" w:lineRule="auto"/>
        <w:rPr>
          <w:rFonts w:ascii="宋体"/>
          <w:color w:val="auto"/>
          <w:spacing w:val="20"/>
          <w:szCs w:val="21"/>
          <w:highlight w:val="none"/>
          <w:u w:val="single"/>
        </w:rPr>
      </w:pPr>
      <w:r>
        <w:rPr>
          <w:rFonts w:hint="eastAsia" w:ascii="宋体" w:hAnsi="宋体"/>
          <w:color w:val="auto"/>
          <w:szCs w:val="21"/>
          <w:highlight w:val="none"/>
        </w:rPr>
        <w:t>法定代表人或被授权人</w:t>
      </w:r>
      <w:r>
        <w:rPr>
          <w:rFonts w:hint="eastAsia" w:ascii="宋体" w:hAnsi="宋体"/>
          <w:color w:val="auto"/>
          <w:spacing w:val="20"/>
          <w:szCs w:val="21"/>
          <w:highlight w:val="none"/>
        </w:rPr>
        <w:t>签名：</w:t>
      </w:r>
      <w:r>
        <w:rPr>
          <w:rFonts w:ascii="宋体" w:hAnsi="宋体"/>
          <w:color w:val="auto"/>
          <w:spacing w:val="20"/>
          <w:szCs w:val="21"/>
          <w:highlight w:val="none"/>
          <w:u w:val="single"/>
        </w:rPr>
        <w:t xml:space="preserve">         </w:t>
      </w:r>
    </w:p>
    <w:p w14:paraId="1340FB6F">
      <w:pPr>
        <w:adjustRightInd w:val="0"/>
        <w:snapToGrid w:val="0"/>
        <w:spacing w:line="360" w:lineRule="exact"/>
        <w:jc w:val="left"/>
        <w:rPr>
          <w:rFonts w:ascii="宋体" w:hAnsi="宋体"/>
          <w:color w:val="auto"/>
          <w:szCs w:val="21"/>
          <w:highlight w:val="none"/>
        </w:rPr>
      </w:pPr>
      <w:r>
        <w:rPr>
          <w:rFonts w:hint="eastAsia" w:ascii="宋体" w:hAnsi="宋体"/>
          <w:color w:val="auto"/>
          <w:spacing w:val="20"/>
          <w:szCs w:val="21"/>
          <w:highlight w:val="none"/>
        </w:rPr>
        <w:t>日</w:t>
      </w:r>
      <w:r>
        <w:rPr>
          <w:rFonts w:ascii="宋体" w:hAnsi="宋体"/>
          <w:color w:val="auto"/>
          <w:spacing w:val="20"/>
          <w:szCs w:val="21"/>
          <w:highlight w:val="none"/>
        </w:rPr>
        <w:t xml:space="preserve"> </w:t>
      </w:r>
      <w:r>
        <w:rPr>
          <w:rFonts w:hint="eastAsia" w:ascii="宋体" w:hAnsi="宋体"/>
          <w:color w:val="auto"/>
          <w:spacing w:val="20"/>
          <w:szCs w:val="21"/>
          <w:highlight w:val="none"/>
        </w:rPr>
        <w:t>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235D0EB4">
      <w:pPr>
        <w:pStyle w:val="2"/>
        <w:rPr>
          <w:color w:val="auto"/>
          <w:sz w:val="21"/>
          <w:szCs w:val="21"/>
          <w:highlight w:val="none"/>
        </w:rPr>
      </w:pPr>
    </w:p>
    <w:p w14:paraId="2ACB4708">
      <w:pPr>
        <w:snapToGrid w:val="0"/>
        <w:spacing w:line="360" w:lineRule="auto"/>
        <w:ind w:firstLine="210" w:firstLineChars="100"/>
        <w:jc w:val="left"/>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▲（5）拟投入项目主要机械、设备一览表；</w:t>
      </w:r>
    </w:p>
    <w:p w14:paraId="412F6C66">
      <w:pPr>
        <w:spacing w:line="360" w:lineRule="auto"/>
        <w:ind w:firstLine="600"/>
        <w:jc w:val="center"/>
        <w:rPr>
          <w:b/>
          <w:bCs/>
          <w:color w:val="auto"/>
          <w:szCs w:val="21"/>
          <w:highlight w:val="none"/>
        </w:rPr>
      </w:pPr>
      <w:r>
        <w:rPr>
          <w:rFonts w:hint="eastAsia" w:hAnsi="宋体"/>
          <w:b/>
          <w:bCs/>
          <w:color w:val="auto"/>
          <w:szCs w:val="21"/>
          <w:highlight w:val="none"/>
        </w:rPr>
        <w:t>拟投入本招标项目机械设备一览表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2998"/>
        <w:gridCol w:w="2909"/>
        <w:gridCol w:w="1771"/>
      </w:tblGrid>
      <w:tr w14:paraId="1BD7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46" w:type="dxa"/>
            <w:vAlign w:val="center"/>
          </w:tcPr>
          <w:p w14:paraId="22114B4C">
            <w:pPr>
              <w:jc w:val="center"/>
              <w:rPr>
                <w:rFonts w:cs="Book Antiqua"/>
                <w:color w:val="auto"/>
                <w:szCs w:val="21"/>
                <w:highlight w:val="none"/>
              </w:rPr>
            </w:pPr>
            <w:r>
              <w:rPr>
                <w:rFonts w:hint="eastAsia" w:cs="Book Antiqua"/>
                <w:color w:val="auto"/>
                <w:szCs w:val="21"/>
                <w:highlight w:val="none"/>
              </w:rPr>
              <w:t>项目</w:t>
            </w:r>
          </w:p>
        </w:tc>
        <w:tc>
          <w:tcPr>
            <w:tcW w:w="2998" w:type="dxa"/>
            <w:vAlign w:val="center"/>
          </w:tcPr>
          <w:p w14:paraId="02DA36BE">
            <w:pPr>
              <w:jc w:val="center"/>
              <w:rPr>
                <w:rFonts w:cs="Book Antiqua"/>
                <w:color w:val="auto"/>
                <w:szCs w:val="21"/>
                <w:highlight w:val="none"/>
              </w:rPr>
            </w:pPr>
            <w:r>
              <w:rPr>
                <w:rFonts w:hint="eastAsia" w:cs="Book Antiqua"/>
                <w:color w:val="auto"/>
                <w:szCs w:val="21"/>
                <w:highlight w:val="none"/>
              </w:rPr>
              <w:t>机械设备名称</w:t>
            </w:r>
          </w:p>
        </w:tc>
        <w:tc>
          <w:tcPr>
            <w:tcW w:w="2909" w:type="dxa"/>
            <w:vAlign w:val="center"/>
          </w:tcPr>
          <w:p w14:paraId="1A109D49">
            <w:pPr>
              <w:jc w:val="center"/>
              <w:rPr>
                <w:rFonts w:cs="Book Antiqua"/>
                <w:color w:val="auto"/>
                <w:szCs w:val="21"/>
                <w:highlight w:val="none"/>
              </w:rPr>
            </w:pPr>
            <w:r>
              <w:rPr>
                <w:rFonts w:hint="eastAsia" w:cs="Book Antiqua"/>
                <w:color w:val="auto"/>
                <w:szCs w:val="21"/>
                <w:highlight w:val="none"/>
              </w:rPr>
              <w:t>机械设备规格或型号</w:t>
            </w:r>
          </w:p>
        </w:tc>
        <w:tc>
          <w:tcPr>
            <w:tcW w:w="1771" w:type="dxa"/>
            <w:vAlign w:val="center"/>
          </w:tcPr>
          <w:p w14:paraId="45D702B8">
            <w:pPr>
              <w:jc w:val="center"/>
              <w:rPr>
                <w:rFonts w:cs="Book Antiqua"/>
                <w:color w:val="auto"/>
                <w:szCs w:val="21"/>
                <w:highlight w:val="none"/>
              </w:rPr>
            </w:pPr>
            <w:r>
              <w:rPr>
                <w:rFonts w:hint="eastAsia" w:cs="Book Antiqua"/>
                <w:color w:val="auto"/>
                <w:szCs w:val="21"/>
                <w:highlight w:val="none"/>
              </w:rPr>
              <w:t>配备数量</w:t>
            </w:r>
          </w:p>
        </w:tc>
      </w:tr>
      <w:tr w14:paraId="6A39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1546" w:type="dxa"/>
            <w:vMerge w:val="restart"/>
            <w:vAlign w:val="center"/>
          </w:tcPr>
          <w:p w14:paraId="6D40483D">
            <w:pPr>
              <w:jc w:val="center"/>
              <w:rPr>
                <w:rFonts w:ascii="宋体" w:cs="宋体"/>
                <w:color w:val="auto"/>
                <w:szCs w:val="21"/>
                <w:highlight w:val="none"/>
              </w:rPr>
            </w:pPr>
            <w:r>
              <w:rPr>
                <w:rFonts w:hint="eastAsia" w:ascii="宋体" w:hAnsi="宋体" w:cs="宋体"/>
                <w:color w:val="auto"/>
                <w:szCs w:val="21"/>
                <w:highlight w:val="none"/>
              </w:rPr>
              <w:t>中小型</w:t>
            </w:r>
          </w:p>
          <w:p w14:paraId="755B39C6">
            <w:pPr>
              <w:jc w:val="center"/>
              <w:rPr>
                <w:rFonts w:ascii="宋体" w:cs="宋体"/>
                <w:color w:val="auto"/>
                <w:szCs w:val="21"/>
                <w:highlight w:val="none"/>
              </w:rPr>
            </w:pPr>
            <w:r>
              <w:rPr>
                <w:rFonts w:hint="eastAsia" w:ascii="宋体" w:hAnsi="宋体" w:cs="宋体"/>
                <w:color w:val="auto"/>
                <w:szCs w:val="21"/>
                <w:highlight w:val="none"/>
              </w:rPr>
              <w:t>机械、车辆</w:t>
            </w:r>
          </w:p>
        </w:tc>
        <w:tc>
          <w:tcPr>
            <w:tcW w:w="2998" w:type="dxa"/>
            <w:vAlign w:val="center"/>
          </w:tcPr>
          <w:p w14:paraId="3783325B">
            <w:pPr>
              <w:rPr>
                <w:rFonts w:ascii="宋体" w:cs="宋体"/>
                <w:color w:val="auto"/>
                <w:szCs w:val="21"/>
                <w:highlight w:val="none"/>
              </w:rPr>
            </w:pPr>
          </w:p>
        </w:tc>
        <w:tc>
          <w:tcPr>
            <w:tcW w:w="2909" w:type="dxa"/>
            <w:vAlign w:val="center"/>
          </w:tcPr>
          <w:p w14:paraId="6D3DD061">
            <w:pPr>
              <w:jc w:val="center"/>
              <w:rPr>
                <w:rFonts w:ascii="宋体" w:cs="宋体"/>
                <w:color w:val="auto"/>
                <w:szCs w:val="21"/>
                <w:highlight w:val="none"/>
              </w:rPr>
            </w:pPr>
          </w:p>
        </w:tc>
        <w:tc>
          <w:tcPr>
            <w:tcW w:w="1771" w:type="dxa"/>
            <w:vAlign w:val="center"/>
          </w:tcPr>
          <w:p w14:paraId="5A7398B7">
            <w:pPr>
              <w:jc w:val="center"/>
              <w:rPr>
                <w:rFonts w:ascii="宋体" w:cs="宋体"/>
                <w:color w:val="auto"/>
                <w:szCs w:val="21"/>
                <w:highlight w:val="none"/>
              </w:rPr>
            </w:pPr>
          </w:p>
        </w:tc>
      </w:tr>
      <w:tr w14:paraId="0DE8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5FFC4CF9">
            <w:pPr>
              <w:rPr>
                <w:rFonts w:ascii="宋体" w:cs="宋体"/>
                <w:color w:val="auto"/>
                <w:szCs w:val="21"/>
                <w:highlight w:val="none"/>
              </w:rPr>
            </w:pPr>
          </w:p>
        </w:tc>
        <w:tc>
          <w:tcPr>
            <w:tcW w:w="2998" w:type="dxa"/>
            <w:vAlign w:val="center"/>
          </w:tcPr>
          <w:p w14:paraId="27E29F05">
            <w:pPr>
              <w:rPr>
                <w:rFonts w:ascii="宋体" w:cs="宋体"/>
                <w:color w:val="auto"/>
                <w:szCs w:val="21"/>
                <w:highlight w:val="none"/>
              </w:rPr>
            </w:pPr>
          </w:p>
        </w:tc>
        <w:tc>
          <w:tcPr>
            <w:tcW w:w="2909" w:type="dxa"/>
            <w:vAlign w:val="center"/>
          </w:tcPr>
          <w:p w14:paraId="0E76183D">
            <w:pPr>
              <w:jc w:val="center"/>
              <w:rPr>
                <w:rFonts w:ascii="宋体" w:cs="宋体"/>
                <w:color w:val="auto"/>
                <w:szCs w:val="21"/>
                <w:highlight w:val="none"/>
              </w:rPr>
            </w:pPr>
          </w:p>
        </w:tc>
        <w:tc>
          <w:tcPr>
            <w:tcW w:w="1771" w:type="dxa"/>
            <w:vAlign w:val="center"/>
          </w:tcPr>
          <w:p w14:paraId="5452672E">
            <w:pPr>
              <w:jc w:val="center"/>
              <w:rPr>
                <w:rFonts w:ascii="宋体" w:cs="宋体"/>
                <w:color w:val="auto"/>
                <w:szCs w:val="21"/>
                <w:highlight w:val="none"/>
              </w:rPr>
            </w:pPr>
          </w:p>
        </w:tc>
      </w:tr>
      <w:tr w14:paraId="0504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431E5728">
            <w:pPr>
              <w:rPr>
                <w:rFonts w:ascii="宋体" w:cs="宋体"/>
                <w:color w:val="auto"/>
                <w:szCs w:val="21"/>
                <w:highlight w:val="none"/>
              </w:rPr>
            </w:pPr>
          </w:p>
        </w:tc>
        <w:tc>
          <w:tcPr>
            <w:tcW w:w="2998" w:type="dxa"/>
            <w:vAlign w:val="center"/>
          </w:tcPr>
          <w:p w14:paraId="2142C136">
            <w:pPr>
              <w:rPr>
                <w:rFonts w:ascii="宋体" w:cs="宋体"/>
                <w:color w:val="auto"/>
                <w:szCs w:val="21"/>
                <w:highlight w:val="none"/>
              </w:rPr>
            </w:pPr>
          </w:p>
        </w:tc>
        <w:tc>
          <w:tcPr>
            <w:tcW w:w="2909" w:type="dxa"/>
            <w:vAlign w:val="center"/>
          </w:tcPr>
          <w:p w14:paraId="27128855">
            <w:pPr>
              <w:jc w:val="center"/>
              <w:rPr>
                <w:rFonts w:ascii="宋体" w:cs="宋体"/>
                <w:color w:val="auto"/>
                <w:szCs w:val="21"/>
                <w:highlight w:val="none"/>
              </w:rPr>
            </w:pPr>
          </w:p>
        </w:tc>
        <w:tc>
          <w:tcPr>
            <w:tcW w:w="1771" w:type="dxa"/>
            <w:vAlign w:val="center"/>
          </w:tcPr>
          <w:p w14:paraId="1CF8D616">
            <w:pPr>
              <w:jc w:val="center"/>
              <w:rPr>
                <w:rFonts w:ascii="宋体" w:cs="宋体"/>
                <w:color w:val="auto"/>
                <w:szCs w:val="21"/>
                <w:highlight w:val="none"/>
              </w:rPr>
            </w:pPr>
          </w:p>
        </w:tc>
      </w:tr>
      <w:tr w14:paraId="6BDB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1546" w:type="dxa"/>
            <w:vMerge w:val="continue"/>
          </w:tcPr>
          <w:p w14:paraId="5A9752B2">
            <w:pPr>
              <w:rPr>
                <w:rFonts w:ascii="宋体" w:cs="宋体"/>
                <w:color w:val="auto"/>
                <w:szCs w:val="21"/>
                <w:highlight w:val="none"/>
              </w:rPr>
            </w:pPr>
          </w:p>
        </w:tc>
        <w:tc>
          <w:tcPr>
            <w:tcW w:w="2998" w:type="dxa"/>
            <w:vAlign w:val="center"/>
          </w:tcPr>
          <w:p w14:paraId="51580EAF">
            <w:pPr>
              <w:rPr>
                <w:rFonts w:ascii="宋体" w:cs="宋体"/>
                <w:color w:val="auto"/>
                <w:szCs w:val="21"/>
                <w:highlight w:val="none"/>
              </w:rPr>
            </w:pPr>
          </w:p>
        </w:tc>
        <w:tc>
          <w:tcPr>
            <w:tcW w:w="2909" w:type="dxa"/>
            <w:vAlign w:val="center"/>
          </w:tcPr>
          <w:p w14:paraId="66E2913B">
            <w:pPr>
              <w:rPr>
                <w:rFonts w:ascii="宋体" w:cs="宋体"/>
                <w:color w:val="auto"/>
                <w:szCs w:val="21"/>
                <w:highlight w:val="none"/>
              </w:rPr>
            </w:pPr>
          </w:p>
        </w:tc>
        <w:tc>
          <w:tcPr>
            <w:tcW w:w="1771" w:type="dxa"/>
            <w:vAlign w:val="center"/>
          </w:tcPr>
          <w:p w14:paraId="47FEDD7F">
            <w:pPr>
              <w:jc w:val="center"/>
              <w:rPr>
                <w:rFonts w:ascii="宋体" w:cs="宋体"/>
                <w:color w:val="auto"/>
                <w:szCs w:val="21"/>
                <w:highlight w:val="none"/>
              </w:rPr>
            </w:pPr>
          </w:p>
        </w:tc>
      </w:tr>
      <w:tr w14:paraId="37E0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6D4FBF25">
            <w:pPr>
              <w:rPr>
                <w:rFonts w:ascii="宋体" w:cs="宋体"/>
                <w:color w:val="auto"/>
                <w:szCs w:val="21"/>
                <w:highlight w:val="none"/>
              </w:rPr>
            </w:pPr>
          </w:p>
        </w:tc>
        <w:tc>
          <w:tcPr>
            <w:tcW w:w="2998" w:type="dxa"/>
            <w:vAlign w:val="center"/>
          </w:tcPr>
          <w:p w14:paraId="144D0110">
            <w:pPr>
              <w:rPr>
                <w:rFonts w:ascii="宋体" w:cs="宋体"/>
                <w:color w:val="auto"/>
                <w:szCs w:val="21"/>
                <w:highlight w:val="none"/>
              </w:rPr>
            </w:pPr>
          </w:p>
        </w:tc>
        <w:tc>
          <w:tcPr>
            <w:tcW w:w="2909" w:type="dxa"/>
            <w:vAlign w:val="center"/>
          </w:tcPr>
          <w:p w14:paraId="239E06BC">
            <w:pPr>
              <w:jc w:val="center"/>
              <w:rPr>
                <w:rFonts w:ascii="宋体" w:cs="宋体"/>
                <w:color w:val="auto"/>
                <w:szCs w:val="21"/>
                <w:highlight w:val="none"/>
              </w:rPr>
            </w:pPr>
          </w:p>
        </w:tc>
        <w:tc>
          <w:tcPr>
            <w:tcW w:w="1771" w:type="dxa"/>
            <w:vAlign w:val="center"/>
          </w:tcPr>
          <w:p w14:paraId="7B13227D">
            <w:pPr>
              <w:jc w:val="center"/>
              <w:rPr>
                <w:rFonts w:ascii="宋体" w:cs="宋体"/>
                <w:color w:val="auto"/>
                <w:szCs w:val="21"/>
                <w:highlight w:val="none"/>
              </w:rPr>
            </w:pPr>
          </w:p>
        </w:tc>
      </w:tr>
      <w:tr w14:paraId="6FA9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restart"/>
            <w:vAlign w:val="center"/>
          </w:tcPr>
          <w:p w14:paraId="4EFEE1FA">
            <w:pPr>
              <w:jc w:val="center"/>
              <w:rPr>
                <w:rFonts w:ascii="宋体" w:cs="宋体"/>
                <w:color w:val="auto"/>
                <w:szCs w:val="21"/>
                <w:highlight w:val="none"/>
              </w:rPr>
            </w:pPr>
            <w:r>
              <w:rPr>
                <w:rFonts w:hint="eastAsia" w:ascii="宋体" w:hAnsi="宋体" w:cs="宋体"/>
                <w:color w:val="auto"/>
                <w:szCs w:val="21"/>
                <w:highlight w:val="none"/>
              </w:rPr>
              <w:t>日常养护</w:t>
            </w:r>
          </w:p>
          <w:p w14:paraId="2672EA1C">
            <w:pPr>
              <w:jc w:val="center"/>
              <w:rPr>
                <w:rFonts w:ascii="宋体" w:cs="宋体"/>
                <w:color w:val="auto"/>
                <w:szCs w:val="21"/>
                <w:highlight w:val="none"/>
              </w:rPr>
            </w:pPr>
            <w:r>
              <w:rPr>
                <w:rFonts w:hint="eastAsia" w:ascii="宋体" w:hAnsi="宋体" w:cs="宋体"/>
                <w:color w:val="auto"/>
                <w:szCs w:val="21"/>
                <w:highlight w:val="none"/>
              </w:rPr>
              <w:t>机具、设施</w:t>
            </w:r>
          </w:p>
        </w:tc>
        <w:tc>
          <w:tcPr>
            <w:tcW w:w="2998" w:type="dxa"/>
          </w:tcPr>
          <w:p w14:paraId="4D570CC0">
            <w:pPr>
              <w:rPr>
                <w:rFonts w:ascii="宋体" w:cs="宋体"/>
                <w:color w:val="auto"/>
                <w:szCs w:val="21"/>
                <w:highlight w:val="none"/>
              </w:rPr>
            </w:pPr>
          </w:p>
        </w:tc>
        <w:tc>
          <w:tcPr>
            <w:tcW w:w="2909" w:type="dxa"/>
            <w:vAlign w:val="center"/>
          </w:tcPr>
          <w:p w14:paraId="5254B654">
            <w:pPr>
              <w:jc w:val="center"/>
              <w:rPr>
                <w:rFonts w:ascii="宋体" w:cs="宋体"/>
                <w:color w:val="auto"/>
                <w:szCs w:val="21"/>
                <w:highlight w:val="none"/>
              </w:rPr>
            </w:pPr>
          </w:p>
        </w:tc>
        <w:tc>
          <w:tcPr>
            <w:tcW w:w="1771" w:type="dxa"/>
            <w:vAlign w:val="center"/>
          </w:tcPr>
          <w:p w14:paraId="454252B5">
            <w:pPr>
              <w:jc w:val="center"/>
              <w:rPr>
                <w:rFonts w:ascii="宋体" w:cs="宋体"/>
                <w:color w:val="auto"/>
                <w:szCs w:val="21"/>
                <w:highlight w:val="none"/>
              </w:rPr>
            </w:pPr>
          </w:p>
        </w:tc>
      </w:tr>
      <w:tr w14:paraId="598F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46620207">
            <w:pPr>
              <w:rPr>
                <w:rFonts w:ascii="宋体" w:cs="宋体"/>
                <w:color w:val="auto"/>
                <w:szCs w:val="21"/>
                <w:highlight w:val="none"/>
              </w:rPr>
            </w:pPr>
          </w:p>
        </w:tc>
        <w:tc>
          <w:tcPr>
            <w:tcW w:w="2998" w:type="dxa"/>
          </w:tcPr>
          <w:p w14:paraId="05101ACA">
            <w:pPr>
              <w:rPr>
                <w:rFonts w:ascii="宋体" w:cs="宋体"/>
                <w:color w:val="auto"/>
                <w:szCs w:val="21"/>
                <w:highlight w:val="none"/>
              </w:rPr>
            </w:pPr>
          </w:p>
        </w:tc>
        <w:tc>
          <w:tcPr>
            <w:tcW w:w="2909" w:type="dxa"/>
            <w:vAlign w:val="center"/>
          </w:tcPr>
          <w:p w14:paraId="49E48C86">
            <w:pPr>
              <w:jc w:val="center"/>
              <w:rPr>
                <w:rFonts w:ascii="宋体" w:cs="宋体"/>
                <w:color w:val="auto"/>
                <w:szCs w:val="21"/>
                <w:highlight w:val="none"/>
              </w:rPr>
            </w:pPr>
          </w:p>
        </w:tc>
        <w:tc>
          <w:tcPr>
            <w:tcW w:w="1771" w:type="dxa"/>
            <w:vAlign w:val="center"/>
          </w:tcPr>
          <w:p w14:paraId="0742C349">
            <w:pPr>
              <w:jc w:val="center"/>
              <w:rPr>
                <w:rFonts w:ascii="宋体" w:cs="宋体"/>
                <w:color w:val="auto"/>
                <w:szCs w:val="21"/>
                <w:highlight w:val="none"/>
              </w:rPr>
            </w:pPr>
          </w:p>
        </w:tc>
      </w:tr>
      <w:tr w14:paraId="0E63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644FCF83">
            <w:pPr>
              <w:rPr>
                <w:rFonts w:ascii="宋体" w:cs="宋体"/>
                <w:color w:val="auto"/>
                <w:szCs w:val="21"/>
                <w:highlight w:val="none"/>
              </w:rPr>
            </w:pPr>
          </w:p>
        </w:tc>
        <w:tc>
          <w:tcPr>
            <w:tcW w:w="2998" w:type="dxa"/>
          </w:tcPr>
          <w:p w14:paraId="7E1ED3B5">
            <w:pPr>
              <w:rPr>
                <w:rFonts w:ascii="宋体" w:cs="宋体"/>
                <w:color w:val="auto"/>
                <w:szCs w:val="21"/>
                <w:highlight w:val="none"/>
              </w:rPr>
            </w:pPr>
          </w:p>
        </w:tc>
        <w:tc>
          <w:tcPr>
            <w:tcW w:w="2909" w:type="dxa"/>
            <w:vAlign w:val="center"/>
          </w:tcPr>
          <w:p w14:paraId="5A6C25A8">
            <w:pPr>
              <w:jc w:val="center"/>
              <w:rPr>
                <w:rFonts w:ascii="宋体" w:cs="宋体"/>
                <w:color w:val="auto"/>
                <w:szCs w:val="21"/>
                <w:highlight w:val="none"/>
              </w:rPr>
            </w:pPr>
          </w:p>
        </w:tc>
        <w:tc>
          <w:tcPr>
            <w:tcW w:w="1771" w:type="dxa"/>
            <w:vAlign w:val="center"/>
          </w:tcPr>
          <w:p w14:paraId="50BF5972">
            <w:pPr>
              <w:jc w:val="center"/>
              <w:rPr>
                <w:rFonts w:ascii="宋体" w:cs="宋体"/>
                <w:color w:val="auto"/>
                <w:szCs w:val="21"/>
                <w:highlight w:val="none"/>
              </w:rPr>
            </w:pPr>
          </w:p>
        </w:tc>
      </w:tr>
      <w:tr w14:paraId="71DF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2BF5F804">
            <w:pPr>
              <w:rPr>
                <w:rFonts w:ascii="宋体" w:cs="宋体"/>
                <w:color w:val="auto"/>
                <w:szCs w:val="21"/>
                <w:highlight w:val="none"/>
              </w:rPr>
            </w:pPr>
          </w:p>
        </w:tc>
        <w:tc>
          <w:tcPr>
            <w:tcW w:w="2998" w:type="dxa"/>
          </w:tcPr>
          <w:p w14:paraId="0BC6EEAF">
            <w:pPr>
              <w:rPr>
                <w:rFonts w:ascii="宋体" w:cs="宋体"/>
                <w:color w:val="auto"/>
                <w:szCs w:val="21"/>
                <w:highlight w:val="none"/>
              </w:rPr>
            </w:pPr>
          </w:p>
        </w:tc>
        <w:tc>
          <w:tcPr>
            <w:tcW w:w="2909" w:type="dxa"/>
            <w:vAlign w:val="center"/>
          </w:tcPr>
          <w:p w14:paraId="4DE7BEC5">
            <w:pPr>
              <w:jc w:val="center"/>
              <w:rPr>
                <w:rFonts w:ascii="宋体" w:cs="宋体"/>
                <w:color w:val="auto"/>
                <w:szCs w:val="21"/>
                <w:highlight w:val="none"/>
              </w:rPr>
            </w:pPr>
          </w:p>
        </w:tc>
        <w:tc>
          <w:tcPr>
            <w:tcW w:w="1771" w:type="dxa"/>
            <w:vAlign w:val="center"/>
          </w:tcPr>
          <w:p w14:paraId="2C37823E">
            <w:pPr>
              <w:jc w:val="center"/>
              <w:rPr>
                <w:rFonts w:ascii="宋体" w:cs="宋体"/>
                <w:color w:val="auto"/>
                <w:szCs w:val="21"/>
                <w:highlight w:val="none"/>
              </w:rPr>
            </w:pPr>
          </w:p>
        </w:tc>
      </w:tr>
      <w:tr w14:paraId="0161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tcPr>
          <w:p w14:paraId="2199DFF1">
            <w:pPr>
              <w:rPr>
                <w:rFonts w:ascii="宋体" w:cs="宋体"/>
                <w:color w:val="auto"/>
                <w:szCs w:val="21"/>
                <w:highlight w:val="none"/>
              </w:rPr>
            </w:pPr>
          </w:p>
        </w:tc>
        <w:tc>
          <w:tcPr>
            <w:tcW w:w="2998" w:type="dxa"/>
          </w:tcPr>
          <w:p w14:paraId="41FDF6FA">
            <w:pPr>
              <w:rPr>
                <w:rFonts w:ascii="宋体" w:cs="宋体"/>
                <w:color w:val="auto"/>
                <w:szCs w:val="21"/>
                <w:highlight w:val="none"/>
              </w:rPr>
            </w:pPr>
          </w:p>
        </w:tc>
        <w:tc>
          <w:tcPr>
            <w:tcW w:w="2909" w:type="dxa"/>
            <w:vAlign w:val="center"/>
          </w:tcPr>
          <w:p w14:paraId="2CA1FA5E">
            <w:pPr>
              <w:jc w:val="center"/>
              <w:rPr>
                <w:rFonts w:ascii="宋体" w:cs="宋体"/>
                <w:color w:val="auto"/>
                <w:szCs w:val="21"/>
                <w:highlight w:val="none"/>
              </w:rPr>
            </w:pPr>
          </w:p>
        </w:tc>
        <w:tc>
          <w:tcPr>
            <w:tcW w:w="1771" w:type="dxa"/>
            <w:vAlign w:val="center"/>
          </w:tcPr>
          <w:p w14:paraId="6B4FF29D">
            <w:pPr>
              <w:jc w:val="center"/>
              <w:rPr>
                <w:rFonts w:ascii="宋体" w:cs="宋体"/>
                <w:color w:val="auto"/>
                <w:szCs w:val="21"/>
                <w:highlight w:val="none"/>
              </w:rPr>
            </w:pPr>
          </w:p>
        </w:tc>
      </w:tr>
      <w:tr w14:paraId="0C80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restart"/>
            <w:vAlign w:val="center"/>
          </w:tcPr>
          <w:p w14:paraId="4F264B1F">
            <w:pPr>
              <w:jc w:val="center"/>
              <w:rPr>
                <w:rFonts w:ascii="宋体" w:cs="宋体"/>
                <w:color w:val="auto"/>
                <w:szCs w:val="21"/>
                <w:highlight w:val="none"/>
              </w:rPr>
            </w:pPr>
            <w:r>
              <w:rPr>
                <w:rFonts w:hint="eastAsia" w:ascii="宋体" w:hAnsi="宋体" w:cs="宋体"/>
                <w:color w:val="auto"/>
                <w:szCs w:val="21"/>
                <w:highlight w:val="none"/>
              </w:rPr>
              <w:t>养护管理办公条件</w:t>
            </w:r>
          </w:p>
        </w:tc>
        <w:tc>
          <w:tcPr>
            <w:tcW w:w="2998" w:type="dxa"/>
          </w:tcPr>
          <w:p w14:paraId="2A673F1A">
            <w:pPr>
              <w:rPr>
                <w:rFonts w:ascii="宋体" w:cs="宋体"/>
                <w:color w:val="auto"/>
                <w:szCs w:val="21"/>
                <w:highlight w:val="none"/>
              </w:rPr>
            </w:pPr>
          </w:p>
        </w:tc>
        <w:tc>
          <w:tcPr>
            <w:tcW w:w="2909" w:type="dxa"/>
          </w:tcPr>
          <w:p w14:paraId="1567CAB5">
            <w:pPr>
              <w:rPr>
                <w:rFonts w:ascii="宋体" w:cs="宋体"/>
                <w:color w:val="auto"/>
                <w:szCs w:val="21"/>
                <w:highlight w:val="none"/>
              </w:rPr>
            </w:pPr>
          </w:p>
        </w:tc>
        <w:tc>
          <w:tcPr>
            <w:tcW w:w="1771" w:type="dxa"/>
          </w:tcPr>
          <w:p w14:paraId="56D0658F">
            <w:pPr>
              <w:jc w:val="center"/>
              <w:rPr>
                <w:rFonts w:ascii="宋体" w:cs="宋体"/>
                <w:color w:val="auto"/>
                <w:szCs w:val="21"/>
                <w:highlight w:val="none"/>
              </w:rPr>
            </w:pPr>
          </w:p>
        </w:tc>
      </w:tr>
      <w:tr w14:paraId="79FD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vAlign w:val="center"/>
          </w:tcPr>
          <w:p w14:paraId="11FCBF62">
            <w:pPr>
              <w:jc w:val="center"/>
              <w:rPr>
                <w:rFonts w:ascii="宋体" w:cs="宋体"/>
                <w:color w:val="auto"/>
                <w:szCs w:val="21"/>
                <w:highlight w:val="none"/>
              </w:rPr>
            </w:pPr>
          </w:p>
        </w:tc>
        <w:tc>
          <w:tcPr>
            <w:tcW w:w="2998" w:type="dxa"/>
          </w:tcPr>
          <w:p w14:paraId="26845362">
            <w:pPr>
              <w:rPr>
                <w:rFonts w:ascii="宋体" w:cs="宋体"/>
                <w:color w:val="auto"/>
                <w:szCs w:val="21"/>
                <w:highlight w:val="none"/>
              </w:rPr>
            </w:pPr>
          </w:p>
        </w:tc>
        <w:tc>
          <w:tcPr>
            <w:tcW w:w="2909" w:type="dxa"/>
          </w:tcPr>
          <w:p w14:paraId="4008AACD">
            <w:pPr>
              <w:rPr>
                <w:rFonts w:ascii="宋体" w:cs="宋体"/>
                <w:color w:val="auto"/>
                <w:szCs w:val="21"/>
                <w:highlight w:val="none"/>
              </w:rPr>
            </w:pPr>
          </w:p>
        </w:tc>
        <w:tc>
          <w:tcPr>
            <w:tcW w:w="1771" w:type="dxa"/>
          </w:tcPr>
          <w:p w14:paraId="4888CAC6">
            <w:pPr>
              <w:jc w:val="center"/>
              <w:rPr>
                <w:rFonts w:ascii="宋体" w:cs="宋体"/>
                <w:color w:val="auto"/>
                <w:szCs w:val="21"/>
                <w:highlight w:val="none"/>
              </w:rPr>
            </w:pPr>
          </w:p>
        </w:tc>
      </w:tr>
      <w:tr w14:paraId="291F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546" w:type="dxa"/>
            <w:vMerge w:val="continue"/>
            <w:vAlign w:val="center"/>
          </w:tcPr>
          <w:p w14:paraId="6C159062">
            <w:pPr>
              <w:jc w:val="center"/>
              <w:rPr>
                <w:rFonts w:ascii="宋体" w:cs="宋体"/>
                <w:color w:val="auto"/>
                <w:szCs w:val="21"/>
                <w:highlight w:val="none"/>
              </w:rPr>
            </w:pPr>
          </w:p>
        </w:tc>
        <w:tc>
          <w:tcPr>
            <w:tcW w:w="2998" w:type="dxa"/>
          </w:tcPr>
          <w:p w14:paraId="1001ADEC">
            <w:pPr>
              <w:rPr>
                <w:rFonts w:ascii="宋体" w:cs="宋体"/>
                <w:color w:val="auto"/>
                <w:szCs w:val="21"/>
                <w:highlight w:val="none"/>
              </w:rPr>
            </w:pPr>
          </w:p>
        </w:tc>
        <w:tc>
          <w:tcPr>
            <w:tcW w:w="2909" w:type="dxa"/>
          </w:tcPr>
          <w:p w14:paraId="3B8F3BD2">
            <w:pPr>
              <w:rPr>
                <w:rFonts w:ascii="宋体" w:cs="宋体"/>
                <w:color w:val="auto"/>
                <w:szCs w:val="21"/>
                <w:highlight w:val="none"/>
              </w:rPr>
            </w:pPr>
          </w:p>
        </w:tc>
        <w:tc>
          <w:tcPr>
            <w:tcW w:w="1771" w:type="dxa"/>
          </w:tcPr>
          <w:p w14:paraId="41622340">
            <w:pPr>
              <w:jc w:val="center"/>
              <w:rPr>
                <w:rFonts w:ascii="宋体" w:cs="宋体"/>
                <w:color w:val="auto"/>
                <w:szCs w:val="21"/>
                <w:highlight w:val="none"/>
              </w:rPr>
            </w:pPr>
          </w:p>
        </w:tc>
      </w:tr>
      <w:tr w14:paraId="1049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46" w:type="dxa"/>
            <w:vMerge w:val="continue"/>
          </w:tcPr>
          <w:p w14:paraId="74A4C816">
            <w:pPr>
              <w:rPr>
                <w:rFonts w:ascii="宋体" w:cs="宋体"/>
                <w:color w:val="auto"/>
                <w:szCs w:val="21"/>
                <w:highlight w:val="none"/>
              </w:rPr>
            </w:pPr>
          </w:p>
        </w:tc>
        <w:tc>
          <w:tcPr>
            <w:tcW w:w="2998" w:type="dxa"/>
          </w:tcPr>
          <w:p w14:paraId="5FBA5141">
            <w:pPr>
              <w:rPr>
                <w:rFonts w:ascii="宋体" w:cs="宋体"/>
                <w:color w:val="auto"/>
                <w:szCs w:val="21"/>
                <w:highlight w:val="none"/>
              </w:rPr>
            </w:pPr>
          </w:p>
        </w:tc>
        <w:tc>
          <w:tcPr>
            <w:tcW w:w="2909" w:type="dxa"/>
          </w:tcPr>
          <w:p w14:paraId="7DD2FF5E">
            <w:pPr>
              <w:rPr>
                <w:rFonts w:ascii="宋体" w:cs="宋体"/>
                <w:color w:val="auto"/>
                <w:szCs w:val="21"/>
                <w:highlight w:val="none"/>
              </w:rPr>
            </w:pPr>
          </w:p>
        </w:tc>
        <w:tc>
          <w:tcPr>
            <w:tcW w:w="1771" w:type="dxa"/>
          </w:tcPr>
          <w:p w14:paraId="1EFFC2FD">
            <w:pPr>
              <w:jc w:val="center"/>
              <w:rPr>
                <w:rFonts w:ascii="宋体" w:cs="宋体"/>
                <w:color w:val="auto"/>
                <w:szCs w:val="21"/>
                <w:highlight w:val="none"/>
              </w:rPr>
            </w:pPr>
          </w:p>
        </w:tc>
      </w:tr>
    </w:tbl>
    <w:p w14:paraId="109B1E31">
      <w:pPr>
        <w:snapToGrid w:val="0"/>
        <w:spacing w:before="50" w:after="156" w:afterLines="50"/>
        <w:jc w:val="left"/>
        <w:rPr>
          <w:rFonts w:ascii="宋体"/>
          <w:color w:val="auto"/>
          <w:szCs w:val="21"/>
          <w:highlight w:val="none"/>
        </w:rPr>
      </w:pPr>
      <w:r>
        <w:rPr>
          <w:rFonts w:hint="eastAsia" w:ascii="宋体" w:hAnsi="宋体"/>
          <w:color w:val="auto"/>
          <w:szCs w:val="21"/>
          <w:highlight w:val="none"/>
        </w:rPr>
        <w:t>注：需求应符合采购人的最低要求。</w:t>
      </w:r>
    </w:p>
    <w:p w14:paraId="075B6095">
      <w:pPr>
        <w:snapToGrid w:val="0"/>
        <w:spacing w:before="50" w:after="50"/>
        <w:rPr>
          <w:rFonts w:ascii="宋体"/>
          <w:color w:val="auto"/>
          <w:szCs w:val="21"/>
          <w:highlight w:val="none"/>
        </w:rPr>
      </w:pPr>
    </w:p>
    <w:p w14:paraId="45D1EC6C">
      <w:pPr>
        <w:snapToGrid w:val="0"/>
        <w:spacing w:before="50" w:after="50" w:line="360" w:lineRule="auto"/>
        <w:rPr>
          <w:rFonts w:ascii="宋体"/>
          <w:color w:val="auto"/>
          <w:szCs w:val="21"/>
          <w:highlight w:val="none"/>
        </w:rPr>
      </w:pPr>
      <w:r>
        <w:rPr>
          <w:rFonts w:hint="eastAsia" w:ascii="宋体" w:hAnsi="宋体"/>
          <w:color w:val="auto"/>
          <w:spacing w:val="20"/>
          <w:szCs w:val="21"/>
          <w:highlight w:val="none"/>
        </w:rPr>
        <w:t>投标人盖公章：</w:t>
      </w:r>
      <w:r>
        <w:rPr>
          <w:rFonts w:ascii="宋体" w:hAnsi="宋体"/>
          <w:color w:val="auto"/>
          <w:spacing w:val="20"/>
          <w:szCs w:val="21"/>
          <w:highlight w:val="none"/>
          <w:u w:val="single"/>
        </w:rPr>
        <w:t xml:space="preserve">                 </w:t>
      </w:r>
    </w:p>
    <w:p w14:paraId="7E555DE9">
      <w:pPr>
        <w:snapToGrid w:val="0"/>
        <w:spacing w:before="50" w:after="50" w:line="360" w:lineRule="auto"/>
        <w:rPr>
          <w:rFonts w:ascii="宋体"/>
          <w:color w:val="auto"/>
          <w:spacing w:val="20"/>
          <w:szCs w:val="21"/>
          <w:highlight w:val="none"/>
          <w:u w:val="single"/>
        </w:rPr>
      </w:pPr>
      <w:r>
        <w:rPr>
          <w:rFonts w:hint="eastAsia" w:ascii="宋体" w:hAnsi="宋体"/>
          <w:color w:val="auto"/>
          <w:szCs w:val="21"/>
          <w:highlight w:val="none"/>
        </w:rPr>
        <w:t>法定代表人或被授权人</w:t>
      </w:r>
      <w:r>
        <w:rPr>
          <w:rFonts w:hint="eastAsia" w:ascii="宋体" w:hAnsi="宋体"/>
          <w:color w:val="auto"/>
          <w:spacing w:val="20"/>
          <w:szCs w:val="21"/>
          <w:highlight w:val="none"/>
        </w:rPr>
        <w:t>签名：</w:t>
      </w:r>
      <w:r>
        <w:rPr>
          <w:rFonts w:ascii="宋体" w:hAnsi="宋体"/>
          <w:color w:val="auto"/>
          <w:spacing w:val="20"/>
          <w:szCs w:val="21"/>
          <w:highlight w:val="none"/>
          <w:u w:val="single"/>
        </w:rPr>
        <w:t xml:space="preserve">         </w:t>
      </w:r>
    </w:p>
    <w:p w14:paraId="69195870">
      <w:pPr>
        <w:adjustRightInd w:val="0"/>
        <w:snapToGrid w:val="0"/>
        <w:spacing w:line="360" w:lineRule="exact"/>
        <w:jc w:val="left"/>
        <w:rPr>
          <w:rFonts w:ascii="宋体" w:hAnsi="宋体"/>
          <w:color w:val="auto"/>
          <w:szCs w:val="21"/>
          <w:highlight w:val="none"/>
        </w:rPr>
      </w:pPr>
      <w:r>
        <w:rPr>
          <w:rFonts w:hint="eastAsia" w:ascii="宋体" w:hAnsi="宋体"/>
          <w:color w:val="auto"/>
          <w:spacing w:val="20"/>
          <w:szCs w:val="21"/>
          <w:highlight w:val="none"/>
        </w:rPr>
        <w:t>日</w:t>
      </w:r>
      <w:r>
        <w:rPr>
          <w:rFonts w:ascii="宋体" w:hAnsi="宋体"/>
          <w:color w:val="auto"/>
          <w:spacing w:val="20"/>
          <w:szCs w:val="21"/>
          <w:highlight w:val="none"/>
        </w:rPr>
        <w:t xml:space="preserve"> </w:t>
      </w:r>
      <w:r>
        <w:rPr>
          <w:rFonts w:hint="eastAsia" w:ascii="宋体" w:hAnsi="宋体"/>
          <w:color w:val="auto"/>
          <w:spacing w:val="20"/>
          <w:szCs w:val="21"/>
          <w:highlight w:val="none"/>
        </w:rPr>
        <w:t>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44E5DE31">
      <w:pPr>
        <w:adjustRightInd w:val="0"/>
        <w:snapToGrid w:val="0"/>
        <w:spacing w:line="360" w:lineRule="exact"/>
        <w:ind w:firstLine="420" w:firstLineChars="200"/>
        <w:jc w:val="left"/>
        <w:rPr>
          <w:rFonts w:ascii="宋体" w:hAnsi="宋体"/>
          <w:color w:val="auto"/>
          <w:szCs w:val="21"/>
          <w:highlight w:val="none"/>
        </w:rPr>
      </w:pPr>
    </w:p>
    <w:p w14:paraId="582D691F">
      <w:pPr>
        <w:adjustRightInd w:val="0"/>
        <w:snapToGrid w:val="0"/>
        <w:spacing w:line="360" w:lineRule="exact"/>
        <w:ind w:firstLine="420" w:firstLineChars="200"/>
        <w:jc w:val="left"/>
        <w:rPr>
          <w:rFonts w:ascii="宋体" w:hAnsi="宋体"/>
          <w:color w:val="auto"/>
          <w:szCs w:val="21"/>
          <w:highlight w:val="none"/>
        </w:rPr>
      </w:pPr>
    </w:p>
    <w:p w14:paraId="36D1A491">
      <w:pPr>
        <w:adjustRightInd w:val="0"/>
        <w:snapToGrid w:val="0"/>
        <w:spacing w:line="360" w:lineRule="exact"/>
        <w:ind w:firstLine="420" w:firstLineChars="200"/>
        <w:jc w:val="left"/>
        <w:rPr>
          <w:rFonts w:ascii="宋体" w:hAnsi="宋体"/>
          <w:color w:val="auto"/>
          <w:szCs w:val="21"/>
          <w:highlight w:val="none"/>
        </w:rPr>
      </w:pPr>
    </w:p>
    <w:p w14:paraId="03AB6880">
      <w:pPr>
        <w:adjustRightInd w:val="0"/>
        <w:snapToGrid w:val="0"/>
        <w:spacing w:line="360" w:lineRule="exact"/>
        <w:ind w:firstLine="420" w:firstLineChars="200"/>
        <w:jc w:val="left"/>
        <w:rPr>
          <w:rFonts w:ascii="宋体" w:hAnsi="宋体"/>
          <w:color w:val="auto"/>
          <w:szCs w:val="21"/>
          <w:highlight w:val="none"/>
        </w:rPr>
      </w:pPr>
    </w:p>
    <w:p w14:paraId="43C0B5C6">
      <w:pPr>
        <w:adjustRightInd w:val="0"/>
        <w:snapToGrid w:val="0"/>
        <w:spacing w:line="360" w:lineRule="exact"/>
        <w:ind w:firstLine="420" w:firstLineChars="200"/>
        <w:jc w:val="left"/>
        <w:rPr>
          <w:rFonts w:ascii="宋体" w:hAnsi="宋体"/>
          <w:color w:val="auto"/>
          <w:szCs w:val="21"/>
          <w:highlight w:val="none"/>
        </w:rPr>
      </w:pPr>
    </w:p>
    <w:p w14:paraId="525B4060">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（6）投标人对本项目的合理化建议和改进措施；</w:t>
      </w:r>
    </w:p>
    <w:p w14:paraId="4548954D">
      <w:pPr>
        <w:adjustRightInd w:val="0"/>
        <w:snapToGrid w:val="0"/>
        <w:spacing w:line="360" w:lineRule="exact"/>
        <w:ind w:firstLine="420" w:firstLineChars="200"/>
        <w:jc w:val="left"/>
        <w:rPr>
          <w:rFonts w:ascii="宋体" w:hAnsi="宋体"/>
          <w:color w:val="auto"/>
          <w:szCs w:val="21"/>
          <w:highlight w:val="none"/>
        </w:rPr>
      </w:pPr>
    </w:p>
    <w:p w14:paraId="0BE91BE2">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（7）投标人需要说明的其他文件和说明（格式略）；</w:t>
      </w:r>
    </w:p>
    <w:p w14:paraId="1C2796C4">
      <w:pPr>
        <w:snapToGrid w:val="0"/>
        <w:spacing w:before="156" w:beforeLines="50" w:after="50" w:line="360" w:lineRule="exact"/>
        <w:rPr>
          <w:rFonts w:ascii="宋体" w:hAnsi="宋体"/>
          <w:b/>
          <w:color w:val="auto"/>
          <w:szCs w:val="21"/>
          <w:highlight w:val="none"/>
        </w:rPr>
      </w:pPr>
    </w:p>
    <w:p w14:paraId="04017609">
      <w:pPr>
        <w:snapToGrid w:val="0"/>
        <w:spacing w:before="156" w:beforeLines="50" w:after="50" w:line="360" w:lineRule="exact"/>
        <w:rPr>
          <w:rFonts w:ascii="宋体" w:hAnsi="宋体"/>
          <w:b/>
          <w:color w:val="auto"/>
          <w:szCs w:val="21"/>
          <w:highlight w:val="none"/>
        </w:rPr>
      </w:pPr>
    </w:p>
    <w:p w14:paraId="2329B015">
      <w:pPr>
        <w:snapToGrid w:val="0"/>
        <w:spacing w:before="156" w:beforeLines="50" w:after="50" w:line="360" w:lineRule="exact"/>
        <w:rPr>
          <w:rFonts w:ascii="宋体" w:hAnsi="宋体"/>
          <w:b/>
          <w:color w:val="auto"/>
          <w:szCs w:val="21"/>
          <w:highlight w:val="none"/>
        </w:rPr>
      </w:pPr>
    </w:p>
    <w:p w14:paraId="7C2F0162">
      <w:pPr>
        <w:snapToGrid w:val="0"/>
        <w:spacing w:before="156" w:beforeLines="50" w:after="50" w:line="360" w:lineRule="exact"/>
        <w:rPr>
          <w:rFonts w:ascii="宋体" w:hAnsi="宋体"/>
          <w:b/>
          <w:color w:val="auto"/>
          <w:szCs w:val="21"/>
          <w:highlight w:val="none"/>
        </w:rPr>
      </w:pPr>
    </w:p>
    <w:p w14:paraId="348825EE">
      <w:pPr>
        <w:snapToGrid w:val="0"/>
        <w:spacing w:before="156" w:beforeLines="50" w:after="50" w:line="360" w:lineRule="exact"/>
        <w:rPr>
          <w:rFonts w:ascii="宋体" w:hAnsi="宋体"/>
          <w:b/>
          <w:color w:val="auto"/>
          <w:szCs w:val="21"/>
          <w:highlight w:val="none"/>
        </w:rPr>
      </w:pPr>
    </w:p>
    <w:p w14:paraId="58914567">
      <w:pPr>
        <w:snapToGrid w:val="0"/>
        <w:spacing w:before="156" w:beforeLines="50" w:after="50" w:line="360" w:lineRule="exact"/>
        <w:rPr>
          <w:rFonts w:ascii="宋体" w:hAnsi="宋体"/>
          <w:b/>
          <w:color w:val="auto"/>
          <w:szCs w:val="21"/>
          <w:highlight w:val="none"/>
        </w:rPr>
      </w:pPr>
    </w:p>
    <w:p w14:paraId="7521659C">
      <w:pPr>
        <w:snapToGrid w:val="0"/>
        <w:spacing w:before="156" w:beforeLines="50" w:after="50" w:line="360" w:lineRule="exact"/>
        <w:rPr>
          <w:rFonts w:ascii="宋体" w:hAnsi="宋体"/>
          <w:b/>
          <w:color w:val="auto"/>
          <w:szCs w:val="21"/>
          <w:highlight w:val="none"/>
        </w:rPr>
      </w:pPr>
      <w:r>
        <w:rPr>
          <w:rFonts w:hint="eastAsia" w:ascii="宋体" w:hAnsi="宋体"/>
          <w:b/>
          <w:color w:val="auto"/>
          <w:szCs w:val="21"/>
          <w:highlight w:val="none"/>
        </w:rPr>
        <w:t>（三）报价文件部分 （格式）</w:t>
      </w:r>
    </w:p>
    <w:p w14:paraId="313BCAEF">
      <w:pPr>
        <w:snapToGrid w:val="0"/>
        <w:spacing w:before="50" w:after="50" w:line="300" w:lineRule="exact"/>
        <w:rPr>
          <w:rFonts w:ascii="宋体"/>
          <w:b/>
          <w:color w:val="auto"/>
          <w:highlight w:val="none"/>
        </w:rPr>
      </w:pPr>
    </w:p>
    <w:p w14:paraId="1A70B63B">
      <w:pPr>
        <w:tabs>
          <w:tab w:val="left" w:pos="3870"/>
          <w:tab w:val="left" w:pos="4085"/>
        </w:tabs>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▲（1）已标价的报价清单及说明（格式）；</w:t>
      </w:r>
    </w:p>
    <w:p w14:paraId="4A0385BA">
      <w:pPr>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rPr>
        <w:t>报价说明及报价清单格式：</w:t>
      </w:r>
    </w:p>
    <w:p w14:paraId="35729AC6">
      <w:pPr>
        <w:snapToGrid w:val="0"/>
        <w:spacing w:before="156" w:beforeLines="50" w:after="5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服务项目报价说明</w:t>
      </w:r>
    </w:p>
    <w:p w14:paraId="5FADAC1D">
      <w:pPr>
        <w:spacing w:line="360" w:lineRule="auto"/>
        <w:ind w:firstLine="573"/>
        <w:jc w:val="left"/>
        <w:rPr>
          <w:rFonts w:ascii="宋体" w:hAnsi="宋体" w:cs="宋体"/>
          <w:color w:val="auto"/>
          <w:szCs w:val="21"/>
          <w:highlight w:val="none"/>
        </w:rPr>
      </w:pPr>
      <w:r>
        <w:rPr>
          <w:rFonts w:hint="eastAsia" w:ascii="宋体" w:hAnsi="宋体" w:cs="宋体"/>
          <w:color w:val="auto"/>
          <w:szCs w:val="21"/>
          <w:highlight w:val="none"/>
        </w:rPr>
        <w:t>1.本招标项目清单项目是根据招标文件中包括的、有合同约束力的招标项目需求以及有关农村公路养护的行业标准、技术规范、合同条款约定的计量规则编制。计量采用中华人民共和国法定计量单位，费用单位为人民币元。</w:t>
      </w:r>
    </w:p>
    <w:p w14:paraId="18EFF412">
      <w:pPr>
        <w:spacing w:line="360" w:lineRule="auto"/>
        <w:ind w:firstLine="573"/>
        <w:jc w:val="left"/>
        <w:rPr>
          <w:rFonts w:ascii="宋体" w:hAnsi="宋体" w:cs="宋体"/>
          <w:color w:val="auto"/>
          <w:szCs w:val="21"/>
          <w:highlight w:val="none"/>
        </w:rPr>
      </w:pPr>
      <w:r>
        <w:rPr>
          <w:rFonts w:hint="eastAsia" w:ascii="宋体" w:hAnsi="宋体" w:cs="宋体"/>
          <w:color w:val="auto"/>
          <w:szCs w:val="21"/>
          <w:highlight w:val="none"/>
        </w:rPr>
        <w:t>2.本招标项目报价清单应与招标文件中的投标人须知、项目需求、合同条款、技术规范等一起阅读理解。</w:t>
      </w:r>
    </w:p>
    <w:p w14:paraId="5D4127D1">
      <w:pPr>
        <w:spacing w:line="360" w:lineRule="auto"/>
        <w:ind w:firstLine="573"/>
        <w:jc w:val="left"/>
        <w:rPr>
          <w:rFonts w:ascii="宋体" w:hAnsi="宋体" w:cs="宋体"/>
          <w:color w:val="auto"/>
          <w:szCs w:val="21"/>
          <w:highlight w:val="none"/>
        </w:rPr>
      </w:pPr>
      <w:r>
        <w:rPr>
          <w:rFonts w:hint="eastAsia" w:ascii="宋体" w:hAnsi="宋体" w:cs="宋体"/>
          <w:color w:val="auto"/>
          <w:szCs w:val="21"/>
          <w:highlight w:val="none"/>
        </w:rPr>
        <w:t>3.本报价清单中采购人所列数量是估算或预计数量，仅作为投标报价的共同基础，不能作为最终结算与支付的依据。实际支付应按实际完成的工作量，由中标人按本招标文件规定的计量方法，以采购人确认完成各分项工作的计量方法，按中标人所报的单位和总额价计算支付金额。</w:t>
      </w:r>
    </w:p>
    <w:p w14:paraId="19D40C1B">
      <w:pPr>
        <w:spacing w:line="360" w:lineRule="auto"/>
        <w:ind w:firstLine="573"/>
        <w:jc w:val="left"/>
        <w:rPr>
          <w:rFonts w:ascii="宋体" w:hAnsi="宋体" w:cs="宋体"/>
          <w:color w:val="auto"/>
          <w:szCs w:val="21"/>
          <w:highlight w:val="none"/>
        </w:rPr>
      </w:pPr>
      <w:r>
        <w:rPr>
          <w:rFonts w:hint="eastAsia" w:ascii="宋体" w:hAnsi="宋体" w:cs="宋体"/>
          <w:color w:val="auto"/>
          <w:szCs w:val="21"/>
          <w:highlight w:val="none"/>
        </w:rPr>
        <w:t>4.清单中招标所列数量的变动，丝毫不会降低或影响合同条款的效力，也不免除中标人按规定的标准和要求进行养护及其他作业的责任。</w:t>
      </w:r>
    </w:p>
    <w:p w14:paraId="75397E6B">
      <w:pPr>
        <w:spacing w:line="360" w:lineRule="auto"/>
        <w:ind w:firstLine="573"/>
        <w:jc w:val="left"/>
        <w:rPr>
          <w:rFonts w:ascii="宋体" w:hAnsi="宋体" w:cs="宋体"/>
          <w:b/>
          <w:color w:val="auto"/>
          <w:szCs w:val="21"/>
          <w:highlight w:val="none"/>
        </w:rPr>
      </w:pPr>
      <w:r>
        <w:rPr>
          <w:rFonts w:hint="eastAsia" w:ascii="宋体" w:hAnsi="宋体" w:cs="宋体"/>
          <w:color w:val="auto"/>
          <w:szCs w:val="21"/>
          <w:highlight w:val="none"/>
        </w:rPr>
        <w:t>5.清单中的每个分项工作均须填入单价或价格，且只允许有一个报价</w:t>
      </w:r>
      <w:r>
        <w:rPr>
          <w:rFonts w:hint="eastAsia" w:ascii="宋体" w:hAnsi="宋体" w:cs="宋体"/>
          <w:b/>
          <w:color w:val="auto"/>
          <w:szCs w:val="21"/>
          <w:highlight w:val="none"/>
        </w:rPr>
        <w:t>。</w:t>
      </w:r>
    </w:p>
    <w:p w14:paraId="2F56D050">
      <w:pPr>
        <w:spacing w:line="360" w:lineRule="auto"/>
        <w:ind w:firstLine="573"/>
        <w:jc w:val="left"/>
        <w:rPr>
          <w:rFonts w:ascii="宋体" w:hAnsi="宋体" w:cs="宋体"/>
          <w:color w:val="auto"/>
          <w:szCs w:val="21"/>
          <w:highlight w:val="none"/>
        </w:rPr>
      </w:pPr>
      <w:r>
        <w:rPr>
          <w:rFonts w:hint="eastAsia" w:ascii="宋体" w:hAnsi="宋体" w:cs="宋体"/>
          <w:color w:val="auto"/>
          <w:szCs w:val="21"/>
          <w:highlight w:val="none"/>
        </w:rPr>
        <w:t>6.除非本招标文件和合同另有规定，清单中有标价的单价和总额价均包括了为实施和完成合同服务所需的劳务、材料、机械设备、自检、安装、运杂、缺陷修复、临时工程、管理、保险、税费、利润等费用，以及本招标文件和合同明示或暗示的所有责任、义务和一切风险。</w:t>
      </w:r>
    </w:p>
    <w:p w14:paraId="66A0CF88">
      <w:pPr>
        <w:spacing w:line="360" w:lineRule="auto"/>
        <w:ind w:firstLine="573"/>
        <w:jc w:val="left"/>
        <w:rPr>
          <w:rFonts w:ascii="宋体" w:hAnsi="宋体" w:cs="宋体"/>
          <w:color w:val="auto"/>
          <w:szCs w:val="21"/>
          <w:highlight w:val="none"/>
        </w:rPr>
      </w:pPr>
      <w:r>
        <w:rPr>
          <w:rFonts w:hint="eastAsia" w:ascii="宋体" w:hAnsi="宋体" w:cs="宋体"/>
          <w:color w:val="auto"/>
          <w:szCs w:val="21"/>
          <w:highlight w:val="none"/>
        </w:rPr>
        <w:t>7.符合招标文件和合同条款规定的全部费用应认为已经计入有标价的分项工作之中，未列的辅助性、措施性等工作不予计量支付，其费用应视为已分摊在其他工作的单位或总额价之中。</w:t>
      </w:r>
    </w:p>
    <w:p w14:paraId="5BF43F4F">
      <w:pPr>
        <w:spacing w:line="360" w:lineRule="auto"/>
        <w:ind w:firstLine="573"/>
        <w:jc w:val="left"/>
        <w:rPr>
          <w:rFonts w:ascii="宋体" w:hAnsi="宋体" w:cs="宋体"/>
          <w:color w:val="auto"/>
          <w:szCs w:val="21"/>
          <w:highlight w:val="none"/>
        </w:rPr>
      </w:pPr>
      <w:r>
        <w:rPr>
          <w:rFonts w:hint="eastAsia" w:ascii="宋体" w:hAnsi="宋体" w:cs="宋体"/>
          <w:color w:val="auto"/>
          <w:szCs w:val="21"/>
          <w:highlight w:val="none"/>
        </w:rPr>
        <w:t>8.中标人用于本招标项目服务的各类机械设备和办公设施等的提供、运输、维护、拆卸、拼装等支付的费用，已经包括在相应工作的单价或总额价之中。</w:t>
      </w:r>
    </w:p>
    <w:p w14:paraId="486FE07E">
      <w:pPr>
        <w:spacing w:line="360" w:lineRule="auto"/>
        <w:ind w:firstLine="573"/>
        <w:jc w:val="left"/>
        <w:rPr>
          <w:rFonts w:ascii="宋体" w:hAnsi="宋体" w:cs="宋体"/>
          <w:color w:val="auto"/>
          <w:szCs w:val="21"/>
          <w:highlight w:val="none"/>
        </w:rPr>
      </w:pPr>
      <w:r>
        <w:rPr>
          <w:rFonts w:hint="eastAsia" w:ascii="宋体" w:hAnsi="宋体" w:cs="宋体"/>
          <w:color w:val="auto"/>
          <w:szCs w:val="21"/>
          <w:highlight w:val="none"/>
        </w:rPr>
        <w:t>9.本服务项目的安全生产费已包含在相应报价中，不另计量支付。</w:t>
      </w:r>
    </w:p>
    <w:p w14:paraId="40EF1F86">
      <w:pPr>
        <w:spacing w:line="360" w:lineRule="auto"/>
        <w:ind w:firstLine="573"/>
        <w:jc w:val="left"/>
        <w:rPr>
          <w:rFonts w:ascii="宋体" w:hAnsi="宋体" w:cs="宋体"/>
          <w:color w:val="auto"/>
          <w:szCs w:val="21"/>
          <w:highlight w:val="none"/>
        </w:rPr>
      </w:pPr>
    </w:p>
    <w:p w14:paraId="3B50FEE1">
      <w:pPr>
        <w:pStyle w:val="8"/>
        <w:spacing w:line="360" w:lineRule="auto"/>
        <w:rPr>
          <w:rFonts w:ascii="宋体" w:hAnsi="宋体" w:cs="宋体"/>
          <w:b w:val="0"/>
          <w:color w:val="auto"/>
          <w:spacing w:val="20"/>
          <w:sz w:val="21"/>
          <w:szCs w:val="21"/>
          <w:highlight w:val="none"/>
        </w:rPr>
      </w:pPr>
      <w:r>
        <w:rPr>
          <w:rFonts w:hint="eastAsia" w:ascii="宋体" w:hAnsi="宋体" w:cs="宋体"/>
          <w:b w:val="0"/>
          <w:color w:val="auto"/>
          <w:spacing w:val="20"/>
          <w:sz w:val="21"/>
          <w:szCs w:val="21"/>
          <w:highlight w:val="none"/>
        </w:rPr>
        <w:t>投标人盖公章：</w:t>
      </w:r>
      <w:r>
        <w:rPr>
          <w:rFonts w:hint="eastAsia" w:ascii="宋体" w:hAnsi="宋体" w:cs="宋体"/>
          <w:b w:val="0"/>
          <w:color w:val="auto"/>
          <w:spacing w:val="20"/>
          <w:sz w:val="21"/>
          <w:szCs w:val="21"/>
          <w:highlight w:val="none"/>
          <w:u w:val="single"/>
        </w:rPr>
        <w:t xml:space="preserve">                </w:t>
      </w:r>
    </w:p>
    <w:p w14:paraId="49884DAA">
      <w:pPr>
        <w:snapToGrid w:val="0"/>
        <w:spacing w:before="50" w:after="50" w:line="360" w:lineRule="auto"/>
        <w:rPr>
          <w:rFonts w:ascii="宋体" w:hAnsi="宋体" w:cs="宋体"/>
          <w:color w:val="auto"/>
          <w:spacing w:val="20"/>
          <w:szCs w:val="21"/>
          <w:highlight w:val="none"/>
          <w:u w:val="single"/>
        </w:rPr>
      </w:pPr>
      <w:r>
        <w:rPr>
          <w:rFonts w:hint="eastAsia" w:ascii="宋体" w:hAnsi="宋体" w:cs="宋体"/>
          <w:color w:val="auto"/>
          <w:szCs w:val="21"/>
          <w:highlight w:val="none"/>
        </w:rPr>
        <w:t>法定代表人或被授权人</w:t>
      </w:r>
      <w:r>
        <w:rPr>
          <w:rFonts w:hint="eastAsia" w:ascii="宋体" w:hAnsi="宋体" w:cs="宋体"/>
          <w:color w:val="auto"/>
          <w:spacing w:val="20"/>
          <w:szCs w:val="21"/>
          <w:highlight w:val="none"/>
        </w:rPr>
        <w:t>签名：</w:t>
      </w:r>
      <w:r>
        <w:rPr>
          <w:rFonts w:hint="eastAsia" w:ascii="宋体" w:hAnsi="宋体" w:cs="宋体"/>
          <w:color w:val="auto"/>
          <w:spacing w:val="20"/>
          <w:szCs w:val="21"/>
          <w:highlight w:val="none"/>
          <w:u w:val="single"/>
        </w:rPr>
        <w:t xml:space="preserve">        </w:t>
      </w:r>
    </w:p>
    <w:p w14:paraId="4C24AECC">
      <w:pPr>
        <w:snapToGrid w:val="0"/>
        <w:spacing w:before="156" w:beforeLines="50" w:after="50" w:line="360" w:lineRule="auto"/>
        <w:ind w:right="1040" w:firstLine="500" w:firstLineChars="200"/>
        <w:rPr>
          <w:rFonts w:ascii="宋体" w:hAnsi="宋体" w:cs="宋体"/>
          <w:color w:val="auto"/>
          <w:szCs w:val="21"/>
          <w:highlight w:val="none"/>
        </w:rPr>
      </w:pPr>
      <w:r>
        <w:rPr>
          <w:rFonts w:hint="eastAsia" w:ascii="宋体" w:hAnsi="宋体" w:cs="宋体"/>
          <w:color w:val="auto"/>
          <w:spacing w:val="20"/>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73A3942">
      <w:pPr>
        <w:spacing w:line="300" w:lineRule="auto"/>
        <w:rPr>
          <w:rFonts w:ascii="宋体" w:hAnsi="宋体" w:cs="宋体"/>
          <w:b/>
          <w:color w:val="auto"/>
          <w:szCs w:val="21"/>
          <w:highlight w:val="none"/>
        </w:rPr>
      </w:pPr>
    </w:p>
    <w:p w14:paraId="53AAAB99">
      <w:pPr>
        <w:spacing w:line="300" w:lineRule="auto"/>
        <w:ind w:firstLine="103" w:firstLineChars="49"/>
        <w:jc w:val="center"/>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招标项目报价清单</w:t>
      </w:r>
    </w:p>
    <w:tbl>
      <w:tblPr>
        <w:tblStyle w:val="21"/>
        <w:tblW w:w="10400" w:type="dxa"/>
        <w:jc w:val="center"/>
        <w:tblLayout w:type="fixed"/>
        <w:tblCellMar>
          <w:top w:w="0" w:type="dxa"/>
          <w:left w:w="108" w:type="dxa"/>
          <w:bottom w:w="0" w:type="dxa"/>
          <w:right w:w="108" w:type="dxa"/>
        </w:tblCellMar>
      </w:tblPr>
      <w:tblGrid>
        <w:gridCol w:w="621"/>
        <w:gridCol w:w="2740"/>
        <w:gridCol w:w="700"/>
        <w:gridCol w:w="1131"/>
        <w:gridCol w:w="931"/>
        <w:gridCol w:w="1417"/>
        <w:gridCol w:w="2860"/>
      </w:tblGrid>
      <w:tr w14:paraId="367A1B6C">
        <w:tblPrEx>
          <w:tblCellMar>
            <w:top w:w="0" w:type="dxa"/>
            <w:left w:w="108" w:type="dxa"/>
            <w:bottom w:w="0" w:type="dxa"/>
            <w:right w:w="108" w:type="dxa"/>
          </w:tblCellMar>
        </w:tblPrEx>
        <w:trPr>
          <w:trHeight w:val="540" w:hRule="atLeast"/>
          <w:jc w:val="center"/>
        </w:trPr>
        <w:tc>
          <w:tcPr>
            <w:tcW w:w="10400" w:type="dxa"/>
            <w:gridSpan w:val="7"/>
            <w:tcBorders>
              <w:top w:val="nil"/>
              <w:left w:val="nil"/>
              <w:bottom w:val="nil"/>
              <w:right w:val="nil"/>
            </w:tcBorders>
            <w:vAlign w:val="center"/>
          </w:tcPr>
          <w:p w14:paraId="191FFF24">
            <w:pPr>
              <w:widowControl/>
              <w:rPr>
                <w:rFonts w:ascii="黑体" w:hAnsi="黑体" w:eastAsia="黑体" w:cs="宋体"/>
                <w:color w:val="auto"/>
                <w:kern w:val="0"/>
                <w:sz w:val="28"/>
                <w:szCs w:val="28"/>
                <w:highlight w:val="none"/>
              </w:rPr>
            </w:pPr>
          </w:p>
        </w:tc>
      </w:tr>
      <w:tr w14:paraId="6E1252A6">
        <w:tblPrEx>
          <w:tblCellMar>
            <w:top w:w="0" w:type="dxa"/>
            <w:left w:w="108" w:type="dxa"/>
            <w:bottom w:w="0" w:type="dxa"/>
            <w:right w:w="108" w:type="dxa"/>
          </w:tblCellMar>
        </w:tblPrEx>
        <w:trPr>
          <w:trHeight w:val="570"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77F5AE7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740" w:type="dxa"/>
            <w:tcBorders>
              <w:top w:val="single" w:color="auto" w:sz="4" w:space="0"/>
              <w:left w:val="nil"/>
              <w:bottom w:val="single" w:color="auto" w:sz="4" w:space="0"/>
              <w:right w:val="single" w:color="auto" w:sz="4" w:space="0"/>
            </w:tcBorders>
            <w:vAlign w:val="center"/>
          </w:tcPr>
          <w:p w14:paraId="393EB37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700" w:type="dxa"/>
            <w:tcBorders>
              <w:top w:val="single" w:color="auto" w:sz="4" w:space="0"/>
              <w:left w:val="nil"/>
              <w:bottom w:val="single" w:color="auto" w:sz="4" w:space="0"/>
              <w:right w:val="single" w:color="auto" w:sz="4" w:space="0"/>
            </w:tcBorders>
            <w:vAlign w:val="center"/>
          </w:tcPr>
          <w:p w14:paraId="57127D0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1131" w:type="dxa"/>
            <w:tcBorders>
              <w:top w:val="single" w:color="auto" w:sz="4" w:space="0"/>
              <w:left w:val="nil"/>
              <w:bottom w:val="single" w:color="auto" w:sz="4" w:space="0"/>
              <w:right w:val="single" w:color="auto" w:sz="4" w:space="0"/>
            </w:tcBorders>
            <w:vAlign w:val="center"/>
          </w:tcPr>
          <w:p w14:paraId="0FFBC0E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931" w:type="dxa"/>
            <w:tcBorders>
              <w:top w:val="single" w:color="auto" w:sz="4" w:space="0"/>
              <w:left w:val="nil"/>
              <w:bottom w:val="single" w:color="auto" w:sz="4" w:space="0"/>
              <w:right w:val="single" w:color="auto" w:sz="4" w:space="0"/>
            </w:tcBorders>
            <w:vAlign w:val="center"/>
          </w:tcPr>
          <w:p w14:paraId="1CF9EF1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工程数量</w:t>
            </w:r>
          </w:p>
        </w:tc>
        <w:tc>
          <w:tcPr>
            <w:tcW w:w="1417" w:type="dxa"/>
            <w:tcBorders>
              <w:top w:val="single" w:color="auto" w:sz="4" w:space="0"/>
              <w:left w:val="nil"/>
              <w:bottom w:val="single" w:color="auto" w:sz="4" w:space="0"/>
              <w:right w:val="single" w:color="auto" w:sz="4" w:space="0"/>
            </w:tcBorders>
            <w:vAlign w:val="center"/>
          </w:tcPr>
          <w:p w14:paraId="357153F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金额（元）</w:t>
            </w:r>
          </w:p>
        </w:tc>
        <w:tc>
          <w:tcPr>
            <w:tcW w:w="2860" w:type="dxa"/>
            <w:tcBorders>
              <w:top w:val="single" w:color="auto" w:sz="4" w:space="0"/>
              <w:left w:val="nil"/>
              <w:bottom w:val="single" w:color="auto" w:sz="4" w:space="0"/>
              <w:right w:val="single" w:color="auto" w:sz="4" w:space="0"/>
            </w:tcBorders>
            <w:vAlign w:val="center"/>
          </w:tcPr>
          <w:p w14:paraId="054D22B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14:paraId="067FD50C">
        <w:tblPrEx>
          <w:tblCellMar>
            <w:top w:w="0" w:type="dxa"/>
            <w:left w:w="108" w:type="dxa"/>
            <w:bottom w:w="0" w:type="dxa"/>
            <w:right w:w="108" w:type="dxa"/>
          </w:tblCellMar>
        </w:tblPrEx>
        <w:trPr>
          <w:trHeight w:val="720" w:hRule="atLeast"/>
          <w:jc w:val="center"/>
        </w:trPr>
        <w:tc>
          <w:tcPr>
            <w:tcW w:w="621" w:type="dxa"/>
            <w:tcBorders>
              <w:top w:val="nil"/>
              <w:left w:val="single" w:color="auto" w:sz="4" w:space="0"/>
              <w:bottom w:val="single" w:color="auto" w:sz="4" w:space="0"/>
              <w:right w:val="single" w:color="auto" w:sz="4" w:space="0"/>
            </w:tcBorders>
            <w:vAlign w:val="center"/>
          </w:tcPr>
          <w:p w14:paraId="5AF54889">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一</w:t>
            </w:r>
          </w:p>
        </w:tc>
        <w:tc>
          <w:tcPr>
            <w:tcW w:w="2740" w:type="dxa"/>
            <w:tcBorders>
              <w:top w:val="nil"/>
              <w:left w:val="nil"/>
              <w:bottom w:val="single" w:color="auto" w:sz="4" w:space="0"/>
              <w:right w:val="single" w:color="auto" w:sz="4" w:space="0"/>
            </w:tcBorders>
            <w:vAlign w:val="center"/>
          </w:tcPr>
          <w:p w14:paraId="6080C183">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日常保养、维修专项费</w:t>
            </w:r>
          </w:p>
        </w:tc>
        <w:tc>
          <w:tcPr>
            <w:tcW w:w="700" w:type="dxa"/>
            <w:tcBorders>
              <w:top w:val="nil"/>
              <w:left w:val="nil"/>
              <w:bottom w:val="single" w:color="auto" w:sz="4" w:space="0"/>
              <w:right w:val="single" w:color="auto" w:sz="4" w:space="0"/>
            </w:tcBorders>
            <w:vAlign w:val="center"/>
          </w:tcPr>
          <w:p w14:paraId="0AD16569">
            <w:pPr>
              <w:widowControl/>
              <w:jc w:val="center"/>
              <w:rPr>
                <w:rFonts w:ascii="宋体" w:hAnsi="宋体" w:cs="宋体"/>
                <w:color w:val="auto"/>
                <w:kern w:val="0"/>
                <w:sz w:val="24"/>
                <w:highlight w:val="none"/>
              </w:rPr>
            </w:pPr>
          </w:p>
        </w:tc>
        <w:tc>
          <w:tcPr>
            <w:tcW w:w="1131" w:type="dxa"/>
            <w:tcBorders>
              <w:top w:val="nil"/>
              <w:left w:val="nil"/>
              <w:bottom w:val="single" w:color="auto" w:sz="4" w:space="0"/>
              <w:right w:val="single" w:color="auto" w:sz="4" w:space="0"/>
            </w:tcBorders>
            <w:vAlign w:val="center"/>
          </w:tcPr>
          <w:p w14:paraId="1005EFAF">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4F15CC56">
            <w:pPr>
              <w:widowControl/>
              <w:jc w:val="center"/>
              <w:rPr>
                <w:rFonts w:ascii="宋体" w:hAnsi="宋体" w:cs="宋体"/>
                <w:color w:val="auto"/>
                <w:kern w:val="0"/>
                <w:sz w:val="24"/>
                <w:highlight w:val="none"/>
              </w:rPr>
            </w:pPr>
          </w:p>
        </w:tc>
        <w:tc>
          <w:tcPr>
            <w:tcW w:w="1417" w:type="dxa"/>
            <w:tcBorders>
              <w:top w:val="nil"/>
              <w:left w:val="nil"/>
              <w:bottom w:val="single" w:color="auto" w:sz="4" w:space="0"/>
              <w:right w:val="single" w:color="auto" w:sz="4" w:space="0"/>
            </w:tcBorders>
            <w:vAlign w:val="center"/>
          </w:tcPr>
          <w:p w14:paraId="416E9E82">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7FEE073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按项目需求3.1款开展日常保养</w:t>
            </w:r>
          </w:p>
        </w:tc>
      </w:tr>
      <w:tr w14:paraId="48E70487">
        <w:tblPrEx>
          <w:tblCellMar>
            <w:top w:w="0" w:type="dxa"/>
            <w:left w:w="108" w:type="dxa"/>
            <w:bottom w:w="0" w:type="dxa"/>
            <w:right w:w="108" w:type="dxa"/>
          </w:tblCellMar>
        </w:tblPrEx>
        <w:trPr>
          <w:trHeight w:val="765" w:hRule="atLeast"/>
          <w:jc w:val="center"/>
        </w:trPr>
        <w:tc>
          <w:tcPr>
            <w:tcW w:w="621" w:type="dxa"/>
            <w:tcBorders>
              <w:top w:val="nil"/>
              <w:left w:val="single" w:color="auto" w:sz="4" w:space="0"/>
              <w:bottom w:val="single" w:color="auto" w:sz="4" w:space="0"/>
              <w:right w:val="single" w:color="auto" w:sz="4" w:space="0"/>
            </w:tcBorders>
            <w:vAlign w:val="center"/>
          </w:tcPr>
          <w:p w14:paraId="5E1F50B3">
            <w:pPr>
              <w:widowControl/>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740" w:type="dxa"/>
            <w:tcBorders>
              <w:top w:val="nil"/>
              <w:left w:val="nil"/>
              <w:bottom w:val="single" w:color="auto" w:sz="4" w:space="0"/>
              <w:right w:val="single" w:color="auto" w:sz="4" w:space="0"/>
            </w:tcBorders>
            <w:vAlign w:val="center"/>
          </w:tcPr>
          <w:p w14:paraId="718C7685">
            <w:pPr>
              <w:widowControl/>
              <w:rPr>
                <w:rFonts w:ascii="宋体" w:hAnsi="宋体" w:cs="宋体"/>
                <w:bCs/>
                <w:color w:val="auto"/>
                <w:kern w:val="0"/>
                <w:sz w:val="24"/>
                <w:highlight w:val="none"/>
              </w:rPr>
            </w:pPr>
            <w:r>
              <w:rPr>
                <w:rFonts w:hint="eastAsia" w:ascii="宋体" w:hAnsi="宋体" w:cs="宋体"/>
                <w:bCs/>
                <w:color w:val="auto"/>
                <w:kern w:val="0"/>
                <w:sz w:val="24"/>
                <w:highlight w:val="none"/>
              </w:rPr>
              <w:t>日常巡查</w:t>
            </w:r>
          </w:p>
        </w:tc>
        <w:tc>
          <w:tcPr>
            <w:tcW w:w="700" w:type="dxa"/>
            <w:tcBorders>
              <w:top w:val="nil"/>
              <w:left w:val="nil"/>
              <w:bottom w:val="single" w:color="auto" w:sz="4" w:space="0"/>
              <w:right w:val="single" w:color="auto" w:sz="4" w:space="0"/>
            </w:tcBorders>
            <w:vAlign w:val="center"/>
          </w:tcPr>
          <w:p w14:paraId="25EFEC5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月</w:t>
            </w:r>
          </w:p>
        </w:tc>
        <w:tc>
          <w:tcPr>
            <w:tcW w:w="1131" w:type="dxa"/>
            <w:tcBorders>
              <w:top w:val="nil"/>
              <w:left w:val="nil"/>
              <w:bottom w:val="single" w:color="auto" w:sz="4" w:space="0"/>
              <w:right w:val="single" w:color="auto" w:sz="4" w:space="0"/>
            </w:tcBorders>
            <w:vAlign w:val="center"/>
          </w:tcPr>
          <w:p w14:paraId="7E61DEBA">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0AC2F31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417" w:type="dxa"/>
            <w:tcBorders>
              <w:top w:val="nil"/>
              <w:left w:val="nil"/>
              <w:bottom w:val="single" w:color="auto" w:sz="4" w:space="0"/>
              <w:right w:val="single" w:color="auto" w:sz="4" w:space="0"/>
            </w:tcBorders>
            <w:vAlign w:val="center"/>
          </w:tcPr>
          <w:p w14:paraId="186AE82D">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3ACA206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按每月总额计算</w:t>
            </w:r>
          </w:p>
        </w:tc>
      </w:tr>
      <w:tr w14:paraId="73B6920E">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35EB9A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40" w:type="dxa"/>
            <w:tcBorders>
              <w:top w:val="nil"/>
              <w:left w:val="nil"/>
              <w:bottom w:val="single" w:color="auto" w:sz="4" w:space="0"/>
              <w:right w:val="single" w:color="auto" w:sz="4" w:space="0"/>
            </w:tcBorders>
            <w:vAlign w:val="center"/>
          </w:tcPr>
          <w:p w14:paraId="559B34D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清理土方</w:t>
            </w:r>
          </w:p>
        </w:tc>
        <w:tc>
          <w:tcPr>
            <w:tcW w:w="700" w:type="dxa"/>
            <w:tcBorders>
              <w:top w:val="nil"/>
              <w:left w:val="nil"/>
              <w:bottom w:val="single" w:color="auto" w:sz="4" w:space="0"/>
              <w:right w:val="single" w:color="auto" w:sz="4" w:space="0"/>
            </w:tcBorders>
            <w:vAlign w:val="center"/>
          </w:tcPr>
          <w:p w14:paraId="2F6346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27A01501">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0D83DAA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c>
          <w:tcPr>
            <w:tcW w:w="1417" w:type="dxa"/>
            <w:tcBorders>
              <w:top w:val="nil"/>
              <w:left w:val="nil"/>
              <w:bottom w:val="single" w:color="auto" w:sz="4" w:space="0"/>
              <w:right w:val="single" w:color="auto" w:sz="4" w:space="0"/>
            </w:tcBorders>
            <w:vAlign w:val="center"/>
          </w:tcPr>
          <w:p w14:paraId="648BAF63">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534B3C4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含运输到指定位置</w:t>
            </w:r>
          </w:p>
        </w:tc>
      </w:tr>
      <w:tr w14:paraId="2B322765">
        <w:tblPrEx>
          <w:tblCellMar>
            <w:top w:w="0" w:type="dxa"/>
            <w:left w:w="108" w:type="dxa"/>
            <w:bottom w:w="0" w:type="dxa"/>
            <w:right w:w="108" w:type="dxa"/>
          </w:tblCellMar>
        </w:tblPrEx>
        <w:trPr>
          <w:trHeight w:val="855" w:hRule="atLeast"/>
          <w:jc w:val="center"/>
        </w:trPr>
        <w:tc>
          <w:tcPr>
            <w:tcW w:w="621" w:type="dxa"/>
            <w:tcBorders>
              <w:top w:val="nil"/>
              <w:left w:val="single" w:color="auto" w:sz="4" w:space="0"/>
              <w:bottom w:val="single" w:color="auto" w:sz="4" w:space="0"/>
              <w:right w:val="single" w:color="auto" w:sz="4" w:space="0"/>
            </w:tcBorders>
            <w:vAlign w:val="center"/>
          </w:tcPr>
          <w:p w14:paraId="66E3F23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40" w:type="dxa"/>
            <w:tcBorders>
              <w:top w:val="nil"/>
              <w:left w:val="nil"/>
              <w:bottom w:val="single" w:color="auto" w:sz="4" w:space="0"/>
              <w:right w:val="single" w:color="auto" w:sz="4" w:space="0"/>
            </w:tcBorders>
            <w:vAlign w:val="center"/>
          </w:tcPr>
          <w:p w14:paraId="39C78F8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排水沟清理、修整</w:t>
            </w:r>
          </w:p>
        </w:tc>
        <w:tc>
          <w:tcPr>
            <w:tcW w:w="700" w:type="dxa"/>
            <w:tcBorders>
              <w:top w:val="nil"/>
              <w:left w:val="nil"/>
              <w:bottom w:val="single" w:color="auto" w:sz="4" w:space="0"/>
              <w:right w:val="single" w:color="auto" w:sz="4" w:space="0"/>
            </w:tcBorders>
            <w:vAlign w:val="center"/>
          </w:tcPr>
          <w:p w14:paraId="16D39C9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31" w:type="dxa"/>
            <w:tcBorders>
              <w:top w:val="nil"/>
              <w:left w:val="nil"/>
              <w:bottom w:val="single" w:color="auto" w:sz="4" w:space="0"/>
              <w:right w:val="single" w:color="auto" w:sz="4" w:space="0"/>
            </w:tcBorders>
            <w:vAlign w:val="center"/>
          </w:tcPr>
          <w:p w14:paraId="47C0E586">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6F5B6D8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40000</w:t>
            </w:r>
          </w:p>
        </w:tc>
        <w:tc>
          <w:tcPr>
            <w:tcW w:w="1417" w:type="dxa"/>
            <w:tcBorders>
              <w:top w:val="nil"/>
              <w:left w:val="nil"/>
              <w:bottom w:val="single" w:color="auto" w:sz="4" w:space="0"/>
              <w:right w:val="single" w:color="auto" w:sz="4" w:space="0"/>
            </w:tcBorders>
            <w:vAlign w:val="center"/>
          </w:tcPr>
          <w:p w14:paraId="57682069">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5CCDAED1">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包括除草、挖除灌木、清理废土垃圾等，包括清理物运走</w:t>
            </w:r>
          </w:p>
        </w:tc>
      </w:tr>
      <w:tr w14:paraId="64FA7AC5">
        <w:tblPrEx>
          <w:tblCellMar>
            <w:top w:w="0" w:type="dxa"/>
            <w:left w:w="108" w:type="dxa"/>
            <w:bottom w:w="0" w:type="dxa"/>
            <w:right w:w="108" w:type="dxa"/>
          </w:tblCellMar>
        </w:tblPrEx>
        <w:trPr>
          <w:trHeight w:val="570" w:hRule="atLeast"/>
          <w:jc w:val="center"/>
        </w:trPr>
        <w:tc>
          <w:tcPr>
            <w:tcW w:w="621" w:type="dxa"/>
            <w:tcBorders>
              <w:top w:val="nil"/>
              <w:left w:val="single" w:color="auto" w:sz="4" w:space="0"/>
              <w:bottom w:val="single" w:color="auto" w:sz="4" w:space="0"/>
              <w:right w:val="single" w:color="auto" w:sz="4" w:space="0"/>
            </w:tcBorders>
            <w:vAlign w:val="center"/>
          </w:tcPr>
          <w:p w14:paraId="5723CD3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740" w:type="dxa"/>
            <w:tcBorders>
              <w:top w:val="nil"/>
              <w:left w:val="nil"/>
              <w:bottom w:val="single" w:color="auto" w:sz="4" w:space="0"/>
              <w:right w:val="single" w:color="auto" w:sz="4" w:space="0"/>
            </w:tcBorders>
            <w:vAlign w:val="center"/>
          </w:tcPr>
          <w:p w14:paraId="4DB0B28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借土填方</w:t>
            </w:r>
          </w:p>
        </w:tc>
        <w:tc>
          <w:tcPr>
            <w:tcW w:w="700" w:type="dxa"/>
            <w:tcBorders>
              <w:top w:val="nil"/>
              <w:left w:val="nil"/>
              <w:bottom w:val="single" w:color="auto" w:sz="4" w:space="0"/>
              <w:right w:val="single" w:color="auto" w:sz="4" w:space="0"/>
            </w:tcBorders>
            <w:vAlign w:val="center"/>
          </w:tcPr>
          <w:p w14:paraId="64BB95C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2AB944C5">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2065C80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c>
          <w:tcPr>
            <w:tcW w:w="1417" w:type="dxa"/>
            <w:tcBorders>
              <w:top w:val="nil"/>
              <w:left w:val="nil"/>
              <w:bottom w:val="single" w:color="auto" w:sz="4" w:space="0"/>
              <w:right w:val="single" w:color="auto" w:sz="4" w:space="0"/>
            </w:tcBorders>
            <w:vAlign w:val="center"/>
          </w:tcPr>
          <w:p w14:paraId="64DE9D0B">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10A68E8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含土根费、运费、压实</w:t>
            </w:r>
          </w:p>
        </w:tc>
      </w:tr>
      <w:tr w14:paraId="7B950778">
        <w:tblPrEx>
          <w:tblCellMar>
            <w:top w:w="0" w:type="dxa"/>
            <w:left w:w="108" w:type="dxa"/>
            <w:bottom w:w="0" w:type="dxa"/>
            <w:right w:w="108" w:type="dxa"/>
          </w:tblCellMar>
        </w:tblPrEx>
        <w:trPr>
          <w:trHeight w:val="420" w:hRule="atLeast"/>
          <w:jc w:val="center"/>
        </w:trPr>
        <w:tc>
          <w:tcPr>
            <w:tcW w:w="621" w:type="dxa"/>
            <w:tcBorders>
              <w:top w:val="nil"/>
              <w:left w:val="single" w:color="auto" w:sz="4" w:space="0"/>
              <w:bottom w:val="single" w:color="auto" w:sz="4" w:space="0"/>
              <w:right w:val="single" w:color="auto" w:sz="4" w:space="0"/>
            </w:tcBorders>
            <w:vAlign w:val="center"/>
          </w:tcPr>
          <w:p w14:paraId="0090FC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740" w:type="dxa"/>
            <w:tcBorders>
              <w:top w:val="nil"/>
              <w:left w:val="nil"/>
              <w:bottom w:val="single" w:color="auto" w:sz="4" w:space="0"/>
              <w:right w:val="single" w:color="auto" w:sz="4" w:space="0"/>
            </w:tcBorders>
            <w:vAlign w:val="center"/>
          </w:tcPr>
          <w:p w14:paraId="086B8A1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路基灌浆</w:t>
            </w:r>
          </w:p>
        </w:tc>
        <w:tc>
          <w:tcPr>
            <w:tcW w:w="700" w:type="dxa"/>
            <w:tcBorders>
              <w:top w:val="nil"/>
              <w:left w:val="nil"/>
              <w:bottom w:val="single" w:color="auto" w:sz="4" w:space="0"/>
              <w:right w:val="single" w:color="auto" w:sz="4" w:space="0"/>
            </w:tcBorders>
            <w:vAlign w:val="center"/>
          </w:tcPr>
          <w:p w14:paraId="6D1930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06901545">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22D7871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417" w:type="dxa"/>
            <w:tcBorders>
              <w:top w:val="nil"/>
              <w:left w:val="nil"/>
              <w:bottom w:val="single" w:color="auto" w:sz="4" w:space="0"/>
              <w:right w:val="single" w:color="auto" w:sz="4" w:space="0"/>
            </w:tcBorders>
            <w:vAlign w:val="center"/>
          </w:tcPr>
          <w:p w14:paraId="78BA2804">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66ED662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763D1FF">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4BF37DE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740" w:type="dxa"/>
            <w:tcBorders>
              <w:top w:val="nil"/>
              <w:left w:val="nil"/>
              <w:bottom w:val="single" w:color="auto" w:sz="4" w:space="0"/>
              <w:right w:val="single" w:color="auto" w:sz="4" w:space="0"/>
            </w:tcBorders>
            <w:vAlign w:val="center"/>
          </w:tcPr>
          <w:p w14:paraId="4BC8C16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浆砌片石排水沟</w:t>
            </w:r>
          </w:p>
        </w:tc>
        <w:tc>
          <w:tcPr>
            <w:tcW w:w="700" w:type="dxa"/>
            <w:tcBorders>
              <w:top w:val="nil"/>
              <w:left w:val="nil"/>
              <w:bottom w:val="single" w:color="auto" w:sz="4" w:space="0"/>
              <w:right w:val="single" w:color="auto" w:sz="4" w:space="0"/>
            </w:tcBorders>
            <w:vAlign w:val="center"/>
          </w:tcPr>
          <w:p w14:paraId="20F834C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10C19036">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320F5BF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417" w:type="dxa"/>
            <w:tcBorders>
              <w:top w:val="nil"/>
              <w:left w:val="nil"/>
              <w:bottom w:val="single" w:color="auto" w:sz="4" w:space="0"/>
              <w:right w:val="single" w:color="auto" w:sz="4" w:space="0"/>
            </w:tcBorders>
            <w:vAlign w:val="center"/>
          </w:tcPr>
          <w:p w14:paraId="0626DBB5">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1061F01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包含拆除已毁坏排水沟</w:t>
            </w:r>
          </w:p>
        </w:tc>
      </w:tr>
      <w:tr w14:paraId="4ECF4090">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4431B92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740" w:type="dxa"/>
            <w:tcBorders>
              <w:top w:val="nil"/>
              <w:left w:val="nil"/>
              <w:bottom w:val="single" w:color="auto" w:sz="4" w:space="0"/>
              <w:right w:val="single" w:color="auto" w:sz="4" w:space="0"/>
            </w:tcBorders>
            <w:vAlign w:val="center"/>
          </w:tcPr>
          <w:p w14:paraId="30D959B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水泥混凝土排水沟</w:t>
            </w:r>
          </w:p>
        </w:tc>
        <w:tc>
          <w:tcPr>
            <w:tcW w:w="700" w:type="dxa"/>
            <w:tcBorders>
              <w:top w:val="nil"/>
              <w:left w:val="nil"/>
              <w:bottom w:val="single" w:color="auto" w:sz="4" w:space="0"/>
              <w:right w:val="single" w:color="auto" w:sz="4" w:space="0"/>
            </w:tcBorders>
            <w:vAlign w:val="center"/>
          </w:tcPr>
          <w:p w14:paraId="0E56F00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1CCBBE39">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298952E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120</w:t>
            </w:r>
          </w:p>
        </w:tc>
        <w:tc>
          <w:tcPr>
            <w:tcW w:w="1417" w:type="dxa"/>
            <w:tcBorders>
              <w:top w:val="nil"/>
              <w:left w:val="nil"/>
              <w:bottom w:val="single" w:color="auto" w:sz="4" w:space="0"/>
              <w:right w:val="single" w:color="auto" w:sz="4" w:space="0"/>
            </w:tcBorders>
            <w:vAlign w:val="center"/>
          </w:tcPr>
          <w:p w14:paraId="5FE76D19">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5DDAFB8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包含拆除已毁坏排水沟</w:t>
            </w:r>
          </w:p>
        </w:tc>
      </w:tr>
      <w:tr w14:paraId="669A428F">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76CD0B3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740" w:type="dxa"/>
            <w:tcBorders>
              <w:top w:val="nil"/>
              <w:left w:val="nil"/>
              <w:bottom w:val="single" w:color="auto" w:sz="4" w:space="0"/>
              <w:right w:val="single" w:color="auto" w:sz="4" w:space="0"/>
            </w:tcBorders>
            <w:vAlign w:val="center"/>
          </w:tcPr>
          <w:p w14:paraId="318240C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混凝土挡土墙</w:t>
            </w:r>
          </w:p>
        </w:tc>
        <w:tc>
          <w:tcPr>
            <w:tcW w:w="700" w:type="dxa"/>
            <w:tcBorders>
              <w:top w:val="nil"/>
              <w:left w:val="nil"/>
              <w:bottom w:val="single" w:color="auto" w:sz="4" w:space="0"/>
              <w:right w:val="single" w:color="auto" w:sz="4" w:space="0"/>
            </w:tcBorders>
            <w:vAlign w:val="center"/>
          </w:tcPr>
          <w:p w14:paraId="63AC040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3006A721">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0383941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120</w:t>
            </w:r>
          </w:p>
        </w:tc>
        <w:tc>
          <w:tcPr>
            <w:tcW w:w="1417" w:type="dxa"/>
            <w:tcBorders>
              <w:top w:val="nil"/>
              <w:left w:val="nil"/>
              <w:bottom w:val="single" w:color="auto" w:sz="4" w:space="0"/>
              <w:right w:val="single" w:color="auto" w:sz="4" w:space="0"/>
            </w:tcBorders>
            <w:vAlign w:val="center"/>
          </w:tcPr>
          <w:p w14:paraId="3EB7F23D">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5B4F004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包含拆除已毁坏挡土墙</w:t>
            </w:r>
          </w:p>
        </w:tc>
      </w:tr>
      <w:tr w14:paraId="613280F0">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02A365C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740" w:type="dxa"/>
            <w:tcBorders>
              <w:top w:val="nil"/>
              <w:left w:val="nil"/>
              <w:bottom w:val="single" w:color="auto" w:sz="4" w:space="0"/>
              <w:right w:val="single" w:color="auto" w:sz="4" w:space="0"/>
            </w:tcBorders>
            <w:vAlign w:val="center"/>
          </w:tcPr>
          <w:p w14:paraId="4E42392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勾缝</w:t>
            </w:r>
          </w:p>
        </w:tc>
        <w:tc>
          <w:tcPr>
            <w:tcW w:w="700" w:type="dxa"/>
            <w:tcBorders>
              <w:top w:val="nil"/>
              <w:left w:val="nil"/>
              <w:bottom w:val="single" w:color="auto" w:sz="4" w:space="0"/>
              <w:right w:val="single" w:color="auto" w:sz="4" w:space="0"/>
            </w:tcBorders>
            <w:vAlign w:val="center"/>
          </w:tcPr>
          <w:p w14:paraId="4699E4F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31" w:type="dxa"/>
            <w:tcBorders>
              <w:top w:val="nil"/>
              <w:left w:val="nil"/>
              <w:bottom w:val="single" w:color="auto" w:sz="4" w:space="0"/>
              <w:right w:val="single" w:color="auto" w:sz="4" w:space="0"/>
            </w:tcBorders>
            <w:vAlign w:val="center"/>
          </w:tcPr>
          <w:p w14:paraId="6578FA6A">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3ED5D71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c>
          <w:tcPr>
            <w:tcW w:w="1417" w:type="dxa"/>
            <w:tcBorders>
              <w:top w:val="nil"/>
              <w:left w:val="nil"/>
              <w:bottom w:val="single" w:color="auto" w:sz="4" w:space="0"/>
              <w:right w:val="single" w:color="auto" w:sz="4" w:space="0"/>
            </w:tcBorders>
            <w:vAlign w:val="center"/>
          </w:tcPr>
          <w:p w14:paraId="29B110E7">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250A3D4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17AC678">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72964D3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740" w:type="dxa"/>
            <w:tcBorders>
              <w:top w:val="nil"/>
              <w:left w:val="nil"/>
              <w:bottom w:val="single" w:color="auto" w:sz="4" w:space="0"/>
              <w:right w:val="single" w:color="auto" w:sz="4" w:space="0"/>
            </w:tcBorders>
            <w:vAlign w:val="center"/>
          </w:tcPr>
          <w:p w14:paraId="60BBAAF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草皮护坡</w:t>
            </w:r>
          </w:p>
        </w:tc>
        <w:tc>
          <w:tcPr>
            <w:tcW w:w="700" w:type="dxa"/>
            <w:tcBorders>
              <w:top w:val="nil"/>
              <w:left w:val="nil"/>
              <w:bottom w:val="single" w:color="auto" w:sz="4" w:space="0"/>
              <w:right w:val="single" w:color="auto" w:sz="4" w:space="0"/>
            </w:tcBorders>
            <w:vAlign w:val="center"/>
          </w:tcPr>
          <w:p w14:paraId="40F5F4A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31" w:type="dxa"/>
            <w:tcBorders>
              <w:top w:val="nil"/>
              <w:left w:val="nil"/>
              <w:bottom w:val="single" w:color="auto" w:sz="4" w:space="0"/>
              <w:right w:val="single" w:color="auto" w:sz="4" w:space="0"/>
            </w:tcBorders>
            <w:vAlign w:val="center"/>
          </w:tcPr>
          <w:p w14:paraId="11920195">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48C3C9C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w:t>
            </w:r>
          </w:p>
        </w:tc>
        <w:tc>
          <w:tcPr>
            <w:tcW w:w="1417" w:type="dxa"/>
            <w:tcBorders>
              <w:top w:val="nil"/>
              <w:left w:val="nil"/>
              <w:bottom w:val="single" w:color="auto" w:sz="4" w:space="0"/>
              <w:right w:val="single" w:color="auto" w:sz="4" w:space="0"/>
            </w:tcBorders>
            <w:vAlign w:val="center"/>
          </w:tcPr>
          <w:p w14:paraId="187CADAC">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4B8B68D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BD0E6E6">
        <w:tblPrEx>
          <w:tblCellMar>
            <w:top w:w="0" w:type="dxa"/>
            <w:left w:w="108" w:type="dxa"/>
            <w:bottom w:w="0" w:type="dxa"/>
            <w:right w:w="108" w:type="dxa"/>
          </w:tblCellMar>
        </w:tblPrEx>
        <w:trPr>
          <w:trHeight w:val="855" w:hRule="atLeast"/>
          <w:jc w:val="center"/>
        </w:trPr>
        <w:tc>
          <w:tcPr>
            <w:tcW w:w="621" w:type="dxa"/>
            <w:tcBorders>
              <w:top w:val="nil"/>
              <w:left w:val="single" w:color="auto" w:sz="4" w:space="0"/>
              <w:bottom w:val="single" w:color="auto" w:sz="4" w:space="0"/>
              <w:right w:val="single" w:color="auto" w:sz="4" w:space="0"/>
            </w:tcBorders>
            <w:vAlign w:val="center"/>
          </w:tcPr>
          <w:p w14:paraId="522C5A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740" w:type="dxa"/>
            <w:tcBorders>
              <w:top w:val="nil"/>
              <w:left w:val="nil"/>
              <w:bottom w:val="single" w:color="auto" w:sz="4" w:space="0"/>
              <w:right w:val="single" w:color="auto" w:sz="4" w:space="0"/>
            </w:tcBorders>
            <w:vAlign w:val="center"/>
          </w:tcPr>
          <w:p w14:paraId="4761FA5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4cm厚AC-13细粒式沥青混凝土（按坑槽面积4㎡~8㎡调整定额）</w:t>
            </w:r>
          </w:p>
        </w:tc>
        <w:tc>
          <w:tcPr>
            <w:tcW w:w="700" w:type="dxa"/>
            <w:tcBorders>
              <w:top w:val="nil"/>
              <w:left w:val="nil"/>
              <w:bottom w:val="single" w:color="auto" w:sz="4" w:space="0"/>
              <w:right w:val="single" w:color="auto" w:sz="4" w:space="0"/>
            </w:tcBorders>
            <w:vAlign w:val="center"/>
          </w:tcPr>
          <w:p w14:paraId="556B48F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31" w:type="dxa"/>
            <w:tcBorders>
              <w:top w:val="nil"/>
              <w:left w:val="nil"/>
              <w:bottom w:val="single" w:color="auto" w:sz="4" w:space="0"/>
              <w:right w:val="single" w:color="auto" w:sz="4" w:space="0"/>
            </w:tcBorders>
            <w:vAlign w:val="center"/>
          </w:tcPr>
          <w:p w14:paraId="3ED78A98">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7AC06E0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2300</w:t>
            </w:r>
          </w:p>
        </w:tc>
        <w:tc>
          <w:tcPr>
            <w:tcW w:w="1417" w:type="dxa"/>
            <w:tcBorders>
              <w:top w:val="nil"/>
              <w:left w:val="nil"/>
              <w:bottom w:val="single" w:color="auto" w:sz="4" w:space="0"/>
              <w:right w:val="single" w:color="auto" w:sz="4" w:space="0"/>
            </w:tcBorders>
            <w:vAlign w:val="center"/>
          </w:tcPr>
          <w:p w14:paraId="3708262A">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7A7B51D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29091D1">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1B7CE52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740" w:type="dxa"/>
            <w:tcBorders>
              <w:top w:val="nil"/>
              <w:left w:val="nil"/>
              <w:bottom w:val="single" w:color="auto" w:sz="4" w:space="0"/>
              <w:right w:val="single" w:color="auto" w:sz="4" w:space="0"/>
            </w:tcBorders>
            <w:vAlign w:val="center"/>
          </w:tcPr>
          <w:p w14:paraId="0301B2E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乳化沥青路面</w:t>
            </w:r>
          </w:p>
        </w:tc>
        <w:tc>
          <w:tcPr>
            <w:tcW w:w="700" w:type="dxa"/>
            <w:tcBorders>
              <w:top w:val="nil"/>
              <w:left w:val="nil"/>
              <w:bottom w:val="single" w:color="auto" w:sz="4" w:space="0"/>
              <w:right w:val="single" w:color="auto" w:sz="4" w:space="0"/>
            </w:tcBorders>
            <w:vAlign w:val="center"/>
          </w:tcPr>
          <w:p w14:paraId="576556B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31" w:type="dxa"/>
            <w:tcBorders>
              <w:top w:val="nil"/>
              <w:left w:val="nil"/>
              <w:bottom w:val="single" w:color="auto" w:sz="4" w:space="0"/>
              <w:right w:val="single" w:color="auto" w:sz="4" w:space="0"/>
            </w:tcBorders>
            <w:vAlign w:val="center"/>
          </w:tcPr>
          <w:p w14:paraId="1FA246A8">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490C79F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c>
          <w:tcPr>
            <w:tcW w:w="1417" w:type="dxa"/>
            <w:tcBorders>
              <w:top w:val="nil"/>
              <w:left w:val="nil"/>
              <w:bottom w:val="single" w:color="auto" w:sz="4" w:space="0"/>
              <w:right w:val="single" w:color="auto" w:sz="4" w:space="0"/>
            </w:tcBorders>
            <w:vAlign w:val="center"/>
          </w:tcPr>
          <w:p w14:paraId="307FC89E">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4800D49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坑槽修补</w:t>
            </w:r>
          </w:p>
        </w:tc>
      </w:tr>
      <w:tr w14:paraId="5A6E638B">
        <w:tblPrEx>
          <w:tblCellMar>
            <w:top w:w="0" w:type="dxa"/>
            <w:left w:w="108" w:type="dxa"/>
            <w:bottom w:w="0" w:type="dxa"/>
            <w:right w:w="108" w:type="dxa"/>
          </w:tblCellMar>
        </w:tblPrEx>
        <w:trPr>
          <w:trHeight w:val="570" w:hRule="atLeast"/>
          <w:jc w:val="center"/>
        </w:trPr>
        <w:tc>
          <w:tcPr>
            <w:tcW w:w="621" w:type="dxa"/>
            <w:tcBorders>
              <w:top w:val="nil"/>
              <w:left w:val="single" w:color="auto" w:sz="4" w:space="0"/>
              <w:bottom w:val="single" w:color="auto" w:sz="4" w:space="0"/>
              <w:right w:val="single" w:color="auto" w:sz="4" w:space="0"/>
            </w:tcBorders>
            <w:vAlign w:val="center"/>
          </w:tcPr>
          <w:p w14:paraId="17DFCAC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740" w:type="dxa"/>
            <w:tcBorders>
              <w:top w:val="nil"/>
              <w:left w:val="nil"/>
              <w:bottom w:val="single" w:color="auto" w:sz="4" w:space="0"/>
              <w:right w:val="single" w:color="auto" w:sz="4" w:space="0"/>
            </w:tcBorders>
            <w:vAlign w:val="center"/>
          </w:tcPr>
          <w:p w14:paraId="0490EDC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4cm厚AC-13沥青混凝土路面（大面积修补）</w:t>
            </w:r>
          </w:p>
        </w:tc>
        <w:tc>
          <w:tcPr>
            <w:tcW w:w="700" w:type="dxa"/>
            <w:tcBorders>
              <w:top w:val="nil"/>
              <w:left w:val="nil"/>
              <w:bottom w:val="single" w:color="auto" w:sz="4" w:space="0"/>
              <w:right w:val="single" w:color="auto" w:sz="4" w:space="0"/>
            </w:tcBorders>
            <w:vAlign w:val="center"/>
          </w:tcPr>
          <w:p w14:paraId="70AEB82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31" w:type="dxa"/>
            <w:tcBorders>
              <w:top w:val="nil"/>
              <w:left w:val="nil"/>
              <w:bottom w:val="single" w:color="auto" w:sz="4" w:space="0"/>
              <w:right w:val="single" w:color="auto" w:sz="4" w:space="0"/>
            </w:tcBorders>
            <w:vAlign w:val="center"/>
          </w:tcPr>
          <w:p w14:paraId="6C176C50">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14B032A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w:t>
            </w:r>
          </w:p>
        </w:tc>
        <w:tc>
          <w:tcPr>
            <w:tcW w:w="1417" w:type="dxa"/>
            <w:tcBorders>
              <w:top w:val="nil"/>
              <w:left w:val="nil"/>
              <w:bottom w:val="single" w:color="auto" w:sz="4" w:space="0"/>
              <w:right w:val="single" w:color="auto" w:sz="4" w:space="0"/>
            </w:tcBorders>
            <w:vAlign w:val="center"/>
          </w:tcPr>
          <w:p w14:paraId="4AEEDFD2">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0153EC11">
            <w:pPr>
              <w:widowControl/>
              <w:jc w:val="left"/>
              <w:rPr>
                <w:rFonts w:ascii="宋体" w:hAnsi="宋体" w:cs="宋体"/>
                <w:color w:val="auto"/>
                <w:kern w:val="0"/>
                <w:sz w:val="24"/>
                <w:highlight w:val="none"/>
              </w:rPr>
            </w:pPr>
          </w:p>
        </w:tc>
      </w:tr>
      <w:tr w14:paraId="4813EC76">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2302081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2740" w:type="dxa"/>
            <w:tcBorders>
              <w:top w:val="nil"/>
              <w:left w:val="nil"/>
              <w:bottom w:val="single" w:color="auto" w:sz="4" w:space="0"/>
              <w:right w:val="single" w:color="auto" w:sz="4" w:space="0"/>
            </w:tcBorders>
            <w:vAlign w:val="center"/>
          </w:tcPr>
          <w:p w14:paraId="5BF9E161">
            <w:pPr>
              <w:widowControl/>
              <w:rPr>
                <w:rFonts w:ascii="宋体" w:hAnsi="宋体" w:cs="宋体"/>
                <w:color w:val="auto"/>
                <w:kern w:val="0"/>
                <w:sz w:val="24"/>
                <w:highlight w:val="none"/>
              </w:rPr>
            </w:pPr>
            <w:r>
              <w:rPr>
                <w:rFonts w:hint="eastAsia" w:ascii="宋体" w:hAnsi="宋体" w:cs="宋体"/>
                <w:color w:val="auto"/>
                <w:kern w:val="0"/>
                <w:sz w:val="24"/>
                <w:highlight w:val="none"/>
              </w:rPr>
              <w:t>水泥路面板灌缝</w:t>
            </w:r>
          </w:p>
        </w:tc>
        <w:tc>
          <w:tcPr>
            <w:tcW w:w="700" w:type="dxa"/>
            <w:tcBorders>
              <w:top w:val="nil"/>
              <w:left w:val="nil"/>
              <w:bottom w:val="single" w:color="auto" w:sz="4" w:space="0"/>
              <w:right w:val="single" w:color="auto" w:sz="4" w:space="0"/>
            </w:tcBorders>
            <w:vAlign w:val="center"/>
          </w:tcPr>
          <w:p w14:paraId="59E2FBA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31" w:type="dxa"/>
            <w:tcBorders>
              <w:top w:val="nil"/>
              <w:left w:val="nil"/>
              <w:bottom w:val="single" w:color="auto" w:sz="4" w:space="0"/>
              <w:right w:val="single" w:color="auto" w:sz="4" w:space="0"/>
            </w:tcBorders>
            <w:vAlign w:val="center"/>
          </w:tcPr>
          <w:p w14:paraId="73A9E7CF">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7FA76DF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4000</w:t>
            </w:r>
          </w:p>
        </w:tc>
        <w:tc>
          <w:tcPr>
            <w:tcW w:w="1417" w:type="dxa"/>
            <w:tcBorders>
              <w:top w:val="nil"/>
              <w:left w:val="nil"/>
              <w:bottom w:val="single" w:color="auto" w:sz="4" w:space="0"/>
              <w:right w:val="single" w:color="auto" w:sz="4" w:space="0"/>
            </w:tcBorders>
            <w:vAlign w:val="center"/>
          </w:tcPr>
          <w:p w14:paraId="4FBDAF26">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1593481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需开槽</w:t>
            </w:r>
          </w:p>
        </w:tc>
      </w:tr>
      <w:tr w14:paraId="1E14784C">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66207B9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2740" w:type="dxa"/>
            <w:tcBorders>
              <w:top w:val="nil"/>
              <w:left w:val="nil"/>
              <w:bottom w:val="single" w:color="auto" w:sz="4" w:space="0"/>
              <w:right w:val="single" w:color="auto" w:sz="4" w:space="0"/>
            </w:tcBorders>
            <w:vAlign w:val="center"/>
          </w:tcPr>
          <w:p w14:paraId="642B4AC6">
            <w:pPr>
              <w:widowControl/>
              <w:rPr>
                <w:rFonts w:ascii="宋体" w:hAnsi="宋体" w:cs="宋体"/>
                <w:color w:val="auto"/>
                <w:kern w:val="0"/>
                <w:sz w:val="24"/>
                <w:highlight w:val="none"/>
              </w:rPr>
            </w:pPr>
            <w:r>
              <w:rPr>
                <w:rFonts w:hint="eastAsia" w:ascii="宋体" w:hAnsi="宋体" w:cs="宋体"/>
                <w:color w:val="auto"/>
                <w:kern w:val="0"/>
                <w:sz w:val="24"/>
                <w:highlight w:val="none"/>
              </w:rPr>
              <w:t>水泥、沥青路面裂缝修补</w:t>
            </w:r>
          </w:p>
        </w:tc>
        <w:tc>
          <w:tcPr>
            <w:tcW w:w="700" w:type="dxa"/>
            <w:tcBorders>
              <w:top w:val="nil"/>
              <w:left w:val="nil"/>
              <w:bottom w:val="single" w:color="auto" w:sz="4" w:space="0"/>
              <w:right w:val="single" w:color="auto" w:sz="4" w:space="0"/>
            </w:tcBorders>
            <w:vAlign w:val="center"/>
          </w:tcPr>
          <w:p w14:paraId="32FCCF4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31" w:type="dxa"/>
            <w:tcBorders>
              <w:top w:val="nil"/>
              <w:left w:val="nil"/>
              <w:bottom w:val="single" w:color="auto" w:sz="4" w:space="0"/>
              <w:right w:val="single" w:color="auto" w:sz="4" w:space="0"/>
            </w:tcBorders>
            <w:vAlign w:val="center"/>
          </w:tcPr>
          <w:p w14:paraId="5B53F4E1">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2A38B4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c>
          <w:tcPr>
            <w:tcW w:w="1417" w:type="dxa"/>
            <w:tcBorders>
              <w:top w:val="nil"/>
              <w:left w:val="nil"/>
              <w:bottom w:val="single" w:color="auto" w:sz="4" w:space="0"/>
              <w:right w:val="single" w:color="auto" w:sz="4" w:space="0"/>
            </w:tcBorders>
            <w:vAlign w:val="center"/>
          </w:tcPr>
          <w:p w14:paraId="0A4AA0AD">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48DE936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需开槽</w:t>
            </w:r>
          </w:p>
        </w:tc>
      </w:tr>
      <w:tr w14:paraId="7ACE772C">
        <w:tblPrEx>
          <w:tblCellMar>
            <w:top w:w="0" w:type="dxa"/>
            <w:left w:w="108" w:type="dxa"/>
            <w:bottom w:w="0" w:type="dxa"/>
            <w:right w:w="108" w:type="dxa"/>
          </w:tblCellMar>
        </w:tblPrEx>
        <w:trPr>
          <w:trHeight w:val="570" w:hRule="atLeast"/>
          <w:jc w:val="center"/>
        </w:trPr>
        <w:tc>
          <w:tcPr>
            <w:tcW w:w="621" w:type="dxa"/>
            <w:tcBorders>
              <w:top w:val="nil"/>
              <w:left w:val="single" w:color="auto" w:sz="4" w:space="0"/>
              <w:bottom w:val="single" w:color="auto" w:sz="4" w:space="0"/>
              <w:right w:val="single" w:color="auto" w:sz="4" w:space="0"/>
            </w:tcBorders>
            <w:vAlign w:val="center"/>
          </w:tcPr>
          <w:p w14:paraId="5677FC1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2740" w:type="dxa"/>
            <w:tcBorders>
              <w:top w:val="nil"/>
              <w:left w:val="nil"/>
              <w:bottom w:val="single" w:color="auto" w:sz="4" w:space="0"/>
              <w:right w:val="single" w:color="auto" w:sz="4" w:space="0"/>
            </w:tcBorders>
            <w:vAlign w:val="center"/>
          </w:tcPr>
          <w:p w14:paraId="05D124B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水泥混凝土路面（厚20cm、4.0MPa）</w:t>
            </w:r>
          </w:p>
        </w:tc>
        <w:tc>
          <w:tcPr>
            <w:tcW w:w="700" w:type="dxa"/>
            <w:tcBorders>
              <w:top w:val="nil"/>
              <w:left w:val="nil"/>
              <w:bottom w:val="single" w:color="auto" w:sz="4" w:space="0"/>
              <w:right w:val="single" w:color="auto" w:sz="4" w:space="0"/>
            </w:tcBorders>
            <w:vAlign w:val="center"/>
          </w:tcPr>
          <w:p w14:paraId="10B2D92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31" w:type="dxa"/>
            <w:tcBorders>
              <w:top w:val="nil"/>
              <w:left w:val="nil"/>
              <w:bottom w:val="single" w:color="auto" w:sz="4" w:space="0"/>
              <w:right w:val="single" w:color="auto" w:sz="4" w:space="0"/>
            </w:tcBorders>
            <w:vAlign w:val="center"/>
          </w:tcPr>
          <w:p w14:paraId="60653D29">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6FA0F54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3850</w:t>
            </w:r>
          </w:p>
        </w:tc>
        <w:tc>
          <w:tcPr>
            <w:tcW w:w="1417" w:type="dxa"/>
            <w:tcBorders>
              <w:top w:val="nil"/>
              <w:left w:val="nil"/>
              <w:bottom w:val="single" w:color="auto" w:sz="4" w:space="0"/>
              <w:right w:val="single" w:color="auto" w:sz="4" w:space="0"/>
            </w:tcBorders>
            <w:vAlign w:val="center"/>
          </w:tcPr>
          <w:p w14:paraId="01EBFA97">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33D4A0E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每增减1cm，单价减6.5元</w:t>
            </w:r>
          </w:p>
        </w:tc>
      </w:tr>
      <w:tr w14:paraId="736DE539">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2DE2859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2740" w:type="dxa"/>
            <w:tcBorders>
              <w:top w:val="nil"/>
              <w:left w:val="nil"/>
              <w:bottom w:val="single" w:color="auto" w:sz="4" w:space="0"/>
              <w:right w:val="single" w:color="auto" w:sz="4" w:space="0"/>
            </w:tcBorders>
            <w:vAlign w:val="center"/>
          </w:tcPr>
          <w:p w14:paraId="604E049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挖除旧水泥混凝土路面板</w:t>
            </w:r>
          </w:p>
        </w:tc>
        <w:tc>
          <w:tcPr>
            <w:tcW w:w="700" w:type="dxa"/>
            <w:tcBorders>
              <w:top w:val="nil"/>
              <w:left w:val="nil"/>
              <w:bottom w:val="single" w:color="auto" w:sz="4" w:space="0"/>
              <w:right w:val="single" w:color="auto" w:sz="4" w:space="0"/>
            </w:tcBorders>
            <w:vAlign w:val="center"/>
          </w:tcPr>
          <w:p w14:paraId="4D2E63A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2100BEA9">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79B15CE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800</w:t>
            </w:r>
          </w:p>
        </w:tc>
        <w:tc>
          <w:tcPr>
            <w:tcW w:w="1417" w:type="dxa"/>
            <w:tcBorders>
              <w:top w:val="nil"/>
              <w:left w:val="nil"/>
              <w:bottom w:val="single" w:color="auto" w:sz="4" w:space="0"/>
              <w:right w:val="single" w:color="auto" w:sz="4" w:space="0"/>
            </w:tcBorders>
            <w:vAlign w:val="center"/>
          </w:tcPr>
          <w:p w14:paraId="62FAFA42">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000000" w:sz="4" w:space="0"/>
            </w:tcBorders>
            <w:vAlign w:val="center"/>
          </w:tcPr>
          <w:p w14:paraId="1477401A">
            <w:pPr>
              <w:widowControl/>
              <w:rPr>
                <w:rFonts w:ascii="宋体" w:hAnsi="宋体" w:cs="宋体"/>
                <w:color w:val="auto"/>
                <w:kern w:val="0"/>
                <w:sz w:val="24"/>
                <w:highlight w:val="none"/>
              </w:rPr>
            </w:pPr>
            <w:r>
              <w:rPr>
                <w:rFonts w:hint="eastAsia" w:ascii="宋体" w:hAnsi="宋体" w:cs="宋体"/>
                <w:color w:val="auto"/>
                <w:kern w:val="0"/>
                <w:sz w:val="24"/>
                <w:highlight w:val="none"/>
              </w:rPr>
              <w:t>含破碎、挖及运</w:t>
            </w:r>
          </w:p>
        </w:tc>
      </w:tr>
      <w:tr w14:paraId="309E0C36">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35D975C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2740" w:type="dxa"/>
            <w:tcBorders>
              <w:top w:val="nil"/>
              <w:left w:val="nil"/>
              <w:bottom w:val="single" w:color="auto" w:sz="4" w:space="0"/>
              <w:right w:val="single" w:color="auto" w:sz="4" w:space="0"/>
            </w:tcBorders>
            <w:vAlign w:val="center"/>
          </w:tcPr>
          <w:p w14:paraId="322EF9F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C20水泥混凝土基层</w:t>
            </w:r>
          </w:p>
        </w:tc>
        <w:tc>
          <w:tcPr>
            <w:tcW w:w="700" w:type="dxa"/>
            <w:tcBorders>
              <w:top w:val="nil"/>
              <w:left w:val="nil"/>
              <w:bottom w:val="single" w:color="auto" w:sz="4" w:space="0"/>
              <w:right w:val="single" w:color="auto" w:sz="4" w:space="0"/>
            </w:tcBorders>
            <w:vAlign w:val="center"/>
          </w:tcPr>
          <w:p w14:paraId="41AD56C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36ADFFFF">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219C579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40</w:t>
            </w:r>
          </w:p>
        </w:tc>
        <w:tc>
          <w:tcPr>
            <w:tcW w:w="1417" w:type="dxa"/>
            <w:tcBorders>
              <w:top w:val="nil"/>
              <w:left w:val="nil"/>
              <w:bottom w:val="single" w:color="auto" w:sz="4" w:space="0"/>
              <w:right w:val="single" w:color="auto" w:sz="4" w:space="0"/>
            </w:tcBorders>
            <w:vAlign w:val="center"/>
          </w:tcPr>
          <w:p w14:paraId="51030BC8">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2E18C89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512066D">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709480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2740" w:type="dxa"/>
            <w:tcBorders>
              <w:top w:val="nil"/>
              <w:left w:val="nil"/>
              <w:bottom w:val="single" w:color="auto" w:sz="4" w:space="0"/>
              <w:right w:val="single" w:color="auto" w:sz="4" w:space="0"/>
            </w:tcBorders>
            <w:vAlign w:val="center"/>
          </w:tcPr>
          <w:p w14:paraId="5C3F9D7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钢筋网</w:t>
            </w:r>
          </w:p>
        </w:tc>
        <w:tc>
          <w:tcPr>
            <w:tcW w:w="700" w:type="dxa"/>
            <w:tcBorders>
              <w:top w:val="nil"/>
              <w:left w:val="nil"/>
              <w:bottom w:val="single" w:color="auto" w:sz="4" w:space="0"/>
              <w:right w:val="single" w:color="auto" w:sz="4" w:space="0"/>
            </w:tcBorders>
            <w:vAlign w:val="center"/>
          </w:tcPr>
          <w:p w14:paraId="551EE2F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131" w:type="dxa"/>
            <w:tcBorders>
              <w:top w:val="nil"/>
              <w:left w:val="nil"/>
              <w:bottom w:val="single" w:color="auto" w:sz="4" w:space="0"/>
              <w:right w:val="single" w:color="auto" w:sz="4" w:space="0"/>
            </w:tcBorders>
            <w:vAlign w:val="center"/>
          </w:tcPr>
          <w:p w14:paraId="09E89863">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52BDAD0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3000</w:t>
            </w:r>
          </w:p>
        </w:tc>
        <w:tc>
          <w:tcPr>
            <w:tcW w:w="1417" w:type="dxa"/>
            <w:tcBorders>
              <w:top w:val="nil"/>
              <w:left w:val="nil"/>
              <w:bottom w:val="single" w:color="auto" w:sz="4" w:space="0"/>
              <w:right w:val="single" w:color="auto" w:sz="4" w:space="0"/>
            </w:tcBorders>
            <w:vAlign w:val="center"/>
          </w:tcPr>
          <w:p w14:paraId="17451D3E">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58C511B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混凝土路面</w:t>
            </w:r>
          </w:p>
        </w:tc>
      </w:tr>
      <w:tr w14:paraId="0A83EDCD">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482F869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2740" w:type="dxa"/>
            <w:tcBorders>
              <w:top w:val="nil"/>
              <w:left w:val="nil"/>
              <w:bottom w:val="single" w:color="auto" w:sz="4" w:space="0"/>
              <w:right w:val="single" w:color="auto" w:sz="4" w:space="0"/>
            </w:tcBorders>
            <w:vAlign w:val="center"/>
          </w:tcPr>
          <w:p w14:paraId="19B176A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植钢筋</w:t>
            </w:r>
          </w:p>
        </w:tc>
        <w:tc>
          <w:tcPr>
            <w:tcW w:w="700" w:type="dxa"/>
            <w:tcBorders>
              <w:top w:val="nil"/>
              <w:left w:val="nil"/>
              <w:bottom w:val="single" w:color="auto" w:sz="4" w:space="0"/>
              <w:right w:val="single" w:color="auto" w:sz="4" w:space="0"/>
            </w:tcBorders>
            <w:vAlign w:val="center"/>
          </w:tcPr>
          <w:p w14:paraId="68C64FF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kg</w:t>
            </w:r>
          </w:p>
        </w:tc>
        <w:tc>
          <w:tcPr>
            <w:tcW w:w="1131" w:type="dxa"/>
            <w:tcBorders>
              <w:top w:val="nil"/>
              <w:left w:val="nil"/>
              <w:bottom w:val="single" w:color="auto" w:sz="4" w:space="0"/>
              <w:right w:val="single" w:color="auto" w:sz="4" w:space="0"/>
            </w:tcBorders>
            <w:vAlign w:val="center"/>
          </w:tcPr>
          <w:p w14:paraId="4AEAF16D">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63F9880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w:t>
            </w:r>
          </w:p>
        </w:tc>
        <w:tc>
          <w:tcPr>
            <w:tcW w:w="1417" w:type="dxa"/>
            <w:tcBorders>
              <w:top w:val="nil"/>
              <w:left w:val="nil"/>
              <w:bottom w:val="single" w:color="auto" w:sz="4" w:space="0"/>
              <w:right w:val="single" w:color="auto" w:sz="4" w:space="0"/>
            </w:tcBorders>
            <w:vAlign w:val="center"/>
          </w:tcPr>
          <w:p w14:paraId="5D651C1F">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66AE00A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包含钻孔</w:t>
            </w:r>
          </w:p>
        </w:tc>
      </w:tr>
      <w:tr w14:paraId="69A1EB64">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1E51771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2740" w:type="dxa"/>
            <w:tcBorders>
              <w:top w:val="nil"/>
              <w:left w:val="nil"/>
              <w:bottom w:val="single" w:color="auto" w:sz="4" w:space="0"/>
              <w:right w:val="single" w:color="auto" w:sz="4" w:space="0"/>
            </w:tcBorders>
            <w:vAlign w:val="center"/>
          </w:tcPr>
          <w:p w14:paraId="3E73AA1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级配碎石基层</w:t>
            </w:r>
          </w:p>
        </w:tc>
        <w:tc>
          <w:tcPr>
            <w:tcW w:w="700" w:type="dxa"/>
            <w:tcBorders>
              <w:top w:val="nil"/>
              <w:left w:val="nil"/>
              <w:bottom w:val="single" w:color="auto" w:sz="4" w:space="0"/>
              <w:right w:val="single" w:color="auto" w:sz="4" w:space="0"/>
            </w:tcBorders>
            <w:vAlign w:val="center"/>
          </w:tcPr>
          <w:p w14:paraId="484658F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178C895C">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4B6BBEA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250</w:t>
            </w:r>
          </w:p>
        </w:tc>
        <w:tc>
          <w:tcPr>
            <w:tcW w:w="1417" w:type="dxa"/>
            <w:tcBorders>
              <w:top w:val="nil"/>
              <w:left w:val="nil"/>
              <w:bottom w:val="single" w:color="auto" w:sz="4" w:space="0"/>
              <w:right w:val="single" w:color="auto" w:sz="4" w:space="0"/>
            </w:tcBorders>
            <w:vAlign w:val="center"/>
          </w:tcPr>
          <w:p w14:paraId="5AF9C5E3">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6D69256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EDC05EE">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18600F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22</w:t>
            </w:r>
          </w:p>
        </w:tc>
        <w:tc>
          <w:tcPr>
            <w:tcW w:w="2740" w:type="dxa"/>
            <w:tcBorders>
              <w:top w:val="nil"/>
              <w:left w:val="nil"/>
              <w:bottom w:val="single" w:color="auto" w:sz="4" w:space="0"/>
              <w:right w:val="single" w:color="auto" w:sz="4" w:space="0"/>
            </w:tcBorders>
            <w:vAlign w:val="center"/>
          </w:tcPr>
          <w:p w14:paraId="497E3DC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水泥稳定碎石基层</w:t>
            </w:r>
          </w:p>
        </w:tc>
        <w:tc>
          <w:tcPr>
            <w:tcW w:w="700" w:type="dxa"/>
            <w:tcBorders>
              <w:top w:val="nil"/>
              <w:left w:val="nil"/>
              <w:bottom w:val="single" w:color="auto" w:sz="4" w:space="0"/>
              <w:right w:val="single" w:color="auto" w:sz="4" w:space="0"/>
            </w:tcBorders>
            <w:vAlign w:val="center"/>
          </w:tcPr>
          <w:p w14:paraId="1ADC606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68C9AF1B">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688838C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400</w:t>
            </w:r>
          </w:p>
        </w:tc>
        <w:tc>
          <w:tcPr>
            <w:tcW w:w="1417" w:type="dxa"/>
            <w:tcBorders>
              <w:top w:val="nil"/>
              <w:left w:val="nil"/>
              <w:bottom w:val="single" w:color="auto" w:sz="4" w:space="0"/>
              <w:right w:val="single" w:color="auto" w:sz="4" w:space="0"/>
            </w:tcBorders>
            <w:vAlign w:val="center"/>
          </w:tcPr>
          <w:p w14:paraId="7DFD9466">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4268C0B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4327BF0">
        <w:tblPrEx>
          <w:tblCellMar>
            <w:top w:w="0" w:type="dxa"/>
            <w:left w:w="108" w:type="dxa"/>
            <w:bottom w:w="0" w:type="dxa"/>
            <w:right w:w="108" w:type="dxa"/>
          </w:tblCellMar>
        </w:tblPrEx>
        <w:trPr>
          <w:trHeight w:val="855" w:hRule="atLeast"/>
          <w:jc w:val="center"/>
        </w:trPr>
        <w:tc>
          <w:tcPr>
            <w:tcW w:w="621" w:type="dxa"/>
            <w:tcBorders>
              <w:top w:val="nil"/>
              <w:left w:val="single" w:color="auto" w:sz="4" w:space="0"/>
              <w:bottom w:val="single" w:color="auto" w:sz="4" w:space="0"/>
              <w:right w:val="single" w:color="auto" w:sz="4" w:space="0"/>
            </w:tcBorders>
            <w:vAlign w:val="center"/>
          </w:tcPr>
          <w:p w14:paraId="0B1C36E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23</w:t>
            </w:r>
          </w:p>
        </w:tc>
        <w:tc>
          <w:tcPr>
            <w:tcW w:w="2740" w:type="dxa"/>
            <w:tcBorders>
              <w:top w:val="nil"/>
              <w:left w:val="nil"/>
              <w:bottom w:val="single" w:color="auto" w:sz="4" w:space="0"/>
              <w:right w:val="single" w:color="auto" w:sz="4" w:space="0"/>
            </w:tcBorders>
            <w:vAlign w:val="center"/>
          </w:tcPr>
          <w:p w14:paraId="6D1B00F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路肩培土</w:t>
            </w:r>
          </w:p>
        </w:tc>
        <w:tc>
          <w:tcPr>
            <w:tcW w:w="700" w:type="dxa"/>
            <w:tcBorders>
              <w:top w:val="nil"/>
              <w:left w:val="nil"/>
              <w:bottom w:val="single" w:color="auto" w:sz="4" w:space="0"/>
              <w:right w:val="single" w:color="auto" w:sz="4" w:space="0"/>
            </w:tcBorders>
            <w:vAlign w:val="center"/>
          </w:tcPr>
          <w:p w14:paraId="4C94486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69ED8C8D">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37C16F4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w:t>
            </w:r>
          </w:p>
        </w:tc>
        <w:tc>
          <w:tcPr>
            <w:tcW w:w="1417" w:type="dxa"/>
            <w:tcBorders>
              <w:top w:val="nil"/>
              <w:left w:val="nil"/>
              <w:bottom w:val="single" w:color="auto" w:sz="4" w:space="0"/>
              <w:right w:val="single" w:color="auto" w:sz="4" w:space="0"/>
            </w:tcBorders>
            <w:vAlign w:val="center"/>
          </w:tcPr>
          <w:p w14:paraId="0A7FCA9E">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72C1E92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含土根费、运费、压实，需先清理杂物杂草，填土必须用砂性土</w:t>
            </w:r>
          </w:p>
        </w:tc>
      </w:tr>
      <w:tr w14:paraId="6D1891F3">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5D73EA6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24</w:t>
            </w:r>
          </w:p>
        </w:tc>
        <w:tc>
          <w:tcPr>
            <w:tcW w:w="2740" w:type="dxa"/>
            <w:tcBorders>
              <w:top w:val="nil"/>
              <w:left w:val="nil"/>
              <w:bottom w:val="single" w:color="auto" w:sz="4" w:space="0"/>
              <w:right w:val="single" w:color="auto" w:sz="4" w:space="0"/>
            </w:tcBorders>
            <w:vAlign w:val="center"/>
          </w:tcPr>
          <w:p w14:paraId="64E72FE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培路肩（石粉和石渣）</w:t>
            </w:r>
          </w:p>
        </w:tc>
        <w:tc>
          <w:tcPr>
            <w:tcW w:w="700" w:type="dxa"/>
            <w:tcBorders>
              <w:top w:val="nil"/>
              <w:left w:val="nil"/>
              <w:bottom w:val="single" w:color="auto" w:sz="4" w:space="0"/>
              <w:right w:val="single" w:color="auto" w:sz="4" w:space="0"/>
            </w:tcBorders>
            <w:vAlign w:val="center"/>
          </w:tcPr>
          <w:p w14:paraId="64D3748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15277F3B">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040704F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c>
          <w:tcPr>
            <w:tcW w:w="1417" w:type="dxa"/>
            <w:tcBorders>
              <w:top w:val="nil"/>
              <w:left w:val="nil"/>
              <w:bottom w:val="single" w:color="auto" w:sz="4" w:space="0"/>
              <w:right w:val="single" w:color="auto" w:sz="4" w:space="0"/>
            </w:tcBorders>
            <w:vAlign w:val="center"/>
          </w:tcPr>
          <w:p w14:paraId="0AB41893">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0BB7A9C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02580F5">
        <w:tblPrEx>
          <w:tblCellMar>
            <w:top w:w="0" w:type="dxa"/>
            <w:left w:w="108" w:type="dxa"/>
            <w:bottom w:w="0" w:type="dxa"/>
            <w:right w:w="108" w:type="dxa"/>
          </w:tblCellMar>
        </w:tblPrEx>
        <w:trPr>
          <w:trHeight w:val="570" w:hRule="atLeast"/>
          <w:jc w:val="center"/>
        </w:trPr>
        <w:tc>
          <w:tcPr>
            <w:tcW w:w="621" w:type="dxa"/>
            <w:tcBorders>
              <w:top w:val="nil"/>
              <w:left w:val="single" w:color="auto" w:sz="4" w:space="0"/>
              <w:bottom w:val="single" w:color="auto" w:sz="4" w:space="0"/>
              <w:right w:val="single" w:color="auto" w:sz="4" w:space="0"/>
            </w:tcBorders>
            <w:vAlign w:val="center"/>
          </w:tcPr>
          <w:p w14:paraId="3C8A6FA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25</w:t>
            </w:r>
          </w:p>
        </w:tc>
        <w:tc>
          <w:tcPr>
            <w:tcW w:w="2740" w:type="dxa"/>
            <w:tcBorders>
              <w:top w:val="nil"/>
              <w:left w:val="nil"/>
              <w:bottom w:val="single" w:color="auto" w:sz="4" w:space="0"/>
              <w:right w:val="single" w:color="auto" w:sz="4" w:space="0"/>
            </w:tcBorders>
            <w:vAlign w:val="center"/>
          </w:tcPr>
          <w:p w14:paraId="25D694B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硬化路肩（厚16cm、C20砼）</w:t>
            </w:r>
          </w:p>
        </w:tc>
        <w:tc>
          <w:tcPr>
            <w:tcW w:w="700" w:type="dxa"/>
            <w:tcBorders>
              <w:top w:val="nil"/>
              <w:left w:val="nil"/>
              <w:bottom w:val="single" w:color="auto" w:sz="4" w:space="0"/>
              <w:right w:val="single" w:color="auto" w:sz="4" w:space="0"/>
            </w:tcBorders>
            <w:vAlign w:val="center"/>
          </w:tcPr>
          <w:p w14:paraId="22A0C71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31" w:type="dxa"/>
            <w:tcBorders>
              <w:top w:val="nil"/>
              <w:left w:val="nil"/>
              <w:bottom w:val="single" w:color="auto" w:sz="4" w:space="0"/>
              <w:right w:val="single" w:color="auto" w:sz="4" w:space="0"/>
            </w:tcBorders>
            <w:vAlign w:val="center"/>
          </w:tcPr>
          <w:p w14:paraId="38B6AC40">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3FA8413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w:t>
            </w:r>
          </w:p>
        </w:tc>
        <w:tc>
          <w:tcPr>
            <w:tcW w:w="1417" w:type="dxa"/>
            <w:tcBorders>
              <w:top w:val="nil"/>
              <w:left w:val="nil"/>
              <w:bottom w:val="single" w:color="auto" w:sz="4" w:space="0"/>
              <w:right w:val="single" w:color="auto" w:sz="4" w:space="0"/>
            </w:tcBorders>
            <w:vAlign w:val="center"/>
          </w:tcPr>
          <w:p w14:paraId="0C2C67DC">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54B2358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837277D">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79BE2C9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26</w:t>
            </w:r>
          </w:p>
        </w:tc>
        <w:tc>
          <w:tcPr>
            <w:tcW w:w="2740" w:type="dxa"/>
            <w:tcBorders>
              <w:top w:val="nil"/>
              <w:left w:val="nil"/>
              <w:bottom w:val="single" w:color="auto" w:sz="4" w:space="0"/>
              <w:right w:val="single" w:color="auto" w:sz="4" w:space="0"/>
            </w:tcBorders>
            <w:vAlign w:val="center"/>
          </w:tcPr>
          <w:p w14:paraId="3A61DC4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清理淤塞涵洞</w:t>
            </w:r>
          </w:p>
        </w:tc>
        <w:tc>
          <w:tcPr>
            <w:tcW w:w="700" w:type="dxa"/>
            <w:tcBorders>
              <w:top w:val="nil"/>
              <w:left w:val="nil"/>
              <w:bottom w:val="single" w:color="auto" w:sz="4" w:space="0"/>
              <w:right w:val="single" w:color="auto" w:sz="4" w:space="0"/>
            </w:tcBorders>
            <w:vAlign w:val="center"/>
          </w:tcPr>
          <w:p w14:paraId="5A4705A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31" w:type="dxa"/>
            <w:tcBorders>
              <w:top w:val="nil"/>
              <w:left w:val="nil"/>
              <w:bottom w:val="single" w:color="auto" w:sz="4" w:space="0"/>
              <w:right w:val="single" w:color="auto" w:sz="4" w:space="0"/>
            </w:tcBorders>
            <w:vAlign w:val="center"/>
          </w:tcPr>
          <w:p w14:paraId="7EBD64A0">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29A172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417" w:type="dxa"/>
            <w:tcBorders>
              <w:top w:val="nil"/>
              <w:left w:val="nil"/>
              <w:bottom w:val="single" w:color="auto" w:sz="4" w:space="0"/>
              <w:right w:val="single" w:color="auto" w:sz="4" w:space="0"/>
            </w:tcBorders>
            <w:vAlign w:val="center"/>
          </w:tcPr>
          <w:p w14:paraId="30B353D1">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38D7041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A3D377E">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4D7081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27</w:t>
            </w:r>
          </w:p>
        </w:tc>
        <w:tc>
          <w:tcPr>
            <w:tcW w:w="2740" w:type="dxa"/>
            <w:tcBorders>
              <w:top w:val="nil"/>
              <w:left w:val="nil"/>
              <w:bottom w:val="single" w:color="auto" w:sz="4" w:space="0"/>
              <w:right w:val="single" w:color="auto" w:sz="4" w:space="0"/>
            </w:tcBorders>
            <w:vAlign w:val="center"/>
          </w:tcPr>
          <w:p w14:paraId="53346F5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圆管涵ø50</w:t>
            </w:r>
          </w:p>
        </w:tc>
        <w:tc>
          <w:tcPr>
            <w:tcW w:w="700" w:type="dxa"/>
            <w:tcBorders>
              <w:top w:val="nil"/>
              <w:left w:val="nil"/>
              <w:bottom w:val="single" w:color="auto" w:sz="4" w:space="0"/>
              <w:right w:val="single" w:color="auto" w:sz="4" w:space="0"/>
            </w:tcBorders>
            <w:vAlign w:val="center"/>
          </w:tcPr>
          <w:p w14:paraId="0DB293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31" w:type="dxa"/>
            <w:tcBorders>
              <w:top w:val="nil"/>
              <w:left w:val="nil"/>
              <w:bottom w:val="single" w:color="auto" w:sz="4" w:space="0"/>
              <w:right w:val="single" w:color="auto" w:sz="4" w:space="0"/>
            </w:tcBorders>
            <w:vAlign w:val="center"/>
          </w:tcPr>
          <w:p w14:paraId="10227D41">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140773C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417" w:type="dxa"/>
            <w:tcBorders>
              <w:top w:val="nil"/>
              <w:left w:val="nil"/>
              <w:bottom w:val="single" w:color="auto" w:sz="4" w:space="0"/>
              <w:right w:val="single" w:color="auto" w:sz="4" w:space="0"/>
            </w:tcBorders>
            <w:vAlign w:val="center"/>
          </w:tcPr>
          <w:p w14:paraId="69E4B596">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036F867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按标准图施工</w:t>
            </w:r>
          </w:p>
        </w:tc>
      </w:tr>
      <w:tr w14:paraId="6F1AE0AA">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50E1FB2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28</w:t>
            </w:r>
          </w:p>
        </w:tc>
        <w:tc>
          <w:tcPr>
            <w:tcW w:w="2740" w:type="dxa"/>
            <w:tcBorders>
              <w:top w:val="nil"/>
              <w:left w:val="nil"/>
              <w:bottom w:val="single" w:color="auto" w:sz="4" w:space="0"/>
              <w:right w:val="single" w:color="auto" w:sz="4" w:space="0"/>
            </w:tcBorders>
            <w:vAlign w:val="center"/>
          </w:tcPr>
          <w:p w14:paraId="1BAF335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圆管涵ø80</w:t>
            </w:r>
          </w:p>
        </w:tc>
        <w:tc>
          <w:tcPr>
            <w:tcW w:w="700" w:type="dxa"/>
            <w:tcBorders>
              <w:top w:val="nil"/>
              <w:left w:val="nil"/>
              <w:bottom w:val="single" w:color="auto" w:sz="4" w:space="0"/>
              <w:right w:val="single" w:color="auto" w:sz="4" w:space="0"/>
            </w:tcBorders>
            <w:vAlign w:val="center"/>
          </w:tcPr>
          <w:p w14:paraId="2A98CAB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31" w:type="dxa"/>
            <w:tcBorders>
              <w:top w:val="nil"/>
              <w:left w:val="nil"/>
              <w:bottom w:val="single" w:color="auto" w:sz="4" w:space="0"/>
              <w:right w:val="single" w:color="auto" w:sz="4" w:space="0"/>
            </w:tcBorders>
            <w:vAlign w:val="center"/>
          </w:tcPr>
          <w:p w14:paraId="66DCAAA8">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31CEBB8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417" w:type="dxa"/>
            <w:tcBorders>
              <w:top w:val="nil"/>
              <w:left w:val="nil"/>
              <w:bottom w:val="single" w:color="auto" w:sz="4" w:space="0"/>
              <w:right w:val="single" w:color="auto" w:sz="4" w:space="0"/>
            </w:tcBorders>
            <w:vAlign w:val="center"/>
          </w:tcPr>
          <w:p w14:paraId="46AA933E">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2123C09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按标准图施工</w:t>
            </w:r>
          </w:p>
        </w:tc>
      </w:tr>
      <w:tr w14:paraId="4A7E61A5">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759CA5A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c>
          <w:tcPr>
            <w:tcW w:w="2740" w:type="dxa"/>
            <w:tcBorders>
              <w:top w:val="nil"/>
              <w:left w:val="nil"/>
              <w:bottom w:val="single" w:color="auto" w:sz="4" w:space="0"/>
              <w:right w:val="single" w:color="auto" w:sz="4" w:space="0"/>
            </w:tcBorders>
            <w:vAlign w:val="center"/>
          </w:tcPr>
          <w:p w14:paraId="14E6D7C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圆管涵ø100</w:t>
            </w:r>
          </w:p>
        </w:tc>
        <w:tc>
          <w:tcPr>
            <w:tcW w:w="700" w:type="dxa"/>
            <w:tcBorders>
              <w:top w:val="nil"/>
              <w:left w:val="nil"/>
              <w:bottom w:val="single" w:color="auto" w:sz="4" w:space="0"/>
              <w:right w:val="single" w:color="auto" w:sz="4" w:space="0"/>
            </w:tcBorders>
            <w:vAlign w:val="center"/>
          </w:tcPr>
          <w:p w14:paraId="00AC486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31" w:type="dxa"/>
            <w:tcBorders>
              <w:top w:val="nil"/>
              <w:left w:val="nil"/>
              <w:bottom w:val="single" w:color="auto" w:sz="4" w:space="0"/>
              <w:right w:val="single" w:color="auto" w:sz="4" w:space="0"/>
            </w:tcBorders>
            <w:vAlign w:val="center"/>
          </w:tcPr>
          <w:p w14:paraId="480519FC">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52F2F0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417" w:type="dxa"/>
            <w:tcBorders>
              <w:top w:val="nil"/>
              <w:left w:val="nil"/>
              <w:bottom w:val="single" w:color="auto" w:sz="4" w:space="0"/>
              <w:right w:val="single" w:color="auto" w:sz="4" w:space="0"/>
            </w:tcBorders>
            <w:vAlign w:val="center"/>
          </w:tcPr>
          <w:p w14:paraId="0DD6E3E2">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3844CF3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按标准图施工</w:t>
            </w:r>
          </w:p>
        </w:tc>
      </w:tr>
      <w:tr w14:paraId="050CB67D">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32A51E8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2740" w:type="dxa"/>
            <w:tcBorders>
              <w:top w:val="nil"/>
              <w:left w:val="nil"/>
              <w:bottom w:val="single" w:color="auto" w:sz="4" w:space="0"/>
              <w:right w:val="single" w:color="auto" w:sz="4" w:space="0"/>
            </w:tcBorders>
            <w:vAlign w:val="center"/>
          </w:tcPr>
          <w:p w14:paraId="308448A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钢筋混凝土盖板</w:t>
            </w:r>
          </w:p>
        </w:tc>
        <w:tc>
          <w:tcPr>
            <w:tcW w:w="700" w:type="dxa"/>
            <w:tcBorders>
              <w:top w:val="nil"/>
              <w:left w:val="nil"/>
              <w:bottom w:val="single" w:color="auto" w:sz="4" w:space="0"/>
              <w:right w:val="single" w:color="auto" w:sz="4" w:space="0"/>
            </w:tcBorders>
            <w:vAlign w:val="center"/>
          </w:tcPr>
          <w:p w14:paraId="2C27299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6E7EF556">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35FD3F5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417" w:type="dxa"/>
            <w:tcBorders>
              <w:top w:val="nil"/>
              <w:left w:val="nil"/>
              <w:bottom w:val="single" w:color="auto" w:sz="4" w:space="0"/>
              <w:right w:val="single" w:color="auto" w:sz="4" w:space="0"/>
            </w:tcBorders>
            <w:vAlign w:val="center"/>
          </w:tcPr>
          <w:p w14:paraId="31DE9DD5">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728DDDF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AC04781">
        <w:tblPrEx>
          <w:tblCellMar>
            <w:top w:w="0" w:type="dxa"/>
            <w:left w:w="108" w:type="dxa"/>
            <w:bottom w:w="0" w:type="dxa"/>
            <w:right w:w="108" w:type="dxa"/>
          </w:tblCellMar>
        </w:tblPrEx>
        <w:trPr>
          <w:trHeight w:val="570" w:hRule="atLeast"/>
          <w:jc w:val="center"/>
        </w:trPr>
        <w:tc>
          <w:tcPr>
            <w:tcW w:w="621" w:type="dxa"/>
            <w:tcBorders>
              <w:top w:val="nil"/>
              <w:left w:val="single" w:color="auto" w:sz="4" w:space="0"/>
              <w:bottom w:val="single" w:color="auto" w:sz="4" w:space="0"/>
              <w:right w:val="single" w:color="auto" w:sz="4" w:space="0"/>
            </w:tcBorders>
            <w:vAlign w:val="center"/>
          </w:tcPr>
          <w:p w14:paraId="40B24E8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31</w:t>
            </w:r>
          </w:p>
        </w:tc>
        <w:tc>
          <w:tcPr>
            <w:tcW w:w="2740" w:type="dxa"/>
            <w:tcBorders>
              <w:top w:val="nil"/>
              <w:left w:val="nil"/>
              <w:bottom w:val="single" w:color="auto" w:sz="4" w:space="0"/>
              <w:right w:val="single" w:color="auto" w:sz="4" w:space="0"/>
            </w:tcBorders>
            <w:vAlign w:val="center"/>
          </w:tcPr>
          <w:p w14:paraId="3502DB1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结构物砼修补（有单价除外）</w:t>
            </w:r>
          </w:p>
        </w:tc>
        <w:tc>
          <w:tcPr>
            <w:tcW w:w="700" w:type="dxa"/>
            <w:tcBorders>
              <w:top w:val="nil"/>
              <w:left w:val="nil"/>
              <w:bottom w:val="single" w:color="auto" w:sz="4" w:space="0"/>
              <w:right w:val="single" w:color="auto" w:sz="4" w:space="0"/>
            </w:tcBorders>
            <w:vAlign w:val="center"/>
          </w:tcPr>
          <w:p w14:paraId="3DFBB6A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1" w:type="dxa"/>
            <w:tcBorders>
              <w:top w:val="nil"/>
              <w:left w:val="nil"/>
              <w:bottom w:val="single" w:color="auto" w:sz="4" w:space="0"/>
              <w:right w:val="single" w:color="auto" w:sz="4" w:space="0"/>
            </w:tcBorders>
            <w:vAlign w:val="center"/>
          </w:tcPr>
          <w:p w14:paraId="71A18BB9">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7ED4802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17" w:type="dxa"/>
            <w:tcBorders>
              <w:top w:val="nil"/>
              <w:left w:val="nil"/>
              <w:bottom w:val="single" w:color="auto" w:sz="4" w:space="0"/>
              <w:right w:val="single" w:color="auto" w:sz="4" w:space="0"/>
            </w:tcBorders>
            <w:vAlign w:val="center"/>
          </w:tcPr>
          <w:p w14:paraId="51003759">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2083E5E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BD15AE8">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2BE128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40" w:type="dxa"/>
            <w:tcBorders>
              <w:top w:val="nil"/>
              <w:left w:val="nil"/>
              <w:bottom w:val="single" w:color="auto" w:sz="4" w:space="0"/>
              <w:right w:val="single" w:color="auto" w:sz="4" w:space="0"/>
            </w:tcBorders>
            <w:vAlign w:val="center"/>
          </w:tcPr>
          <w:p w14:paraId="6AC8636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C20水泥混凝土</w:t>
            </w:r>
          </w:p>
        </w:tc>
        <w:tc>
          <w:tcPr>
            <w:tcW w:w="700" w:type="dxa"/>
            <w:tcBorders>
              <w:top w:val="nil"/>
              <w:left w:val="nil"/>
              <w:bottom w:val="single" w:color="auto" w:sz="4" w:space="0"/>
              <w:right w:val="single" w:color="auto" w:sz="4" w:space="0"/>
            </w:tcBorders>
            <w:vAlign w:val="center"/>
          </w:tcPr>
          <w:p w14:paraId="12CDC8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575F7948">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32B5C4A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417" w:type="dxa"/>
            <w:tcBorders>
              <w:top w:val="nil"/>
              <w:left w:val="nil"/>
              <w:bottom w:val="single" w:color="auto" w:sz="4" w:space="0"/>
              <w:right w:val="single" w:color="auto" w:sz="4" w:space="0"/>
            </w:tcBorders>
            <w:vAlign w:val="center"/>
          </w:tcPr>
          <w:p w14:paraId="125AD00F">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40A250F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桥台，含凿除</w:t>
            </w:r>
          </w:p>
        </w:tc>
      </w:tr>
      <w:tr w14:paraId="1EC6A5F9">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535D8FA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40" w:type="dxa"/>
            <w:tcBorders>
              <w:top w:val="nil"/>
              <w:left w:val="nil"/>
              <w:bottom w:val="single" w:color="auto" w:sz="4" w:space="0"/>
              <w:right w:val="single" w:color="auto" w:sz="4" w:space="0"/>
            </w:tcBorders>
            <w:vAlign w:val="center"/>
          </w:tcPr>
          <w:p w14:paraId="45CB49C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C25水泥混凝土</w:t>
            </w:r>
          </w:p>
        </w:tc>
        <w:tc>
          <w:tcPr>
            <w:tcW w:w="700" w:type="dxa"/>
            <w:tcBorders>
              <w:top w:val="nil"/>
              <w:left w:val="nil"/>
              <w:bottom w:val="single" w:color="auto" w:sz="4" w:space="0"/>
              <w:right w:val="single" w:color="auto" w:sz="4" w:space="0"/>
            </w:tcBorders>
            <w:vAlign w:val="center"/>
          </w:tcPr>
          <w:p w14:paraId="093A3C1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09268DDC">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32285C2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417" w:type="dxa"/>
            <w:tcBorders>
              <w:top w:val="nil"/>
              <w:left w:val="nil"/>
              <w:bottom w:val="single" w:color="auto" w:sz="4" w:space="0"/>
              <w:right w:val="single" w:color="auto" w:sz="4" w:space="0"/>
            </w:tcBorders>
            <w:vAlign w:val="center"/>
          </w:tcPr>
          <w:p w14:paraId="65B40930">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1DE1030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桥墩，含凿除</w:t>
            </w:r>
          </w:p>
        </w:tc>
      </w:tr>
      <w:tr w14:paraId="14360B9B">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666CAD3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40" w:type="dxa"/>
            <w:tcBorders>
              <w:top w:val="nil"/>
              <w:left w:val="nil"/>
              <w:bottom w:val="single" w:color="auto" w:sz="4" w:space="0"/>
              <w:right w:val="single" w:color="auto" w:sz="4" w:space="0"/>
            </w:tcBorders>
            <w:vAlign w:val="center"/>
          </w:tcPr>
          <w:p w14:paraId="2025CCD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C30水泥混凝土</w:t>
            </w:r>
          </w:p>
        </w:tc>
        <w:tc>
          <w:tcPr>
            <w:tcW w:w="700" w:type="dxa"/>
            <w:tcBorders>
              <w:top w:val="nil"/>
              <w:left w:val="nil"/>
              <w:bottom w:val="single" w:color="auto" w:sz="4" w:space="0"/>
              <w:right w:val="single" w:color="auto" w:sz="4" w:space="0"/>
            </w:tcBorders>
            <w:vAlign w:val="center"/>
          </w:tcPr>
          <w:p w14:paraId="065D2C5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60970759">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20C5EF5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417" w:type="dxa"/>
            <w:tcBorders>
              <w:top w:val="nil"/>
              <w:left w:val="nil"/>
              <w:bottom w:val="single" w:color="auto" w:sz="4" w:space="0"/>
              <w:right w:val="single" w:color="auto" w:sz="4" w:space="0"/>
            </w:tcBorders>
            <w:vAlign w:val="center"/>
          </w:tcPr>
          <w:p w14:paraId="0F569288">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069B405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盖梁，含凿除</w:t>
            </w:r>
          </w:p>
        </w:tc>
      </w:tr>
      <w:tr w14:paraId="43DBD3C7">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4922883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740" w:type="dxa"/>
            <w:tcBorders>
              <w:top w:val="nil"/>
              <w:left w:val="nil"/>
              <w:bottom w:val="single" w:color="auto" w:sz="4" w:space="0"/>
              <w:right w:val="single" w:color="auto" w:sz="4" w:space="0"/>
            </w:tcBorders>
            <w:vAlign w:val="center"/>
          </w:tcPr>
          <w:p w14:paraId="503375A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C35水泥混凝土</w:t>
            </w:r>
          </w:p>
        </w:tc>
        <w:tc>
          <w:tcPr>
            <w:tcW w:w="700" w:type="dxa"/>
            <w:tcBorders>
              <w:top w:val="nil"/>
              <w:left w:val="nil"/>
              <w:bottom w:val="single" w:color="auto" w:sz="4" w:space="0"/>
              <w:right w:val="single" w:color="auto" w:sz="4" w:space="0"/>
            </w:tcBorders>
            <w:vAlign w:val="center"/>
          </w:tcPr>
          <w:p w14:paraId="552E8E3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4EE85AD7">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1E4B1A5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417" w:type="dxa"/>
            <w:tcBorders>
              <w:top w:val="nil"/>
              <w:left w:val="nil"/>
              <w:bottom w:val="single" w:color="auto" w:sz="4" w:space="0"/>
              <w:right w:val="single" w:color="auto" w:sz="4" w:space="0"/>
            </w:tcBorders>
            <w:vAlign w:val="center"/>
          </w:tcPr>
          <w:p w14:paraId="03AC0BA6">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20C972D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梁体，含凿除</w:t>
            </w:r>
          </w:p>
        </w:tc>
      </w:tr>
      <w:tr w14:paraId="47284CE0">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68DA52A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740" w:type="dxa"/>
            <w:tcBorders>
              <w:top w:val="nil"/>
              <w:left w:val="nil"/>
              <w:bottom w:val="single" w:color="auto" w:sz="4" w:space="0"/>
              <w:right w:val="single" w:color="auto" w:sz="4" w:space="0"/>
            </w:tcBorders>
            <w:vAlign w:val="center"/>
          </w:tcPr>
          <w:p w14:paraId="636C5D4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C40水泥混凝土</w:t>
            </w:r>
          </w:p>
        </w:tc>
        <w:tc>
          <w:tcPr>
            <w:tcW w:w="700" w:type="dxa"/>
            <w:tcBorders>
              <w:top w:val="nil"/>
              <w:left w:val="nil"/>
              <w:bottom w:val="single" w:color="auto" w:sz="4" w:space="0"/>
              <w:right w:val="single" w:color="auto" w:sz="4" w:space="0"/>
            </w:tcBorders>
            <w:vAlign w:val="center"/>
          </w:tcPr>
          <w:p w14:paraId="69ADB79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7B92D26F">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0A235BC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417" w:type="dxa"/>
            <w:tcBorders>
              <w:top w:val="nil"/>
              <w:left w:val="nil"/>
              <w:bottom w:val="single" w:color="auto" w:sz="4" w:space="0"/>
              <w:right w:val="single" w:color="auto" w:sz="4" w:space="0"/>
            </w:tcBorders>
            <w:vAlign w:val="center"/>
          </w:tcPr>
          <w:p w14:paraId="608782C8">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67C34E1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桥面铺装，含凿除</w:t>
            </w:r>
          </w:p>
        </w:tc>
      </w:tr>
      <w:tr w14:paraId="5F824966">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36D0FBD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32</w:t>
            </w:r>
          </w:p>
        </w:tc>
        <w:tc>
          <w:tcPr>
            <w:tcW w:w="2740" w:type="dxa"/>
            <w:tcBorders>
              <w:top w:val="nil"/>
              <w:left w:val="nil"/>
              <w:bottom w:val="single" w:color="auto" w:sz="4" w:space="0"/>
              <w:right w:val="single" w:color="auto" w:sz="4" w:space="0"/>
            </w:tcBorders>
            <w:vAlign w:val="center"/>
          </w:tcPr>
          <w:p w14:paraId="5E0FA98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钢结构除锈防腐油漆</w:t>
            </w:r>
          </w:p>
        </w:tc>
        <w:tc>
          <w:tcPr>
            <w:tcW w:w="700" w:type="dxa"/>
            <w:tcBorders>
              <w:top w:val="nil"/>
              <w:left w:val="nil"/>
              <w:bottom w:val="single" w:color="auto" w:sz="4" w:space="0"/>
              <w:right w:val="single" w:color="auto" w:sz="4" w:space="0"/>
            </w:tcBorders>
            <w:vAlign w:val="center"/>
          </w:tcPr>
          <w:p w14:paraId="7F57A0B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31" w:type="dxa"/>
            <w:tcBorders>
              <w:top w:val="nil"/>
              <w:left w:val="nil"/>
              <w:bottom w:val="single" w:color="auto" w:sz="4" w:space="0"/>
              <w:right w:val="single" w:color="auto" w:sz="4" w:space="0"/>
            </w:tcBorders>
            <w:vAlign w:val="center"/>
          </w:tcPr>
          <w:p w14:paraId="21BF52AE">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46DE853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c>
          <w:tcPr>
            <w:tcW w:w="1417" w:type="dxa"/>
            <w:tcBorders>
              <w:top w:val="nil"/>
              <w:left w:val="nil"/>
              <w:bottom w:val="single" w:color="auto" w:sz="4" w:space="0"/>
              <w:right w:val="single" w:color="auto" w:sz="4" w:space="0"/>
            </w:tcBorders>
            <w:vAlign w:val="center"/>
          </w:tcPr>
          <w:p w14:paraId="5056CB93">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755AC43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3AD7996">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46517DD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33</w:t>
            </w:r>
          </w:p>
        </w:tc>
        <w:tc>
          <w:tcPr>
            <w:tcW w:w="2740" w:type="dxa"/>
            <w:tcBorders>
              <w:top w:val="nil"/>
              <w:left w:val="nil"/>
              <w:bottom w:val="single" w:color="auto" w:sz="4" w:space="0"/>
              <w:right w:val="single" w:color="auto" w:sz="4" w:space="0"/>
            </w:tcBorders>
            <w:vAlign w:val="center"/>
          </w:tcPr>
          <w:p w14:paraId="70837E3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更换桥梁橡胶条</w:t>
            </w:r>
          </w:p>
        </w:tc>
        <w:tc>
          <w:tcPr>
            <w:tcW w:w="700" w:type="dxa"/>
            <w:tcBorders>
              <w:top w:val="nil"/>
              <w:left w:val="nil"/>
              <w:bottom w:val="single" w:color="auto" w:sz="4" w:space="0"/>
              <w:right w:val="single" w:color="auto" w:sz="4" w:space="0"/>
            </w:tcBorders>
            <w:vAlign w:val="center"/>
          </w:tcPr>
          <w:p w14:paraId="44258A4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31" w:type="dxa"/>
            <w:tcBorders>
              <w:top w:val="nil"/>
              <w:left w:val="nil"/>
              <w:bottom w:val="single" w:color="auto" w:sz="4" w:space="0"/>
              <w:right w:val="single" w:color="auto" w:sz="4" w:space="0"/>
            </w:tcBorders>
            <w:vAlign w:val="center"/>
          </w:tcPr>
          <w:p w14:paraId="304C4970">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4504DB4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c>
          <w:tcPr>
            <w:tcW w:w="1417" w:type="dxa"/>
            <w:tcBorders>
              <w:top w:val="nil"/>
              <w:left w:val="nil"/>
              <w:bottom w:val="single" w:color="auto" w:sz="4" w:space="0"/>
              <w:right w:val="single" w:color="auto" w:sz="4" w:space="0"/>
            </w:tcBorders>
            <w:vAlign w:val="center"/>
          </w:tcPr>
          <w:p w14:paraId="7A5779F3">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6D0EBD1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A4D89F5">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0778A1F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34</w:t>
            </w:r>
          </w:p>
        </w:tc>
        <w:tc>
          <w:tcPr>
            <w:tcW w:w="2740" w:type="dxa"/>
            <w:tcBorders>
              <w:top w:val="nil"/>
              <w:left w:val="nil"/>
              <w:bottom w:val="single" w:color="auto" w:sz="4" w:space="0"/>
              <w:right w:val="single" w:color="auto" w:sz="4" w:space="0"/>
            </w:tcBorders>
            <w:vAlign w:val="center"/>
          </w:tcPr>
          <w:p w14:paraId="2A4D4A1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波形护栏</w:t>
            </w:r>
          </w:p>
        </w:tc>
        <w:tc>
          <w:tcPr>
            <w:tcW w:w="700" w:type="dxa"/>
            <w:tcBorders>
              <w:top w:val="nil"/>
              <w:left w:val="nil"/>
              <w:bottom w:val="single" w:color="auto" w:sz="4" w:space="0"/>
              <w:right w:val="single" w:color="auto" w:sz="4" w:space="0"/>
            </w:tcBorders>
            <w:vAlign w:val="center"/>
          </w:tcPr>
          <w:p w14:paraId="12AAF02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31" w:type="dxa"/>
            <w:tcBorders>
              <w:top w:val="nil"/>
              <w:left w:val="nil"/>
              <w:bottom w:val="single" w:color="auto" w:sz="4" w:space="0"/>
              <w:right w:val="single" w:color="auto" w:sz="4" w:space="0"/>
            </w:tcBorders>
            <w:vAlign w:val="center"/>
          </w:tcPr>
          <w:p w14:paraId="5A7FFF35">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4B10532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c>
          <w:tcPr>
            <w:tcW w:w="1417" w:type="dxa"/>
            <w:tcBorders>
              <w:top w:val="nil"/>
              <w:left w:val="nil"/>
              <w:bottom w:val="single" w:color="auto" w:sz="4" w:space="0"/>
              <w:right w:val="single" w:color="auto" w:sz="4" w:space="0"/>
            </w:tcBorders>
            <w:vAlign w:val="center"/>
          </w:tcPr>
          <w:p w14:paraId="7CEC7BC9">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6CAB02D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CE41DE5">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5AFE578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35</w:t>
            </w:r>
          </w:p>
        </w:tc>
        <w:tc>
          <w:tcPr>
            <w:tcW w:w="2740" w:type="dxa"/>
            <w:tcBorders>
              <w:top w:val="nil"/>
              <w:left w:val="nil"/>
              <w:bottom w:val="single" w:color="auto" w:sz="4" w:space="0"/>
              <w:right w:val="single" w:color="auto" w:sz="4" w:space="0"/>
            </w:tcBorders>
            <w:vAlign w:val="center"/>
          </w:tcPr>
          <w:p w14:paraId="2496ABF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交通标志牌（不含立杆）</w:t>
            </w:r>
          </w:p>
        </w:tc>
        <w:tc>
          <w:tcPr>
            <w:tcW w:w="700" w:type="dxa"/>
            <w:tcBorders>
              <w:top w:val="nil"/>
              <w:left w:val="nil"/>
              <w:bottom w:val="single" w:color="auto" w:sz="4" w:space="0"/>
              <w:right w:val="single" w:color="auto" w:sz="4" w:space="0"/>
            </w:tcBorders>
            <w:vAlign w:val="center"/>
          </w:tcPr>
          <w:p w14:paraId="6568DBD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1131" w:type="dxa"/>
            <w:tcBorders>
              <w:top w:val="nil"/>
              <w:left w:val="nil"/>
              <w:bottom w:val="single" w:color="auto" w:sz="4" w:space="0"/>
              <w:right w:val="single" w:color="auto" w:sz="4" w:space="0"/>
            </w:tcBorders>
            <w:vAlign w:val="center"/>
          </w:tcPr>
          <w:p w14:paraId="4F101AF3">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333850C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90</w:t>
            </w:r>
          </w:p>
        </w:tc>
        <w:tc>
          <w:tcPr>
            <w:tcW w:w="1417" w:type="dxa"/>
            <w:tcBorders>
              <w:top w:val="nil"/>
              <w:left w:val="nil"/>
              <w:bottom w:val="single" w:color="auto" w:sz="4" w:space="0"/>
              <w:right w:val="single" w:color="auto" w:sz="4" w:space="0"/>
            </w:tcBorders>
            <w:vAlign w:val="center"/>
          </w:tcPr>
          <w:p w14:paraId="5BEC2C85">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35094AA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限速、限载、转弯等标志牌</w:t>
            </w:r>
          </w:p>
        </w:tc>
      </w:tr>
      <w:tr w14:paraId="28056784">
        <w:tblPrEx>
          <w:tblCellMar>
            <w:top w:w="0" w:type="dxa"/>
            <w:left w:w="108" w:type="dxa"/>
            <w:bottom w:w="0" w:type="dxa"/>
            <w:right w:w="108" w:type="dxa"/>
          </w:tblCellMar>
        </w:tblPrEx>
        <w:trPr>
          <w:trHeight w:val="570" w:hRule="atLeast"/>
          <w:jc w:val="center"/>
        </w:trPr>
        <w:tc>
          <w:tcPr>
            <w:tcW w:w="621" w:type="dxa"/>
            <w:tcBorders>
              <w:top w:val="nil"/>
              <w:left w:val="single" w:color="auto" w:sz="4" w:space="0"/>
              <w:bottom w:val="single" w:color="auto" w:sz="4" w:space="0"/>
              <w:right w:val="single" w:color="auto" w:sz="4" w:space="0"/>
            </w:tcBorders>
            <w:vAlign w:val="center"/>
          </w:tcPr>
          <w:p w14:paraId="48199DA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36</w:t>
            </w:r>
          </w:p>
        </w:tc>
        <w:tc>
          <w:tcPr>
            <w:tcW w:w="2740" w:type="dxa"/>
            <w:tcBorders>
              <w:top w:val="nil"/>
              <w:left w:val="nil"/>
              <w:bottom w:val="single" w:color="auto" w:sz="4" w:space="0"/>
              <w:right w:val="single" w:color="auto" w:sz="4" w:space="0"/>
            </w:tcBorders>
            <w:vAlign w:val="center"/>
          </w:tcPr>
          <w:p w14:paraId="2D32BFB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交通标志牌（含立杆、基础）</w:t>
            </w:r>
          </w:p>
        </w:tc>
        <w:tc>
          <w:tcPr>
            <w:tcW w:w="700" w:type="dxa"/>
            <w:tcBorders>
              <w:top w:val="nil"/>
              <w:left w:val="nil"/>
              <w:bottom w:val="single" w:color="auto" w:sz="4" w:space="0"/>
              <w:right w:val="single" w:color="auto" w:sz="4" w:space="0"/>
            </w:tcBorders>
            <w:vAlign w:val="center"/>
          </w:tcPr>
          <w:p w14:paraId="061E658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1131" w:type="dxa"/>
            <w:tcBorders>
              <w:top w:val="nil"/>
              <w:left w:val="nil"/>
              <w:bottom w:val="single" w:color="auto" w:sz="4" w:space="0"/>
              <w:right w:val="single" w:color="auto" w:sz="4" w:space="0"/>
            </w:tcBorders>
            <w:vAlign w:val="center"/>
          </w:tcPr>
          <w:p w14:paraId="14F66751">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74DD1C1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60</w:t>
            </w:r>
          </w:p>
        </w:tc>
        <w:tc>
          <w:tcPr>
            <w:tcW w:w="1417" w:type="dxa"/>
            <w:tcBorders>
              <w:top w:val="nil"/>
              <w:left w:val="nil"/>
              <w:bottom w:val="single" w:color="auto" w:sz="4" w:space="0"/>
              <w:right w:val="single" w:color="auto" w:sz="4" w:space="0"/>
            </w:tcBorders>
            <w:vAlign w:val="center"/>
          </w:tcPr>
          <w:p w14:paraId="7232BA7B">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184AA41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限速、限载、转弯等标志牌</w:t>
            </w:r>
          </w:p>
        </w:tc>
      </w:tr>
      <w:tr w14:paraId="230BE2D5">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552F6C3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37</w:t>
            </w:r>
          </w:p>
        </w:tc>
        <w:tc>
          <w:tcPr>
            <w:tcW w:w="2740" w:type="dxa"/>
            <w:tcBorders>
              <w:top w:val="nil"/>
              <w:left w:val="nil"/>
              <w:bottom w:val="single" w:color="auto" w:sz="4" w:space="0"/>
              <w:right w:val="single" w:color="auto" w:sz="4" w:space="0"/>
            </w:tcBorders>
            <w:vAlign w:val="center"/>
          </w:tcPr>
          <w:p w14:paraId="39841A4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百米桩</w:t>
            </w:r>
          </w:p>
        </w:tc>
        <w:tc>
          <w:tcPr>
            <w:tcW w:w="700" w:type="dxa"/>
            <w:tcBorders>
              <w:top w:val="nil"/>
              <w:left w:val="nil"/>
              <w:bottom w:val="single" w:color="auto" w:sz="4" w:space="0"/>
              <w:right w:val="single" w:color="auto" w:sz="4" w:space="0"/>
            </w:tcBorders>
            <w:vAlign w:val="center"/>
          </w:tcPr>
          <w:p w14:paraId="105A1D2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根</w:t>
            </w:r>
          </w:p>
        </w:tc>
        <w:tc>
          <w:tcPr>
            <w:tcW w:w="1131" w:type="dxa"/>
            <w:tcBorders>
              <w:top w:val="nil"/>
              <w:left w:val="nil"/>
              <w:bottom w:val="single" w:color="auto" w:sz="4" w:space="0"/>
              <w:right w:val="single" w:color="auto" w:sz="4" w:space="0"/>
            </w:tcBorders>
            <w:vAlign w:val="center"/>
          </w:tcPr>
          <w:p w14:paraId="7CA7F12F">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68F0394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417" w:type="dxa"/>
            <w:tcBorders>
              <w:top w:val="nil"/>
              <w:left w:val="nil"/>
              <w:bottom w:val="single" w:color="auto" w:sz="4" w:space="0"/>
              <w:right w:val="single" w:color="auto" w:sz="4" w:space="0"/>
            </w:tcBorders>
            <w:vAlign w:val="center"/>
          </w:tcPr>
          <w:p w14:paraId="429ABE69">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2C52AAD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1706958">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774FD55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38</w:t>
            </w:r>
          </w:p>
        </w:tc>
        <w:tc>
          <w:tcPr>
            <w:tcW w:w="2740" w:type="dxa"/>
            <w:tcBorders>
              <w:top w:val="nil"/>
              <w:left w:val="nil"/>
              <w:bottom w:val="single" w:color="auto" w:sz="4" w:space="0"/>
              <w:right w:val="single" w:color="auto" w:sz="4" w:space="0"/>
            </w:tcBorders>
            <w:vAlign w:val="center"/>
          </w:tcPr>
          <w:p w14:paraId="562B7DB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公里牌</w:t>
            </w:r>
          </w:p>
        </w:tc>
        <w:tc>
          <w:tcPr>
            <w:tcW w:w="700" w:type="dxa"/>
            <w:tcBorders>
              <w:top w:val="nil"/>
              <w:left w:val="nil"/>
              <w:bottom w:val="single" w:color="auto" w:sz="4" w:space="0"/>
              <w:right w:val="single" w:color="auto" w:sz="4" w:space="0"/>
            </w:tcBorders>
            <w:vAlign w:val="center"/>
          </w:tcPr>
          <w:p w14:paraId="107F6B5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1131" w:type="dxa"/>
            <w:tcBorders>
              <w:top w:val="nil"/>
              <w:left w:val="nil"/>
              <w:bottom w:val="single" w:color="auto" w:sz="4" w:space="0"/>
              <w:right w:val="single" w:color="auto" w:sz="4" w:space="0"/>
            </w:tcBorders>
            <w:vAlign w:val="center"/>
          </w:tcPr>
          <w:p w14:paraId="7E6F0F6D">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2788AE3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417" w:type="dxa"/>
            <w:tcBorders>
              <w:top w:val="nil"/>
              <w:left w:val="nil"/>
              <w:bottom w:val="single" w:color="auto" w:sz="4" w:space="0"/>
              <w:right w:val="single" w:color="auto" w:sz="4" w:space="0"/>
            </w:tcBorders>
            <w:vAlign w:val="center"/>
          </w:tcPr>
          <w:p w14:paraId="7014F080">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6170BBC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B50911D">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5F88D99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39</w:t>
            </w:r>
          </w:p>
        </w:tc>
        <w:tc>
          <w:tcPr>
            <w:tcW w:w="2740" w:type="dxa"/>
            <w:tcBorders>
              <w:top w:val="nil"/>
              <w:left w:val="nil"/>
              <w:bottom w:val="single" w:color="auto" w:sz="4" w:space="0"/>
              <w:right w:val="single" w:color="auto" w:sz="4" w:space="0"/>
            </w:tcBorders>
            <w:vAlign w:val="center"/>
          </w:tcPr>
          <w:p w14:paraId="1238486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警示桩、道口桩</w:t>
            </w:r>
          </w:p>
        </w:tc>
        <w:tc>
          <w:tcPr>
            <w:tcW w:w="700" w:type="dxa"/>
            <w:tcBorders>
              <w:top w:val="nil"/>
              <w:left w:val="nil"/>
              <w:bottom w:val="single" w:color="auto" w:sz="4" w:space="0"/>
              <w:right w:val="single" w:color="auto" w:sz="4" w:space="0"/>
            </w:tcBorders>
            <w:vAlign w:val="center"/>
          </w:tcPr>
          <w:p w14:paraId="61A2FCF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根</w:t>
            </w:r>
          </w:p>
        </w:tc>
        <w:tc>
          <w:tcPr>
            <w:tcW w:w="1131" w:type="dxa"/>
            <w:tcBorders>
              <w:top w:val="nil"/>
              <w:left w:val="nil"/>
              <w:bottom w:val="single" w:color="auto" w:sz="4" w:space="0"/>
              <w:right w:val="single" w:color="auto" w:sz="4" w:space="0"/>
            </w:tcBorders>
            <w:vAlign w:val="center"/>
          </w:tcPr>
          <w:p w14:paraId="08FFDD14">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4AEE50A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c>
          <w:tcPr>
            <w:tcW w:w="1417" w:type="dxa"/>
            <w:tcBorders>
              <w:top w:val="nil"/>
              <w:left w:val="nil"/>
              <w:bottom w:val="single" w:color="auto" w:sz="4" w:space="0"/>
              <w:right w:val="single" w:color="auto" w:sz="4" w:space="0"/>
            </w:tcBorders>
            <w:vAlign w:val="center"/>
          </w:tcPr>
          <w:p w14:paraId="11595349">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3A00C0C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E078CF3">
        <w:tblPrEx>
          <w:tblCellMar>
            <w:top w:w="0" w:type="dxa"/>
            <w:left w:w="108" w:type="dxa"/>
            <w:bottom w:w="0" w:type="dxa"/>
            <w:right w:w="108" w:type="dxa"/>
          </w:tblCellMar>
        </w:tblPrEx>
        <w:trPr>
          <w:trHeight w:val="570" w:hRule="atLeast"/>
          <w:jc w:val="center"/>
        </w:trPr>
        <w:tc>
          <w:tcPr>
            <w:tcW w:w="621" w:type="dxa"/>
            <w:tcBorders>
              <w:top w:val="nil"/>
              <w:left w:val="single" w:color="auto" w:sz="4" w:space="0"/>
              <w:bottom w:val="single" w:color="auto" w:sz="4" w:space="0"/>
              <w:right w:val="single" w:color="auto" w:sz="4" w:space="0"/>
            </w:tcBorders>
            <w:vAlign w:val="center"/>
          </w:tcPr>
          <w:p w14:paraId="5746EED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40</w:t>
            </w:r>
          </w:p>
        </w:tc>
        <w:tc>
          <w:tcPr>
            <w:tcW w:w="2740" w:type="dxa"/>
            <w:tcBorders>
              <w:top w:val="nil"/>
              <w:left w:val="nil"/>
              <w:bottom w:val="single" w:color="auto" w:sz="4" w:space="0"/>
              <w:right w:val="single" w:color="auto" w:sz="4" w:space="0"/>
            </w:tcBorders>
            <w:vAlign w:val="center"/>
          </w:tcPr>
          <w:p w14:paraId="61D7E21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警示桩、道口桩喷反光油漆（或贴反光膜）</w:t>
            </w:r>
          </w:p>
        </w:tc>
        <w:tc>
          <w:tcPr>
            <w:tcW w:w="700" w:type="dxa"/>
            <w:tcBorders>
              <w:top w:val="nil"/>
              <w:left w:val="nil"/>
              <w:bottom w:val="single" w:color="auto" w:sz="4" w:space="0"/>
              <w:right w:val="single" w:color="auto" w:sz="4" w:space="0"/>
            </w:tcBorders>
            <w:vAlign w:val="center"/>
          </w:tcPr>
          <w:p w14:paraId="49CDDC2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根</w:t>
            </w:r>
          </w:p>
        </w:tc>
        <w:tc>
          <w:tcPr>
            <w:tcW w:w="1131" w:type="dxa"/>
            <w:tcBorders>
              <w:top w:val="nil"/>
              <w:left w:val="nil"/>
              <w:bottom w:val="single" w:color="auto" w:sz="4" w:space="0"/>
              <w:right w:val="single" w:color="auto" w:sz="4" w:space="0"/>
            </w:tcBorders>
            <w:vAlign w:val="center"/>
          </w:tcPr>
          <w:p w14:paraId="15B43D11">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27860CD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c>
          <w:tcPr>
            <w:tcW w:w="1417" w:type="dxa"/>
            <w:tcBorders>
              <w:top w:val="nil"/>
              <w:left w:val="nil"/>
              <w:bottom w:val="single" w:color="auto" w:sz="4" w:space="0"/>
              <w:right w:val="single" w:color="auto" w:sz="4" w:space="0"/>
            </w:tcBorders>
            <w:vAlign w:val="center"/>
          </w:tcPr>
          <w:p w14:paraId="09D8B083">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53CE04D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21E7A04">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6217E9F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41</w:t>
            </w:r>
          </w:p>
        </w:tc>
        <w:tc>
          <w:tcPr>
            <w:tcW w:w="2740" w:type="dxa"/>
            <w:tcBorders>
              <w:top w:val="nil"/>
              <w:left w:val="nil"/>
              <w:bottom w:val="single" w:color="auto" w:sz="4" w:space="0"/>
              <w:right w:val="single" w:color="auto" w:sz="4" w:space="0"/>
            </w:tcBorders>
            <w:vAlign w:val="center"/>
          </w:tcPr>
          <w:p w14:paraId="4B780FC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减速标线</w:t>
            </w:r>
          </w:p>
        </w:tc>
        <w:tc>
          <w:tcPr>
            <w:tcW w:w="700" w:type="dxa"/>
            <w:tcBorders>
              <w:top w:val="nil"/>
              <w:left w:val="nil"/>
              <w:bottom w:val="single" w:color="auto" w:sz="4" w:space="0"/>
              <w:right w:val="single" w:color="auto" w:sz="4" w:space="0"/>
            </w:tcBorders>
            <w:vAlign w:val="center"/>
          </w:tcPr>
          <w:p w14:paraId="0BABF09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31" w:type="dxa"/>
            <w:tcBorders>
              <w:top w:val="nil"/>
              <w:left w:val="nil"/>
              <w:bottom w:val="single" w:color="auto" w:sz="4" w:space="0"/>
              <w:right w:val="single" w:color="auto" w:sz="4" w:space="0"/>
            </w:tcBorders>
            <w:vAlign w:val="center"/>
          </w:tcPr>
          <w:p w14:paraId="3BF0F3F4">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17F2527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700</w:t>
            </w:r>
          </w:p>
        </w:tc>
        <w:tc>
          <w:tcPr>
            <w:tcW w:w="1417" w:type="dxa"/>
            <w:tcBorders>
              <w:top w:val="nil"/>
              <w:left w:val="nil"/>
              <w:bottom w:val="single" w:color="auto" w:sz="4" w:space="0"/>
              <w:right w:val="single" w:color="auto" w:sz="4" w:space="0"/>
            </w:tcBorders>
            <w:vAlign w:val="center"/>
          </w:tcPr>
          <w:p w14:paraId="42F2F7D8">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0197759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厚度0.6cm</w:t>
            </w:r>
          </w:p>
        </w:tc>
      </w:tr>
      <w:tr w14:paraId="7D7719B8">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364DBC8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42</w:t>
            </w:r>
          </w:p>
        </w:tc>
        <w:tc>
          <w:tcPr>
            <w:tcW w:w="2740" w:type="dxa"/>
            <w:tcBorders>
              <w:top w:val="nil"/>
              <w:left w:val="nil"/>
              <w:bottom w:val="single" w:color="auto" w:sz="4" w:space="0"/>
              <w:right w:val="single" w:color="auto" w:sz="4" w:space="0"/>
            </w:tcBorders>
            <w:vAlign w:val="center"/>
          </w:tcPr>
          <w:p w14:paraId="152F18B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热熔标线</w:t>
            </w:r>
          </w:p>
        </w:tc>
        <w:tc>
          <w:tcPr>
            <w:tcW w:w="700" w:type="dxa"/>
            <w:tcBorders>
              <w:top w:val="nil"/>
              <w:left w:val="nil"/>
              <w:bottom w:val="single" w:color="auto" w:sz="4" w:space="0"/>
              <w:right w:val="single" w:color="auto" w:sz="4" w:space="0"/>
            </w:tcBorders>
            <w:vAlign w:val="center"/>
          </w:tcPr>
          <w:p w14:paraId="07E6431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31" w:type="dxa"/>
            <w:tcBorders>
              <w:top w:val="nil"/>
              <w:left w:val="nil"/>
              <w:bottom w:val="single" w:color="auto" w:sz="4" w:space="0"/>
              <w:right w:val="single" w:color="auto" w:sz="4" w:space="0"/>
            </w:tcBorders>
            <w:vAlign w:val="center"/>
          </w:tcPr>
          <w:p w14:paraId="6A0B93AC">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08DEEA4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c>
          <w:tcPr>
            <w:tcW w:w="1417" w:type="dxa"/>
            <w:tcBorders>
              <w:top w:val="nil"/>
              <w:left w:val="nil"/>
              <w:bottom w:val="single" w:color="auto" w:sz="4" w:space="0"/>
              <w:right w:val="single" w:color="auto" w:sz="4" w:space="0"/>
            </w:tcBorders>
            <w:vAlign w:val="center"/>
          </w:tcPr>
          <w:p w14:paraId="712C7CA8">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67020F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厚度0.2cm</w:t>
            </w:r>
          </w:p>
        </w:tc>
      </w:tr>
      <w:tr w14:paraId="322A151E">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5F5D05C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43</w:t>
            </w:r>
          </w:p>
        </w:tc>
        <w:tc>
          <w:tcPr>
            <w:tcW w:w="2740" w:type="dxa"/>
            <w:tcBorders>
              <w:top w:val="nil"/>
              <w:left w:val="nil"/>
              <w:bottom w:val="single" w:color="auto" w:sz="4" w:space="0"/>
              <w:right w:val="single" w:color="auto" w:sz="4" w:space="0"/>
            </w:tcBorders>
            <w:vAlign w:val="center"/>
          </w:tcPr>
          <w:p w14:paraId="7A9FC65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震荡标线</w:t>
            </w:r>
          </w:p>
        </w:tc>
        <w:tc>
          <w:tcPr>
            <w:tcW w:w="700" w:type="dxa"/>
            <w:tcBorders>
              <w:top w:val="nil"/>
              <w:left w:val="nil"/>
              <w:bottom w:val="single" w:color="auto" w:sz="4" w:space="0"/>
              <w:right w:val="single" w:color="auto" w:sz="4" w:space="0"/>
            </w:tcBorders>
            <w:vAlign w:val="center"/>
          </w:tcPr>
          <w:p w14:paraId="518F8DA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2</w:t>
            </w:r>
          </w:p>
        </w:tc>
        <w:tc>
          <w:tcPr>
            <w:tcW w:w="1131" w:type="dxa"/>
            <w:tcBorders>
              <w:top w:val="nil"/>
              <w:left w:val="nil"/>
              <w:bottom w:val="single" w:color="auto" w:sz="4" w:space="0"/>
              <w:right w:val="single" w:color="auto" w:sz="4" w:space="0"/>
            </w:tcBorders>
            <w:vAlign w:val="center"/>
          </w:tcPr>
          <w:p w14:paraId="66BF8E58">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5B5D1D4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c>
          <w:tcPr>
            <w:tcW w:w="1417" w:type="dxa"/>
            <w:tcBorders>
              <w:top w:val="nil"/>
              <w:left w:val="nil"/>
              <w:bottom w:val="single" w:color="auto" w:sz="4" w:space="0"/>
              <w:right w:val="single" w:color="auto" w:sz="4" w:space="0"/>
            </w:tcBorders>
            <w:vAlign w:val="center"/>
          </w:tcPr>
          <w:p w14:paraId="616383A0">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18BD8E2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B8BE4F2">
        <w:tblPrEx>
          <w:tblCellMar>
            <w:top w:w="0" w:type="dxa"/>
            <w:left w:w="108" w:type="dxa"/>
            <w:bottom w:w="0" w:type="dxa"/>
            <w:right w:w="108" w:type="dxa"/>
          </w:tblCellMar>
        </w:tblPrEx>
        <w:trPr>
          <w:trHeight w:val="570" w:hRule="atLeast"/>
          <w:jc w:val="center"/>
        </w:trPr>
        <w:tc>
          <w:tcPr>
            <w:tcW w:w="621" w:type="dxa"/>
            <w:tcBorders>
              <w:top w:val="nil"/>
              <w:left w:val="single" w:color="auto" w:sz="4" w:space="0"/>
              <w:bottom w:val="single" w:color="auto" w:sz="4" w:space="0"/>
              <w:right w:val="single" w:color="auto" w:sz="4" w:space="0"/>
            </w:tcBorders>
            <w:vAlign w:val="center"/>
          </w:tcPr>
          <w:p w14:paraId="063864D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44</w:t>
            </w:r>
          </w:p>
        </w:tc>
        <w:tc>
          <w:tcPr>
            <w:tcW w:w="2740" w:type="dxa"/>
            <w:tcBorders>
              <w:top w:val="nil"/>
              <w:left w:val="nil"/>
              <w:bottom w:val="single" w:color="auto" w:sz="4" w:space="0"/>
              <w:right w:val="single" w:color="auto" w:sz="4" w:space="0"/>
            </w:tcBorders>
            <w:vAlign w:val="center"/>
          </w:tcPr>
          <w:p w14:paraId="1740DE4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立养护公示牌</w:t>
            </w:r>
          </w:p>
        </w:tc>
        <w:tc>
          <w:tcPr>
            <w:tcW w:w="700" w:type="dxa"/>
            <w:tcBorders>
              <w:top w:val="nil"/>
              <w:left w:val="nil"/>
              <w:bottom w:val="single" w:color="auto" w:sz="4" w:space="0"/>
              <w:right w:val="single" w:color="auto" w:sz="4" w:space="0"/>
            </w:tcBorders>
            <w:vAlign w:val="center"/>
          </w:tcPr>
          <w:p w14:paraId="716521D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1131" w:type="dxa"/>
            <w:tcBorders>
              <w:top w:val="nil"/>
              <w:left w:val="nil"/>
              <w:bottom w:val="single" w:color="auto" w:sz="4" w:space="0"/>
              <w:right w:val="single" w:color="auto" w:sz="4" w:space="0"/>
            </w:tcBorders>
            <w:vAlign w:val="center"/>
          </w:tcPr>
          <w:p w14:paraId="1A9DD439">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1E502E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524</w:t>
            </w:r>
          </w:p>
        </w:tc>
        <w:tc>
          <w:tcPr>
            <w:tcW w:w="1417" w:type="dxa"/>
            <w:tcBorders>
              <w:top w:val="nil"/>
              <w:left w:val="nil"/>
              <w:bottom w:val="single" w:color="auto" w:sz="4" w:space="0"/>
              <w:right w:val="single" w:color="auto" w:sz="4" w:space="0"/>
            </w:tcBorders>
            <w:vAlign w:val="center"/>
          </w:tcPr>
          <w:p w14:paraId="7BC28D2D">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3727C9A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含养护牌内容、立柱、基础等</w:t>
            </w:r>
          </w:p>
        </w:tc>
      </w:tr>
      <w:tr w14:paraId="2306C768">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0F28896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45</w:t>
            </w:r>
          </w:p>
        </w:tc>
        <w:tc>
          <w:tcPr>
            <w:tcW w:w="2740" w:type="dxa"/>
            <w:tcBorders>
              <w:top w:val="nil"/>
              <w:left w:val="nil"/>
              <w:bottom w:val="nil"/>
              <w:right w:val="nil"/>
            </w:tcBorders>
            <w:vAlign w:val="center"/>
          </w:tcPr>
          <w:p w14:paraId="6B120038">
            <w:pPr>
              <w:widowControl/>
              <w:rPr>
                <w:rFonts w:ascii="宋体" w:hAnsi="宋体" w:cs="宋体"/>
                <w:color w:val="auto"/>
                <w:kern w:val="0"/>
                <w:sz w:val="24"/>
                <w:highlight w:val="none"/>
              </w:rPr>
            </w:pPr>
            <w:r>
              <w:rPr>
                <w:rFonts w:hint="eastAsia" w:ascii="宋体" w:hAnsi="宋体" w:cs="宋体"/>
                <w:color w:val="auto"/>
                <w:kern w:val="0"/>
                <w:sz w:val="24"/>
                <w:highlight w:val="none"/>
              </w:rPr>
              <w:t>立桥梁公示牌</w:t>
            </w:r>
          </w:p>
        </w:tc>
        <w:tc>
          <w:tcPr>
            <w:tcW w:w="700" w:type="dxa"/>
            <w:tcBorders>
              <w:top w:val="nil"/>
              <w:left w:val="single" w:color="auto" w:sz="4" w:space="0"/>
              <w:bottom w:val="single" w:color="auto" w:sz="4" w:space="0"/>
              <w:right w:val="single" w:color="auto" w:sz="4" w:space="0"/>
            </w:tcBorders>
            <w:vAlign w:val="center"/>
          </w:tcPr>
          <w:p w14:paraId="4F53045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1131" w:type="dxa"/>
            <w:tcBorders>
              <w:top w:val="nil"/>
              <w:left w:val="nil"/>
              <w:bottom w:val="single" w:color="auto" w:sz="4" w:space="0"/>
              <w:right w:val="single" w:color="auto" w:sz="4" w:space="0"/>
            </w:tcBorders>
            <w:vAlign w:val="center"/>
          </w:tcPr>
          <w:p w14:paraId="2D23E886">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0708F1D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1417" w:type="dxa"/>
            <w:tcBorders>
              <w:top w:val="nil"/>
              <w:left w:val="nil"/>
              <w:bottom w:val="single" w:color="auto" w:sz="4" w:space="0"/>
              <w:right w:val="single" w:color="auto" w:sz="4" w:space="0"/>
            </w:tcBorders>
            <w:vAlign w:val="center"/>
          </w:tcPr>
          <w:p w14:paraId="1CEFFD7A">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77BA721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含内容、立柱、基础等</w:t>
            </w:r>
          </w:p>
        </w:tc>
      </w:tr>
      <w:tr w14:paraId="58B3756C">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5F25AD9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46</w:t>
            </w:r>
          </w:p>
        </w:tc>
        <w:tc>
          <w:tcPr>
            <w:tcW w:w="2740" w:type="dxa"/>
            <w:tcBorders>
              <w:top w:val="single" w:color="auto" w:sz="4" w:space="0"/>
              <w:left w:val="nil"/>
              <w:bottom w:val="single" w:color="auto" w:sz="4" w:space="0"/>
              <w:right w:val="single" w:color="auto" w:sz="4" w:space="0"/>
            </w:tcBorders>
            <w:vAlign w:val="center"/>
          </w:tcPr>
          <w:p w14:paraId="6AD094C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更换养护公示牌内容</w:t>
            </w:r>
          </w:p>
        </w:tc>
        <w:tc>
          <w:tcPr>
            <w:tcW w:w="700" w:type="dxa"/>
            <w:tcBorders>
              <w:top w:val="nil"/>
              <w:left w:val="nil"/>
              <w:bottom w:val="single" w:color="auto" w:sz="4" w:space="0"/>
              <w:right w:val="single" w:color="auto" w:sz="4" w:space="0"/>
            </w:tcBorders>
            <w:vAlign w:val="center"/>
          </w:tcPr>
          <w:p w14:paraId="2515F5A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1131" w:type="dxa"/>
            <w:tcBorders>
              <w:top w:val="nil"/>
              <w:left w:val="nil"/>
              <w:bottom w:val="single" w:color="auto" w:sz="4" w:space="0"/>
              <w:right w:val="single" w:color="auto" w:sz="4" w:space="0"/>
            </w:tcBorders>
            <w:vAlign w:val="center"/>
          </w:tcPr>
          <w:p w14:paraId="39617771">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728AE2C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1648</w:t>
            </w:r>
          </w:p>
        </w:tc>
        <w:tc>
          <w:tcPr>
            <w:tcW w:w="1417" w:type="dxa"/>
            <w:tcBorders>
              <w:top w:val="nil"/>
              <w:left w:val="nil"/>
              <w:bottom w:val="single" w:color="auto" w:sz="4" w:space="0"/>
              <w:right w:val="single" w:color="auto" w:sz="4" w:space="0"/>
            </w:tcBorders>
            <w:vAlign w:val="center"/>
          </w:tcPr>
          <w:p w14:paraId="79F76DD0">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677BC9B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34C8A9B">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245105A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47</w:t>
            </w:r>
          </w:p>
        </w:tc>
        <w:tc>
          <w:tcPr>
            <w:tcW w:w="2740" w:type="dxa"/>
            <w:tcBorders>
              <w:top w:val="nil"/>
              <w:left w:val="nil"/>
              <w:bottom w:val="single" w:color="auto" w:sz="4" w:space="0"/>
              <w:right w:val="single" w:color="auto" w:sz="4" w:space="0"/>
            </w:tcBorders>
            <w:vAlign w:val="center"/>
          </w:tcPr>
          <w:p w14:paraId="2CF8A30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钢管栏杆</w:t>
            </w:r>
          </w:p>
        </w:tc>
        <w:tc>
          <w:tcPr>
            <w:tcW w:w="700" w:type="dxa"/>
            <w:tcBorders>
              <w:top w:val="nil"/>
              <w:left w:val="nil"/>
              <w:bottom w:val="single" w:color="auto" w:sz="4" w:space="0"/>
              <w:right w:val="single" w:color="auto" w:sz="4" w:space="0"/>
            </w:tcBorders>
            <w:vAlign w:val="center"/>
          </w:tcPr>
          <w:p w14:paraId="51187E3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p>
        </w:tc>
        <w:tc>
          <w:tcPr>
            <w:tcW w:w="1131" w:type="dxa"/>
            <w:tcBorders>
              <w:top w:val="nil"/>
              <w:left w:val="nil"/>
              <w:bottom w:val="single" w:color="auto" w:sz="4" w:space="0"/>
              <w:right w:val="single" w:color="auto" w:sz="4" w:space="0"/>
            </w:tcBorders>
            <w:vAlign w:val="center"/>
          </w:tcPr>
          <w:p w14:paraId="26AB3DE9">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3A094AA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c>
          <w:tcPr>
            <w:tcW w:w="1417" w:type="dxa"/>
            <w:tcBorders>
              <w:top w:val="nil"/>
              <w:left w:val="nil"/>
              <w:bottom w:val="single" w:color="auto" w:sz="4" w:space="0"/>
              <w:right w:val="single" w:color="auto" w:sz="4" w:space="0"/>
            </w:tcBorders>
            <w:vAlign w:val="center"/>
          </w:tcPr>
          <w:p w14:paraId="3F98A16B">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1A36381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高1.1m</w:t>
            </w:r>
          </w:p>
        </w:tc>
      </w:tr>
      <w:tr w14:paraId="59ADA1D7">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1531536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48</w:t>
            </w:r>
          </w:p>
        </w:tc>
        <w:tc>
          <w:tcPr>
            <w:tcW w:w="2740" w:type="dxa"/>
            <w:tcBorders>
              <w:top w:val="nil"/>
              <w:left w:val="nil"/>
              <w:bottom w:val="single" w:color="auto" w:sz="4" w:space="0"/>
              <w:right w:val="single" w:color="auto" w:sz="4" w:space="0"/>
            </w:tcBorders>
            <w:vAlign w:val="center"/>
          </w:tcPr>
          <w:p w14:paraId="775968A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钢筋混凝土防撞栏杆</w:t>
            </w:r>
          </w:p>
        </w:tc>
        <w:tc>
          <w:tcPr>
            <w:tcW w:w="700" w:type="dxa"/>
            <w:tcBorders>
              <w:top w:val="nil"/>
              <w:left w:val="nil"/>
              <w:bottom w:val="single" w:color="auto" w:sz="4" w:space="0"/>
              <w:right w:val="single" w:color="auto" w:sz="4" w:space="0"/>
            </w:tcBorders>
            <w:vAlign w:val="center"/>
          </w:tcPr>
          <w:p w14:paraId="01607E4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3</w:t>
            </w:r>
          </w:p>
        </w:tc>
        <w:tc>
          <w:tcPr>
            <w:tcW w:w="1131" w:type="dxa"/>
            <w:tcBorders>
              <w:top w:val="nil"/>
              <w:left w:val="nil"/>
              <w:bottom w:val="single" w:color="auto" w:sz="4" w:space="0"/>
              <w:right w:val="single" w:color="auto" w:sz="4" w:space="0"/>
            </w:tcBorders>
            <w:vAlign w:val="center"/>
          </w:tcPr>
          <w:p w14:paraId="072F7098">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02899A2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1417" w:type="dxa"/>
            <w:tcBorders>
              <w:top w:val="nil"/>
              <w:left w:val="nil"/>
              <w:bottom w:val="single" w:color="auto" w:sz="4" w:space="0"/>
              <w:right w:val="single" w:color="auto" w:sz="4" w:space="0"/>
            </w:tcBorders>
            <w:vAlign w:val="center"/>
          </w:tcPr>
          <w:p w14:paraId="0FD3BA99">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46A704F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0B5FF91">
        <w:tblPrEx>
          <w:tblCellMar>
            <w:top w:w="0" w:type="dxa"/>
            <w:left w:w="108" w:type="dxa"/>
            <w:bottom w:w="0" w:type="dxa"/>
            <w:right w:w="108" w:type="dxa"/>
          </w:tblCellMar>
        </w:tblPrEx>
        <w:trPr>
          <w:trHeight w:val="855" w:hRule="atLeast"/>
          <w:jc w:val="center"/>
        </w:trPr>
        <w:tc>
          <w:tcPr>
            <w:tcW w:w="621" w:type="dxa"/>
            <w:tcBorders>
              <w:top w:val="nil"/>
              <w:left w:val="single" w:color="auto" w:sz="4" w:space="0"/>
              <w:bottom w:val="single" w:color="auto" w:sz="4" w:space="0"/>
              <w:right w:val="single" w:color="auto" w:sz="4" w:space="0"/>
            </w:tcBorders>
            <w:vAlign w:val="center"/>
          </w:tcPr>
          <w:p w14:paraId="585AF3B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49</w:t>
            </w:r>
          </w:p>
        </w:tc>
        <w:tc>
          <w:tcPr>
            <w:tcW w:w="2740" w:type="dxa"/>
            <w:tcBorders>
              <w:top w:val="nil"/>
              <w:left w:val="nil"/>
              <w:bottom w:val="single" w:color="auto" w:sz="4" w:space="0"/>
              <w:right w:val="single" w:color="auto" w:sz="4" w:space="0"/>
            </w:tcBorders>
            <w:vAlign w:val="center"/>
          </w:tcPr>
          <w:p w14:paraId="072A8E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危桥封限墩</w:t>
            </w:r>
          </w:p>
        </w:tc>
        <w:tc>
          <w:tcPr>
            <w:tcW w:w="700" w:type="dxa"/>
            <w:tcBorders>
              <w:top w:val="nil"/>
              <w:left w:val="nil"/>
              <w:bottom w:val="single" w:color="auto" w:sz="4" w:space="0"/>
              <w:right w:val="single" w:color="auto" w:sz="4" w:space="0"/>
            </w:tcBorders>
            <w:vAlign w:val="center"/>
          </w:tcPr>
          <w:p w14:paraId="658767E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根</w:t>
            </w:r>
          </w:p>
        </w:tc>
        <w:tc>
          <w:tcPr>
            <w:tcW w:w="1131" w:type="dxa"/>
            <w:tcBorders>
              <w:top w:val="nil"/>
              <w:left w:val="nil"/>
              <w:bottom w:val="single" w:color="auto" w:sz="4" w:space="0"/>
              <w:right w:val="single" w:color="auto" w:sz="4" w:space="0"/>
            </w:tcBorders>
            <w:vAlign w:val="center"/>
          </w:tcPr>
          <w:p w14:paraId="6B39A76E">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035FA4A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c>
          <w:tcPr>
            <w:tcW w:w="1417" w:type="dxa"/>
            <w:tcBorders>
              <w:top w:val="nil"/>
              <w:left w:val="nil"/>
              <w:bottom w:val="single" w:color="auto" w:sz="4" w:space="0"/>
              <w:right w:val="single" w:color="auto" w:sz="4" w:space="0"/>
            </w:tcBorders>
            <w:vAlign w:val="center"/>
          </w:tcPr>
          <w:p w14:paraId="51DA74E1">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4371A6B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（30cm直径钢管1.6米长，4根Φ14钢筋1.6米长，Φ8@200，钢管中间灌混凝土）</w:t>
            </w:r>
          </w:p>
        </w:tc>
      </w:tr>
      <w:tr w14:paraId="04BF3705">
        <w:tblPrEx>
          <w:tblCellMar>
            <w:top w:w="0" w:type="dxa"/>
            <w:left w:w="108" w:type="dxa"/>
            <w:bottom w:w="0" w:type="dxa"/>
            <w:right w:w="108" w:type="dxa"/>
          </w:tblCellMar>
        </w:tblPrEx>
        <w:trPr>
          <w:trHeight w:val="330" w:hRule="atLeast"/>
          <w:jc w:val="center"/>
        </w:trPr>
        <w:tc>
          <w:tcPr>
            <w:tcW w:w="621" w:type="dxa"/>
            <w:tcBorders>
              <w:top w:val="nil"/>
              <w:left w:val="single" w:color="auto" w:sz="4" w:space="0"/>
              <w:bottom w:val="single" w:color="auto" w:sz="4" w:space="0"/>
              <w:right w:val="single" w:color="auto" w:sz="4" w:space="0"/>
            </w:tcBorders>
            <w:vAlign w:val="center"/>
          </w:tcPr>
          <w:p w14:paraId="478301C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c>
          <w:tcPr>
            <w:tcW w:w="2740" w:type="dxa"/>
            <w:tcBorders>
              <w:top w:val="nil"/>
              <w:left w:val="nil"/>
              <w:bottom w:val="single" w:color="auto" w:sz="4" w:space="0"/>
              <w:right w:val="single" w:color="auto" w:sz="4" w:space="0"/>
            </w:tcBorders>
            <w:vAlign w:val="center"/>
          </w:tcPr>
          <w:p w14:paraId="0B25CCA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更换标志牌内容</w:t>
            </w:r>
          </w:p>
        </w:tc>
        <w:tc>
          <w:tcPr>
            <w:tcW w:w="700" w:type="dxa"/>
            <w:tcBorders>
              <w:top w:val="nil"/>
              <w:left w:val="nil"/>
              <w:bottom w:val="single" w:color="auto" w:sz="4" w:space="0"/>
              <w:right w:val="single" w:color="auto" w:sz="4" w:space="0"/>
            </w:tcBorders>
            <w:vAlign w:val="center"/>
          </w:tcPr>
          <w:p w14:paraId="40451E8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1131" w:type="dxa"/>
            <w:tcBorders>
              <w:top w:val="nil"/>
              <w:left w:val="nil"/>
              <w:bottom w:val="single" w:color="auto" w:sz="4" w:space="0"/>
              <w:right w:val="single" w:color="auto" w:sz="4" w:space="0"/>
            </w:tcBorders>
            <w:vAlign w:val="center"/>
          </w:tcPr>
          <w:p w14:paraId="7E5BD59E">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4ABCFC2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60</w:t>
            </w:r>
          </w:p>
        </w:tc>
        <w:tc>
          <w:tcPr>
            <w:tcW w:w="1417" w:type="dxa"/>
            <w:tcBorders>
              <w:top w:val="nil"/>
              <w:left w:val="nil"/>
              <w:bottom w:val="single" w:color="auto" w:sz="4" w:space="0"/>
              <w:right w:val="single" w:color="auto" w:sz="4" w:space="0"/>
            </w:tcBorders>
            <w:vAlign w:val="center"/>
          </w:tcPr>
          <w:p w14:paraId="5F3B0C19">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6591CF9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反光</w:t>
            </w:r>
          </w:p>
        </w:tc>
      </w:tr>
      <w:tr w14:paraId="5282095E">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31A77B2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51</w:t>
            </w:r>
          </w:p>
        </w:tc>
        <w:tc>
          <w:tcPr>
            <w:tcW w:w="2740" w:type="dxa"/>
            <w:tcBorders>
              <w:top w:val="nil"/>
              <w:left w:val="nil"/>
              <w:bottom w:val="single" w:color="auto" w:sz="4" w:space="0"/>
              <w:right w:val="single" w:color="auto" w:sz="4" w:space="0"/>
            </w:tcBorders>
            <w:vAlign w:val="center"/>
          </w:tcPr>
          <w:p w14:paraId="424520B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轮廓标</w:t>
            </w:r>
          </w:p>
        </w:tc>
        <w:tc>
          <w:tcPr>
            <w:tcW w:w="700" w:type="dxa"/>
            <w:tcBorders>
              <w:top w:val="nil"/>
              <w:left w:val="nil"/>
              <w:bottom w:val="single" w:color="auto" w:sz="4" w:space="0"/>
              <w:right w:val="single" w:color="auto" w:sz="4" w:space="0"/>
            </w:tcBorders>
            <w:vAlign w:val="center"/>
          </w:tcPr>
          <w:p w14:paraId="00FE784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根</w:t>
            </w:r>
          </w:p>
        </w:tc>
        <w:tc>
          <w:tcPr>
            <w:tcW w:w="1131" w:type="dxa"/>
            <w:tcBorders>
              <w:top w:val="nil"/>
              <w:left w:val="nil"/>
              <w:bottom w:val="single" w:color="auto" w:sz="4" w:space="0"/>
              <w:right w:val="single" w:color="auto" w:sz="4" w:space="0"/>
            </w:tcBorders>
            <w:vAlign w:val="center"/>
          </w:tcPr>
          <w:p w14:paraId="302624D5">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008ECC0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c>
          <w:tcPr>
            <w:tcW w:w="1417" w:type="dxa"/>
            <w:tcBorders>
              <w:top w:val="nil"/>
              <w:left w:val="nil"/>
              <w:bottom w:val="single" w:color="auto" w:sz="4" w:space="0"/>
              <w:right w:val="single" w:color="auto" w:sz="4" w:space="0"/>
            </w:tcBorders>
            <w:vAlign w:val="center"/>
          </w:tcPr>
          <w:p w14:paraId="679ACFC6">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3CC530D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反光</w:t>
            </w:r>
          </w:p>
        </w:tc>
      </w:tr>
      <w:tr w14:paraId="10203121">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45B5128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52</w:t>
            </w:r>
          </w:p>
        </w:tc>
        <w:tc>
          <w:tcPr>
            <w:tcW w:w="2740" w:type="dxa"/>
            <w:tcBorders>
              <w:top w:val="nil"/>
              <w:left w:val="nil"/>
              <w:bottom w:val="single" w:color="000000" w:sz="4" w:space="0"/>
              <w:right w:val="single" w:color="000000" w:sz="4" w:space="0"/>
            </w:tcBorders>
            <w:vAlign w:val="center"/>
          </w:tcPr>
          <w:p w14:paraId="28EDFCC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修剪乔木</w:t>
            </w:r>
          </w:p>
        </w:tc>
        <w:tc>
          <w:tcPr>
            <w:tcW w:w="700" w:type="dxa"/>
            <w:tcBorders>
              <w:top w:val="nil"/>
              <w:left w:val="nil"/>
              <w:bottom w:val="single" w:color="000000" w:sz="4" w:space="0"/>
              <w:right w:val="single" w:color="000000" w:sz="4" w:space="0"/>
            </w:tcBorders>
            <w:vAlign w:val="center"/>
          </w:tcPr>
          <w:p w14:paraId="1231CDF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株</w:t>
            </w:r>
          </w:p>
        </w:tc>
        <w:tc>
          <w:tcPr>
            <w:tcW w:w="1131" w:type="dxa"/>
            <w:tcBorders>
              <w:top w:val="nil"/>
              <w:left w:val="nil"/>
              <w:bottom w:val="single" w:color="auto" w:sz="4" w:space="0"/>
              <w:right w:val="single" w:color="auto" w:sz="4" w:space="0"/>
            </w:tcBorders>
            <w:vAlign w:val="center"/>
          </w:tcPr>
          <w:p w14:paraId="50875D2B">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5584E1E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w:t>
            </w:r>
          </w:p>
        </w:tc>
        <w:tc>
          <w:tcPr>
            <w:tcW w:w="1417" w:type="dxa"/>
            <w:tcBorders>
              <w:top w:val="nil"/>
              <w:left w:val="nil"/>
              <w:bottom w:val="single" w:color="auto" w:sz="4" w:space="0"/>
              <w:right w:val="single" w:color="auto" w:sz="4" w:space="0"/>
            </w:tcBorders>
            <w:vAlign w:val="center"/>
          </w:tcPr>
          <w:p w14:paraId="2A9BDB3E">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5B53E59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654BF6A">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01BC128E">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53</w:t>
            </w:r>
          </w:p>
        </w:tc>
        <w:tc>
          <w:tcPr>
            <w:tcW w:w="2740" w:type="dxa"/>
            <w:tcBorders>
              <w:top w:val="nil"/>
              <w:left w:val="nil"/>
              <w:bottom w:val="single" w:color="000000" w:sz="4" w:space="0"/>
              <w:right w:val="single" w:color="000000" w:sz="4" w:space="0"/>
            </w:tcBorders>
            <w:vAlign w:val="center"/>
          </w:tcPr>
          <w:p w14:paraId="602651FA">
            <w:pPr>
              <w:widowControl/>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路树刷白</w:t>
            </w:r>
          </w:p>
        </w:tc>
        <w:tc>
          <w:tcPr>
            <w:tcW w:w="700" w:type="dxa"/>
            <w:tcBorders>
              <w:top w:val="nil"/>
              <w:left w:val="nil"/>
              <w:bottom w:val="single" w:color="000000" w:sz="4" w:space="0"/>
              <w:right w:val="single" w:color="000000" w:sz="4" w:space="0"/>
            </w:tcBorders>
            <w:vAlign w:val="center"/>
          </w:tcPr>
          <w:p w14:paraId="27529C74">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株</w:t>
            </w:r>
          </w:p>
        </w:tc>
        <w:tc>
          <w:tcPr>
            <w:tcW w:w="1131" w:type="dxa"/>
            <w:tcBorders>
              <w:top w:val="nil"/>
              <w:left w:val="nil"/>
              <w:bottom w:val="single" w:color="auto" w:sz="4" w:space="0"/>
              <w:right w:val="single" w:color="auto" w:sz="4" w:space="0"/>
            </w:tcBorders>
            <w:vAlign w:val="center"/>
          </w:tcPr>
          <w:p w14:paraId="5F3FBCD2">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6C66FE56">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500</w:t>
            </w:r>
          </w:p>
        </w:tc>
        <w:tc>
          <w:tcPr>
            <w:tcW w:w="1417" w:type="dxa"/>
            <w:tcBorders>
              <w:top w:val="nil"/>
              <w:left w:val="nil"/>
              <w:bottom w:val="single" w:color="auto" w:sz="4" w:space="0"/>
              <w:right w:val="single" w:color="auto" w:sz="4" w:space="0"/>
            </w:tcBorders>
            <w:vAlign w:val="center"/>
          </w:tcPr>
          <w:p w14:paraId="13417DFC">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55E06CA0">
            <w:pPr>
              <w:widowControl/>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高度</w:t>
            </w:r>
            <w:r>
              <w:rPr>
                <w:rFonts w:hint="eastAsia" w:ascii="宋体" w:hAnsi="宋体" w:cs="宋体"/>
                <w:color w:val="auto"/>
                <w:kern w:val="0"/>
                <w:sz w:val="24"/>
                <w:highlight w:val="none"/>
                <w:lang w:val="en-US" w:eastAsia="zh-CN"/>
              </w:rPr>
              <w:t>1米；该单价适用于刷白其他设施（每米）</w:t>
            </w:r>
          </w:p>
        </w:tc>
      </w:tr>
      <w:tr w14:paraId="635424B2">
        <w:tblPrEx>
          <w:tblCellMar>
            <w:top w:w="0" w:type="dxa"/>
            <w:left w:w="108" w:type="dxa"/>
            <w:bottom w:w="0" w:type="dxa"/>
            <w:right w:w="108" w:type="dxa"/>
          </w:tblCellMar>
        </w:tblPrEx>
        <w:trPr>
          <w:trHeight w:val="285" w:hRule="atLeast"/>
          <w:jc w:val="center"/>
        </w:trPr>
        <w:tc>
          <w:tcPr>
            <w:tcW w:w="621" w:type="dxa"/>
            <w:tcBorders>
              <w:top w:val="nil"/>
              <w:left w:val="single" w:color="auto" w:sz="4" w:space="0"/>
              <w:bottom w:val="single" w:color="auto" w:sz="4" w:space="0"/>
              <w:right w:val="single" w:color="auto" w:sz="4" w:space="0"/>
            </w:tcBorders>
            <w:vAlign w:val="center"/>
          </w:tcPr>
          <w:p w14:paraId="403D37F3">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en-US" w:eastAsia="zh-CN"/>
              </w:rPr>
              <w:t>4</w:t>
            </w:r>
          </w:p>
        </w:tc>
        <w:tc>
          <w:tcPr>
            <w:tcW w:w="2740" w:type="dxa"/>
            <w:tcBorders>
              <w:top w:val="nil"/>
              <w:left w:val="nil"/>
              <w:bottom w:val="single" w:color="000000" w:sz="4" w:space="0"/>
              <w:right w:val="single" w:color="000000" w:sz="4" w:space="0"/>
            </w:tcBorders>
            <w:vAlign w:val="center"/>
          </w:tcPr>
          <w:p w14:paraId="5B97A10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修剪灌木</w:t>
            </w:r>
          </w:p>
        </w:tc>
        <w:tc>
          <w:tcPr>
            <w:tcW w:w="700" w:type="dxa"/>
            <w:tcBorders>
              <w:top w:val="nil"/>
              <w:left w:val="nil"/>
              <w:bottom w:val="single" w:color="000000" w:sz="4" w:space="0"/>
              <w:right w:val="single" w:color="000000" w:sz="4" w:space="0"/>
            </w:tcBorders>
            <w:vAlign w:val="center"/>
          </w:tcPr>
          <w:p w14:paraId="752A45F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株</w:t>
            </w:r>
          </w:p>
        </w:tc>
        <w:tc>
          <w:tcPr>
            <w:tcW w:w="1131" w:type="dxa"/>
            <w:tcBorders>
              <w:top w:val="nil"/>
              <w:left w:val="nil"/>
              <w:bottom w:val="single" w:color="auto" w:sz="4" w:space="0"/>
              <w:right w:val="single" w:color="auto" w:sz="4" w:space="0"/>
            </w:tcBorders>
            <w:vAlign w:val="center"/>
          </w:tcPr>
          <w:p w14:paraId="53B27B2D">
            <w:pPr>
              <w:widowControl/>
              <w:jc w:val="center"/>
              <w:rPr>
                <w:rFonts w:ascii="宋体" w:hAnsi="宋体" w:cs="宋体"/>
                <w:color w:val="auto"/>
                <w:kern w:val="0"/>
                <w:sz w:val="24"/>
                <w:highlight w:val="none"/>
              </w:rPr>
            </w:pPr>
          </w:p>
        </w:tc>
        <w:tc>
          <w:tcPr>
            <w:tcW w:w="931" w:type="dxa"/>
            <w:tcBorders>
              <w:top w:val="nil"/>
              <w:left w:val="nil"/>
              <w:bottom w:val="single" w:color="auto" w:sz="4" w:space="0"/>
              <w:right w:val="single" w:color="auto" w:sz="4" w:space="0"/>
            </w:tcBorders>
            <w:vAlign w:val="center"/>
          </w:tcPr>
          <w:p w14:paraId="4D3384D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w:t>
            </w:r>
          </w:p>
        </w:tc>
        <w:tc>
          <w:tcPr>
            <w:tcW w:w="1417" w:type="dxa"/>
            <w:tcBorders>
              <w:top w:val="nil"/>
              <w:left w:val="nil"/>
              <w:bottom w:val="single" w:color="auto" w:sz="4" w:space="0"/>
              <w:right w:val="single" w:color="auto" w:sz="4" w:space="0"/>
            </w:tcBorders>
            <w:vAlign w:val="center"/>
          </w:tcPr>
          <w:p w14:paraId="624E283F">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76E0A21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4FC7C6A">
        <w:tblPrEx>
          <w:tblCellMar>
            <w:top w:w="0" w:type="dxa"/>
            <w:left w:w="108" w:type="dxa"/>
            <w:bottom w:w="0" w:type="dxa"/>
            <w:right w:w="108" w:type="dxa"/>
          </w:tblCellMar>
        </w:tblPrEx>
        <w:trPr>
          <w:trHeight w:val="855" w:hRule="atLeast"/>
          <w:jc w:val="center"/>
        </w:trPr>
        <w:tc>
          <w:tcPr>
            <w:tcW w:w="621" w:type="dxa"/>
            <w:tcBorders>
              <w:top w:val="nil"/>
              <w:left w:val="single" w:color="auto" w:sz="4" w:space="0"/>
              <w:bottom w:val="single" w:color="auto" w:sz="4" w:space="0"/>
              <w:right w:val="single" w:color="auto" w:sz="4" w:space="0"/>
            </w:tcBorders>
            <w:vAlign w:val="center"/>
          </w:tcPr>
          <w:p w14:paraId="5F2E7434">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w:t>
            </w:r>
          </w:p>
        </w:tc>
        <w:tc>
          <w:tcPr>
            <w:tcW w:w="2740" w:type="dxa"/>
            <w:tcBorders>
              <w:top w:val="nil"/>
              <w:left w:val="nil"/>
              <w:bottom w:val="single" w:color="auto" w:sz="4" w:space="0"/>
              <w:right w:val="single" w:color="auto" w:sz="4" w:space="0"/>
            </w:tcBorders>
            <w:vAlign w:val="center"/>
          </w:tcPr>
          <w:p w14:paraId="19B751C6">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安全生产</w:t>
            </w:r>
          </w:p>
        </w:tc>
        <w:tc>
          <w:tcPr>
            <w:tcW w:w="700" w:type="dxa"/>
            <w:tcBorders>
              <w:top w:val="nil"/>
              <w:left w:val="nil"/>
              <w:bottom w:val="single" w:color="auto" w:sz="4" w:space="0"/>
              <w:right w:val="single" w:color="auto" w:sz="4" w:space="0"/>
            </w:tcBorders>
            <w:vAlign w:val="center"/>
          </w:tcPr>
          <w:p w14:paraId="78323A1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总额</w:t>
            </w:r>
          </w:p>
        </w:tc>
        <w:tc>
          <w:tcPr>
            <w:tcW w:w="1131" w:type="dxa"/>
            <w:tcBorders>
              <w:top w:val="nil"/>
              <w:left w:val="nil"/>
              <w:bottom w:val="single" w:color="auto" w:sz="4" w:space="0"/>
              <w:right w:val="single" w:color="auto" w:sz="4" w:space="0"/>
            </w:tcBorders>
            <w:vAlign w:val="center"/>
          </w:tcPr>
          <w:p w14:paraId="1806F47D">
            <w:pPr>
              <w:widowControl/>
              <w:jc w:val="center"/>
              <w:rPr>
                <w:rFonts w:ascii="宋体" w:hAnsi="宋体" w:cs="宋体"/>
                <w:b/>
                <w:bCs/>
                <w:color w:val="auto"/>
                <w:kern w:val="0"/>
                <w:sz w:val="24"/>
                <w:highlight w:val="none"/>
              </w:rPr>
            </w:pPr>
          </w:p>
        </w:tc>
        <w:tc>
          <w:tcPr>
            <w:tcW w:w="931" w:type="dxa"/>
            <w:tcBorders>
              <w:top w:val="nil"/>
              <w:left w:val="nil"/>
              <w:bottom w:val="single" w:color="auto" w:sz="4" w:space="0"/>
              <w:right w:val="single" w:color="auto" w:sz="4" w:space="0"/>
            </w:tcBorders>
            <w:vAlign w:val="center"/>
          </w:tcPr>
          <w:p w14:paraId="298D0B14">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1417" w:type="dxa"/>
            <w:tcBorders>
              <w:top w:val="nil"/>
              <w:left w:val="nil"/>
              <w:bottom w:val="single" w:color="auto" w:sz="4" w:space="0"/>
              <w:right w:val="single" w:color="auto" w:sz="4" w:space="0"/>
            </w:tcBorders>
            <w:vAlign w:val="center"/>
          </w:tcPr>
          <w:p w14:paraId="0BA42299">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5D986CF8">
            <w:pPr>
              <w:widowControl/>
              <w:jc w:val="left"/>
              <w:rPr>
                <w:rFonts w:ascii="宋体" w:hAnsi="宋体" w:cs="宋体"/>
                <w:color w:val="auto"/>
                <w:kern w:val="0"/>
                <w:sz w:val="24"/>
                <w:highlight w:val="none"/>
              </w:rPr>
            </w:pPr>
          </w:p>
        </w:tc>
      </w:tr>
      <w:tr w14:paraId="07C7C8CE">
        <w:tblPrEx>
          <w:tblCellMar>
            <w:top w:w="0" w:type="dxa"/>
            <w:left w:w="108" w:type="dxa"/>
            <w:bottom w:w="0" w:type="dxa"/>
            <w:right w:w="108" w:type="dxa"/>
          </w:tblCellMar>
        </w:tblPrEx>
        <w:trPr>
          <w:trHeight w:val="855" w:hRule="atLeast"/>
          <w:jc w:val="center"/>
        </w:trPr>
        <w:tc>
          <w:tcPr>
            <w:tcW w:w="621" w:type="dxa"/>
            <w:tcBorders>
              <w:top w:val="nil"/>
              <w:left w:val="single" w:color="auto" w:sz="4" w:space="0"/>
              <w:bottom w:val="single" w:color="auto" w:sz="4" w:space="0"/>
              <w:right w:val="single" w:color="auto" w:sz="4" w:space="0"/>
            </w:tcBorders>
            <w:vAlign w:val="center"/>
          </w:tcPr>
          <w:p w14:paraId="6638195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三</w:t>
            </w:r>
          </w:p>
        </w:tc>
        <w:tc>
          <w:tcPr>
            <w:tcW w:w="2740" w:type="dxa"/>
            <w:tcBorders>
              <w:top w:val="nil"/>
              <w:left w:val="nil"/>
              <w:bottom w:val="single" w:color="auto" w:sz="4" w:space="0"/>
              <w:right w:val="single" w:color="auto" w:sz="4" w:space="0"/>
            </w:tcBorders>
            <w:vAlign w:val="center"/>
          </w:tcPr>
          <w:p w14:paraId="4EB8CF65">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安全生产费责任险</w:t>
            </w:r>
          </w:p>
        </w:tc>
        <w:tc>
          <w:tcPr>
            <w:tcW w:w="700" w:type="dxa"/>
            <w:tcBorders>
              <w:top w:val="nil"/>
              <w:left w:val="nil"/>
              <w:bottom w:val="single" w:color="auto" w:sz="4" w:space="0"/>
              <w:right w:val="single" w:color="auto" w:sz="4" w:space="0"/>
            </w:tcBorders>
            <w:vAlign w:val="center"/>
          </w:tcPr>
          <w:p w14:paraId="371659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总额</w:t>
            </w:r>
          </w:p>
        </w:tc>
        <w:tc>
          <w:tcPr>
            <w:tcW w:w="1131" w:type="dxa"/>
            <w:tcBorders>
              <w:top w:val="nil"/>
              <w:left w:val="nil"/>
              <w:bottom w:val="single" w:color="auto" w:sz="4" w:space="0"/>
              <w:right w:val="single" w:color="auto" w:sz="4" w:space="0"/>
            </w:tcBorders>
            <w:vAlign w:val="center"/>
          </w:tcPr>
          <w:p w14:paraId="069558A4">
            <w:pPr>
              <w:widowControl/>
              <w:jc w:val="center"/>
              <w:rPr>
                <w:rFonts w:ascii="宋体" w:hAnsi="宋体" w:cs="宋体"/>
                <w:b/>
                <w:bCs/>
                <w:color w:val="auto"/>
                <w:kern w:val="0"/>
                <w:sz w:val="24"/>
                <w:highlight w:val="none"/>
              </w:rPr>
            </w:pPr>
          </w:p>
        </w:tc>
        <w:tc>
          <w:tcPr>
            <w:tcW w:w="931" w:type="dxa"/>
            <w:tcBorders>
              <w:top w:val="nil"/>
              <w:left w:val="nil"/>
              <w:bottom w:val="single" w:color="auto" w:sz="4" w:space="0"/>
              <w:right w:val="single" w:color="auto" w:sz="4" w:space="0"/>
            </w:tcBorders>
            <w:vAlign w:val="center"/>
          </w:tcPr>
          <w:p w14:paraId="01A4B09F">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1417" w:type="dxa"/>
            <w:tcBorders>
              <w:top w:val="nil"/>
              <w:left w:val="nil"/>
              <w:bottom w:val="single" w:color="auto" w:sz="4" w:space="0"/>
              <w:right w:val="single" w:color="auto" w:sz="4" w:space="0"/>
            </w:tcBorders>
            <w:vAlign w:val="center"/>
          </w:tcPr>
          <w:p w14:paraId="6ECD108D">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10F9E9B6">
            <w:pPr>
              <w:widowControl/>
              <w:jc w:val="left"/>
              <w:rPr>
                <w:rFonts w:ascii="宋体" w:hAnsi="宋体" w:cs="宋体"/>
                <w:color w:val="auto"/>
                <w:kern w:val="0"/>
                <w:sz w:val="24"/>
                <w:highlight w:val="none"/>
              </w:rPr>
            </w:pPr>
          </w:p>
        </w:tc>
      </w:tr>
      <w:tr w14:paraId="42D8AE4E">
        <w:tblPrEx>
          <w:tblCellMar>
            <w:top w:w="0" w:type="dxa"/>
            <w:left w:w="108" w:type="dxa"/>
            <w:bottom w:w="0" w:type="dxa"/>
            <w:right w:w="108" w:type="dxa"/>
          </w:tblCellMar>
        </w:tblPrEx>
        <w:trPr>
          <w:trHeight w:val="855" w:hRule="atLeast"/>
          <w:jc w:val="center"/>
        </w:trPr>
        <w:tc>
          <w:tcPr>
            <w:tcW w:w="621" w:type="dxa"/>
            <w:tcBorders>
              <w:top w:val="nil"/>
              <w:left w:val="single" w:color="auto" w:sz="4" w:space="0"/>
              <w:bottom w:val="single" w:color="auto" w:sz="4" w:space="0"/>
              <w:right w:val="single" w:color="auto" w:sz="4" w:space="0"/>
            </w:tcBorders>
            <w:vAlign w:val="center"/>
          </w:tcPr>
          <w:p w14:paraId="115CC64A">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四</w:t>
            </w:r>
          </w:p>
        </w:tc>
        <w:tc>
          <w:tcPr>
            <w:tcW w:w="2740" w:type="dxa"/>
            <w:tcBorders>
              <w:top w:val="nil"/>
              <w:left w:val="nil"/>
              <w:bottom w:val="single" w:color="auto" w:sz="4" w:space="0"/>
              <w:right w:val="single" w:color="auto" w:sz="4" w:space="0"/>
            </w:tcBorders>
            <w:vAlign w:val="center"/>
          </w:tcPr>
          <w:p w14:paraId="6AB645D1">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应急专项费</w:t>
            </w:r>
          </w:p>
        </w:tc>
        <w:tc>
          <w:tcPr>
            <w:tcW w:w="700" w:type="dxa"/>
            <w:tcBorders>
              <w:top w:val="nil"/>
              <w:left w:val="nil"/>
              <w:bottom w:val="single" w:color="auto" w:sz="4" w:space="0"/>
              <w:right w:val="single" w:color="auto" w:sz="4" w:space="0"/>
            </w:tcBorders>
            <w:vAlign w:val="center"/>
          </w:tcPr>
          <w:p w14:paraId="3B8B856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总额</w:t>
            </w:r>
          </w:p>
        </w:tc>
        <w:tc>
          <w:tcPr>
            <w:tcW w:w="1131" w:type="dxa"/>
            <w:tcBorders>
              <w:top w:val="nil"/>
              <w:left w:val="nil"/>
              <w:bottom w:val="single" w:color="auto" w:sz="4" w:space="0"/>
              <w:right w:val="single" w:color="auto" w:sz="4" w:space="0"/>
            </w:tcBorders>
            <w:vAlign w:val="center"/>
          </w:tcPr>
          <w:p w14:paraId="494F91D4">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931" w:type="dxa"/>
            <w:tcBorders>
              <w:top w:val="nil"/>
              <w:left w:val="nil"/>
              <w:bottom w:val="single" w:color="auto" w:sz="4" w:space="0"/>
              <w:right w:val="single" w:color="auto" w:sz="4" w:space="0"/>
            </w:tcBorders>
            <w:vAlign w:val="center"/>
          </w:tcPr>
          <w:p w14:paraId="09A920F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17" w:type="dxa"/>
            <w:tcBorders>
              <w:top w:val="nil"/>
              <w:left w:val="nil"/>
              <w:bottom w:val="single" w:color="auto" w:sz="4" w:space="0"/>
              <w:right w:val="single" w:color="auto" w:sz="4" w:space="0"/>
            </w:tcBorders>
            <w:vAlign w:val="center"/>
          </w:tcPr>
          <w:p w14:paraId="224FD95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150000</w:t>
            </w:r>
          </w:p>
        </w:tc>
        <w:tc>
          <w:tcPr>
            <w:tcW w:w="2860" w:type="dxa"/>
            <w:tcBorders>
              <w:top w:val="nil"/>
              <w:left w:val="nil"/>
              <w:bottom w:val="single" w:color="auto" w:sz="4" w:space="0"/>
              <w:right w:val="single" w:color="auto" w:sz="4" w:space="0"/>
            </w:tcBorders>
            <w:vAlign w:val="center"/>
          </w:tcPr>
          <w:p w14:paraId="315E72D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抢险救灾应急费用，是对“小修保养及维护专项费”的补充，实报实销</w:t>
            </w:r>
          </w:p>
        </w:tc>
      </w:tr>
      <w:tr w14:paraId="2BAC12D2">
        <w:tblPrEx>
          <w:tblCellMar>
            <w:top w:w="0" w:type="dxa"/>
            <w:left w:w="108" w:type="dxa"/>
            <w:bottom w:w="0" w:type="dxa"/>
            <w:right w:w="108" w:type="dxa"/>
          </w:tblCellMar>
        </w:tblPrEx>
        <w:trPr>
          <w:trHeight w:val="300" w:hRule="atLeast"/>
          <w:jc w:val="center"/>
        </w:trPr>
        <w:tc>
          <w:tcPr>
            <w:tcW w:w="3361" w:type="dxa"/>
            <w:gridSpan w:val="2"/>
            <w:tcBorders>
              <w:top w:val="single" w:color="auto" w:sz="4" w:space="0"/>
              <w:left w:val="single" w:color="auto" w:sz="4" w:space="0"/>
              <w:bottom w:val="single" w:color="auto" w:sz="4" w:space="0"/>
              <w:right w:val="single" w:color="auto" w:sz="4" w:space="0"/>
            </w:tcBorders>
            <w:vAlign w:val="center"/>
          </w:tcPr>
          <w:p w14:paraId="0379032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合计（元）</w:t>
            </w:r>
          </w:p>
        </w:tc>
        <w:tc>
          <w:tcPr>
            <w:tcW w:w="700" w:type="dxa"/>
            <w:tcBorders>
              <w:top w:val="nil"/>
              <w:left w:val="nil"/>
              <w:bottom w:val="single" w:color="auto" w:sz="4" w:space="0"/>
              <w:right w:val="single" w:color="auto" w:sz="4" w:space="0"/>
            </w:tcBorders>
            <w:vAlign w:val="center"/>
          </w:tcPr>
          <w:p w14:paraId="7DD92FE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1" w:type="dxa"/>
            <w:tcBorders>
              <w:top w:val="nil"/>
              <w:left w:val="nil"/>
              <w:bottom w:val="single" w:color="auto" w:sz="4" w:space="0"/>
              <w:right w:val="single" w:color="auto" w:sz="4" w:space="0"/>
            </w:tcBorders>
            <w:vAlign w:val="center"/>
          </w:tcPr>
          <w:p w14:paraId="4B1935A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31" w:type="dxa"/>
            <w:tcBorders>
              <w:top w:val="nil"/>
              <w:left w:val="nil"/>
              <w:bottom w:val="single" w:color="auto" w:sz="4" w:space="0"/>
              <w:right w:val="single" w:color="auto" w:sz="4" w:space="0"/>
            </w:tcBorders>
            <w:vAlign w:val="center"/>
          </w:tcPr>
          <w:p w14:paraId="398D04B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17" w:type="dxa"/>
            <w:tcBorders>
              <w:top w:val="nil"/>
              <w:left w:val="nil"/>
              <w:bottom w:val="single" w:color="auto" w:sz="4" w:space="0"/>
              <w:right w:val="single" w:color="auto" w:sz="4" w:space="0"/>
            </w:tcBorders>
            <w:vAlign w:val="center"/>
          </w:tcPr>
          <w:p w14:paraId="1476E216">
            <w:pPr>
              <w:widowControl/>
              <w:jc w:val="center"/>
              <w:rPr>
                <w:rFonts w:ascii="宋体" w:hAnsi="宋体" w:cs="宋体"/>
                <w:color w:val="auto"/>
                <w:kern w:val="0"/>
                <w:sz w:val="24"/>
                <w:highlight w:val="none"/>
              </w:rPr>
            </w:pPr>
          </w:p>
        </w:tc>
        <w:tc>
          <w:tcPr>
            <w:tcW w:w="2860" w:type="dxa"/>
            <w:tcBorders>
              <w:top w:val="nil"/>
              <w:left w:val="nil"/>
              <w:bottom w:val="single" w:color="auto" w:sz="4" w:space="0"/>
              <w:right w:val="single" w:color="auto" w:sz="4" w:space="0"/>
            </w:tcBorders>
            <w:vAlign w:val="center"/>
          </w:tcPr>
          <w:p w14:paraId="62876AE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5147AB1">
        <w:tblPrEx>
          <w:tblCellMar>
            <w:top w:w="0" w:type="dxa"/>
            <w:left w:w="108" w:type="dxa"/>
            <w:bottom w:w="0" w:type="dxa"/>
            <w:right w:w="108" w:type="dxa"/>
          </w:tblCellMar>
        </w:tblPrEx>
        <w:trPr>
          <w:trHeight w:val="285" w:hRule="atLeast"/>
          <w:jc w:val="center"/>
        </w:trPr>
        <w:tc>
          <w:tcPr>
            <w:tcW w:w="10400" w:type="dxa"/>
            <w:gridSpan w:val="7"/>
            <w:tcBorders>
              <w:top w:val="single" w:color="auto" w:sz="4" w:space="0"/>
              <w:left w:val="nil"/>
              <w:bottom w:val="nil"/>
              <w:right w:val="nil"/>
            </w:tcBorders>
            <w:vAlign w:val="center"/>
          </w:tcPr>
          <w:p w14:paraId="06C7F56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说明：</w:t>
            </w:r>
          </w:p>
        </w:tc>
      </w:tr>
      <w:tr w14:paraId="35841BAB">
        <w:tblPrEx>
          <w:tblCellMar>
            <w:top w:w="0" w:type="dxa"/>
            <w:left w:w="108" w:type="dxa"/>
            <w:bottom w:w="0" w:type="dxa"/>
            <w:right w:w="108" w:type="dxa"/>
          </w:tblCellMar>
        </w:tblPrEx>
        <w:trPr>
          <w:trHeight w:val="285" w:hRule="atLeast"/>
          <w:jc w:val="center"/>
        </w:trPr>
        <w:tc>
          <w:tcPr>
            <w:tcW w:w="10400" w:type="dxa"/>
            <w:gridSpan w:val="7"/>
            <w:tcBorders>
              <w:top w:val="nil"/>
              <w:left w:val="nil"/>
              <w:bottom w:val="nil"/>
              <w:right w:val="nil"/>
            </w:tcBorders>
            <w:vAlign w:val="center"/>
          </w:tcPr>
          <w:p w14:paraId="4BCB319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1、所列单价均已包含相关费用，不另计列。</w:t>
            </w:r>
          </w:p>
        </w:tc>
      </w:tr>
      <w:tr w14:paraId="122E0CE6">
        <w:tblPrEx>
          <w:tblCellMar>
            <w:top w:w="0" w:type="dxa"/>
            <w:left w:w="108" w:type="dxa"/>
            <w:bottom w:w="0" w:type="dxa"/>
            <w:right w:w="108" w:type="dxa"/>
          </w:tblCellMar>
        </w:tblPrEx>
        <w:trPr>
          <w:trHeight w:val="285" w:hRule="atLeast"/>
          <w:jc w:val="center"/>
        </w:trPr>
        <w:tc>
          <w:tcPr>
            <w:tcW w:w="10400" w:type="dxa"/>
            <w:gridSpan w:val="7"/>
            <w:tcBorders>
              <w:top w:val="nil"/>
              <w:left w:val="nil"/>
              <w:bottom w:val="nil"/>
              <w:right w:val="nil"/>
            </w:tcBorders>
            <w:vAlign w:val="center"/>
          </w:tcPr>
          <w:p w14:paraId="235650C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2、日常保养、维修专项费表所列数量均为预估计，具体以业主签发为准。业主可以根据养护工作实际情况，调整各分项工程数量,调整的比例不受限制，但总价不能超过日常保养、维修专项费的合计价格。</w:t>
            </w:r>
          </w:p>
        </w:tc>
      </w:tr>
      <w:tr w14:paraId="3E38F7EA">
        <w:tblPrEx>
          <w:tblCellMar>
            <w:top w:w="0" w:type="dxa"/>
            <w:left w:w="108" w:type="dxa"/>
            <w:bottom w:w="0" w:type="dxa"/>
            <w:right w:w="108" w:type="dxa"/>
          </w:tblCellMar>
        </w:tblPrEx>
        <w:trPr>
          <w:trHeight w:val="285" w:hRule="atLeast"/>
          <w:jc w:val="center"/>
        </w:trPr>
        <w:tc>
          <w:tcPr>
            <w:tcW w:w="10400" w:type="dxa"/>
            <w:gridSpan w:val="7"/>
            <w:tcBorders>
              <w:top w:val="nil"/>
              <w:left w:val="nil"/>
              <w:bottom w:val="nil"/>
              <w:right w:val="nil"/>
            </w:tcBorders>
            <w:vAlign w:val="center"/>
          </w:tcPr>
          <w:p w14:paraId="1CAFD74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3、安全生产费为（一+四）×1.5%，不允许更改，否则报警将视为无效。安全生产费按实结算。</w:t>
            </w:r>
          </w:p>
        </w:tc>
      </w:tr>
      <w:tr w14:paraId="44110F01">
        <w:tblPrEx>
          <w:tblCellMar>
            <w:top w:w="0" w:type="dxa"/>
            <w:left w:w="108" w:type="dxa"/>
            <w:bottom w:w="0" w:type="dxa"/>
            <w:right w:w="108" w:type="dxa"/>
          </w:tblCellMar>
        </w:tblPrEx>
        <w:trPr>
          <w:trHeight w:val="285" w:hRule="atLeast"/>
          <w:jc w:val="center"/>
        </w:trPr>
        <w:tc>
          <w:tcPr>
            <w:tcW w:w="10400" w:type="dxa"/>
            <w:gridSpan w:val="7"/>
            <w:tcBorders>
              <w:top w:val="nil"/>
              <w:left w:val="nil"/>
              <w:bottom w:val="nil"/>
              <w:right w:val="nil"/>
            </w:tcBorders>
            <w:vAlign w:val="center"/>
          </w:tcPr>
          <w:p w14:paraId="07557CF2">
            <w:pPr>
              <w:widowControl/>
              <w:numPr>
                <w:ilvl w:val="0"/>
                <w:numId w:val="11"/>
              </w:numPr>
              <w:jc w:val="left"/>
              <w:rPr>
                <w:rFonts w:ascii="宋体" w:hAnsi="宋体" w:cs="宋体"/>
                <w:color w:val="auto"/>
                <w:kern w:val="0"/>
                <w:sz w:val="24"/>
                <w:highlight w:val="none"/>
              </w:rPr>
            </w:pPr>
            <w:r>
              <w:rPr>
                <w:rFonts w:hint="eastAsia" w:ascii="宋体" w:hAnsi="宋体" w:cs="宋体"/>
                <w:color w:val="auto"/>
                <w:kern w:val="0"/>
                <w:sz w:val="24"/>
                <w:highlight w:val="none"/>
              </w:rPr>
              <w:t>日常巡查费：45000元，该费用按月总额包干支付，未完成相关工作的按相关规则扣减。</w:t>
            </w:r>
          </w:p>
          <w:p w14:paraId="668C2DF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5、应急专项费：150000元，不允许更改，否则报价将视为无效。</w:t>
            </w:r>
          </w:p>
        </w:tc>
      </w:tr>
      <w:tr w14:paraId="0B8D1FDF">
        <w:tblPrEx>
          <w:tblCellMar>
            <w:top w:w="0" w:type="dxa"/>
            <w:left w:w="108" w:type="dxa"/>
            <w:bottom w:w="0" w:type="dxa"/>
            <w:right w:w="108" w:type="dxa"/>
          </w:tblCellMar>
        </w:tblPrEx>
        <w:trPr>
          <w:trHeight w:val="285" w:hRule="atLeast"/>
          <w:jc w:val="center"/>
        </w:trPr>
        <w:tc>
          <w:tcPr>
            <w:tcW w:w="10400" w:type="dxa"/>
            <w:gridSpan w:val="7"/>
            <w:tcBorders>
              <w:top w:val="nil"/>
              <w:left w:val="nil"/>
              <w:bottom w:val="nil"/>
              <w:right w:val="nil"/>
            </w:tcBorders>
            <w:vAlign w:val="center"/>
          </w:tcPr>
          <w:p w14:paraId="1CB27B3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6、上述单价是根据广西公路日常养护工程预算定额计算的综合单价，并下浮5%。</w:t>
            </w:r>
          </w:p>
        </w:tc>
      </w:tr>
    </w:tbl>
    <w:p w14:paraId="6214A909">
      <w:pPr>
        <w:pStyle w:val="8"/>
        <w:spacing w:line="360" w:lineRule="auto"/>
        <w:rPr>
          <w:rFonts w:ascii="宋体" w:hAnsi="宋体" w:cs="宋体"/>
          <w:b w:val="0"/>
          <w:color w:val="auto"/>
          <w:spacing w:val="20"/>
          <w:sz w:val="21"/>
          <w:szCs w:val="21"/>
          <w:highlight w:val="none"/>
        </w:rPr>
      </w:pPr>
    </w:p>
    <w:p w14:paraId="68B0B10E">
      <w:pPr>
        <w:pStyle w:val="8"/>
        <w:spacing w:line="360" w:lineRule="auto"/>
        <w:rPr>
          <w:rFonts w:ascii="宋体" w:hAnsi="宋体" w:cs="宋体"/>
          <w:b w:val="0"/>
          <w:color w:val="auto"/>
          <w:spacing w:val="20"/>
          <w:sz w:val="21"/>
          <w:szCs w:val="21"/>
          <w:highlight w:val="none"/>
        </w:rPr>
      </w:pPr>
      <w:r>
        <w:rPr>
          <w:rFonts w:hint="eastAsia" w:ascii="宋体" w:hAnsi="宋体" w:cs="宋体"/>
          <w:b w:val="0"/>
          <w:color w:val="auto"/>
          <w:spacing w:val="20"/>
          <w:sz w:val="21"/>
          <w:szCs w:val="21"/>
          <w:highlight w:val="none"/>
        </w:rPr>
        <w:t>投标人盖公章：</w:t>
      </w:r>
      <w:r>
        <w:rPr>
          <w:rFonts w:hint="eastAsia" w:ascii="宋体" w:hAnsi="宋体" w:cs="宋体"/>
          <w:b w:val="0"/>
          <w:color w:val="auto"/>
          <w:spacing w:val="20"/>
          <w:sz w:val="21"/>
          <w:szCs w:val="21"/>
          <w:highlight w:val="none"/>
          <w:u w:val="single"/>
        </w:rPr>
        <w:t xml:space="preserve">                </w:t>
      </w:r>
    </w:p>
    <w:p w14:paraId="252B41B1">
      <w:pPr>
        <w:snapToGrid w:val="0"/>
        <w:spacing w:before="50" w:after="50" w:line="360" w:lineRule="auto"/>
        <w:rPr>
          <w:rFonts w:ascii="宋体" w:hAnsi="宋体" w:cs="宋体"/>
          <w:color w:val="auto"/>
          <w:spacing w:val="20"/>
          <w:szCs w:val="21"/>
          <w:highlight w:val="none"/>
          <w:u w:val="single"/>
        </w:rPr>
      </w:pPr>
      <w:r>
        <w:rPr>
          <w:rFonts w:hint="eastAsia" w:ascii="宋体" w:hAnsi="宋体" w:cs="宋体"/>
          <w:color w:val="auto"/>
          <w:szCs w:val="21"/>
          <w:highlight w:val="none"/>
        </w:rPr>
        <w:t>法定代表人或被授权人</w:t>
      </w:r>
      <w:r>
        <w:rPr>
          <w:rFonts w:hint="eastAsia" w:ascii="宋体" w:hAnsi="宋体" w:cs="宋体"/>
          <w:color w:val="auto"/>
          <w:spacing w:val="20"/>
          <w:szCs w:val="21"/>
          <w:highlight w:val="none"/>
        </w:rPr>
        <w:t>签名：</w:t>
      </w:r>
      <w:r>
        <w:rPr>
          <w:rFonts w:hint="eastAsia" w:ascii="宋体" w:hAnsi="宋体" w:cs="宋体"/>
          <w:color w:val="auto"/>
          <w:spacing w:val="20"/>
          <w:szCs w:val="21"/>
          <w:highlight w:val="none"/>
          <w:u w:val="single"/>
        </w:rPr>
        <w:t xml:space="preserve">        </w:t>
      </w:r>
    </w:p>
    <w:p w14:paraId="3F19FD16">
      <w:pPr>
        <w:snapToGrid w:val="0"/>
        <w:spacing w:before="156" w:beforeLines="50" w:after="50" w:line="360" w:lineRule="auto"/>
        <w:ind w:right="1040" w:firstLine="500" w:firstLineChars="200"/>
        <w:rPr>
          <w:rFonts w:ascii="宋体" w:hAnsi="宋体" w:cs="宋体"/>
          <w:color w:val="auto"/>
          <w:szCs w:val="21"/>
          <w:highlight w:val="none"/>
        </w:rPr>
      </w:pPr>
      <w:r>
        <w:rPr>
          <w:rFonts w:hint="eastAsia" w:ascii="宋体" w:hAnsi="宋体" w:cs="宋体"/>
          <w:color w:val="auto"/>
          <w:spacing w:val="20"/>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601789C">
      <w:pPr>
        <w:widowControl/>
        <w:jc w:val="left"/>
        <w:rPr>
          <w:rFonts w:ascii="宋体" w:hAnsi="宋体" w:cs="宋体"/>
          <w:b/>
          <w:color w:val="auto"/>
          <w:szCs w:val="21"/>
          <w:highlight w:val="none"/>
        </w:rPr>
      </w:pPr>
      <w:r>
        <w:rPr>
          <w:rFonts w:ascii="宋体" w:hAnsi="宋体" w:cs="宋体"/>
          <w:b/>
          <w:color w:val="auto"/>
          <w:szCs w:val="21"/>
          <w:highlight w:val="none"/>
        </w:rPr>
        <w:br w:type="page"/>
      </w:r>
    </w:p>
    <w:p w14:paraId="59818BFE">
      <w:pPr>
        <w:tabs>
          <w:tab w:val="left" w:pos="540"/>
          <w:tab w:val="left" w:pos="900"/>
        </w:tabs>
        <w:snapToGrid w:val="0"/>
        <w:spacing w:line="360" w:lineRule="auto"/>
        <w:ind w:firstLine="211" w:firstLineChars="100"/>
        <w:jc w:val="left"/>
        <w:rPr>
          <w:rFonts w:ascii="宋体" w:hAnsi="宋体" w:cs="宋体"/>
          <w:b/>
          <w:color w:val="auto"/>
          <w:szCs w:val="21"/>
          <w:highlight w:val="none"/>
        </w:rPr>
      </w:pPr>
      <w:r>
        <w:rPr>
          <w:rFonts w:hint="eastAsia" w:ascii="宋体" w:hAnsi="宋体" w:cs="宋体"/>
          <w:b/>
          <w:color w:val="auto"/>
          <w:szCs w:val="21"/>
          <w:highlight w:val="none"/>
        </w:rPr>
        <w:t xml:space="preserve">▲（2）投标函（格式)； </w:t>
      </w:r>
    </w:p>
    <w:p w14:paraId="4E9AAB72">
      <w:pPr>
        <w:tabs>
          <w:tab w:val="left" w:pos="1815"/>
        </w:tabs>
        <w:snapToGrid w:val="0"/>
        <w:spacing w:before="156" w:beforeLines="50" w:after="50"/>
        <w:jc w:val="left"/>
        <w:rPr>
          <w:rFonts w:ascii="宋体" w:hAnsi="宋体" w:cs="宋体"/>
          <w:color w:val="auto"/>
          <w:szCs w:val="21"/>
          <w:highlight w:val="none"/>
        </w:rPr>
      </w:pPr>
      <w:r>
        <w:rPr>
          <w:rFonts w:hint="eastAsia" w:ascii="宋体" w:hAnsi="宋体" w:cs="宋体"/>
          <w:b/>
          <w:color w:val="auto"/>
          <w:szCs w:val="21"/>
          <w:highlight w:val="none"/>
        </w:rPr>
        <w:t xml:space="preserve">1.投标函格式： </w:t>
      </w:r>
    </w:p>
    <w:p w14:paraId="7AD57715">
      <w:pPr>
        <w:snapToGrid w:val="0"/>
        <w:spacing w:before="156" w:beforeLines="50" w:after="50" w:line="320" w:lineRule="exact"/>
        <w:jc w:val="center"/>
        <w:rPr>
          <w:rFonts w:ascii="宋体" w:hAnsi="宋体" w:cs="宋体"/>
          <w:b/>
          <w:color w:val="auto"/>
          <w:szCs w:val="21"/>
          <w:highlight w:val="none"/>
        </w:rPr>
      </w:pPr>
      <w:r>
        <w:rPr>
          <w:rFonts w:hint="eastAsia" w:ascii="宋体" w:hAnsi="宋体" w:cs="宋体"/>
          <w:b/>
          <w:color w:val="auto"/>
          <w:szCs w:val="21"/>
          <w:highlight w:val="none"/>
        </w:rPr>
        <w:t>投 标 函</w:t>
      </w:r>
    </w:p>
    <w:p w14:paraId="440D478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（采购人名称）：</w:t>
      </w:r>
    </w:p>
    <w:p w14:paraId="4FF35159">
      <w:pPr>
        <w:snapToGrid w:val="0"/>
        <w:spacing w:line="360" w:lineRule="auto"/>
        <w:ind w:firstLine="464" w:firstLineChars="221"/>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项目的招标公告（项目编号：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（姓名）经正式授权并代表投标人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（投标人名称）在“广西政府采购云平台”（https://www.gcy.zfcg.gxzf.gov.cn/）</w:t>
      </w:r>
      <w:r>
        <w:rPr>
          <w:rFonts w:hint="eastAsia" w:ascii="宋体" w:hAnsi="宋体" w:cs="宋体"/>
          <w:color w:val="auto"/>
          <w:szCs w:val="21"/>
          <w:highlight w:val="none"/>
        </w:rPr>
        <w:t>在线提交投标文件。</w:t>
      </w:r>
    </w:p>
    <w:p w14:paraId="494DC875">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本项</w:t>
      </w:r>
      <w:r>
        <w:rPr>
          <w:rFonts w:hint="eastAsia" w:ascii="宋体" w:hAnsi="宋体" w:cs="宋体"/>
          <w:color w:val="auto"/>
          <w:szCs w:val="21"/>
          <w:highlight w:val="none"/>
        </w:rPr>
        <w:t>目</w:t>
      </w:r>
      <w:r>
        <w:rPr>
          <w:rFonts w:hint="eastAsia" w:ascii="宋体" w:hAnsi="宋体" w:cs="宋体"/>
          <w:color w:val="auto"/>
          <w:szCs w:val="21"/>
          <w:highlight w:val="none"/>
          <w:u w:val="single"/>
        </w:rPr>
        <w:t xml:space="preserve">（项目名称） </w:t>
      </w:r>
      <w:r>
        <w:rPr>
          <w:rFonts w:hint="eastAsia" w:ascii="宋体" w:hAnsi="宋体" w:cs="宋体"/>
          <w:color w:val="auto"/>
          <w:szCs w:val="21"/>
          <w:highlight w:val="none"/>
        </w:rPr>
        <w:t>投标报价总额为人民币（</w:t>
      </w:r>
      <w:r>
        <w:rPr>
          <w:rFonts w:hint="eastAsia" w:ascii="宋体" w:hAnsi="宋体" w:cs="宋体"/>
          <w:bCs/>
          <w:color w:val="auto"/>
          <w:szCs w:val="21"/>
          <w:highlight w:val="none"/>
        </w:rPr>
        <w:t>大写）：</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元</w:t>
      </w:r>
      <w:r>
        <w:rPr>
          <w:rFonts w:hint="eastAsia" w:ascii="宋体" w:hAnsi="宋体" w:cs="宋体"/>
          <w:bCs/>
          <w:color w:val="auto"/>
          <w:szCs w:val="21"/>
          <w:highlight w:val="none"/>
        </w:rPr>
        <w:t>）</w:t>
      </w:r>
      <w:r>
        <w:rPr>
          <w:rFonts w:hint="eastAsia" w:ascii="宋体" w:hAnsi="宋体" w:cs="宋体"/>
          <w:color w:val="auto"/>
          <w:szCs w:val="21"/>
          <w:highlight w:val="none"/>
        </w:rPr>
        <w:t>。</w:t>
      </w:r>
    </w:p>
    <w:p w14:paraId="48DF688E">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服务期限：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51A4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据此函，签字代表宣布同意如下：</w:t>
      </w:r>
    </w:p>
    <w:p w14:paraId="29C71A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1.投标人已详细审查全部“招标文件”，包括修改文件（如有的话）以及全部参考资料和有关附件，已经了解我方对于招标文件、招标过程、招标结果有依法进行询问、质疑、投诉的权利及相关渠道和要求。</w:t>
      </w:r>
    </w:p>
    <w:p w14:paraId="771BF2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2.投标人在投标之前已经完全理解并接受招标文件的各项规定和要求，对招标文件的合理性、合法性不再有异议。</w:t>
      </w:r>
    </w:p>
    <w:p w14:paraId="54F9BFF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3.本投标有效期为截标后的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w:t>
      </w:r>
    </w:p>
    <w:p w14:paraId="1E07987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4.如中标，本投标文件至本项目合同履行完毕止均保持有效，本投标人将按“招标文件”及招标投标法律、法规的规定履行合同责任和义务。</w:t>
      </w:r>
    </w:p>
    <w:p w14:paraId="7A004A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5.投标人承诺按招标文件规定向贵方提交履约担保。</w:t>
      </w:r>
    </w:p>
    <w:p w14:paraId="2B323CB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6.投标人承诺所提供服务满足招标需求，并在服务期内提供项目需求所要求的相关质量方面报告等材料。</w:t>
      </w:r>
    </w:p>
    <w:p w14:paraId="411C890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7.与本投标有关的一切正式往来信函请寄：</w:t>
      </w:r>
    </w:p>
    <w:p w14:paraId="518A1643">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68D8CE3F">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p>
    <w:p w14:paraId="1349BA2A">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020E01D2">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5416DCF4">
      <w:pPr>
        <w:snapToGrid w:val="0"/>
        <w:spacing w:line="360" w:lineRule="auto"/>
        <w:rPr>
          <w:rFonts w:ascii="宋体" w:hAnsi="宋体" w:cs="宋体"/>
          <w:color w:val="auto"/>
          <w:szCs w:val="21"/>
          <w:highlight w:val="none"/>
          <w:u w:val="single"/>
        </w:rPr>
      </w:pPr>
    </w:p>
    <w:p w14:paraId="4EE7F4A5">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投标人名称(公章):</w:t>
      </w:r>
      <w:r>
        <w:rPr>
          <w:rFonts w:hint="eastAsia" w:ascii="宋体" w:hAnsi="宋体" w:cs="宋体"/>
          <w:color w:val="auto"/>
          <w:szCs w:val="21"/>
          <w:highlight w:val="none"/>
          <w:u w:val="single"/>
        </w:rPr>
        <w:t xml:space="preserve">                            </w:t>
      </w:r>
    </w:p>
    <w:p w14:paraId="334285A5">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投标人代表姓名（签字）：</w:t>
      </w:r>
      <w:r>
        <w:rPr>
          <w:rFonts w:hint="eastAsia" w:ascii="宋体" w:hAnsi="宋体" w:cs="宋体"/>
          <w:color w:val="auto"/>
          <w:szCs w:val="21"/>
          <w:highlight w:val="none"/>
          <w:u w:val="single"/>
        </w:rPr>
        <w:t xml:space="preserve">                     </w:t>
      </w:r>
    </w:p>
    <w:p w14:paraId="755DF34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9CAFF3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38CF88D">
      <w:pPr>
        <w:tabs>
          <w:tab w:val="left" w:pos="540"/>
          <w:tab w:val="left" w:pos="900"/>
        </w:tabs>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日期:_____年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D572BFF">
      <w:pPr>
        <w:tabs>
          <w:tab w:val="left" w:pos="540"/>
          <w:tab w:val="left" w:pos="900"/>
        </w:tabs>
        <w:snapToGrid w:val="0"/>
        <w:spacing w:line="360" w:lineRule="auto"/>
        <w:ind w:firstLine="210" w:firstLineChars="100"/>
        <w:jc w:val="left"/>
        <w:rPr>
          <w:rFonts w:ascii="宋体" w:hAnsi="宋体" w:cs="宋体"/>
          <w:color w:val="auto"/>
          <w:szCs w:val="21"/>
          <w:highlight w:val="none"/>
        </w:rPr>
      </w:pPr>
    </w:p>
    <w:p w14:paraId="3BFB9B62">
      <w:pPr>
        <w:snapToGrid w:val="0"/>
        <w:spacing w:before="50" w:after="50" w:line="300" w:lineRule="exact"/>
        <w:rPr>
          <w:rFonts w:ascii="宋体" w:hAnsi="宋体" w:cs="宋体"/>
          <w:b/>
          <w:color w:val="auto"/>
          <w:szCs w:val="21"/>
          <w:highlight w:val="none"/>
        </w:rPr>
      </w:pPr>
      <w:r>
        <w:rPr>
          <w:rFonts w:hint="eastAsia" w:ascii="宋体" w:hAnsi="宋体" w:cs="宋体"/>
          <w:b/>
          <w:bCs/>
          <w:color w:val="auto"/>
          <w:szCs w:val="21"/>
          <w:highlight w:val="none"/>
        </w:rPr>
        <w:t>注：投标文件中的法定代表人授权委托书、投标声明书、投标函、已标价的报价清单必须由法定代表人或授权委托代理人在规定签字处逐一签字并加盖单位公章</w:t>
      </w:r>
      <w:r>
        <w:rPr>
          <w:rFonts w:hint="eastAsia" w:ascii="宋体" w:hAnsi="宋体" w:cs="宋体"/>
          <w:color w:val="auto"/>
          <w:szCs w:val="21"/>
          <w:highlight w:val="none"/>
        </w:rPr>
        <w:t>【若上述文件由多页构成的，须逐页由法定代表人或授权委托代理人签字并加盖单位公章】</w:t>
      </w:r>
      <w:r>
        <w:rPr>
          <w:rFonts w:hint="eastAsia" w:ascii="宋体" w:hAnsi="宋体" w:cs="宋体"/>
          <w:bCs/>
          <w:color w:val="auto"/>
          <w:szCs w:val="21"/>
          <w:highlight w:val="none"/>
        </w:rPr>
        <w:t>；</w:t>
      </w:r>
      <w:r>
        <w:rPr>
          <w:rFonts w:hint="eastAsia" w:ascii="宋体" w:hAnsi="宋体" w:cs="宋体"/>
          <w:b/>
          <w:bCs/>
          <w:color w:val="auto"/>
          <w:szCs w:val="21"/>
          <w:highlight w:val="none"/>
        </w:rPr>
        <w:t>各类材料复印件、网页截图均应逐页加盖单位公章。</w:t>
      </w:r>
    </w:p>
    <w:p w14:paraId="3719ED9B">
      <w:pPr>
        <w:numPr>
          <w:ilvl w:val="0"/>
          <w:numId w:val="12"/>
        </w:numPr>
        <w:tabs>
          <w:tab w:val="left" w:pos="3870"/>
          <w:tab w:val="left" w:pos="4085"/>
        </w:tabs>
        <w:adjustRightInd w:val="0"/>
        <w:snapToGrid w:val="0"/>
        <w:spacing w:line="360" w:lineRule="exact"/>
        <w:jc w:val="left"/>
        <w:rPr>
          <w:rFonts w:ascii="宋体" w:hAnsi="宋体"/>
          <w:b/>
          <w:color w:val="auto"/>
          <w:szCs w:val="21"/>
          <w:highlight w:val="none"/>
        </w:rPr>
      </w:pPr>
      <w:r>
        <w:rPr>
          <w:rFonts w:hint="eastAsia" w:ascii="宋体" w:hAnsi="宋体"/>
          <w:color w:val="auto"/>
          <w:szCs w:val="21"/>
          <w:highlight w:val="none"/>
        </w:rPr>
        <w:t>投标人针对报价需要说明的其他文件和说明；（格式自拟）</w:t>
      </w:r>
    </w:p>
    <w:p w14:paraId="3BADC7DA">
      <w:pPr>
        <w:snapToGrid w:val="0"/>
        <w:spacing w:line="360" w:lineRule="exact"/>
        <w:rPr>
          <w:rFonts w:ascii="宋体" w:hAnsi="宋体"/>
          <w:b/>
          <w:color w:val="auto"/>
          <w:szCs w:val="21"/>
          <w:highlight w:val="none"/>
        </w:rPr>
      </w:pPr>
    </w:p>
    <w:p w14:paraId="4E6BCDC7">
      <w:pPr>
        <w:snapToGrid w:val="0"/>
        <w:spacing w:line="360" w:lineRule="exact"/>
        <w:rPr>
          <w:rFonts w:ascii="宋体" w:hAnsi="宋体"/>
          <w:b/>
          <w:color w:val="auto"/>
          <w:highlight w:val="none"/>
        </w:rPr>
      </w:pPr>
      <w:r>
        <w:rPr>
          <w:rFonts w:hint="eastAsia" w:ascii="宋体" w:hAnsi="宋体"/>
          <w:b/>
          <w:color w:val="auto"/>
          <w:szCs w:val="21"/>
          <w:highlight w:val="none"/>
        </w:rPr>
        <w:t>（四）其他文书、文件格式</w:t>
      </w:r>
    </w:p>
    <w:p w14:paraId="7079789F">
      <w:pPr>
        <w:spacing w:before="79" w:line="184" w:lineRule="auto"/>
        <w:rPr>
          <w:rFonts w:ascii="宋体" w:hAnsi="宋体" w:cs="宋体"/>
          <w:color w:val="auto"/>
          <w:spacing w:val="-10"/>
          <w:sz w:val="24"/>
          <w:highlight w:val="none"/>
        </w:rPr>
      </w:pPr>
    </w:p>
    <w:p w14:paraId="0F7489DE">
      <w:pPr>
        <w:spacing w:before="79" w:line="184" w:lineRule="auto"/>
        <w:rPr>
          <w:rFonts w:ascii="宋体" w:hAnsi="宋体" w:cs="宋体"/>
          <w:b/>
          <w:bCs/>
          <w:color w:val="auto"/>
          <w:sz w:val="24"/>
          <w:highlight w:val="none"/>
        </w:rPr>
      </w:pPr>
      <w:r>
        <w:rPr>
          <w:rFonts w:ascii="宋体" w:hAnsi="宋体" w:cs="宋体"/>
          <w:b/>
          <w:bCs/>
          <w:color w:val="auto"/>
          <w:spacing w:val="-10"/>
          <w:sz w:val="24"/>
          <w:highlight w:val="none"/>
        </w:rPr>
        <w:t>联</w:t>
      </w:r>
      <w:r>
        <w:rPr>
          <w:rFonts w:ascii="宋体" w:hAnsi="宋体" w:cs="宋体"/>
          <w:b/>
          <w:bCs/>
          <w:color w:val="auto"/>
          <w:spacing w:val="-68"/>
          <w:sz w:val="24"/>
          <w:highlight w:val="none"/>
        </w:rPr>
        <w:t xml:space="preserve"> </w:t>
      </w:r>
      <w:r>
        <w:rPr>
          <w:rFonts w:ascii="宋体" w:hAnsi="宋体" w:cs="宋体"/>
          <w:b/>
          <w:bCs/>
          <w:color w:val="auto"/>
          <w:spacing w:val="-10"/>
          <w:sz w:val="24"/>
          <w:highlight w:val="none"/>
        </w:rPr>
        <w:t>合</w:t>
      </w:r>
      <w:r>
        <w:rPr>
          <w:rFonts w:ascii="宋体" w:hAnsi="宋体" w:cs="宋体"/>
          <w:b/>
          <w:bCs/>
          <w:color w:val="auto"/>
          <w:spacing w:val="-67"/>
          <w:sz w:val="24"/>
          <w:highlight w:val="none"/>
        </w:rPr>
        <w:t xml:space="preserve"> </w:t>
      </w:r>
      <w:r>
        <w:rPr>
          <w:rFonts w:ascii="宋体" w:hAnsi="宋体" w:cs="宋体"/>
          <w:b/>
          <w:bCs/>
          <w:color w:val="auto"/>
          <w:spacing w:val="-10"/>
          <w:sz w:val="24"/>
          <w:highlight w:val="none"/>
        </w:rPr>
        <w:t>投</w:t>
      </w:r>
      <w:r>
        <w:rPr>
          <w:rFonts w:ascii="宋体" w:hAnsi="宋体" w:cs="宋体"/>
          <w:b/>
          <w:bCs/>
          <w:color w:val="auto"/>
          <w:spacing w:val="-69"/>
          <w:sz w:val="24"/>
          <w:highlight w:val="none"/>
        </w:rPr>
        <w:t xml:space="preserve"> </w:t>
      </w:r>
      <w:r>
        <w:rPr>
          <w:rFonts w:ascii="宋体" w:hAnsi="宋体" w:cs="宋体"/>
          <w:b/>
          <w:bCs/>
          <w:color w:val="auto"/>
          <w:spacing w:val="-10"/>
          <w:sz w:val="24"/>
          <w:highlight w:val="none"/>
        </w:rPr>
        <w:t>标</w:t>
      </w:r>
      <w:r>
        <w:rPr>
          <w:rFonts w:ascii="宋体" w:hAnsi="宋体" w:cs="宋体"/>
          <w:b/>
          <w:bCs/>
          <w:color w:val="auto"/>
          <w:spacing w:val="-68"/>
          <w:sz w:val="24"/>
          <w:highlight w:val="none"/>
        </w:rPr>
        <w:t xml:space="preserve"> </w:t>
      </w:r>
      <w:r>
        <w:rPr>
          <w:rFonts w:ascii="宋体" w:hAnsi="宋体" w:cs="宋体"/>
          <w:b/>
          <w:bCs/>
          <w:color w:val="auto"/>
          <w:spacing w:val="-10"/>
          <w:sz w:val="24"/>
          <w:highlight w:val="none"/>
        </w:rPr>
        <w:t>协</w:t>
      </w:r>
      <w:r>
        <w:rPr>
          <w:rFonts w:ascii="宋体" w:hAnsi="宋体" w:cs="宋体"/>
          <w:b/>
          <w:bCs/>
          <w:color w:val="auto"/>
          <w:spacing w:val="-68"/>
          <w:sz w:val="24"/>
          <w:highlight w:val="none"/>
        </w:rPr>
        <w:t xml:space="preserve"> </w:t>
      </w:r>
      <w:r>
        <w:rPr>
          <w:rFonts w:ascii="宋体" w:hAnsi="宋体" w:cs="宋体"/>
          <w:b/>
          <w:bCs/>
          <w:color w:val="auto"/>
          <w:spacing w:val="-10"/>
          <w:sz w:val="24"/>
          <w:highlight w:val="none"/>
        </w:rPr>
        <w:t>议</w:t>
      </w:r>
      <w:r>
        <w:rPr>
          <w:rFonts w:ascii="宋体" w:hAnsi="宋体" w:cs="宋体"/>
          <w:b/>
          <w:bCs/>
          <w:color w:val="auto"/>
          <w:spacing w:val="-65"/>
          <w:sz w:val="24"/>
          <w:highlight w:val="none"/>
        </w:rPr>
        <w:t xml:space="preserve"> </w:t>
      </w:r>
      <w:r>
        <w:rPr>
          <w:rFonts w:ascii="宋体" w:hAnsi="宋体" w:cs="宋体"/>
          <w:b/>
          <w:bCs/>
          <w:color w:val="auto"/>
          <w:spacing w:val="-10"/>
          <w:sz w:val="24"/>
          <w:highlight w:val="none"/>
        </w:rPr>
        <w:t>书</w:t>
      </w:r>
      <w:r>
        <w:rPr>
          <w:rFonts w:ascii="宋体" w:hAnsi="宋体" w:cs="宋体"/>
          <w:b/>
          <w:bCs/>
          <w:color w:val="auto"/>
          <w:spacing w:val="-70"/>
          <w:sz w:val="24"/>
          <w:highlight w:val="none"/>
        </w:rPr>
        <w:t xml:space="preserve"> </w:t>
      </w:r>
      <w:r>
        <w:rPr>
          <w:rFonts w:ascii="宋体" w:hAnsi="宋体" w:cs="宋体"/>
          <w:b/>
          <w:bCs/>
          <w:color w:val="auto"/>
          <w:spacing w:val="-10"/>
          <w:sz w:val="24"/>
          <w:highlight w:val="none"/>
        </w:rPr>
        <w:t>格</w:t>
      </w:r>
      <w:r>
        <w:rPr>
          <w:rFonts w:ascii="宋体" w:hAnsi="宋体" w:cs="宋体"/>
          <w:b/>
          <w:bCs/>
          <w:color w:val="auto"/>
          <w:spacing w:val="-65"/>
          <w:sz w:val="24"/>
          <w:highlight w:val="none"/>
        </w:rPr>
        <w:t xml:space="preserve"> </w:t>
      </w:r>
      <w:r>
        <w:rPr>
          <w:rFonts w:ascii="宋体" w:hAnsi="宋体" w:cs="宋体"/>
          <w:b/>
          <w:bCs/>
          <w:color w:val="auto"/>
          <w:spacing w:val="-10"/>
          <w:sz w:val="24"/>
          <w:highlight w:val="none"/>
        </w:rPr>
        <w:t>式</w:t>
      </w:r>
    </w:p>
    <w:p w14:paraId="085FBB2A">
      <w:pPr>
        <w:spacing w:before="123" w:line="184" w:lineRule="auto"/>
        <w:ind w:firstLine="3456"/>
        <w:rPr>
          <w:rFonts w:ascii="宋体" w:hAnsi="宋体" w:cs="宋体"/>
          <w:color w:val="auto"/>
          <w:sz w:val="24"/>
          <w:highlight w:val="none"/>
        </w:rPr>
      </w:pPr>
      <w:r>
        <w:rPr>
          <w:rFonts w:ascii="宋体" w:hAnsi="宋体" w:cs="宋体"/>
          <w:color w:val="auto"/>
          <w:spacing w:val="-2"/>
          <w:sz w:val="24"/>
          <w:highlight w:val="none"/>
        </w:rPr>
        <w:t>联合体协议书</w:t>
      </w:r>
    </w:p>
    <w:p w14:paraId="447E3020">
      <w:pPr>
        <w:spacing w:line="273" w:lineRule="auto"/>
        <w:rPr>
          <w:rFonts w:ascii="宋体"/>
          <w:color w:val="auto"/>
          <w:highlight w:val="none"/>
        </w:rPr>
      </w:pPr>
    </w:p>
    <w:p w14:paraId="7A74CBCB">
      <w:pPr>
        <w:tabs>
          <w:tab w:val="left" w:pos="989"/>
        </w:tabs>
        <w:spacing w:before="78" w:line="184" w:lineRule="auto"/>
        <w:ind w:firstLine="434"/>
        <w:rPr>
          <w:rFonts w:ascii="宋体" w:hAnsi="宋体" w:cs="宋体"/>
          <w:color w:val="auto"/>
          <w:sz w:val="24"/>
          <w:highlight w:val="none"/>
        </w:rPr>
      </w:pPr>
      <w:r>
        <w:rPr>
          <w:rFonts w:ascii="宋体" w:hAnsi="宋体" w:cs="宋体"/>
          <w:color w:val="auto"/>
          <w:szCs w:val="21"/>
          <w:highlight w:val="none"/>
          <w:u w:val="single"/>
        </w:rPr>
        <w:tab/>
      </w:r>
      <w:r>
        <w:rPr>
          <w:rFonts w:ascii="宋体" w:hAnsi="宋体" w:cs="宋体"/>
          <w:color w:val="auto"/>
          <w:spacing w:val="-15"/>
          <w:sz w:val="24"/>
          <w:highlight w:val="none"/>
          <w:u w:val="single"/>
        </w:rPr>
        <w:t>（所有成员单位名称）</w:t>
      </w:r>
      <w:r>
        <w:rPr>
          <w:rFonts w:ascii="宋体" w:hAnsi="宋体" w:cs="宋体"/>
          <w:color w:val="auto"/>
          <w:spacing w:val="38"/>
          <w:sz w:val="24"/>
          <w:highlight w:val="none"/>
          <w:u w:val="single"/>
        </w:rPr>
        <w:t xml:space="preserve"> </w:t>
      </w:r>
      <w:r>
        <w:rPr>
          <w:rFonts w:ascii="宋体" w:hAnsi="宋体" w:cs="宋体"/>
          <w:color w:val="auto"/>
          <w:spacing w:val="-15"/>
          <w:sz w:val="24"/>
          <w:highlight w:val="none"/>
        </w:rPr>
        <w:t>自愿组成</w:t>
      </w:r>
      <w:r>
        <w:rPr>
          <w:rFonts w:ascii="宋体" w:hAnsi="宋体" w:cs="宋体"/>
          <w:color w:val="auto"/>
          <w:spacing w:val="20"/>
          <w:sz w:val="24"/>
          <w:highlight w:val="none"/>
          <w:u w:val="single"/>
        </w:rPr>
        <w:t xml:space="preserve">  </w:t>
      </w:r>
      <w:r>
        <w:rPr>
          <w:rFonts w:ascii="宋体" w:hAnsi="宋体" w:cs="宋体"/>
          <w:color w:val="auto"/>
          <w:spacing w:val="20"/>
          <w:sz w:val="24"/>
          <w:highlight w:val="none"/>
        </w:rPr>
        <w:t xml:space="preserve"> </w:t>
      </w:r>
      <w:r>
        <w:rPr>
          <w:rFonts w:ascii="宋体" w:hAnsi="宋体" w:cs="宋体"/>
          <w:color w:val="auto"/>
          <w:spacing w:val="-15"/>
          <w:sz w:val="24"/>
          <w:highlight w:val="none"/>
        </w:rPr>
        <w:t>（联合体名称）</w:t>
      </w:r>
      <w:r>
        <w:rPr>
          <w:rFonts w:ascii="宋体" w:hAnsi="宋体" w:cs="宋体"/>
          <w:color w:val="auto"/>
          <w:spacing w:val="-8"/>
          <w:sz w:val="24"/>
          <w:highlight w:val="none"/>
        </w:rPr>
        <w:t xml:space="preserve"> </w:t>
      </w:r>
      <w:r>
        <w:rPr>
          <w:rFonts w:ascii="宋体" w:hAnsi="宋体" w:cs="宋体"/>
          <w:color w:val="auto"/>
          <w:spacing w:val="-15"/>
          <w:sz w:val="24"/>
          <w:highlight w:val="none"/>
        </w:rPr>
        <w:t>联合体，共同</w:t>
      </w:r>
      <w:r>
        <w:rPr>
          <w:rFonts w:ascii="宋体" w:hAnsi="宋体" w:cs="宋体"/>
          <w:color w:val="auto"/>
          <w:spacing w:val="-3"/>
          <w:sz w:val="24"/>
          <w:highlight w:val="none"/>
        </w:rPr>
        <w:t>参加</w:t>
      </w:r>
      <w:r>
        <w:rPr>
          <w:rFonts w:ascii="宋体" w:hAnsi="宋体" w:cs="宋体"/>
          <w:color w:val="auto"/>
          <w:spacing w:val="69"/>
          <w:sz w:val="24"/>
          <w:highlight w:val="none"/>
          <w:u w:val="single"/>
        </w:rPr>
        <w:t xml:space="preserve">  </w:t>
      </w:r>
      <w:r>
        <w:rPr>
          <w:rFonts w:ascii="宋体" w:hAnsi="宋体" w:cs="宋体"/>
          <w:color w:val="auto"/>
          <w:spacing w:val="-3"/>
          <w:sz w:val="24"/>
          <w:highlight w:val="none"/>
          <w:u w:val="single"/>
        </w:rPr>
        <w:t>（项</w:t>
      </w:r>
      <w:r>
        <w:rPr>
          <w:rFonts w:ascii="宋体" w:hAnsi="宋体" w:cs="宋体"/>
          <w:color w:val="auto"/>
          <w:spacing w:val="-3"/>
          <w:sz w:val="24"/>
          <w:highlight w:val="none"/>
        </w:rPr>
        <w:t>目名称）</w:t>
      </w:r>
      <w:r>
        <w:rPr>
          <w:rFonts w:ascii="宋体" w:hAnsi="宋体" w:cs="宋体"/>
          <w:color w:val="auto"/>
          <w:spacing w:val="27"/>
          <w:sz w:val="24"/>
          <w:highlight w:val="none"/>
        </w:rPr>
        <w:t xml:space="preserve"> </w:t>
      </w:r>
      <w:r>
        <w:rPr>
          <w:rFonts w:ascii="宋体" w:hAnsi="宋体" w:cs="宋体"/>
          <w:color w:val="auto"/>
          <w:spacing w:val="-3"/>
          <w:sz w:val="24"/>
          <w:highlight w:val="none"/>
        </w:rPr>
        <w:t>采购招标项目投标。现就联合体投标事宜订立如下协</w:t>
      </w:r>
      <w:r>
        <w:rPr>
          <w:rFonts w:ascii="宋体" w:hAnsi="宋体" w:cs="宋体"/>
          <w:color w:val="auto"/>
          <w:sz w:val="24"/>
          <w:highlight w:val="none"/>
        </w:rPr>
        <w:t xml:space="preserve"> </w:t>
      </w:r>
      <w:r>
        <w:rPr>
          <w:rFonts w:ascii="宋体" w:hAnsi="宋体" w:cs="宋体"/>
          <w:color w:val="auto"/>
          <w:spacing w:val="-6"/>
          <w:sz w:val="24"/>
          <w:highlight w:val="none"/>
        </w:rPr>
        <w:t>议。</w:t>
      </w:r>
    </w:p>
    <w:p w14:paraId="0BB7D1D2">
      <w:pPr>
        <w:spacing w:before="312" w:line="184" w:lineRule="auto"/>
        <w:ind w:firstLine="461"/>
        <w:rPr>
          <w:rFonts w:ascii="宋体" w:hAnsi="宋体" w:cs="宋体"/>
          <w:color w:val="auto"/>
          <w:sz w:val="24"/>
          <w:highlight w:val="none"/>
        </w:rPr>
      </w:pPr>
      <w:r>
        <w:rPr>
          <w:rFonts w:ascii="宋体" w:hAnsi="宋体" w:cs="宋体"/>
          <w:color w:val="auto"/>
          <w:spacing w:val="-11"/>
          <w:sz w:val="24"/>
          <w:highlight w:val="none"/>
        </w:rPr>
        <w:t>1.</w:t>
      </w:r>
      <w:r>
        <w:rPr>
          <w:rFonts w:ascii="宋体" w:hAnsi="宋体" w:cs="宋体"/>
          <w:color w:val="auto"/>
          <w:spacing w:val="30"/>
          <w:sz w:val="24"/>
          <w:highlight w:val="none"/>
          <w:u w:val="single"/>
        </w:rPr>
        <w:t xml:space="preserve">    </w:t>
      </w:r>
      <w:r>
        <w:rPr>
          <w:rFonts w:ascii="宋体" w:hAnsi="宋体" w:cs="宋体"/>
          <w:color w:val="auto"/>
          <w:spacing w:val="-11"/>
          <w:sz w:val="24"/>
          <w:highlight w:val="none"/>
        </w:rPr>
        <w:t>（某成员单位名称）</w:t>
      </w:r>
      <w:r>
        <w:rPr>
          <w:rFonts w:ascii="宋体" w:hAnsi="宋体" w:cs="宋体"/>
          <w:color w:val="auto"/>
          <w:spacing w:val="-7"/>
          <w:sz w:val="24"/>
          <w:highlight w:val="none"/>
        </w:rPr>
        <w:t xml:space="preserve"> </w:t>
      </w:r>
      <w:r>
        <w:rPr>
          <w:rFonts w:ascii="宋体" w:hAnsi="宋体" w:cs="宋体"/>
          <w:color w:val="auto"/>
          <w:spacing w:val="-11"/>
          <w:sz w:val="24"/>
          <w:highlight w:val="none"/>
        </w:rPr>
        <w:t>为</w:t>
      </w:r>
      <w:r>
        <w:rPr>
          <w:rFonts w:ascii="宋体" w:hAnsi="宋体" w:cs="宋体"/>
          <w:color w:val="auto"/>
          <w:spacing w:val="15"/>
          <w:sz w:val="24"/>
          <w:highlight w:val="none"/>
          <w:u w:val="single"/>
        </w:rPr>
        <w:t xml:space="preserve">    </w:t>
      </w:r>
      <w:r>
        <w:rPr>
          <w:rFonts w:ascii="宋体" w:hAnsi="宋体" w:cs="宋体"/>
          <w:color w:val="auto"/>
          <w:spacing w:val="-11"/>
          <w:sz w:val="24"/>
          <w:highlight w:val="none"/>
        </w:rPr>
        <w:t>（联合体名称）</w:t>
      </w:r>
      <w:r>
        <w:rPr>
          <w:rFonts w:ascii="宋体" w:hAnsi="宋体" w:cs="宋体"/>
          <w:color w:val="auto"/>
          <w:spacing w:val="-8"/>
          <w:sz w:val="24"/>
          <w:highlight w:val="none"/>
        </w:rPr>
        <w:t xml:space="preserve"> </w:t>
      </w:r>
      <w:r>
        <w:rPr>
          <w:rFonts w:ascii="宋体" w:hAnsi="宋体" w:cs="宋体"/>
          <w:color w:val="auto"/>
          <w:spacing w:val="-11"/>
          <w:sz w:val="24"/>
          <w:highlight w:val="none"/>
        </w:rPr>
        <w:t>牵头人。</w:t>
      </w:r>
    </w:p>
    <w:p w14:paraId="38B74055">
      <w:pPr>
        <w:spacing w:before="74" w:line="221" w:lineRule="auto"/>
        <w:ind w:left="22" w:right="13" w:firstLine="423"/>
        <w:rPr>
          <w:rFonts w:ascii="宋体" w:hAnsi="宋体" w:cs="宋体"/>
          <w:color w:val="auto"/>
          <w:sz w:val="24"/>
          <w:highlight w:val="none"/>
        </w:rPr>
      </w:pPr>
      <w:r>
        <w:rPr>
          <w:rFonts w:ascii="宋体" w:hAnsi="宋体" w:cs="宋体"/>
          <w:color w:val="auto"/>
          <w:spacing w:val="-2"/>
          <w:sz w:val="24"/>
          <w:highlight w:val="none"/>
        </w:rPr>
        <w:t>2.联合体各成员授权牵头人代表联合体参加投标活动，签署文件及对文件的</w:t>
      </w:r>
      <w:r>
        <w:rPr>
          <w:rFonts w:ascii="宋体" w:hAnsi="宋体" w:cs="宋体"/>
          <w:color w:val="auto"/>
          <w:spacing w:val="22"/>
          <w:sz w:val="24"/>
          <w:highlight w:val="none"/>
        </w:rPr>
        <w:t xml:space="preserve"> </w:t>
      </w:r>
      <w:r>
        <w:rPr>
          <w:rFonts w:ascii="宋体" w:hAnsi="宋体" w:cs="宋体"/>
          <w:color w:val="auto"/>
          <w:sz w:val="24"/>
          <w:highlight w:val="none"/>
        </w:rPr>
        <w:t>盖章，提交和接收相关的资料、</w:t>
      </w:r>
      <w:r>
        <w:rPr>
          <w:rFonts w:ascii="宋体" w:hAnsi="宋体" w:cs="宋体"/>
          <w:color w:val="auto"/>
          <w:spacing w:val="17"/>
          <w:sz w:val="24"/>
          <w:highlight w:val="none"/>
        </w:rPr>
        <w:t xml:space="preserve"> </w:t>
      </w:r>
      <w:r>
        <w:rPr>
          <w:rFonts w:ascii="宋体" w:hAnsi="宋体" w:cs="宋体"/>
          <w:color w:val="auto"/>
          <w:sz w:val="24"/>
          <w:highlight w:val="none"/>
        </w:rPr>
        <w:t xml:space="preserve">信息及指示，进行合同谈判活动，负责合同实 </w:t>
      </w:r>
      <w:r>
        <w:rPr>
          <w:rFonts w:ascii="宋体" w:hAnsi="宋体" w:cs="宋体"/>
          <w:color w:val="auto"/>
          <w:spacing w:val="-3"/>
          <w:sz w:val="24"/>
          <w:highlight w:val="none"/>
        </w:rPr>
        <w:t>施阶段的组织和协调工作，以及处理与本招标项</w:t>
      </w:r>
      <w:r>
        <w:rPr>
          <w:rFonts w:ascii="宋体" w:hAnsi="宋体" w:cs="宋体"/>
          <w:color w:val="auto"/>
          <w:spacing w:val="81"/>
          <w:sz w:val="24"/>
          <w:highlight w:val="none"/>
        </w:rPr>
        <w:t xml:space="preserve"> </w:t>
      </w:r>
      <w:r>
        <w:rPr>
          <w:rFonts w:ascii="宋体" w:hAnsi="宋体" w:cs="宋体"/>
          <w:color w:val="auto"/>
          <w:spacing w:val="-3"/>
          <w:sz w:val="24"/>
          <w:highlight w:val="none"/>
        </w:rPr>
        <w:t>目有关的一切事宜。</w:t>
      </w:r>
    </w:p>
    <w:p w14:paraId="40EA3C20">
      <w:pPr>
        <w:spacing w:before="72"/>
        <w:ind w:left="23" w:right="13" w:firstLine="424"/>
        <w:rPr>
          <w:rFonts w:ascii="宋体" w:hAnsi="宋体" w:cs="宋体"/>
          <w:color w:val="auto"/>
          <w:sz w:val="24"/>
          <w:highlight w:val="none"/>
        </w:rPr>
      </w:pPr>
      <w:r>
        <w:rPr>
          <w:rFonts w:ascii="宋体" w:hAnsi="宋体" w:cs="宋体"/>
          <w:color w:val="auto"/>
          <w:spacing w:val="-2"/>
          <w:sz w:val="24"/>
          <w:highlight w:val="none"/>
        </w:rPr>
        <w:t>3.联合体牵头人在本项目中签署和盖章的一切文件和处理的一切事宜，联合</w:t>
      </w:r>
      <w:r>
        <w:rPr>
          <w:rFonts w:ascii="宋体" w:hAnsi="宋体" w:cs="宋体"/>
          <w:color w:val="auto"/>
          <w:spacing w:val="20"/>
          <w:sz w:val="24"/>
          <w:highlight w:val="none"/>
        </w:rPr>
        <w:t xml:space="preserve"> </w:t>
      </w:r>
      <w:r>
        <w:rPr>
          <w:rFonts w:ascii="宋体" w:hAnsi="宋体" w:cs="宋体"/>
          <w:color w:val="auto"/>
          <w:sz w:val="24"/>
          <w:highlight w:val="none"/>
        </w:rPr>
        <w:t>体各成员均予以承认。</w:t>
      </w:r>
      <w:r>
        <w:rPr>
          <w:rFonts w:ascii="宋体" w:hAnsi="宋体" w:cs="宋体"/>
          <w:color w:val="auto"/>
          <w:spacing w:val="14"/>
          <w:sz w:val="24"/>
          <w:highlight w:val="none"/>
        </w:rPr>
        <w:t xml:space="preserve"> </w:t>
      </w:r>
      <w:r>
        <w:rPr>
          <w:rFonts w:ascii="宋体" w:hAnsi="宋体" w:cs="宋体"/>
          <w:color w:val="auto"/>
          <w:sz w:val="24"/>
          <w:highlight w:val="none"/>
        </w:rPr>
        <w:t xml:space="preserve">联合体各成员将严格按照招标文件、投标文件和合同的 </w:t>
      </w:r>
      <w:r>
        <w:rPr>
          <w:rFonts w:ascii="宋体" w:hAnsi="宋体" w:cs="宋体"/>
          <w:color w:val="auto"/>
          <w:spacing w:val="-1"/>
          <w:sz w:val="24"/>
          <w:highlight w:val="none"/>
        </w:rPr>
        <w:t>要求全面履行义务，并向</w:t>
      </w:r>
      <w:r>
        <w:rPr>
          <w:rFonts w:hint="eastAsia" w:ascii="宋体" w:hAnsi="宋体" w:cs="宋体"/>
          <w:color w:val="auto"/>
          <w:spacing w:val="-1"/>
          <w:sz w:val="24"/>
          <w:highlight w:val="none"/>
        </w:rPr>
        <w:t>采购人</w:t>
      </w:r>
      <w:r>
        <w:rPr>
          <w:rFonts w:ascii="宋体" w:hAnsi="宋体" w:cs="宋体"/>
          <w:color w:val="auto"/>
          <w:spacing w:val="-1"/>
          <w:sz w:val="24"/>
          <w:highlight w:val="none"/>
        </w:rPr>
        <w:t>承担连带责任。</w:t>
      </w:r>
    </w:p>
    <w:p w14:paraId="4BFBD174">
      <w:pPr>
        <w:spacing w:line="204" w:lineRule="auto"/>
        <w:ind w:firstLine="442"/>
        <w:rPr>
          <w:rFonts w:ascii="宋体" w:hAnsi="宋体" w:cs="宋体"/>
          <w:color w:val="auto"/>
          <w:sz w:val="24"/>
          <w:highlight w:val="none"/>
        </w:rPr>
      </w:pPr>
      <w:r>
        <w:rPr>
          <w:rFonts w:ascii="宋体" w:hAnsi="宋体" w:cs="宋体"/>
          <w:color w:val="auto"/>
          <w:spacing w:val="-9"/>
          <w:sz w:val="24"/>
          <w:highlight w:val="none"/>
        </w:rPr>
        <w:t>4.联合体各成员单位内部的职责分工如下：</w:t>
      </w:r>
      <w:r>
        <w:rPr>
          <w:rFonts w:ascii="宋体" w:hAnsi="宋体" w:cs="宋体"/>
          <w:color w:val="auto"/>
          <w:spacing w:val="12"/>
          <w:sz w:val="24"/>
          <w:highlight w:val="none"/>
          <w:u w:val="single"/>
        </w:rPr>
        <w:t xml:space="preserve">     </w:t>
      </w:r>
      <w:r>
        <w:rPr>
          <w:rFonts w:ascii="宋体" w:hAnsi="宋体" w:cs="宋体"/>
          <w:color w:val="auto"/>
          <w:spacing w:val="-9"/>
          <w:sz w:val="24"/>
          <w:highlight w:val="none"/>
        </w:rPr>
        <w:t>。</w:t>
      </w:r>
    </w:p>
    <w:p w14:paraId="1AE07C11">
      <w:pPr>
        <w:spacing w:before="47" w:line="212" w:lineRule="auto"/>
        <w:ind w:left="26" w:right="13" w:firstLine="421"/>
        <w:rPr>
          <w:rFonts w:ascii="宋体" w:hAnsi="宋体" w:cs="宋体"/>
          <w:color w:val="auto"/>
          <w:sz w:val="24"/>
          <w:highlight w:val="none"/>
        </w:rPr>
      </w:pPr>
      <w:r>
        <w:rPr>
          <w:rFonts w:ascii="宋体" w:hAnsi="宋体" w:cs="宋体"/>
          <w:color w:val="auto"/>
          <w:spacing w:val="-5"/>
          <w:sz w:val="24"/>
          <w:highlight w:val="none"/>
        </w:rPr>
        <w:t>5.本协议书自所有成员单位法定代表人（单位负责人）</w:t>
      </w:r>
      <w:r>
        <w:rPr>
          <w:rFonts w:ascii="宋体" w:hAnsi="宋体" w:cs="宋体"/>
          <w:color w:val="auto"/>
          <w:spacing w:val="2"/>
          <w:sz w:val="24"/>
          <w:highlight w:val="none"/>
        </w:rPr>
        <w:t xml:space="preserve"> </w:t>
      </w:r>
      <w:r>
        <w:rPr>
          <w:rFonts w:ascii="宋体" w:hAnsi="宋体" w:cs="宋体"/>
          <w:color w:val="auto"/>
          <w:spacing w:val="-5"/>
          <w:sz w:val="24"/>
          <w:highlight w:val="none"/>
        </w:rPr>
        <w:t>或其委托代理人签字</w:t>
      </w:r>
      <w:r>
        <w:rPr>
          <w:rFonts w:ascii="宋体" w:hAnsi="宋体" w:cs="宋体"/>
          <w:color w:val="auto"/>
          <w:sz w:val="24"/>
          <w:highlight w:val="none"/>
        </w:rPr>
        <w:t xml:space="preserve"> </w:t>
      </w:r>
      <w:r>
        <w:rPr>
          <w:rFonts w:ascii="宋体" w:hAnsi="宋体" w:cs="宋体"/>
          <w:color w:val="auto"/>
          <w:spacing w:val="-3"/>
          <w:sz w:val="24"/>
          <w:highlight w:val="none"/>
        </w:rPr>
        <w:t>或盖单位章之</w:t>
      </w:r>
      <w:r>
        <w:rPr>
          <w:rFonts w:ascii="宋体" w:hAnsi="宋体" w:cs="宋体"/>
          <w:color w:val="auto"/>
          <w:spacing w:val="56"/>
          <w:sz w:val="24"/>
          <w:highlight w:val="none"/>
        </w:rPr>
        <w:t xml:space="preserve"> </w:t>
      </w:r>
      <w:r>
        <w:rPr>
          <w:rFonts w:ascii="宋体" w:hAnsi="宋体" w:cs="宋体"/>
          <w:color w:val="auto"/>
          <w:spacing w:val="-3"/>
          <w:sz w:val="24"/>
          <w:highlight w:val="none"/>
        </w:rPr>
        <w:t>日起生效，合同履行完毕后自动失效。</w:t>
      </w:r>
    </w:p>
    <w:p w14:paraId="4293504B">
      <w:pPr>
        <w:spacing w:before="73" w:line="184" w:lineRule="auto"/>
        <w:ind w:firstLine="445"/>
        <w:rPr>
          <w:rFonts w:ascii="宋体" w:hAnsi="宋体" w:cs="宋体"/>
          <w:color w:val="auto"/>
          <w:sz w:val="24"/>
          <w:highlight w:val="none"/>
        </w:rPr>
      </w:pPr>
      <w:r>
        <w:rPr>
          <w:rFonts w:ascii="宋体" w:hAnsi="宋体" w:cs="宋体"/>
          <w:color w:val="auto"/>
          <w:spacing w:val="-1"/>
          <w:sz w:val="24"/>
          <w:highlight w:val="none"/>
        </w:rPr>
        <w:t>6.本协议书一式</w:t>
      </w:r>
      <w:r>
        <w:rPr>
          <w:rFonts w:ascii="宋体" w:hAnsi="宋体" w:cs="宋体"/>
          <w:color w:val="auto"/>
          <w:spacing w:val="24"/>
          <w:sz w:val="24"/>
          <w:highlight w:val="none"/>
          <w:u w:val="single"/>
        </w:rPr>
        <w:t xml:space="preserve">   </w:t>
      </w:r>
      <w:r>
        <w:rPr>
          <w:rFonts w:ascii="宋体" w:hAnsi="宋体" w:cs="宋体"/>
          <w:color w:val="auto"/>
          <w:spacing w:val="-1"/>
          <w:sz w:val="24"/>
          <w:highlight w:val="none"/>
        </w:rPr>
        <w:t>份，联合体成员和</w:t>
      </w:r>
      <w:r>
        <w:rPr>
          <w:rFonts w:hint="eastAsia" w:ascii="宋体" w:hAnsi="宋体" w:cs="宋体"/>
          <w:color w:val="auto"/>
          <w:spacing w:val="-1"/>
          <w:sz w:val="24"/>
          <w:highlight w:val="none"/>
        </w:rPr>
        <w:t>采购人</w:t>
      </w:r>
      <w:r>
        <w:rPr>
          <w:rFonts w:ascii="宋体" w:hAnsi="宋体" w:cs="宋体"/>
          <w:color w:val="auto"/>
          <w:spacing w:val="-1"/>
          <w:sz w:val="24"/>
          <w:highlight w:val="none"/>
        </w:rPr>
        <w:t>各执一份。</w:t>
      </w:r>
    </w:p>
    <w:p w14:paraId="05267562">
      <w:pPr>
        <w:spacing w:line="269" w:lineRule="auto"/>
        <w:rPr>
          <w:rFonts w:ascii="宋体"/>
          <w:color w:val="auto"/>
          <w:highlight w:val="none"/>
        </w:rPr>
      </w:pPr>
    </w:p>
    <w:p w14:paraId="51A28ECC">
      <w:pPr>
        <w:spacing w:before="78"/>
        <w:ind w:left="32" w:right="13" w:firstLine="410"/>
        <w:rPr>
          <w:rFonts w:ascii="宋体" w:hAnsi="宋体" w:cs="宋体"/>
          <w:color w:val="auto"/>
          <w:sz w:val="24"/>
          <w:highlight w:val="none"/>
        </w:rPr>
      </w:pPr>
      <w:r>
        <w:rPr>
          <w:rFonts w:ascii="宋体" w:hAnsi="宋体" w:cs="宋体"/>
          <w:color w:val="auto"/>
          <w:spacing w:val="-10"/>
          <w:sz w:val="24"/>
          <w:highlight w:val="none"/>
        </w:rPr>
        <w:t>注：</w:t>
      </w:r>
      <w:r>
        <w:rPr>
          <w:rFonts w:ascii="宋体" w:hAnsi="宋体" w:cs="宋体"/>
          <w:color w:val="auto"/>
          <w:spacing w:val="61"/>
          <w:sz w:val="24"/>
          <w:highlight w:val="none"/>
        </w:rPr>
        <w:t xml:space="preserve"> </w:t>
      </w:r>
      <w:r>
        <w:rPr>
          <w:rFonts w:ascii="宋体" w:hAnsi="宋体" w:cs="宋体"/>
          <w:color w:val="auto"/>
          <w:spacing w:val="-10"/>
          <w:sz w:val="24"/>
          <w:highlight w:val="none"/>
        </w:rPr>
        <w:t>本协议书由法定代表人（单位负责人）</w:t>
      </w:r>
      <w:r>
        <w:rPr>
          <w:rFonts w:ascii="宋体" w:hAnsi="宋体" w:cs="宋体"/>
          <w:color w:val="auto"/>
          <w:spacing w:val="-14"/>
          <w:sz w:val="24"/>
          <w:highlight w:val="none"/>
        </w:rPr>
        <w:t xml:space="preserve"> </w:t>
      </w:r>
      <w:r>
        <w:rPr>
          <w:rFonts w:ascii="宋体" w:hAnsi="宋体" w:cs="宋体"/>
          <w:color w:val="auto"/>
          <w:spacing w:val="-10"/>
          <w:sz w:val="24"/>
          <w:highlight w:val="none"/>
        </w:rPr>
        <w:t>签字的，应附法定代表人（单位</w:t>
      </w:r>
      <w:r>
        <w:rPr>
          <w:rFonts w:ascii="宋体" w:hAnsi="宋体" w:cs="宋体"/>
          <w:color w:val="auto"/>
          <w:sz w:val="24"/>
          <w:highlight w:val="none"/>
        </w:rPr>
        <w:t xml:space="preserve"> </w:t>
      </w:r>
      <w:r>
        <w:rPr>
          <w:rFonts w:ascii="宋体" w:hAnsi="宋体" w:cs="宋体"/>
          <w:color w:val="auto"/>
          <w:spacing w:val="-23"/>
          <w:w w:val="99"/>
          <w:sz w:val="24"/>
          <w:highlight w:val="none"/>
        </w:rPr>
        <w:t>负责人）</w:t>
      </w:r>
      <w:r>
        <w:rPr>
          <w:rFonts w:ascii="宋体" w:hAnsi="宋体" w:cs="宋体"/>
          <w:color w:val="auto"/>
          <w:spacing w:val="13"/>
          <w:sz w:val="24"/>
          <w:highlight w:val="none"/>
        </w:rPr>
        <w:t xml:space="preserve"> </w:t>
      </w:r>
      <w:r>
        <w:rPr>
          <w:rFonts w:ascii="宋体" w:hAnsi="宋体" w:cs="宋体"/>
          <w:color w:val="auto"/>
          <w:spacing w:val="-23"/>
          <w:w w:val="99"/>
          <w:sz w:val="24"/>
          <w:highlight w:val="none"/>
        </w:rPr>
        <w:t>身份</w:t>
      </w:r>
    </w:p>
    <w:p w14:paraId="0BBC49E8">
      <w:pPr>
        <w:spacing w:line="202" w:lineRule="auto"/>
        <w:ind w:firstLine="443"/>
        <w:rPr>
          <w:rFonts w:ascii="宋体" w:hAnsi="宋体" w:cs="宋体"/>
          <w:color w:val="auto"/>
          <w:sz w:val="24"/>
          <w:highlight w:val="none"/>
        </w:rPr>
      </w:pPr>
      <w:r>
        <w:rPr>
          <w:rFonts w:ascii="宋体" w:hAnsi="宋体" w:cs="宋体"/>
          <w:color w:val="auto"/>
          <w:spacing w:val="-11"/>
          <w:sz w:val="24"/>
          <w:highlight w:val="none"/>
        </w:rPr>
        <w:t>证明；</w:t>
      </w:r>
      <w:r>
        <w:rPr>
          <w:rFonts w:ascii="宋体" w:hAnsi="宋体" w:cs="宋体"/>
          <w:color w:val="auto"/>
          <w:spacing w:val="101"/>
          <w:sz w:val="24"/>
          <w:highlight w:val="none"/>
        </w:rPr>
        <w:t xml:space="preserve"> </w:t>
      </w:r>
      <w:r>
        <w:rPr>
          <w:rFonts w:ascii="宋体" w:hAnsi="宋体" w:cs="宋体"/>
          <w:color w:val="auto"/>
          <w:spacing w:val="-11"/>
          <w:sz w:val="24"/>
          <w:highlight w:val="none"/>
        </w:rPr>
        <w:t>由委托代理人签字的，应附授权委托书。</w:t>
      </w:r>
    </w:p>
    <w:p w14:paraId="41D2ED14">
      <w:pPr>
        <w:spacing w:line="249" w:lineRule="auto"/>
        <w:rPr>
          <w:rFonts w:ascii="宋体"/>
          <w:color w:val="auto"/>
          <w:highlight w:val="none"/>
        </w:rPr>
      </w:pPr>
    </w:p>
    <w:p w14:paraId="2304BD6A">
      <w:pPr>
        <w:spacing w:before="79" w:line="184" w:lineRule="auto"/>
        <w:ind w:firstLine="444"/>
        <w:rPr>
          <w:rFonts w:ascii="宋体" w:hAnsi="宋体" w:cs="宋体"/>
          <w:color w:val="auto"/>
          <w:sz w:val="24"/>
          <w:highlight w:val="none"/>
        </w:rPr>
      </w:pPr>
      <w:r>
        <w:rPr>
          <w:rFonts w:ascii="宋体" w:hAnsi="宋体" w:cs="宋体"/>
          <w:color w:val="auto"/>
          <w:spacing w:val="2"/>
          <w:sz w:val="24"/>
          <w:highlight w:val="none"/>
        </w:rPr>
        <w:t>联合体牵头人名称</w:t>
      </w:r>
      <w:r>
        <w:rPr>
          <w:rFonts w:ascii="宋体" w:hAnsi="宋体" w:cs="宋体"/>
          <w:color w:val="auto"/>
          <w:spacing w:val="-102"/>
          <w:sz w:val="24"/>
          <w:highlight w:val="none"/>
        </w:rPr>
        <w:t>：</w:t>
      </w:r>
      <w:r>
        <w:rPr>
          <w:rFonts w:ascii="宋体" w:hAnsi="宋体" w:cs="宋体"/>
          <w:color w:val="auto"/>
          <w:spacing w:val="11"/>
          <w:sz w:val="24"/>
          <w:highlight w:val="none"/>
        </w:rPr>
        <w:t xml:space="preserve">    </w:t>
      </w:r>
      <w:r>
        <w:rPr>
          <w:rFonts w:hint="eastAsia" w:ascii="宋体" w:hAnsi="宋体" w:cs="宋体"/>
          <w:color w:val="auto"/>
          <w:spacing w:val="11"/>
          <w:sz w:val="24"/>
          <w:highlight w:val="none"/>
        </w:rPr>
        <w:t>（盖</w:t>
      </w:r>
      <w:r>
        <w:rPr>
          <w:rFonts w:ascii="宋体" w:hAnsi="宋体" w:cs="宋体"/>
          <w:color w:val="auto"/>
          <w:spacing w:val="2"/>
          <w:sz w:val="24"/>
          <w:highlight w:val="none"/>
        </w:rPr>
        <w:t>单位章）</w:t>
      </w:r>
    </w:p>
    <w:p w14:paraId="650B925E">
      <w:pPr>
        <w:spacing w:line="269" w:lineRule="auto"/>
        <w:rPr>
          <w:rFonts w:ascii="宋体"/>
          <w:color w:val="auto"/>
          <w:highlight w:val="none"/>
        </w:rPr>
      </w:pPr>
    </w:p>
    <w:p w14:paraId="60BF0F79">
      <w:pPr>
        <w:spacing w:before="79" w:line="184" w:lineRule="auto"/>
        <w:ind w:firstLine="444"/>
        <w:rPr>
          <w:rFonts w:ascii="宋体" w:hAnsi="宋体" w:cs="宋体"/>
          <w:color w:val="auto"/>
          <w:sz w:val="24"/>
          <w:highlight w:val="none"/>
        </w:rPr>
      </w:pPr>
      <w:r>
        <w:rPr>
          <w:rFonts w:ascii="宋体" w:hAnsi="宋体" w:cs="宋体"/>
          <w:color w:val="auto"/>
          <w:spacing w:val="-4"/>
          <w:sz w:val="24"/>
          <w:highlight w:val="none"/>
        </w:rPr>
        <w:t>法定代表人（单位负责人）</w:t>
      </w:r>
      <w:r>
        <w:rPr>
          <w:rFonts w:ascii="宋体" w:hAnsi="宋体" w:cs="宋体"/>
          <w:color w:val="auto"/>
          <w:spacing w:val="-7"/>
          <w:sz w:val="24"/>
          <w:highlight w:val="none"/>
        </w:rPr>
        <w:t xml:space="preserve"> </w:t>
      </w:r>
      <w:r>
        <w:rPr>
          <w:rFonts w:ascii="宋体" w:hAnsi="宋体" w:cs="宋体"/>
          <w:color w:val="auto"/>
          <w:spacing w:val="-4"/>
          <w:sz w:val="24"/>
          <w:highlight w:val="none"/>
        </w:rPr>
        <w:t>或其委托代理人</w:t>
      </w:r>
      <w:r>
        <w:rPr>
          <w:rFonts w:ascii="宋体" w:hAnsi="宋体" w:cs="宋体"/>
          <w:color w:val="auto"/>
          <w:spacing w:val="-101"/>
          <w:sz w:val="24"/>
          <w:highlight w:val="none"/>
        </w:rPr>
        <w:t>：</w:t>
      </w:r>
      <w:r>
        <w:rPr>
          <w:rFonts w:ascii="宋体" w:hAnsi="宋体" w:cs="宋体"/>
          <w:color w:val="auto"/>
          <w:spacing w:val="15"/>
          <w:sz w:val="24"/>
          <w:highlight w:val="none"/>
        </w:rPr>
        <w:t xml:space="preserve">   </w:t>
      </w:r>
      <w:r>
        <w:rPr>
          <w:rFonts w:ascii="宋体" w:hAnsi="宋体" w:cs="宋体"/>
          <w:color w:val="auto"/>
          <w:spacing w:val="-4"/>
          <w:sz w:val="24"/>
          <w:highlight w:val="none"/>
        </w:rPr>
        <w:t>（签字）</w:t>
      </w:r>
    </w:p>
    <w:p w14:paraId="44CA3749">
      <w:pPr>
        <w:spacing w:line="269" w:lineRule="auto"/>
        <w:rPr>
          <w:rFonts w:ascii="宋体"/>
          <w:color w:val="auto"/>
          <w:highlight w:val="none"/>
        </w:rPr>
      </w:pPr>
    </w:p>
    <w:p w14:paraId="4DC2B3B4">
      <w:pPr>
        <w:spacing w:before="79" w:line="184" w:lineRule="auto"/>
        <w:ind w:firstLine="444"/>
        <w:rPr>
          <w:rFonts w:ascii="宋体" w:hAnsi="宋体" w:cs="宋体"/>
          <w:color w:val="auto"/>
          <w:sz w:val="24"/>
          <w:highlight w:val="none"/>
        </w:rPr>
      </w:pPr>
      <w:r>
        <w:rPr>
          <w:rFonts w:ascii="宋体" w:hAnsi="宋体" w:cs="宋体"/>
          <w:color w:val="auto"/>
          <w:spacing w:val="2"/>
          <w:sz w:val="24"/>
          <w:highlight w:val="none"/>
        </w:rPr>
        <w:t>联合体成员名称</w:t>
      </w:r>
      <w:r>
        <w:rPr>
          <w:rFonts w:ascii="宋体" w:hAnsi="宋体" w:cs="宋体"/>
          <w:color w:val="auto"/>
          <w:spacing w:val="-101"/>
          <w:sz w:val="24"/>
          <w:highlight w:val="none"/>
        </w:rPr>
        <w:t>：</w:t>
      </w:r>
      <w:r>
        <w:rPr>
          <w:rFonts w:ascii="宋体" w:hAnsi="宋体" w:cs="宋体"/>
          <w:color w:val="auto"/>
          <w:spacing w:val="53"/>
          <w:sz w:val="24"/>
          <w:highlight w:val="none"/>
        </w:rPr>
        <w:t xml:space="preserve"> </w:t>
      </w:r>
      <w:r>
        <w:rPr>
          <w:rFonts w:hint="eastAsia" w:ascii="宋体" w:hAnsi="宋体" w:cs="宋体"/>
          <w:color w:val="auto"/>
          <w:spacing w:val="11"/>
          <w:sz w:val="24"/>
          <w:highlight w:val="none"/>
        </w:rPr>
        <w:t>（盖</w:t>
      </w:r>
      <w:r>
        <w:rPr>
          <w:rFonts w:ascii="宋体" w:hAnsi="宋体" w:cs="宋体"/>
          <w:color w:val="auto"/>
          <w:spacing w:val="2"/>
          <w:sz w:val="24"/>
          <w:highlight w:val="none"/>
        </w:rPr>
        <w:t>单位章）</w:t>
      </w:r>
    </w:p>
    <w:p w14:paraId="2C8025F8">
      <w:pPr>
        <w:spacing w:before="79" w:line="184" w:lineRule="auto"/>
        <w:ind w:firstLine="444"/>
        <w:rPr>
          <w:rFonts w:ascii="宋体" w:hAnsi="宋体" w:cs="宋体"/>
          <w:color w:val="auto"/>
          <w:sz w:val="24"/>
          <w:highlight w:val="none"/>
        </w:rPr>
      </w:pPr>
    </w:p>
    <w:p w14:paraId="31D2277A">
      <w:pPr>
        <w:spacing w:before="78" w:line="184" w:lineRule="auto"/>
        <w:ind w:firstLine="444"/>
        <w:rPr>
          <w:rFonts w:ascii="宋体" w:hAnsi="宋体" w:cs="宋体"/>
          <w:color w:val="auto"/>
          <w:sz w:val="24"/>
          <w:highlight w:val="none"/>
        </w:rPr>
      </w:pPr>
      <w:r>
        <w:rPr>
          <w:rFonts w:ascii="宋体" w:hAnsi="宋体" w:cs="宋体"/>
          <w:color w:val="auto"/>
          <w:spacing w:val="-4"/>
          <w:sz w:val="24"/>
          <w:highlight w:val="none"/>
        </w:rPr>
        <w:t>法定代表人（单位负责人）</w:t>
      </w:r>
      <w:r>
        <w:rPr>
          <w:rFonts w:ascii="宋体" w:hAnsi="宋体" w:cs="宋体"/>
          <w:color w:val="auto"/>
          <w:spacing w:val="-7"/>
          <w:sz w:val="24"/>
          <w:highlight w:val="none"/>
        </w:rPr>
        <w:t xml:space="preserve"> </w:t>
      </w:r>
      <w:r>
        <w:rPr>
          <w:rFonts w:ascii="宋体" w:hAnsi="宋体" w:cs="宋体"/>
          <w:color w:val="auto"/>
          <w:spacing w:val="-4"/>
          <w:sz w:val="24"/>
          <w:highlight w:val="none"/>
        </w:rPr>
        <w:t>或其委托代理人</w:t>
      </w:r>
      <w:r>
        <w:rPr>
          <w:rFonts w:ascii="宋体" w:hAnsi="宋体" w:cs="宋体"/>
          <w:color w:val="auto"/>
          <w:spacing w:val="-101"/>
          <w:sz w:val="24"/>
          <w:highlight w:val="none"/>
        </w:rPr>
        <w:t>：</w:t>
      </w:r>
      <w:r>
        <w:rPr>
          <w:rFonts w:ascii="宋体" w:hAnsi="宋体" w:cs="宋体"/>
          <w:color w:val="auto"/>
          <w:spacing w:val="15"/>
          <w:sz w:val="24"/>
          <w:highlight w:val="none"/>
        </w:rPr>
        <w:t xml:space="preserve">  </w:t>
      </w:r>
      <w:r>
        <w:rPr>
          <w:rFonts w:ascii="宋体" w:hAnsi="宋体" w:cs="宋体"/>
          <w:color w:val="auto"/>
          <w:spacing w:val="-4"/>
          <w:sz w:val="24"/>
          <w:highlight w:val="none"/>
        </w:rPr>
        <w:t xml:space="preserve"> （签字）</w:t>
      </w:r>
    </w:p>
    <w:p w14:paraId="2BC7B4D3">
      <w:pPr>
        <w:spacing w:line="269" w:lineRule="auto"/>
        <w:rPr>
          <w:rFonts w:ascii="宋体"/>
          <w:color w:val="auto"/>
          <w:highlight w:val="none"/>
        </w:rPr>
      </w:pPr>
    </w:p>
    <w:p w14:paraId="087D391B">
      <w:pPr>
        <w:spacing w:before="79" w:line="184" w:lineRule="auto"/>
        <w:ind w:firstLine="444"/>
        <w:rPr>
          <w:rFonts w:ascii="宋体" w:hAnsi="宋体" w:cs="宋体"/>
          <w:color w:val="auto"/>
          <w:sz w:val="24"/>
          <w:highlight w:val="none"/>
        </w:rPr>
      </w:pPr>
      <w:r>
        <w:rPr>
          <w:rFonts w:ascii="宋体" w:hAnsi="宋体" w:cs="宋体"/>
          <w:color w:val="auto"/>
          <w:spacing w:val="2"/>
          <w:sz w:val="24"/>
          <w:highlight w:val="none"/>
        </w:rPr>
        <w:t>联合体成员名称</w:t>
      </w:r>
      <w:r>
        <w:rPr>
          <w:rFonts w:ascii="宋体" w:hAnsi="宋体" w:cs="宋体"/>
          <w:color w:val="auto"/>
          <w:spacing w:val="-101"/>
          <w:sz w:val="24"/>
          <w:highlight w:val="none"/>
        </w:rPr>
        <w:t>：</w:t>
      </w:r>
      <w:r>
        <w:rPr>
          <w:rFonts w:ascii="宋体" w:hAnsi="宋体" w:cs="宋体"/>
          <w:color w:val="auto"/>
          <w:spacing w:val="53"/>
          <w:sz w:val="24"/>
          <w:highlight w:val="none"/>
        </w:rPr>
        <w:t xml:space="preserve">  </w:t>
      </w:r>
      <w:r>
        <w:rPr>
          <w:rFonts w:hint="eastAsia" w:ascii="宋体" w:hAnsi="宋体" w:cs="宋体"/>
          <w:color w:val="auto"/>
          <w:spacing w:val="11"/>
          <w:sz w:val="24"/>
          <w:highlight w:val="none"/>
        </w:rPr>
        <w:t>（盖</w:t>
      </w:r>
      <w:r>
        <w:rPr>
          <w:rFonts w:ascii="宋体" w:hAnsi="宋体" w:cs="宋体"/>
          <w:color w:val="auto"/>
          <w:spacing w:val="2"/>
          <w:sz w:val="24"/>
          <w:highlight w:val="none"/>
        </w:rPr>
        <w:t>单位章）</w:t>
      </w:r>
    </w:p>
    <w:p w14:paraId="7D29D7D2">
      <w:pPr>
        <w:spacing w:line="269" w:lineRule="auto"/>
        <w:rPr>
          <w:rFonts w:ascii="宋体"/>
          <w:color w:val="auto"/>
          <w:highlight w:val="none"/>
        </w:rPr>
      </w:pPr>
    </w:p>
    <w:p w14:paraId="56649F55">
      <w:pPr>
        <w:spacing w:before="79" w:line="184" w:lineRule="auto"/>
        <w:ind w:firstLine="444"/>
        <w:rPr>
          <w:rFonts w:ascii="宋体" w:hAnsi="宋体" w:cs="宋体"/>
          <w:color w:val="auto"/>
          <w:spacing w:val="-4"/>
          <w:sz w:val="24"/>
          <w:highlight w:val="none"/>
        </w:rPr>
      </w:pPr>
      <w:r>
        <w:rPr>
          <w:rFonts w:ascii="宋体" w:hAnsi="宋体" w:cs="宋体"/>
          <w:color w:val="auto"/>
          <w:spacing w:val="-4"/>
          <w:sz w:val="24"/>
          <w:highlight w:val="none"/>
        </w:rPr>
        <w:t>法定代表人（单位负责人）</w:t>
      </w:r>
      <w:r>
        <w:rPr>
          <w:rFonts w:ascii="宋体" w:hAnsi="宋体" w:cs="宋体"/>
          <w:color w:val="auto"/>
          <w:spacing w:val="-7"/>
          <w:sz w:val="24"/>
          <w:highlight w:val="none"/>
        </w:rPr>
        <w:t xml:space="preserve"> </w:t>
      </w:r>
      <w:r>
        <w:rPr>
          <w:rFonts w:ascii="宋体" w:hAnsi="宋体" w:cs="宋体"/>
          <w:color w:val="auto"/>
          <w:spacing w:val="-4"/>
          <w:sz w:val="24"/>
          <w:highlight w:val="none"/>
        </w:rPr>
        <w:t>或其委托代理人</w:t>
      </w:r>
      <w:r>
        <w:rPr>
          <w:rFonts w:ascii="宋体" w:hAnsi="宋体" w:cs="宋体"/>
          <w:color w:val="auto"/>
          <w:spacing w:val="-101"/>
          <w:sz w:val="24"/>
          <w:highlight w:val="none"/>
        </w:rPr>
        <w:t>：</w:t>
      </w:r>
      <w:r>
        <w:rPr>
          <w:rFonts w:ascii="宋体" w:hAnsi="宋体" w:cs="宋体"/>
          <w:color w:val="auto"/>
          <w:spacing w:val="15"/>
          <w:sz w:val="24"/>
          <w:highlight w:val="none"/>
        </w:rPr>
        <w:t xml:space="preserve"> </w:t>
      </w:r>
      <w:r>
        <w:rPr>
          <w:rFonts w:ascii="宋体" w:hAnsi="宋体" w:cs="宋体"/>
          <w:color w:val="auto"/>
          <w:spacing w:val="-4"/>
          <w:sz w:val="24"/>
          <w:highlight w:val="none"/>
        </w:rPr>
        <w:t xml:space="preserve">  （签字）</w:t>
      </w:r>
    </w:p>
    <w:p w14:paraId="18B3491A">
      <w:pPr>
        <w:spacing w:line="356" w:lineRule="auto"/>
        <w:rPr>
          <w:rFonts w:ascii="宋体"/>
          <w:color w:val="auto"/>
          <w:highlight w:val="none"/>
        </w:rPr>
      </w:pPr>
    </w:p>
    <w:p w14:paraId="1DC60E70">
      <w:pPr>
        <w:spacing w:before="79" w:line="170" w:lineRule="exact"/>
        <w:ind w:firstLine="458"/>
        <w:rPr>
          <w:rFonts w:ascii="宋体" w:hAnsi="宋体" w:cs="宋体"/>
          <w:color w:val="auto"/>
          <w:sz w:val="24"/>
          <w:highlight w:val="none"/>
        </w:rPr>
      </w:pPr>
      <w:r>
        <w:rPr>
          <w:rFonts w:ascii="宋体" w:hAnsi="宋体" w:cs="宋体"/>
          <w:color w:val="auto"/>
          <w:spacing w:val="-13"/>
          <w:sz w:val="24"/>
          <w:highlight w:val="none"/>
        </w:rPr>
        <w:t>……</w:t>
      </w:r>
    </w:p>
    <w:p w14:paraId="4AB21486">
      <w:pPr>
        <w:spacing w:line="243" w:lineRule="auto"/>
        <w:rPr>
          <w:rFonts w:ascii="宋体"/>
          <w:color w:val="auto"/>
          <w:highlight w:val="none"/>
        </w:rPr>
      </w:pPr>
    </w:p>
    <w:p w14:paraId="7F4D766E">
      <w:pPr>
        <w:spacing w:before="79" w:line="184" w:lineRule="auto"/>
        <w:ind w:firstLine="864"/>
        <w:rPr>
          <w:rFonts w:ascii="宋体" w:hAnsi="宋体" w:cs="宋体"/>
          <w:color w:val="auto"/>
          <w:sz w:val="24"/>
          <w:highlight w:val="none"/>
        </w:rPr>
      </w:pPr>
      <w:r>
        <w:rPr>
          <w:rFonts w:ascii="宋体" w:hAnsi="宋体" w:cs="宋体"/>
          <w:color w:val="auto"/>
          <w:spacing w:val="-9"/>
          <w:sz w:val="24"/>
          <w:highlight w:val="none"/>
        </w:rPr>
        <w:t>年</w:t>
      </w:r>
      <w:r>
        <w:rPr>
          <w:rFonts w:ascii="宋体" w:hAnsi="宋体" w:cs="宋体"/>
          <w:color w:val="auto"/>
          <w:spacing w:val="76"/>
          <w:sz w:val="24"/>
          <w:highlight w:val="none"/>
        </w:rPr>
        <w:t xml:space="preserve"> </w:t>
      </w:r>
      <w:r>
        <w:rPr>
          <w:rFonts w:ascii="宋体" w:hAnsi="宋体" w:cs="宋体"/>
          <w:color w:val="auto"/>
          <w:spacing w:val="-9"/>
          <w:sz w:val="24"/>
          <w:highlight w:val="none"/>
        </w:rPr>
        <w:t>月</w:t>
      </w:r>
      <w:r>
        <w:rPr>
          <w:rFonts w:ascii="宋体" w:hAnsi="宋体" w:cs="宋体"/>
          <w:color w:val="auto"/>
          <w:spacing w:val="111"/>
          <w:sz w:val="24"/>
          <w:highlight w:val="none"/>
        </w:rPr>
        <w:t xml:space="preserve"> </w:t>
      </w:r>
      <w:r>
        <w:rPr>
          <w:rFonts w:ascii="宋体" w:hAnsi="宋体" w:cs="宋体"/>
          <w:color w:val="auto"/>
          <w:spacing w:val="-9"/>
          <w:sz w:val="24"/>
          <w:highlight w:val="none"/>
        </w:rPr>
        <w:t>日</w:t>
      </w:r>
    </w:p>
    <w:p w14:paraId="2A53390F">
      <w:pPr>
        <w:spacing w:before="75" w:line="228" w:lineRule="auto"/>
        <w:ind w:left="3676"/>
        <w:rPr>
          <w:rFonts w:ascii="宋体" w:hAnsi="宋体" w:cs="宋体"/>
          <w:color w:val="auto"/>
          <w:sz w:val="23"/>
          <w:szCs w:val="23"/>
          <w:highlight w:val="none"/>
        </w:rPr>
      </w:pPr>
      <w:r>
        <w:rPr>
          <w:color w:val="auto"/>
          <w:highlight w:val="none"/>
        </w:rPr>
        <w:br w:type="page"/>
      </w:r>
      <w:r>
        <w:rPr>
          <w:rFonts w:ascii="宋体" w:hAnsi="宋体" w:cs="宋体"/>
          <w:b/>
          <w:bCs/>
          <w:color w:val="auto"/>
          <w:spacing w:val="15"/>
          <w:sz w:val="32"/>
          <w:szCs w:val="32"/>
          <w:highlight w:val="none"/>
        </w:rPr>
        <w:t>广</w:t>
      </w:r>
      <w:r>
        <w:rPr>
          <w:rFonts w:ascii="宋体" w:hAnsi="宋体" w:cs="宋体"/>
          <w:b/>
          <w:bCs/>
          <w:color w:val="auto"/>
          <w:spacing w:val="9"/>
          <w:sz w:val="32"/>
          <w:szCs w:val="32"/>
          <w:highlight w:val="none"/>
        </w:rPr>
        <w:t>西工业产品声明函</w:t>
      </w:r>
    </w:p>
    <w:p w14:paraId="7AE6A3F7">
      <w:pPr>
        <w:spacing w:line="290" w:lineRule="auto"/>
        <w:rPr>
          <w:rFonts w:ascii="Arial"/>
          <w:color w:val="auto"/>
          <w:highlight w:val="none"/>
        </w:rPr>
      </w:pPr>
    </w:p>
    <w:p w14:paraId="31ED0D6C">
      <w:pPr>
        <w:spacing w:before="65" w:line="228" w:lineRule="auto"/>
        <w:ind w:left="71" w:firstLine="432" w:firstLineChars="200"/>
        <w:rPr>
          <w:rFonts w:ascii="宋体" w:hAnsi="宋体" w:cs="宋体"/>
          <w:color w:val="auto"/>
          <w:sz w:val="20"/>
          <w:szCs w:val="20"/>
          <w:highlight w:val="none"/>
        </w:rPr>
      </w:pPr>
      <w:r>
        <w:rPr>
          <w:rFonts w:ascii="宋体" w:hAnsi="宋体" w:cs="宋体"/>
          <w:color w:val="auto"/>
          <w:spacing w:val="8"/>
          <w:sz w:val="20"/>
          <w:szCs w:val="20"/>
          <w:highlight w:val="none"/>
        </w:rPr>
        <w:t>本公司郑重声明，根据《招标采购促进广西工业产品产销对接实施细则》的规定，本公司在本次投标中</w:t>
      </w:r>
      <w:r>
        <w:rPr>
          <w:rFonts w:ascii="宋体" w:hAnsi="宋体" w:cs="宋体"/>
          <w:color w:val="auto"/>
          <w:spacing w:val="13"/>
          <w:sz w:val="20"/>
          <w:szCs w:val="20"/>
          <w:highlight w:val="none"/>
        </w:rPr>
        <w:t>提</w:t>
      </w:r>
      <w:r>
        <w:rPr>
          <w:rFonts w:ascii="宋体" w:hAnsi="宋体" w:cs="宋体"/>
          <w:color w:val="auto"/>
          <w:spacing w:val="9"/>
          <w:sz w:val="20"/>
          <w:szCs w:val="20"/>
          <w:highlight w:val="none"/>
        </w:rPr>
        <w:t>供的下述产品为广西工业产品，详情如下:</w:t>
      </w:r>
    </w:p>
    <w:p w14:paraId="08E350F1">
      <w:pPr>
        <w:spacing w:line="202" w:lineRule="exact"/>
        <w:rPr>
          <w:color w:val="auto"/>
          <w:highlight w:val="none"/>
        </w:rPr>
      </w:pPr>
    </w:p>
    <w:tbl>
      <w:tblPr>
        <w:tblStyle w:val="21"/>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1981"/>
        <w:gridCol w:w="1579"/>
        <w:gridCol w:w="963"/>
        <w:gridCol w:w="2213"/>
        <w:gridCol w:w="1108"/>
        <w:gridCol w:w="785"/>
      </w:tblGrid>
      <w:tr w14:paraId="2DED8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862" w:type="dxa"/>
          </w:tcPr>
          <w:p w14:paraId="165FAB65">
            <w:pPr>
              <w:spacing w:line="261" w:lineRule="auto"/>
              <w:rPr>
                <w:rFonts w:ascii="Arial"/>
                <w:color w:val="auto"/>
                <w:highlight w:val="none"/>
              </w:rPr>
            </w:pPr>
          </w:p>
          <w:p w14:paraId="5C454DA2">
            <w:pPr>
              <w:spacing w:before="65" w:line="230" w:lineRule="auto"/>
              <w:ind w:left="225"/>
              <w:rPr>
                <w:rFonts w:ascii="宋体" w:hAnsi="宋体" w:cs="宋体"/>
                <w:color w:val="auto"/>
                <w:sz w:val="20"/>
                <w:szCs w:val="20"/>
                <w:highlight w:val="none"/>
              </w:rPr>
            </w:pPr>
            <w:r>
              <w:rPr>
                <w:rFonts w:ascii="宋体" w:hAnsi="宋体" w:cs="宋体"/>
                <w:color w:val="auto"/>
                <w:spacing w:val="5"/>
                <w:sz w:val="20"/>
                <w:szCs w:val="20"/>
                <w:highlight w:val="none"/>
              </w:rPr>
              <w:t>序号</w:t>
            </w:r>
          </w:p>
        </w:tc>
        <w:tc>
          <w:tcPr>
            <w:tcW w:w="1981" w:type="dxa"/>
          </w:tcPr>
          <w:p w14:paraId="51A25F38">
            <w:pPr>
              <w:spacing w:line="262" w:lineRule="auto"/>
              <w:rPr>
                <w:rFonts w:ascii="Arial"/>
                <w:color w:val="auto"/>
                <w:highlight w:val="none"/>
              </w:rPr>
            </w:pPr>
          </w:p>
          <w:p w14:paraId="41C4D004">
            <w:pPr>
              <w:spacing w:before="65" w:line="228" w:lineRule="auto"/>
              <w:ind w:left="574"/>
              <w:rPr>
                <w:rFonts w:ascii="宋体" w:hAnsi="宋体" w:cs="宋体"/>
                <w:color w:val="auto"/>
                <w:sz w:val="20"/>
                <w:szCs w:val="20"/>
                <w:highlight w:val="none"/>
              </w:rPr>
            </w:pPr>
            <w:r>
              <w:rPr>
                <w:rFonts w:ascii="宋体" w:hAnsi="宋体" w:cs="宋体"/>
                <w:color w:val="auto"/>
                <w:spacing w:val="8"/>
                <w:sz w:val="20"/>
                <w:szCs w:val="20"/>
                <w:highlight w:val="none"/>
              </w:rPr>
              <w:t>产</w:t>
            </w:r>
            <w:r>
              <w:rPr>
                <w:rFonts w:ascii="宋体" w:hAnsi="宋体" w:cs="宋体"/>
                <w:color w:val="auto"/>
                <w:spacing w:val="7"/>
                <w:sz w:val="20"/>
                <w:szCs w:val="20"/>
                <w:highlight w:val="none"/>
              </w:rPr>
              <w:t>品名称</w:t>
            </w:r>
          </w:p>
        </w:tc>
        <w:tc>
          <w:tcPr>
            <w:tcW w:w="1579" w:type="dxa"/>
          </w:tcPr>
          <w:p w14:paraId="36F9E946">
            <w:pPr>
              <w:spacing w:line="262" w:lineRule="auto"/>
              <w:rPr>
                <w:rFonts w:ascii="Arial"/>
                <w:color w:val="auto"/>
                <w:highlight w:val="none"/>
              </w:rPr>
            </w:pPr>
          </w:p>
          <w:p w14:paraId="116951E1">
            <w:pPr>
              <w:spacing w:before="65" w:line="228" w:lineRule="auto"/>
              <w:ind w:left="277"/>
              <w:rPr>
                <w:rFonts w:ascii="宋体" w:hAnsi="宋体" w:cs="宋体"/>
                <w:color w:val="auto"/>
                <w:sz w:val="20"/>
                <w:szCs w:val="20"/>
                <w:highlight w:val="none"/>
              </w:rPr>
            </w:pPr>
            <w:r>
              <w:rPr>
                <w:rFonts w:ascii="宋体" w:hAnsi="宋体" w:cs="宋体"/>
                <w:color w:val="auto"/>
                <w:spacing w:val="7"/>
                <w:sz w:val="20"/>
                <w:szCs w:val="20"/>
                <w:highlight w:val="none"/>
              </w:rPr>
              <w:t>型号和规</w:t>
            </w:r>
            <w:r>
              <w:rPr>
                <w:rFonts w:ascii="宋体" w:hAnsi="宋体" w:cs="宋体"/>
                <w:color w:val="auto"/>
                <w:spacing w:val="6"/>
                <w:sz w:val="20"/>
                <w:szCs w:val="20"/>
                <w:highlight w:val="none"/>
              </w:rPr>
              <w:t>格</w:t>
            </w:r>
          </w:p>
        </w:tc>
        <w:tc>
          <w:tcPr>
            <w:tcW w:w="963" w:type="dxa"/>
          </w:tcPr>
          <w:p w14:paraId="008D93AC">
            <w:pPr>
              <w:spacing w:line="262" w:lineRule="auto"/>
              <w:rPr>
                <w:rFonts w:ascii="Arial"/>
                <w:color w:val="auto"/>
                <w:highlight w:val="none"/>
              </w:rPr>
            </w:pPr>
          </w:p>
          <w:p w14:paraId="45B1ABF0">
            <w:pPr>
              <w:spacing w:before="65" w:line="228" w:lineRule="auto"/>
              <w:ind w:left="277"/>
              <w:rPr>
                <w:rFonts w:ascii="宋体" w:hAnsi="宋体" w:cs="宋体"/>
                <w:color w:val="auto"/>
                <w:sz w:val="20"/>
                <w:szCs w:val="20"/>
                <w:highlight w:val="none"/>
              </w:rPr>
            </w:pPr>
            <w:r>
              <w:rPr>
                <w:rFonts w:ascii="宋体" w:hAnsi="宋体" w:cs="宋体"/>
                <w:color w:val="auto"/>
                <w:spacing w:val="4"/>
                <w:sz w:val="20"/>
                <w:szCs w:val="20"/>
                <w:highlight w:val="none"/>
              </w:rPr>
              <w:t>数</w:t>
            </w:r>
            <w:r>
              <w:rPr>
                <w:rFonts w:ascii="宋体" w:hAnsi="宋体" w:cs="宋体"/>
                <w:color w:val="auto"/>
                <w:spacing w:val="3"/>
                <w:sz w:val="20"/>
                <w:szCs w:val="20"/>
                <w:highlight w:val="none"/>
              </w:rPr>
              <w:t>量</w:t>
            </w:r>
          </w:p>
        </w:tc>
        <w:tc>
          <w:tcPr>
            <w:tcW w:w="2213" w:type="dxa"/>
          </w:tcPr>
          <w:p w14:paraId="1E06531A">
            <w:pPr>
              <w:spacing w:line="262" w:lineRule="auto"/>
              <w:rPr>
                <w:rFonts w:ascii="Arial"/>
                <w:color w:val="auto"/>
                <w:highlight w:val="none"/>
              </w:rPr>
            </w:pPr>
          </w:p>
          <w:p w14:paraId="4257368C">
            <w:pPr>
              <w:spacing w:before="65" w:line="228" w:lineRule="auto"/>
              <w:ind w:left="273"/>
              <w:rPr>
                <w:rFonts w:ascii="宋体" w:hAnsi="宋体" w:cs="宋体"/>
                <w:color w:val="auto"/>
                <w:sz w:val="20"/>
                <w:szCs w:val="20"/>
                <w:highlight w:val="none"/>
              </w:rPr>
            </w:pPr>
            <w:r>
              <w:rPr>
                <w:rFonts w:ascii="宋体" w:hAnsi="宋体" w:cs="宋体"/>
                <w:color w:val="auto"/>
                <w:spacing w:val="12"/>
                <w:sz w:val="20"/>
                <w:szCs w:val="20"/>
                <w:highlight w:val="none"/>
              </w:rPr>
              <w:t>制</w:t>
            </w:r>
            <w:r>
              <w:rPr>
                <w:rFonts w:ascii="宋体" w:hAnsi="宋体" w:cs="宋体"/>
                <w:color w:val="auto"/>
                <w:spacing w:val="8"/>
                <w:sz w:val="20"/>
                <w:szCs w:val="20"/>
                <w:highlight w:val="none"/>
              </w:rPr>
              <w:t>造厂商及原产地</w:t>
            </w:r>
          </w:p>
        </w:tc>
        <w:tc>
          <w:tcPr>
            <w:tcW w:w="1108" w:type="dxa"/>
          </w:tcPr>
          <w:p w14:paraId="1B9C0D4E">
            <w:pPr>
              <w:spacing w:line="261" w:lineRule="auto"/>
              <w:rPr>
                <w:rFonts w:ascii="Arial"/>
                <w:color w:val="auto"/>
                <w:highlight w:val="none"/>
              </w:rPr>
            </w:pPr>
          </w:p>
          <w:p w14:paraId="0032F4A1">
            <w:pPr>
              <w:spacing w:before="65" w:line="227" w:lineRule="auto"/>
              <w:ind w:left="248"/>
              <w:rPr>
                <w:rFonts w:ascii="宋体" w:hAnsi="宋体" w:cs="宋体"/>
                <w:color w:val="auto"/>
                <w:sz w:val="20"/>
                <w:szCs w:val="20"/>
                <w:highlight w:val="none"/>
              </w:rPr>
            </w:pPr>
            <w:r>
              <w:rPr>
                <w:rFonts w:ascii="宋体" w:hAnsi="宋体" w:cs="宋体"/>
                <w:color w:val="auto"/>
                <w:spacing w:val="6"/>
                <w:sz w:val="20"/>
                <w:szCs w:val="20"/>
                <w:highlight w:val="none"/>
              </w:rPr>
              <w:t>投标价</w:t>
            </w:r>
          </w:p>
        </w:tc>
        <w:tc>
          <w:tcPr>
            <w:tcW w:w="785" w:type="dxa"/>
          </w:tcPr>
          <w:p w14:paraId="0C7580DD">
            <w:pPr>
              <w:spacing w:line="261" w:lineRule="auto"/>
              <w:rPr>
                <w:rFonts w:ascii="Arial"/>
                <w:color w:val="auto"/>
                <w:highlight w:val="none"/>
              </w:rPr>
            </w:pPr>
          </w:p>
          <w:p w14:paraId="570270F9">
            <w:pPr>
              <w:spacing w:before="65" w:line="230" w:lineRule="auto"/>
              <w:ind w:left="189"/>
              <w:rPr>
                <w:rFonts w:ascii="宋体" w:hAnsi="宋体" w:cs="宋体"/>
                <w:color w:val="auto"/>
                <w:sz w:val="20"/>
                <w:szCs w:val="20"/>
                <w:highlight w:val="none"/>
              </w:rPr>
            </w:pPr>
            <w:r>
              <w:rPr>
                <w:rFonts w:ascii="宋体" w:hAnsi="宋体" w:cs="宋体"/>
                <w:color w:val="auto"/>
                <w:spacing w:val="4"/>
                <w:sz w:val="20"/>
                <w:szCs w:val="20"/>
                <w:highlight w:val="none"/>
              </w:rPr>
              <w:t>备</w:t>
            </w:r>
            <w:r>
              <w:rPr>
                <w:rFonts w:ascii="宋体" w:hAnsi="宋体" w:cs="宋体"/>
                <w:color w:val="auto"/>
                <w:spacing w:val="3"/>
                <w:sz w:val="20"/>
                <w:szCs w:val="20"/>
                <w:highlight w:val="none"/>
              </w:rPr>
              <w:t>注</w:t>
            </w:r>
          </w:p>
        </w:tc>
      </w:tr>
      <w:tr w14:paraId="4C927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2" w:type="dxa"/>
          </w:tcPr>
          <w:p w14:paraId="6AFD4C12">
            <w:pPr>
              <w:spacing w:line="275" w:lineRule="auto"/>
              <w:rPr>
                <w:rFonts w:ascii="Arial"/>
                <w:color w:val="auto"/>
                <w:highlight w:val="none"/>
              </w:rPr>
            </w:pPr>
          </w:p>
          <w:p w14:paraId="1B6E859C">
            <w:pPr>
              <w:spacing w:before="65" w:line="193" w:lineRule="auto"/>
              <w:ind w:left="398"/>
              <w:rPr>
                <w:rFonts w:ascii="宋体" w:hAnsi="宋体" w:cs="宋体"/>
                <w:color w:val="auto"/>
                <w:sz w:val="20"/>
                <w:szCs w:val="20"/>
                <w:highlight w:val="none"/>
              </w:rPr>
            </w:pPr>
            <w:r>
              <w:rPr>
                <w:rFonts w:ascii="宋体" w:hAnsi="宋体" w:cs="宋体"/>
                <w:color w:val="auto"/>
                <w:sz w:val="20"/>
                <w:szCs w:val="20"/>
                <w:highlight w:val="none"/>
              </w:rPr>
              <w:t>1</w:t>
            </w:r>
          </w:p>
        </w:tc>
        <w:tc>
          <w:tcPr>
            <w:tcW w:w="1981" w:type="dxa"/>
          </w:tcPr>
          <w:p w14:paraId="7E83C8AD">
            <w:pPr>
              <w:rPr>
                <w:rFonts w:ascii="Arial"/>
                <w:color w:val="auto"/>
                <w:highlight w:val="none"/>
              </w:rPr>
            </w:pPr>
          </w:p>
        </w:tc>
        <w:tc>
          <w:tcPr>
            <w:tcW w:w="1579" w:type="dxa"/>
          </w:tcPr>
          <w:p w14:paraId="42D3C08F">
            <w:pPr>
              <w:rPr>
                <w:rFonts w:ascii="Arial"/>
                <w:color w:val="auto"/>
                <w:highlight w:val="none"/>
              </w:rPr>
            </w:pPr>
          </w:p>
        </w:tc>
        <w:tc>
          <w:tcPr>
            <w:tcW w:w="963" w:type="dxa"/>
          </w:tcPr>
          <w:p w14:paraId="63B79310">
            <w:pPr>
              <w:rPr>
                <w:rFonts w:ascii="Arial"/>
                <w:color w:val="auto"/>
                <w:highlight w:val="none"/>
              </w:rPr>
            </w:pPr>
          </w:p>
        </w:tc>
        <w:tc>
          <w:tcPr>
            <w:tcW w:w="2213" w:type="dxa"/>
          </w:tcPr>
          <w:p w14:paraId="0A716772">
            <w:pPr>
              <w:rPr>
                <w:rFonts w:ascii="Arial"/>
                <w:color w:val="auto"/>
                <w:highlight w:val="none"/>
              </w:rPr>
            </w:pPr>
          </w:p>
        </w:tc>
        <w:tc>
          <w:tcPr>
            <w:tcW w:w="1108" w:type="dxa"/>
          </w:tcPr>
          <w:p w14:paraId="76AA37CC">
            <w:pPr>
              <w:rPr>
                <w:rFonts w:ascii="Arial"/>
                <w:color w:val="auto"/>
                <w:highlight w:val="none"/>
              </w:rPr>
            </w:pPr>
          </w:p>
        </w:tc>
        <w:tc>
          <w:tcPr>
            <w:tcW w:w="785" w:type="dxa"/>
          </w:tcPr>
          <w:p w14:paraId="02CBF692">
            <w:pPr>
              <w:rPr>
                <w:rFonts w:ascii="Arial"/>
                <w:color w:val="auto"/>
                <w:highlight w:val="none"/>
              </w:rPr>
            </w:pPr>
          </w:p>
        </w:tc>
      </w:tr>
      <w:tr w14:paraId="380A5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862" w:type="dxa"/>
          </w:tcPr>
          <w:p w14:paraId="1861394E">
            <w:pPr>
              <w:spacing w:line="275" w:lineRule="auto"/>
              <w:rPr>
                <w:rFonts w:ascii="Arial"/>
                <w:color w:val="auto"/>
                <w:highlight w:val="none"/>
              </w:rPr>
            </w:pPr>
          </w:p>
          <w:p w14:paraId="163FE202">
            <w:pPr>
              <w:spacing w:before="65" w:line="192" w:lineRule="auto"/>
              <w:ind w:left="385"/>
              <w:rPr>
                <w:rFonts w:ascii="宋体" w:hAnsi="宋体" w:cs="宋体"/>
                <w:color w:val="auto"/>
                <w:sz w:val="20"/>
                <w:szCs w:val="20"/>
                <w:highlight w:val="none"/>
              </w:rPr>
            </w:pPr>
            <w:r>
              <w:rPr>
                <w:rFonts w:ascii="宋体" w:hAnsi="宋体" w:cs="宋体"/>
                <w:color w:val="auto"/>
                <w:sz w:val="20"/>
                <w:szCs w:val="20"/>
                <w:highlight w:val="none"/>
              </w:rPr>
              <w:t>2</w:t>
            </w:r>
          </w:p>
        </w:tc>
        <w:tc>
          <w:tcPr>
            <w:tcW w:w="1981" w:type="dxa"/>
          </w:tcPr>
          <w:p w14:paraId="6E7C0DAE">
            <w:pPr>
              <w:rPr>
                <w:rFonts w:ascii="Arial"/>
                <w:color w:val="auto"/>
                <w:highlight w:val="none"/>
              </w:rPr>
            </w:pPr>
          </w:p>
        </w:tc>
        <w:tc>
          <w:tcPr>
            <w:tcW w:w="1579" w:type="dxa"/>
          </w:tcPr>
          <w:p w14:paraId="5E2CFD73">
            <w:pPr>
              <w:rPr>
                <w:rFonts w:ascii="Arial"/>
                <w:color w:val="auto"/>
                <w:highlight w:val="none"/>
              </w:rPr>
            </w:pPr>
          </w:p>
        </w:tc>
        <w:tc>
          <w:tcPr>
            <w:tcW w:w="963" w:type="dxa"/>
          </w:tcPr>
          <w:p w14:paraId="2A09EE44">
            <w:pPr>
              <w:rPr>
                <w:rFonts w:ascii="Arial"/>
                <w:color w:val="auto"/>
                <w:highlight w:val="none"/>
              </w:rPr>
            </w:pPr>
          </w:p>
        </w:tc>
        <w:tc>
          <w:tcPr>
            <w:tcW w:w="2213" w:type="dxa"/>
          </w:tcPr>
          <w:p w14:paraId="025E80B6">
            <w:pPr>
              <w:rPr>
                <w:rFonts w:ascii="Arial"/>
                <w:color w:val="auto"/>
                <w:highlight w:val="none"/>
              </w:rPr>
            </w:pPr>
          </w:p>
        </w:tc>
        <w:tc>
          <w:tcPr>
            <w:tcW w:w="1108" w:type="dxa"/>
          </w:tcPr>
          <w:p w14:paraId="72208C3F">
            <w:pPr>
              <w:rPr>
                <w:rFonts w:ascii="Arial"/>
                <w:color w:val="auto"/>
                <w:highlight w:val="none"/>
              </w:rPr>
            </w:pPr>
          </w:p>
        </w:tc>
        <w:tc>
          <w:tcPr>
            <w:tcW w:w="785" w:type="dxa"/>
          </w:tcPr>
          <w:p w14:paraId="7B29DF9A">
            <w:pPr>
              <w:rPr>
                <w:rFonts w:ascii="Arial"/>
                <w:color w:val="auto"/>
                <w:highlight w:val="none"/>
              </w:rPr>
            </w:pPr>
          </w:p>
        </w:tc>
      </w:tr>
      <w:tr w14:paraId="091B9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62" w:type="dxa"/>
          </w:tcPr>
          <w:p w14:paraId="4E34ED80">
            <w:pPr>
              <w:spacing w:line="260" w:lineRule="auto"/>
              <w:rPr>
                <w:rFonts w:ascii="Arial"/>
                <w:color w:val="auto"/>
                <w:highlight w:val="none"/>
              </w:rPr>
            </w:pPr>
          </w:p>
          <w:p w14:paraId="119F138C">
            <w:pPr>
              <w:spacing w:before="65" w:line="325" w:lineRule="exact"/>
              <w:ind w:left="239"/>
              <w:rPr>
                <w:rFonts w:ascii="宋体" w:hAnsi="宋体" w:cs="宋体"/>
                <w:color w:val="auto"/>
                <w:sz w:val="20"/>
                <w:szCs w:val="20"/>
                <w:highlight w:val="none"/>
              </w:rPr>
            </w:pPr>
            <w:r>
              <w:rPr>
                <w:rFonts w:ascii="宋体" w:hAnsi="宋体" w:cs="宋体"/>
                <w:color w:val="auto"/>
                <w:spacing w:val="4"/>
                <w:position w:val="3"/>
                <w:sz w:val="20"/>
                <w:szCs w:val="20"/>
                <w:highlight w:val="none"/>
              </w:rPr>
              <w:t>……</w:t>
            </w:r>
          </w:p>
        </w:tc>
        <w:tc>
          <w:tcPr>
            <w:tcW w:w="1981" w:type="dxa"/>
          </w:tcPr>
          <w:p w14:paraId="06754A91">
            <w:pPr>
              <w:rPr>
                <w:rFonts w:ascii="Arial"/>
                <w:color w:val="auto"/>
                <w:highlight w:val="none"/>
              </w:rPr>
            </w:pPr>
          </w:p>
        </w:tc>
        <w:tc>
          <w:tcPr>
            <w:tcW w:w="1579" w:type="dxa"/>
          </w:tcPr>
          <w:p w14:paraId="1DB7019E">
            <w:pPr>
              <w:rPr>
                <w:rFonts w:ascii="Arial"/>
                <w:color w:val="auto"/>
                <w:highlight w:val="none"/>
              </w:rPr>
            </w:pPr>
          </w:p>
        </w:tc>
        <w:tc>
          <w:tcPr>
            <w:tcW w:w="963" w:type="dxa"/>
          </w:tcPr>
          <w:p w14:paraId="20C36693">
            <w:pPr>
              <w:rPr>
                <w:rFonts w:ascii="Arial"/>
                <w:color w:val="auto"/>
                <w:highlight w:val="none"/>
              </w:rPr>
            </w:pPr>
          </w:p>
        </w:tc>
        <w:tc>
          <w:tcPr>
            <w:tcW w:w="2213" w:type="dxa"/>
          </w:tcPr>
          <w:p w14:paraId="25879A43">
            <w:pPr>
              <w:rPr>
                <w:rFonts w:ascii="Arial"/>
                <w:color w:val="auto"/>
                <w:highlight w:val="none"/>
              </w:rPr>
            </w:pPr>
          </w:p>
        </w:tc>
        <w:tc>
          <w:tcPr>
            <w:tcW w:w="1108" w:type="dxa"/>
          </w:tcPr>
          <w:p w14:paraId="3BA371BE">
            <w:pPr>
              <w:rPr>
                <w:rFonts w:ascii="Arial"/>
                <w:color w:val="auto"/>
                <w:highlight w:val="none"/>
              </w:rPr>
            </w:pPr>
          </w:p>
        </w:tc>
        <w:tc>
          <w:tcPr>
            <w:tcW w:w="785" w:type="dxa"/>
          </w:tcPr>
          <w:p w14:paraId="4C6FA235">
            <w:pPr>
              <w:rPr>
                <w:rFonts w:ascii="Arial"/>
                <w:color w:val="auto"/>
                <w:highlight w:val="none"/>
              </w:rPr>
            </w:pPr>
          </w:p>
        </w:tc>
      </w:tr>
      <w:tr w14:paraId="29663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862" w:type="dxa"/>
          </w:tcPr>
          <w:p w14:paraId="4F80DABA">
            <w:pPr>
              <w:rPr>
                <w:rFonts w:ascii="Arial"/>
                <w:color w:val="auto"/>
                <w:highlight w:val="none"/>
              </w:rPr>
            </w:pPr>
          </w:p>
        </w:tc>
        <w:tc>
          <w:tcPr>
            <w:tcW w:w="1981" w:type="dxa"/>
          </w:tcPr>
          <w:p w14:paraId="2610F338">
            <w:pPr>
              <w:spacing w:before="65" w:line="228" w:lineRule="auto"/>
              <w:ind w:left="574"/>
              <w:rPr>
                <w:rFonts w:ascii="宋体" w:hAnsi="宋体" w:cs="宋体"/>
                <w:color w:val="auto"/>
                <w:spacing w:val="8"/>
                <w:sz w:val="20"/>
                <w:szCs w:val="20"/>
                <w:highlight w:val="none"/>
              </w:rPr>
            </w:pPr>
          </w:p>
          <w:p w14:paraId="16C7A0DE">
            <w:pPr>
              <w:spacing w:before="65" w:line="228" w:lineRule="auto"/>
              <w:rPr>
                <w:rFonts w:ascii="宋体" w:hAnsi="宋体" w:cs="宋体"/>
                <w:color w:val="auto"/>
                <w:sz w:val="20"/>
                <w:szCs w:val="20"/>
                <w:highlight w:val="none"/>
              </w:rPr>
            </w:pPr>
            <w:r>
              <w:rPr>
                <w:rFonts w:ascii="宋体" w:hAnsi="宋体" w:cs="宋体"/>
                <w:color w:val="auto"/>
                <w:spacing w:val="8"/>
                <w:sz w:val="20"/>
                <w:szCs w:val="20"/>
                <w:highlight w:val="none"/>
              </w:rPr>
              <w:t>广西工业产品合计价格：</w:t>
            </w:r>
          </w:p>
        </w:tc>
        <w:tc>
          <w:tcPr>
            <w:tcW w:w="2542" w:type="dxa"/>
            <w:gridSpan w:val="2"/>
          </w:tcPr>
          <w:p w14:paraId="37C9E4E4">
            <w:pPr>
              <w:rPr>
                <w:rFonts w:ascii="Arial"/>
                <w:color w:val="auto"/>
                <w:highlight w:val="none"/>
              </w:rPr>
            </w:pPr>
          </w:p>
        </w:tc>
        <w:tc>
          <w:tcPr>
            <w:tcW w:w="2213" w:type="dxa"/>
          </w:tcPr>
          <w:p w14:paraId="1051E8AB">
            <w:pPr>
              <w:spacing w:line="345" w:lineRule="auto"/>
              <w:rPr>
                <w:rFonts w:ascii="Arial"/>
                <w:color w:val="auto"/>
                <w:highlight w:val="none"/>
              </w:rPr>
            </w:pPr>
          </w:p>
          <w:p w14:paraId="576B9825">
            <w:pPr>
              <w:spacing w:before="65" w:line="227" w:lineRule="auto"/>
              <w:jc w:val="center"/>
              <w:rPr>
                <w:rFonts w:ascii="宋体" w:hAnsi="宋体" w:cs="宋体"/>
                <w:color w:val="auto"/>
                <w:sz w:val="20"/>
                <w:szCs w:val="20"/>
                <w:highlight w:val="none"/>
              </w:rPr>
            </w:pPr>
            <w:r>
              <w:rPr>
                <w:rFonts w:ascii="宋体" w:hAnsi="宋体" w:cs="宋体"/>
                <w:color w:val="auto"/>
                <w:spacing w:val="5"/>
                <w:sz w:val="20"/>
                <w:szCs w:val="20"/>
                <w:highlight w:val="none"/>
              </w:rPr>
              <w:t>占</w:t>
            </w:r>
            <w:r>
              <w:rPr>
                <w:rFonts w:ascii="宋体" w:hAnsi="宋体" w:cs="宋体"/>
                <w:color w:val="auto"/>
                <w:spacing w:val="3"/>
                <w:sz w:val="20"/>
                <w:szCs w:val="20"/>
                <w:highlight w:val="none"/>
              </w:rPr>
              <w:t>投标总价比例：</w:t>
            </w:r>
          </w:p>
        </w:tc>
        <w:tc>
          <w:tcPr>
            <w:tcW w:w="1893" w:type="dxa"/>
            <w:gridSpan w:val="2"/>
          </w:tcPr>
          <w:p w14:paraId="2A55CAC6">
            <w:pPr>
              <w:rPr>
                <w:rFonts w:ascii="Arial"/>
                <w:color w:val="auto"/>
                <w:highlight w:val="none"/>
              </w:rPr>
            </w:pPr>
          </w:p>
        </w:tc>
      </w:tr>
    </w:tbl>
    <w:p w14:paraId="495079F7">
      <w:pPr>
        <w:spacing w:line="411" w:lineRule="auto"/>
        <w:rPr>
          <w:rFonts w:ascii="Arial"/>
          <w:color w:val="auto"/>
          <w:highlight w:val="none"/>
        </w:rPr>
      </w:pPr>
    </w:p>
    <w:p w14:paraId="3E2E903A">
      <w:pPr>
        <w:spacing w:before="65" w:line="228" w:lineRule="auto"/>
        <w:ind w:left="71"/>
        <w:rPr>
          <w:rFonts w:ascii="Arial"/>
          <w:color w:val="auto"/>
          <w:highlight w:val="none"/>
        </w:rPr>
      </w:pPr>
      <w:r>
        <w:rPr>
          <w:rFonts w:ascii="宋体" w:hAnsi="宋体" w:cs="宋体"/>
          <w:color w:val="auto"/>
          <w:spacing w:val="18"/>
          <w:sz w:val="20"/>
          <w:szCs w:val="20"/>
          <w:highlight w:val="none"/>
        </w:rPr>
        <w:t>本</w:t>
      </w:r>
      <w:r>
        <w:rPr>
          <w:rFonts w:ascii="宋体" w:hAnsi="宋体" w:cs="宋体"/>
          <w:color w:val="auto"/>
          <w:spacing w:val="9"/>
          <w:sz w:val="20"/>
          <w:szCs w:val="20"/>
          <w:highlight w:val="none"/>
        </w:rPr>
        <w:t>公司对上述声明的真实性负责。如有虚假，将依法承担相应责任。</w:t>
      </w:r>
    </w:p>
    <w:p w14:paraId="518393B9">
      <w:pPr>
        <w:spacing w:before="66" w:line="228" w:lineRule="auto"/>
        <w:ind w:left="73"/>
        <w:rPr>
          <w:rFonts w:ascii="Arial"/>
          <w:color w:val="auto"/>
          <w:highlight w:val="none"/>
        </w:rPr>
      </w:pPr>
      <w:r>
        <w:rPr>
          <w:rFonts w:ascii="宋体" w:hAnsi="宋体" w:cs="宋体"/>
          <w:color w:val="auto"/>
          <w:spacing w:val="12"/>
          <w:sz w:val="20"/>
          <w:szCs w:val="20"/>
          <w:highlight w:val="none"/>
        </w:rPr>
        <w:t>投标人</w:t>
      </w:r>
      <w:r>
        <w:rPr>
          <w:rFonts w:ascii="宋体" w:hAnsi="宋体" w:cs="宋体"/>
          <w:color w:val="auto"/>
          <w:spacing w:val="11"/>
          <w:sz w:val="20"/>
          <w:szCs w:val="20"/>
          <w:highlight w:val="none"/>
        </w:rPr>
        <w:t xml:space="preserve"> </w:t>
      </w:r>
      <w:r>
        <w:rPr>
          <w:rFonts w:ascii="宋体" w:hAnsi="宋体" w:cs="宋体"/>
          <w:color w:val="auto"/>
          <w:spacing w:val="6"/>
          <w:sz w:val="20"/>
          <w:szCs w:val="20"/>
          <w:highlight w:val="none"/>
        </w:rPr>
        <w:t>(盖单位公章) ：________________________</w:t>
      </w:r>
    </w:p>
    <w:p w14:paraId="2B5D4BA4">
      <w:pPr>
        <w:spacing w:before="66" w:line="228" w:lineRule="auto"/>
        <w:ind w:left="71"/>
        <w:rPr>
          <w:rFonts w:ascii="Arial"/>
          <w:color w:val="auto"/>
          <w:highlight w:val="none"/>
        </w:rPr>
      </w:pPr>
      <w:r>
        <w:rPr>
          <w:rFonts w:ascii="宋体" w:hAnsi="宋体" w:cs="宋体"/>
          <w:color w:val="auto"/>
          <w:spacing w:val="12"/>
          <w:sz w:val="20"/>
          <w:szCs w:val="20"/>
          <w:highlight w:val="none"/>
        </w:rPr>
        <w:t>法定代表人</w:t>
      </w:r>
      <w:r>
        <w:rPr>
          <w:rFonts w:ascii="宋体" w:hAnsi="宋体" w:cs="宋体"/>
          <w:color w:val="auto"/>
          <w:spacing w:val="7"/>
          <w:sz w:val="20"/>
          <w:szCs w:val="20"/>
          <w:highlight w:val="none"/>
        </w:rPr>
        <w:t>或</w:t>
      </w:r>
      <w:r>
        <w:rPr>
          <w:rFonts w:ascii="宋体" w:hAnsi="宋体" w:cs="宋体"/>
          <w:color w:val="auto"/>
          <w:spacing w:val="6"/>
          <w:sz w:val="20"/>
          <w:szCs w:val="20"/>
          <w:highlight w:val="none"/>
        </w:rPr>
        <w:t>委托代理人 (签字或盖章) ：______________________</w:t>
      </w:r>
    </w:p>
    <w:p w14:paraId="267DC8CA">
      <w:pPr>
        <w:spacing w:before="65" w:line="229" w:lineRule="auto"/>
        <w:ind w:left="106"/>
        <w:rPr>
          <w:rFonts w:ascii="宋体" w:hAnsi="宋体" w:cs="宋体"/>
          <w:color w:val="auto"/>
          <w:sz w:val="20"/>
          <w:szCs w:val="20"/>
          <w:highlight w:val="none"/>
        </w:rPr>
      </w:pPr>
      <w:r>
        <w:rPr>
          <w:rFonts w:ascii="宋体" w:hAnsi="宋体" w:cs="宋体"/>
          <w:color w:val="auto"/>
          <w:spacing w:val="6"/>
          <w:sz w:val="20"/>
          <w:szCs w:val="20"/>
          <w:highlight w:val="none"/>
        </w:rPr>
        <w:t>日</w:t>
      </w:r>
      <w:r>
        <w:rPr>
          <w:rFonts w:ascii="宋体" w:hAnsi="宋体" w:cs="宋体"/>
          <w:color w:val="auto"/>
          <w:spacing w:val="4"/>
          <w:sz w:val="20"/>
          <w:szCs w:val="20"/>
          <w:highlight w:val="none"/>
        </w:rPr>
        <w:t xml:space="preserve"> 期:</w:t>
      </w:r>
    </w:p>
    <w:p w14:paraId="5AEB3F04">
      <w:pPr>
        <w:widowControl/>
        <w:jc w:val="left"/>
        <w:rPr>
          <w:color w:val="auto"/>
          <w:highlight w:val="none"/>
        </w:rPr>
      </w:pPr>
    </w:p>
    <w:p w14:paraId="4C576E7A">
      <w:pPr>
        <w:spacing w:line="360" w:lineRule="auto"/>
        <w:rPr>
          <w:rFonts w:ascii="宋体" w:hAnsi="宋体" w:cs="宋体"/>
          <w:b/>
          <w:color w:val="auto"/>
          <w:spacing w:val="6"/>
          <w:sz w:val="28"/>
          <w:szCs w:val="28"/>
          <w:highlight w:val="none"/>
        </w:rPr>
      </w:pPr>
      <w:r>
        <w:rPr>
          <w:color w:val="auto"/>
          <w:highlight w:val="none"/>
        </w:rPr>
        <w:br w:type="page"/>
      </w:r>
      <w:r>
        <w:rPr>
          <w:rFonts w:hint="eastAsia" w:ascii="宋体" w:hAnsi="宋体" w:cs="宋体"/>
          <w:b/>
          <w:color w:val="auto"/>
          <w:spacing w:val="6"/>
          <w:sz w:val="28"/>
          <w:szCs w:val="28"/>
          <w:highlight w:val="none"/>
        </w:rPr>
        <w:t>质疑函范本格式：</w:t>
      </w:r>
    </w:p>
    <w:p w14:paraId="1BBB435D">
      <w:pPr>
        <w:spacing w:line="360" w:lineRule="auto"/>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质疑函范本</w:t>
      </w:r>
    </w:p>
    <w:p w14:paraId="54AF4F4C">
      <w:pPr>
        <w:snapToGrid w:val="0"/>
        <w:spacing w:before="312" w:beforeLines="100" w:line="360" w:lineRule="auto"/>
        <w:rPr>
          <w:rFonts w:ascii="宋体" w:hAnsi="宋体" w:cs="宋体"/>
          <w:bCs/>
          <w:color w:val="auto"/>
          <w:szCs w:val="21"/>
          <w:highlight w:val="none"/>
        </w:rPr>
      </w:pPr>
      <w:r>
        <w:rPr>
          <w:rFonts w:hint="eastAsia" w:ascii="宋体" w:hAnsi="宋体" w:cs="宋体"/>
          <w:bCs/>
          <w:color w:val="auto"/>
          <w:szCs w:val="21"/>
          <w:highlight w:val="none"/>
        </w:rPr>
        <w:t>一、质疑供应商基本信息</w:t>
      </w:r>
    </w:p>
    <w:p w14:paraId="12116550">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14:paraId="0DB0B77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3923EBF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1BF8AED6">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14:paraId="28FDB37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218695F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544D1DB4">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二、质疑项目基本情况</w:t>
      </w:r>
    </w:p>
    <w:p w14:paraId="06BD7A7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14:paraId="183F08C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13236625">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14:paraId="0C006E9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14:paraId="3921577C">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三、质疑事项具体内容</w:t>
      </w:r>
    </w:p>
    <w:p w14:paraId="66E673AF">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14:paraId="04DAE3A0">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3E1BE07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dotted"/>
        </w:rPr>
        <w:t xml:space="preserve">                                                       </w:t>
      </w:r>
    </w:p>
    <w:p w14:paraId="2119CB84">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50D05F22">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21DB7621">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14:paraId="656EEC1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14:paraId="077F2A0A">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14:paraId="33BDF4F3">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14:paraId="3608F8F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4629564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日期：    </w:t>
      </w:r>
    </w:p>
    <w:p w14:paraId="20EB727F">
      <w:pPr>
        <w:spacing w:line="360" w:lineRule="auto"/>
        <w:jc w:val="center"/>
        <w:rPr>
          <w:rFonts w:ascii="宋体" w:hAnsi="宋体" w:cs="宋体"/>
          <w:b/>
          <w:bCs/>
          <w:color w:val="auto"/>
          <w:szCs w:val="21"/>
          <w:highlight w:val="none"/>
        </w:rPr>
      </w:pPr>
    </w:p>
    <w:p w14:paraId="650A36D6">
      <w:pPr>
        <w:spacing w:line="360" w:lineRule="auto"/>
        <w:rPr>
          <w:rFonts w:ascii="宋体" w:hAnsi="宋体" w:cs="宋体"/>
          <w:b/>
          <w:color w:val="auto"/>
          <w:szCs w:val="21"/>
          <w:highlight w:val="none"/>
        </w:rPr>
      </w:pPr>
      <w:r>
        <w:rPr>
          <w:rFonts w:hint="eastAsia" w:ascii="宋体" w:hAnsi="宋体" w:cs="宋体"/>
          <w:b/>
          <w:color w:val="auto"/>
          <w:szCs w:val="21"/>
          <w:highlight w:val="none"/>
        </w:rPr>
        <w:t>质疑函制作说明：</w:t>
      </w:r>
    </w:p>
    <w:p w14:paraId="6CC1F22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63153AA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5D348FE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33F2916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1854018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69699EE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168737B4">
      <w:pPr>
        <w:spacing w:line="360" w:lineRule="auto"/>
        <w:rPr>
          <w:rFonts w:ascii="宋体" w:hAnsi="宋体" w:cs="宋体"/>
          <w:b/>
          <w:color w:val="auto"/>
          <w:spacing w:val="6"/>
          <w:sz w:val="28"/>
          <w:szCs w:val="28"/>
          <w:highlight w:val="none"/>
        </w:rPr>
      </w:pPr>
      <w:r>
        <w:rPr>
          <w:color w:val="auto"/>
          <w:highlight w:val="none"/>
        </w:rPr>
        <w:br w:type="page"/>
      </w:r>
      <w:r>
        <w:rPr>
          <w:rFonts w:hint="eastAsia" w:ascii="宋体" w:hAnsi="宋体" w:cs="宋体"/>
          <w:b/>
          <w:color w:val="auto"/>
          <w:spacing w:val="6"/>
          <w:sz w:val="28"/>
          <w:szCs w:val="28"/>
          <w:highlight w:val="none"/>
        </w:rPr>
        <w:t>投诉书范本格式：</w:t>
      </w:r>
    </w:p>
    <w:p w14:paraId="0963623A">
      <w:pPr>
        <w:pStyle w:val="13"/>
        <w:snapToGrid w:val="0"/>
        <w:spacing w:line="440" w:lineRule="exact"/>
        <w:jc w:val="center"/>
        <w:rPr>
          <w:rFonts w:hAnsi="宋体" w:cs="宋体"/>
          <w:b/>
          <w:bCs/>
          <w:color w:val="auto"/>
          <w:sz w:val="30"/>
          <w:szCs w:val="30"/>
          <w:highlight w:val="none"/>
        </w:rPr>
      </w:pPr>
      <w:r>
        <w:rPr>
          <w:rFonts w:hAnsi="宋体" w:cs="宋体"/>
          <w:b/>
          <w:bCs/>
          <w:color w:val="auto"/>
          <w:sz w:val="30"/>
          <w:szCs w:val="30"/>
          <w:highlight w:val="none"/>
        </w:rPr>
        <w:t>政府采购供应商投诉书范本</w:t>
      </w:r>
    </w:p>
    <w:p w14:paraId="75A9E796">
      <w:pPr>
        <w:pStyle w:val="13"/>
        <w:snapToGrid w:val="0"/>
        <w:spacing w:line="440" w:lineRule="exact"/>
        <w:jc w:val="center"/>
        <w:rPr>
          <w:rFonts w:hAnsi="宋体" w:cs="宋体"/>
          <w:b/>
          <w:bCs/>
          <w:color w:val="auto"/>
          <w:sz w:val="21"/>
          <w:highlight w:val="none"/>
        </w:rPr>
      </w:pPr>
    </w:p>
    <w:p w14:paraId="4BD93877">
      <w:pPr>
        <w:pStyle w:val="13"/>
        <w:snapToGrid w:val="0"/>
        <w:spacing w:line="440" w:lineRule="exact"/>
        <w:rPr>
          <w:rFonts w:hAnsi="宋体" w:cs="宋体"/>
          <w:color w:val="auto"/>
          <w:sz w:val="21"/>
          <w:highlight w:val="none"/>
        </w:rPr>
      </w:pPr>
      <w:r>
        <w:rPr>
          <w:rFonts w:hint="eastAsia" w:hAnsi="宋体" w:cs="宋体"/>
          <w:color w:val="auto"/>
          <w:sz w:val="21"/>
          <w:highlight w:val="none"/>
        </w:rPr>
        <w:t>一、投诉相关主体基本情况</w:t>
      </w:r>
    </w:p>
    <w:p w14:paraId="2E3270A9">
      <w:pPr>
        <w:pStyle w:val="13"/>
        <w:snapToGrid w:val="0"/>
        <w:spacing w:line="440" w:lineRule="exact"/>
        <w:rPr>
          <w:rFonts w:hAnsi="宋体" w:cs="宋体"/>
          <w:color w:val="auto"/>
          <w:sz w:val="21"/>
          <w:highlight w:val="none"/>
        </w:rPr>
      </w:pPr>
      <w:r>
        <w:rPr>
          <w:rFonts w:hint="eastAsia" w:hAnsi="宋体" w:cs="宋体"/>
          <w:color w:val="auto"/>
          <w:sz w:val="21"/>
          <w:highlight w:val="none"/>
        </w:rPr>
        <w:t>投诉人：</w:t>
      </w:r>
    </w:p>
    <w:p w14:paraId="7F14C423">
      <w:pPr>
        <w:pStyle w:val="13"/>
        <w:snapToGrid w:val="0"/>
        <w:spacing w:line="440" w:lineRule="exact"/>
        <w:rPr>
          <w:rFonts w:hAnsi="宋体" w:cs="宋体"/>
          <w:color w:val="auto"/>
          <w:sz w:val="21"/>
          <w:highlight w:val="none"/>
        </w:rPr>
      </w:pPr>
      <w:r>
        <w:rPr>
          <w:rFonts w:hint="eastAsia" w:hAnsi="宋体" w:cs="宋体"/>
          <w:color w:val="auto"/>
          <w:sz w:val="21"/>
          <w:highlight w:val="none"/>
        </w:rPr>
        <w:t>地址：    邮编：</w:t>
      </w:r>
    </w:p>
    <w:p w14:paraId="01617544">
      <w:pPr>
        <w:pStyle w:val="13"/>
        <w:snapToGrid w:val="0"/>
        <w:spacing w:line="440" w:lineRule="exact"/>
        <w:rPr>
          <w:rFonts w:hAnsi="宋体" w:cs="宋体"/>
          <w:color w:val="auto"/>
          <w:sz w:val="21"/>
          <w:highlight w:val="none"/>
        </w:rPr>
      </w:pPr>
      <w:r>
        <w:rPr>
          <w:rFonts w:hint="eastAsia" w:hAnsi="宋体" w:cs="宋体"/>
          <w:color w:val="auto"/>
          <w:sz w:val="21"/>
          <w:highlight w:val="none"/>
        </w:rPr>
        <w:t>法定代表人/主要负责人：</w:t>
      </w:r>
    </w:p>
    <w:p w14:paraId="1A2EB729">
      <w:pPr>
        <w:pStyle w:val="13"/>
        <w:snapToGrid w:val="0"/>
        <w:spacing w:line="440" w:lineRule="exact"/>
        <w:rPr>
          <w:rFonts w:hAnsi="宋体" w:cs="宋体"/>
          <w:color w:val="auto"/>
          <w:sz w:val="21"/>
          <w:highlight w:val="none"/>
        </w:rPr>
      </w:pPr>
      <w:r>
        <w:rPr>
          <w:rFonts w:hint="eastAsia" w:hAnsi="宋体" w:cs="宋体"/>
          <w:color w:val="auto"/>
          <w:sz w:val="21"/>
          <w:highlight w:val="none"/>
        </w:rPr>
        <w:t>联系电话：</w:t>
      </w:r>
    </w:p>
    <w:p w14:paraId="4432FA42">
      <w:pPr>
        <w:pStyle w:val="13"/>
        <w:snapToGrid w:val="0"/>
        <w:spacing w:line="440" w:lineRule="exact"/>
        <w:rPr>
          <w:rFonts w:hAnsi="宋体" w:cs="宋体"/>
          <w:color w:val="auto"/>
          <w:sz w:val="21"/>
          <w:highlight w:val="none"/>
        </w:rPr>
      </w:pPr>
      <w:r>
        <w:rPr>
          <w:rFonts w:hint="eastAsia" w:hAnsi="宋体" w:cs="宋体"/>
          <w:color w:val="auto"/>
          <w:sz w:val="21"/>
          <w:highlight w:val="none"/>
        </w:rPr>
        <w:t>授权代表：联系电话：</w:t>
      </w:r>
    </w:p>
    <w:p w14:paraId="2F870E8A">
      <w:pPr>
        <w:pStyle w:val="13"/>
        <w:snapToGrid w:val="0"/>
        <w:spacing w:line="440" w:lineRule="exact"/>
        <w:rPr>
          <w:rFonts w:hAnsi="宋体" w:cs="宋体"/>
          <w:color w:val="auto"/>
          <w:sz w:val="21"/>
          <w:highlight w:val="none"/>
        </w:rPr>
      </w:pPr>
      <w:r>
        <w:rPr>
          <w:rFonts w:hint="eastAsia" w:hAnsi="宋体" w:cs="宋体"/>
          <w:color w:val="auto"/>
          <w:sz w:val="21"/>
          <w:highlight w:val="none"/>
        </w:rPr>
        <w:t>地址：    邮编：</w:t>
      </w:r>
    </w:p>
    <w:p w14:paraId="11AD8BF2">
      <w:pPr>
        <w:pStyle w:val="13"/>
        <w:snapToGrid w:val="0"/>
        <w:spacing w:line="440" w:lineRule="exact"/>
        <w:rPr>
          <w:rFonts w:hAnsi="宋体" w:cs="宋体"/>
          <w:color w:val="auto"/>
          <w:sz w:val="21"/>
          <w:highlight w:val="none"/>
        </w:rPr>
      </w:pPr>
      <w:r>
        <w:rPr>
          <w:rFonts w:hint="eastAsia" w:hAnsi="宋体" w:cs="宋体"/>
          <w:color w:val="auto"/>
          <w:sz w:val="21"/>
          <w:highlight w:val="none"/>
        </w:rPr>
        <w:t>被投诉人1：</w:t>
      </w:r>
    </w:p>
    <w:p w14:paraId="06F32CC1">
      <w:pPr>
        <w:pStyle w:val="13"/>
        <w:snapToGrid w:val="0"/>
        <w:spacing w:line="440" w:lineRule="exact"/>
        <w:rPr>
          <w:rFonts w:hAnsi="宋体" w:cs="宋体"/>
          <w:color w:val="auto"/>
          <w:sz w:val="21"/>
          <w:highlight w:val="none"/>
        </w:rPr>
      </w:pPr>
      <w:r>
        <w:rPr>
          <w:rFonts w:hint="eastAsia" w:hAnsi="宋体" w:cs="宋体"/>
          <w:color w:val="auto"/>
          <w:sz w:val="21"/>
          <w:highlight w:val="none"/>
        </w:rPr>
        <w:t>地址：    邮编：</w:t>
      </w:r>
    </w:p>
    <w:p w14:paraId="444A7D99">
      <w:pPr>
        <w:pStyle w:val="13"/>
        <w:snapToGrid w:val="0"/>
        <w:spacing w:line="440" w:lineRule="exact"/>
        <w:rPr>
          <w:rFonts w:hAnsi="宋体" w:cs="宋体"/>
          <w:color w:val="auto"/>
          <w:sz w:val="21"/>
          <w:highlight w:val="none"/>
        </w:rPr>
      </w:pPr>
      <w:r>
        <w:rPr>
          <w:rFonts w:hint="eastAsia" w:hAnsi="宋体" w:cs="宋体"/>
          <w:color w:val="auto"/>
          <w:sz w:val="21"/>
          <w:highlight w:val="none"/>
        </w:rPr>
        <w:t>联系人：    联系电话：</w:t>
      </w:r>
    </w:p>
    <w:p w14:paraId="23E2999E">
      <w:pPr>
        <w:pStyle w:val="13"/>
        <w:snapToGrid w:val="0"/>
        <w:spacing w:line="440" w:lineRule="exact"/>
        <w:rPr>
          <w:rFonts w:hAnsi="宋体" w:cs="宋体"/>
          <w:color w:val="auto"/>
          <w:sz w:val="21"/>
          <w:highlight w:val="none"/>
        </w:rPr>
      </w:pPr>
      <w:r>
        <w:rPr>
          <w:rFonts w:hint="eastAsia" w:hAnsi="宋体" w:cs="宋体"/>
          <w:color w:val="auto"/>
          <w:sz w:val="21"/>
          <w:highlight w:val="none"/>
        </w:rPr>
        <w:t>被投诉人2</w:t>
      </w:r>
    </w:p>
    <w:p w14:paraId="60C3DD30">
      <w:pPr>
        <w:pStyle w:val="13"/>
        <w:snapToGrid w:val="0"/>
        <w:spacing w:line="440" w:lineRule="exact"/>
        <w:rPr>
          <w:rFonts w:hAnsi="宋体" w:cs="宋体"/>
          <w:color w:val="auto"/>
          <w:sz w:val="21"/>
          <w:highlight w:val="none"/>
        </w:rPr>
      </w:pPr>
      <w:r>
        <w:rPr>
          <w:rFonts w:hint="eastAsia" w:hAnsi="宋体" w:cs="宋体"/>
          <w:color w:val="auto"/>
          <w:sz w:val="21"/>
          <w:highlight w:val="none"/>
        </w:rPr>
        <w:t>……</w:t>
      </w:r>
    </w:p>
    <w:p w14:paraId="5BD5E742">
      <w:pPr>
        <w:pStyle w:val="13"/>
        <w:snapToGrid w:val="0"/>
        <w:spacing w:line="440" w:lineRule="exact"/>
        <w:rPr>
          <w:rFonts w:hAnsi="宋体" w:cs="宋体"/>
          <w:color w:val="auto"/>
          <w:sz w:val="21"/>
          <w:highlight w:val="none"/>
        </w:rPr>
      </w:pPr>
      <w:r>
        <w:rPr>
          <w:rFonts w:hint="eastAsia" w:hAnsi="宋体" w:cs="宋体"/>
          <w:color w:val="auto"/>
          <w:sz w:val="21"/>
          <w:highlight w:val="none"/>
        </w:rPr>
        <w:t>相关供应商：</w:t>
      </w:r>
    </w:p>
    <w:p w14:paraId="6AAF5664">
      <w:pPr>
        <w:pStyle w:val="13"/>
        <w:snapToGrid w:val="0"/>
        <w:spacing w:line="440" w:lineRule="exact"/>
        <w:rPr>
          <w:rFonts w:hAnsi="宋体" w:cs="宋体"/>
          <w:color w:val="auto"/>
          <w:sz w:val="21"/>
          <w:highlight w:val="none"/>
        </w:rPr>
      </w:pPr>
      <w:r>
        <w:rPr>
          <w:rFonts w:hint="eastAsia" w:hAnsi="宋体" w:cs="宋体"/>
          <w:color w:val="auto"/>
          <w:sz w:val="21"/>
          <w:highlight w:val="none"/>
        </w:rPr>
        <w:t>地址：   邮编：</w:t>
      </w:r>
    </w:p>
    <w:p w14:paraId="3C4362B1">
      <w:pPr>
        <w:pStyle w:val="13"/>
        <w:snapToGrid w:val="0"/>
        <w:spacing w:line="440" w:lineRule="exact"/>
        <w:rPr>
          <w:rFonts w:hAnsi="宋体" w:cs="宋体"/>
          <w:color w:val="auto"/>
          <w:sz w:val="21"/>
          <w:highlight w:val="none"/>
        </w:rPr>
      </w:pPr>
      <w:r>
        <w:rPr>
          <w:rFonts w:hint="eastAsia" w:hAnsi="宋体" w:cs="宋体"/>
          <w:color w:val="auto"/>
          <w:sz w:val="21"/>
          <w:highlight w:val="none"/>
        </w:rPr>
        <w:t>联系人：    联系电话：</w:t>
      </w:r>
    </w:p>
    <w:p w14:paraId="10B5673A">
      <w:pPr>
        <w:pStyle w:val="13"/>
        <w:snapToGrid w:val="0"/>
        <w:spacing w:line="440" w:lineRule="exact"/>
        <w:rPr>
          <w:rFonts w:hAnsi="宋体" w:cs="宋体"/>
          <w:color w:val="auto"/>
          <w:sz w:val="21"/>
          <w:highlight w:val="none"/>
        </w:rPr>
      </w:pPr>
      <w:r>
        <w:rPr>
          <w:rFonts w:hint="eastAsia" w:hAnsi="宋体" w:cs="宋体"/>
          <w:color w:val="auto"/>
          <w:sz w:val="21"/>
          <w:highlight w:val="none"/>
        </w:rPr>
        <w:t>二、投诉项目基本情况</w:t>
      </w:r>
    </w:p>
    <w:p w14:paraId="1FE1381E">
      <w:pPr>
        <w:pStyle w:val="13"/>
        <w:snapToGrid w:val="0"/>
        <w:spacing w:line="440" w:lineRule="exact"/>
        <w:rPr>
          <w:rFonts w:hAnsi="宋体" w:cs="宋体"/>
          <w:color w:val="auto"/>
          <w:sz w:val="21"/>
          <w:highlight w:val="none"/>
        </w:rPr>
      </w:pPr>
      <w:r>
        <w:rPr>
          <w:rFonts w:hint="eastAsia" w:hAnsi="宋体" w:cs="宋体"/>
          <w:color w:val="auto"/>
          <w:sz w:val="21"/>
          <w:highlight w:val="none"/>
        </w:rPr>
        <w:t>采购项目名称：</w:t>
      </w:r>
    </w:p>
    <w:p w14:paraId="32DF6220">
      <w:pPr>
        <w:pStyle w:val="13"/>
        <w:snapToGrid w:val="0"/>
        <w:spacing w:line="440" w:lineRule="exact"/>
        <w:rPr>
          <w:rFonts w:hAnsi="宋体" w:cs="宋体"/>
          <w:color w:val="auto"/>
          <w:sz w:val="21"/>
          <w:highlight w:val="none"/>
        </w:rPr>
      </w:pPr>
      <w:r>
        <w:rPr>
          <w:rFonts w:hint="eastAsia" w:hAnsi="宋体" w:cs="宋体"/>
          <w:color w:val="auto"/>
          <w:sz w:val="21"/>
          <w:highlight w:val="none"/>
        </w:rPr>
        <w:t>采购项目编号：包号：</w:t>
      </w:r>
    </w:p>
    <w:p w14:paraId="05C3304F">
      <w:pPr>
        <w:pStyle w:val="13"/>
        <w:snapToGrid w:val="0"/>
        <w:spacing w:line="440" w:lineRule="exact"/>
        <w:rPr>
          <w:rFonts w:hAnsi="宋体" w:cs="宋体"/>
          <w:color w:val="auto"/>
          <w:sz w:val="21"/>
          <w:highlight w:val="none"/>
        </w:rPr>
      </w:pPr>
      <w:r>
        <w:rPr>
          <w:rFonts w:hint="eastAsia" w:hAnsi="宋体" w:cs="宋体"/>
          <w:color w:val="auto"/>
          <w:sz w:val="21"/>
          <w:highlight w:val="none"/>
        </w:rPr>
        <w:t>采购人名称：</w:t>
      </w:r>
    </w:p>
    <w:p w14:paraId="67D43CAF">
      <w:pPr>
        <w:pStyle w:val="13"/>
        <w:snapToGrid w:val="0"/>
        <w:spacing w:line="440" w:lineRule="exact"/>
        <w:rPr>
          <w:rFonts w:hAnsi="宋体" w:cs="宋体"/>
          <w:color w:val="auto"/>
          <w:sz w:val="21"/>
          <w:highlight w:val="none"/>
        </w:rPr>
      </w:pPr>
      <w:r>
        <w:rPr>
          <w:rFonts w:hint="eastAsia" w:hAnsi="宋体" w:cs="宋体"/>
          <w:color w:val="auto"/>
          <w:sz w:val="21"/>
          <w:highlight w:val="none"/>
        </w:rPr>
        <w:t>代理机构名称：</w:t>
      </w:r>
    </w:p>
    <w:p w14:paraId="1DAF2A3B">
      <w:pPr>
        <w:pStyle w:val="13"/>
        <w:snapToGrid w:val="0"/>
        <w:spacing w:line="440" w:lineRule="exact"/>
        <w:rPr>
          <w:rFonts w:hAnsi="宋体" w:cs="宋体"/>
          <w:color w:val="auto"/>
          <w:sz w:val="21"/>
          <w:highlight w:val="none"/>
        </w:rPr>
      </w:pPr>
      <w:r>
        <w:rPr>
          <w:rFonts w:hint="eastAsia" w:hAnsi="宋体" w:cs="宋体"/>
          <w:color w:val="auto"/>
          <w:sz w:val="21"/>
          <w:highlight w:val="none"/>
        </w:rPr>
        <w:t>采购文件公告:是/否 公告期限：</w:t>
      </w:r>
    </w:p>
    <w:p w14:paraId="4B67E33A">
      <w:pPr>
        <w:pStyle w:val="13"/>
        <w:snapToGrid w:val="0"/>
        <w:spacing w:line="440" w:lineRule="exact"/>
        <w:rPr>
          <w:rFonts w:hAnsi="宋体" w:cs="宋体"/>
          <w:color w:val="auto"/>
          <w:sz w:val="21"/>
          <w:highlight w:val="none"/>
        </w:rPr>
      </w:pPr>
      <w:r>
        <w:rPr>
          <w:rFonts w:hint="eastAsia" w:hAnsi="宋体" w:cs="宋体"/>
          <w:color w:val="auto"/>
          <w:sz w:val="21"/>
          <w:highlight w:val="none"/>
        </w:rPr>
        <w:t>采购结果公告:是/否 公告期限：</w:t>
      </w:r>
    </w:p>
    <w:p w14:paraId="0CD96BFF">
      <w:pPr>
        <w:pStyle w:val="13"/>
        <w:snapToGrid w:val="0"/>
        <w:spacing w:line="440" w:lineRule="exact"/>
        <w:rPr>
          <w:rFonts w:hAnsi="宋体" w:cs="宋体"/>
          <w:color w:val="auto"/>
          <w:sz w:val="21"/>
          <w:highlight w:val="none"/>
        </w:rPr>
      </w:pPr>
      <w:r>
        <w:rPr>
          <w:rFonts w:hint="eastAsia" w:hAnsi="宋体" w:cs="宋体"/>
          <w:color w:val="auto"/>
          <w:sz w:val="21"/>
          <w:highlight w:val="none"/>
        </w:rPr>
        <w:t>三、质疑基本情况</w:t>
      </w:r>
    </w:p>
    <w:p w14:paraId="0A4DFB1B">
      <w:pPr>
        <w:pStyle w:val="13"/>
        <w:snapToGrid w:val="0"/>
        <w:spacing w:line="440" w:lineRule="exact"/>
        <w:rPr>
          <w:rFonts w:hAnsi="宋体" w:cs="宋体"/>
          <w:color w:val="auto"/>
          <w:sz w:val="21"/>
          <w:highlight w:val="none"/>
        </w:rPr>
      </w:pPr>
      <w:r>
        <w:rPr>
          <w:rFonts w:hint="eastAsia" w:hAnsi="宋体" w:cs="宋体"/>
          <w:color w:val="auto"/>
          <w:sz w:val="21"/>
          <w:highlight w:val="none"/>
        </w:rPr>
        <w:t>投诉人于年月 日,向提出质疑，质疑事项为：</w:t>
      </w:r>
    </w:p>
    <w:p w14:paraId="102FD64D">
      <w:pPr>
        <w:pStyle w:val="13"/>
        <w:snapToGrid w:val="0"/>
        <w:spacing w:line="440" w:lineRule="exact"/>
        <w:rPr>
          <w:rFonts w:hAnsi="宋体" w:cs="宋体"/>
          <w:color w:val="auto"/>
          <w:sz w:val="21"/>
          <w:highlight w:val="none"/>
        </w:rPr>
      </w:pPr>
      <w:r>
        <w:rPr>
          <w:rFonts w:hint="eastAsia" w:hAnsi="宋体" w:cs="宋体"/>
          <w:color w:val="auto"/>
          <w:sz w:val="21"/>
          <w:highlight w:val="none"/>
        </w:rPr>
        <w:t>采购人/代理机构于年月日,就质疑事项作出了答复/没有在法定期限内作出答复。</w:t>
      </w:r>
    </w:p>
    <w:p w14:paraId="16A3FFE3">
      <w:pPr>
        <w:pStyle w:val="13"/>
        <w:snapToGrid w:val="0"/>
        <w:spacing w:line="440" w:lineRule="exact"/>
        <w:rPr>
          <w:rFonts w:hAnsi="宋体" w:cs="宋体"/>
          <w:color w:val="auto"/>
          <w:sz w:val="21"/>
          <w:highlight w:val="none"/>
        </w:rPr>
      </w:pPr>
      <w:r>
        <w:rPr>
          <w:rFonts w:hint="eastAsia" w:hAnsi="宋体" w:cs="宋体"/>
          <w:color w:val="auto"/>
          <w:sz w:val="21"/>
          <w:highlight w:val="none"/>
        </w:rPr>
        <w:t>四、投诉事项具体内容</w:t>
      </w:r>
    </w:p>
    <w:p w14:paraId="240AF737">
      <w:pPr>
        <w:pStyle w:val="13"/>
        <w:snapToGrid w:val="0"/>
        <w:spacing w:line="440" w:lineRule="exact"/>
        <w:rPr>
          <w:rFonts w:hAnsi="宋体" w:cs="宋体"/>
          <w:color w:val="auto"/>
          <w:sz w:val="21"/>
          <w:highlight w:val="none"/>
        </w:rPr>
      </w:pPr>
      <w:r>
        <w:rPr>
          <w:rFonts w:hint="eastAsia" w:hAnsi="宋体" w:cs="宋体"/>
          <w:color w:val="auto"/>
          <w:sz w:val="21"/>
          <w:highlight w:val="none"/>
        </w:rPr>
        <w:t>投诉事项1：</w:t>
      </w:r>
    </w:p>
    <w:p w14:paraId="4D6F9899">
      <w:pPr>
        <w:pStyle w:val="13"/>
        <w:snapToGrid w:val="0"/>
        <w:spacing w:line="440" w:lineRule="exact"/>
        <w:rPr>
          <w:rFonts w:hAnsi="宋体" w:cs="宋体"/>
          <w:color w:val="auto"/>
          <w:sz w:val="21"/>
          <w:highlight w:val="none"/>
        </w:rPr>
      </w:pPr>
      <w:r>
        <w:rPr>
          <w:rFonts w:hint="eastAsia" w:hAnsi="宋体" w:cs="宋体"/>
          <w:color w:val="auto"/>
          <w:sz w:val="21"/>
          <w:highlight w:val="none"/>
        </w:rPr>
        <w:t>事实依据：</w:t>
      </w:r>
    </w:p>
    <w:p w14:paraId="1D399016">
      <w:pPr>
        <w:pStyle w:val="13"/>
        <w:snapToGrid w:val="0"/>
        <w:spacing w:line="440" w:lineRule="exact"/>
        <w:rPr>
          <w:rFonts w:hAnsi="宋体" w:cs="宋体"/>
          <w:color w:val="auto"/>
          <w:sz w:val="21"/>
          <w:highlight w:val="none"/>
        </w:rPr>
      </w:pPr>
      <w:r>
        <w:rPr>
          <w:rFonts w:hint="eastAsia" w:hAnsi="宋体" w:cs="宋体"/>
          <w:color w:val="auto"/>
          <w:sz w:val="21"/>
          <w:highlight w:val="none"/>
        </w:rPr>
        <w:t>法律依据：</w:t>
      </w:r>
    </w:p>
    <w:p w14:paraId="6280F8EF">
      <w:pPr>
        <w:pStyle w:val="13"/>
        <w:snapToGrid w:val="0"/>
        <w:spacing w:line="440" w:lineRule="exact"/>
        <w:rPr>
          <w:rFonts w:hAnsi="宋体" w:cs="宋体"/>
          <w:color w:val="auto"/>
          <w:sz w:val="21"/>
          <w:highlight w:val="none"/>
        </w:rPr>
      </w:pPr>
      <w:r>
        <w:rPr>
          <w:rFonts w:hint="eastAsia" w:hAnsi="宋体" w:cs="宋体"/>
          <w:color w:val="auto"/>
          <w:sz w:val="21"/>
          <w:highlight w:val="none"/>
        </w:rPr>
        <w:t>投诉事项2</w:t>
      </w:r>
    </w:p>
    <w:p w14:paraId="75481897">
      <w:pPr>
        <w:pStyle w:val="13"/>
        <w:snapToGrid w:val="0"/>
        <w:spacing w:line="440" w:lineRule="exact"/>
        <w:rPr>
          <w:rFonts w:hAnsi="宋体" w:cs="宋体"/>
          <w:color w:val="auto"/>
          <w:sz w:val="21"/>
          <w:highlight w:val="none"/>
        </w:rPr>
      </w:pPr>
      <w:r>
        <w:rPr>
          <w:rFonts w:hint="eastAsia" w:hAnsi="宋体" w:cs="宋体"/>
          <w:color w:val="auto"/>
          <w:sz w:val="21"/>
          <w:highlight w:val="none"/>
        </w:rPr>
        <w:t>……</w:t>
      </w:r>
    </w:p>
    <w:p w14:paraId="676196A5">
      <w:pPr>
        <w:pStyle w:val="13"/>
        <w:snapToGrid w:val="0"/>
        <w:spacing w:line="440" w:lineRule="exact"/>
        <w:rPr>
          <w:rFonts w:hAnsi="宋体" w:cs="宋体"/>
          <w:color w:val="auto"/>
          <w:sz w:val="21"/>
          <w:highlight w:val="none"/>
        </w:rPr>
      </w:pPr>
      <w:r>
        <w:rPr>
          <w:rFonts w:hint="eastAsia" w:hAnsi="宋体" w:cs="宋体"/>
          <w:color w:val="auto"/>
          <w:sz w:val="21"/>
          <w:highlight w:val="none"/>
        </w:rPr>
        <w:t>五、与投诉事项相关的投诉请求</w:t>
      </w:r>
    </w:p>
    <w:p w14:paraId="5637AD8D">
      <w:pPr>
        <w:pStyle w:val="13"/>
        <w:snapToGrid w:val="0"/>
        <w:spacing w:line="440" w:lineRule="exact"/>
        <w:rPr>
          <w:rFonts w:hAnsi="宋体" w:cs="宋体"/>
          <w:color w:val="auto"/>
          <w:sz w:val="21"/>
          <w:highlight w:val="none"/>
        </w:rPr>
      </w:pPr>
      <w:r>
        <w:rPr>
          <w:rFonts w:hint="eastAsia" w:hAnsi="宋体" w:cs="宋体"/>
          <w:color w:val="auto"/>
          <w:sz w:val="21"/>
          <w:highlight w:val="none"/>
        </w:rPr>
        <w:t>请求：</w:t>
      </w:r>
    </w:p>
    <w:p w14:paraId="351EA58D">
      <w:pPr>
        <w:pStyle w:val="13"/>
        <w:snapToGrid w:val="0"/>
        <w:spacing w:line="440" w:lineRule="exact"/>
        <w:rPr>
          <w:rFonts w:hAnsi="宋体" w:cs="宋体"/>
          <w:color w:val="auto"/>
          <w:sz w:val="21"/>
          <w:highlight w:val="none"/>
        </w:rPr>
      </w:pPr>
      <w:r>
        <w:rPr>
          <w:rFonts w:hint="eastAsia" w:hAnsi="宋体" w:cs="宋体"/>
          <w:color w:val="auto"/>
          <w:sz w:val="21"/>
          <w:highlight w:val="none"/>
        </w:rPr>
        <w:t>签字(签章)：公章：</w:t>
      </w:r>
    </w:p>
    <w:p w14:paraId="4A2E7578">
      <w:pPr>
        <w:pStyle w:val="13"/>
        <w:snapToGrid w:val="0"/>
        <w:spacing w:line="440" w:lineRule="exact"/>
        <w:rPr>
          <w:rFonts w:hAnsi="宋体" w:cs="宋体"/>
          <w:color w:val="auto"/>
          <w:sz w:val="21"/>
          <w:highlight w:val="none"/>
        </w:rPr>
      </w:pPr>
      <w:r>
        <w:rPr>
          <w:rFonts w:hint="eastAsia" w:hAnsi="宋体" w:cs="宋体"/>
          <w:color w:val="auto"/>
          <w:sz w:val="21"/>
          <w:highlight w:val="none"/>
        </w:rPr>
        <w:t>日期：</w:t>
      </w:r>
    </w:p>
    <w:p w14:paraId="1469E5CB">
      <w:pPr>
        <w:pStyle w:val="13"/>
        <w:snapToGrid w:val="0"/>
        <w:spacing w:line="440" w:lineRule="exact"/>
        <w:rPr>
          <w:rFonts w:hAnsi="宋体" w:cs="宋体"/>
          <w:color w:val="auto"/>
          <w:sz w:val="21"/>
          <w:highlight w:val="none"/>
        </w:rPr>
      </w:pPr>
      <w:r>
        <w:rPr>
          <w:rFonts w:hint="eastAsia" w:hAnsi="宋体" w:cs="宋体"/>
          <w:b/>
          <w:bCs/>
          <w:color w:val="auto"/>
          <w:sz w:val="21"/>
          <w:highlight w:val="none"/>
        </w:rPr>
        <w:t>投诉书制作说明：</w:t>
      </w:r>
    </w:p>
    <w:p w14:paraId="4788693C">
      <w:pPr>
        <w:pStyle w:val="13"/>
        <w:snapToGrid w:val="0"/>
        <w:spacing w:line="440" w:lineRule="exact"/>
        <w:rPr>
          <w:rFonts w:hAnsi="宋体" w:cs="宋体"/>
          <w:color w:val="auto"/>
          <w:sz w:val="21"/>
          <w:highlight w:val="none"/>
        </w:rPr>
      </w:pPr>
      <w:r>
        <w:rPr>
          <w:rFonts w:hint="eastAsia" w:hAnsi="宋体" w:cs="宋体"/>
          <w:color w:val="auto"/>
          <w:sz w:val="21"/>
          <w:highlight w:val="none"/>
        </w:rPr>
        <w:t>1.投诉人提起投诉时，应当提交投诉书和必要的证明材料，并按照被投诉人和与投诉事项有关的供应商数量提供投诉书副本。</w:t>
      </w:r>
    </w:p>
    <w:p w14:paraId="6D6D3F73">
      <w:pPr>
        <w:pStyle w:val="13"/>
        <w:snapToGrid w:val="0"/>
        <w:spacing w:line="440" w:lineRule="exact"/>
        <w:rPr>
          <w:rFonts w:hAnsi="宋体" w:cs="宋体"/>
          <w:color w:val="auto"/>
          <w:sz w:val="21"/>
          <w:highlight w:val="none"/>
        </w:rPr>
      </w:pPr>
      <w:r>
        <w:rPr>
          <w:rFonts w:hint="eastAsia" w:hAnsi="宋体" w:cs="宋体"/>
          <w:color w:val="auto"/>
          <w:sz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AA25621">
      <w:pPr>
        <w:pStyle w:val="13"/>
        <w:snapToGrid w:val="0"/>
        <w:spacing w:line="440" w:lineRule="exact"/>
        <w:rPr>
          <w:rFonts w:hAnsi="宋体" w:cs="宋体"/>
          <w:color w:val="auto"/>
          <w:sz w:val="21"/>
          <w:highlight w:val="none"/>
        </w:rPr>
      </w:pPr>
      <w:r>
        <w:rPr>
          <w:rFonts w:hint="eastAsia" w:hAnsi="宋体" w:cs="宋体"/>
          <w:color w:val="auto"/>
          <w:sz w:val="21"/>
          <w:highlight w:val="none"/>
        </w:rPr>
        <w:t>3.投诉人若对项目的某一分包进行投诉，投诉书应列明具体分包号。</w:t>
      </w:r>
    </w:p>
    <w:p w14:paraId="59A36B5A">
      <w:pPr>
        <w:pStyle w:val="13"/>
        <w:snapToGrid w:val="0"/>
        <w:spacing w:line="440" w:lineRule="exact"/>
        <w:rPr>
          <w:rFonts w:hAnsi="宋体" w:cs="宋体"/>
          <w:color w:val="auto"/>
          <w:sz w:val="21"/>
          <w:highlight w:val="none"/>
        </w:rPr>
      </w:pPr>
      <w:r>
        <w:rPr>
          <w:rFonts w:hint="eastAsia" w:hAnsi="宋体" w:cs="宋体"/>
          <w:color w:val="auto"/>
          <w:sz w:val="21"/>
          <w:highlight w:val="none"/>
        </w:rPr>
        <w:t>4.投诉书应简要列明质疑事项，质疑函、质疑答复等作为附件材料提供。</w:t>
      </w:r>
    </w:p>
    <w:p w14:paraId="1A47CBD1">
      <w:pPr>
        <w:pStyle w:val="13"/>
        <w:snapToGrid w:val="0"/>
        <w:spacing w:line="440" w:lineRule="exact"/>
        <w:rPr>
          <w:rFonts w:hAnsi="宋体" w:cs="宋体"/>
          <w:color w:val="auto"/>
          <w:sz w:val="21"/>
          <w:highlight w:val="none"/>
        </w:rPr>
      </w:pPr>
      <w:r>
        <w:rPr>
          <w:rFonts w:hint="eastAsia" w:hAnsi="宋体" w:cs="宋体"/>
          <w:color w:val="auto"/>
          <w:sz w:val="21"/>
          <w:highlight w:val="none"/>
        </w:rPr>
        <w:t>5.投诉书的投诉事项应具体、明确，并有必要的事实依据和法律依据。</w:t>
      </w:r>
    </w:p>
    <w:p w14:paraId="247543D1">
      <w:pPr>
        <w:pStyle w:val="13"/>
        <w:snapToGrid w:val="0"/>
        <w:spacing w:line="440" w:lineRule="exact"/>
        <w:rPr>
          <w:rFonts w:hAnsi="宋体" w:cs="宋体"/>
          <w:color w:val="auto"/>
          <w:sz w:val="21"/>
          <w:highlight w:val="none"/>
        </w:rPr>
      </w:pPr>
      <w:r>
        <w:rPr>
          <w:rFonts w:hint="eastAsia" w:hAnsi="宋体" w:cs="宋体"/>
          <w:color w:val="auto"/>
          <w:sz w:val="21"/>
          <w:highlight w:val="none"/>
        </w:rPr>
        <w:t>6.投诉书的投诉请求应与投诉事项相关。</w:t>
      </w:r>
    </w:p>
    <w:p w14:paraId="327794BF">
      <w:pPr>
        <w:pStyle w:val="30"/>
        <w:ind w:left="0"/>
        <w:rPr>
          <w:rFonts w:hAnsi="宋体" w:cs="宋体"/>
          <w:b/>
          <w:bCs/>
          <w:color w:val="auto"/>
          <w:highlight w:val="none"/>
        </w:rPr>
      </w:pPr>
      <w:r>
        <w:rPr>
          <w:rFonts w:hint="eastAsia" w:hAnsi="宋体" w:cs="宋体"/>
          <w:color w:val="auto"/>
          <w:highlight w:val="none"/>
        </w:rPr>
        <w:t>7.投诉人为自然人的，投诉书应当由本人签字；投诉人为法人或者其他组织的，投诉书应当由法定代表人、主要负责人，或者其授权代表签字或者盖章，并加盖公章。</w:t>
      </w:r>
    </w:p>
    <w:p w14:paraId="705954D1">
      <w:pPr>
        <w:rPr>
          <w:rFonts w:hAnsi="宋体" w:cs="宋体"/>
          <w:b/>
          <w:bCs/>
          <w:color w:val="auto"/>
          <w:highlight w:val="none"/>
        </w:rPr>
      </w:pPr>
    </w:p>
    <w:p w14:paraId="440342D8">
      <w:pPr>
        <w:pStyle w:val="2"/>
        <w:rPr>
          <w:color w:val="auto"/>
          <w:highlight w:val="none"/>
        </w:rPr>
        <w:sectPr>
          <w:footerReference r:id="rId6" w:type="default"/>
          <w:pgSz w:w="11906" w:h="16838"/>
          <w:pgMar w:top="1247" w:right="849" w:bottom="1247" w:left="1418" w:header="851" w:footer="992" w:gutter="0"/>
          <w:cols w:space="720" w:num="1"/>
          <w:docGrid w:type="lines" w:linePitch="312" w:charSpace="0"/>
        </w:sectPr>
      </w:pPr>
    </w:p>
    <w:p w14:paraId="0C51E660">
      <w:pPr>
        <w:pStyle w:val="13"/>
        <w:snapToGrid w:val="0"/>
        <w:spacing w:line="600" w:lineRule="exact"/>
        <w:jc w:val="center"/>
        <w:rPr>
          <w:rFonts w:hAnsi="宋体"/>
          <w:color w:val="auto"/>
          <w:sz w:val="30"/>
          <w:szCs w:val="30"/>
          <w:highlight w:val="none"/>
        </w:rPr>
      </w:pPr>
    </w:p>
    <w:p w14:paraId="342DBD4A">
      <w:pPr>
        <w:pStyle w:val="13"/>
        <w:snapToGrid w:val="0"/>
        <w:spacing w:line="600" w:lineRule="exact"/>
        <w:jc w:val="center"/>
        <w:rPr>
          <w:rFonts w:hAnsi="宋体"/>
          <w:color w:val="auto"/>
          <w:sz w:val="30"/>
          <w:szCs w:val="30"/>
          <w:highlight w:val="none"/>
        </w:rPr>
      </w:pPr>
    </w:p>
    <w:p w14:paraId="7EFFC05F">
      <w:pPr>
        <w:pStyle w:val="13"/>
        <w:snapToGrid w:val="0"/>
        <w:spacing w:line="600" w:lineRule="exact"/>
        <w:jc w:val="center"/>
        <w:rPr>
          <w:rFonts w:hAnsi="宋体"/>
          <w:color w:val="auto"/>
          <w:sz w:val="30"/>
          <w:szCs w:val="30"/>
          <w:highlight w:val="none"/>
        </w:rPr>
      </w:pPr>
    </w:p>
    <w:p w14:paraId="08161460">
      <w:pPr>
        <w:pStyle w:val="13"/>
        <w:snapToGrid w:val="0"/>
        <w:spacing w:line="600" w:lineRule="exact"/>
        <w:rPr>
          <w:rFonts w:hAnsi="宋体"/>
          <w:color w:val="auto"/>
          <w:sz w:val="30"/>
          <w:szCs w:val="30"/>
          <w:highlight w:val="none"/>
        </w:rPr>
      </w:pPr>
    </w:p>
    <w:p w14:paraId="0F8E2771">
      <w:pPr>
        <w:pStyle w:val="13"/>
        <w:snapToGrid w:val="0"/>
        <w:spacing w:line="600" w:lineRule="exact"/>
        <w:rPr>
          <w:rFonts w:hAnsi="宋体"/>
          <w:color w:val="auto"/>
          <w:sz w:val="30"/>
          <w:szCs w:val="30"/>
          <w:highlight w:val="none"/>
        </w:rPr>
      </w:pPr>
    </w:p>
    <w:p w14:paraId="41462CEA">
      <w:pPr>
        <w:pStyle w:val="13"/>
        <w:snapToGrid w:val="0"/>
        <w:spacing w:line="600" w:lineRule="exact"/>
        <w:rPr>
          <w:rFonts w:hAnsi="宋体"/>
          <w:color w:val="auto"/>
          <w:sz w:val="30"/>
          <w:szCs w:val="30"/>
          <w:highlight w:val="none"/>
        </w:rPr>
      </w:pPr>
    </w:p>
    <w:p w14:paraId="33BC7920">
      <w:pPr>
        <w:pStyle w:val="13"/>
        <w:snapToGrid w:val="0"/>
        <w:spacing w:line="600" w:lineRule="exact"/>
        <w:rPr>
          <w:rFonts w:hAnsi="宋体"/>
          <w:color w:val="auto"/>
          <w:sz w:val="30"/>
          <w:szCs w:val="30"/>
          <w:highlight w:val="none"/>
        </w:rPr>
      </w:pPr>
    </w:p>
    <w:p w14:paraId="737E458E">
      <w:pPr>
        <w:pStyle w:val="13"/>
        <w:snapToGrid w:val="0"/>
        <w:spacing w:line="600" w:lineRule="exact"/>
        <w:jc w:val="center"/>
        <w:rPr>
          <w:rFonts w:hAnsi="宋体"/>
          <w:color w:val="auto"/>
          <w:sz w:val="30"/>
          <w:szCs w:val="30"/>
          <w:highlight w:val="none"/>
        </w:rPr>
      </w:pPr>
    </w:p>
    <w:p w14:paraId="733FA9D4">
      <w:pPr>
        <w:pStyle w:val="3"/>
        <w:jc w:val="center"/>
        <w:rPr>
          <w:rFonts w:ascii="宋体" w:hAnsi="宋体"/>
          <w:color w:val="auto"/>
          <w:highlight w:val="none"/>
        </w:rPr>
      </w:pPr>
      <w:bookmarkStart w:id="22" w:name="_Toc29305"/>
      <w:bookmarkStart w:id="23" w:name="_Toc463706304"/>
      <w:r>
        <w:rPr>
          <w:rFonts w:hint="eastAsia" w:ascii="宋体" w:hAnsi="宋体"/>
          <w:color w:val="auto"/>
          <w:highlight w:val="none"/>
        </w:rPr>
        <w:t>第六章  评标办法及评分标准</w:t>
      </w:r>
      <w:bookmarkEnd w:id="22"/>
      <w:bookmarkEnd w:id="23"/>
    </w:p>
    <w:p w14:paraId="3C57BA06">
      <w:pPr>
        <w:pStyle w:val="13"/>
        <w:spacing w:line="360" w:lineRule="exact"/>
        <w:rPr>
          <w:rFonts w:hAnsi="宋体"/>
          <w:b/>
          <w:bCs/>
          <w:color w:val="auto"/>
          <w:sz w:val="28"/>
          <w:szCs w:val="28"/>
          <w:highlight w:val="none"/>
        </w:rPr>
      </w:pPr>
    </w:p>
    <w:p w14:paraId="03796C93">
      <w:pPr>
        <w:pStyle w:val="13"/>
        <w:spacing w:line="360" w:lineRule="exact"/>
        <w:rPr>
          <w:rFonts w:hAnsi="宋体"/>
          <w:b/>
          <w:bCs/>
          <w:color w:val="auto"/>
          <w:sz w:val="32"/>
          <w:szCs w:val="32"/>
          <w:highlight w:val="none"/>
        </w:rPr>
      </w:pPr>
    </w:p>
    <w:p w14:paraId="4B1EC1C1">
      <w:pPr>
        <w:pStyle w:val="13"/>
        <w:spacing w:line="360" w:lineRule="exact"/>
        <w:rPr>
          <w:rFonts w:hAnsi="宋体"/>
          <w:b/>
          <w:bCs/>
          <w:color w:val="auto"/>
          <w:sz w:val="32"/>
          <w:szCs w:val="32"/>
          <w:highlight w:val="none"/>
        </w:rPr>
      </w:pPr>
    </w:p>
    <w:p w14:paraId="032372EC">
      <w:pPr>
        <w:pStyle w:val="13"/>
        <w:spacing w:line="360" w:lineRule="exact"/>
        <w:rPr>
          <w:rFonts w:hAnsi="宋体"/>
          <w:b/>
          <w:bCs/>
          <w:color w:val="auto"/>
          <w:sz w:val="32"/>
          <w:szCs w:val="32"/>
          <w:highlight w:val="none"/>
        </w:rPr>
      </w:pPr>
    </w:p>
    <w:p w14:paraId="29035794">
      <w:pPr>
        <w:pStyle w:val="13"/>
        <w:spacing w:line="360" w:lineRule="exact"/>
        <w:rPr>
          <w:rFonts w:hAnsi="宋体"/>
          <w:b/>
          <w:bCs/>
          <w:color w:val="auto"/>
          <w:sz w:val="32"/>
          <w:szCs w:val="32"/>
          <w:highlight w:val="none"/>
        </w:rPr>
      </w:pPr>
    </w:p>
    <w:p w14:paraId="1BF9159E">
      <w:pPr>
        <w:pStyle w:val="13"/>
        <w:spacing w:line="360" w:lineRule="exact"/>
        <w:rPr>
          <w:rFonts w:hAnsi="宋体"/>
          <w:b/>
          <w:bCs/>
          <w:color w:val="auto"/>
          <w:sz w:val="32"/>
          <w:szCs w:val="32"/>
          <w:highlight w:val="none"/>
        </w:rPr>
      </w:pPr>
    </w:p>
    <w:p w14:paraId="01E3BCF2">
      <w:pPr>
        <w:pStyle w:val="13"/>
        <w:spacing w:line="360" w:lineRule="exact"/>
        <w:rPr>
          <w:rFonts w:hAnsi="宋体"/>
          <w:b/>
          <w:bCs/>
          <w:color w:val="auto"/>
          <w:sz w:val="32"/>
          <w:szCs w:val="32"/>
          <w:highlight w:val="none"/>
        </w:rPr>
      </w:pPr>
    </w:p>
    <w:p w14:paraId="32D75A86">
      <w:pPr>
        <w:pStyle w:val="13"/>
        <w:spacing w:line="360" w:lineRule="exact"/>
        <w:rPr>
          <w:rFonts w:hAnsi="宋体"/>
          <w:b/>
          <w:bCs/>
          <w:color w:val="auto"/>
          <w:sz w:val="32"/>
          <w:szCs w:val="32"/>
          <w:highlight w:val="none"/>
        </w:rPr>
      </w:pPr>
    </w:p>
    <w:p w14:paraId="4982514C">
      <w:pPr>
        <w:pStyle w:val="13"/>
        <w:spacing w:line="360" w:lineRule="exact"/>
        <w:rPr>
          <w:rFonts w:hAnsi="宋体"/>
          <w:b/>
          <w:color w:val="auto"/>
          <w:sz w:val="32"/>
          <w:szCs w:val="32"/>
          <w:highlight w:val="none"/>
        </w:rPr>
      </w:pPr>
    </w:p>
    <w:p w14:paraId="5025BEBC">
      <w:pPr>
        <w:pStyle w:val="13"/>
        <w:spacing w:line="360" w:lineRule="exact"/>
        <w:rPr>
          <w:rFonts w:hAnsi="宋体"/>
          <w:b/>
          <w:color w:val="auto"/>
          <w:sz w:val="32"/>
          <w:szCs w:val="32"/>
          <w:highlight w:val="none"/>
        </w:rPr>
      </w:pPr>
    </w:p>
    <w:p w14:paraId="1A66E2E7">
      <w:pPr>
        <w:pStyle w:val="13"/>
        <w:spacing w:line="360" w:lineRule="exact"/>
        <w:rPr>
          <w:rFonts w:hAnsi="宋体"/>
          <w:b/>
          <w:color w:val="auto"/>
          <w:sz w:val="32"/>
          <w:szCs w:val="32"/>
          <w:highlight w:val="none"/>
        </w:rPr>
      </w:pPr>
    </w:p>
    <w:p w14:paraId="77284AD6">
      <w:pPr>
        <w:pStyle w:val="13"/>
        <w:spacing w:line="360" w:lineRule="exact"/>
        <w:rPr>
          <w:rFonts w:hAnsi="宋体"/>
          <w:b/>
          <w:color w:val="auto"/>
          <w:sz w:val="32"/>
          <w:szCs w:val="32"/>
          <w:highlight w:val="none"/>
        </w:rPr>
      </w:pPr>
    </w:p>
    <w:p w14:paraId="55A2B2B7">
      <w:pPr>
        <w:pStyle w:val="13"/>
        <w:spacing w:line="360" w:lineRule="exact"/>
        <w:rPr>
          <w:rFonts w:hAnsi="宋体"/>
          <w:b/>
          <w:color w:val="auto"/>
          <w:sz w:val="32"/>
          <w:szCs w:val="32"/>
          <w:highlight w:val="none"/>
        </w:rPr>
      </w:pPr>
    </w:p>
    <w:p w14:paraId="24497467">
      <w:pPr>
        <w:pStyle w:val="13"/>
        <w:spacing w:line="360" w:lineRule="exact"/>
        <w:jc w:val="center"/>
        <w:rPr>
          <w:rFonts w:hAnsi="宋体"/>
          <w:b/>
          <w:color w:val="auto"/>
          <w:sz w:val="32"/>
          <w:szCs w:val="32"/>
          <w:highlight w:val="none"/>
        </w:rPr>
      </w:pPr>
    </w:p>
    <w:p w14:paraId="522D24CF">
      <w:pPr>
        <w:pStyle w:val="13"/>
        <w:spacing w:line="360" w:lineRule="exact"/>
        <w:jc w:val="center"/>
        <w:rPr>
          <w:rFonts w:hAnsi="宋体"/>
          <w:b/>
          <w:color w:val="auto"/>
          <w:sz w:val="32"/>
          <w:szCs w:val="32"/>
          <w:highlight w:val="none"/>
        </w:rPr>
      </w:pPr>
    </w:p>
    <w:p w14:paraId="31A59DEF">
      <w:pPr>
        <w:pStyle w:val="13"/>
        <w:spacing w:line="360" w:lineRule="exact"/>
        <w:jc w:val="center"/>
        <w:rPr>
          <w:rFonts w:hAnsi="宋体"/>
          <w:b/>
          <w:color w:val="auto"/>
          <w:sz w:val="32"/>
          <w:szCs w:val="32"/>
          <w:highlight w:val="none"/>
        </w:rPr>
      </w:pPr>
    </w:p>
    <w:p w14:paraId="7271A73A">
      <w:pPr>
        <w:pStyle w:val="13"/>
        <w:spacing w:line="360" w:lineRule="exact"/>
        <w:jc w:val="center"/>
        <w:rPr>
          <w:rFonts w:hAnsi="宋体"/>
          <w:b/>
          <w:color w:val="auto"/>
          <w:sz w:val="32"/>
          <w:szCs w:val="32"/>
          <w:highlight w:val="none"/>
        </w:rPr>
      </w:pPr>
    </w:p>
    <w:p w14:paraId="3CB475BC">
      <w:pPr>
        <w:pStyle w:val="13"/>
        <w:spacing w:line="360" w:lineRule="exact"/>
        <w:jc w:val="center"/>
        <w:rPr>
          <w:rFonts w:hAnsi="宋体"/>
          <w:b/>
          <w:color w:val="auto"/>
          <w:sz w:val="32"/>
          <w:szCs w:val="32"/>
          <w:highlight w:val="none"/>
        </w:rPr>
      </w:pPr>
    </w:p>
    <w:p w14:paraId="03939820">
      <w:pPr>
        <w:pStyle w:val="13"/>
        <w:spacing w:line="360" w:lineRule="exact"/>
        <w:jc w:val="center"/>
        <w:rPr>
          <w:rFonts w:hAnsi="宋体"/>
          <w:b/>
          <w:color w:val="auto"/>
          <w:sz w:val="32"/>
          <w:szCs w:val="32"/>
          <w:highlight w:val="none"/>
        </w:rPr>
      </w:pPr>
    </w:p>
    <w:p w14:paraId="3431B70B">
      <w:pPr>
        <w:pStyle w:val="13"/>
        <w:spacing w:line="360" w:lineRule="exact"/>
        <w:jc w:val="center"/>
        <w:rPr>
          <w:rFonts w:hAnsi="宋体"/>
          <w:b/>
          <w:color w:val="auto"/>
          <w:sz w:val="32"/>
          <w:szCs w:val="32"/>
          <w:highlight w:val="none"/>
        </w:rPr>
      </w:pPr>
    </w:p>
    <w:p w14:paraId="2D1A500E">
      <w:pPr>
        <w:pStyle w:val="13"/>
        <w:spacing w:line="360" w:lineRule="exact"/>
        <w:rPr>
          <w:rFonts w:hAnsi="宋体"/>
          <w:b/>
          <w:color w:val="auto"/>
          <w:sz w:val="32"/>
          <w:szCs w:val="32"/>
          <w:highlight w:val="none"/>
        </w:rPr>
      </w:pPr>
    </w:p>
    <w:p w14:paraId="4BAA93DA">
      <w:pPr>
        <w:pStyle w:val="13"/>
        <w:spacing w:line="360" w:lineRule="exact"/>
        <w:rPr>
          <w:rFonts w:hAnsi="宋体"/>
          <w:b/>
          <w:color w:val="auto"/>
          <w:sz w:val="32"/>
          <w:szCs w:val="32"/>
          <w:highlight w:val="none"/>
        </w:rPr>
      </w:pPr>
    </w:p>
    <w:p w14:paraId="5CA463F9">
      <w:pPr>
        <w:pStyle w:val="13"/>
        <w:spacing w:line="360" w:lineRule="exact"/>
        <w:ind w:firstLine="321"/>
        <w:jc w:val="center"/>
        <w:rPr>
          <w:rFonts w:hAnsi="宋体"/>
          <w:b/>
          <w:color w:val="auto"/>
          <w:sz w:val="32"/>
          <w:szCs w:val="32"/>
          <w:highlight w:val="none"/>
        </w:rPr>
      </w:pPr>
      <w:bookmarkStart w:id="24" w:name="_Hlk121219112"/>
      <w:r>
        <w:rPr>
          <w:rFonts w:hint="eastAsia" w:hAnsi="宋体"/>
          <w:b/>
          <w:color w:val="auto"/>
          <w:sz w:val="32"/>
          <w:szCs w:val="32"/>
          <w:highlight w:val="none"/>
        </w:rPr>
        <w:t>评标办法及评分标准</w:t>
      </w:r>
    </w:p>
    <w:p w14:paraId="086FEC76">
      <w:pPr>
        <w:pStyle w:val="13"/>
        <w:spacing w:line="420" w:lineRule="exact"/>
        <w:ind w:firstLine="514" w:firstLineChars="257"/>
        <w:jc w:val="center"/>
        <w:rPr>
          <w:rFonts w:hAnsi="宋体"/>
          <w:bCs/>
          <w:color w:val="auto"/>
          <w:highlight w:val="none"/>
        </w:rPr>
      </w:pPr>
    </w:p>
    <w:p w14:paraId="5B6BDC4F">
      <w:pPr>
        <w:pStyle w:val="13"/>
        <w:spacing w:line="400" w:lineRule="exact"/>
        <w:ind w:firstLine="210"/>
        <w:rPr>
          <w:rFonts w:hAnsi="宋体"/>
          <w:b/>
          <w:bCs/>
          <w:color w:val="auto"/>
          <w:sz w:val="21"/>
          <w:highlight w:val="none"/>
        </w:rPr>
      </w:pPr>
      <w:r>
        <w:rPr>
          <w:rFonts w:hint="eastAsia" w:hAnsi="宋体"/>
          <w:b/>
          <w:bCs/>
          <w:color w:val="auto"/>
          <w:sz w:val="21"/>
          <w:highlight w:val="none"/>
        </w:rPr>
        <w:t>一、评标原则</w:t>
      </w:r>
    </w:p>
    <w:p w14:paraId="196B318E">
      <w:pPr>
        <w:pStyle w:val="13"/>
        <w:spacing w:line="400" w:lineRule="exact"/>
        <w:ind w:firstLine="210"/>
        <w:rPr>
          <w:rFonts w:hAnsi="宋体"/>
          <w:color w:val="auto"/>
          <w:sz w:val="21"/>
          <w:highlight w:val="none"/>
        </w:rPr>
      </w:pPr>
      <w:r>
        <w:rPr>
          <w:rFonts w:hint="eastAsia" w:hAnsi="宋体"/>
          <w:color w:val="auto"/>
          <w:sz w:val="21"/>
          <w:highlight w:val="none"/>
        </w:rPr>
        <w:t>(一)评委组成：本招标采购项目的评标委员会由采购人代表和有关技术、经济等方面的专家组成，成员人数应当为五人以上单数。其中，技术、经济等方面的专家不得少于成员总数的三分之二。</w:t>
      </w:r>
    </w:p>
    <w:p w14:paraId="2A498767">
      <w:pPr>
        <w:pStyle w:val="13"/>
        <w:spacing w:line="400" w:lineRule="exact"/>
        <w:ind w:firstLine="210"/>
        <w:rPr>
          <w:rFonts w:hAnsi="宋体"/>
          <w:color w:val="auto"/>
          <w:sz w:val="21"/>
          <w:highlight w:val="none"/>
        </w:rPr>
      </w:pPr>
      <w:r>
        <w:rPr>
          <w:rFonts w:hint="eastAsia" w:hAnsi="宋体"/>
          <w:color w:val="auto"/>
          <w:sz w:val="21"/>
          <w:highlight w:val="none"/>
        </w:rPr>
        <w:t>(二)评标依据：评委将以招投标文件为评标依据，</w:t>
      </w:r>
      <w:r>
        <w:rPr>
          <w:rFonts w:hAnsi="宋体"/>
          <w:color w:val="auto"/>
          <w:sz w:val="21"/>
          <w:highlight w:val="none"/>
        </w:rPr>
        <w:t>对投标人的内容按百分制打分。</w:t>
      </w:r>
    </w:p>
    <w:p w14:paraId="165A5932">
      <w:pPr>
        <w:pStyle w:val="13"/>
        <w:spacing w:line="400" w:lineRule="exact"/>
        <w:ind w:firstLine="210"/>
        <w:rPr>
          <w:rFonts w:hAnsi="宋体"/>
          <w:color w:val="auto"/>
          <w:sz w:val="21"/>
          <w:highlight w:val="none"/>
        </w:rPr>
      </w:pPr>
      <w:r>
        <w:rPr>
          <w:rFonts w:hint="eastAsia" w:hAnsi="宋体"/>
          <w:color w:val="auto"/>
          <w:sz w:val="21"/>
          <w:highlight w:val="none"/>
        </w:rPr>
        <w:t>(三)评标方式：以封闭方式进行。</w:t>
      </w:r>
    </w:p>
    <w:p w14:paraId="3DFF6D4F">
      <w:pPr>
        <w:pStyle w:val="13"/>
        <w:spacing w:line="400" w:lineRule="exact"/>
        <w:ind w:firstLine="211"/>
        <w:rPr>
          <w:rFonts w:hAnsi="宋体"/>
          <w:b/>
          <w:bCs/>
          <w:color w:val="auto"/>
          <w:sz w:val="21"/>
          <w:highlight w:val="none"/>
        </w:rPr>
      </w:pPr>
      <w:r>
        <w:rPr>
          <w:rFonts w:hint="eastAsia" w:hAnsi="宋体"/>
          <w:b/>
          <w:bCs/>
          <w:color w:val="auto"/>
          <w:sz w:val="21"/>
          <w:highlight w:val="none"/>
        </w:rPr>
        <w:t>二、评定方法</w:t>
      </w:r>
    </w:p>
    <w:p w14:paraId="345531C4">
      <w:pPr>
        <w:pStyle w:val="13"/>
        <w:spacing w:line="400" w:lineRule="exact"/>
        <w:ind w:firstLine="420" w:firstLineChars="200"/>
        <w:rPr>
          <w:rFonts w:hAnsi="宋体"/>
          <w:color w:val="auto"/>
          <w:sz w:val="21"/>
          <w:highlight w:val="none"/>
        </w:rPr>
      </w:pPr>
      <w:r>
        <w:rPr>
          <w:rFonts w:hint="eastAsia" w:hAnsi="宋体"/>
          <w:color w:val="auto"/>
          <w:sz w:val="21"/>
          <w:highlight w:val="none"/>
        </w:rPr>
        <w:t>（一）对进入详评的，采用百分制综合评分法。</w:t>
      </w:r>
    </w:p>
    <w:p w14:paraId="737FA497">
      <w:pPr>
        <w:pStyle w:val="13"/>
        <w:spacing w:line="400" w:lineRule="exact"/>
        <w:ind w:firstLine="420" w:firstLineChars="200"/>
        <w:rPr>
          <w:rFonts w:hAnsi="宋体"/>
          <w:color w:val="auto"/>
          <w:sz w:val="21"/>
          <w:highlight w:val="none"/>
        </w:rPr>
      </w:pPr>
      <w:r>
        <w:rPr>
          <w:rFonts w:hint="eastAsia" w:hAnsi="宋体"/>
          <w:color w:val="auto"/>
          <w:sz w:val="21"/>
          <w:highlight w:val="none"/>
        </w:rPr>
        <w:t>（二）综合评分相等时，评标委员会依次按照以下优先顺序或确定中标人：</w:t>
      </w:r>
    </w:p>
    <w:p w14:paraId="0731D405">
      <w:pPr>
        <w:pStyle w:val="13"/>
        <w:spacing w:line="400" w:lineRule="exact"/>
        <w:ind w:firstLine="840" w:firstLineChars="400"/>
        <w:rPr>
          <w:rFonts w:hAnsi="宋体"/>
          <w:color w:val="auto"/>
          <w:sz w:val="21"/>
          <w:highlight w:val="none"/>
        </w:rPr>
      </w:pPr>
      <w:r>
        <w:rPr>
          <w:rFonts w:hint="eastAsia" w:hAnsi="宋体"/>
          <w:color w:val="auto"/>
          <w:sz w:val="21"/>
          <w:highlight w:val="none"/>
        </w:rPr>
        <w:t>（1）评标价低的投标人优先；</w:t>
      </w:r>
    </w:p>
    <w:p w14:paraId="25D746A3">
      <w:pPr>
        <w:pStyle w:val="13"/>
        <w:spacing w:line="400" w:lineRule="exact"/>
        <w:ind w:firstLine="840" w:firstLineChars="400"/>
        <w:rPr>
          <w:rFonts w:hAnsi="宋体"/>
          <w:color w:val="auto"/>
          <w:sz w:val="21"/>
          <w:highlight w:val="none"/>
        </w:rPr>
      </w:pPr>
      <w:r>
        <w:rPr>
          <w:rFonts w:hint="eastAsia" w:hAnsi="宋体"/>
          <w:color w:val="auto"/>
          <w:sz w:val="21"/>
          <w:highlight w:val="none"/>
        </w:rPr>
        <w:t>（2）被招标项目所在地市级以上交通运输主管部门评为较高信用等级的投标人优先；</w:t>
      </w:r>
    </w:p>
    <w:p w14:paraId="0033289E">
      <w:pPr>
        <w:pStyle w:val="13"/>
        <w:spacing w:line="400" w:lineRule="exact"/>
        <w:ind w:firstLine="840" w:firstLineChars="400"/>
        <w:rPr>
          <w:rFonts w:hAnsi="宋体"/>
          <w:color w:val="auto"/>
          <w:sz w:val="21"/>
          <w:highlight w:val="none"/>
        </w:rPr>
      </w:pPr>
      <w:r>
        <w:rPr>
          <w:rFonts w:hint="eastAsia" w:hAnsi="宋体"/>
          <w:color w:val="auto"/>
          <w:sz w:val="21"/>
          <w:highlight w:val="none"/>
        </w:rPr>
        <w:t>（3）商务和技术得分较高的投标人优先。</w:t>
      </w:r>
    </w:p>
    <w:p w14:paraId="38C2703E">
      <w:pPr>
        <w:pStyle w:val="13"/>
        <w:spacing w:line="400" w:lineRule="exact"/>
        <w:ind w:firstLine="420" w:firstLineChars="200"/>
        <w:rPr>
          <w:color w:val="auto"/>
          <w:highlight w:val="none"/>
        </w:rPr>
      </w:pPr>
      <w:r>
        <w:rPr>
          <w:rFonts w:hint="eastAsia" w:hAnsi="宋体"/>
          <w:color w:val="auto"/>
          <w:sz w:val="21"/>
          <w:highlight w:val="none"/>
        </w:rPr>
        <w:t>（三）计分办法（保留小数点后2位）：</w:t>
      </w:r>
    </w:p>
    <w:p w14:paraId="7CE29BE2">
      <w:pPr>
        <w:pStyle w:val="13"/>
        <w:spacing w:line="400" w:lineRule="exact"/>
        <w:ind w:firstLine="422" w:firstLineChars="200"/>
        <w:rPr>
          <w:rFonts w:hAnsi="宋体"/>
          <w:b/>
          <w:bCs/>
          <w:color w:val="auto"/>
          <w:kern w:val="2"/>
          <w:sz w:val="21"/>
          <w:highlight w:val="none"/>
        </w:rPr>
      </w:pPr>
      <w:r>
        <w:rPr>
          <w:rFonts w:hint="eastAsia" w:hAnsi="宋体"/>
          <w:b/>
          <w:bCs/>
          <w:color w:val="auto"/>
          <w:kern w:val="2"/>
          <w:sz w:val="21"/>
          <w:highlight w:val="none"/>
        </w:rPr>
        <w:t>1、报价评审分………………………………………………………………………………………30分</w:t>
      </w:r>
    </w:p>
    <w:p w14:paraId="3125829A">
      <w:pPr>
        <w:pStyle w:val="13"/>
        <w:spacing w:line="400" w:lineRule="exact"/>
        <w:ind w:firstLine="420" w:firstLineChars="200"/>
        <w:rPr>
          <w:color w:val="auto"/>
          <w:highlight w:val="none"/>
        </w:rPr>
      </w:pPr>
      <w:r>
        <w:rPr>
          <w:rFonts w:hint="eastAsia" w:hAnsi="宋体"/>
          <w:color w:val="auto"/>
          <w:kern w:val="2"/>
          <w:sz w:val="21"/>
          <w:highlight w:val="none"/>
        </w:rPr>
        <w:t>（1）评标报价为投标人的经算术修正的投标报价进行政策性扣除后的价格， 评标报价只是作为评标时使用。最终中标人的中标金额等于经算术修正的投标报价。</w:t>
      </w:r>
      <w:r>
        <w:rPr>
          <w:rFonts w:hint="eastAsia" w:hAnsi="宋体"/>
          <w:b/>
          <w:bCs/>
          <w:color w:val="auto"/>
          <w:kern w:val="2"/>
          <w:sz w:val="21"/>
          <w:highlight w:val="none"/>
        </w:rPr>
        <w:t>本项属于专门面向中小企业采购，故小型和微型企业不享受价格扣除优惠政策。监狱企业、残疾人福利性单位视同小型和微型企业。</w:t>
      </w:r>
    </w:p>
    <w:p w14:paraId="3E879BD8">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 xml:space="preserve">（2） </w:t>
      </w:r>
      <w:r>
        <w:rPr>
          <w:rFonts w:hint="eastAsia" w:hAnsi="宋体"/>
          <w:b/>
          <w:bCs/>
          <w:color w:val="auto"/>
          <w:kern w:val="2"/>
          <w:sz w:val="21"/>
          <w:highlight w:val="none"/>
        </w:rPr>
        <w:t>如项目不专门面向中小企业采购，</w:t>
      </w:r>
      <w:r>
        <w:rPr>
          <w:rFonts w:hint="eastAsia" w:hAnsi="宋体"/>
          <w:color w:val="auto"/>
          <w:kern w:val="2"/>
          <w:sz w:val="21"/>
          <w:highlight w:val="none"/>
        </w:rPr>
        <w:t>按照《政府采购促进中小企业发展管理办法》（财库〔2020〕46 号）、《广西壮族自治区财政厅关于进一步发挥政府采购政策功能促进企业发展的通知》（桂财采〔2022〕30 号）的规定，投标人为小型和微型企业，并在其投标文件中提供《中小企业声明函》，且其投标全部货物服务均由小微企业提供的，对其投标价格给予20%的扣除。</w:t>
      </w:r>
    </w:p>
    <w:p w14:paraId="2F939B67">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（3） 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A90CF77">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w:t>
      </w:r>
      <w:r>
        <w:rPr>
          <w:rFonts w:hAnsi="宋体"/>
          <w:color w:val="auto"/>
          <w:kern w:val="2"/>
          <w:sz w:val="21"/>
          <w:highlight w:val="none"/>
        </w:rPr>
        <w:t>4</w:t>
      </w:r>
      <w:r>
        <w:rPr>
          <w:rFonts w:hint="eastAsia" w:hAnsi="宋体"/>
          <w:color w:val="auto"/>
          <w:kern w:val="2"/>
          <w:sz w:val="21"/>
          <w:highlight w:val="none"/>
        </w:rPr>
        <w:t>） 政策性扣除计算方法。</w:t>
      </w:r>
    </w:p>
    <w:p w14:paraId="46025B69">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投标人为监狱企业或小型企业或微型企业且其所投标全部货物服务为小型和微型企业提供的，该投标人的投标报价给予20%的扣除，扣除后的价格为评标报价，即评标报价=投标报价×（1-20%）；大中型企业和其他自然人、法人或者其他组织与小型、微型企业组成联合体投标，且联合体协议中约定小型、微型企业的协议合同金额占到联合体协议合同总金额30%以上的，联合体投标价给予6%的扣除，扣除后的价格为评标价，即评标报价=投标报价×（1-6%）；除上述情况外，评标报价=投标报价。</w:t>
      </w:r>
    </w:p>
    <w:p w14:paraId="3437B6BB">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w:t>
      </w:r>
      <w:r>
        <w:rPr>
          <w:rFonts w:hAnsi="宋体"/>
          <w:color w:val="auto"/>
          <w:kern w:val="2"/>
          <w:sz w:val="21"/>
          <w:highlight w:val="none"/>
        </w:rPr>
        <w:t>5</w:t>
      </w:r>
      <w:r>
        <w:rPr>
          <w:rFonts w:hint="eastAsia" w:hAnsi="宋体"/>
          <w:color w:val="auto"/>
          <w:kern w:val="2"/>
          <w:sz w:val="21"/>
          <w:highlight w:val="none"/>
        </w:rPr>
        <w:t>）报价评审要求</w:t>
      </w:r>
    </w:p>
    <w:p w14:paraId="5D36BBD2">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w:t>
      </w:r>
      <w:r>
        <w:rPr>
          <w:rFonts w:hAnsi="宋体"/>
          <w:color w:val="auto"/>
          <w:kern w:val="2"/>
          <w:sz w:val="21"/>
          <w:highlight w:val="none"/>
        </w:rPr>
        <w:t>5</w:t>
      </w:r>
      <w:r>
        <w:rPr>
          <w:rFonts w:hint="eastAsia" w:hAnsi="宋体"/>
          <w:color w:val="auto"/>
          <w:kern w:val="2"/>
          <w:sz w:val="21"/>
          <w:highlight w:val="none"/>
        </w:rPr>
        <w:t>.1）在报价评审时，如发现下列情形之一的，投标文件视为无效：</w:t>
      </w:r>
    </w:p>
    <w:p w14:paraId="0B9B55EB">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a.投标函载明的报价总额与报价清单总额不一致的；</w:t>
      </w:r>
    </w:p>
    <w:p w14:paraId="37EAA945">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b.报价清单算术性修正总额与原报价总额偏差超过±1%的；</w:t>
      </w:r>
    </w:p>
    <w:p w14:paraId="437081B6">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c.不按采购人提供的格式填报报价清单，或修改采购人报价清单内容、数量和格式的；</w:t>
      </w:r>
    </w:p>
    <w:p w14:paraId="3C0536A9">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d.不采用人民币报价的；</w:t>
      </w:r>
    </w:p>
    <w:p w14:paraId="3BDF66BB">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e.报价（包括算术性修正报价）不符合招标文件规定范围，或者超出招标预算金额，采购人不能支付的；</w:t>
      </w:r>
    </w:p>
    <w:p w14:paraId="012BE294">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f.投标报价具有选择性，或者开标价格与投标文件承诺的优惠（折扣）价格不一致的。</w:t>
      </w:r>
    </w:p>
    <w:p w14:paraId="2F79ED80">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g.投标人不接受算术修正结果的。</w:t>
      </w:r>
    </w:p>
    <w:p w14:paraId="36974031">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w:t>
      </w:r>
      <w:r>
        <w:rPr>
          <w:rFonts w:hAnsi="宋体"/>
          <w:color w:val="auto"/>
          <w:kern w:val="2"/>
          <w:sz w:val="21"/>
          <w:highlight w:val="none"/>
        </w:rPr>
        <w:t>5</w:t>
      </w:r>
      <w:r>
        <w:rPr>
          <w:rFonts w:hint="eastAsia" w:hAnsi="宋体"/>
          <w:color w:val="auto"/>
          <w:kern w:val="2"/>
          <w:sz w:val="21"/>
          <w:highlight w:val="none"/>
        </w:rPr>
        <w:t>.2）根据《政府采购促进中小企业发展管理办法》（财库[2020]46号）以及桂财采〔2022〕31号文件精神</w:t>
      </w:r>
      <w:r>
        <w:rPr>
          <w:rFonts w:hint="eastAsia" w:hAnsi="宋体"/>
          <w:color w:val="auto"/>
          <w:kern w:val="2"/>
          <w:sz w:val="21"/>
          <w:highlight w:val="none"/>
        </w:rPr>
        <w:t>，合格投标人符合小型和微型企业的投标人评标价=修正报价×（1-20%），不属于小型和微型企业的投标人评标价=修正报价。</w:t>
      </w:r>
    </w:p>
    <w:p w14:paraId="59D6052C">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w:t>
      </w:r>
      <w:r>
        <w:rPr>
          <w:rFonts w:hAnsi="宋体"/>
          <w:color w:val="auto"/>
          <w:kern w:val="2"/>
          <w:sz w:val="21"/>
          <w:highlight w:val="none"/>
        </w:rPr>
        <w:t>5</w:t>
      </w:r>
      <w:r>
        <w:rPr>
          <w:rFonts w:hint="eastAsia" w:hAnsi="宋体"/>
          <w:color w:val="auto"/>
          <w:kern w:val="2"/>
          <w:sz w:val="21"/>
          <w:highlight w:val="none"/>
        </w:rPr>
        <w:t>.3）全部符合评审因素和评审标准的投标文件的修正报价的最低评标价为评标基准价。</w:t>
      </w:r>
    </w:p>
    <w:p w14:paraId="04DB928A">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（5.4）投标人报价得分=评标基准价÷投标人评标价×30。</w:t>
      </w:r>
    </w:p>
    <w:p w14:paraId="34EA6410">
      <w:pPr>
        <w:pStyle w:val="13"/>
        <w:spacing w:line="400" w:lineRule="exact"/>
        <w:ind w:firstLine="420" w:firstLineChars="200"/>
        <w:rPr>
          <w:rFonts w:hAnsi="宋体"/>
          <w:color w:val="auto"/>
          <w:kern w:val="2"/>
          <w:sz w:val="21"/>
          <w:highlight w:val="none"/>
        </w:rPr>
      </w:pPr>
      <w:r>
        <w:rPr>
          <w:rFonts w:hint="eastAsia" w:hAnsi="宋体"/>
          <w:color w:val="auto"/>
          <w:kern w:val="2"/>
          <w:sz w:val="21"/>
          <w:highlight w:val="none"/>
        </w:rPr>
        <w:t>以进入综合评分环节的最低的评标报价为基准价，基准价报价得分为30分。</w:t>
      </w:r>
    </w:p>
    <w:p w14:paraId="44CB3D9F">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rPr>
        <w:t>商务评审分……………………………………………………………………20分</w:t>
      </w:r>
    </w:p>
    <w:p w14:paraId="6A5DC58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（1）商务响应和服务响应（5分）</w:t>
      </w:r>
    </w:p>
    <w:p w14:paraId="75519F6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完全响应招标文件要求，不出现相对招标文件要求负偏离得5分，任何一项不响应招标文件或出现负偏离得0分。</w:t>
      </w:r>
    </w:p>
    <w:p w14:paraId="1E0D7A41">
      <w:pPr>
        <w:pStyle w:val="2"/>
        <w:numPr>
          <w:ilvl w:val="0"/>
          <w:numId w:val="13"/>
        </w:numPr>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投标文件内容和证明资料（5分）</w:t>
      </w:r>
    </w:p>
    <w:p w14:paraId="4D5B013C">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投标文件按第二章投标人须知要求编制，标注“▲”的条款的证明材料齐全、真实、清晰可辨，得5分，任何一项标注“▲”的条款的缺少证明材料或内容不可准确辨认的，得0分</w:t>
      </w:r>
      <w:r>
        <w:rPr>
          <w:rFonts w:hint="eastAsia" w:ascii="宋体" w:hAnsi="宋体"/>
          <w:bCs/>
          <w:color w:val="auto"/>
          <w:szCs w:val="21"/>
          <w:highlight w:val="none"/>
        </w:rPr>
        <w:t>。</w:t>
      </w:r>
    </w:p>
    <w:p w14:paraId="50344891">
      <w:pPr>
        <w:pStyle w:val="2"/>
        <w:numPr>
          <w:ilvl w:val="0"/>
          <w:numId w:val="13"/>
        </w:numPr>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信誉（5分）</w:t>
      </w:r>
    </w:p>
    <w:p w14:paraId="60430106">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投标人在20</w:t>
      </w:r>
      <w:r>
        <w:rPr>
          <w:rFonts w:hint="eastAsia" w:ascii="宋体" w:hAnsi="宋体"/>
          <w:bCs/>
          <w:color w:val="auto"/>
          <w:szCs w:val="21"/>
          <w:highlight w:val="none"/>
        </w:rPr>
        <w:t>2</w:t>
      </w:r>
      <w:r>
        <w:rPr>
          <w:rFonts w:hint="eastAsia" w:ascii="宋体" w:hAnsi="宋体"/>
          <w:bCs/>
          <w:color w:val="auto"/>
          <w:szCs w:val="21"/>
          <w:highlight w:val="none"/>
          <w:lang w:val="en-US" w:eastAsia="zh-CN"/>
        </w:rPr>
        <w:t>2</w:t>
      </w:r>
      <w:r>
        <w:rPr>
          <w:rFonts w:ascii="宋体" w:hAnsi="宋体"/>
          <w:bCs/>
          <w:color w:val="auto"/>
          <w:szCs w:val="21"/>
          <w:highlight w:val="none"/>
        </w:rPr>
        <w:t>年～202</w:t>
      </w:r>
      <w:r>
        <w:rPr>
          <w:rFonts w:hint="eastAsia" w:ascii="宋体" w:hAnsi="宋体"/>
          <w:bCs/>
          <w:color w:val="auto"/>
          <w:szCs w:val="21"/>
          <w:highlight w:val="none"/>
          <w:lang w:val="en-US" w:eastAsia="zh-CN"/>
        </w:rPr>
        <w:t>4</w:t>
      </w:r>
      <w:r>
        <w:rPr>
          <w:rFonts w:ascii="宋体" w:hAnsi="宋体"/>
          <w:bCs/>
          <w:color w:val="auto"/>
          <w:szCs w:val="21"/>
          <w:highlight w:val="none"/>
        </w:rPr>
        <w:t>年期间，在市级以上交通运输主管部门市场信用评价中每获得一个年度评AA或A得3分，评B得2分，评C得1分，获得过市级以上交通运输部公路建设和养护行业先进单位得2分。</w:t>
      </w:r>
    </w:p>
    <w:p w14:paraId="7DA8AA17">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投标人在</w:t>
      </w:r>
      <w:r>
        <w:rPr>
          <w:rFonts w:hint="eastAsia" w:ascii="宋体" w:hAnsi="宋体"/>
          <w:bCs/>
          <w:color w:val="auto"/>
          <w:szCs w:val="21"/>
          <w:highlight w:val="none"/>
          <w:lang w:val="en-US" w:eastAsia="zh-CN"/>
        </w:rPr>
        <w:t>2022</w:t>
      </w:r>
      <w:r>
        <w:rPr>
          <w:rFonts w:ascii="宋体" w:hAnsi="宋体"/>
          <w:bCs/>
          <w:color w:val="auto"/>
          <w:szCs w:val="21"/>
          <w:highlight w:val="none"/>
        </w:rPr>
        <w:t>年～202</w:t>
      </w:r>
      <w:r>
        <w:rPr>
          <w:rFonts w:hint="eastAsia" w:ascii="宋体" w:hAnsi="宋体"/>
          <w:bCs/>
          <w:color w:val="auto"/>
          <w:szCs w:val="21"/>
          <w:highlight w:val="none"/>
          <w:lang w:val="en-US" w:eastAsia="zh-CN"/>
        </w:rPr>
        <w:t>4</w:t>
      </w:r>
      <w:r>
        <w:rPr>
          <w:rFonts w:ascii="宋体" w:hAnsi="宋体"/>
          <w:bCs/>
          <w:color w:val="auto"/>
          <w:szCs w:val="21"/>
          <w:highlight w:val="none"/>
        </w:rPr>
        <w:t>年期间，被市级以上交通运输主管部门红、黄牌警告或其他形式的通报批评，每次扣3分，投标人隐瞒不利情况的，取消中标资格。</w:t>
      </w:r>
    </w:p>
    <w:p w14:paraId="42176178">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本项最高得分5分，以市级以上交通运输主管部门文件、证书复印件加盖公章为准</w:t>
      </w:r>
      <w:r>
        <w:rPr>
          <w:rFonts w:hint="eastAsia" w:ascii="宋体" w:hAnsi="宋体"/>
          <w:bCs/>
          <w:color w:val="auto"/>
          <w:szCs w:val="21"/>
          <w:highlight w:val="none"/>
        </w:rPr>
        <w:t>。</w:t>
      </w:r>
    </w:p>
    <w:p w14:paraId="76FABC40">
      <w:pPr>
        <w:pStyle w:val="2"/>
        <w:numPr>
          <w:ilvl w:val="0"/>
          <w:numId w:val="13"/>
        </w:numPr>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业绩（5分）</w:t>
      </w:r>
    </w:p>
    <w:p w14:paraId="5FF6A172">
      <w:pPr>
        <w:spacing w:line="360" w:lineRule="auto"/>
        <w:ind w:firstLine="420" w:firstLineChars="200"/>
        <w:rPr>
          <w:rFonts w:ascii="宋体" w:hAnsi="宋体"/>
          <w:b/>
          <w:color w:val="auto"/>
          <w:szCs w:val="21"/>
          <w:highlight w:val="none"/>
        </w:rPr>
      </w:pPr>
      <w:r>
        <w:rPr>
          <w:rFonts w:ascii="宋体" w:hAnsi="宋体"/>
          <w:bCs/>
          <w:color w:val="auto"/>
          <w:szCs w:val="21"/>
          <w:highlight w:val="none"/>
        </w:rPr>
        <w:t>投标人在</w:t>
      </w:r>
      <w:r>
        <w:rPr>
          <w:rFonts w:hint="eastAsia" w:ascii="宋体" w:hAnsi="宋体"/>
          <w:bCs/>
          <w:color w:val="auto"/>
          <w:szCs w:val="21"/>
          <w:highlight w:val="none"/>
          <w:lang w:val="en-US" w:eastAsia="zh-CN"/>
        </w:rPr>
        <w:t>2022</w:t>
      </w:r>
      <w:r>
        <w:rPr>
          <w:rFonts w:ascii="宋体" w:hAnsi="宋体"/>
          <w:bCs/>
          <w:color w:val="auto"/>
          <w:szCs w:val="21"/>
          <w:highlight w:val="none"/>
        </w:rPr>
        <w:t>年～202</w:t>
      </w:r>
      <w:r>
        <w:rPr>
          <w:rFonts w:hint="eastAsia" w:ascii="宋体" w:hAnsi="宋体"/>
          <w:bCs/>
          <w:color w:val="auto"/>
          <w:szCs w:val="21"/>
          <w:highlight w:val="none"/>
          <w:lang w:val="en-US" w:eastAsia="zh-CN"/>
        </w:rPr>
        <w:t>4</w:t>
      </w:r>
      <w:r>
        <w:rPr>
          <w:rFonts w:ascii="宋体" w:hAnsi="宋体"/>
          <w:bCs/>
          <w:color w:val="auto"/>
          <w:szCs w:val="21"/>
          <w:highlight w:val="none"/>
        </w:rPr>
        <w:t>年期间，承接过国省道、农村公路日常养护任务，每个项目得2.5分，最高5分。本项最高得分5分，以合同文件或交工验收证书复印件加盖公章为准。</w:t>
      </w:r>
    </w:p>
    <w:p w14:paraId="1EF1C454">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3、技术评审分……………………………………………………………………50分</w:t>
      </w:r>
    </w:p>
    <w:p w14:paraId="350871A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（1）拟投入员分（10分）</w:t>
      </w:r>
    </w:p>
    <w:p w14:paraId="0D4A1BDE">
      <w:pPr>
        <w:pStyle w:val="2"/>
        <w:ind w:firstLine="420" w:firstLineChars="200"/>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拟投入项目经理经验丰富，有公</w:t>
      </w:r>
      <w:r>
        <w:rPr>
          <w:rFonts w:hint="eastAsia" w:ascii="宋体" w:hAnsi="宋体" w:eastAsia="宋体"/>
          <w:b w:val="0"/>
          <w:color w:val="auto"/>
          <w:kern w:val="2"/>
          <w:sz w:val="21"/>
          <w:szCs w:val="21"/>
          <w:highlight w:val="none"/>
        </w:rPr>
        <w:t>路施工、养护管理经历，</w:t>
      </w:r>
      <w:r>
        <w:rPr>
          <w:rFonts w:hint="eastAsia" w:ascii="宋体" w:hAnsi="宋体" w:eastAsia="宋体"/>
          <w:b w:val="0"/>
          <w:color w:val="auto"/>
          <w:kern w:val="2"/>
          <w:sz w:val="21"/>
          <w:szCs w:val="21"/>
          <w:highlight w:val="none"/>
        </w:rPr>
        <w:t>每人得2分，最多得4分。</w:t>
      </w:r>
    </w:p>
    <w:p w14:paraId="762BE18E">
      <w:pPr>
        <w:pStyle w:val="2"/>
        <w:ind w:firstLine="420" w:firstLineChars="200"/>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拟投入养护工人持公路养护技师或高级技工职称证（提供职称证书复印件加盖公章），每人得2分，最多得4分。</w:t>
      </w:r>
    </w:p>
    <w:p w14:paraId="048089F8">
      <w:pPr>
        <w:pStyle w:val="2"/>
        <w:ind w:firstLine="420" w:firstLineChars="200"/>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拟投入养护工人比招标文件规定最低数量要求每多1人，得1分，最多得2分。</w:t>
      </w:r>
    </w:p>
    <w:p w14:paraId="0A3974DE">
      <w:pPr>
        <w:pStyle w:val="2"/>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拟投入人员不满足招标文件规定最低要求的，作废标处理。</w:t>
      </w:r>
    </w:p>
    <w:p w14:paraId="57402386">
      <w:pPr>
        <w:numPr>
          <w:ilvl w:val="0"/>
          <w:numId w:val="14"/>
        </w:numPr>
        <w:rPr>
          <w:rFonts w:ascii="宋体" w:hAnsi="宋体"/>
          <w:b/>
          <w:color w:val="auto"/>
          <w:szCs w:val="21"/>
          <w:highlight w:val="none"/>
        </w:rPr>
      </w:pPr>
      <w:r>
        <w:rPr>
          <w:rFonts w:hint="eastAsia" w:ascii="宋体" w:hAnsi="宋体"/>
          <w:b/>
          <w:color w:val="auto"/>
          <w:szCs w:val="21"/>
          <w:highlight w:val="none"/>
        </w:rPr>
        <w:t>拟投入机械分（10分）</w:t>
      </w:r>
    </w:p>
    <w:p w14:paraId="5C4D2984">
      <w:pPr>
        <w:pStyle w:val="2"/>
        <w:ind w:firstLine="420" w:firstLineChars="200"/>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承诺增加中小型挖掘机、装载车、自卸汽车或农用车专用于公路养护生产，每台（辆）机械、车辆得2分，最多加6分。</w:t>
      </w:r>
    </w:p>
    <w:p w14:paraId="3B745149">
      <w:pPr>
        <w:pStyle w:val="2"/>
        <w:ind w:firstLine="420" w:firstLineChars="200"/>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承诺增加投入小汽车、皮卡专用于公路巡查、管理、应急等工作，每辆得1分，最多加2分。</w:t>
      </w:r>
    </w:p>
    <w:p w14:paraId="686D8850">
      <w:pPr>
        <w:rPr>
          <w:color w:val="auto"/>
          <w:highlight w:val="none"/>
        </w:rPr>
      </w:pPr>
      <w:r>
        <w:rPr>
          <w:rFonts w:hint="eastAsia"/>
          <w:color w:val="auto"/>
          <w:highlight w:val="none"/>
        </w:rPr>
        <w:t>拟投入机械设备不满足招标文件规定最低要求的，应作废标处理。</w:t>
      </w:r>
    </w:p>
    <w:p w14:paraId="71DCB6E3">
      <w:pPr>
        <w:rPr>
          <w:rFonts w:ascii="宋体" w:hAnsi="宋体"/>
          <w:b/>
          <w:color w:val="auto"/>
          <w:szCs w:val="21"/>
          <w:highlight w:val="none"/>
        </w:rPr>
      </w:pPr>
      <w:r>
        <w:rPr>
          <w:rFonts w:hint="eastAsia" w:ascii="宋体" w:hAnsi="宋体"/>
          <w:b/>
          <w:color w:val="auto"/>
          <w:szCs w:val="21"/>
          <w:highlight w:val="none"/>
        </w:rPr>
        <w:t>（3）项目驻地建设分（5分）</w:t>
      </w:r>
    </w:p>
    <w:p w14:paraId="1FB9A88C">
      <w:pPr>
        <w:pStyle w:val="2"/>
        <w:ind w:firstLine="420" w:firstLineChars="200"/>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投标人按招标文件要求建立项目驻地（投标文件中需提供项目驻地承诺函，格式自拟；如果需要使用业主提供的</w:t>
      </w:r>
      <w:r>
        <w:rPr>
          <w:rFonts w:hint="eastAsia" w:ascii="宋体" w:hAnsi="宋体" w:eastAsia="宋体"/>
          <w:b w:val="0"/>
          <w:color w:val="auto"/>
          <w:kern w:val="2"/>
          <w:sz w:val="21"/>
          <w:szCs w:val="21"/>
          <w:highlight w:val="none"/>
        </w:rPr>
        <w:t>养护站作为项目驻地，同时要承诺进行标准化驻地建设，包括环境和住房改造，水电更新维护等），</w:t>
      </w:r>
      <w:r>
        <w:rPr>
          <w:rFonts w:hint="eastAsia" w:ascii="宋体" w:hAnsi="宋体" w:eastAsia="宋体"/>
          <w:b w:val="0"/>
          <w:color w:val="auto"/>
          <w:kern w:val="2"/>
          <w:sz w:val="21"/>
          <w:szCs w:val="21"/>
          <w:highlight w:val="none"/>
        </w:rPr>
        <w:t>办公室/会议室面积不小于25平方米，工人宿舍不少于45平方米/3间，有独立厨房，有专门存放机具、工具和贵重材料、耗材的仓库，有独立庭院可以停放机械、车辆，进出项目驻地消防通道等条件符合招标文件要求得5分，任何一项不符合得0分。</w:t>
      </w:r>
    </w:p>
    <w:p w14:paraId="58D3B8D1">
      <w:pPr>
        <w:pStyle w:val="2"/>
        <w:rPr>
          <w:rFonts w:ascii="宋体" w:hAnsi="宋体" w:eastAsia="宋体"/>
          <w:bCs w:val="0"/>
          <w:color w:val="auto"/>
          <w:kern w:val="2"/>
          <w:sz w:val="21"/>
          <w:szCs w:val="21"/>
          <w:highlight w:val="none"/>
        </w:rPr>
      </w:pPr>
      <w:r>
        <w:rPr>
          <w:rFonts w:hint="eastAsia" w:ascii="宋体" w:hAnsi="宋体" w:eastAsia="宋体"/>
          <w:bCs w:val="0"/>
          <w:color w:val="auto"/>
          <w:kern w:val="2"/>
          <w:sz w:val="21"/>
          <w:szCs w:val="21"/>
          <w:highlight w:val="none"/>
        </w:rPr>
        <w:t>（4）服务方案（25分）</w:t>
      </w:r>
    </w:p>
    <w:p w14:paraId="7A45738A">
      <w:pPr>
        <w:pStyle w:val="2"/>
        <w:ind w:firstLine="420" w:firstLineChars="200"/>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投标人按招标文件第三章项目需求所列服务内容要求编制养护服务组织方案，明确项目服务组织机构，落实岗位职责，分工具体明确，建立健全质量保证体系和安全生产管理体系，各项工作规章制度完善，得5分。</w:t>
      </w:r>
    </w:p>
    <w:p w14:paraId="6A11F31F">
      <w:pPr>
        <w:spacing w:line="413" w:lineRule="auto"/>
        <w:ind w:firstLine="420" w:firstLineChars="200"/>
        <w:rPr>
          <w:rFonts w:ascii="宋体" w:hAnsi="宋体"/>
          <w:bCs/>
          <w:color w:val="auto"/>
          <w:szCs w:val="21"/>
          <w:highlight w:val="none"/>
        </w:rPr>
      </w:pPr>
      <w:r>
        <w:rPr>
          <w:rFonts w:hint="eastAsia"/>
          <w:color w:val="auto"/>
          <w:highlight w:val="none"/>
        </w:rPr>
        <w:t>对拟</w:t>
      </w:r>
      <w:r>
        <w:rPr>
          <w:rFonts w:hint="eastAsia" w:ascii="宋体" w:hAnsi="宋体"/>
          <w:bCs/>
          <w:color w:val="auto"/>
          <w:szCs w:val="21"/>
          <w:highlight w:val="none"/>
        </w:rPr>
        <w:t>投标段农村公路养护重点和工作难点有明确研究分析，采取针对性的有效养护措施，得5分。</w:t>
      </w:r>
    </w:p>
    <w:p w14:paraId="46DFBDBF">
      <w:pPr>
        <w:spacing w:line="413" w:lineRule="auto"/>
        <w:ind w:firstLine="420" w:firstLineChars="200"/>
        <w:rPr>
          <w:rFonts w:ascii="宋体" w:hAnsi="宋体"/>
          <w:bCs/>
          <w:color w:val="auto"/>
          <w:szCs w:val="21"/>
          <w:highlight w:val="none"/>
        </w:rPr>
      </w:pPr>
      <w:r>
        <w:rPr>
          <w:rFonts w:hint="eastAsia" w:ascii="宋体" w:hAnsi="宋体"/>
          <w:bCs/>
          <w:color w:val="auto"/>
          <w:szCs w:val="21"/>
          <w:highlight w:val="none"/>
        </w:rPr>
        <w:t>制定安全生产规章制度，明确安全生产检查整改流程，落实安全生产岗位责任，明确机械、车辆、设备管理保养制度，得5分。</w:t>
      </w:r>
    </w:p>
    <w:p w14:paraId="0FA2FD09">
      <w:pPr>
        <w:spacing w:line="413" w:lineRule="auto"/>
        <w:ind w:firstLine="420" w:firstLineChars="200"/>
        <w:rPr>
          <w:rFonts w:ascii="宋体" w:hAnsi="宋体"/>
          <w:bCs/>
          <w:color w:val="auto"/>
          <w:szCs w:val="21"/>
          <w:highlight w:val="none"/>
        </w:rPr>
      </w:pPr>
      <w:r>
        <w:rPr>
          <w:rFonts w:hint="eastAsia" w:ascii="宋体" w:hAnsi="宋体"/>
          <w:bCs/>
          <w:color w:val="auto"/>
          <w:szCs w:val="21"/>
          <w:highlight w:val="none"/>
        </w:rPr>
        <w:t>制订农民工管理制度和工资管理制度，得5分。</w:t>
      </w:r>
    </w:p>
    <w:p w14:paraId="7DC26624">
      <w:pPr>
        <w:pStyle w:val="2"/>
        <w:ind w:firstLine="420" w:firstLineChars="200"/>
        <w:rPr>
          <w:rFonts w:ascii="宋体" w:hAnsi="宋体" w:eastAsia="宋体"/>
          <w:b w:val="0"/>
          <w:color w:val="auto"/>
          <w:kern w:val="2"/>
          <w:sz w:val="21"/>
          <w:szCs w:val="21"/>
          <w:highlight w:val="none"/>
        </w:rPr>
      </w:pPr>
      <w:r>
        <w:rPr>
          <w:rFonts w:hint="eastAsia" w:ascii="宋体" w:hAnsi="宋体" w:eastAsia="宋体"/>
          <w:b w:val="0"/>
          <w:color w:val="auto"/>
          <w:kern w:val="2"/>
          <w:sz w:val="21"/>
          <w:szCs w:val="21"/>
          <w:highlight w:val="none"/>
        </w:rPr>
        <w:t>制订防汛防台风应急预案，明确人员应急责任，储备必要抢通、抢修物资，得5分。</w:t>
      </w:r>
    </w:p>
    <w:p w14:paraId="6783B83A">
      <w:pPr>
        <w:pStyle w:val="2"/>
        <w:ind w:firstLine="420" w:firstLineChars="200"/>
        <w:rPr>
          <w:color w:val="auto"/>
          <w:highlight w:val="none"/>
        </w:rPr>
      </w:pPr>
      <w:r>
        <w:rPr>
          <w:rFonts w:hint="eastAsia" w:ascii="宋体" w:hAnsi="宋体" w:eastAsia="宋体"/>
          <w:b w:val="0"/>
          <w:color w:val="auto"/>
          <w:kern w:val="2"/>
          <w:sz w:val="21"/>
          <w:szCs w:val="21"/>
          <w:highlight w:val="none"/>
        </w:rPr>
        <w:t>本项最高得分25分。无服务方案，作废标处理。服务方案不符合招标文件第三章项目需求要求，或服务方案出现与本项目不相关或矛盾的内容，服务方案评为0分。</w:t>
      </w:r>
    </w:p>
    <w:p w14:paraId="2C330205">
      <w:pPr>
        <w:spacing w:line="44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（五）综合得分＝商务评审分+技术评审分+报价评审分。</w:t>
      </w:r>
    </w:p>
    <w:p w14:paraId="21ECDB8F">
      <w:pPr>
        <w:spacing w:line="440" w:lineRule="exact"/>
        <w:ind w:firstLine="413" w:firstLineChars="196"/>
        <w:rPr>
          <w:rFonts w:ascii="宋体" w:hAnsi="Calibri"/>
          <w:b/>
          <w:color w:val="auto"/>
          <w:szCs w:val="21"/>
          <w:highlight w:val="none"/>
        </w:rPr>
      </w:pPr>
      <w:r>
        <w:rPr>
          <w:rFonts w:hint="eastAsia" w:ascii="宋体" w:hAnsi="宋体"/>
          <w:b/>
          <w:color w:val="auto"/>
          <w:szCs w:val="21"/>
          <w:highlight w:val="none"/>
        </w:rPr>
        <w:t>三、中标候选人推荐原则:</w:t>
      </w:r>
    </w:p>
    <w:p w14:paraId="464E0A24">
      <w:pPr>
        <w:spacing w:line="440" w:lineRule="exact"/>
        <w:rPr>
          <w:rFonts w:ascii="宋体" w:hAnsi="宋体" w:cs="Courier New"/>
          <w:color w:val="auto"/>
          <w:kern w:val="0"/>
          <w:szCs w:val="21"/>
          <w:highlight w:val="none"/>
        </w:rPr>
      </w:pPr>
      <w:r>
        <w:rPr>
          <w:rFonts w:hint="eastAsia" w:ascii="宋体" w:hAnsi="宋体" w:cs="Courier New"/>
          <w:color w:val="auto"/>
          <w:kern w:val="0"/>
          <w:szCs w:val="21"/>
          <w:highlight w:val="none"/>
        </w:rPr>
        <w:t xml:space="preserve">   （一）评标委员会将根据得分由高到低排列次序（综合评分相等时，评标委员会依次按照以下优先顺序：（1）评标价低的投标人优先；（2）被招标项目所在地市级以上交通运输主管部门评为较高信用等级的投标人优先；（3）商务和技术得分较高的投标人优先。）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14:paraId="7FA2B0B5">
      <w:pPr>
        <w:pStyle w:val="2"/>
        <w:ind w:firstLine="420" w:firstLineChars="200"/>
        <w:rPr>
          <w:rFonts w:ascii="宋体" w:hAnsi="宋体" w:eastAsia="宋体" w:cs="Courier New"/>
          <w:b w:val="0"/>
          <w:bCs w:val="0"/>
          <w:color w:val="auto"/>
          <w:sz w:val="21"/>
          <w:szCs w:val="21"/>
          <w:highlight w:val="none"/>
        </w:rPr>
      </w:pPr>
      <w:r>
        <w:rPr>
          <w:rFonts w:hint="eastAsia" w:ascii="宋体" w:hAnsi="宋体" w:eastAsia="宋体" w:cs="Courier New"/>
          <w:b w:val="0"/>
          <w:bCs w:val="0"/>
          <w:color w:val="auto"/>
          <w:sz w:val="21"/>
          <w:szCs w:val="21"/>
          <w:highlight w:val="none"/>
        </w:rPr>
        <w:t>（二）由评标委员会按评标办法推荐三名中标候选人。</w:t>
      </w:r>
    </w:p>
    <w:p w14:paraId="231374B4">
      <w:pPr>
        <w:spacing w:line="440" w:lineRule="exact"/>
        <w:rPr>
          <w:rFonts w:ascii="宋体" w:hAnsi="宋体" w:cs="Courier New"/>
          <w:color w:val="auto"/>
          <w:kern w:val="0"/>
          <w:szCs w:val="21"/>
          <w:highlight w:val="none"/>
        </w:rPr>
      </w:pPr>
      <w:r>
        <w:rPr>
          <w:rFonts w:hint="eastAsia" w:ascii="宋体" w:hAnsi="宋体" w:cs="Courier New"/>
          <w:color w:val="auto"/>
          <w:kern w:val="0"/>
          <w:szCs w:val="21"/>
          <w:highlight w:val="none"/>
        </w:rPr>
        <w:t xml:space="preserve">   （三）评标委员会认为，某投标人的有效投标报价或者某些分项报价明显不合理或者低于成本，有可能影响服务质量和不能诚信履约的，应要求其在规定的期限内提供书面文件予以解释说明，并提交相关证明材料，否则，评标委员会不推荐该投标人为中标候选人。</w:t>
      </w:r>
    </w:p>
    <w:bookmarkEnd w:id="24"/>
    <w:p w14:paraId="62F03713">
      <w:pPr>
        <w:pStyle w:val="13"/>
        <w:spacing w:line="400" w:lineRule="exact"/>
        <w:rPr>
          <w:rFonts w:hAnsi="宋体"/>
          <w:color w:val="auto"/>
          <w:sz w:val="21"/>
          <w:highlight w:val="none"/>
        </w:rPr>
      </w:pPr>
    </w:p>
    <w:p w14:paraId="10768EAA">
      <w:pPr>
        <w:jc w:val="left"/>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60958A5-EBCA-4DB8-A004-A3A07DE17264}"/>
  </w:font>
  <w:font w:name="黑体">
    <w:panose1 w:val="02010609060101010101"/>
    <w:charset w:val="86"/>
    <w:family w:val="auto"/>
    <w:pitch w:val="default"/>
    <w:sig w:usb0="800002BF" w:usb1="38CF7CFA" w:usb2="00000016" w:usb3="00000000" w:csb0="00040001" w:csb1="00000000"/>
    <w:embedRegular r:id="rId2" w:fontKey="{EF4F6EDC-6CAF-4883-9093-BC07BDE00996}"/>
  </w:font>
  <w:font w:name="Courier New">
    <w:panose1 w:val="02070309020205020404"/>
    <w:charset w:val="01"/>
    <w:family w:val="modern"/>
    <w:pitch w:val="default"/>
    <w:sig w:usb0="E0002EFF" w:usb1="C0007843" w:usb2="00000009" w:usb3="00000000" w:csb0="400001FF" w:csb1="FFFF0000"/>
    <w:embedRegular r:id="rId3" w:fontKey="{DAF7635A-7E97-403F-A824-7CC05D5539F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107BA23F-83F6-42BC-A71D-E105C3E49F5E}"/>
  </w:font>
  <w:font w:name="仿宋_GB2312">
    <w:panose1 w:val="02010609030101010101"/>
    <w:charset w:val="86"/>
    <w:family w:val="modern"/>
    <w:pitch w:val="default"/>
    <w:sig w:usb0="00000001" w:usb1="080E0000" w:usb2="00000000" w:usb3="00000000" w:csb0="00040000" w:csb1="00000000"/>
    <w:embedRegular r:id="rId5" w:fontKey="{63F51D09-F208-4FFE-B44A-1C662D0ECF33}"/>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6" w:fontKey="{CD1810E0-11CC-48B0-ADBB-A207643136F2}"/>
  </w:font>
  <w:font w:name="Book Antiqua">
    <w:altName w:val="Segoe Print"/>
    <w:panose1 w:val="02040602050305030304"/>
    <w:charset w:val="00"/>
    <w:family w:val="roman"/>
    <w:pitch w:val="default"/>
    <w:sig w:usb0="00000000" w:usb1="00000000" w:usb2="00000000" w:usb3="00000000" w:csb0="0000009F" w:csb1="00000000"/>
    <w:embedRegular r:id="rId7" w:fontKey="{41738592-A415-4CE1-BF95-F492C0CE56F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5EEC9">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19</w:t>
    </w:r>
    <w:r>
      <w:fldChar w:fldCharType="end"/>
    </w:r>
  </w:p>
  <w:p w14:paraId="169EE60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9B1A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2AF783">
                          <w:pPr>
                            <w:pStyle w:val="14"/>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02AF783">
                    <w:pPr>
                      <w:pStyle w:val="1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A5ED2">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2070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38125" cy="207010"/>
                      </a:xfrm>
                      <a:prstGeom prst="rect">
                        <a:avLst/>
                      </a:prstGeom>
                      <a:noFill/>
                      <a:ln>
                        <a:noFill/>
                      </a:ln>
                    </wps:spPr>
                    <wps:txbx>
                      <w:txbxContent>
                        <w:p w14:paraId="283F04DF">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61</w:t>
                          </w:r>
                          <w:r>
                            <w:rPr>
                              <w:sz w:val="24"/>
                              <w:szCs w:val="24"/>
                            </w:rPr>
                            <w:fldChar w:fldCharType="end"/>
                          </w:r>
                        </w:p>
                      </w:txbxContent>
                    </wps:txbx>
                    <wps:bodyPr lIns="0" tIns="0" rIns="0" bIns="0"/>
                  </wps:wsp>
                </a:graphicData>
              </a:graphic>
            </wp:anchor>
          </w:drawing>
        </mc:Choice>
        <mc:Fallback>
          <w:pict>
            <v:shape id="_x0000_s1026" o:spid="_x0000_s1026" o:spt="202" type="#_x0000_t202" style="position:absolute;left:0pt;margin-top:0pt;height:16.3pt;width:18.75pt;mso-position-horizontal:center;mso-position-horizontal-relative:margin;z-index:251660288;mso-width-relative:page;mso-height-relative:page;" filled="f" stroked="f" coordsize="21600,21600" o:gfxdata="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U40rTT&#10;AAAAAwEAAA8AAAAAAAAAAQAgAAAAIgAAAGRycy9kb3ducmV2LnhtbFBLAQIUABQAAAAIAIdO4kBI&#10;7HyjswEAAGUDAAAOAAAAAAAAAAEAIAAAACIBAABkcnMvZTJvRG9jLnhtbFBLBQYAAAAABgAGAFkB&#10;AABHBQAAAAA=&#10;">
              <v:fill on="f" focussize="0,0"/>
              <v:stroke on="f"/>
              <v:imagedata o:title=""/>
              <o:lock v:ext="edit" aspectratio="f"/>
              <v:textbox inset="0mm,0mm,0mm,0mm">
                <w:txbxContent>
                  <w:p w14:paraId="283F04DF">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61</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D1637">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BD45E1">
                          <w:pPr>
                            <w:pStyle w:val="14"/>
                          </w:pPr>
                          <w:r>
                            <w:fldChar w:fldCharType="begin"/>
                          </w:r>
                          <w:r>
                            <w:instrText xml:space="preserve"> PAGE  \* MERGEFORMAT </w:instrText>
                          </w:r>
                          <w:r>
                            <w:fldChar w:fldCharType="separate"/>
                          </w:r>
                          <w:r>
                            <w:t>83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EBD45E1">
                    <w:pPr>
                      <w:pStyle w:val="1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6F743"/>
    <w:multiLevelType w:val="singleLevel"/>
    <w:tmpl w:val="8EF6F743"/>
    <w:lvl w:ilvl="0" w:tentative="0">
      <w:start w:val="1"/>
      <w:numFmt w:val="decimal"/>
      <w:pStyle w:val="5"/>
      <w:lvlText w:val="%1."/>
      <w:lvlJc w:val="left"/>
      <w:pPr>
        <w:tabs>
          <w:tab w:val="left" w:pos="360"/>
        </w:tabs>
        <w:ind w:left="360" w:hanging="360"/>
      </w:pPr>
    </w:lvl>
  </w:abstractNum>
  <w:abstractNum w:abstractNumId="1">
    <w:nsid w:val="91420D35"/>
    <w:multiLevelType w:val="singleLevel"/>
    <w:tmpl w:val="91420D35"/>
    <w:lvl w:ilvl="0" w:tentative="0">
      <w:start w:val="3"/>
      <w:numFmt w:val="decimal"/>
      <w:suff w:val="nothing"/>
      <w:lvlText w:val="（%1）"/>
      <w:lvlJc w:val="left"/>
    </w:lvl>
  </w:abstractNum>
  <w:abstractNum w:abstractNumId="2">
    <w:nsid w:val="9217D0FF"/>
    <w:multiLevelType w:val="singleLevel"/>
    <w:tmpl w:val="9217D0FF"/>
    <w:lvl w:ilvl="0" w:tentative="0">
      <w:start w:val="2"/>
      <w:numFmt w:val="decimal"/>
      <w:suff w:val="nothing"/>
      <w:lvlText w:val="（%1）"/>
      <w:lvlJc w:val="left"/>
    </w:lvl>
  </w:abstractNum>
  <w:abstractNum w:abstractNumId="3">
    <w:nsid w:val="CB46237A"/>
    <w:multiLevelType w:val="singleLevel"/>
    <w:tmpl w:val="CB46237A"/>
    <w:lvl w:ilvl="0" w:tentative="0">
      <w:start w:val="2"/>
      <w:numFmt w:val="decimal"/>
      <w:suff w:val="nothing"/>
      <w:lvlText w:val="（%1）"/>
      <w:lvlJc w:val="left"/>
      <w:pPr>
        <w:ind w:left="415" w:firstLine="0"/>
      </w:pPr>
    </w:lvl>
  </w:abstractNum>
  <w:abstractNum w:abstractNumId="4">
    <w:nsid w:val="078814C7"/>
    <w:multiLevelType w:val="multilevel"/>
    <w:tmpl w:val="078814C7"/>
    <w:lvl w:ilvl="0" w:tentative="0">
      <w:start w:val="1"/>
      <w:numFmt w:val="decimal"/>
      <w:lvlText w:val="%1."/>
      <w:lvlJc w:val="left"/>
      <w:pPr>
        <w:tabs>
          <w:tab w:val="left" w:pos="252"/>
        </w:tabs>
        <w:ind w:left="252" w:hanging="360"/>
      </w:pPr>
      <w:rPr>
        <w:rFonts w:hint="default" w:cs="Times New Roman"/>
      </w:rPr>
    </w:lvl>
    <w:lvl w:ilvl="1" w:tentative="0">
      <w:start w:val="1"/>
      <w:numFmt w:val="decimal"/>
      <w:lvlText w:val="（%2）"/>
      <w:lvlJc w:val="left"/>
      <w:pPr>
        <w:tabs>
          <w:tab w:val="left" w:pos="1032"/>
        </w:tabs>
        <w:ind w:left="1032" w:hanging="720"/>
      </w:pPr>
      <w:rPr>
        <w:rFonts w:hint="default" w:cs="Times New Roman"/>
      </w:rPr>
    </w:lvl>
    <w:lvl w:ilvl="2" w:tentative="0">
      <w:start w:val="1"/>
      <w:numFmt w:val="lowerRoman"/>
      <w:lvlText w:val="%3."/>
      <w:lvlJc w:val="right"/>
      <w:pPr>
        <w:tabs>
          <w:tab w:val="left" w:pos="1152"/>
        </w:tabs>
        <w:ind w:left="1152" w:hanging="420"/>
      </w:pPr>
      <w:rPr>
        <w:rFonts w:cs="Times New Roman"/>
      </w:rPr>
    </w:lvl>
    <w:lvl w:ilvl="3" w:tentative="0">
      <w:start w:val="1"/>
      <w:numFmt w:val="decimal"/>
      <w:lvlText w:val="%4."/>
      <w:lvlJc w:val="left"/>
      <w:pPr>
        <w:tabs>
          <w:tab w:val="left" w:pos="1572"/>
        </w:tabs>
        <w:ind w:left="1572" w:hanging="420"/>
      </w:pPr>
      <w:rPr>
        <w:rFonts w:cs="Times New Roman"/>
      </w:rPr>
    </w:lvl>
    <w:lvl w:ilvl="4" w:tentative="0">
      <w:start w:val="1"/>
      <w:numFmt w:val="lowerLetter"/>
      <w:lvlText w:val="%5)"/>
      <w:lvlJc w:val="left"/>
      <w:pPr>
        <w:tabs>
          <w:tab w:val="left" w:pos="1992"/>
        </w:tabs>
        <w:ind w:left="1992" w:hanging="420"/>
      </w:pPr>
      <w:rPr>
        <w:rFonts w:cs="Times New Roman"/>
      </w:rPr>
    </w:lvl>
    <w:lvl w:ilvl="5" w:tentative="0">
      <w:start w:val="1"/>
      <w:numFmt w:val="lowerRoman"/>
      <w:lvlText w:val="%6."/>
      <w:lvlJc w:val="right"/>
      <w:pPr>
        <w:tabs>
          <w:tab w:val="left" w:pos="2412"/>
        </w:tabs>
        <w:ind w:left="2412" w:hanging="420"/>
      </w:pPr>
      <w:rPr>
        <w:rFonts w:cs="Times New Roman"/>
      </w:rPr>
    </w:lvl>
    <w:lvl w:ilvl="6" w:tentative="0">
      <w:start w:val="1"/>
      <w:numFmt w:val="decimal"/>
      <w:lvlText w:val="%7."/>
      <w:lvlJc w:val="left"/>
      <w:pPr>
        <w:tabs>
          <w:tab w:val="left" w:pos="2832"/>
        </w:tabs>
        <w:ind w:left="2832" w:hanging="420"/>
      </w:pPr>
      <w:rPr>
        <w:rFonts w:cs="Times New Roman"/>
      </w:rPr>
    </w:lvl>
    <w:lvl w:ilvl="7" w:tentative="0">
      <w:start w:val="1"/>
      <w:numFmt w:val="lowerLetter"/>
      <w:lvlText w:val="%8)"/>
      <w:lvlJc w:val="left"/>
      <w:pPr>
        <w:tabs>
          <w:tab w:val="left" w:pos="3252"/>
        </w:tabs>
        <w:ind w:left="3252" w:hanging="420"/>
      </w:pPr>
      <w:rPr>
        <w:rFonts w:cs="Times New Roman"/>
      </w:rPr>
    </w:lvl>
    <w:lvl w:ilvl="8" w:tentative="0">
      <w:start w:val="1"/>
      <w:numFmt w:val="lowerRoman"/>
      <w:lvlText w:val="%9."/>
      <w:lvlJc w:val="right"/>
      <w:pPr>
        <w:tabs>
          <w:tab w:val="left" w:pos="3672"/>
        </w:tabs>
        <w:ind w:left="3672" w:hanging="420"/>
      </w:pPr>
      <w:rPr>
        <w:rFonts w:cs="Times New Roman"/>
      </w:rPr>
    </w:lvl>
  </w:abstractNum>
  <w:abstractNum w:abstractNumId="5">
    <w:nsid w:val="08FC5143"/>
    <w:multiLevelType w:val="multilevel"/>
    <w:tmpl w:val="08FC5143"/>
    <w:lvl w:ilvl="0" w:tentative="0">
      <w:start w:val="1"/>
      <w:numFmt w:val="japaneseCounting"/>
      <w:lvlText w:val="%1、"/>
      <w:lvlJc w:val="left"/>
      <w:pPr>
        <w:tabs>
          <w:tab w:val="left" w:pos="1320"/>
        </w:tabs>
        <w:ind w:left="1320" w:hanging="720"/>
      </w:pPr>
      <w:rPr>
        <w:rFonts w:hint="default" w:cs="Times New Roman"/>
      </w:rPr>
    </w:lvl>
    <w:lvl w:ilvl="1" w:tentative="0">
      <w:start w:val="1"/>
      <w:numFmt w:val="decimal"/>
      <w:lvlText w:val="%2."/>
      <w:lvlJc w:val="left"/>
      <w:pPr>
        <w:tabs>
          <w:tab w:val="left" w:pos="1380"/>
        </w:tabs>
        <w:ind w:left="1380" w:hanging="360"/>
      </w:pPr>
      <w:rPr>
        <w:rFonts w:hint="default"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6">
    <w:nsid w:val="13252968"/>
    <w:multiLevelType w:val="multilevel"/>
    <w:tmpl w:val="13252968"/>
    <w:lvl w:ilvl="0" w:tentative="0">
      <w:start w:val="1"/>
      <w:numFmt w:val="decimal"/>
      <w:lvlText w:val="%1."/>
      <w:lvlJc w:val="left"/>
      <w:pPr>
        <w:tabs>
          <w:tab w:val="left" w:pos="252"/>
        </w:tabs>
        <w:ind w:left="252" w:hanging="360"/>
      </w:pPr>
      <w:rPr>
        <w:rFonts w:hint="default" w:cs="Times New Roman"/>
      </w:rPr>
    </w:lvl>
    <w:lvl w:ilvl="1" w:tentative="0">
      <w:start w:val="1"/>
      <w:numFmt w:val="lowerLetter"/>
      <w:lvlText w:val="%2)"/>
      <w:lvlJc w:val="left"/>
      <w:pPr>
        <w:tabs>
          <w:tab w:val="left" w:pos="732"/>
        </w:tabs>
        <w:ind w:left="732" w:hanging="420"/>
      </w:pPr>
      <w:rPr>
        <w:rFonts w:cs="Times New Roman"/>
      </w:rPr>
    </w:lvl>
    <w:lvl w:ilvl="2" w:tentative="0">
      <w:start w:val="1"/>
      <w:numFmt w:val="lowerRoman"/>
      <w:lvlText w:val="%3."/>
      <w:lvlJc w:val="right"/>
      <w:pPr>
        <w:tabs>
          <w:tab w:val="left" w:pos="1152"/>
        </w:tabs>
        <w:ind w:left="1152" w:hanging="420"/>
      </w:pPr>
      <w:rPr>
        <w:rFonts w:cs="Times New Roman"/>
      </w:rPr>
    </w:lvl>
    <w:lvl w:ilvl="3" w:tentative="0">
      <w:start w:val="1"/>
      <w:numFmt w:val="decimal"/>
      <w:lvlText w:val="%4."/>
      <w:lvlJc w:val="left"/>
      <w:pPr>
        <w:tabs>
          <w:tab w:val="left" w:pos="1572"/>
        </w:tabs>
        <w:ind w:left="1572" w:hanging="420"/>
      </w:pPr>
      <w:rPr>
        <w:rFonts w:cs="Times New Roman"/>
      </w:rPr>
    </w:lvl>
    <w:lvl w:ilvl="4" w:tentative="0">
      <w:start w:val="1"/>
      <w:numFmt w:val="lowerLetter"/>
      <w:lvlText w:val="%5)"/>
      <w:lvlJc w:val="left"/>
      <w:pPr>
        <w:tabs>
          <w:tab w:val="left" w:pos="1992"/>
        </w:tabs>
        <w:ind w:left="1992" w:hanging="420"/>
      </w:pPr>
      <w:rPr>
        <w:rFonts w:cs="Times New Roman"/>
      </w:rPr>
    </w:lvl>
    <w:lvl w:ilvl="5" w:tentative="0">
      <w:start w:val="1"/>
      <w:numFmt w:val="lowerRoman"/>
      <w:lvlText w:val="%6."/>
      <w:lvlJc w:val="right"/>
      <w:pPr>
        <w:tabs>
          <w:tab w:val="left" w:pos="2412"/>
        </w:tabs>
        <w:ind w:left="2412" w:hanging="420"/>
      </w:pPr>
      <w:rPr>
        <w:rFonts w:cs="Times New Roman"/>
      </w:rPr>
    </w:lvl>
    <w:lvl w:ilvl="6" w:tentative="0">
      <w:start w:val="1"/>
      <w:numFmt w:val="decimal"/>
      <w:lvlText w:val="%7."/>
      <w:lvlJc w:val="left"/>
      <w:pPr>
        <w:tabs>
          <w:tab w:val="left" w:pos="2832"/>
        </w:tabs>
        <w:ind w:left="2832" w:hanging="420"/>
      </w:pPr>
      <w:rPr>
        <w:rFonts w:cs="Times New Roman"/>
      </w:rPr>
    </w:lvl>
    <w:lvl w:ilvl="7" w:tentative="0">
      <w:start w:val="1"/>
      <w:numFmt w:val="lowerLetter"/>
      <w:lvlText w:val="%8)"/>
      <w:lvlJc w:val="left"/>
      <w:pPr>
        <w:tabs>
          <w:tab w:val="left" w:pos="3252"/>
        </w:tabs>
        <w:ind w:left="3252" w:hanging="420"/>
      </w:pPr>
      <w:rPr>
        <w:rFonts w:cs="Times New Roman"/>
      </w:rPr>
    </w:lvl>
    <w:lvl w:ilvl="8" w:tentative="0">
      <w:start w:val="1"/>
      <w:numFmt w:val="lowerRoman"/>
      <w:lvlText w:val="%9."/>
      <w:lvlJc w:val="right"/>
      <w:pPr>
        <w:tabs>
          <w:tab w:val="left" w:pos="3672"/>
        </w:tabs>
        <w:ind w:left="3672" w:hanging="420"/>
      </w:pPr>
      <w:rPr>
        <w:rFonts w:cs="Times New Roman"/>
      </w:rPr>
    </w:lvl>
  </w:abstractNum>
  <w:abstractNum w:abstractNumId="7">
    <w:nsid w:val="29BA5520"/>
    <w:multiLevelType w:val="singleLevel"/>
    <w:tmpl w:val="29BA5520"/>
    <w:lvl w:ilvl="0" w:tentative="0">
      <w:start w:val="4"/>
      <w:numFmt w:val="decimal"/>
      <w:suff w:val="nothing"/>
      <w:lvlText w:val="%1、"/>
      <w:lvlJc w:val="left"/>
    </w:lvl>
  </w:abstractNum>
  <w:abstractNum w:abstractNumId="8">
    <w:nsid w:val="3453047B"/>
    <w:multiLevelType w:val="multilevel"/>
    <w:tmpl w:val="3453047B"/>
    <w:lvl w:ilvl="0" w:tentative="0">
      <w:start w:val="1"/>
      <w:numFmt w:val="decimal"/>
      <w:lvlText w:val="%1."/>
      <w:lvlJc w:val="left"/>
      <w:pPr>
        <w:tabs>
          <w:tab w:val="left" w:pos="252"/>
        </w:tabs>
        <w:ind w:left="252" w:hanging="360"/>
      </w:pPr>
      <w:rPr>
        <w:rFonts w:hint="default" w:cs="Times New Roman"/>
      </w:rPr>
    </w:lvl>
    <w:lvl w:ilvl="1" w:tentative="0">
      <w:start w:val="1"/>
      <w:numFmt w:val="decimal"/>
      <w:lvlText w:val="（%2）"/>
      <w:lvlJc w:val="left"/>
      <w:pPr>
        <w:tabs>
          <w:tab w:val="left" w:pos="2700"/>
        </w:tabs>
        <w:ind w:left="2700" w:hanging="1260"/>
      </w:pPr>
      <w:rPr>
        <w:rFonts w:hint="default" w:cs="Times New Roman"/>
        <w:color w:val="auto"/>
      </w:rPr>
    </w:lvl>
    <w:lvl w:ilvl="2" w:tentative="0">
      <w:start w:val="1"/>
      <w:numFmt w:val="lowerRoman"/>
      <w:lvlText w:val="%3."/>
      <w:lvlJc w:val="right"/>
      <w:pPr>
        <w:tabs>
          <w:tab w:val="left" w:pos="1152"/>
        </w:tabs>
        <w:ind w:left="1152" w:hanging="420"/>
      </w:pPr>
      <w:rPr>
        <w:rFonts w:cs="Times New Roman"/>
      </w:rPr>
    </w:lvl>
    <w:lvl w:ilvl="3" w:tentative="0">
      <w:start w:val="1"/>
      <w:numFmt w:val="decimal"/>
      <w:lvlText w:val="%4."/>
      <w:lvlJc w:val="left"/>
      <w:pPr>
        <w:tabs>
          <w:tab w:val="left" w:pos="1572"/>
        </w:tabs>
        <w:ind w:left="1572" w:hanging="420"/>
      </w:pPr>
      <w:rPr>
        <w:rFonts w:cs="Times New Roman"/>
      </w:rPr>
    </w:lvl>
    <w:lvl w:ilvl="4" w:tentative="0">
      <w:start w:val="1"/>
      <w:numFmt w:val="lowerLetter"/>
      <w:lvlText w:val="%5)"/>
      <w:lvlJc w:val="left"/>
      <w:pPr>
        <w:tabs>
          <w:tab w:val="left" w:pos="1992"/>
        </w:tabs>
        <w:ind w:left="1992" w:hanging="420"/>
      </w:pPr>
      <w:rPr>
        <w:rFonts w:cs="Times New Roman"/>
      </w:rPr>
    </w:lvl>
    <w:lvl w:ilvl="5" w:tentative="0">
      <w:start w:val="1"/>
      <w:numFmt w:val="lowerRoman"/>
      <w:lvlText w:val="%6."/>
      <w:lvlJc w:val="right"/>
      <w:pPr>
        <w:tabs>
          <w:tab w:val="left" w:pos="2412"/>
        </w:tabs>
        <w:ind w:left="2412" w:hanging="420"/>
      </w:pPr>
      <w:rPr>
        <w:rFonts w:cs="Times New Roman"/>
      </w:rPr>
    </w:lvl>
    <w:lvl w:ilvl="6" w:tentative="0">
      <w:start w:val="1"/>
      <w:numFmt w:val="decimal"/>
      <w:lvlText w:val="%7."/>
      <w:lvlJc w:val="left"/>
      <w:pPr>
        <w:tabs>
          <w:tab w:val="left" w:pos="2832"/>
        </w:tabs>
        <w:ind w:left="2832" w:hanging="420"/>
      </w:pPr>
      <w:rPr>
        <w:rFonts w:cs="Times New Roman"/>
      </w:rPr>
    </w:lvl>
    <w:lvl w:ilvl="7" w:tentative="0">
      <w:start w:val="1"/>
      <w:numFmt w:val="lowerLetter"/>
      <w:lvlText w:val="%8)"/>
      <w:lvlJc w:val="left"/>
      <w:pPr>
        <w:tabs>
          <w:tab w:val="left" w:pos="3252"/>
        </w:tabs>
        <w:ind w:left="3252" w:hanging="420"/>
      </w:pPr>
      <w:rPr>
        <w:rFonts w:cs="Times New Roman"/>
      </w:rPr>
    </w:lvl>
    <w:lvl w:ilvl="8" w:tentative="0">
      <w:start w:val="1"/>
      <w:numFmt w:val="lowerRoman"/>
      <w:lvlText w:val="%9."/>
      <w:lvlJc w:val="right"/>
      <w:pPr>
        <w:tabs>
          <w:tab w:val="left" w:pos="3672"/>
        </w:tabs>
        <w:ind w:left="3672" w:hanging="420"/>
      </w:pPr>
      <w:rPr>
        <w:rFonts w:cs="Times New Roman"/>
      </w:rPr>
    </w:lvl>
  </w:abstractNum>
  <w:abstractNum w:abstractNumId="9">
    <w:nsid w:val="3D663403"/>
    <w:multiLevelType w:val="multilevel"/>
    <w:tmpl w:val="3D663403"/>
    <w:lvl w:ilvl="0" w:tentative="0">
      <w:start w:val="1"/>
      <w:numFmt w:val="decimal"/>
      <w:lvlText w:val="%1."/>
      <w:lvlJc w:val="left"/>
      <w:pPr>
        <w:tabs>
          <w:tab w:val="left" w:pos="252"/>
        </w:tabs>
        <w:ind w:left="252" w:hanging="360"/>
      </w:pPr>
      <w:rPr>
        <w:rFonts w:hint="default" w:cs="Times New Roman"/>
      </w:rPr>
    </w:lvl>
    <w:lvl w:ilvl="1" w:tentative="0">
      <w:start w:val="1"/>
      <w:numFmt w:val="lowerLetter"/>
      <w:lvlText w:val="%2)"/>
      <w:lvlJc w:val="left"/>
      <w:pPr>
        <w:tabs>
          <w:tab w:val="left" w:pos="732"/>
        </w:tabs>
        <w:ind w:left="732" w:hanging="420"/>
      </w:pPr>
      <w:rPr>
        <w:rFonts w:cs="Times New Roman"/>
      </w:rPr>
    </w:lvl>
    <w:lvl w:ilvl="2" w:tentative="0">
      <w:start w:val="1"/>
      <w:numFmt w:val="lowerRoman"/>
      <w:lvlText w:val="%3."/>
      <w:lvlJc w:val="right"/>
      <w:pPr>
        <w:tabs>
          <w:tab w:val="left" w:pos="1152"/>
        </w:tabs>
        <w:ind w:left="1152" w:hanging="420"/>
      </w:pPr>
      <w:rPr>
        <w:rFonts w:cs="Times New Roman"/>
      </w:rPr>
    </w:lvl>
    <w:lvl w:ilvl="3" w:tentative="0">
      <w:start w:val="1"/>
      <w:numFmt w:val="decimal"/>
      <w:lvlText w:val="%4."/>
      <w:lvlJc w:val="left"/>
      <w:pPr>
        <w:tabs>
          <w:tab w:val="left" w:pos="1572"/>
        </w:tabs>
        <w:ind w:left="1572" w:hanging="420"/>
      </w:pPr>
      <w:rPr>
        <w:rFonts w:cs="Times New Roman"/>
      </w:rPr>
    </w:lvl>
    <w:lvl w:ilvl="4" w:tentative="0">
      <w:start w:val="1"/>
      <w:numFmt w:val="lowerLetter"/>
      <w:lvlText w:val="%5)"/>
      <w:lvlJc w:val="left"/>
      <w:pPr>
        <w:tabs>
          <w:tab w:val="left" w:pos="1992"/>
        </w:tabs>
        <w:ind w:left="1992" w:hanging="420"/>
      </w:pPr>
      <w:rPr>
        <w:rFonts w:cs="Times New Roman"/>
      </w:rPr>
    </w:lvl>
    <w:lvl w:ilvl="5" w:tentative="0">
      <w:start w:val="1"/>
      <w:numFmt w:val="lowerRoman"/>
      <w:lvlText w:val="%6."/>
      <w:lvlJc w:val="right"/>
      <w:pPr>
        <w:tabs>
          <w:tab w:val="left" w:pos="2412"/>
        </w:tabs>
        <w:ind w:left="2412" w:hanging="420"/>
      </w:pPr>
      <w:rPr>
        <w:rFonts w:cs="Times New Roman"/>
      </w:rPr>
    </w:lvl>
    <w:lvl w:ilvl="6" w:tentative="0">
      <w:start w:val="1"/>
      <w:numFmt w:val="decimal"/>
      <w:lvlText w:val="%7."/>
      <w:lvlJc w:val="left"/>
      <w:pPr>
        <w:tabs>
          <w:tab w:val="left" w:pos="2832"/>
        </w:tabs>
        <w:ind w:left="2832" w:hanging="420"/>
      </w:pPr>
      <w:rPr>
        <w:rFonts w:cs="Times New Roman"/>
      </w:rPr>
    </w:lvl>
    <w:lvl w:ilvl="7" w:tentative="0">
      <w:start w:val="1"/>
      <w:numFmt w:val="lowerLetter"/>
      <w:lvlText w:val="%8)"/>
      <w:lvlJc w:val="left"/>
      <w:pPr>
        <w:tabs>
          <w:tab w:val="left" w:pos="3252"/>
        </w:tabs>
        <w:ind w:left="3252" w:hanging="420"/>
      </w:pPr>
      <w:rPr>
        <w:rFonts w:cs="Times New Roman"/>
      </w:rPr>
    </w:lvl>
    <w:lvl w:ilvl="8" w:tentative="0">
      <w:start w:val="1"/>
      <w:numFmt w:val="lowerRoman"/>
      <w:lvlText w:val="%9."/>
      <w:lvlJc w:val="right"/>
      <w:pPr>
        <w:tabs>
          <w:tab w:val="left" w:pos="3672"/>
        </w:tabs>
        <w:ind w:left="3672" w:hanging="420"/>
      </w:pPr>
      <w:rPr>
        <w:rFonts w:cs="Times New Roman"/>
      </w:rPr>
    </w:lvl>
  </w:abstractNum>
  <w:abstractNum w:abstractNumId="10">
    <w:nsid w:val="4B1F2F8B"/>
    <w:multiLevelType w:val="multilevel"/>
    <w:tmpl w:val="4B1F2F8B"/>
    <w:lvl w:ilvl="0" w:tentative="0">
      <w:start w:val="1"/>
      <w:numFmt w:val="decimal"/>
      <w:lvlText w:val="%1."/>
      <w:lvlJc w:val="left"/>
      <w:pPr>
        <w:tabs>
          <w:tab w:val="left" w:pos="252"/>
        </w:tabs>
        <w:ind w:left="252" w:hanging="360"/>
      </w:pPr>
      <w:rPr>
        <w:rFonts w:hint="default" w:cs="Times New Roman"/>
      </w:rPr>
    </w:lvl>
    <w:lvl w:ilvl="1" w:tentative="0">
      <w:start w:val="1"/>
      <w:numFmt w:val="lowerLetter"/>
      <w:lvlText w:val="%2)"/>
      <w:lvlJc w:val="left"/>
      <w:pPr>
        <w:tabs>
          <w:tab w:val="left" w:pos="732"/>
        </w:tabs>
        <w:ind w:left="732" w:hanging="420"/>
      </w:pPr>
      <w:rPr>
        <w:rFonts w:cs="Times New Roman"/>
      </w:rPr>
    </w:lvl>
    <w:lvl w:ilvl="2" w:tentative="0">
      <w:start w:val="1"/>
      <w:numFmt w:val="lowerRoman"/>
      <w:lvlText w:val="%3."/>
      <w:lvlJc w:val="right"/>
      <w:pPr>
        <w:tabs>
          <w:tab w:val="left" w:pos="1152"/>
        </w:tabs>
        <w:ind w:left="1152" w:hanging="420"/>
      </w:pPr>
      <w:rPr>
        <w:rFonts w:cs="Times New Roman"/>
      </w:rPr>
    </w:lvl>
    <w:lvl w:ilvl="3" w:tentative="0">
      <w:start w:val="1"/>
      <w:numFmt w:val="decimal"/>
      <w:lvlText w:val="%4."/>
      <w:lvlJc w:val="left"/>
      <w:pPr>
        <w:tabs>
          <w:tab w:val="left" w:pos="1572"/>
        </w:tabs>
        <w:ind w:left="1572" w:hanging="420"/>
      </w:pPr>
      <w:rPr>
        <w:rFonts w:cs="Times New Roman"/>
      </w:rPr>
    </w:lvl>
    <w:lvl w:ilvl="4" w:tentative="0">
      <w:start w:val="1"/>
      <w:numFmt w:val="lowerLetter"/>
      <w:lvlText w:val="%5)"/>
      <w:lvlJc w:val="left"/>
      <w:pPr>
        <w:tabs>
          <w:tab w:val="left" w:pos="1992"/>
        </w:tabs>
        <w:ind w:left="1992" w:hanging="420"/>
      </w:pPr>
      <w:rPr>
        <w:rFonts w:cs="Times New Roman"/>
      </w:rPr>
    </w:lvl>
    <w:lvl w:ilvl="5" w:tentative="0">
      <w:start w:val="1"/>
      <w:numFmt w:val="lowerRoman"/>
      <w:lvlText w:val="%6."/>
      <w:lvlJc w:val="right"/>
      <w:pPr>
        <w:tabs>
          <w:tab w:val="left" w:pos="2412"/>
        </w:tabs>
        <w:ind w:left="2412" w:hanging="420"/>
      </w:pPr>
      <w:rPr>
        <w:rFonts w:cs="Times New Roman"/>
      </w:rPr>
    </w:lvl>
    <w:lvl w:ilvl="6" w:tentative="0">
      <w:start w:val="1"/>
      <w:numFmt w:val="decimal"/>
      <w:lvlText w:val="%7."/>
      <w:lvlJc w:val="left"/>
      <w:pPr>
        <w:tabs>
          <w:tab w:val="left" w:pos="2832"/>
        </w:tabs>
        <w:ind w:left="2832" w:hanging="420"/>
      </w:pPr>
      <w:rPr>
        <w:rFonts w:cs="Times New Roman"/>
      </w:rPr>
    </w:lvl>
    <w:lvl w:ilvl="7" w:tentative="0">
      <w:start w:val="1"/>
      <w:numFmt w:val="lowerLetter"/>
      <w:lvlText w:val="%8)"/>
      <w:lvlJc w:val="left"/>
      <w:pPr>
        <w:tabs>
          <w:tab w:val="left" w:pos="3252"/>
        </w:tabs>
        <w:ind w:left="3252" w:hanging="420"/>
      </w:pPr>
      <w:rPr>
        <w:rFonts w:cs="Times New Roman"/>
      </w:rPr>
    </w:lvl>
    <w:lvl w:ilvl="8" w:tentative="0">
      <w:start w:val="1"/>
      <w:numFmt w:val="lowerRoman"/>
      <w:lvlText w:val="%9."/>
      <w:lvlJc w:val="right"/>
      <w:pPr>
        <w:tabs>
          <w:tab w:val="left" w:pos="3672"/>
        </w:tabs>
        <w:ind w:left="3672" w:hanging="420"/>
      </w:pPr>
      <w:rPr>
        <w:rFonts w:cs="Times New Roman"/>
      </w:rPr>
    </w:lvl>
  </w:abstractNum>
  <w:abstractNum w:abstractNumId="11">
    <w:nsid w:val="684851A1"/>
    <w:multiLevelType w:val="multilevel"/>
    <w:tmpl w:val="684851A1"/>
    <w:lvl w:ilvl="0" w:tentative="0">
      <w:start w:val="1"/>
      <w:numFmt w:val="decimal"/>
      <w:lvlText w:val="%1."/>
      <w:lvlJc w:val="left"/>
      <w:pPr>
        <w:tabs>
          <w:tab w:val="left" w:pos="252"/>
        </w:tabs>
        <w:ind w:left="252" w:hanging="360"/>
      </w:pPr>
      <w:rPr>
        <w:rFonts w:hint="default" w:cs="Times New Roman"/>
      </w:rPr>
    </w:lvl>
    <w:lvl w:ilvl="1" w:tentative="0">
      <w:start w:val="1"/>
      <w:numFmt w:val="decimal"/>
      <w:lvlText w:val="%2."/>
      <w:lvlJc w:val="left"/>
      <w:pPr>
        <w:tabs>
          <w:tab w:val="left" w:pos="672"/>
        </w:tabs>
        <w:ind w:left="672" w:hanging="360"/>
      </w:pPr>
      <w:rPr>
        <w:rFonts w:hint="default" w:cs="Times New Roman"/>
      </w:rPr>
    </w:lvl>
    <w:lvl w:ilvl="2" w:tentative="0">
      <w:start w:val="1"/>
      <w:numFmt w:val="lowerRoman"/>
      <w:lvlText w:val="%3."/>
      <w:lvlJc w:val="right"/>
      <w:pPr>
        <w:tabs>
          <w:tab w:val="left" w:pos="1152"/>
        </w:tabs>
        <w:ind w:left="1152" w:hanging="420"/>
      </w:pPr>
      <w:rPr>
        <w:rFonts w:cs="Times New Roman"/>
      </w:rPr>
    </w:lvl>
    <w:lvl w:ilvl="3" w:tentative="0">
      <w:start w:val="1"/>
      <w:numFmt w:val="decimal"/>
      <w:lvlText w:val="%4."/>
      <w:lvlJc w:val="left"/>
      <w:pPr>
        <w:tabs>
          <w:tab w:val="left" w:pos="1572"/>
        </w:tabs>
        <w:ind w:left="1572" w:hanging="420"/>
      </w:pPr>
      <w:rPr>
        <w:rFonts w:cs="Times New Roman"/>
      </w:rPr>
    </w:lvl>
    <w:lvl w:ilvl="4" w:tentative="0">
      <w:start w:val="1"/>
      <w:numFmt w:val="lowerLetter"/>
      <w:lvlText w:val="%5)"/>
      <w:lvlJc w:val="left"/>
      <w:pPr>
        <w:tabs>
          <w:tab w:val="left" w:pos="1992"/>
        </w:tabs>
        <w:ind w:left="1992" w:hanging="420"/>
      </w:pPr>
      <w:rPr>
        <w:rFonts w:cs="Times New Roman"/>
      </w:rPr>
    </w:lvl>
    <w:lvl w:ilvl="5" w:tentative="0">
      <w:start w:val="1"/>
      <w:numFmt w:val="lowerRoman"/>
      <w:lvlText w:val="%6."/>
      <w:lvlJc w:val="right"/>
      <w:pPr>
        <w:tabs>
          <w:tab w:val="left" w:pos="2412"/>
        </w:tabs>
        <w:ind w:left="2412" w:hanging="420"/>
      </w:pPr>
      <w:rPr>
        <w:rFonts w:cs="Times New Roman"/>
      </w:rPr>
    </w:lvl>
    <w:lvl w:ilvl="6" w:tentative="0">
      <w:start w:val="1"/>
      <w:numFmt w:val="decimal"/>
      <w:lvlText w:val="%7."/>
      <w:lvlJc w:val="left"/>
      <w:pPr>
        <w:tabs>
          <w:tab w:val="left" w:pos="2832"/>
        </w:tabs>
        <w:ind w:left="2832" w:hanging="420"/>
      </w:pPr>
      <w:rPr>
        <w:rFonts w:cs="Times New Roman"/>
      </w:rPr>
    </w:lvl>
    <w:lvl w:ilvl="7" w:tentative="0">
      <w:start w:val="1"/>
      <w:numFmt w:val="lowerLetter"/>
      <w:lvlText w:val="%8)"/>
      <w:lvlJc w:val="left"/>
      <w:pPr>
        <w:tabs>
          <w:tab w:val="left" w:pos="3252"/>
        </w:tabs>
        <w:ind w:left="3252" w:hanging="420"/>
      </w:pPr>
      <w:rPr>
        <w:rFonts w:cs="Times New Roman"/>
      </w:rPr>
    </w:lvl>
    <w:lvl w:ilvl="8" w:tentative="0">
      <w:start w:val="1"/>
      <w:numFmt w:val="lowerRoman"/>
      <w:lvlText w:val="%9."/>
      <w:lvlJc w:val="right"/>
      <w:pPr>
        <w:tabs>
          <w:tab w:val="left" w:pos="3672"/>
        </w:tabs>
        <w:ind w:left="3672" w:hanging="420"/>
      </w:pPr>
      <w:rPr>
        <w:rFonts w:cs="Times New Roman"/>
      </w:rPr>
    </w:lvl>
  </w:abstractNum>
  <w:abstractNum w:abstractNumId="12">
    <w:nsid w:val="6FFF5A4C"/>
    <w:multiLevelType w:val="multilevel"/>
    <w:tmpl w:val="6FFF5A4C"/>
    <w:lvl w:ilvl="0" w:tentative="0">
      <w:start w:val="1"/>
      <w:numFmt w:val="decimal"/>
      <w:lvlText w:val="%1."/>
      <w:lvlJc w:val="left"/>
      <w:pPr>
        <w:tabs>
          <w:tab w:val="left" w:pos="252"/>
        </w:tabs>
        <w:ind w:left="252" w:hanging="360"/>
      </w:pPr>
      <w:rPr>
        <w:rFonts w:hint="default" w:cs="Times New Roman"/>
      </w:rPr>
    </w:lvl>
    <w:lvl w:ilvl="1" w:tentative="0">
      <w:start w:val="1"/>
      <w:numFmt w:val="lowerLetter"/>
      <w:lvlText w:val="%2)"/>
      <w:lvlJc w:val="left"/>
      <w:pPr>
        <w:tabs>
          <w:tab w:val="left" w:pos="732"/>
        </w:tabs>
        <w:ind w:left="732" w:hanging="420"/>
      </w:pPr>
      <w:rPr>
        <w:rFonts w:cs="Times New Roman"/>
      </w:rPr>
    </w:lvl>
    <w:lvl w:ilvl="2" w:tentative="0">
      <w:start w:val="1"/>
      <w:numFmt w:val="lowerRoman"/>
      <w:lvlText w:val="%3."/>
      <w:lvlJc w:val="right"/>
      <w:pPr>
        <w:tabs>
          <w:tab w:val="left" w:pos="1152"/>
        </w:tabs>
        <w:ind w:left="1152" w:hanging="420"/>
      </w:pPr>
      <w:rPr>
        <w:rFonts w:cs="Times New Roman"/>
      </w:rPr>
    </w:lvl>
    <w:lvl w:ilvl="3" w:tentative="0">
      <w:start w:val="1"/>
      <w:numFmt w:val="decimal"/>
      <w:lvlText w:val="%4."/>
      <w:lvlJc w:val="left"/>
      <w:pPr>
        <w:tabs>
          <w:tab w:val="left" w:pos="1572"/>
        </w:tabs>
        <w:ind w:left="1572" w:hanging="420"/>
      </w:pPr>
      <w:rPr>
        <w:rFonts w:cs="Times New Roman"/>
      </w:rPr>
    </w:lvl>
    <w:lvl w:ilvl="4" w:tentative="0">
      <w:start w:val="1"/>
      <w:numFmt w:val="lowerLetter"/>
      <w:lvlText w:val="%5)"/>
      <w:lvlJc w:val="left"/>
      <w:pPr>
        <w:tabs>
          <w:tab w:val="left" w:pos="1992"/>
        </w:tabs>
        <w:ind w:left="1992" w:hanging="420"/>
      </w:pPr>
      <w:rPr>
        <w:rFonts w:cs="Times New Roman"/>
      </w:rPr>
    </w:lvl>
    <w:lvl w:ilvl="5" w:tentative="0">
      <w:start w:val="1"/>
      <w:numFmt w:val="lowerRoman"/>
      <w:lvlText w:val="%6."/>
      <w:lvlJc w:val="right"/>
      <w:pPr>
        <w:tabs>
          <w:tab w:val="left" w:pos="2412"/>
        </w:tabs>
        <w:ind w:left="2412" w:hanging="420"/>
      </w:pPr>
      <w:rPr>
        <w:rFonts w:cs="Times New Roman"/>
      </w:rPr>
    </w:lvl>
    <w:lvl w:ilvl="6" w:tentative="0">
      <w:start w:val="1"/>
      <w:numFmt w:val="decimal"/>
      <w:lvlText w:val="%7."/>
      <w:lvlJc w:val="left"/>
      <w:pPr>
        <w:tabs>
          <w:tab w:val="left" w:pos="2832"/>
        </w:tabs>
        <w:ind w:left="2832" w:hanging="420"/>
      </w:pPr>
      <w:rPr>
        <w:rFonts w:cs="Times New Roman"/>
      </w:rPr>
    </w:lvl>
    <w:lvl w:ilvl="7" w:tentative="0">
      <w:start w:val="1"/>
      <w:numFmt w:val="lowerLetter"/>
      <w:lvlText w:val="%8)"/>
      <w:lvlJc w:val="left"/>
      <w:pPr>
        <w:tabs>
          <w:tab w:val="left" w:pos="3252"/>
        </w:tabs>
        <w:ind w:left="3252" w:hanging="420"/>
      </w:pPr>
      <w:rPr>
        <w:rFonts w:cs="Times New Roman"/>
      </w:rPr>
    </w:lvl>
    <w:lvl w:ilvl="8" w:tentative="0">
      <w:start w:val="1"/>
      <w:numFmt w:val="lowerRoman"/>
      <w:lvlText w:val="%9."/>
      <w:lvlJc w:val="right"/>
      <w:pPr>
        <w:tabs>
          <w:tab w:val="left" w:pos="3672"/>
        </w:tabs>
        <w:ind w:left="3672" w:hanging="420"/>
      </w:pPr>
      <w:rPr>
        <w:rFonts w:cs="Times New Roman"/>
      </w:rPr>
    </w:lvl>
  </w:abstractNum>
  <w:abstractNum w:abstractNumId="13">
    <w:nsid w:val="7B537806"/>
    <w:multiLevelType w:val="multilevel"/>
    <w:tmpl w:val="7B537806"/>
    <w:lvl w:ilvl="0" w:tentative="0">
      <w:start w:val="1"/>
      <w:numFmt w:val="decimal"/>
      <w:lvlText w:val="%1."/>
      <w:lvlJc w:val="left"/>
      <w:pPr>
        <w:tabs>
          <w:tab w:val="left" w:pos="252"/>
        </w:tabs>
        <w:ind w:left="252" w:hanging="360"/>
      </w:pPr>
      <w:rPr>
        <w:rFonts w:hint="default" w:cs="Times New Roman"/>
      </w:rPr>
    </w:lvl>
    <w:lvl w:ilvl="1" w:tentative="0">
      <w:start w:val="1"/>
      <w:numFmt w:val="lowerLetter"/>
      <w:lvlText w:val="%2)"/>
      <w:lvlJc w:val="left"/>
      <w:pPr>
        <w:tabs>
          <w:tab w:val="left" w:pos="732"/>
        </w:tabs>
        <w:ind w:left="732" w:hanging="420"/>
      </w:pPr>
      <w:rPr>
        <w:rFonts w:cs="Times New Roman"/>
      </w:rPr>
    </w:lvl>
    <w:lvl w:ilvl="2" w:tentative="0">
      <w:start w:val="1"/>
      <w:numFmt w:val="lowerRoman"/>
      <w:lvlText w:val="%3."/>
      <w:lvlJc w:val="right"/>
      <w:pPr>
        <w:tabs>
          <w:tab w:val="left" w:pos="1152"/>
        </w:tabs>
        <w:ind w:left="1152" w:hanging="420"/>
      </w:pPr>
      <w:rPr>
        <w:rFonts w:cs="Times New Roman"/>
      </w:rPr>
    </w:lvl>
    <w:lvl w:ilvl="3" w:tentative="0">
      <w:start w:val="1"/>
      <w:numFmt w:val="decimal"/>
      <w:lvlText w:val="%4."/>
      <w:lvlJc w:val="left"/>
      <w:pPr>
        <w:tabs>
          <w:tab w:val="left" w:pos="1572"/>
        </w:tabs>
        <w:ind w:left="1572" w:hanging="420"/>
      </w:pPr>
      <w:rPr>
        <w:rFonts w:cs="Times New Roman"/>
      </w:rPr>
    </w:lvl>
    <w:lvl w:ilvl="4" w:tentative="0">
      <w:start w:val="1"/>
      <w:numFmt w:val="lowerLetter"/>
      <w:lvlText w:val="%5)"/>
      <w:lvlJc w:val="left"/>
      <w:pPr>
        <w:tabs>
          <w:tab w:val="left" w:pos="1992"/>
        </w:tabs>
        <w:ind w:left="1992" w:hanging="420"/>
      </w:pPr>
      <w:rPr>
        <w:rFonts w:cs="Times New Roman"/>
      </w:rPr>
    </w:lvl>
    <w:lvl w:ilvl="5" w:tentative="0">
      <w:start w:val="1"/>
      <w:numFmt w:val="lowerRoman"/>
      <w:lvlText w:val="%6."/>
      <w:lvlJc w:val="right"/>
      <w:pPr>
        <w:tabs>
          <w:tab w:val="left" w:pos="2412"/>
        </w:tabs>
        <w:ind w:left="2412" w:hanging="420"/>
      </w:pPr>
      <w:rPr>
        <w:rFonts w:cs="Times New Roman"/>
      </w:rPr>
    </w:lvl>
    <w:lvl w:ilvl="6" w:tentative="0">
      <w:start w:val="1"/>
      <w:numFmt w:val="decimal"/>
      <w:lvlText w:val="%7."/>
      <w:lvlJc w:val="left"/>
      <w:pPr>
        <w:tabs>
          <w:tab w:val="left" w:pos="2832"/>
        </w:tabs>
        <w:ind w:left="2832" w:hanging="420"/>
      </w:pPr>
      <w:rPr>
        <w:rFonts w:cs="Times New Roman"/>
      </w:rPr>
    </w:lvl>
    <w:lvl w:ilvl="7" w:tentative="0">
      <w:start w:val="1"/>
      <w:numFmt w:val="lowerLetter"/>
      <w:lvlText w:val="%8)"/>
      <w:lvlJc w:val="left"/>
      <w:pPr>
        <w:tabs>
          <w:tab w:val="left" w:pos="3252"/>
        </w:tabs>
        <w:ind w:left="3252" w:hanging="420"/>
      </w:pPr>
      <w:rPr>
        <w:rFonts w:cs="Times New Roman"/>
      </w:rPr>
    </w:lvl>
    <w:lvl w:ilvl="8" w:tentative="0">
      <w:start w:val="1"/>
      <w:numFmt w:val="lowerRoman"/>
      <w:lvlText w:val="%9."/>
      <w:lvlJc w:val="right"/>
      <w:pPr>
        <w:tabs>
          <w:tab w:val="left" w:pos="3672"/>
        </w:tabs>
        <w:ind w:left="3672" w:hanging="420"/>
      </w:pPr>
      <w:rPr>
        <w:rFonts w:cs="Times New Roman"/>
      </w:rPr>
    </w:lvl>
  </w:abstractNum>
  <w:num w:numId="1">
    <w:abstractNumId w:val="0"/>
  </w:num>
  <w:num w:numId="2">
    <w:abstractNumId w:val="4"/>
  </w:num>
  <w:num w:numId="3">
    <w:abstractNumId w:val="12"/>
  </w:num>
  <w:num w:numId="4">
    <w:abstractNumId w:val="8"/>
  </w:num>
  <w:num w:numId="5">
    <w:abstractNumId w:val="10"/>
  </w:num>
  <w:num w:numId="6">
    <w:abstractNumId w:val="6"/>
  </w:num>
  <w:num w:numId="7">
    <w:abstractNumId w:val="9"/>
  </w:num>
  <w:num w:numId="8">
    <w:abstractNumId w:val="13"/>
  </w:num>
  <w:num w:numId="9">
    <w:abstractNumId w:val="5"/>
  </w:num>
  <w:num w:numId="10">
    <w:abstractNumId w:val="11"/>
  </w:num>
  <w:num w:numId="11">
    <w:abstractNumId w:val="7"/>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jYmU0OTc0ZGFjNWMyNGRlZjhiN2EzMmMwZGMyYmMifQ=="/>
    <w:docVar w:name="KSO_WPS_MARK_KEY" w:val="958ba254-0df2-4c2b-a66a-6ae3d9cab4b4"/>
  </w:docVars>
  <w:rsids>
    <w:rsidRoot w:val="59A041FD"/>
    <w:rsid w:val="00053F05"/>
    <w:rsid w:val="0007274F"/>
    <w:rsid w:val="000C616B"/>
    <w:rsid w:val="00101226"/>
    <w:rsid w:val="0010398F"/>
    <w:rsid w:val="00172CF5"/>
    <w:rsid w:val="001C5F8F"/>
    <w:rsid w:val="001E00F9"/>
    <w:rsid w:val="001E5634"/>
    <w:rsid w:val="00204E8D"/>
    <w:rsid w:val="00265B84"/>
    <w:rsid w:val="00271FCB"/>
    <w:rsid w:val="00282F78"/>
    <w:rsid w:val="00302DB5"/>
    <w:rsid w:val="00446385"/>
    <w:rsid w:val="00460343"/>
    <w:rsid w:val="00502521"/>
    <w:rsid w:val="00537F1D"/>
    <w:rsid w:val="005B7A12"/>
    <w:rsid w:val="005F4F1C"/>
    <w:rsid w:val="0064491B"/>
    <w:rsid w:val="00702B2F"/>
    <w:rsid w:val="00735447"/>
    <w:rsid w:val="00754DF1"/>
    <w:rsid w:val="007834B8"/>
    <w:rsid w:val="00790B7E"/>
    <w:rsid w:val="009340AD"/>
    <w:rsid w:val="00982ADC"/>
    <w:rsid w:val="009C14DC"/>
    <w:rsid w:val="009E7A34"/>
    <w:rsid w:val="00A15D53"/>
    <w:rsid w:val="00A81205"/>
    <w:rsid w:val="00AF4D81"/>
    <w:rsid w:val="00B07E6D"/>
    <w:rsid w:val="00B207A4"/>
    <w:rsid w:val="00B64E60"/>
    <w:rsid w:val="00BA3B70"/>
    <w:rsid w:val="00C10837"/>
    <w:rsid w:val="00C61DAA"/>
    <w:rsid w:val="00D213F5"/>
    <w:rsid w:val="00D40686"/>
    <w:rsid w:val="00D54FAC"/>
    <w:rsid w:val="00DA6E45"/>
    <w:rsid w:val="00DD5679"/>
    <w:rsid w:val="00F05DFF"/>
    <w:rsid w:val="00F57704"/>
    <w:rsid w:val="00FE54F5"/>
    <w:rsid w:val="030C24FB"/>
    <w:rsid w:val="04243DB5"/>
    <w:rsid w:val="06B5629C"/>
    <w:rsid w:val="0739099B"/>
    <w:rsid w:val="0B6E52E7"/>
    <w:rsid w:val="0C3152C1"/>
    <w:rsid w:val="154A6118"/>
    <w:rsid w:val="19CC07E6"/>
    <w:rsid w:val="1D4E3BDB"/>
    <w:rsid w:val="26ED0338"/>
    <w:rsid w:val="3A2443AC"/>
    <w:rsid w:val="3C2C25D0"/>
    <w:rsid w:val="3DC65339"/>
    <w:rsid w:val="3FD315F6"/>
    <w:rsid w:val="4148142F"/>
    <w:rsid w:val="42CE1A88"/>
    <w:rsid w:val="4C3875BD"/>
    <w:rsid w:val="4F12606E"/>
    <w:rsid w:val="59A041FD"/>
    <w:rsid w:val="5C075000"/>
    <w:rsid w:val="5DF6782A"/>
    <w:rsid w:val="5E3D2156"/>
    <w:rsid w:val="6CD7419C"/>
    <w:rsid w:val="6F697ED5"/>
    <w:rsid w:val="714F2B48"/>
    <w:rsid w:val="72107262"/>
    <w:rsid w:val="73B30A6C"/>
    <w:rsid w:val="761069EC"/>
    <w:rsid w:val="761918B8"/>
    <w:rsid w:val="7DA82E23"/>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kern w:val="0"/>
      <w:sz w:val="20"/>
      <w:szCs w:val="32"/>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kern w:val="0"/>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Body Text 3"/>
    <w:basedOn w:val="1"/>
    <w:qFormat/>
    <w:uiPriority w:val="0"/>
    <w:pPr>
      <w:spacing w:line="500" w:lineRule="exact"/>
    </w:pPr>
    <w:rPr>
      <w:b/>
      <w:bCs/>
      <w:kern w:val="0"/>
      <w:sz w:val="24"/>
    </w:rPr>
  </w:style>
  <w:style w:type="paragraph" w:styleId="9">
    <w:name w:val="Body Text"/>
    <w:basedOn w:val="1"/>
    <w:next w:val="10"/>
    <w:qFormat/>
    <w:uiPriority w:val="0"/>
    <w:pPr>
      <w:spacing w:line="380" w:lineRule="exact"/>
    </w:pPr>
    <w:rPr>
      <w:kern w:val="0"/>
      <w:sz w:val="24"/>
    </w:rPr>
  </w:style>
  <w:style w:type="paragraph" w:styleId="10">
    <w:name w:val="Body Text First Indent"/>
    <w:basedOn w:val="9"/>
    <w:qFormat/>
    <w:uiPriority w:val="0"/>
    <w:pPr>
      <w:spacing w:after="120" w:line="240" w:lineRule="auto"/>
      <w:ind w:firstLine="420" w:firstLineChars="100"/>
    </w:pPr>
    <w:rPr>
      <w:sz w:val="21"/>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qFormat/>
    <w:uiPriority w:val="0"/>
    <w:pPr>
      <w:ind w:left="100" w:leftChars="200" w:hanging="200" w:hangingChars="200"/>
    </w:pPr>
    <w:rPr>
      <w:sz w:val="28"/>
    </w:rPr>
  </w:style>
  <w:style w:type="paragraph" w:styleId="13">
    <w:name w:val="Plain Text"/>
    <w:basedOn w:val="1"/>
    <w:next w:val="4"/>
    <w:qFormat/>
    <w:uiPriority w:val="99"/>
    <w:rPr>
      <w:rFonts w:ascii="宋体" w:hAnsi="Courier New"/>
      <w:kern w:val="0"/>
      <w:sz w:val="20"/>
      <w:szCs w:val="21"/>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pPr>
      <w:tabs>
        <w:tab w:val="right" w:leader="dot" w:pos="9360"/>
      </w:tabs>
      <w:spacing w:line="600" w:lineRule="exact"/>
    </w:pPr>
    <w:rPr>
      <w:rFonts w:ascii="宋体" w:hAnsi="宋体"/>
      <w:b/>
      <w:szCs w:val="21"/>
    </w:rPr>
  </w:style>
  <w:style w:type="paragraph" w:styleId="17">
    <w:name w:val="List"/>
    <w:basedOn w:val="1"/>
    <w:qFormat/>
    <w:uiPriority w:val="0"/>
    <w:pPr>
      <w:ind w:left="200" w:hanging="200" w:hangingChars="200"/>
    </w:pPr>
    <w:rPr>
      <w:sz w:val="28"/>
    </w:rPr>
  </w:style>
  <w:style w:type="paragraph" w:styleId="18">
    <w:name w:val="Body Text 2"/>
    <w:basedOn w:val="1"/>
    <w:qFormat/>
    <w:uiPriority w:val="0"/>
    <w:pPr>
      <w:spacing w:after="120" w:line="480" w:lineRule="auto"/>
    </w:pPr>
    <w:rPr>
      <w:kern w:val="0"/>
      <w:sz w:val="20"/>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character" w:styleId="23">
    <w:name w:val="Strong"/>
    <w:basedOn w:val="22"/>
    <w:qFormat/>
    <w:uiPriority w:val="0"/>
    <w:rPr>
      <w:b/>
    </w:rPr>
  </w:style>
  <w:style w:type="character" w:styleId="24">
    <w:name w:val="page number"/>
    <w:qFormat/>
    <w:uiPriority w:val="0"/>
  </w:style>
  <w:style w:type="character" w:styleId="25">
    <w:name w:val="Hyperlink"/>
    <w:qFormat/>
    <w:uiPriority w:val="99"/>
    <w:rPr>
      <w:color w:val="0000FF"/>
      <w:u w:val="single"/>
    </w:rPr>
  </w:style>
  <w:style w:type="character" w:styleId="26">
    <w:name w:val="HTML Sample"/>
    <w:basedOn w:val="22"/>
    <w:qFormat/>
    <w:uiPriority w:val="0"/>
    <w:rPr>
      <w:rFonts w:ascii="Courier New" w:hAnsi="Courier New"/>
    </w:rPr>
  </w:style>
  <w:style w:type="paragraph" w:customStyle="1" w:styleId="27">
    <w:name w:val="Table Paragraph"/>
    <w:basedOn w:val="1"/>
    <w:qFormat/>
    <w:uiPriority w:val="1"/>
  </w:style>
  <w:style w:type="paragraph" w:customStyle="1" w:styleId="28">
    <w:name w:val="表格文字"/>
    <w:basedOn w:val="1"/>
    <w:qFormat/>
    <w:uiPriority w:val="99"/>
    <w:pPr>
      <w:spacing w:before="25" w:after="25"/>
    </w:pPr>
    <w:rPr>
      <w:rFonts w:ascii="Calibri" w:hAnsi="Calibri" w:eastAsia="Calibri"/>
      <w:bCs/>
      <w:spacing w:val="10"/>
      <w:kern w:val="0"/>
    </w:rPr>
  </w:style>
  <w:style w:type="paragraph" w:customStyle="1" w:styleId="29">
    <w:name w:val="默认段落字体 Para Char Char Char Char Char Char Char Char Char1 Char Char Char Char"/>
    <w:basedOn w:val="1"/>
    <w:qFormat/>
    <w:uiPriority w:val="0"/>
    <w:rPr>
      <w:rFonts w:ascii="Tahoma" w:hAnsi="Tahoma"/>
      <w:sz w:val="24"/>
      <w:szCs w:val="20"/>
    </w:rPr>
  </w:style>
  <w:style w:type="paragraph" w:customStyle="1" w:styleId="30">
    <w:name w:val="目录 41"/>
    <w:next w:val="1"/>
    <w:qFormat/>
    <w:uiPriority w:val="99"/>
    <w:pPr>
      <w:wordWrap w:val="0"/>
      <w:ind w:left="85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716F2-8D17-4DC2-9F59-FB4EE5B7B9A3}">
  <ds:schemaRefs/>
</ds:datastoreItem>
</file>

<file path=docProps/app.xml><?xml version="1.0" encoding="utf-8"?>
<Properties xmlns="http://schemas.openxmlformats.org/officeDocument/2006/extended-properties" xmlns:vt="http://schemas.openxmlformats.org/officeDocument/2006/docPropsVTypes">
  <Template>Normal.dotm</Template>
  <Pages>99</Pages>
  <Words>64897</Words>
  <Characters>68372</Characters>
  <Lines>592</Lines>
  <Paragraphs>166</Paragraphs>
  <TotalTime>166</TotalTime>
  <ScaleCrop>false</ScaleCrop>
  <LinksUpToDate>false</LinksUpToDate>
  <CharactersWithSpaces>72687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2025-05-21T10:18:00Z</dcterms:created>
  <dc:creator>Lilia</dc:creator>
  <cp:lastModifiedBy>婵</cp:lastModifiedBy>
  <dcterms:modified xsi:type="dcterms:W3CDTF">2025-06-16T03:08:24Z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0EB9EDFE4F024A3BA442BC6A71A87C38_13</vt:lpwstr>
  </property>
  <property fmtid="{D5CDD505-2E9C-101B-9397-08002B2CF9AE}" pid="4" name="KSOTemplateDocerSaveRecord">
    <vt:lpwstr>eyJoZGlkIjoiNzVhNjY0YjAyZjg5ZTZjNzlmMWQ0NWYxZTU4YzMwMTQiLCJ1c2VySWQiOiI0MTkyODg1NTcifQ==</vt:lpwstr>
  </property>
</Properties>
</file>