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C8EC">
      <w:pPr>
        <w:spacing w:line="520" w:lineRule="exact"/>
        <w:jc w:val="center"/>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无串通竞标行为的承诺函</w:t>
      </w:r>
    </w:p>
    <w:bookmarkEnd w:id="0"/>
    <w:p w14:paraId="268E2B7D">
      <w:pPr>
        <w:spacing w:line="360" w:lineRule="auto"/>
        <w:ind w:firstLine="640" w:firstLineChars="200"/>
        <w:contextualSpacing/>
        <w:rPr>
          <w:rFonts w:hint="eastAsia" w:ascii="仿宋_GB2312" w:hAnsi="仿宋_GB2312" w:eastAsia="仿宋_GB2312" w:cs="仿宋_GB2312"/>
          <w:sz w:val="32"/>
          <w:szCs w:val="32"/>
        </w:rPr>
      </w:pPr>
    </w:p>
    <w:p w14:paraId="2AECB325">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72AE5564">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4A269344">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608733DC">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718A3DAE">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4502A243">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648E3883">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2F5A2BAF">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3832DC9C">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1BEA082C">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2AA7D17C">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38B2172E">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4E846F1C">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1DE42C5C">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4E99047">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1F5256B">
      <w:pPr>
        <w:spacing w:line="360" w:lineRule="auto"/>
        <w:ind w:firstLine="480" w:firstLineChars="200"/>
        <w:contextualSpacing/>
        <w:rPr>
          <w:rFonts w:hint="eastAsia" w:ascii="宋体" w:hAnsi="宋体" w:cs="仿宋_GB2312"/>
          <w:sz w:val="24"/>
        </w:rPr>
      </w:pPr>
    </w:p>
    <w:p w14:paraId="625DF46B">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14FCF96">
      <w:pPr>
        <w:spacing w:line="360" w:lineRule="auto"/>
        <w:contextualSpacing/>
        <w:rPr>
          <w:rFonts w:hint="eastAsia" w:ascii="宋体" w:hAnsi="宋体" w:cs="仿宋_GB2312"/>
          <w:sz w:val="24"/>
        </w:rPr>
      </w:pPr>
    </w:p>
    <w:p w14:paraId="5675B103">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46B2FE29">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1FE2F5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74047"/>
    <w:rsid w:val="3DE7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2025-05-07T03:47:00Z</dcterms:created>
  <dc:creator>尚︱燚(yi)洛</dc:creator>
  <cp:lastModifiedBy>尚︱燚(yi)洛</cp:lastModifiedBy>
  <dcterms:modified xsi:type="dcterms:W3CDTF">2025-05-07T03:48:13Z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C6DE071F6BCE496FB3E378F6C6A1D3A7_11</vt:lpwstr>
  </property>
  <property fmtid="{D5CDD505-2E9C-101B-9397-08002B2CF9AE}" pid="4" name="KSOTemplateDocerSaveRecord">
    <vt:lpwstr>eyJoZGlkIjoiMmI4ODFhMTc5Y2FhMjc5MTBjZGJiMDM4NjIyYzJmMjgiLCJ1c2VySWQiOiI0MDcwNTQwNjYifQ==</vt:lpwstr>
  </property>
</Properties>
</file>