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CB5BF">
      <w:pPr>
        <w:spacing w:beforeLines="100" w:afterLines="50" w:line="600" w:lineRule="exact"/>
        <w:jc w:val="center"/>
        <w:rPr>
          <w:rFonts w:ascii="宋体" w:hAnsi="宋体" w:cs="宋体"/>
          <w:color w:val="auto"/>
          <w:sz w:val="52"/>
          <w:szCs w:val="52"/>
          <w:highlight w:val="none"/>
        </w:rPr>
      </w:pPr>
    </w:p>
    <w:p w14:paraId="404511FA">
      <w:pPr>
        <w:spacing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广西海川工程咨询有限公司</w:t>
      </w:r>
    </w:p>
    <w:p w14:paraId="2D91E5E4">
      <w:pPr>
        <w:spacing w:line="360" w:lineRule="auto"/>
        <w:jc w:val="center"/>
        <w:rPr>
          <w:rFonts w:ascii="宋体" w:hAnsi="宋体" w:cs="宋体"/>
          <w:b/>
          <w:color w:val="auto"/>
          <w:sz w:val="44"/>
          <w:szCs w:val="44"/>
          <w:highlight w:val="none"/>
        </w:rPr>
      </w:pPr>
    </w:p>
    <w:p w14:paraId="1A1E5E34">
      <w:pPr>
        <w:snapToGrid w:val="0"/>
        <w:spacing w:beforeLines="50" w:line="360" w:lineRule="auto"/>
        <w:jc w:val="center"/>
        <w:rPr>
          <w:rFonts w:hint="eastAsia" w:ascii="宋体" w:hAnsi="宋体" w:cs="宋体"/>
          <w:color w:val="auto"/>
          <w:sz w:val="120"/>
          <w:szCs w:val="120"/>
          <w:highlight w:val="none"/>
        </w:rPr>
      </w:pPr>
      <w:r>
        <w:rPr>
          <w:rFonts w:hint="eastAsia" w:ascii="宋体" w:hAnsi="宋体" w:cs="宋体"/>
          <w:color w:val="auto"/>
          <w:sz w:val="120"/>
          <w:szCs w:val="120"/>
          <w:highlight w:val="none"/>
        </w:rPr>
        <w:t>招 标 文 件</w:t>
      </w:r>
    </w:p>
    <w:p w14:paraId="127F618F">
      <w:pPr>
        <w:snapToGrid w:val="0"/>
        <w:spacing w:before="120" w:beforeLines="50" w:line="360" w:lineRule="auto"/>
        <w:jc w:val="center"/>
        <w:rPr>
          <w:rFonts w:hint="eastAsia" w:ascii="宋体" w:hAnsi="宋体" w:cs="宋体"/>
          <w:color w:val="auto"/>
          <w:sz w:val="120"/>
          <w:szCs w:val="120"/>
          <w:highlight w:val="none"/>
        </w:rPr>
      </w:pPr>
      <w:r>
        <w:rPr>
          <w:rFonts w:hint="eastAsia" w:ascii="仿宋_GB2312" w:hAnsi="宋体" w:eastAsia="仿宋_GB2312"/>
          <w:b/>
          <w:color w:val="auto"/>
          <w:sz w:val="48"/>
          <w:szCs w:val="48"/>
          <w:highlight w:val="none"/>
        </w:rPr>
        <w:t>（全流程电子化采购-远程异地评标）</w:t>
      </w:r>
    </w:p>
    <w:p w14:paraId="196FDC04">
      <w:pPr>
        <w:spacing w:line="360" w:lineRule="auto"/>
        <w:jc w:val="center"/>
        <w:rPr>
          <w:rFonts w:ascii="宋体" w:hAnsi="宋体" w:cs="宋体"/>
          <w:b/>
          <w:color w:val="auto"/>
          <w:sz w:val="48"/>
          <w:szCs w:val="48"/>
          <w:highlight w:val="none"/>
        </w:rPr>
      </w:pPr>
    </w:p>
    <w:p w14:paraId="3D163E32">
      <w:pPr>
        <w:spacing w:line="360" w:lineRule="auto"/>
        <w:jc w:val="center"/>
        <w:rPr>
          <w:rFonts w:ascii="宋体" w:hAnsi="宋体" w:cs="宋体"/>
          <w:b/>
          <w:color w:val="auto"/>
          <w:sz w:val="48"/>
          <w:szCs w:val="48"/>
          <w:highlight w:val="none"/>
        </w:rPr>
      </w:pPr>
    </w:p>
    <w:p w14:paraId="07885F13">
      <w:pPr>
        <w:spacing w:line="360" w:lineRule="auto"/>
        <w:ind w:left="2883" w:leftChars="608" w:hanging="1606" w:hangingChars="500"/>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项目名称：</w:t>
      </w:r>
      <w:r>
        <w:rPr>
          <w:rFonts w:hint="eastAsia" w:ascii="宋体" w:hAnsi="宋体" w:cs="宋体"/>
          <w:b/>
          <w:bCs/>
          <w:color w:val="auto"/>
          <w:sz w:val="32"/>
          <w:szCs w:val="32"/>
          <w:highlight w:val="none"/>
          <w:lang w:eastAsia="zh-CN"/>
        </w:rPr>
        <w:t>苍梧县人民医院2024年下半年第一批医疗设备采购</w:t>
      </w:r>
    </w:p>
    <w:p w14:paraId="736F4252">
      <w:pPr>
        <w:spacing w:line="360" w:lineRule="auto"/>
        <w:ind w:firstLine="1285" w:firstLineChars="400"/>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项目编号：</w:t>
      </w:r>
      <w:bookmarkStart w:id="151" w:name="_GoBack"/>
      <w:bookmarkEnd w:id="151"/>
      <w:r>
        <w:rPr>
          <w:rFonts w:hint="eastAsia" w:ascii="宋体" w:hAnsi="宋体" w:cs="宋体"/>
          <w:b/>
          <w:bCs/>
          <w:color w:val="auto"/>
          <w:sz w:val="32"/>
          <w:szCs w:val="32"/>
          <w:highlight w:val="none"/>
          <w:lang w:eastAsia="zh-CN"/>
        </w:rPr>
        <w:t>WZZC2024-G1-210377-GXHC</w:t>
      </w:r>
    </w:p>
    <w:p w14:paraId="67D461E4">
      <w:pPr>
        <w:spacing w:line="360" w:lineRule="auto"/>
        <w:ind w:firstLine="1285" w:firstLineChars="400"/>
        <w:rPr>
          <w:rFonts w:ascii="宋体" w:hAnsi="宋体" w:cs="宋体"/>
          <w:b/>
          <w:bCs/>
          <w:color w:val="auto"/>
          <w:sz w:val="32"/>
          <w:szCs w:val="32"/>
          <w:highlight w:val="none"/>
        </w:rPr>
      </w:pPr>
      <w:r>
        <w:rPr>
          <w:rFonts w:hint="eastAsia" w:ascii="宋体" w:hAnsi="宋体" w:cs="宋体"/>
          <w:b/>
          <w:bCs/>
          <w:color w:val="auto"/>
          <w:sz w:val="32"/>
          <w:szCs w:val="32"/>
          <w:highlight w:val="none"/>
        </w:rPr>
        <w:t xml:space="preserve">采 购 人：苍梧县人民医院 </w:t>
      </w:r>
    </w:p>
    <w:p w14:paraId="0560B431">
      <w:pPr>
        <w:spacing w:line="360" w:lineRule="auto"/>
        <w:ind w:firstLine="1285" w:firstLineChars="400"/>
        <w:rPr>
          <w:rFonts w:ascii="宋体" w:hAnsi="宋体" w:cs="宋体"/>
          <w:b/>
          <w:bCs/>
          <w:color w:val="auto"/>
          <w:sz w:val="32"/>
          <w:szCs w:val="32"/>
          <w:highlight w:val="none"/>
        </w:rPr>
      </w:pPr>
      <w:r>
        <w:rPr>
          <w:rFonts w:hint="eastAsia" w:ascii="宋体" w:hAnsi="宋体" w:cs="宋体"/>
          <w:b/>
          <w:bCs/>
          <w:color w:val="auto"/>
          <w:sz w:val="32"/>
          <w:szCs w:val="32"/>
          <w:highlight w:val="none"/>
        </w:rPr>
        <w:t>采购代理机构：广西海川工程咨询有限公司</w:t>
      </w:r>
    </w:p>
    <w:p w14:paraId="5626F902">
      <w:pPr>
        <w:pStyle w:val="25"/>
        <w:snapToGrid w:val="0"/>
        <w:spacing w:line="360" w:lineRule="auto"/>
        <w:ind w:firstLine="1125" w:firstLineChars="393"/>
        <w:rPr>
          <w:rFonts w:hAnsi="宋体" w:cs="宋体"/>
          <w:b/>
          <w:bCs/>
          <w:color w:val="auto"/>
          <w:w w:val="95"/>
          <w:sz w:val="30"/>
          <w:szCs w:val="30"/>
          <w:highlight w:val="none"/>
        </w:rPr>
      </w:pPr>
    </w:p>
    <w:p w14:paraId="6CD04702">
      <w:pPr>
        <w:pStyle w:val="25"/>
        <w:snapToGrid w:val="0"/>
        <w:spacing w:line="360" w:lineRule="auto"/>
        <w:ind w:firstLine="1125" w:firstLineChars="393"/>
        <w:rPr>
          <w:rFonts w:hAnsi="宋体" w:cs="宋体"/>
          <w:b/>
          <w:bCs/>
          <w:color w:val="auto"/>
          <w:w w:val="95"/>
          <w:sz w:val="30"/>
          <w:szCs w:val="30"/>
          <w:highlight w:val="none"/>
        </w:rPr>
      </w:pPr>
    </w:p>
    <w:p w14:paraId="0F4E5341">
      <w:pPr>
        <w:pStyle w:val="25"/>
        <w:snapToGrid w:val="0"/>
        <w:spacing w:line="360" w:lineRule="auto"/>
        <w:ind w:firstLine="841" w:firstLineChars="294"/>
        <w:rPr>
          <w:rFonts w:hAnsi="宋体" w:cs="宋体"/>
          <w:color w:val="auto"/>
          <w:szCs w:val="20"/>
          <w:highlight w:val="none"/>
        </w:rPr>
      </w:pPr>
      <w:r>
        <w:rPr>
          <w:rFonts w:hint="eastAsia" w:hAnsi="宋体" w:cs="宋体"/>
          <w:b/>
          <w:bCs/>
          <w:color w:val="auto"/>
          <w:w w:val="95"/>
          <w:sz w:val="30"/>
          <w:szCs w:val="30"/>
          <w:highlight w:val="none"/>
        </w:rPr>
        <w:t xml:space="preserve">               2024年</w:t>
      </w:r>
      <w:r>
        <w:rPr>
          <w:rFonts w:hint="eastAsia" w:hAnsi="宋体" w:cs="宋体"/>
          <w:b/>
          <w:bCs/>
          <w:color w:val="auto"/>
          <w:w w:val="95"/>
          <w:sz w:val="30"/>
          <w:szCs w:val="30"/>
          <w:highlight w:val="none"/>
          <w:lang w:val="en-US" w:eastAsia="zh-CN"/>
        </w:rPr>
        <w:t>12</w:t>
      </w:r>
      <w:r>
        <w:rPr>
          <w:rFonts w:hint="eastAsia" w:hAnsi="宋体" w:cs="宋体"/>
          <w:b/>
          <w:bCs/>
          <w:color w:val="auto"/>
          <w:w w:val="95"/>
          <w:sz w:val="30"/>
          <w:szCs w:val="30"/>
          <w:highlight w:val="none"/>
        </w:rPr>
        <w:t>月</w:t>
      </w:r>
    </w:p>
    <w:p w14:paraId="373B85B8">
      <w:pPr>
        <w:pStyle w:val="25"/>
        <w:spacing w:before="120" w:after="120" w:line="360" w:lineRule="auto"/>
        <w:jc w:val="center"/>
        <w:rPr>
          <w:rFonts w:hAnsi="宋体" w:cs="宋体"/>
          <w:color w:val="auto"/>
          <w:highlight w:val="none"/>
        </w:rPr>
      </w:pPr>
    </w:p>
    <w:p w14:paraId="659E77FB">
      <w:pPr>
        <w:pStyle w:val="25"/>
        <w:spacing w:before="120" w:after="120" w:line="360" w:lineRule="auto"/>
        <w:jc w:val="center"/>
        <w:rPr>
          <w:rFonts w:hAnsi="宋体" w:cs="宋体"/>
          <w:color w:val="auto"/>
          <w:highlight w:val="none"/>
        </w:rPr>
      </w:pPr>
      <w:r>
        <w:rPr>
          <w:rFonts w:hint="eastAsia" w:hAnsi="宋体" w:cs="宋体"/>
          <w:color w:val="auto"/>
          <w:highlight w:val="none"/>
        </w:rPr>
        <w:br w:type="page"/>
      </w:r>
    </w:p>
    <w:p w14:paraId="7ECC9026">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目  录</w:t>
      </w:r>
    </w:p>
    <w:p w14:paraId="3AFFEA68">
      <w:pPr>
        <w:spacing w:line="400" w:lineRule="exact"/>
        <w:jc w:val="center"/>
        <w:rPr>
          <w:rFonts w:ascii="宋体" w:hAnsi="宋体" w:cs="宋体"/>
          <w:b/>
          <w:color w:val="auto"/>
          <w:sz w:val="44"/>
          <w:szCs w:val="44"/>
          <w:highlight w:val="none"/>
        </w:rPr>
      </w:pPr>
    </w:p>
    <w:p w14:paraId="62D02759">
      <w:pPr>
        <w:pStyle w:val="33"/>
        <w:tabs>
          <w:tab w:val="right" w:leader="dot" w:pos="8730"/>
          <w:tab w:val="clear" w:pos="8398"/>
        </w:tabs>
        <w:rPr>
          <w:rFonts w:cs="宋体"/>
          <w:color w:val="auto"/>
          <w:highlight w:val="none"/>
        </w:rPr>
      </w:pPr>
      <w:r>
        <w:rPr>
          <w:rFonts w:hint="eastAsia" w:cs="宋体"/>
          <w:b w:val="0"/>
          <w:color w:val="auto"/>
          <w:highlight w:val="none"/>
        </w:rPr>
        <w:fldChar w:fldCharType="begin"/>
      </w:r>
      <w:r>
        <w:rPr>
          <w:rFonts w:hint="eastAsia" w:cs="宋体"/>
          <w:b w:val="0"/>
          <w:color w:val="auto"/>
          <w:highlight w:val="none"/>
        </w:rPr>
        <w:instrText xml:space="preserve"> TOC \o "1-2" \h \z \u </w:instrText>
      </w:r>
      <w:r>
        <w:rPr>
          <w:rFonts w:hint="eastAsia" w:cs="宋体"/>
          <w:b w:val="0"/>
          <w:color w:val="auto"/>
          <w:highlight w:val="none"/>
        </w:rPr>
        <w:fldChar w:fldCharType="separate"/>
      </w:r>
      <w:r>
        <w:rPr>
          <w:color w:val="auto"/>
          <w:highlight w:val="none"/>
        </w:rPr>
        <w:fldChar w:fldCharType="begin"/>
      </w:r>
      <w:r>
        <w:rPr>
          <w:color w:val="auto"/>
          <w:highlight w:val="none"/>
        </w:rPr>
        <w:instrText xml:space="preserve"> HYPERLINK \l "_Toc26956" </w:instrText>
      </w:r>
      <w:r>
        <w:rPr>
          <w:color w:val="auto"/>
          <w:highlight w:val="none"/>
        </w:rPr>
        <w:fldChar w:fldCharType="separate"/>
      </w:r>
      <w:r>
        <w:rPr>
          <w:rFonts w:hint="eastAsia" w:cs="宋体"/>
          <w:color w:val="auto"/>
          <w:highlight w:val="none"/>
        </w:rPr>
        <w:t>第一章  招标公告</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_Toc26956 \h </w:instrText>
      </w:r>
      <w:r>
        <w:rPr>
          <w:rFonts w:hint="eastAsia" w:cs="宋体"/>
          <w:color w:val="auto"/>
          <w:highlight w:val="none"/>
        </w:rPr>
        <w:fldChar w:fldCharType="separate"/>
      </w:r>
      <w:r>
        <w:rPr>
          <w:rFonts w:hint="eastAsia" w:cs="宋体"/>
          <w:color w:val="auto"/>
          <w:highlight w:val="none"/>
        </w:rPr>
        <w:t>2</w:t>
      </w:r>
      <w:r>
        <w:rPr>
          <w:rFonts w:hint="eastAsia" w:cs="宋体"/>
          <w:color w:val="auto"/>
          <w:highlight w:val="none"/>
        </w:rPr>
        <w:fldChar w:fldCharType="end"/>
      </w:r>
      <w:r>
        <w:rPr>
          <w:rFonts w:hint="eastAsia" w:cs="宋体"/>
          <w:color w:val="auto"/>
          <w:highlight w:val="none"/>
        </w:rPr>
        <w:fldChar w:fldCharType="end"/>
      </w:r>
    </w:p>
    <w:p w14:paraId="4362D4B5">
      <w:pPr>
        <w:pStyle w:val="33"/>
        <w:tabs>
          <w:tab w:val="right" w:leader="dot" w:pos="8730"/>
          <w:tab w:val="clear" w:pos="8398"/>
        </w:tabs>
        <w:ind w:firstLine="241"/>
        <w:rPr>
          <w:rFonts w:cs="宋体"/>
          <w:color w:val="auto"/>
          <w:highlight w:val="none"/>
        </w:rPr>
      </w:pPr>
      <w:r>
        <w:rPr>
          <w:color w:val="auto"/>
          <w:highlight w:val="none"/>
        </w:rPr>
        <w:fldChar w:fldCharType="begin"/>
      </w:r>
      <w:r>
        <w:rPr>
          <w:color w:val="auto"/>
          <w:highlight w:val="none"/>
        </w:rPr>
        <w:instrText xml:space="preserve"> HYPERLINK \l "_Toc27979" </w:instrText>
      </w:r>
      <w:r>
        <w:rPr>
          <w:color w:val="auto"/>
          <w:highlight w:val="none"/>
        </w:rPr>
        <w:fldChar w:fldCharType="separate"/>
      </w:r>
      <w:r>
        <w:rPr>
          <w:rFonts w:hint="eastAsia" w:cs="宋体"/>
          <w:color w:val="auto"/>
          <w:highlight w:val="none"/>
        </w:rPr>
        <w:t>第二章  采购需求</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_Toc27979 \h </w:instrText>
      </w:r>
      <w:r>
        <w:rPr>
          <w:rFonts w:hint="eastAsia" w:cs="宋体"/>
          <w:color w:val="auto"/>
          <w:highlight w:val="none"/>
        </w:rPr>
        <w:fldChar w:fldCharType="separate"/>
      </w:r>
      <w:r>
        <w:rPr>
          <w:rFonts w:hint="eastAsia" w:cs="宋体"/>
          <w:color w:val="auto"/>
          <w:highlight w:val="none"/>
        </w:rPr>
        <w:t>6</w:t>
      </w:r>
      <w:r>
        <w:rPr>
          <w:rFonts w:hint="eastAsia" w:cs="宋体"/>
          <w:color w:val="auto"/>
          <w:highlight w:val="none"/>
        </w:rPr>
        <w:fldChar w:fldCharType="end"/>
      </w:r>
      <w:r>
        <w:rPr>
          <w:rFonts w:hint="eastAsia" w:cs="宋体"/>
          <w:color w:val="auto"/>
          <w:highlight w:val="none"/>
        </w:rPr>
        <w:fldChar w:fldCharType="end"/>
      </w:r>
    </w:p>
    <w:p w14:paraId="03167A93">
      <w:pPr>
        <w:pStyle w:val="33"/>
        <w:tabs>
          <w:tab w:val="right" w:leader="dot" w:pos="8730"/>
          <w:tab w:val="clear" w:pos="8398"/>
        </w:tabs>
        <w:ind w:firstLine="241"/>
        <w:rPr>
          <w:rFonts w:cs="宋体"/>
          <w:color w:val="auto"/>
          <w:highlight w:val="none"/>
        </w:rPr>
      </w:pPr>
      <w:r>
        <w:rPr>
          <w:color w:val="auto"/>
          <w:highlight w:val="none"/>
        </w:rPr>
        <w:fldChar w:fldCharType="begin"/>
      </w:r>
      <w:r>
        <w:rPr>
          <w:color w:val="auto"/>
          <w:highlight w:val="none"/>
        </w:rPr>
        <w:instrText xml:space="preserve"> HYPERLINK \l "_Toc25688" </w:instrText>
      </w:r>
      <w:r>
        <w:rPr>
          <w:color w:val="auto"/>
          <w:highlight w:val="none"/>
        </w:rPr>
        <w:fldChar w:fldCharType="separate"/>
      </w:r>
      <w:r>
        <w:rPr>
          <w:rFonts w:hint="eastAsia" w:cs="宋体"/>
          <w:color w:val="auto"/>
          <w:highlight w:val="none"/>
        </w:rPr>
        <w:t>第三章  投标人须知</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_Toc25688 \h </w:instrText>
      </w:r>
      <w:r>
        <w:rPr>
          <w:rFonts w:hint="eastAsia" w:cs="宋体"/>
          <w:color w:val="auto"/>
          <w:highlight w:val="none"/>
        </w:rPr>
        <w:fldChar w:fldCharType="separate"/>
      </w:r>
      <w:r>
        <w:rPr>
          <w:rFonts w:hint="eastAsia" w:cs="宋体"/>
          <w:color w:val="auto"/>
          <w:highlight w:val="none"/>
        </w:rPr>
        <w:t>27</w:t>
      </w:r>
      <w:r>
        <w:rPr>
          <w:rFonts w:hint="eastAsia" w:cs="宋体"/>
          <w:color w:val="auto"/>
          <w:highlight w:val="none"/>
        </w:rPr>
        <w:fldChar w:fldCharType="end"/>
      </w:r>
      <w:r>
        <w:rPr>
          <w:rFonts w:hint="eastAsia" w:cs="宋体"/>
          <w:color w:val="auto"/>
          <w:highlight w:val="none"/>
        </w:rPr>
        <w:fldChar w:fldCharType="end"/>
      </w:r>
    </w:p>
    <w:p w14:paraId="4E661AC2">
      <w:pPr>
        <w:pStyle w:val="33"/>
        <w:tabs>
          <w:tab w:val="right" w:leader="dot" w:pos="8730"/>
          <w:tab w:val="clear" w:pos="8398"/>
        </w:tabs>
        <w:ind w:firstLine="241"/>
        <w:rPr>
          <w:rFonts w:cs="宋体"/>
          <w:color w:val="auto"/>
          <w:highlight w:val="none"/>
        </w:rPr>
      </w:pPr>
      <w:r>
        <w:rPr>
          <w:color w:val="auto"/>
          <w:highlight w:val="none"/>
        </w:rPr>
        <w:fldChar w:fldCharType="begin"/>
      </w:r>
      <w:r>
        <w:rPr>
          <w:color w:val="auto"/>
          <w:highlight w:val="none"/>
        </w:rPr>
        <w:instrText xml:space="preserve"> HYPERLINK \l "_Toc15687" </w:instrText>
      </w:r>
      <w:r>
        <w:rPr>
          <w:color w:val="auto"/>
          <w:highlight w:val="none"/>
        </w:rPr>
        <w:fldChar w:fldCharType="separate"/>
      </w:r>
      <w:r>
        <w:rPr>
          <w:rFonts w:hint="eastAsia" w:cs="宋体"/>
          <w:color w:val="auto"/>
          <w:highlight w:val="none"/>
        </w:rPr>
        <w:t>第四章  评标方法及评标标准</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_Toc15687 \h </w:instrText>
      </w:r>
      <w:r>
        <w:rPr>
          <w:rFonts w:hint="eastAsia" w:cs="宋体"/>
          <w:color w:val="auto"/>
          <w:highlight w:val="none"/>
        </w:rPr>
        <w:fldChar w:fldCharType="separate"/>
      </w:r>
      <w:r>
        <w:rPr>
          <w:rFonts w:hint="eastAsia" w:cs="宋体"/>
          <w:color w:val="auto"/>
          <w:highlight w:val="none"/>
        </w:rPr>
        <w:t>51</w:t>
      </w:r>
      <w:r>
        <w:rPr>
          <w:rFonts w:hint="eastAsia" w:cs="宋体"/>
          <w:color w:val="auto"/>
          <w:highlight w:val="none"/>
        </w:rPr>
        <w:fldChar w:fldCharType="end"/>
      </w:r>
      <w:r>
        <w:rPr>
          <w:rFonts w:hint="eastAsia" w:cs="宋体"/>
          <w:color w:val="auto"/>
          <w:highlight w:val="none"/>
        </w:rPr>
        <w:fldChar w:fldCharType="end"/>
      </w:r>
    </w:p>
    <w:p w14:paraId="6B851D06">
      <w:pPr>
        <w:pStyle w:val="33"/>
        <w:tabs>
          <w:tab w:val="right" w:leader="dot" w:pos="8730"/>
          <w:tab w:val="clear" w:pos="8398"/>
        </w:tabs>
        <w:ind w:firstLine="241"/>
        <w:rPr>
          <w:rFonts w:cs="宋体"/>
          <w:color w:val="auto"/>
          <w:highlight w:val="none"/>
        </w:rPr>
      </w:pPr>
      <w:r>
        <w:rPr>
          <w:color w:val="auto"/>
          <w:highlight w:val="none"/>
        </w:rPr>
        <w:fldChar w:fldCharType="begin"/>
      </w:r>
      <w:r>
        <w:rPr>
          <w:color w:val="auto"/>
          <w:highlight w:val="none"/>
        </w:rPr>
        <w:instrText xml:space="preserve"> HYPERLINK \l "_Toc25250" </w:instrText>
      </w:r>
      <w:r>
        <w:rPr>
          <w:color w:val="auto"/>
          <w:highlight w:val="none"/>
        </w:rPr>
        <w:fldChar w:fldCharType="separate"/>
      </w:r>
      <w:r>
        <w:rPr>
          <w:rFonts w:hint="eastAsia" w:cs="宋体"/>
          <w:color w:val="auto"/>
          <w:highlight w:val="none"/>
        </w:rPr>
        <w:t>第五章  拟签订的合同文本</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_Toc25250 \h </w:instrText>
      </w:r>
      <w:r>
        <w:rPr>
          <w:rFonts w:hint="eastAsia" w:cs="宋体"/>
          <w:color w:val="auto"/>
          <w:highlight w:val="none"/>
        </w:rPr>
        <w:fldChar w:fldCharType="separate"/>
      </w:r>
      <w:r>
        <w:rPr>
          <w:rFonts w:hint="eastAsia" w:cs="宋体"/>
          <w:color w:val="auto"/>
          <w:highlight w:val="none"/>
        </w:rPr>
        <w:t>59</w:t>
      </w:r>
      <w:r>
        <w:rPr>
          <w:rFonts w:hint="eastAsia" w:cs="宋体"/>
          <w:color w:val="auto"/>
          <w:highlight w:val="none"/>
        </w:rPr>
        <w:fldChar w:fldCharType="end"/>
      </w:r>
      <w:r>
        <w:rPr>
          <w:rFonts w:hint="eastAsia" w:cs="宋体"/>
          <w:color w:val="auto"/>
          <w:highlight w:val="none"/>
        </w:rPr>
        <w:fldChar w:fldCharType="end"/>
      </w:r>
    </w:p>
    <w:p w14:paraId="52260549">
      <w:pPr>
        <w:pStyle w:val="33"/>
        <w:tabs>
          <w:tab w:val="right" w:leader="dot" w:pos="8730"/>
          <w:tab w:val="clear" w:pos="8398"/>
        </w:tabs>
        <w:ind w:firstLine="241"/>
        <w:rPr>
          <w:rFonts w:cs="宋体"/>
          <w:color w:val="auto"/>
          <w:highlight w:val="none"/>
        </w:rPr>
      </w:pPr>
      <w:r>
        <w:rPr>
          <w:color w:val="auto"/>
          <w:highlight w:val="none"/>
        </w:rPr>
        <w:fldChar w:fldCharType="begin"/>
      </w:r>
      <w:r>
        <w:rPr>
          <w:color w:val="auto"/>
          <w:highlight w:val="none"/>
        </w:rPr>
        <w:instrText xml:space="preserve"> HYPERLINK \l "_Toc25289" </w:instrText>
      </w:r>
      <w:r>
        <w:rPr>
          <w:color w:val="auto"/>
          <w:highlight w:val="none"/>
        </w:rPr>
        <w:fldChar w:fldCharType="separate"/>
      </w:r>
      <w:r>
        <w:rPr>
          <w:rFonts w:hint="eastAsia" w:cs="宋体"/>
          <w:color w:val="auto"/>
          <w:highlight w:val="none"/>
        </w:rPr>
        <w:t>第六章　投标文件格式</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_Toc25289 \h </w:instrText>
      </w:r>
      <w:r>
        <w:rPr>
          <w:rFonts w:hint="eastAsia" w:cs="宋体"/>
          <w:color w:val="auto"/>
          <w:highlight w:val="none"/>
        </w:rPr>
        <w:fldChar w:fldCharType="separate"/>
      </w:r>
      <w:r>
        <w:rPr>
          <w:rFonts w:hint="eastAsia" w:cs="宋体"/>
          <w:color w:val="auto"/>
          <w:highlight w:val="none"/>
        </w:rPr>
        <w:t>65</w:t>
      </w:r>
      <w:r>
        <w:rPr>
          <w:rFonts w:hint="eastAsia" w:cs="宋体"/>
          <w:color w:val="auto"/>
          <w:highlight w:val="none"/>
        </w:rPr>
        <w:fldChar w:fldCharType="end"/>
      </w:r>
      <w:r>
        <w:rPr>
          <w:rFonts w:hint="eastAsia" w:cs="宋体"/>
          <w:color w:val="auto"/>
          <w:highlight w:val="none"/>
        </w:rPr>
        <w:fldChar w:fldCharType="end"/>
      </w:r>
    </w:p>
    <w:p w14:paraId="22DBA648">
      <w:pPr>
        <w:tabs>
          <w:tab w:val="right" w:leader="dot" w:pos="8789"/>
        </w:tabs>
        <w:snapToGrid w:val="0"/>
        <w:spacing w:line="500" w:lineRule="atLeast"/>
        <w:rPr>
          <w:rFonts w:ascii="宋体" w:hAnsi="宋体" w:cs="宋体"/>
          <w:color w:val="auto"/>
          <w:sz w:val="24"/>
          <w:highlight w:val="none"/>
        </w:rPr>
      </w:pPr>
      <w:r>
        <w:rPr>
          <w:rFonts w:hint="eastAsia" w:ascii="宋体" w:hAnsi="宋体" w:cs="宋体"/>
          <w:color w:val="auto"/>
          <w:highlight w:val="none"/>
        </w:rPr>
        <w:fldChar w:fldCharType="end"/>
      </w:r>
    </w:p>
    <w:p w14:paraId="68B0FC51">
      <w:pPr>
        <w:spacing w:beforeLines="50" w:line="480" w:lineRule="exact"/>
        <w:rPr>
          <w:rFonts w:ascii="宋体" w:hAnsi="宋体" w:cs="宋体"/>
          <w:color w:val="auto"/>
          <w:sz w:val="30"/>
          <w:highlight w:val="none"/>
        </w:rPr>
      </w:pPr>
    </w:p>
    <w:p w14:paraId="49E42E7F">
      <w:pPr>
        <w:rPr>
          <w:rFonts w:ascii="宋体" w:hAnsi="宋体" w:cs="宋体"/>
          <w:color w:val="auto"/>
          <w:highlight w:val="none"/>
        </w:rPr>
      </w:pPr>
    </w:p>
    <w:p w14:paraId="1811AD71">
      <w:pPr>
        <w:spacing w:beforeLines="50" w:line="480" w:lineRule="exact"/>
        <w:rPr>
          <w:rFonts w:ascii="宋体" w:hAnsi="宋体" w:cs="宋体"/>
          <w:color w:val="auto"/>
          <w:sz w:val="30"/>
          <w:highlight w:val="none"/>
        </w:rPr>
      </w:pPr>
    </w:p>
    <w:p w14:paraId="464AB340">
      <w:pPr>
        <w:spacing w:beforeLines="50" w:line="480" w:lineRule="exact"/>
        <w:rPr>
          <w:rFonts w:ascii="宋体" w:hAnsi="宋体" w:cs="宋体"/>
          <w:color w:val="auto"/>
          <w:sz w:val="30"/>
          <w:highlight w:val="none"/>
        </w:rPr>
      </w:pPr>
    </w:p>
    <w:p w14:paraId="3430FDD0">
      <w:pPr>
        <w:pStyle w:val="16"/>
        <w:rPr>
          <w:rFonts w:ascii="宋体" w:hAnsi="宋体" w:cs="宋体"/>
          <w:b/>
          <w:bCs/>
          <w:color w:val="auto"/>
          <w:highlight w:val="none"/>
        </w:rPr>
      </w:pPr>
      <w:bookmarkStart w:id="0" w:name="_Toc254970489"/>
      <w:bookmarkStart w:id="1" w:name="_Toc254970630"/>
    </w:p>
    <w:p w14:paraId="059F165A">
      <w:pPr>
        <w:pStyle w:val="2"/>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color w:val="auto"/>
          <w:highlight w:val="none"/>
        </w:rPr>
      </w:pPr>
      <w:r>
        <w:rPr>
          <w:rFonts w:hint="eastAsia" w:ascii="宋体" w:hAnsi="宋体" w:cs="宋体"/>
          <w:b w:val="0"/>
          <w:bCs w:val="0"/>
          <w:color w:val="auto"/>
          <w:highlight w:val="none"/>
        </w:rPr>
        <w:t xml:space="preserve"> </w:t>
      </w:r>
      <w:r>
        <w:rPr>
          <w:rFonts w:hint="eastAsia" w:ascii="宋体" w:hAnsi="宋体" w:cs="宋体"/>
          <w:b w:val="0"/>
          <w:bCs w:val="0"/>
          <w:color w:val="auto"/>
          <w:highlight w:val="none"/>
        </w:rPr>
        <w:br w:type="page"/>
      </w:r>
      <w:bookmarkStart w:id="2" w:name="_Toc26956"/>
      <w:r>
        <w:rPr>
          <w:rFonts w:hint="eastAsia" w:ascii="宋体" w:hAnsi="宋体" w:cs="宋体"/>
          <w:color w:val="auto"/>
          <w:highlight w:val="none"/>
        </w:rPr>
        <w:t>第一章</w:t>
      </w:r>
      <w:bookmarkEnd w:id="0"/>
      <w:bookmarkEnd w:id="1"/>
      <w:bookmarkStart w:id="3" w:name="_Toc35393789"/>
      <w:bookmarkStart w:id="4" w:name="_Toc28359001"/>
      <w:r>
        <w:rPr>
          <w:rFonts w:hint="eastAsia" w:ascii="宋体" w:hAnsi="宋体" w:cs="宋体"/>
          <w:color w:val="auto"/>
          <w:highlight w:val="none"/>
        </w:rPr>
        <w:t xml:space="preserve"> 招标公告</w:t>
      </w:r>
      <w:bookmarkEnd w:id="2"/>
      <w:bookmarkEnd w:id="3"/>
      <w:bookmarkEnd w:id="4"/>
    </w:p>
    <w:p w14:paraId="0E45EEDC">
      <w:pPr>
        <w:spacing w:line="360" w:lineRule="auto"/>
        <w:rPr>
          <w:rFonts w:ascii="宋体" w:hAnsi="宋体" w:cs="宋体"/>
          <w:color w:val="auto"/>
          <w:szCs w:val="21"/>
          <w:highlight w:val="none"/>
        </w:rPr>
      </w:pPr>
    </w:p>
    <w:p w14:paraId="2E16A5E9">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14:paraId="5FDE1AFB">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lang w:eastAsia="zh-CN"/>
        </w:rPr>
        <w:t>苍梧县人民医院2024年下半年第一批医疗设备采购</w:t>
      </w:r>
      <w:r>
        <w:rPr>
          <w:rFonts w:hint="eastAsia" w:ascii="宋体" w:hAnsi="宋体" w:cs="宋体"/>
          <w:color w:val="auto"/>
          <w:szCs w:val="21"/>
          <w:highlight w:val="none"/>
        </w:rPr>
        <w:t>招标项目的潜在投标人应在广西政府采购云平台（https://www.gcy.zfcg.gxzf.gov.cn/）获取（下载）招标文件，并于</w:t>
      </w:r>
      <w:r>
        <w:rPr>
          <w:rFonts w:hint="eastAsia" w:ascii="宋体" w:hAnsi="宋体" w:cs="宋体"/>
          <w:color w:val="auto"/>
          <w:szCs w:val="21"/>
          <w:highlight w:val="none"/>
          <w:u w:val="single"/>
        </w:rPr>
        <w:t>2024</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12</w:t>
      </w:r>
      <w:r>
        <w:rPr>
          <w:rFonts w:hint="eastAsia" w:ascii="宋体" w:hAnsi="宋体" w:cs="宋体"/>
          <w:bCs/>
          <w:color w:val="auto"/>
          <w:szCs w:val="21"/>
          <w:highlight w:val="none"/>
          <w:u w:val="single"/>
        </w:rPr>
        <w:t>月   日09时30分（</w:t>
      </w:r>
      <w:r>
        <w:rPr>
          <w:rFonts w:hint="eastAsia" w:ascii="宋体" w:hAnsi="宋体" w:cs="宋体"/>
          <w:bCs/>
          <w:color w:val="auto"/>
          <w:szCs w:val="21"/>
          <w:highlight w:val="none"/>
        </w:rPr>
        <w:t>北京时间）前按要求递交（上传）投标文件</w:t>
      </w:r>
      <w:r>
        <w:rPr>
          <w:rFonts w:hint="eastAsia" w:ascii="宋体" w:hAnsi="宋体" w:cs="宋体"/>
          <w:color w:val="auto"/>
          <w:szCs w:val="21"/>
          <w:highlight w:val="none"/>
        </w:rPr>
        <w:t>。</w:t>
      </w:r>
    </w:p>
    <w:p w14:paraId="08B4449D">
      <w:pPr>
        <w:spacing w:line="360" w:lineRule="auto"/>
        <w:rPr>
          <w:rFonts w:ascii="宋体" w:hAnsi="宋体" w:cs="宋体"/>
          <w:b/>
          <w:bCs/>
          <w:color w:val="auto"/>
          <w:sz w:val="24"/>
          <w:highlight w:val="none"/>
        </w:rPr>
      </w:pPr>
      <w:bookmarkStart w:id="5" w:name="_Toc28359002"/>
      <w:bookmarkStart w:id="6" w:name="_Toc35393621"/>
      <w:bookmarkStart w:id="7" w:name="_Toc35393790"/>
      <w:bookmarkStart w:id="8" w:name="_Toc28359079"/>
      <w:bookmarkStart w:id="9" w:name="_Hlk24379207"/>
      <w:r>
        <w:rPr>
          <w:rFonts w:hint="eastAsia" w:ascii="宋体" w:hAnsi="宋体" w:cs="宋体"/>
          <w:b/>
          <w:bCs/>
          <w:color w:val="auto"/>
          <w:sz w:val="24"/>
          <w:highlight w:val="none"/>
        </w:rPr>
        <w:t>一、项目基本情况</w:t>
      </w:r>
      <w:bookmarkEnd w:id="5"/>
      <w:bookmarkEnd w:id="6"/>
      <w:bookmarkEnd w:id="7"/>
      <w:bookmarkEnd w:id="8"/>
    </w:p>
    <w:bookmarkEnd w:id="9"/>
    <w:p w14:paraId="2C0A8D2C">
      <w:pPr>
        <w:spacing w:line="360" w:lineRule="auto"/>
        <w:ind w:firstLine="420" w:firstLineChars="200"/>
        <w:rPr>
          <w:rFonts w:hint="eastAsia" w:ascii="宋体" w:hAnsi="宋体" w:eastAsia="宋体" w:cs="宋体"/>
          <w:color w:val="auto"/>
          <w:szCs w:val="21"/>
          <w:highlight w:val="none"/>
          <w:u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u w:val="none"/>
          <w:lang w:val="en-US" w:eastAsia="zh-CN"/>
        </w:rPr>
        <w:t>WZZC2024-G1-210377-GXHC</w:t>
      </w:r>
    </w:p>
    <w:p w14:paraId="519E7876">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苍梧县人民医院2024年下半年第一批医疗设备采购</w:t>
      </w:r>
    </w:p>
    <w:p w14:paraId="2B1FB589">
      <w:pPr>
        <w:spacing w:line="360" w:lineRule="auto"/>
        <w:ind w:firstLine="420" w:firstLineChars="2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总预算金额：</w:t>
      </w:r>
      <w:r>
        <w:rPr>
          <w:rFonts w:hint="eastAsia" w:ascii="宋体" w:hAnsi="宋体" w:cs="宋体"/>
          <w:color w:val="auto"/>
          <w:szCs w:val="21"/>
          <w:highlight w:val="none"/>
          <w:u w:val="single"/>
          <w:lang w:eastAsia="zh-CN"/>
        </w:rPr>
        <w:t>505万元</w:t>
      </w:r>
    </w:p>
    <w:p w14:paraId="7E6781DF">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总最高限价：</w:t>
      </w:r>
      <w:r>
        <w:rPr>
          <w:rFonts w:hint="eastAsia" w:ascii="宋体" w:hAnsi="宋体" w:cs="宋体"/>
          <w:color w:val="auto"/>
          <w:szCs w:val="21"/>
          <w:highlight w:val="none"/>
          <w:u w:val="single"/>
          <w:lang w:eastAsia="zh-CN"/>
        </w:rPr>
        <w:t>505万元</w:t>
      </w:r>
    </w:p>
    <w:p w14:paraId="662A63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采购需求： </w:t>
      </w:r>
      <w:r>
        <w:rPr>
          <w:rFonts w:hint="eastAsia" w:ascii="宋体" w:hAnsi="宋体" w:cs="宋体"/>
          <w:color w:val="auto"/>
          <w:szCs w:val="21"/>
          <w:highlight w:val="none"/>
          <w:lang w:eastAsia="zh-CN"/>
        </w:rPr>
        <w:t>苍梧县人民医院2024年下半年第一批医疗设备采购</w:t>
      </w:r>
      <w:r>
        <w:rPr>
          <w:rFonts w:hint="eastAsia" w:ascii="宋体" w:hAnsi="宋体" w:cs="宋体"/>
          <w:color w:val="auto"/>
          <w:szCs w:val="21"/>
          <w:highlight w:val="none"/>
        </w:rPr>
        <w:t>一批（详细见招标文件）</w:t>
      </w:r>
    </w:p>
    <w:p w14:paraId="08A8B224">
      <w:pPr>
        <w:spacing w:line="42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标项一</w:t>
      </w:r>
    </w:p>
    <w:p w14:paraId="638F19DF">
      <w:pPr>
        <w:spacing w:line="42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标项名称:</w:t>
      </w:r>
      <w:r>
        <w:rPr>
          <w:rFonts w:hint="eastAsia"/>
          <w:color w:val="auto"/>
          <w:highlight w:val="none"/>
        </w:rPr>
        <w:t xml:space="preserve"> </w:t>
      </w:r>
      <w:r>
        <w:rPr>
          <w:rFonts w:hint="eastAsia" w:ascii="宋体" w:hAnsi="宋体" w:cs="宋体"/>
          <w:color w:val="auto"/>
          <w:szCs w:val="21"/>
          <w:highlight w:val="none"/>
        </w:rPr>
        <w:t>苍梧县人民医院手术室设备</w:t>
      </w:r>
      <w:r>
        <w:rPr>
          <w:rFonts w:hint="eastAsia" w:ascii="宋体" w:hAnsi="宋体" w:cs="宋体"/>
          <w:color w:val="auto"/>
          <w:szCs w:val="21"/>
          <w:highlight w:val="none"/>
          <w:lang w:eastAsia="zh-CN"/>
        </w:rPr>
        <w:t>采购</w:t>
      </w:r>
    </w:p>
    <w:p w14:paraId="50391611">
      <w:pPr>
        <w:spacing w:line="42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数量：</w:t>
      </w:r>
      <w:r>
        <w:rPr>
          <w:rFonts w:hint="eastAsia" w:ascii="宋体" w:hAnsi="宋体" w:cs="宋体"/>
          <w:color w:val="auto"/>
          <w:szCs w:val="21"/>
          <w:highlight w:val="none"/>
          <w:lang w:val="en-US" w:eastAsia="zh-CN"/>
        </w:rPr>
        <w:t>1</w:t>
      </w:r>
    </w:p>
    <w:p w14:paraId="56FBC984">
      <w:pPr>
        <w:spacing w:line="42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预算金额:</w:t>
      </w:r>
      <w:r>
        <w:rPr>
          <w:color w:val="auto"/>
          <w:highlight w:val="none"/>
        </w:rPr>
        <w:t xml:space="preserve"> </w:t>
      </w:r>
      <w:r>
        <w:rPr>
          <w:rFonts w:hint="eastAsia" w:ascii="宋体" w:hAnsi="宋体" w:cs="宋体"/>
          <w:color w:val="auto"/>
          <w:szCs w:val="21"/>
          <w:highlight w:val="none"/>
          <w:lang w:val="en-US" w:eastAsia="zh-CN"/>
        </w:rPr>
        <w:t>214万元</w:t>
      </w:r>
    </w:p>
    <w:p w14:paraId="36A7F288">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简要规格描述或项目基本概况介绍、用途：供货商1家。如需进一步了解详细内容，详见招标文件。</w:t>
      </w:r>
    </w:p>
    <w:p w14:paraId="65D010C7">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最高限价（如有）：</w:t>
      </w:r>
      <w:r>
        <w:rPr>
          <w:rFonts w:hint="eastAsia" w:ascii="宋体" w:hAnsi="宋体" w:cs="宋体"/>
          <w:color w:val="auto"/>
          <w:szCs w:val="21"/>
          <w:highlight w:val="none"/>
          <w:lang w:val="en-US" w:eastAsia="zh-CN"/>
        </w:rPr>
        <w:t>214万元</w:t>
      </w:r>
    </w:p>
    <w:p w14:paraId="1364E4E6">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合同履行期限：</w:t>
      </w:r>
      <w:r>
        <w:rPr>
          <w:rFonts w:hint="eastAsia" w:ascii="宋体" w:hAnsi="宋体" w:cs="宋体"/>
          <w:color w:val="auto"/>
          <w:szCs w:val="21"/>
          <w:highlight w:val="none"/>
          <w:lang w:eastAsia="zh-CN"/>
        </w:rPr>
        <w:t>自签订合同之日起30天内完成安装、调试、培训等全部工作，并交付使用。</w:t>
      </w:r>
    </w:p>
    <w:p w14:paraId="51F75569">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本标项</w:t>
      </w:r>
      <w:r>
        <w:rPr>
          <w:rFonts w:hint="eastAsia" w:ascii="宋体" w:hAnsi="宋体" w:cs="宋体"/>
          <w:color w:val="auto"/>
          <w:szCs w:val="21"/>
          <w:highlight w:val="none"/>
          <w:lang w:eastAsia="zh-CN"/>
        </w:rPr>
        <w:t>不</w:t>
      </w:r>
      <w:r>
        <w:rPr>
          <w:rFonts w:hint="eastAsia" w:ascii="宋体" w:hAnsi="宋体" w:cs="宋体"/>
          <w:color w:val="auto"/>
          <w:szCs w:val="21"/>
          <w:highlight w:val="none"/>
        </w:rPr>
        <w:t>接受联合体投标</w:t>
      </w:r>
    </w:p>
    <w:p w14:paraId="2E11E42E">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备注：</w:t>
      </w:r>
    </w:p>
    <w:p w14:paraId="5CB44616">
      <w:pPr>
        <w:spacing w:line="42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标项二</w:t>
      </w:r>
    </w:p>
    <w:p w14:paraId="5B91BA00">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标项名称:</w:t>
      </w:r>
      <w:r>
        <w:rPr>
          <w:rFonts w:hint="eastAsia"/>
          <w:color w:val="auto"/>
          <w:highlight w:val="none"/>
        </w:rPr>
        <w:t xml:space="preserve"> </w:t>
      </w:r>
      <w:r>
        <w:rPr>
          <w:rFonts w:hint="eastAsia" w:ascii="宋体" w:hAnsi="宋体" w:cs="宋体"/>
          <w:color w:val="auto"/>
          <w:szCs w:val="21"/>
          <w:highlight w:val="none"/>
        </w:rPr>
        <w:t>苍梧县人民医院体外循环设备</w:t>
      </w:r>
      <w:r>
        <w:rPr>
          <w:rFonts w:hint="eastAsia" w:ascii="宋体" w:hAnsi="宋体" w:cs="宋体"/>
          <w:color w:val="auto"/>
          <w:szCs w:val="21"/>
          <w:highlight w:val="none"/>
          <w:lang w:eastAsia="zh-CN"/>
        </w:rPr>
        <w:t>采购</w:t>
      </w:r>
    </w:p>
    <w:p w14:paraId="2610C274">
      <w:pPr>
        <w:spacing w:line="42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数量：</w:t>
      </w:r>
      <w:r>
        <w:rPr>
          <w:rFonts w:hint="eastAsia" w:ascii="宋体" w:hAnsi="宋体" w:cs="宋体"/>
          <w:color w:val="auto"/>
          <w:szCs w:val="21"/>
          <w:highlight w:val="none"/>
          <w:lang w:val="en-US" w:eastAsia="zh-CN"/>
        </w:rPr>
        <w:t>1</w:t>
      </w:r>
    </w:p>
    <w:p w14:paraId="6C6088CD">
      <w:pPr>
        <w:spacing w:line="42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rPr>
        <w:t>预算金额:</w:t>
      </w:r>
      <w:r>
        <w:rPr>
          <w:color w:val="auto"/>
          <w:highlight w:val="none"/>
        </w:rPr>
        <w:t xml:space="preserve"> </w:t>
      </w:r>
      <w:r>
        <w:rPr>
          <w:rFonts w:hint="eastAsia" w:ascii="宋体" w:hAnsi="宋体" w:cs="宋体"/>
          <w:color w:val="auto"/>
          <w:szCs w:val="21"/>
          <w:highlight w:val="none"/>
          <w:lang w:val="en-US" w:eastAsia="zh-CN"/>
        </w:rPr>
        <w:t>131.6万元</w:t>
      </w:r>
    </w:p>
    <w:p w14:paraId="271F931E">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简要规格描述或项目基本概况介绍、用途：供货商1家。如需进一步了解详细内容，详见招标文件。</w:t>
      </w:r>
    </w:p>
    <w:p w14:paraId="1EB68DCF">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最高限价（如有）：</w:t>
      </w:r>
      <w:r>
        <w:rPr>
          <w:rFonts w:hint="eastAsia" w:ascii="宋体" w:hAnsi="宋体" w:cs="宋体"/>
          <w:color w:val="auto"/>
          <w:szCs w:val="21"/>
          <w:highlight w:val="none"/>
          <w:lang w:val="en-US" w:eastAsia="zh-CN"/>
        </w:rPr>
        <w:t>131.6万元</w:t>
      </w:r>
    </w:p>
    <w:p w14:paraId="58D24AF2">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合同履行期限：</w:t>
      </w:r>
      <w:r>
        <w:rPr>
          <w:rFonts w:hint="eastAsia" w:ascii="宋体" w:hAnsi="宋体" w:cs="宋体"/>
          <w:color w:val="auto"/>
          <w:szCs w:val="21"/>
          <w:highlight w:val="none"/>
          <w:lang w:eastAsia="zh-CN"/>
        </w:rPr>
        <w:t>自签订合同之日起30天内完成安装、调试、培训等全部工作，并交付使用。</w:t>
      </w:r>
      <w:r>
        <w:rPr>
          <w:rFonts w:hint="eastAsia" w:ascii="宋体" w:hAnsi="宋体" w:cs="宋体"/>
          <w:color w:val="auto"/>
          <w:szCs w:val="21"/>
          <w:highlight w:val="none"/>
        </w:rPr>
        <w:t>。</w:t>
      </w:r>
    </w:p>
    <w:p w14:paraId="2311FDF6">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本标项</w:t>
      </w:r>
      <w:r>
        <w:rPr>
          <w:rFonts w:hint="eastAsia" w:ascii="宋体" w:hAnsi="宋体" w:cs="宋体"/>
          <w:color w:val="auto"/>
          <w:szCs w:val="21"/>
          <w:highlight w:val="none"/>
          <w:lang w:eastAsia="zh-CN"/>
        </w:rPr>
        <w:t>不</w:t>
      </w:r>
      <w:r>
        <w:rPr>
          <w:rFonts w:hint="eastAsia" w:ascii="宋体" w:hAnsi="宋体" w:cs="宋体"/>
          <w:color w:val="auto"/>
          <w:szCs w:val="21"/>
          <w:highlight w:val="none"/>
        </w:rPr>
        <w:t>接受联合体投标</w:t>
      </w:r>
    </w:p>
    <w:p w14:paraId="01793C4D">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备注：</w:t>
      </w:r>
    </w:p>
    <w:p w14:paraId="79504AC3">
      <w:pPr>
        <w:spacing w:line="42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标项三</w:t>
      </w:r>
    </w:p>
    <w:p w14:paraId="586D1A2A">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标项名称:</w:t>
      </w:r>
      <w:r>
        <w:rPr>
          <w:rFonts w:hint="eastAsia"/>
          <w:color w:val="auto"/>
          <w:highlight w:val="none"/>
        </w:rPr>
        <w:t xml:space="preserve"> </w:t>
      </w:r>
      <w:r>
        <w:rPr>
          <w:rFonts w:hint="eastAsia" w:ascii="宋体" w:hAnsi="宋体" w:cs="宋体"/>
          <w:color w:val="auto"/>
          <w:szCs w:val="21"/>
          <w:highlight w:val="none"/>
        </w:rPr>
        <w:t xml:space="preserve"> 苍梧县人民医院医用内窥镜</w:t>
      </w:r>
      <w:r>
        <w:rPr>
          <w:rFonts w:hint="eastAsia" w:ascii="宋体" w:hAnsi="宋体" w:cs="宋体"/>
          <w:color w:val="auto"/>
          <w:szCs w:val="21"/>
          <w:highlight w:val="none"/>
          <w:lang w:eastAsia="zh-CN"/>
        </w:rPr>
        <w:t>设备采购</w:t>
      </w:r>
    </w:p>
    <w:p w14:paraId="4F0C34E7">
      <w:pPr>
        <w:spacing w:line="42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数量：</w:t>
      </w:r>
      <w:r>
        <w:rPr>
          <w:rFonts w:hint="eastAsia" w:ascii="宋体" w:hAnsi="宋体" w:cs="宋体"/>
          <w:color w:val="auto"/>
          <w:szCs w:val="21"/>
          <w:highlight w:val="none"/>
          <w:lang w:val="en-US" w:eastAsia="zh-CN"/>
        </w:rPr>
        <w:t>1</w:t>
      </w:r>
    </w:p>
    <w:p w14:paraId="59791BFA">
      <w:pPr>
        <w:spacing w:line="42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预算金额:</w:t>
      </w:r>
      <w:r>
        <w:rPr>
          <w:color w:val="auto"/>
          <w:highlight w:val="none"/>
        </w:rPr>
        <w:t xml:space="preserve"> </w:t>
      </w:r>
      <w:r>
        <w:rPr>
          <w:rFonts w:hint="eastAsia" w:ascii="宋体" w:hAnsi="宋体" w:cs="宋体"/>
          <w:color w:val="auto"/>
          <w:szCs w:val="21"/>
          <w:highlight w:val="none"/>
          <w:lang w:val="en-US" w:eastAsia="zh-CN"/>
        </w:rPr>
        <w:t>111.1万元</w:t>
      </w:r>
    </w:p>
    <w:p w14:paraId="6BF30E7B">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简要规格描述或项目基本概况介绍、用途：供货商1家。如需进一步了解详细内容，详见招标文件。</w:t>
      </w:r>
    </w:p>
    <w:p w14:paraId="59D28EB3">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最高限价（如有）：</w:t>
      </w:r>
      <w:r>
        <w:rPr>
          <w:rFonts w:hint="eastAsia" w:ascii="宋体" w:hAnsi="宋体" w:cs="宋体"/>
          <w:color w:val="auto"/>
          <w:szCs w:val="21"/>
          <w:highlight w:val="none"/>
          <w:lang w:val="en-US" w:eastAsia="zh-CN"/>
        </w:rPr>
        <w:t>111.1万元</w:t>
      </w:r>
    </w:p>
    <w:p w14:paraId="25E969FD">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合同履行期限：</w:t>
      </w:r>
      <w:r>
        <w:rPr>
          <w:rFonts w:hint="eastAsia" w:ascii="宋体" w:hAnsi="宋体" w:cs="宋体"/>
          <w:color w:val="auto"/>
          <w:szCs w:val="21"/>
          <w:highlight w:val="none"/>
          <w:lang w:eastAsia="zh-CN"/>
        </w:rPr>
        <w:t>自签订合同之日起30天内完成安装、调试、培训等全部工作，并交付使用。</w:t>
      </w:r>
      <w:r>
        <w:rPr>
          <w:rFonts w:hint="eastAsia" w:ascii="宋体" w:hAnsi="宋体" w:cs="宋体"/>
          <w:color w:val="auto"/>
          <w:szCs w:val="21"/>
          <w:highlight w:val="none"/>
        </w:rPr>
        <w:t>。</w:t>
      </w:r>
    </w:p>
    <w:p w14:paraId="33E57E00">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本标项</w:t>
      </w:r>
      <w:r>
        <w:rPr>
          <w:rFonts w:hint="eastAsia" w:ascii="宋体" w:hAnsi="宋体" w:cs="宋体"/>
          <w:color w:val="auto"/>
          <w:szCs w:val="21"/>
          <w:highlight w:val="none"/>
          <w:lang w:eastAsia="zh-CN"/>
        </w:rPr>
        <w:t>不</w:t>
      </w:r>
      <w:r>
        <w:rPr>
          <w:rFonts w:hint="eastAsia" w:ascii="宋体" w:hAnsi="宋体" w:cs="宋体"/>
          <w:color w:val="auto"/>
          <w:szCs w:val="21"/>
          <w:highlight w:val="none"/>
        </w:rPr>
        <w:t>接受联合体投标</w:t>
      </w:r>
    </w:p>
    <w:p w14:paraId="44402468">
      <w:pPr>
        <w:spacing w:line="42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rPr>
        <w:t>备注：</w:t>
      </w:r>
      <w:r>
        <w:rPr>
          <w:rFonts w:hint="eastAsia" w:ascii="宋体" w:hAnsi="宋体" w:cs="宋体"/>
          <w:color w:val="auto"/>
          <w:szCs w:val="21"/>
          <w:highlight w:val="none"/>
          <w:lang w:val="en-US" w:eastAsia="zh-CN"/>
        </w:rPr>
        <w:t xml:space="preserve">   </w:t>
      </w:r>
    </w:p>
    <w:p w14:paraId="1E79DEC7">
      <w:pPr>
        <w:spacing w:line="420" w:lineRule="exact"/>
        <w:ind w:firstLine="422" w:firstLineChars="200"/>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rPr>
        <w:t>标项</w:t>
      </w:r>
      <w:r>
        <w:rPr>
          <w:rFonts w:hint="eastAsia" w:ascii="宋体" w:hAnsi="宋体" w:cs="宋体"/>
          <w:b/>
          <w:bCs/>
          <w:color w:val="auto"/>
          <w:szCs w:val="21"/>
          <w:highlight w:val="none"/>
          <w:lang w:eastAsia="zh-CN"/>
        </w:rPr>
        <w:t>四</w:t>
      </w:r>
    </w:p>
    <w:p w14:paraId="10EAA8F6">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标项名称:</w:t>
      </w:r>
      <w:r>
        <w:rPr>
          <w:rFonts w:hint="eastAsia"/>
          <w:color w:val="auto"/>
          <w:highlight w:val="none"/>
        </w:rPr>
        <w:t xml:space="preserve"> </w:t>
      </w:r>
      <w:r>
        <w:rPr>
          <w:rFonts w:hint="eastAsia" w:ascii="宋体" w:hAnsi="宋体" w:cs="宋体"/>
          <w:color w:val="auto"/>
          <w:szCs w:val="21"/>
          <w:highlight w:val="none"/>
        </w:rPr>
        <w:t xml:space="preserve"> 苍梧县人民医院医用超声波仪器及设备</w:t>
      </w:r>
      <w:r>
        <w:rPr>
          <w:rFonts w:hint="eastAsia" w:ascii="宋体" w:hAnsi="宋体" w:cs="宋体"/>
          <w:color w:val="auto"/>
          <w:szCs w:val="21"/>
          <w:highlight w:val="none"/>
          <w:lang w:eastAsia="zh-CN"/>
        </w:rPr>
        <w:t>采购</w:t>
      </w:r>
    </w:p>
    <w:p w14:paraId="06A9A6EE">
      <w:pPr>
        <w:spacing w:line="42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数量：</w:t>
      </w:r>
      <w:r>
        <w:rPr>
          <w:rFonts w:hint="eastAsia" w:ascii="宋体" w:hAnsi="宋体" w:cs="宋体"/>
          <w:color w:val="auto"/>
          <w:szCs w:val="21"/>
          <w:highlight w:val="none"/>
          <w:lang w:val="en-US" w:eastAsia="zh-CN"/>
        </w:rPr>
        <w:t>1</w:t>
      </w:r>
    </w:p>
    <w:p w14:paraId="51F53A62">
      <w:pPr>
        <w:spacing w:line="42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预算金额:</w:t>
      </w:r>
      <w:r>
        <w:rPr>
          <w:color w:val="auto"/>
          <w:highlight w:val="none"/>
        </w:rPr>
        <w:t xml:space="preserve"> </w:t>
      </w:r>
      <w:r>
        <w:rPr>
          <w:rFonts w:hint="eastAsia" w:ascii="宋体" w:hAnsi="宋体" w:cs="宋体"/>
          <w:color w:val="auto"/>
          <w:szCs w:val="21"/>
          <w:highlight w:val="none"/>
          <w:lang w:val="en-US" w:eastAsia="zh-CN"/>
        </w:rPr>
        <w:t>48.3万元</w:t>
      </w:r>
    </w:p>
    <w:p w14:paraId="61D92854">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简要规格描述或项目基本概况介绍、用途：供货商1家。如需进一步了解详细内容，详见招标文件。</w:t>
      </w:r>
    </w:p>
    <w:p w14:paraId="2791B98B">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最高限价（如有）：</w:t>
      </w:r>
      <w:r>
        <w:rPr>
          <w:rFonts w:hint="eastAsia" w:ascii="宋体" w:hAnsi="宋体" w:cs="宋体"/>
          <w:color w:val="auto"/>
          <w:szCs w:val="21"/>
          <w:highlight w:val="none"/>
          <w:lang w:val="en-US" w:eastAsia="zh-CN"/>
        </w:rPr>
        <w:t>48.3万元</w:t>
      </w:r>
    </w:p>
    <w:p w14:paraId="7294E932">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合同履行期限：</w:t>
      </w:r>
      <w:r>
        <w:rPr>
          <w:rFonts w:hint="eastAsia" w:ascii="宋体" w:hAnsi="宋体" w:cs="宋体"/>
          <w:color w:val="auto"/>
          <w:szCs w:val="21"/>
          <w:highlight w:val="none"/>
          <w:lang w:eastAsia="zh-CN"/>
        </w:rPr>
        <w:t>自签订合同之日起30天内完成安装、调试、培训等全部工作，并交付使用。</w:t>
      </w:r>
      <w:r>
        <w:rPr>
          <w:rFonts w:hint="eastAsia" w:ascii="宋体" w:hAnsi="宋体" w:cs="宋体"/>
          <w:color w:val="auto"/>
          <w:szCs w:val="21"/>
          <w:highlight w:val="none"/>
        </w:rPr>
        <w:t>。</w:t>
      </w:r>
    </w:p>
    <w:p w14:paraId="0ED4618C">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本标项</w:t>
      </w:r>
      <w:r>
        <w:rPr>
          <w:rFonts w:hint="eastAsia" w:ascii="宋体" w:hAnsi="宋体" w:cs="宋体"/>
          <w:color w:val="auto"/>
          <w:szCs w:val="21"/>
          <w:highlight w:val="none"/>
          <w:lang w:eastAsia="zh-CN"/>
        </w:rPr>
        <w:t>不</w:t>
      </w:r>
      <w:r>
        <w:rPr>
          <w:rFonts w:hint="eastAsia" w:ascii="宋体" w:hAnsi="宋体" w:cs="宋体"/>
          <w:color w:val="auto"/>
          <w:szCs w:val="21"/>
          <w:highlight w:val="none"/>
        </w:rPr>
        <w:t>接受联合体投标</w:t>
      </w:r>
    </w:p>
    <w:p w14:paraId="4E449820">
      <w:pPr>
        <w:spacing w:line="42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rPr>
        <w:t>备注：</w:t>
      </w:r>
    </w:p>
    <w:p w14:paraId="7CF0437A">
      <w:pPr>
        <w:spacing w:line="360" w:lineRule="auto"/>
        <w:rPr>
          <w:rFonts w:hint="eastAsia" w:ascii="宋体" w:hAnsi="宋体" w:cs="宋体"/>
          <w:b/>
          <w:bCs/>
          <w:color w:val="auto"/>
          <w:sz w:val="24"/>
          <w:highlight w:val="none"/>
        </w:rPr>
      </w:pPr>
      <w:bookmarkStart w:id="10" w:name="_Toc35393622"/>
      <w:bookmarkStart w:id="11" w:name="_Toc35393791"/>
      <w:bookmarkStart w:id="12" w:name="_Toc28359003"/>
      <w:bookmarkStart w:id="13" w:name="_Toc28359080"/>
    </w:p>
    <w:p w14:paraId="23FF72D7">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二、申请人的资格要求：</w:t>
      </w:r>
      <w:bookmarkEnd w:id="10"/>
      <w:bookmarkEnd w:id="11"/>
      <w:bookmarkEnd w:id="12"/>
      <w:bookmarkEnd w:id="13"/>
    </w:p>
    <w:p w14:paraId="49F5DDF1">
      <w:pPr>
        <w:spacing w:line="360" w:lineRule="auto"/>
        <w:ind w:firstLine="420" w:firstLineChars="200"/>
        <w:rPr>
          <w:rFonts w:ascii="宋体" w:hAnsi="宋体" w:cs="宋体"/>
          <w:color w:val="auto"/>
          <w:szCs w:val="21"/>
          <w:highlight w:val="none"/>
        </w:rPr>
      </w:pPr>
      <w:bookmarkStart w:id="14" w:name="_Hlk51746371"/>
      <w:bookmarkStart w:id="15" w:name="_Toc28359081"/>
      <w:bookmarkStart w:id="16" w:name="_Toc28359004"/>
      <w:bookmarkStart w:id="17" w:name="_Toc35393623"/>
      <w:bookmarkStart w:id="18" w:name="_Toc35393792"/>
      <w:r>
        <w:rPr>
          <w:rFonts w:hint="eastAsia" w:ascii="宋体" w:hAnsi="宋体" w:cs="宋体"/>
          <w:color w:val="auto"/>
          <w:szCs w:val="21"/>
          <w:highlight w:val="none"/>
        </w:rPr>
        <w:t>1.满足《中华人民共和国政府采购法》第二十二条规定；</w:t>
      </w:r>
    </w:p>
    <w:p w14:paraId="1C8CB79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2.落实政府采购政策需满足的资格要求：</w:t>
      </w:r>
      <w:r>
        <w:rPr>
          <w:rFonts w:hint="eastAsia" w:ascii="宋体" w:hAnsi="宋体"/>
          <w:color w:val="auto"/>
          <w:szCs w:val="21"/>
          <w:highlight w:val="none"/>
        </w:rPr>
        <w:t>标项三</w:t>
      </w:r>
      <w:r>
        <w:rPr>
          <w:rFonts w:hint="eastAsia" w:ascii="宋体" w:hAnsi="宋体"/>
          <w:color w:val="auto"/>
          <w:szCs w:val="21"/>
          <w:highlight w:val="none"/>
          <w:lang w:eastAsia="zh-CN"/>
        </w:rPr>
        <w:t>、四为</w:t>
      </w:r>
      <w:r>
        <w:rPr>
          <w:rFonts w:hint="eastAsia" w:ascii="宋体" w:hAnsi="宋体"/>
          <w:color w:val="auto"/>
          <w:szCs w:val="21"/>
          <w:highlight w:val="none"/>
        </w:rPr>
        <w:t>专门面向中小企业采购的项目（供应商应为中小微企业或监狱企业或残疾人福利性单位）</w:t>
      </w:r>
      <w:r>
        <w:rPr>
          <w:rFonts w:hint="eastAsia" w:ascii="宋体" w:hAnsi="宋体" w:cs="宋体"/>
          <w:color w:val="auto"/>
          <w:szCs w:val="21"/>
          <w:highlight w:val="none"/>
        </w:rPr>
        <w:t>。</w:t>
      </w:r>
    </w:p>
    <w:p w14:paraId="19E5A6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本项目的特定资格要求:供应商按《医疗器械监督管理条例》（国务院令第739号）医疗器械分类管理要求具备有效的医疗器械经营备案凭证或者经营许可证，且经营范围必须包含采购标的[符合《医疗器械监督管理条例》第四十一条第二款规定的除外]；或者供应商具有《医疗器械监督管理条例》第四十三条规定的注册人凭证。 </w:t>
      </w:r>
    </w:p>
    <w:bookmarkEnd w:id="14"/>
    <w:p w14:paraId="7A0C1BE3">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三、获取招标文件</w:t>
      </w:r>
      <w:bookmarkEnd w:id="15"/>
      <w:bookmarkEnd w:id="16"/>
      <w:bookmarkEnd w:id="17"/>
      <w:bookmarkEnd w:id="18"/>
    </w:p>
    <w:p w14:paraId="17F3C65D">
      <w:pPr>
        <w:spacing w:line="360" w:lineRule="auto"/>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时间：</w:t>
      </w:r>
      <w:r>
        <w:rPr>
          <w:rFonts w:hint="eastAsia" w:ascii="宋体" w:hAnsi="宋体" w:cs="宋体"/>
          <w:bCs/>
          <w:color w:val="auto"/>
          <w:kern w:val="0"/>
          <w:szCs w:val="21"/>
          <w:highlight w:val="none"/>
          <w:u w:val="single"/>
        </w:rPr>
        <w:t>2024年</w:t>
      </w:r>
      <w:r>
        <w:rPr>
          <w:rFonts w:hint="eastAsia" w:ascii="宋体" w:hAnsi="宋体" w:cs="宋体"/>
          <w:bCs/>
          <w:color w:val="auto"/>
          <w:kern w:val="0"/>
          <w:szCs w:val="21"/>
          <w:highlight w:val="none"/>
          <w:u w:val="single"/>
          <w:lang w:val="en-US" w:eastAsia="zh-CN"/>
        </w:rPr>
        <w:t>12</w:t>
      </w:r>
      <w:r>
        <w:rPr>
          <w:rFonts w:hint="eastAsia" w:ascii="宋体" w:hAnsi="宋体" w:cs="宋体"/>
          <w:bCs/>
          <w:color w:val="auto"/>
          <w:kern w:val="0"/>
          <w:szCs w:val="21"/>
          <w:highlight w:val="none"/>
          <w:u w:val="single"/>
        </w:rPr>
        <w:t>月   日</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rPr>
        <w:t>2024年</w:t>
      </w:r>
      <w:r>
        <w:rPr>
          <w:rFonts w:hint="eastAsia" w:ascii="宋体" w:hAnsi="宋体" w:cs="宋体"/>
          <w:bCs/>
          <w:color w:val="auto"/>
          <w:kern w:val="0"/>
          <w:szCs w:val="21"/>
          <w:highlight w:val="none"/>
          <w:u w:val="single"/>
          <w:lang w:val="en-US" w:eastAsia="zh-CN"/>
        </w:rPr>
        <w:t>12</w:t>
      </w:r>
      <w:r>
        <w:rPr>
          <w:rFonts w:hint="eastAsia" w:ascii="宋体" w:hAnsi="宋体" w:cs="宋体"/>
          <w:bCs/>
          <w:color w:val="auto"/>
          <w:kern w:val="0"/>
          <w:szCs w:val="21"/>
          <w:highlight w:val="none"/>
          <w:u w:val="single"/>
        </w:rPr>
        <w:t>月   日</w:t>
      </w:r>
      <w:r>
        <w:rPr>
          <w:rFonts w:hint="eastAsia" w:ascii="宋体" w:hAnsi="宋体" w:cs="宋体"/>
          <w:bCs/>
          <w:color w:val="auto"/>
          <w:kern w:val="0"/>
          <w:szCs w:val="21"/>
          <w:highlight w:val="none"/>
        </w:rPr>
        <w:t>，每天上午</w:t>
      </w:r>
      <w:r>
        <w:rPr>
          <w:rFonts w:hint="eastAsia" w:ascii="宋体" w:hAnsi="宋体" w:cs="宋体"/>
          <w:bCs/>
          <w:color w:val="auto"/>
          <w:szCs w:val="21"/>
          <w:highlight w:val="none"/>
          <w:u w:val="single"/>
        </w:rPr>
        <w:t>08时00分</w:t>
      </w:r>
      <w:r>
        <w:rPr>
          <w:rFonts w:hint="eastAsia" w:ascii="宋体" w:hAnsi="宋体" w:cs="宋体"/>
          <w:bCs/>
          <w:color w:val="auto"/>
          <w:kern w:val="0"/>
          <w:szCs w:val="21"/>
          <w:highlight w:val="none"/>
          <w:u w:val="single"/>
        </w:rPr>
        <w:t>至</w:t>
      </w:r>
      <w:r>
        <w:rPr>
          <w:rFonts w:hint="eastAsia" w:ascii="宋体" w:hAnsi="宋体" w:cs="宋体"/>
          <w:bCs/>
          <w:color w:val="auto"/>
          <w:szCs w:val="21"/>
          <w:highlight w:val="none"/>
          <w:u w:val="single"/>
        </w:rPr>
        <w:t>12时00分</w:t>
      </w: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u w:val="single"/>
        </w:rPr>
        <w:t>下午</w:t>
      </w:r>
      <w:r>
        <w:rPr>
          <w:rFonts w:hint="eastAsia" w:ascii="宋体" w:hAnsi="宋体" w:cs="宋体"/>
          <w:bCs/>
          <w:color w:val="auto"/>
          <w:szCs w:val="21"/>
          <w:highlight w:val="none"/>
          <w:u w:val="single"/>
        </w:rPr>
        <w:t>03时00分</w:t>
      </w:r>
      <w:r>
        <w:rPr>
          <w:rFonts w:hint="eastAsia" w:ascii="宋体" w:hAnsi="宋体" w:cs="宋体"/>
          <w:bCs/>
          <w:color w:val="auto"/>
          <w:kern w:val="0"/>
          <w:szCs w:val="21"/>
          <w:highlight w:val="none"/>
          <w:u w:val="single"/>
        </w:rPr>
        <w:t>至</w:t>
      </w:r>
      <w:r>
        <w:rPr>
          <w:rFonts w:hint="eastAsia" w:ascii="宋体" w:hAnsi="宋体" w:cs="宋体"/>
          <w:bCs/>
          <w:color w:val="auto"/>
          <w:szCs w:val="21"/>
          <w:highlight w:val="none"/>
          <w:u w:val="single"/>
        </w:rPr>
        <w:t>06时00分</w:t>
      </w:r>
      <w:r>
        <w:rPr>
          <w:rFonts w:hint="eastAsia" w:ascii="宋体" w:hAnsi="宋体" w:cs="宋体"/>
          <w:bCs/>
          <w:color w:val="auto"/>
          <w:kern w:val="0"/>
          <w:szCs w:val="21"/>
          <w:highlight w:val="none"/>
        </w:rPr>
        <w:t>（北京时间，法定节假日除外）</w:t>
      </w:r>
    </w:p>
    <w:p w14:paraId="1BDAB56D">
      <w:pPr>
        <w:spacing w:line="360" w:lineRule="auto"/>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地点：广西政府采购云平台（https://www.gcy.zfcg.gxzf.gov.cn/）</w:t>
      </w:r>
    </w:p>
    <w:p w14:paraId="3A7D277C">
      <w:pPr>
        <w:spacing w:line="360" w:lineRule="auto"/>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提供纸质文件，潜在供应商需使用账号登录或者使用CA登录广西政府采购云平台（https://www.gcy.zfcg.gxzf.gov.cn/）-进入“项目采购”应用，在获取采购文件菜单中选择项目，获取招标文件（或在“政采云电子投标客户端-获取采购文件”跳转到政采云系统获取）。</w:t>
      </w:r>
      <w:r>
        <w:rPr>
          <w:rFonts w:hint="eastAsia" w:ascii="宋体" w:hAnsi="宋体" w:cs="宋体"/>
          <w:color w:val="auto"/>
          <w:szCs w:val="21"/>
          <w:highlight w:val="none"/>
        </w:rPr>
        <w:t>电子投标文件制作需要基于广西政府采购云平台获取的招标文件编制，</w:t>
      </w:r>
      <w:r>
        <w:rPr>
          <w:rFonts w:hint="eastAsia" w:ascii="宋体" w:hAnsi="宋体" w:cs="宋体"/>
          <w:bCs/>
          <w:color w:val="auto"/>
          <w:kern w:val="0"/>
          <w:szCs w:val="21"/>
          <w:highlight w:val="none"/>
        </w:rPr>
        <w:t>通过其他方式获取招标文件的，将有可能导致供应商无法在</w:t>
      </w:r>
      <w:r>
        <w:rPr>
          <w:rFonts w:hint="eastAsia" w:ascii="宋体" w:hAnsi="宋体" w:cs="宋体"/>
          <w:color w:val="auto"/>
          <w:szCs w:val="21"/>
          <w:highlight w:val="none"/>
        </w:rPr>
        <w:t>广西政府采购云平台</w:t>
      </w:r>
      <w:r>
        <w:rPr>
          <w:rFonts w:hint="eastAsia" w:ascii="宋体" w:hAnsi="宋体" w:cs="宋体"/>
          <w:bCs/>
          <w:color w:val="auto"/>
          <w:kern w:val="0"/>
          <w:szCs w:val="21"/>
          <w:highlight w:val="none"/>
        </w:rPr>
        <w:t>编制及上传投标文件。</w:t>
      </w:r>
    </w:p>
    <w:p w14:paraId="24EB34D6">
      <w:pPr>
        <w:spacing w:line="360" w:lineRule="auto"/>
        <w:ind w:firstLine="540"/>
        <w:rPr>
          <w:rFonts w:ascii="宋体" w:hAnsi="宋体" w:cs="宋体"/>
          <w:color w:val="auto"/>
          <w:szCs w:val="21"/>
          <w:highlight w:val="none"/>
        </w:rPr>
      </w:pPr>
      <w:r>
        <w:rPr>
          <w:rFonts w:hint="eastAsia" w:ascii="宋体" w:hAnsi="宋体" w:cs="宋体"/>
          <w:bCs/>
          <w:color w:val="auto"/>
          <w:kern w:val="0"/>
          <w:szCs w:val="21"/>
          <w:highlight w:val="none"/>
        </w:rPr>
        <w:t>售价：</w:t>
      </w:r>
      <w:r>
        <w:rPr>
          <w:rFonts w:hint="eastAsia" w:ascii="宋体" w:hAnsi="宋体" w:cs="宋体"/>
          <w:iCs/>
          <w:color w:val="auto"/>
          <w:szCs w:val="21"/>
          <w:highlight w:val="none"/>
          <w:u w:val="single"/>
        </w:rPr>
        <w:t>0</w:t>
      </w:r>
      <w:r>
        <w:rPr>
          <w:rFonts w:hint="eastAsia" w:ascii="宋体" w:hAnsi="宋体" w:cs="宋体"/>
          <w:color w:val="auto"/>
          <w:szCs w:val="21"/>
          <w:highlight w:val="none"/>
        </w:rPr>
        <w:t>元</w:t>
      </w:r>
    </w:p>
    <w:p w14:paraId="3C83B6DD">
      <w:pPr>
        <w:spacing w:line="360" w:lineRule="auto"/>
        <w:rPr>
          <w:rFonts w:ascii="宋体" w:hAnsi="宋体" w:cs="宋体"/>
          <w:b/>
          <w:bCs/>
          <w:color w:val="auto"/>
          <w:sz w:val="24"/>
          <w:highlight w:val="none"/>
        </w:rPr>
      </w:pPr>
      <w:bookmarkStart w:id="19" w:name="_Toc28359005"/>
      <w:bookmarkStart w:id="20" w:name="_Toc28359082"/>
      <w:bookmarkStart w:id="21" w:name="_Toc35393624"/>
      <w:bookmarkStart w:id="22" w:name="_Toc35393793"/>
      <w:r>
        <w:rPr>
          <w:rFonts w:hint="eastAsia" w:ascii="宋体" w:hAnsi="宋体" w:cs="宋体"/>
          <w:b/>
          <w:bCs/>
          <w:color w:val="auto"/>
          <w:sz w:val="24"/>
          <w:highlight w:val="none"/>
        </w:rPr>
        <w:t>四、提交投标文件</w:t>
      </w:r>
      <w:bookmarkEnd w:id="19"/>
      <w:bookmarkEnd w:id="20"/>
      <w:r>
        <w:rPr>
          <w:rFonts w:hint="eastAsia" w:ascii="宋体" w:hAnsi="宋体" w:cs="宋体"/>
          <w:b/>
          <w:bCs/>
          <w:color w:val="auto"/>
          <w:sz w:val="24"/>
          <w:highlight w:val="none"/>
        </w:rPr>
        <w:t>截止时间、开标时间和地点</w:t>
      </w:r>
      <w:bookmarkEnd w:id="21"/>
      <w:bookmarkEnd w:id="22"/>
    </w:p>
    <w:p w14:paraId="7A6AA789">
      <w:pPr>
        <w:spacing w:line="360" w:lineRule="auto"/>
        <w:ind w:firstLine="420" w:firstLineChars="200"/>
        <w:rPr>
          <w:rFonts w:ascii="宋体" w:hAnsi="宋体" w:cs="宋体"/>
          <w:bCs/>
          <w:color w:val="auto"/>
          <w:szCs w:val="21"/>
          <w:highlight w:val="none"/>
        </w:rPr>
      </w:pPr>
      <w:bookmarkStart w:id="23" w:name="_Toc28359007"/>
      <w:bookmarkStart w:id="24" w:name="_Toc35393625"/>
      <w:bookmarkStart w:id="25" w:name="_Toc28359084"/>
      <w:bookmarkStart w:id="26" w:name="_Toc35393794"/>
      <w:r>
        <w:rPr>
          <w:rFonts w:hint="eastAsia" w:ascii="宋体" w:hAnsi="宋体" w:cs="宋体"/>
          <w:bCs/>
          <w:color w:val="auto"/>
          <w:szCs w:val="21"/>
          <w:highlight w:val="none"/>
          <w:u w:val="single"/>
        </w:rPr>
        <w:t>2024年</w:t>
      </w:r>
      <w:r>
        <w:rPr>
          <w:rFonts w:hint="eastAsia" w:ascii="宋体" w:hAnsi="宋体" w:cs="宋体"/>
          <w:bCs/>
          <w:color w:val="auto"/>
          <w:szCs w:val="21"/>
          <w:highlight w:val="none"/>
          <w:u w:val="single"/>
          <w:lang w:val="en-US" w:eastAsia="zh-CN"/>
        </w:rPr>
        <w:t>12</w:t>
      </w:r>
      <w:r>
        <w:rPr>
          <w:rFonts w:hint="eastAsia" w:ascii="宋体" w:hAnsi="宋体" w:cs="宋体"/>
          <w:bCs/>
          <w:color w:val="auto"/>
          <w:szCs w:val="21"/>
          <w:highlight w:val="none"/>
          <w:u w:val="single"/>
        </w:rPr>
        <w:t>月   日09 时30分</w:t>
      </w:r>
      <w:r>
        <w:rPr>
          <w:rFonts w:hint="eastAsia" w:ascii="宋体" w:hAnsi="宋体" w:cs="宋体"/>
          <w:bCs/>
          <w:color w:val="auto"/>
          <w:szCs w:val="21"/>
          <w:highlight w:val="none"/>
        </w:rPr>
        <w:t>（北京时间）</w:t>
      </w:r>
    </w:p>
    <w:p w14:paraId="3EF6EF7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投标地点：广西政府采购云平台</w:t>
      </w:r>
      <w:r>
        <w:rPr>
          <w:rFonts w:hint="eastAsia" w:ascii="宋体" w:hAnsi="宋体" w:cs="宋体"/>
          <w:bCs/>
          <w:color w:val="auto"/>
          <w:kern w:val="0"/>
          <w:szCs w:val="21"/>
          <w:highlight w:val="none"/>
        </w:rPr>
        <w:t>（https://www.gcy.zfcg.gxzf.gov.cn/）</w:t>
      </w:r>
    </w:p>
    <w:p w14:paraId="2BB5975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开标地点：广西政府采购云平台电子开标大厅</w:t>
      </w:r>
    </w:p>
    <w:p w14:paraId="175A745B">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五、公告期限</w:t>
      </w:r>
      <w:bookmarkEnd w:id="23"/>
      <w:bookmarkEnd w:id="24"/>
      <w:bookmarkEnd w:id="25"/>
      <w:bookmarkEnd w:id="26"/>
    </w:p>
    <w:p w14:paraId="01E192BB">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024CDC84">
      <w:pPr>
        <w:spacing w:line="360" w:lineRule="auto"/>
        <w:rPr>
          <w:rFonts w:ascii="宋体" w:hAnsi="宋体" w:cs="宋体"/>
          <w:b/>
          <w:bCs/>
          <w:color w:val="auto"/>
          <w:sz w:val="24"/>
          <w:highlight w:val="none"/>
        </w:rPr>
      </w:pPr>
      <w:bookmarkStart w:id="27" w:name="_Toc35393795"/>
      <w:bookmarkStart w:id="28" w:name="_Toc35393626"/>
      <w:r>
        <w:rPr>
          <w:rFonts w:hint="eastAsia" w:ascii="宋体" w:hAnsi="宋体" w:cs="宋体"/>
          <w:b/>
          <w:bCs/>
          <w:color w:val="auto"/>
          <w:sz w:val="24"/>
          <w:highlight w:val="none"/>
        </w:rPr>
        <w:t>六、其他补充事宜</w:t>
      </w:r>
      <w:bookmarkEnd w:id="27"/>
      <w:bookmarkEnd w:id="28"/>
    </w:p>
    <w:p w14:paraId="3CA2C911">
      <w:pPr>
        <w:spacing w:line="360" w:lineRule="auto"/>
        <w:ind w:firstLine="420" w:firstLineChars="200"/>
        <w:rPr>
          <w:rFonts w:ascii="宋体" w:hAnsi="宋体" w:cs="宋体"/>
          <w:color w:val="auto"/>
          <w:kern w:val="0"/>
          <w:szCs w:val="21"/>
          <w:highlight w:val="none"/>
        </w:rPr>
      </w:pPr>
      <w:bookmarkStart w:id="29" w:name="_Hlk37429585"/>
      <w:bookmarkStart w:id="30" w:name="_Hlk37429595"/>
      <w:bookmarkStart w:id="31" w:name="_Toc35393796"/>
      <w:bookmarkStart w:id="32" w:name="_Toc28359085"/>
      <w:bookmarkStart w:id="33" w:name="_Toc28359008"/>
      <w:bookmarkStart w:id="34" w:name="_Toc35393627"/>
      <w:r>
        <w:rPr>
          <w:rFonts w:hint="eastAsia" w:ascii="宋体" w:hAnsi="宋体" w:cs="宋体"/>
          <w:color w:val="auto"/>
          <w:kern w:val="0"/>
          <w:szCs w:val="21"/>
          <w:highlight w:val="none"/>
        </w:rPr>
        <w:t>1.网上查询地址</w:t>
      </w:r>
    </w:p>
    <w:bookmarkEnd w:id="29"/>
    <w:bookmarkEnd w:id="30"/>
    <w:p w14:paraId="31491975">
      <w:pPr>
        <w:spacing w:line="360" w:lineRule="auto"/>
        <w:ind w:left="210" w:leftChars="100" w:firstLine="424" w:firstLineChars="202"/>
        <w:rPr>
          <w:rFonts w:hint="eastAsia" w:ascii="宋体" w:hAnsi="宋体" w:eastAsia="宋体" w:cs="宋体"/>
          <w:iCs/>
          <w:color w:val="auto"/>
          <w:kern w:val="0"/>
          <w:szCs w:val="21"/>
          <w:highlight w:val="none"/>
          <w:lang w:val="en-US" w:eastAsia="zh-CN"/>
        </w:rPr>
      </w:pPr>
      <w:bookmarkStart w:id="35" w:name="_Hlk37429674"/>
      <w:r>
        <w:rPr>
          <w:rFonts w:hint="eastAsia" w:ascii="宋体" w:hAnsi="宋体" w:cs="宋体"/>
          <w:iCs/>
          <w:color w:val="auto"/>
          <w:kern w:val="0"/>
          <w:szCs w:val="21"/>
          <w:highlight w:val="none"/>
        </w:rPr>
        <w:t>http://www.ccgp.gov.cn（中国政府采购网）、http://zfcg.gxzf.gov.cn（广西壮族自治区政府采购网）、http://117.141.250.58:10030/web/cgw/index.ptl（梧州市政府采购网）、http://ggzy.jgswj.gxzf.gov.cn/wzggzy/（全国公共资源交易平台·梧州）、广西梧州苍梧县人民政府门户网</w:t>
      </w:r>
      <w:r>
        <w:rPr>
          <w:rFonts w:hint="eastAsia" w:ascii="宋体" w:hAnsi="宋体" w:cs="宋体"/>
          <w:iCs/>
          <w:color w:val="auto"/>
          <w:kern w:val="0"/>
          <w:szCs w:val="21"/>
          <w:highlight w:val="none"/>
          <w:lang w:eastAsia="zh-CN"/>
        </w:rPr>
        <w:t>。</w:t>
      </w:r>
    </w:p>
    <w:p w14:paraId="4608D601">
      <w:pPr>
        <w:spacing w:line="360" w:lineRule="auto"/>
        <w:ind w:firstLine="424" w:firstLineChars="202"/>
        <w:rPr>
          <w:rFonts w:ascii="宋体" w:hAnsi="宋体" w:cs="宋体"/>
          <w:color w:val="auto"/>
          <w:kern w:val="0"/>
          <w:szCs w:val="21"/>
          <w:highlight w:val="none"/>
        </w:rPr>
      </w:pPr>
      <w:r>
        <w:rPr>
          <w:rFonts w:hint="eastAsia" w:ascii="宋体" w:hAnsi="宋体" w:cs="宋体"/>
          <w:color w:val="auto"/>
          <w:szCs w:val="21"/>
          <w:highlight w:val="none"/>
        </w:rPr>
        <w:t>2.</w:t>
      </w:r>
      <w:r>
        <w:rPr>
          <w:rFonts w:hint="eastAsia" w:ascii="宋体" w:hAnsi="宋体" w:cs="宋体"/>
          <w:color w:val="auto"/>
          <w:kern w:val="0"/>
          <w:szCs w:val="21"/>
          <w:highlight w:val="none"/>
        </w:rPr>
        <w:t>本项目需要落实的政府采购政策</w:t>
      </w:r>
    </w:p>
    <w:p w14:paraId="0D0B31E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0B38D112">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471CA912">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1F5D9876">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20222ED4">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bookmarkEnd w:id="35"/>
    <w:p w14:paraId="4F352E59">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3.投标人</w:t>
      </w:r>
      <w:r>
        <w:rPr>
          <w:rFonts w:hint="eastAsia" w:ascii="宋体" w:hAnsi="宋体" w:cs="宋体"/>
          <w:color w:val="auto"/>
          <w:szCs w:val="21"/>
          <w:highlight w:val="none"/>
        </w:rPr>
        <w:t>投标注意事项</w:t>
      </w:r>
    </w:p>
    <w:p w14:paraId="7091979B">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项目为全流程电子化采购项目，通过广西政府采购云平台（https://www.gcy.zfcg.gxzf.gov.cn/）实行在线电子投标，投标人应先安装“政采云电子投标客户端”（请自行前往广西政府采购云平台进行下载），并按照本项目招标文件和广西政府采购云平台的要求编制、加密后在投标截止时间前通过网络上传至 广西政府采购云平台（加密的电子投标文件是指</w:t>
      </w:r>
      <w:r>
        <w:rPr>
          <w:rFonts w:hint="eastAsia" w:ascii="宋体" w:hAnsi="宋体" w:cs="宋体"/>
          <w:color w:val="auto"/>
          <w:highlight w:val="none"/>
        </w:rPr>
        <w:t>后缀名为“jmbs”的文件</w:t>
      </w:r>
      <w:r>
        <w:rPr>
          <w:rFonts w:hint="eastAsia" w:ascii="宋体" w:hAnsi="宋体" w:cs="宋体"/>
          <w:color w:val="auto"/>
          <w:szCs w:val="21"/>
          <w:highlight w:val="none"/>
        </w:rPr>
        <w:t>），</w:t>
      </w:r>
      <w:r>
        <w:rPr>
          <w:rFonts w:hint="eastAsia" w:ascii="宋体" w:hAnsi="宋体" w:cs="宋体"/>
          <w:b/>
          <w:color w:val="auto"/>
          <w:szCs w:val="21"/>
          <w:highlight w:val="none"/>
        </w:rPr>
        <w:t>投标人在广西政府采购云平台提交电子投标文件时，请填写参加远程开标活动经办人联系方式。</w:t>
      </w:r>
      <w:r>
        <w:rPr>
          <w:rFonts w:hint="eastAsia" w:ascii="宋体" w:hAnsi="宋体" w:cs="宋体"/>
          <w:color w:val="auto"/>
          <w:szCs w:val="21"/>
          <w:highlight w:val="none"/>
        </w:rPr>
        <w:t>投标人登录广西政府采购云平台，依次进入“服务中心-项目采购-操作流程-电子招投标-</w:t>
      </w:r>
      <w:r>
        <w:rPr>
          <w:rFonts w:hint="eastAsia" w:ascii="宋体" w:hAnsi="宋体" w:cs="宋体"/>
          <w:color w:val="auto"/>
          <w:highlight w:val="none"/>
        </w:rPr>
        <w:t>政府采购项目电子交易管理操作指南-供应商</w:t>
      </w:r>
      <w:r>
        <w:rPr>
          <w:rFonts w:hint="eastAsia" w:ascii="宋体" w:hAnsi="宋体" w:cs="宋体"/>
          <w:color w:val="auto"/>
          <w:szCs w:val="21"/>
          <w:highlight w:val="none"/>
        </w:rPr>
        <w:t>”查看电子投标具体操作流程。</w:t>
      </w:r>
    </w:p>
    <w:p w14:paraId="4DB21297">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w:t>
      </w:r>
      <w:r>
        <w:rPr>
          <w:rFonts w:hint="eastAsia" w:ascii="宋体" w:hAnsi="宋体" w:cs="宋体"/>
          <w:color w:val="auto"/>
          <w:kern w:val="0"/>
          <w:szCs w:val="21"/>
          <w:highlight w:val="none"/>
        </w:rPr>
        <w:t>广西政府采购云平台，</w:t>
      </w:r>
      <w:r>
        <w:rPr>
          <w:rFonts w:hint="eastAsia" w:ascii="宋体" w:hAnsi="宋体" w:cs="宋体"/>
          <w:color w:val="auto"/>
          <w:szCs w:val="21"/>
          <w:highlight w:val="none"/>
        </w:rPr>
        <w:t>依次进入“服务中心-入驻与配置”中查看CA数字证书办理操作流程。</w:t>
      </w:r>
      <w:r>
        <w:rPr>
          <w:rFonts w:hint="eastAsia" w:ascii="宋体" w:hAnsi="宋体" w:cs="宋体"/>
          <w:bCs/>
          <w:color w:val="auto"/>
          <w:kern w:val="0"/>
          <w:szCs w:val="21"/>
          <w:highlight w:val="none"/>
        </w:rPr>
        <w:t>如在操作过程中遇到问题或者需要技术支持，请致电政采云客服热线：95763</w:t>
      </w:r>
      <w:r>
        <w:rPr>
          <w:rFonts w:hint="eastAsia" w:ascii="宋体" w:hAnsi="宋体" w:cs="宋体"/>
          <w:color w:val="auto"/>
          <w:szCs w:val="21"/>
          <w:highlight w:val="none"/>
        </w:rPr>
        <w:t>）。</w:t>
      </w:r>
    </w:p>
    <w:p w14:paraId="37F078C0">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（3）CA证书在线解密：投标人投标时，需凭制作投标文件时用来加密的有效数字证书（CA认证）登录广西政府采购云平台电子开标大厅现场按规定时间对加密的投标文件进行解密，否则后果自负。</w:t>
      </w:r>
    </w:p>
    <w:p w14:paraId="6720671C">
      <w:pPr>
        <w:spacing w:line="360" w:lineRule="auto"/>
        <w:ind w:firstLine="424" w:firstLineChars="202"/>
        <w:rPr>
          <w:rFonts w:hint="eastAsia" w:ascii="宋体" w:hAnsi="宋体" w:cs="宋体"/>
          <w:bCs/>
          <w:color w:val="auto"/>
          <w:szCs w:val="21"/>
          <w:highlight w:val="none"/>
        </w:rPr>
      </w:pPr>
      <w:r>
        <w:rPr>
          <w:rFonts w:hint="eastAsia" w:ascii="宋体" w:hAnsi="宋体" w:cs="宋体"/>
          <w:color w:val="auto"/>
          <w:szCs w:val="21"/>
          <w:highlight w:val="none"/>
        </w:rPr>
        <w:t>注：1）为确保网上操作合法、有效和安全，请投标人确保在电子投标过程中能够对相关数据电文进行加密和使用电子签章，妥善保管CA数字证书并使用有效的CA数字证书参与整个招标活动。2）</w:t>
      </w:r>
      <w:r>
        <w:rPr>
          <w:rFonts w:hint="eastAsia" w:ascii="宋体" w:hAnsi="宋体" w:cs="宋体"/>
          <w:bCs/>
          <w:color w:val="auto"/>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14:paraId="6D5E5CF7">
      <w:pPr>
        <w:spacing w:line="360" w:lineRule="auto"/>
        <w:ind w:firstLine="424" w:firstLineChars="202"/>
        <w:rPr>
          <w:rFonts w:hint="eastAsia" w:ascii="宋体" w:hAnsi="宋体" w:cs="宋体"/>
          <w:bCs/>
          <w:color w:val="auto"/>
          <w:szCs w:val="21"/>
          <w:highlight w:val="none"/>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lang w:eastAsia="zh-CN"/>
        </w:rPr>
        <w:t>）评标说明：本项目采用远程异地评标，全流程电子评标。</w:t>
      </w:r>
    </w:p>
    <w:p w14:paraId="5369A790">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七、对本次招标提出询问，请按以下方式联系。</w:t>
      </w:r>
      <w:bookmarkEnd w:id="31"/>
      <w:bookmarkEnd w:id="32"/>
      <w:bookmarkEnd w:id="33"/>
      <w:bookmarkEnd w:id="34"/>
    </w:p>
    <w:p w14:paraId="331C37E6">
      <w:pPr>
        <w:spacing w:line="360" w:lineRule="auto"/>
        <w:ind w:firstLine="420" w:firstLineChars="200"/>
        <w:rPr>
          <w:rFonts w:ascii="宋体" w:hAnsi="宋体" w:cs="宋体"/>
          <w:color w:val="auto"/>
          <w:szCs w:val="21"/>
          <w:highlight w:val="none"/>
        </w:rPr>
      </w:pPr>
      <w:bookmarkStart w:id="36" w:name="_Toc28359096"/>
      <w:bookmarkStart w:id="37" w:name="_Toc35393806"/>
      <w:bookmarkStart w:id="38" w:name="_Toc28359019"/>
      <w:bookmarkStart w:id="39" w:name="_Toc35393637"/>
      <w:r>
        <w:rPr>
          <w:rFonts w:hint="eastAsia" w:ascii="宋体" w:hAnsi="宋体" w:cs="宋体"/>
          <w:color w:val="auto"/>
          <w:kern w:val="0"/>
          <w:szCs w:val="21"/>
          <w:highlight w:val="none"/>
        </w:rPr>
        <w:t>1.采购人信息</w:t>
      </w:r>
      <w:bookmarkEnd w:id="36"/>
      <w:bookmarkEnd w:id="37"/>
      <w:bookmarkEnd w:id="38"/>
      <w:bookmarkEnd w:id="39"/>
    </w:p>
    <w:p w14:paraId="432E1FD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 xml:space="preserve">苍梧县人民医院 </w:t>
      </w:r>
    </w:p>
    <w:p w14:paraId="091366EC">
      <w:pPr>
        <w:spacing w:line="360" w:lineRule="auto"/>
        <w:ind w:firstLine="420" w:firstLineChars="200"/>
        <w:jc w:val="left"/>
        <w:rPr>
          <w:rFonts w:ascii="宋体" w:hAnsi="宋体" w:cs="宋体"/>
          <w:color w:val="auto"/>
          <w:highlight w:val="none"/>
          <w:u w:val="single"/>
        </w:rPr>
      </w:pPr>
      <w:r>
        <w:rPr>
          <w:rFonts w:hint="eastAsia" w:ascii="宋体" w:hAnsi="宋体" w:cs="宋体"/>
          <w:color w:val="auto"/>
          <w:szCs w:val="21"/>
          <w:highlight w:val="none"/>
        </w:rPr>
        <w:t>地    址：</w:t>
      </w:r>
      <w:r>
        <w:rPr>
          <w:rFonts w:hint="eastAsia" w:ascii="宋体" w:hAnsi="宋体" w:cs="宋体"/>
          <w:color w:val="auto"/>
          <w:highlight w:val="none"/>
          <w:u w:val="single"/>
        </w:rPr>
        <w:t>梧州市龙圩区凤岭街22号</w:t>
      </w:r>
    </w:p>
    <w:p w14:paraId="0B6BB806">
      <w:pPr>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联系方式：刘先生，</w:t>
      </w:r>
      <w:r>
        <w:rPr>
          <w:rFonts w:hint="eastAsia" w:ascii="宋体" w:hAnsi="宋体" w:cs="宋体"/>
          <w:color w:val="auto"/>
          <w:szCs w:val="21"/>
          <w:highlight w:val="none"/>
          <w:u w:val="none"/>
          <w:lang w:val="en-US" w:eastAsia="zh-CN"/>
        </w:rPr>
        <w:t>0774-2686176</w:t>
      </w:r>
    </w:p>
    <w:p w14:paraId="10F72EBF">
      <w:pPr>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2.采购代理机构信息</w:t>
      </w:r>
    </w:p>
    <w:p w14:paraId="0E3A3E97">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名 称：</w:t>
      </w:r>
      <w:r>
        <w:rPr>
          <w:rFonts w:hint="eastAsia" w:ascii="宋体" w:hAnsi="宋体" w:cs="宋体"/>
          <w:color w:val="auto"/>
          <w:highlight w:val="none"/>
          <w:u w:val="single"/>
        </w:rPr>
        <w:t>广西海川工程咨询有限公司</w:t>
      </w:r>
    </w:p>
    <w:p w14:paraId="4E172DCD">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地　址：</w:t>
      </w:r>
      <w:r>
        <w:rPr>
          <w:rFonts w:hint="eastAsia" w:ascii="宋体" w:hAnsi="宋体" w:cs="宋体"/>
          <w:color w:val="auto"/>
          <w:highlight w:val="none"/>
          <w:u w:val="single"/>
        </w:rPr>
        <w:t>梧州市长洲区舜帝大道西段1号A6第14幢2号独立交易展示位</w:t>
      </w:r>
    </w:p>
    <w:p w14:paraId="1A12A821">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联系方式：</w:t>
      </w:r>
      <w:r>
        <w:rPr>
          <w:rFonts w:hint="eastAsia" w:ascii="宋体" w:hAnsi="宋体" w:cs="宋体"/>
          <w:color w:val="auto"/>
          <w:highlight w:val="none"/>
          <w:lang w:eastAsia="zh-CN"/>
        </w:rPr>
        <w:t>吴工</w:t>
      </w:r>
      <w:r>
        <w:rPr>
          <w:rFonts w:hint="eastAsia" w:ascii="宋体" w:hAnsi="宋体" w:cs="宋体"/>
          <w:color w:val="auto"/>
          <w:highlight w:val="none"/>
        </w:rPr>
        <w:t>，0774-2028010</w:t>
      </w:r>
    </w:p>
    <w:p w14:paraId="19AA9CDF">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3.项目联系方式</w:t>
      </w:r>
    </w:p>
    <w:p w14:paraId="42E8C5D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项目联系人：</w:t>
      </w:r>
      <w:r>
        <w:rPr>
          <w:rFonts w:hint="eastAsia" w:ascii="宋体" w:hAnsi="宋体" w:cs="宋体"/>
          <w:color w:val="auto"/>
          <w:highlight w:val="none"/>
          <w:lang w:eastAsia="zh-CN"/>
        </w:rPr>
        <w:t>吴工</w:t>
      </w:r>
      <w:r>
        <w:rPr>
          <w:rFonts w:hint="eastAsia" w:ascii="宋体" w:hAnsi="宋体" w:cs="宋体"/>
          <w:color w:val="auto"/>
          <w:highlight w:val="none"/>
        </w:rPr>
        <w:t>，0774-2028010</w:t>
      </w:r>
    </w:p>
    <w:p w14:paraId="29790A3F">
      <w:pPr>
        <w:pStyle w:val="2"/>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b w:val="0"/>
          <w:color w:val="auto"/>
          <w:kern w:val="2"/>
          <w:sz w:val="21"/>
          <w:szCs w:val="21"/>
          <w:highlight w:val="none"/>
        </w:rPr>
      </w:pPr>
    </w:p>
    <w:p w14:paraId="1B55161E">
      <w:pPr>
        <w:pStyle w:val="2"/>
        <w:keepNext w:val="0"/>
        <w:keepLines w:val="0"/>
        <w:tabs>
          <w:tab w:val="left" w:pos="0"/>
          <w:tab w:val="left" w:pos="3165"/>
          <w:tab w:val="center" w:pos="4153"/>
        </w:tabs>
        <w:autoSpaceDE w:val="0"/>
        <w:autoSpaceDN w:val="0"/>
        <w:adjustRightInd w:val="0"/>
        <w:spacing w:before="0" w:after="0" w:line="360" w:lineRule="auto"/>
        <w:ind w:firstLine="420" w:firstLineChars="200"/>
        <w:jc w:val="center"/>
        <w:rPr>
          <w:rFonts w:ascii="宋体" w:hAnsi="宋体" w:cs="宋体"/>
          <w:color w:val="auto"/>
          <w:highlight w:val="none"/>
        </w:rPr>
      </w:pPr>
      <w:r>
        <w:rPr>
          <w:rFonts w:hint="eastAsia" w:ascii="宋体" w:hAnsi="宋体" w:cs="宋体"/>
          <w:b w:val="0"/>
          <w:color w:val="auto"/>
          <w:kern w:val="2"/>
          <w:sz w:val="21"/>
          <w:szCs w:val="21"/>
          <w:highlight w:val="none"/>
        </w:rPr>
        <w:br w:type="page"/>
      </w:r>
      <w:bookmarkStart w:id="40" w:name="_Toc27979"/>
      <w:r>
        <w:rPr>
          <w:rFonts w:hint="eastAsia" w:ascii="宋体" w:hAnsi="宋体" w:cs="宋体"/>
          <w:color w:val="auto"/>
          <w:highlight w:val="none"/>
        </w:rPr>
        <w:t>第二章  采购需求</w:t>
      </w:r>
      <w:bookmarkEnd w:id="40"/>
    </w:p>
    <w:p w14:paraId="08D7B3D7">
      <w:pPr>
        <w:spacing w:line="360" w:lineRule="auto"/>
        <w:jc w:val="left"/>
        <w:rPr>
          <w:rFonts w:ascii="宋体" w:hAnsi="宋体" w:cs="宋体"/>
          <w:color w:val="auto"/>
          <w:szCs w:val="21"/>
          <w:highlight w:val="none"/>
        </w:rPr>
      </w:pPr>
      <w:bookmarkStart w:id="41" w:name="_Toc254970490"/>
      <w:bookmarkStart w:id="42" w:name="_Toc254970631"/>
    </w:p>
    <w:p w14:paraId="782954F5">
      <w:pPr>
        <w:spacing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说明：</w:t>
      </w:r>
    </w:p>
    <w:p w14:paraId="04C123A7">
      <w:pPr>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 为落实政府采购政策需满足的要求</w:t>
      </w:r>
    </w:p>
    <w:p w14:paraId="47FFDB34">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（1）本招标文件所称中小企业必须符合《政府采购促进中小企业发展管理办法》（财库〔2020〕46号）的规定。</w:t>
      </w:r>
    </w:p>
    <w:p w14:paraId="6C970574">
      <w:pPr>
        <w:spacing w:line="400" w:lineRule="exact"/>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2.“实质性要求”是指招标文件中已经指明不满足则投标无效的条款，或者不能负偏离的条款，或者采购需求中带“▲”的条款。</w:t>
      </w:r>
    </w:p>
    <w:p w14:paraId="7ED0F26D">
      <w:pPr>
        <w:spacing w:line="400" w:lineRule="exact"/>
        <w:ind w:firstLine="424" w:firstLineChars="202"/>
        <w:jc w:val="left"/>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.采购需求中的品牌型号、技术参数及其性能（配置）仅起参考作用，供应商可选用其他品牌型号替代，但这些替代的品牌型号要实质上相当于或优于参考品牌型号及其技术参数性能（配置）要求。</w:t>
      </w:r>
    </w:p>
    <w:p w14:paraId="553B3303">
      <w:pPr>
        <w:spacing w:line="400" w:lineRule="exact"/>
        <w:ind w:firstLine="424" w:firstLineChars="202"/>
        <w:jc w:val="left"/>
        <w:rPr>
          <w:rStyle w:val="62"/>
          <w:rFonts w:ascii="宋体" w:hAnsi="宋体" w:cs="宋体"/>
          <w:color w:val="auto"/>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产品若为政府强制采购的节能产品的，节能产品政府采购品目清单内标注“★”的品目，属于政府强制采购节能产品的，若采购货物含有此类产品时，投标人的投标货物必须使用政府强制采购的节能产品，投标人必须在投标文件中提供所投产品的节能产品认证证书编号，否则作无效投标处理</w:t>
      </w:r>
      <w:r>
        <w:rPr>
          <w:rFonts w:hint="eastAsia" w:ascii="宋体" w:hAnsi="宋体" w:cs="宋体"/>
          <w:color w:val="auto"/>
          <w:highlight w:val="none"/>
        </w:rPr>
        <w:t>。</w:t>
      </w:r>
    </w:p>
    <w:p w14:paraId="05ADCD4D">
      <w:pPr>
        <w:spacing w:line="400" w:lineRule="exact"/>
        <w:ind w:firstLine="424" w:firstLineChars="202"/>
        <w:jc w:val="left"/>
        <w:rPr>
          <w:rFonts w:ascii="宋体" w:hAnsi="宋体" w:cs="宋体"/>
          <w:color w:val="auto"/>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hint="eastAsia" w:ascii="宋体" w:hAnsi="宋体" w:cs="宋体"/>
          <w:color w:val="auto"/>
          <w:highlight w:val="none"/>
        </w:rPr>
        <w:t>投标人必须自行为其投标产品侵犯他人的知识产权或者专利成果的行为承担相应法律责任。</w:t>
      </w:r>
    </w:p>
    <w:p w14:paraId="51837EF4">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.所属行业依照《中小企业划型标准规定》（工信部联企业〔2011〕300号）及《国民经济行业分类》（</w:t>
      </w:r>
      <w:r>
        <w:rPr>
          <w:rFonts w:hint="eastAsia" w:ascii="宋体" w:hAnsi="宋体" w:cs="宋体"/>
          <w:color w:val="auto"/>
          <w:highlight w:val="none"/>
        </w:rPr>
        <w:t xml:space="preserve"> </w:t>
      </w:r>
      <w:r>
        <w:rPr>
          <w:rFonts w:hint="eastAsia" w:ascii="宋体" w:hAnsi="宋体" w:cs="宋体"/>
          <w:color w:val="auto"/>
          <w:szCs w:val="21"/>
          <w:highlight w:val="none"/>
        </w:rPr>
        <w:t>GB/T 4754—2017）的有关规定执行，</w:t>
      </w:r>
      <w:r>
        <w:rPr>
          <w:rFonts w:hint="eastAsia" w:ascii="宋体" w:hAnsi="宋体" w:cs="宋体"/>
          <w:b/>
          <w:bCs/>
          <w:color w:val="auto"/>
          <w:szCs w:val="21"/>
          <w:highlight w:val="none"/>
        </w:rPr>
        <w:t>本项目所属行业为“</w:t>
      </w:r>
      <w:r>
        <w:rPr>
          <w:rFonts w:hint="eastAsia" w:ascii="宋体" w:hAnsi="宋体" w:cs="宋体"/>
          <w:b/>
          <w:bCs/>
          <w:color w:val="auto"/>
          <w:szCs w:val="21"/>
          <w:highlight w:val="none"/>
          <w:shd w:val="clear" w:color="auto" w:fill="FFFFFF"/>
        </w:rPr>
        <w:t>零售业</w:t>
      </w:r>
      <w:r>
        <w:rPr>
          <w:rFonts w:hint="eastAsia" w:ascii="宋体" w:hAnsi="宋体" w:cs="宋体"/>
          <w:b/>
          <w:bCs/>
          <w:color w:val="auto"/>
          <w:szCs w:val="21"/>
          <w:highlight w:val="none"/>
        </w:rPr>
        <w:t>”</w:t>
      </w:r>
      <w:r>
        <w:rPr>
          <w:rFonts w:hint="eastAsia" w:ascii="宋体" w:hAnsi="宋体" w:cs="宋体"/>
          <w:color w:val="auto"/>
          <w:szCs w:val="21"/>
          <w:highlight w:val="none"/>
        </w:rPr>
        <w:t xml:space="preserve">。 </w:t>
      </w:r>
    </w:p>
    <w:p w14:paraId="2FA32184">
      <w:pPr>
        <w:spacing w:line="360" w:lineRule="auto"/>
        <w:ind w:firstLine="420" w:firstLineChars="200"/>
        <w:jc w:val="left"/>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.本项目核心产品： 标项一</w:t>
      </w:r>
      <w:r>
        <w:rPr>
          <w:rFonts w:hint="eastAsia" w:ascii="宋体" w:hAnsi="宋体" w:cs="宋体"/>
          <w:bCs/>
          <w:color w:val="auto"/>
          <w:szCs w:val="21"/>
          <w:highlight w:val="none"/>
          <w:lang w:eastAsia="zh-CN"/>
        </w:rPr>
        <w:t>为“</w:t>
      </w:r>
      <w:r>
        <w:rPr>
          <w:rFonts w:hint="eastAsia" w:ascii="宋体" w:hAnsi="宋体" w:cs="宋体"/>
          <w:bCs/>
          <w:color w:val="auto"/>
          <w:szCs w:val="21"/>
          <w:highlight w:val="none"/>
        </w:rPr>
        <w:t>宫腔镜冷刀设备</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标项</w:t>
      </w:r>
      <w:r>
        <w:rPr>
          <w:rFonts w:hint="eastAsia" w:ascii="宋体" w:hAnsi="宋体" w:cs="宋体"/>
          <w:bCs/>
          <w:color w:val="auto"/>
          <w:szCs w:val="21"/>
          <w:highlight w:val="none"/>
          <w:lang w:eastAsia="zh-CN"/>
        </w:rPr>
        <w:t>二为“</w:t>
      </w:r>
      <w:r>
        <w:rPr>
          <w:rFonts w:hint="eastAsia" w:ascii="宋体" w:hAnsi="宋体" w:cs="宋体"/>
          <w:bCs/>
          <w:color w:val="auto"/>
          <w:szCs w:val="21"/>
          <w:highlight w:val="none"/>
        </w:rPr>
        <w:t>血透机</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标项</w:t>
      </w:r>
      <w:r>
        <w:rPr>
          <w:rFonts w:hint="eastAsia" w:ascii="宋体" w:hAnsi="宋体" w:cs="宋体"/>
          <w:bCs/>
          <w:color w:val="auto"/>
          <w:szCs w:val="21"/>
          <w:highlight w:val="none"/>
          <w:lang w:eastAsia="zh-CN"/>
        </w:rPr>
        <w:t>三为“</w:t>
      </w:r>
      <w:r>
        <w:rPr>
          <w:rFonts w:hint="eastAsia" w:ascii="宋体" w:hAnsi="宋体" w:cs="宋体"/>
          <w:bCs/>
          <w:color w:val="auto"/>
          <w:szCs w:val="21"/>
          <w:highlight w:val="none"/>
        </w:rPr>
        <w:t>电子鼻咽喉镜</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标项</w:t>
      </w:r>
      <w:r>
        <w:rPr>
          <w:rFonts w:hint="eastAsia" w:ascii="宋体" w:hAnsi="宋体" w:cs="宋体"/>
          <w:bCs/>
          <w:color w:val="auto"/>
          <w:szCs w:val="21"/>
          <w:highlight w:val="none"/>
          <w:lang w:eastAsia="zh-CN"/>
        </w:rPr>
        <w:t>四为“</w:t>
      </w:r>
      <w:r>
        <w:rPr>
          <w:rFonts w:hint="eastAsia" w:ascii="宋体" w:hAnsi="宋体" w:cs="宋体"/>
          <w:bCs/>
          <w:color w:val="auto"/>
          <w:szCs w:val="21"/>
          <w:highlight w:val="none"/>
        </w:rPr>
        <w:t>经颅多普勒超声诊断仪</w:t>
      </w:r>
      <w:r>
        <w:rPr>
          <w:rFonts w:hint="eastAsia" w:ascii="宋体" w:hAnsi="宋体" w:cs="宋体"/>
          <w:bCs/>
          <w:color w:val="auto"/>
          <w:szCs w:val="21"/>
          <w:highlight w:val="none"/>
          <w:lang w:eastAsia="zh-CN"/>
        </w:rPr>
        <w:t>”。</w:t>
      </w:r>
    </w:p>
    <w:p w14:paraId="777E5505">
      <w:pPr>
        <w:spacing w:line="560" w:lineRule="exact"/>
        <w:jc w:val="left"/>
        <w:rPr>
          <w:rFonts w:ascii="宋体" w:hAnsi="宋体" w:cs="宋体"/>
          <w:b/>
          <w:bCs/>
          <w:color w:val="auto"/>
          <w:szCs w:val="21"/>
          <w:highlight w:val="none"/>
        </w:rPr>
      </w:pPr>
      <w:r>
        <w:rPr>
          <w:rFonts w:hint="eastAsia" w:ascii="宋体" w:hAnsi="宋体" w:cs="宋体"/>
          <w:bCs/>
          <w:color w:val="auto"/>
          <w:szCs w:val="21"/>
          <w:highlight w:val="none"/>
          <w:u w:val="single"/>
        </w:rPr>
        <w:br w:type="page"/>
      </w:r>
      <w:bookmarkEnd w:id="41"/>
      <w:bookmarkEnd w:id="42"/>
      <w:r>
        <w:rPr>
          <w:rFonts w:hint="eastAsia" w:ascii="宋体" w:hAnsi="宋体" w:cs="宋体"/>
          <w:b/>
          <w:bCs/>
          <w:color w:val="auto"/>
          <w:szCs w:val="21"/>
          <w:highlight w:val="none"/>
        </w:rPr>
        <w:t xml:space="preserve">  </w:t>
      </w:r>
      <w:r>
        <w:rPr>
          <w:rFonts w:hint="eastAsia"/>
          <w:b/>
          <w:color w:val="auto"/>
          <w:sz w:val="24"/>
          <w:highlight w:val="none"/>
        </w:rPr>
        <w:t>标项一</w:t>
      </w:r>
      <w:r>
        <w:rPr>
          <w:rFonts w:hint="eastAsia" w:ascii="宋体" w:hAnsi="宋体" w:cs="宋体"/>
          <w:b/>
          <w:bCs/>
          <w:color w:val="auto"/>
          <w:szCs w:val="21"/>
          <w:highlight w:val="none"/>
        </w:rPr>
        <w:t>技术参数表：</w:t>
      </w:r>
    </w:p>
    <w:tbl>
      <w:tblPr>
        <w:tblStyle w:val="48"/>
        <w:tblW w:w="8977" w:type="dxa"/>
        <w:tblInd w:w="93" w:type="dxa"/>
        <w:tblLayout w:type="autofit"/>
        <w:tblCellMar>
          <w:top w:w="0" w:type="dxa"/>
          <w:left w:w="108" w:type="dxa"/>
          <w:bottom w:w="0" w:type="dxa"/>
          <w:right w:w="108" w:type="dxa"/>
        </w:tblCellMar>
      </w:tblPr>
      <w:tblGrid>
        <w:gridCol w:w="429"/>
        <w:gridCol w:w="889"/>
        <w:gridCol w:w="6596"/>
        <w:gridCol w:w="636"/>
        <w:gridCol w:w="427"/>
      </w:tblGrid>
      <w:tr w14:paraId="048CC2CA">
        <w:tblPrEx>
          <w:tblCellMar>
            <w:top w:w="0" w:type="dxa"/>
            <w:left w:w="108" w:type="dxa"/>
            <w:bottom w:w="0" w:type="dxa"/>
            <w:right w:w="108" w:type="dxa"/>
          </w:tblCellMar>
        </w:tblPrEx>
        <w:trPr>
          <w:trHeight w:val="694" w:hRule="atLeast"/>
        </w:trPr>
        <w:tc>
          <w:tcPr>
            <w:tcW w:w="429" w:type="dxa"/>
            <w:tcBorders>
              <w:top w:val="single" w:color="000000" w:sz="4" w:space="0"/>
              <w:left w:val="single" w:color="000000" w:sz="4" w:space="0"/>
              <w:bottom w:val="single" w:color="000000" w:sz="4" w:space="0"/>
              <w:right w:val="single" w:color="000000" w:sz="4" w:space="0"/>
            </w:tcBorders>
            <w:vAlign w:val="center"/>
          </w:tcPr>
          <w:p w14:paraId="62F9D531">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rPr>
              <w:t>序号</w:t>
            </w:r>
          </w:p>
        </w:tc>
        <w:tc>
          <w:tcPr>
            <w:tcW w:w="907" w:type="dxa"/>
            <w:tcBorders>
              <w:top w:val="single" w:color="000000" w:sz="4" w:space="0"/>
              <w:left w:val="single" w:color="000000" w:sz="4" w:space="0"/>
              <w:bottom w:val="single" w:color="000000" w:sz="4" w:space="0"/>
              <w:right w:val="single" w:color="000000" w:sz="4" w:space="0"/>
            </w:tcBorders>
            <w:vAlign w:val="center"/>
          </w:tcPr>
          <w:p w14:paraId="6579D0E5">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rPr>
              <w:t>设备名称</w:t>
            </w:r>
          </w:p>
        </w:tc>
        <w:tc>
          <w:tcPr>
            <w:tcW w:w="6787" w:type="dxa"/>
            <w:tcBorders>
              <w:top w:val="single" w:color="000000" w:sz="4" w:space="0"/>
              <w:left w:val="single" w:color="000000" w:sz="4" w:space="0"/>
              <w:bottom w:val="single" w:color="000000" w:sz="4" w:space="0"/>
              <w:right w:val="single" w:color="000000" w:sz="4" w:space="0"/>
            </w:tcBorders>
            <w:vAlign w:val="center"/>
          </w:tcPr>
          <w:p w14:paraId="1B2C6958">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rPr>
              <w:t>主要性能指标</w:t>
            </w:r>
          </w:p>
        </w:tc>
        <w:tc>
          <w:tcPr>
            <w:tcW w:w="427" w:type="dxa"/>
            <w:tcBorders>
              <w:top w:val="single" w:color="000000" w:sz="4" w:space="0"/>
              <w:left w:val="single" w:color="000000" w:sz="4" w:space="0"/>
              <w:bottom w:val="single" w:color="000000" w:sz="4" w:space="0"/>
              <w:right w:val="single" w:color="000000" w:sz="4" w:space="0"/>
            </w:tcBorders>
            <w:vAlign w:val="center"/>
          </w:tcPr>
          <w:p w14:paraId="0E05A716">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rPr>
              <w:t>单位</w:t>
            </w:r>
          </w:p>
        </w:tc>
        <w:tc>
          <w:tcPr>
            <w:tcW w:w="427" w:type="dxa"/>
            <w:tcBorders>
              <w:top w:val="single" w:color="000000" w:sz="4" w:space="0"/>
              <w:left w:val="single" w:color="000000" w:sz="4" w:space="0"/>
              <w:bottom w:val="single" w:color="000000" w:sz="4" w:space="0"/>
              <w:right w:val="single" w:color="000000" w:sz="4" w:space="0"/>
            </w:tcBorders>
            <w:vAlign w:val="center"/>
          </w:tcPr>
          <w:p w14:paraId="71F088FD">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rPr>
              <w:t>数量</w:t>
            </w:r>
          </w:p>
        </w:tc>
      </w:tr>
      <w:tr w14:paraId="55191F86">
        <w:tblPrEx>
          <w:tblCellMar>
            <w:top w:w="0" w:type="dxa"/>
            <w:left w:w="108" w:type="dxa"/>
            <w:bottom w:w="0" w:type="dxa"/>
            <w:right w:w="108" w:type="dxa"/>
          </w:tblCellMar>
        </w:tblPrEx>
        <w:trPr>
          <w:trHeight w:val="90" w:hRule="atLeast"/>
        </w:trPr>
        <w:tc>
          <w:tcPr>
            <w:tcW w:w="429" w:type="dxa"/>
            <w:tcBorders>
              <w:top w:val="single" w:color="000000" w:sz="4" w:space="0"/>
              <w:left w:val="single" w:color="000000" w:sz="4" w:space="0"/>
              <w:bottom w:val="single" w:color="000000" w:sz="4" w:space="0"/>
              <w:right w:val="single" w:color="000000" w:sz="4" w:space="0"/>
            </w:tcBorders>
            <w:vAlign w:val="center"/>
          </w:tcPr>
          <w:p w14:paraId="74FBDD1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p>
        </w:tc>
        <w:tc>
          <w:tcPr>
            <w:tcW w:w="907" w:type="dxa"/>
            <w:tcBorders>
              <w:top w:val="single" w:color="000000" w:sz="4" w:space="0"/>
              <w:left w:val="single" w:color="000000" w:sz="4" w:space="0"/>
              <w:bottom w:val="single" w:color="auto" w:sz="4" w:space="0"/>
              <w:right w:val="single" w:color="000000" w:sz="4" w:space="0"/>
            </w:tcBorders>
            <w:vAlign w:val="center"/>
          </w:tcPr>
          <w:p w14:paraId="67694632">
            <w:pPr>
              <w:widowControl/>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LED手术无影灯</w:t>
            </w:r>
            <w:r>
              <w:rPr>
                <w:rFonts w:hint="eastAsia" w:ascii="宋体" w:hAnsi="宋体" w:cs="宋体"/>
                <w:color w:val="auto"/>
                <w:szCs w:val="21"/>
                <w:highlight w:val="none"/>
                <w:lang w:eastAsia="zh-CN"/>
              </w:rPr>
              <w:t>（按键式）</w:t>
            </w:r>
          </w:p>
        </w:tc>
        <w:tc>
          <w:tcPr>
            <w:tcW w:w="6787" w:type="dxa"/>
            <w:tcBorders>
              <w:top w:val="single" w:color="000000" w:sz="4" w:space="0"/>
              <w:left w:val="single" w:color="000000" w:sz="4" w:space="0"/>
              <w:bottom w:val="single" w:color="auto" w:sz="4" w:space="0"/>
              <w:right w:val="single" w:color="000000" w:sz="4" w:space="0"/>
            </w:tcBorders>
          </w:tcPr>
          <w:p w14:paraId="368CB512">
            <w:pPr>
              <w:pStyle w:val="130"/>
              <w:numPr>
                <w:ilvl w:val="1"/>
                <w:numId w:val="0"/>
              </w:numPr>
              <w:spacing w:line="30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1.无影灯采用双母灯设计，采用LED冷光技术，每组LED光源都有单独的透镜聚光</w:t>
            </w:r>
            <w:r>
              <w:rPr>
                <w:rFonts w:hint="eastAsia" w:ascii="宋体" w:hAnsi="宋体" w:cs="宋体"/>
                <w:color w:val="auto"/>
                <w:szCs w:val="21"/>
                <w:highlight w:val="none"/>
                <w:lang w:eastAsia="zh-CN"/>
              </w:rPr>
              <w:t>。</w:t>
            </w:r>
          </w:p>
          <w:p w14:paraId="0BB6677B">
            <w:pPr>
              <w:pStyle w:val="130"/>
              <w:numPr>
                <w:ilvl w:val="1"/>
                <w:numId w:val="0"/>
              </w:numPr>
              <w:spacing w:line="30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2.▲灯头为风车型设计，母灯符合现代层流手术室感控要求扰流指数：＜19%</w:t>
            </w:r>
            <w:r>
              <w:rPr>
                <w:rFonts w:hint="eastAsia" w:ascii="宋体" w:hAnsi="宋体" w:cs="宋体"/>
                <w:color w:val="auto"/>
                <w:szCs w:val="21"/>
                <w:highlight w:val="none"/>
                <w:lang w:eastAsia="zh-CN"/>
              </w:rPr>
              <w:t>。</w:t>
            </w:r>
          </w:p>
          <w:p w14:paraId="135C36FA">
            <w:pPr>
              <w:pStyle w:val="130"/>
              <w:numPr>
                <w:ilvl w:val="1"/>
                <w:numId w:val="0"/>
              </w:num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3.▲手术灯灯头防水防尘等级≥IP54</w:t>
            </w:r>
          </w:p>
          <w:p w14:paraId="718E973A">
            <w:pPr>
              <w:pStyle w:val="130"/>
              <w:numPr>
                <w:ilvl w:val="1"/>
                <w:numId w:val="0"/>
              </w:num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4.▲照明深度实测值：≥1300mm</w:t>
            </w:r>
          </w:p>
          <w:p w14:paraId="58B62A04">
            <w:pPr>
              <w:pStyle w:val="130"/>
              <w:numPr>
                <w:ilvl w:val="1"/>
                <w:numId w:val="0"/>
              </w:num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5.▲支持电子式光斑调节：最小光斑直径≤160mm，最大≥270mm，光斑调节过程中灯盘无机械角度变化；</w:t>
            </w:r>
          </w:p>
          <w:p w14:paraId="248C0598">
            <w:pPr>
              <w:pStyle w:val="130"/>
              <w:numPr>
                <w:ilvl w:val="1"/>
                <w:numId w:val="0"/>
              </w:num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6.▲光斑均匀性：d50/d10≥60%；</w:t>
            </w:r>
          </w:p>
          <w:p w14:paraId="31ECD110">
            <w:pPr>
              <w:pStyle w:val="130"/>
              <w:numPr>
                <w:ilvl w:val="1"/>
                <w:numId w:val="0"/>
              </w:num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7.母灯中心照度：不小于160,000Lx</w:t>
            </w:r>
          </w:p>
          <w:p w14:paraId="3DAEC21D">
            <w:pPr>
              <w:pStyle w:val="130"/>
              <w:numPr>
                <w:ilvl w:val="1"/>
                <w:numId w:val="0"/>
              </w:num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8.双母灯深腔照明率实测值：不小于100%；</w:t>
            </w:r>
          </w:p>
          <w:p w14:paraId="30B2FE3B">
            <w:pPr>
              <w:pStyle w:val="130"/>
              <w:numPr>
                <w:ilvl w:val="1"/>
                <w:numId w:val="0"/>
              </w:num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偏置单遮板无影率实测值：不小于80%；</w:t>
            </w:r>
          </w:p>
          <w:p w14:paraId="54A4966B">
            <w:pPr>
              <w:pStyle w:val="130"/>
              <w:numPr>
                <w:ilvl w:val="1"/>
                <w:numId w:val="0"/>
              </w:num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偏置单遮板+深腔无影率实测值：不小于80%；</w:t>
            </w:r>
          </w:p>
          <w:p w14:paraId="71B4FCCA">
            <w:pPr>
              <w:pStyle w:val="130"/>
              <w:numPr>
                <w:ilvl w:val="1"/>
                <w:numId w:val="0"/>
              </w:num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9.显色指数Ra：≥ 97。</w:t>
            </w:r>
          </w:p>
          <w:p w14:paraId="6B7EAA47">
            <w:pPr>
              <w:pStyle w:val="130"/>
              <w:numPr>
                <w:ilvl w:val="1"/>
                <w:numId w:val="0"/>
              </w:num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显色指数R9-≥97；</w:t>
            </w:r>
          </w:p>
          <w:p w14:paraId="3B7EE546">
            <w:pPr>
              <w:pStyle w:val="130"/>
              <w:numPr>
                <w:ilvl w:val="1"/>
                <w:numId w:val="0"/>
              </w:num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10.采用按键式控制操作方式。</w:t>
            </w:r>
          </w:p>
          <w:p w14:paraId="0DB16B30">
            <w:pPr>
              <w:pStyle w:val="130"/>
              <w:numPr>
                <w:ilvl w:val="1"/>
                <w:numId w:val="0"/>
              </w:num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11.配置可拆卸消毒手柄</w:t>
            </w:r>
          </w:p>
          <w:p w14:paraId="2C064494">
            <w:pPr>
              <w:pStyle w:val="130"/>
              <w:numPr>
                <w:ilvl w:val="1"/>
                <w:numId w:val="0"/>
              </w:num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12.▲支持后期升级无线摄像头，无线摄像头与多功能手柄可无工具快速更换，多手术间共享摄像；</w:t>
            </w:r>
          </w:p>
          <w:p w14:paraId="3D78F4DD">
            <w:pPr>
              <w:pStyle w:val="130"/>
              <w:numPr>
                <w:ilvl w:val="1"/>
                <w:numId w:val="0"/>
              </w:num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13.▲延伸臂绕中心轴旋转范围；无限位。弹簧臂绕延伸臂旋转范围；无限位。C 臂绕弹簧臂旋转范围；无限位；</w:t>
            </w:r>
          </w:p>
          <w:p w14:paraId="6771151E">
            <w:pPr>
              <w:pStyle w:val="130"/>
              <w:numPr>
                <w:ilvl w:val="1"/>
                <w:numId w:val="0"/>
              </w:num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14.普通腔镜模式环境光照度：8000lux；</w:t>
            </w:r>
          </w:p>
          <w:p w14:paraId="53D86AE1">
            <w:pPr>
              <w:pStyle w:val="130"/>
              <w:numPr>
                <w:ilvl w:val="1"/>
                <w:numId w:val="0"/>
              </w:num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15.▲无影灯采用模块化设计，安装时不需要拆卸天花且不会改变层流结构，即可于无影灯旋转体基础上升级第三臂或第四臂显示器悬挂系统；</w:t>
            </w:r>
          </w:p>
          <w:p w14:paraId="6CD079D7">
            <w:pPr>
              <w:pStyle w:val="130"/>
              <w:numPr>
                <w:ilvl w:val="1"/>
                <w:numId w:val="0"/>
              </w:num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16.▲具备照度稳定技术，保证手术灯十年寿命周期内照度稳定；</w:t>
            </w:r>
          </w:p>
          <w:p w14:paraId="63DB3B5B">
            <w:pPr>
              <w:pStyle w:val="130"/>
              <w:numPr>
                <w:ilvl w:val="1"/>
                <w:numId w:val="0"/>
              </w:num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17.▲质保期：≥3年。</w:t>
            </w:r>
          </w:p>
          <w:p w14:paraId="2018DBAD">
            <w:pPr>
              <w:pStyle w:val="130"/>
              <w:numPr>
                <w:ilvl w:val="1"/>
                <w:numId w:val="0"/>
              </w:num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18.配置清单</w:t>
            </w:r>
          </w:p>
          <w:p w14:paraId="56FF1FAA">
            <w:pPr>
              <w:pStyle w:val="130"/>
              <w:numPr>
                <w:ilvl w:val="1"/>
                <w:numId w:val="0"/>
              </w:num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1)双灯悬吊系统</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w:t>
            </w:r>
          </w:p>
          <w:p w14:paraId="1022FAEA">
            <w:pPr>
              <w:pStyle w:val="130"/>
              <w:numPr>
                <w:ilvl w:val="1"/>
                <w:numId w:val="0"/>
              </w:num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2)灯头带C臂组件</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2</w:t>
            </w:r>
          </w:p>
          <w:p w14:paraId="7F37F524">
            <w:pPr>
              <w:pStyle w:val="130"/>
              <w:numPr>
                <w:ilvl w:val="1"/>
                <w:numId w:val="0"/>
              </w:num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3)灭菌手柄</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2</w:t>
            </w:r>
          </w:p>
          <w:p w14:paraId="090B886C">
            <w:pPr>
              <w:pStyle w:val="130"/>
              <w:numPr>
                <w:ilvl w:val="1"/>
                <w:numId w:val="0"/>
              </w:num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4)天花吊顶装饰组件</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w:t>
            </w:r>
          </w:p>
          <w:p w14:paraId="0FA80894">
            <w:pPr>
              <w:pStyle w:val="130"/>
              <w:numPr>
                <w:ilvl w:val="1"/>
                <w:numId w:val="0"/>
              </w:num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5)LED灯标准安装及服务（全包）</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w:t>
            </w:r>
          </w:p>
          <w:p w14:paraId="3E5C56E0">
            <w:pPr>
              <w:pStyle w:val="130"/>
              <w:numPr>
                <w:ilvl w:val="1"/>
                <w:numId w:val="0"/>
              </w:num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6)普通手柄 </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2</w:t>
            </w:r>
          </w:p>
          <w:p w14:paraId="3BD38ED7">
            <w:pPr>
              <w:pStyle w:val="130"/>
              <w:numPr>
                <w:ilvl w:val="1"/>
                <w:numId w:val="0"/>
              </w:num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7)灯头，按键臂控</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2</w:t>
            </w:r>
          </w:p>
          <w:p w14:paraId="3F42E8ED">
            <w:pPr>
              <w:pStyle w:val="130"/>
              <w:numPr>
                <w:ilvl w:val="1"/>
                <w:numId w:val="0"/>
              </w:numPr>
              <w:spacing w:line="3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8)普通腔镜环境光（8000lux）</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2。</w:t>
            </w:r>
          </w:p>
        </w:tc>
        <w:tc>
          <w:tcPr>
            <w:tcW w:w="427" w:type="dxa"/>
            <w:tcBorders>
              <w:top w:val="single" w:color="000000" w:sz="4" w:space="0"/>
              <w:left w:val="single" w:color="000000" w:sz="4" w:space="0"/>
              <w:bottom w:val="single" w:color="000000" w:sz="4" w:space="0"/>
              <w:right w:val="single" w:color="000000" w:sz="4" w:space="0"/>
            </w:tcBorders>
            <w:vAlign w:val="center"/>
          </w:tcPr>
          <w:p w14:paraId="0EB05B93">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套</w:t>
            </w:r>
          </w:p>
        </w:tc>
        <w:tc>
          <w:tcPr>
            <w:tcW w:w="427" w:type="dxa"/>
            <w:tcBorders>
              <w:top w:val="single" w:color="000000" w:sz="4" w:space="0"/>
              <w:left w:val="single" w:color="000000" w:sz="4" w:space="0"/>
              <w:bottom w:val="single" w:color="000000" w:sz="4" w:space="0"/>
              <w:right w:val="single" w:color="000000" w:sz="4" w:space="0"/>
            </w:tcBorders>
            <w:vAlign w:val="center"/>
          </w:tcPr>
          <w:p w14:paraId="2F735D29">
            <w:pPr>
              <w:widowControl/>
              <w:jc w:val="center"/>
              <w:textAlignment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 xml:space="preserve"> </w:t>
            </w:r>
          </w:p>
        </w:tc>
      </w:tr>
      <w:tr w14:paraId="527CCAEF">
        <w:tblPrEx>
          <w:tblCellMar>
            <w:top w:w="0" w:type="dxa"/>
            <w:left w:w="108" w:type="dxa"/>
            <w:bottom w:w="0" w:type="dxa"/>
            <w:right w:w="108" w:type="dxa"/>
          </w:tblCellMar>
        </w:tblPrEx>
        <w:trPr>
          <w:trHeight w:val="90" w:hRule="atLeast"/>
        </w:trPr>
        <w:tc>
          <w:tcPr>
            <w:tcW w:w="429" w:type="dxa"/>
            <w:tcBorders>
              <w:top w:val="single" w:color="000000" w:sz="4" w:space="0"/>
              <w:left w:val="single" w:color="000000" w:sz="4" w:space="0"/>
              <w:bottom w:val="single" w:color="000000" w:sz="4" w:space="0"/>
              <w:right w:val="single" w:color="auto" w:sz="4" w:space="0"/>
            </w:tcBorders>
            <w:vAlign w:val="center"/>
          </w:tcPr>
          <w:p w14:paraId="53247026">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907" w:type="dxa"/>
            <w:tcBorders>
              <w:top w:val="single" w:color="auto" w:sz="4" w:space="0"/>
              <w:left w:val="single" w:color="auto" w:sz="4" w:space="0"/>
              <w:bottom w:val="single" w:color="auto" w:sz="4" w:space="0"/>
              <w:right w:val="single" w:color="auto" w:sz="4" w:space="0"/>
            </w:tcBorders>
            <w:vAlign w:val="center"/>
          </w:tcPr>
          <w:p w14:paraId="5C694F2A">
            <w:pPr>
              <w:widowControl/>
              <w:jc w:val="center"/>
              <w:textAlignment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LED手术无影灯</w:t>
            </w:r>
            <w:r>
              <w:rPr>
                <w:rFonts w:hint="eastAsia" w:ascii="宋体" w:hAnsi="宋体" w:cs="宋体"/>
                <w:color w:val="auto"/>
                <w:kern w:val="0"/>
                <w:szCs w:val="21"/>
                <w:highlight w:val="none"/>
                <w:lang w:eastAsia="zh-CN"/>
              </w:rPr>
              <w:t>（触摸屏）</w:t>
            </w:r>
          </w:p>
        </w:tc>
        <w:tc>
          <w:tcPr>
            <w:tcW w:w="6787" w:type="dxa"/>
            <w:tcBorders>
              <w:top w:val="single" w:color="auto" w:sz="4" w:space="0"/>
              <w:left w:val="single" w:color="auto" w:sz="4" w:space="0"/>
              <w:bottom w:val="single" w:color="auto" w:sz="4" w:space="0"/>
              <w:right w:val="single" w:color="auto" w:sz="4" w:space="0"/>
            </w:tcBorders>
          </w:tcPr>
          <w:p w14:paraId="51C58882">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1.无影灯采用双母灯设计，采用LED冷光技术，每组LED光源都有单独的透镜聚光</w:t>
            </w:r>
          </w:p>
          <w:p w14:paraId="71BD33C1">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2.▲灯头为风车型设计，母灯符合现代层流手术室感控要求</w:t>
            </w:r>
          </w:p>
          <w:p w14:paraId="35980E69">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扰流指数：＜19%</w:t>
            </w:r>
          </w:p>
          <w:p w14:paraId="46B7373D">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3.▲手术灯灯头防水防尘等级≥IP54</w:t>
            </w:r>
          </w:p>
          <w:p w14:paraId="56E2A875">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4.▲照明深度实测值：≥1300mm</w:t>
            </w:r>
          </w:p>
          <w:p w14:paraId="0694A75B">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5.▲支持电子式光斑调节：最小光斑直径≤160mm，最大≥270mm，光斑调节过程中灯盘无机械角度变化；</w:t>
            </w:r>
          </w:p>
          <w:p w14:paraId="1C61DA09">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6.▲光斑均匀性：d50/d10≥60%；</w:t>
            </w:r>
          </w:p>
          <w:p w14:paraId="67D7603C">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7.母灯中心照度：不小于160,000Lx</w:t>
            </w:r>
          </w:p>
          <w:p w14:paraId="373843C4">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8.双母灯深腔照明率实测值：不小于100%；</w:t>
            </w:r>
          </w:p>
          <w:p w14:paraId="647024C7">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偏置单遮板无影率实测值：不小于80%；</w:t>
            </w:r>
          </w:p>
          <w:p w14:paraId="2D9D8909">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偏置单遮板+深腔无影率实测值：不小于80%；</w:t>
            </w:r>
          </w:p>
          <w:p w14:paraId="5B95A93C">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9.显色指数Ra：≥ 97。</w:t>
            </w:r>
          </w:p>
          <w:p w14:paraId="6EEBE593">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显色指数R9-≥97；</w:t>
            </w:r>
          </w:p>
          <w:p w14:paraId="66B7FDA7">
            <w:pP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10.▲采用触摸屏式控制操作方式。</w:t>
            </w:r>
          </w:p>
          <w:p w14:paraId="6C5A85B0">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11.配置可拆卸消毒手柄</w:t>
            </w:r>
          </w:p>
          <w:p w14:paraId="1524AC22">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12.▲支持后期升级无线摄像头，无线摄像头与多功能手柄可无工具快速更换，多手术间共享摄像；</w:t>
            </w:r>
          </w:p>
          <w:p w14:paraId="76587D0C">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13.▲延伸臂绕中心轴旋转范围；无限位。弹簧臂绕延伸臂旋转范围；无限位。C 臂绕弹簧臂旋转范围；无限位；</w:t>
            </w:r>
          </w:p>
          <w:p w14:paraId="3AE20B86">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14.普通腔镜模式环境光</w:t>
            </w:r>
          </w:p>
          <w:p w14:paraId="6524E533">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照度：8000lux；</w:t>
            </w:r>
          </w:p>
          <w:p w14:paraId="15F26D0C">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15.▲无影灯采用模块化设计，安装时不需要拆卸天花且不会改变层流结构，即可于无影灯旋转体基础上升级第三臂或第四臂显示器悬挂系统；</w:t>
            </w:r>
          </w:p>
          <w:p w14:paraId="06D12D11">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16.▲具备照度稳定技术，保证手术灯十年寿命周期内照度稳定；</w:t>
            </w:r>
          </w:p>
          <w:p w14:paraId="1749D8FC">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质保期：≥3年。</w:t>
            </w:r>
          </w:p>
          <w:p w14:paraId="22B785B9">
            <w:pPr>
              <w:pStyle w:val="130"/>
              <w:numPr>
                <w:ilvl w:val="1"/>
                <w:numId w:val="0"/>
              </w:numPr>
              <w:spacing w:line="30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18.配置清单</w:t>
            </w:r>
          </w:p>
          <w:p w14:paraId="4E218211">
            <w:pPr>
              <w:pStyle w:val="130"/>
              <w:numPr>
                <w:ilvl w:val="1"/>
                <w:numId w:val="0"/>
              </w:numPr>
              <w:spacing w:line="300" w:lineRule="exact"/>
              <w:jc w:val="left"/>
              <w:rPr>
                <w:rFonts w:hint="default" w:ascii="宋体" w:hAnsi="宋体" w:cs="宋体"/>
                <w:color w:val="auto"/>
                <w:szCs w:val="21"/>
                <w:highlight w:val="none"/>
                <w:lang w:val="en-US" w:eastAsia="zh-CN"/>
              </w:rPr>
            </w:pPr>
            <w:r>
              <w:rPr>
                <w:rFonts w:hint="default" w:ascii="宋体" w:hAnsi="宋体" w:cs="宋体"/>
                <w:color w:val="auto"/>
                <w:szCs w:val="21"/>
                <w:highlight w:val="none"/>
                <w:lang w:val="en-US" w:eastAsia="zh-CN"/>
              </w:rPr>
              <w:t>1)双灯悬吊系统</w:t>
            </w:r>
            <w:r>
              <w:rPr>
                <w:rFonts w:hint="default" w:ascii="宋体" w:hAnsi="宋体" w:cs="宋体"/>
                <w:color w:val="auto"/>
                <w:szCs w:val="21"/>
                <w:highlight w:val="none"/>
                <w:lang w:val="en-US" w:eastAsia="zh-CN"/>
              </w:rPr>
              <w:tab/>
            </w:r>
            <w:r>
              <w:rPr>
                <w:rFonts w:hint="default" w:ascii="宋体" w:hAnsi="宋体" w:cs="宋体"/>
                <w:color w:val="auto"/>
                <w:szCs w:val="21"/>
                <w:highlight w:val="none"/>
                <w:lang w:val="en-US" w:eastAsia="zh-CN"/>
              </w:rPr>
              <w:t>1</w:t>
            </w:r>
          </w:p>
          <w:p w14:paraId="35ABCF7C">
            <w:pPr>
              <w:pStyle w:val="130"/>
              <w:numPr>
                <w:ilvl w:val="1"/>
                <w:numId w:val="0"/>
              </w:numPr>
              <w:spacing w:line="300" w:lineRule="exact"/>
              <w:jc w:val="left"/>
              <w:rPr>
                <w:rFonts w:hint="default" w:ascii="宋体" w:hAnsi="宋体" w:cs="宋体"/>
                <w:color w:val="auto"/>
                <w:szCs w:val="21"/>
                <w:highlight w:val="none"/>
                <w:lang w:val="en-US" w:eastAsia="zh-CN"/>
              </w:rPr>
            </w:pPr>
            <w:r>
              <w:rPr>
                <w:rFonts w:hint="default" w:ascii="宋体" w:hAnsi="宋体" w:cs="宋体"/>
                <w:color w:val="auto"/>
                <w:szCs w:val="21"/>
                <w:highlight w:val="none"/>
                <w:lang w:val="en-US" w:eastAsia="zh-CN"/>
              </w:rPr>
              <w:t>2)灯头带C臂组件</w:t>
            </w:r>
            <w:r>
              <w:rPr>
                <w:rFonts w:hint="default" w:ascii="宋体" w:hAnsi="宋体" w:cs="宋体"/>
                <w:color w:val="auto"/>
                <w:szCs w:val="21"/>
                <w:highlight w:val="none"/>
                <w:lang w:val="en-US" w:eastAsia="zh-CN"/>
              </w:rPr>
              <w:tab/>
            </w:r>
            <w:r>
              <w:rPr>
                <w:rFonts w:hint="default" w:ascii="宋体" w:hAnsi="宋体" w:cs="宋体"/>
                <w:color w:val="auto"/>
                <w:szCs w:val="21"/>
                <w:highlight w:val="none"/>
                <w:lang w:val="en-US" w:eastAsia="zh-CN"/>
              </w:rPr>
              <w:t>2</w:t>
            </w:r>
          </w:p>
          <w:p w14:paraId="3A6ED617">
            <w:pPr>
              <w:pStyle w:val="130"/>
              <w:numPr>
                <w:ilvl w:val="1"/>
                <w:numId w:val="0"/>
              </w:numPr>
              <w:spacing w:line="300" w:lineRule="exact"/>
              <w:jc w:val="left"/>
              <w:rPr>
                <w:rFonts w:hint="default" w:ascii="宋体" w:hAnsi="宋体" w:cs="宋体"/>
                <w:color w:val="auto"/>
                <w:szCs w:val="21"/>
                <w:highlight w:val="none"/>
                <w:lang w:val="en-US" w:eastAsia="zh-CN"/>
              </w:rPr>
            </w:pPr>
            <w:r>
              <w:rPr>
                <w:rFonts w:hint="default" w:ascii="宋体" w:hAnsi="宋体" w:cs="宋体"/>
                <w:color w:val="auto"/>
                <w:szCs w:val="21"/>
                <w:highlight w:val="none"/>
                <w:lang w:val="en-US" w:eastAsia="zh-CN"/>
              </w:rPr>
              <w:t>3)灭菌手柄</w:t>
            </w:r>
            <w:r>
              <w:rPr>
                <w:rFonts w:hint="default" w:ascii="宋体" w:hAnsi="宋体" w:cs="宋体"/>
                <w:color w:val="auto"/>
                <w:szCs w:val="21"/>
                <w:highlight w:val="none"/>
                <w:lang w:val="en-US" w:eastAsia="zh-CN"/>
              </w:rPr>
              <w:tab/>
            </w:r>
            <w:r>
              <w:rPr>
                <w:rFonts w:hint="default" w:ascii="宋体" w:hAnsi="宋体" w:cs="宋体"/>
                <w:color w:val="auto"/>
                <w:szCs w:val="21"/>
                <w:highlight w:val="none"/>
                <w:lang w:val="en-US" w:eastAsia="zh-CN"/>
              </w:rPr>
              <w:t>2</w:t>
            </w:r>
          </w:p>
          <w:p w14:paraId="29E05152">
            <w:pPr>
              <w:pStyle w:val="130"/>
              <w:numPr>
                <w:ilvl w:val="1"/>
                <w:numId w:val="0"/>
              </w:numPr>
              <w:spacing w:line="300" w:lineRule="exact"/>
              <w:jc w:val="left"/>
              <w:rPr>
                <w:rFonts w:hint="default" w:ascii="宋体" w:hAnsi="宋体" w:cs="宋体"/>
                <w:color w:val="auto"/>
                <w:szCs w:val="21"/>
                <w:highlight w:val="none"/>
                <w:lang w:val="en-US" w:eastAsia="zh-CN"/>
              </w:rPr>
            </w:pPr>
            <w:r>
              <w:rPr>
                <w:rFonts w:hint="default" w:ascii="宋体" w:hAnsi="宋体" w:cs="宋体"/>
                <w:color w:val="auto"/>
                <w:szCs w:val="21"/>
                <w:highlight w:val="none"/>
                <w:lang w:val="en-US" w:eastAsia="zh-CN"/>
              </w:rPr>
              <w:t>4)天花吊顶装饰组件</w:t>
            </w:r>
            <w:r>
              <w:rPr>
                <w:rFonts w:hint="default" w:ascii="宋体" w:hAnsi="宋体" w:cs="宋体"/>
                <w:color w:val="auto"/>
                <w:szCs w:val="21"/>
                <w:highlight w:val="none"/>
                <w:lang w:val="en-US" w:eastAsia="zh-CN"/>
              </w:rPr>
              <w:tab/>
            </w:r>
            <w:r>
              <w:rPr>
                <w:rFonts w:hint="default" w:ascii="宋体" w:hAnsi="宋体" w:cs="宋体"/>
                <w:color w:val="auto"/>
                <w:szCs w:val="21"/>
                <w:highlight w:val="none"/>
                <w:lang w:val="en-US" w:eastAsia="zh-CN"/>
              </w:rPr>
              <w:t>1</w:t>
            </w:r>
          </w:p>
          <w:p w14:paraId="4461B7F0">
            <w:pPr>
              <w:pStyle w:val="130"/>
              <w:numPr>
                <w:ilvl w:val="1"/>
                <w:numId w:val="0"/>
              </w:numPr>
              <w:spacing w:line="300" w:lineRule="exact"/>
              <w:jc w:val="left"/>
              <w:rPr>
                <w:rFonts w:hint="default" w:ascii="宋体" w:hAnsi="宋体" w:cs="宋体"/>
                <w:color w:val="auto"/>
                <w:szCs w:val="21"/>
                <w:highlight w:val="none"/>
                <w:lang w:val="en-US" w:eastAsia="zh-CN"/>
              </w:rPr>
            </w:pPr>
            <w:r>
              <w:rPr>
                <w:rFonts w:hint="default" w:ascii="宋体" w:hAnsi="宋体" w:cs="宋体"/>
                <w:color w:val="auto"/>
                <w:szCs w:val="21"/>
                <w:highlight w:val="none"/>
                <w:lang w:val="en-US" w:eastAsia="zh-CN"/>
              </w:rPr>
              <w:t>5)LED灯标准安装及服务（全包）</w:t>
            </w:r>
            <w:r>
              <w:rPr>
                <w:rFonts w:hint="default" w:ascii="宋体" w:hAnsi="宋体" w:cs="宋体"/>
                <w:color w:val="auto"/>
                <w:szCs w:val="21"/>
                <w:highlight w:val="none"/>
                <w:lang w:val="en-US" w:eastAsia="zh-CN"/>
              </w:rPr>
              <w:tab/>
            </w:r>
            <w:r>
              <w:rPr>
                <w:rFonts w:hint="default" w:ascii="宋体" w:hAnsi="宋体" w:cs="宋体"/>
                <w:color w:val="auto"/>
                <w:szCs w:val="21"/>
                <w:highlight w:val="none"/>
                <w:lang w:val="en-US" w:eastAsia="zh-CN"/>
              </w:rPr>
              <w:t>1</w:t>
            </w:r>
          </w:p>
          <w:p w14:paraId="7446810B">
            <w:pPr>
              <w:pStyle w:val="130"/>
              <w:numPr>
                <w:ilvl w:val="1"/>
                <w:numId w:val="0"/>
              </w:numPr>
              <w:spacing w:line="300" w:lineRule="exact"/>
              <w:jc w:val="left"/>
              <w:rPr>
                <w:rFonts w:hint="default" w:ascii="宋体" w:hAnsi="宋体" w:cs="宋体"/>
                <w:color w:val="auto"/>
                <w:szCs w:val="21"/>
                <w:highlight w:val="none"/>
                <w:lang w:val="en-US" w:eastAsia="zh-CN"/>
              </w:rPr>
            </w:pPr>
            <w:r>
              <w:rPr>
                <w:rFonts w:hint="default" w:ascii="宋体" w:hAnsi="宋体" w:cs="宋体"/>
                <w:color w:val="auto"/>
                <w:szCs w:val="21"/>
                <w:highlight w:val="none"/>
                <w:lang w:val="en-US" w:eastAsia="zh-CN"/>
              </w:rPr>
              <w:t xml:space="preserve">6)普通手柄 </w:t>
            </w:r>
            <w:r>
              <w:rPr>
                <w:rFonts w:hint="default" w:ascii="宋体" w:hAnsi="宋体" w:cs="宋体"/>
                <w:color w:val="auto"/>
                <w:szCs w:val="21"/>
                <w:highlight w:val="none"/>
                <w:lang w:val="en-US" w:eastAsia="zh-CN"/>
              </w:rPr>
              <w:tab/>
            </w:r>
            <w:r>
              <w:rPr>
                <w:rFonts w:hint="default" w:ascii="宋体" w:hAnsi="宋体" w:cs="宋体"/>
                <w:color w:val="auto"/>
                <w:szCs w:val="21"/>
                <w:highlight w:val="none"/>
                <w:lang w:val="en-US" w:eastAsia="zh-CN"/>
              </w:rPr>
              <w:t>2</w:t>
            </w:r>
          </w:p>
          <w:p w14:paraId="1E0A7CFF">
            <w:pPr>
              <w:pStyle w:val="130"/>
              <w:numPr>
                <w:ilvl w:val="1"/>
                <w:numId w:val="0"/>
              </w:numPr>
              <w:spacing w:line="300" w:lineRule="exact"/>
              <w:jc w:val="left"/>
              <w:rPr>
                <w:rFonts w:hint="default" w:ascii="宋体" w:hAnsi="宋体" w:cs="宋体"/>
                <w:color w:val="auto"/>
                <w:szCs w:val="21"/>
                <w:highlight w:val="none"/>
                <w:lang w:val="en-US" w:eastAsia="zh-CN"/>
              </w:rPr>
            </w:pPr>
            <w:r>
              <w:rPr>
                <w:rFonts w:hint="default" w:ascii="宋体" w:hAnsi="宋体" w:cs="宋体"/>
                <w:color w:val="auto"/>
                <w:szCs w:val="21"/>
                <w:highlight w:val="none"/>
                <w:lang w:val="en-US" w:eastAsia="zh-CN"/>
              </w:rPr>
              <w:t>7)灯头，</w:t>
            </w:r>
            <w:r>
              <w:rPr>
                <w:rFonts w:hint="eastAsia" w:ascii="宋体" w:hAnsi="宋体" w:cs="宋体"/>
                <w:color w:val="auto"/>
                <w:szCs w:val="21"/>
                <w:highlight w:val="none"/>
                <w:lang w:val="en-US" w:eastAsia="zh-CN"/>
              </w:rPr>
              <w:t>触摸</w:t>
            </w:r>
            <w:r>
              <w:rPr>
                <w:rFonts w:hint="default" w:ascii="宋体" w:hAnsi="宋体" w:cs="宋体"/>
                <w:color w:val="auto"/>
                <w:szCs w:val="21"/>
                <w:highlight w:val="none"/>
                <w:lang w:val="en-US" w:eastAsia="zh-CN"/>
              </w:rPr>
              <w:t>臂控</w:t>
            </w:r>
            <w:r>
              <w:rPr>
                <w:rFonts w:hint="default" w:ascii="宋体" w:hAnsi="宋体" w:cs="宋体"/>
                <w:color w:val="auto"/>
                <w:szCs w:val="21"/>
                <w:highlight w:val="none"/>
                <w:lang w:val="en-US" w:eastAsia="zh-CN"/>
              </w:rPr>
              <w:tab/>
            </w:r>
            <w:r>
              <w:rPr>
                <w:rFonts w:hint="default" w:ascii="宋体" w:hAnsi="宋体" w:cs="宋体"/>
                <w:color w:val="auto"/>
                <w:szCs w:val="21"/>
                <w:highlight w:val="none"/>
                <w:lang w:val="en-US" w:eastAsia="zh-CN"/>
              </w:rPr>
              <w:t>2</w:t>
            </w:r>
          </w:p>
          <w:p w14:paraId="6FB88398">
            <w:pPr>
              <w:rPr>
                <w:rFonts w:hint="eastAsia" w:ascii="宋体" w:hAnsi="宋体" w:eastAsia="宋体" w:cs="宋体"/>
                <w:color w:val="auto"/>
                <w:kern w:val="0"/>
                <w:szCs w:val="21"/>
                <w:highlight w:val="none"/>
              </w:rPr>
            </w:pPr>
            <w:r>
              <w:rPr>
                <w:rFonts w:hint="default" w:ascii="宋体" w:hAnsi="宋体" w:cs="宋体"/>
                <w:color w:val="auto"/>
                <w:szCs w:val="21"/>
                <w:highlight w:val="none"/>
                <w:lang w:val="en-US" w:eastAsia="zh-CN"/>
              </w:rPr>
              <w:t>8)普通腔镜环境光（8000lux）</w:t>
            </w:r>
            <w:r>
              <w:rPr>
                <w:rFonts w:hint="default" w:ascii="宋体" w:hAnsi="宋体" w:cs="宋体"/>
                <w:color w:val="auto"/>
                <w:szCs w:val="21"/>
                <w:highlight w:val="none"/>
                <w:lang w:val="en-US" w:eastAsia="zh-CN"/>
              </w:rPr>
              <w:tab/>
            </w:r>
            <w:r>
              <w:rPr>
                <w:rFonts w:hint="default" w:ascii="宋体" w:hAnsi="宋体" w:cs="宋体"/>
                <w:color w:val="auto"/>
                <w:szCs w:val="21"/>
                <w:highlight w:val="none"/>
                <w:lang w:val="en-US" w:eastAsia="zh-CN"/>
              </w:rPr>
              <w:t>2</w:t>
            </w:r>
            <w:r>
              <w:rPr>
                <w:rFonts w:hint="eastAsia" w:ascii="宋体" w:hAnsi="宋体" w:eastAsia="宋体" w:cs="宋体"/>
                <w:color w:val="auto"/>
                <w:kern w:val="0"/>
                <w:szCs w:val="21"/>
                <w:highlight w:val="none"/>
              </w:rPr>
              <w:t>。</w:t>
            </w:r>
          </w:p>
        </w:tc>
        <w:tc>
          <w:tcPr>
            <w:tcW w:w="427" w:type="dxa"/>
            <w:tcBorders>
              <w:top w:val="single" w:color="000000" w:sz="4" w:space="0"/>
              <w:left w:val="single" w:color="auto" w:sz="4" w:space="0"/>
              <w:bottom w:val="single" w:color="000000" w:sz="4" w:space="0"/>
              <w:right w:val="single" w:color="000000" w:sz="4" w:space="0"/>
            </w:tcBorders>
            <w:vAlign w:val="center"/>
          </w:tcPr>
          <w:p w14:paraId="26702575">
            <w:pPr>
              <w:widowControl/>
              <w:jc w:val="center"/>
              <w:textAlignment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套</w:t>
            </w:r>
          </w:p>
        </w:tc>
        <w:tc>
          <w:tcPr>
            <w:tcW w:w="427" w:type="dxa"/>
            <w:tcBorders>
              <w:top w:val="single" w:color="000000" w:sz="4" w:space="0"/>
              <w:left w:val="single" w:color="000000" w:sz="4" w:space="0"/>
              <w:bottom w:val="single" w:color="000000" w:sz="4" w:space="0"/>
              <w:right w:val="single" w:color="000000" w:sz="4" w:space="0"/>
            </w:tcBorders>
            <w:vAlign w:val="center"/>
          </w:tcPr>
          <w:p w14:paraId="35D47596">
            <w:pPr>
              <w:widowControl/>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r>
      <w:tr w14:paraId="125583FB">
        <w:tblPrEx>
          <w:tblCellMar>
            <w:top w:w="0" w:type="dxa"/>
            <w:left w:w="108" w:type="dxa"/>
            <w:bottom w:w="0" w:type="dxa"/>
            <w:right w:w="108" w:type="dxa"/>
          </w:tblCellMar>
        </w:tblPrEx>
        <w:trPr>
          <w:trHeight w:val="90" w:hRule="atLeast"/>
        </w:trPr>
        <w:tc>
          <w:tcPr>
            <w:tcW w:w="429" w:type="dxa"/>
            <w:tcBorders>
              <w:top w:val="single" w:color="000000" w:sz="4" w:space="0"/>
              <w:left w:val="single" w:color="000000" w:sz="4" w:space="0"/>
              <w:bottom w:val="single" w:color="000000" w:sz="4" w:space="0"/>
              <w:right w:val="single" w:color="auto" w:sz="4" w:space="0"/>
            </w:tcBorders>
            <w:vAlign w:val="center"/>
          </w:tcPr>
          <w:p w14:paraId="71C38E2B">
            <w:pPr>
              <w:widowControl/>
              <w:jc w:val="center"/>
              <w:textAlignment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p>
        </w:tc>
        <w:tc>
          <w:tcPr>
            <w:tcW w:w="907" w:type="dxa"/>
            <w:tcBorders>
              <w:top w:val="single" w:color="auto" w:sz="4" w:space="0"/>
              <w:left w:val="single" w:color="auto" w:sz="4" w:space="0"/>
              <w:bottom w:val="single" w:color="auto" w:sz="4" w:space="0"/>
              <w:right w:val="single" w:color="auto" w:sz="4" w:space="0"/>
            </w:tcBorders>
            <w:vAlign w:val="center"/>
          </w:tcPr>
          <w:p w14:paraId="44C62B5D">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宫腔镜冷刀设备</w:t>
            </w:r>
          </w:p>
        </w:tc>
        <w:tc>
          <w:tcPr>
            <w:tcW w:w="6787" w:type="dxa"/>
            <w:tcBorders>
              <w:top w:val="single" w:color="auto" w:sz="4" w:space="0"/>
              <w:left w:val="single" w:color="auto" w:sz="4" w:space="0"/>
              <w:bottom w:val="single" w:color="auto" w:sz="4" w:space="0"/>
              <w:right w:val="single" w:color="auto" w:sz="4" w:space="0"/>
            </w:tcBorders>
          </w:tcPr>
          <w:p w14:paraId="524D842A">
            <w:pP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一、宫腔镜（巨型冷刀）</w:t>
            </w:r>
            <w:r>
              <w:rPr>
                <w:rFonts w:hint="eastAsia" w:ascii="宋体" w:hAnsi="宋体" w:eastAsia="宋体" w:cs="宋体"/>
                <w:color w:val="auto"/>
                <w:kern w:val="0"/>
                <w:szCs w:val="21"/>
                <w:highlight w:val="none"/>
                <w:lang w:val="en-US" w:eastAsia="zh-CN"/>
              </w:rPr>
              <w:t>*1</w:t>
            </w:r>
          </w:p>
          <w:p w14:paraId="2FAD328B">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1．用于宫腔检查、宫腔疾病的治疗，通过实现宫腔镜手术器械巨型化以完成有困难的手术检查和治疗，如子宫纵隔、子宫肌瘤、宫腔息肉、宫腔粘连以及异物嵌顿或胚胎残留取出等；</w:t>
            </w:r>
          </w:p>
          <w:p w14:paraId="03215DAC">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2．平行视野Z型宫腔镜，视向角12</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rPr>
              <w:t>;</w:t>
            </w:r>
          </w:p>
          <w:p w14:paraId="307A7D50">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3.▲具有超广角视野，视场角≥75°;</w:t>
            </w:r>
          </w:p>
          <w:p w14:paraId="084C4D36">
            <w:pP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4.Z型横杆与纵杆更短，纵杆长度≤6.5mm</w:t>
            </w:r>
            <w:r>
              <w:rPr>
                <w:rFonts w:hint="eastAsia" w:ascii="宋体" w:hAnsi="宋体" w:cs="宋体"/>
                <w:color w:val="auto"/>
                <w:kern w:val="0"/>
                <w:szCs w:val="21"/>
                <w:highlight w:val="none"/>
                <w:lang w:eastAsia="zh-CN"/>
              </w:rPr>
              <w:t>；</w:t>
            </w:r>
          </w:p>
          <w:p w14:paraId="243139B4">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5．蓝宝石镜面，光学玻璃晶棒、光纤、光锥，柱状晶体排列技术，采用新型光学系统设计，高清分辨率，主镜工作长度≥200mm</w:t>
            </w:r>
          </w:p>
          <w:p w14:paraId="3CAB67ED">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6.外径≤6.8mm，总体插入部外径较细；</w:t>
            </w:r>
          </w:p>
          <w:p w14:paraId="469E606D">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7．目镜和器械通道呈平行型设计，保证摄像头获得视野角度即为实时角度；</w:t>
            </w:r>
          </w:p>
          <w:p w14:paraId="6771B152">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8.平行视野宫腔镜镜体具有大于3mm的器械通道，器械通道包含在镜体内，镜子手术器械通道</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rPr>
              <w:t>3mm，注液通道孔径≥1.0mm;</w:t>
            </w:r>
          </w:p>
          <w:p w14:paraId="5AE96D03">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9.器械通道入口采用喇叭口设计，方便器械进入；</w:t>
            </w:r>
          </w:p>
          <w:p w14:paraId="7EF0D24F">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10.▲密封帽内置设计，双层医用硅胶装置自动闭合</w:t>
            </w:r>
            <w:r>
              <w:rPr>
                <w:rFonts w:hint="eastAsia" w:ascii="宋体" w:hAnsi="宋体" w:cs="宋体"/>
                <w:color w:val="auto"/>
                <w:kern w:val="0"/>
                <w:szCs w:val="21"/>
                <w:highlight w:val="none"/>
                <w:lang w:eastAsia="zh-CN"/>
              </w:rPr>
              <w:t>；</w:t>
            </w:r>
          </w:p>
          <w:p w14:paraId="6BFFBDAB">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rPr>
              <w:t>器械通道无磁片设计，避免影响输卵管疏通导丝等术中耗材通过，且与手术器械紧密包裹，杜绝气泡进入宫腔；</w:t>
            </w:r>
          </w:p>
          <w:p w14:paraId="6E4FB4D2">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12．可配备多种器械，至少包括圆头弯剪刀、尖头单开直剪刀、尖头双开直剪刀、微型钩剪刀、弯分离钳、活检钳，重型抓钳、大型抓钳等；各类手术器械工作头部外径3mm，；工作长度360mmm,360°可旋转手柄；</w:t>
            </w:r>
          </w:p>
          <w:p w14:paraId="007B7713">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13．手术器械最小化三拆卸设计（手柄、钳杆、钳芯）符合内窥镜手术器械清洗灭菌要。可低温等离子、高温高压消毒；</w:t>
            </w:r>
          </w:p>
          <w:p w14:paraId="750C0323">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14．产品符合医疗器械国家标准GB9706.1-2020、GB9706.218-2021中规定的要求，设备安全性及稳定性能更优；</w:t>
            </w:r>
          </w:p>
          <w:p w14:paraId="0A37D8D7">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15.可耐高温高压消毒，内镜上标有可耐压力蒸汽灭菌（Autoclav）标识；</w:t>
            </w:r>
          </w:p>
          <w:p w14:paraId="4BF4779E">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rPr>
              <w:t>进出水高通量设计，持续对流；</w:t>
            </w:r>
          </w:p>
          <w:p w14:paraId="5FEBFBBD">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17.进出水口均在外鞘实现灌流循环，水流量更大；进出水口可根据手术需求360度旋转，防止进出水路管缠绕；</w:t>
            </w:r>
          </w:p>
          <w:p w14:paraId="3D3E4AF7">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18．操作系统配备专用消毒盒，方便医院选择不同消毒方式分别灭菌和存放，保护镜子及器械附件使用功能正常；</w:t>
            </w:r>
          </w:p>
          <w:p w14:paraId="19D6B771">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19.配套手术器械注册证为宫腔镜配套手术器械，注册适用范围应为用于配合宫腔镜下宫腔内疾病的检查和治疗。</w:t>
            </w:r>
          </w:p>
          <w:p w14:paraId="2C7F8056">
            <w:pP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二、宫腔镜（微型冷刀）</w:t>
            </w:r>
            <w:r>
              <w:rPr>
                <w:rFonts w:hint="eastAsia" w:ascii="宋体" w:hAnsi="宋体" w:eastAsia="宋体" w:cs="宋体"/>
                <w:color w:val="auto"/>
                <w:kern w:val="0"/>
                <w:szCs w:val="21"/>
                <w:highlight w:val="none"/>
                <w:lang w:val="en-US" w:eastAsia="zh-CN"/>
              </w:rPr>
              <w:t>*2</w:t>
            </w:r>
          </w:p>
          <w:p w14:paraId="2F5027A6">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1.用于宫腔疾病的治疗，包括子宫肌瘤、息肉、粘连、畸形以及异物残留等；</w:t>
            </w:r>
          </w:p>
          <w:p w14:paraId="346A16E5">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2.▲宫腔镜镜体规格要求一：超广角镜头设计，视场角</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rPr>
              <w:t>90°；景深3mm</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rPr>
              <w:t>100mm，插入部工作长度</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rPr>
              <w:t>200mm</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视向角</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rPr>
              <w:t>22°</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插入部最大宽度</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rPr>
              <w:t>4.9mm，手术器械通道</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rPr>
              <w:t>5Fr，在可视情况下进行手术操作；;</w:t>
            </w:r>
          </w:p>
          <w:p w14:paraId="416A291A">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3．▲宫腔镜镜体规格要求二：超广角镜头设计，视场角</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rPr>
              <w:t>90°；景深3mm-100mm，插入部工作长度≤200mm，视向角</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rPr>
              <w:t>22°</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插入部最大宽度≤5.4mm</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手术器械通道</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rPr>
              <w:t>7Fr，在可视情况下进行手术操作。;</w:t>
            </w:r>
          </w:p>
          <w:p w14:paraId="5788DE49">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4．插入部前端为圆滑无创设计，减少对宫颈口的损伤，方便进入宫腔</w:t>
            </w:r>
          </w:p>
          <w:p w14:paraId="2648041B">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5．可配备多种器械，包括剪刀、活检钳、异物钳等；</w:t>
            </w:r>
          </w:p>
          <w:p w14:paraId="4E135172">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6．▲镜鞘一体，含无创末端，与内窥镜联体设计，镜体更细，进出水更通畅；</w:t>
            </w:r>
          </w:p>
          <w:p w14:paraId="2E0CD6AD">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7．▲器械插入口为喇叭形，方便器械进入；</w:t>
            </w:r>
          </w:p>
          <w:p w14:paraId="627BCABE">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8.密封帽内置，双层医用硅胶致密密封防漏水设计，自动闭合操作通道；</w:t>
            </w:r>
          </w:p>
          <w:p w14:paraId="43BABF8E">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9.器械通道无磁片设计，避免影响输卵管疏通导丝等术中耗材通过，且与手术器械紧密包裹，杜绝气泡进入宫腔</w:t>
            </w:r>
          </w:p>
          <w:p w14:paraId="65C19868">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10．进出水口可根据手术需求360°旋转；</w:t>
            </w:r>
          </w:p>
          <w:p w14:paraId="295FB526">
            <w:pP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11.可耐高温高压消毒，镜体密封性好，内镜上标有可耐压力蒸汽灭菌（Autoclav）标识；</w:t>
            </w:r>
          </w:p>
          <w:p w14:paraId="215730DC">
            <w:pP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三</w:t>
            </w:r>
            <w:r>
              <w:rPr>
                <w:rFonts w:hint="eastAsia" w:ascii="宋体" w:hAnsi="宋体" w:eastAsia="宋体" w:cs="宋体"/>
                <w:color w:val="auto"/>
                <w:kern w:val="0"/>
                <w:szCs w:val="21"/>
                <w:highlight w:val="none"/>
              </w:rPr>
              <w:t>.配置清单</w:t>
            </w:r>
          </w:p>
          <w:tbl>
            <w:tblPr>
              <w:tblStyle w:val="4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46"/>
              <w:gridCol w:w="1752"/>
              <w:gridCol w:w="1586"/>
              <w:gridCol w:w="692"/>
              <w:gridCol w:w="704"/>
            </w:tblGrid>
            <w:tr w14:paraId="09287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3A5A6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一、宫腔镜（巨型冷刀）</w:t>
                  </w:r>
                </w:p>
              </w:tc>
            </w:tr>
            <w:tr w14:paraId="6ACD8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50F6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序号</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32B4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产品名称</w:t>
                  </w:r>
                </w:p>
              </w:tc>
              <w:tc>
                <w:tcPr>
                  <w:tcW w:w="1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8C98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6F83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数量</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5D55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单位</w:t>
                  </w:r>
                </w:p>
              </w:tc>
            </w:tr>
            <w:tr w14:paraId="6DF9E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C65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C3A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宫腔镜</w:t>
                  </w:r>
                </w:p>
              </w:tc>
              <w:tc>
                <w:tcPr>
                  <w:tcW w:w="1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617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20.8Fr/12°</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6C09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834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r>
            <w:tr w14:paraId="4F219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94E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F02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宫腔镜配套手术器械（单开剪刀）</w:t>
                  </w:r>
                </w:p>
              </w:tc>
              <w:tc>
                <w:tcPr>
                  <w:tcW w:w="1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D6AA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Φ3*360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81F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3A3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r>
            <w:tr w14:paraId="18EDF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A6D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F60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宫腔镜配套手术器械（双开剪刀）</w:t>
                  </w:r>
                </w:p>
              </w:tc>
              <w:tc>
                <w:tcPr>
                  <w:tcW w:w="1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FD3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Φ3*360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C93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C91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r>
            <w:tr w14:paraId="64D3E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D2EF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4028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宫腔镜配套手术器械(弯剪刀）</w:t>
                  </w:r>
                </w:p>
              </w:tc>
              <w:tc>
                <w:tcPr>
                  <w:tcW w:w="1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A64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Φ3*360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AB1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A3F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r>
            <w:tr w14:paraId="586DF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456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6AC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宫腔镜配套手术器械（钩剪刀）</w:t>
                  </w:r>
                </w:p>
              </w:tc>
              <w:tc>
                <w:tcPr>
                  <w:tcW w:w="1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CBE5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Φ3*360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83FD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F5A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r>
            <w:tr w14:paraId="5AF4E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59C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C346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宫腔镜配套手术器械（弯分离钳）</w:t>
                  </w:r>
                </w:p>
              </w:tc>
              <w:tc>
                <w:tcPr>
                  <w:tcW w:w="1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D0D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Φ3*360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F1E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35F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r>
            <w:tr w14:paraId="35ED6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78A6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6F4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宫腔镜配套手术器械（活检钳）</w:t>
                  </w:r>
                </w:p>
              </w:tc>
              <w:tc>
                <w:tcPr>
                  <w:tcW w:w="1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820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Φ3*360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B1EE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769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r>
            <w:tr w14:paraId="4E433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DBF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055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宫腔镜配套手术器械（大型抓钳）</w:t>
                  </w:r>
                </w:p>
              </w:tc>
              <w:tc>
                <w:tcPr>
                  <w:tcW w:w="1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43D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Φ3*360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DC4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3BC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r>
            <w:tr w14:paraId="36133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857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C56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宫腔镜配套手术器械（重型抓钳）</w:t>
                  </w:r>
                </w:p>
              </w:tc>
              <w:tc>
                <w:tcPr>
                  <w:tcW w:w="1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DA8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Φ3*360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356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90A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r>
            <w:tr w14:paraId="275C2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FE9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172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高频手术电极（钩状电极）</w:t>
                  </w:r>
                </w:p>
              </w:tc>
              <w:tc>
                <w:tcPr>
                  <w:tcW w:w="1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D1B0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Φ3*360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A36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566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r>
            <w:tr w14:paraId="082CC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A07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AC9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高频手术电极（棒状电极）</w:t>
                  </w:r>
                </w:p>
              </w:tc>
              <w:tc>
                <w:tcPr>
                  <w:tcW w:w="1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DD4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Φ3*360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336E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58A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r>
            <w:tr w14:paraId="43355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CBA1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5E1D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专用内窥镜消毒盒</w:t>
                  </w:r>
                </w:p>
              </w:tc>
              <w:tc>
                <w:tcPr>
                  <w:tcW w:w="1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74C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E79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DD0E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0FF1F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72F33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二、宫腔镜（微型冷刀）</w:t>
                  </w:r>
                </w:p>
              </w:tc>
            </w:tr>
            <w:tr w14:paraId="3C948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28E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11E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产品名称</w:t>
                  </w:r>
                </w:p>
              </w:tc>
              <w:tc>
                <w:tcPr>
                  <w:tcW w:w="1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454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E0A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790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r>
            <w:tr w14:paraId="1C91A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F1B7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57DD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宫腔镜</w:t>
                  </w:r>
                </w:p>
              </w:tc>
              <w:tc>
                <w:tcPr>
                  <w:tcW w:w="1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536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F19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8BF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r>
            <w:tr w14:paraId="3E3C7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23B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6C0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宫腔镜配套手术器械（剪刀）</w:t>
                  </w:r>
                </w:p>
              </w:tc>
              <w:tc>
                <w:tcPr>
                  <w:tcW w:w="1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F0C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Φ1.6*410mm</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5921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9A1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r>
            <w:tr w14:paraId="27465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E6E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D91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宫腔镜配套手术器械（异物钳）</w:t>
                  </w:r>
                </w:p>
              </w:tc>
              <w:tc>
                <w:tcPr>
                  <w:tcW w:w="1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5EB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Φ1.6*410mm</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143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29A0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r>
            <w:tr w14:paraId="32698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321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45E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宫腔镜配套手术器械（活检钳）</w:t>
                  </w:r>
                </w:p>
              </w:tc>
              <w:tc>
                <w:tcPr>
                  <w:tcW w:w="1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E16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Φ1.6*410mm</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A2A2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0884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r>
            <w:tr w14:paraId="186E5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5AD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0E29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专用内窥镜器械消毒盒</w:t>
                  </w:r>
                </w:p>
              </w:tc>
              <w:tc>
                <w:tcPr>
                  <w:tcW w:w="1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090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C0F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5BF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7BB4F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D3A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81D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宫腔镜</w:t>
                  </w:r>
                </w:p>
              </w:tc>
              <w:tc>
                <w:tcPr>
                  <w:tcW w:w="1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5C0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298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8ED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r>
            <w:tr w14:paraId="604C2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951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E36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宫腔镜配套手术器械（剪刀）</w:t>
                  </w:r>
                </w:p>
              </w:tc>
              <w:tc>
                <w:tcPr>
                  <w:tcW w:w="1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E83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Φ2.0*410mm</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58E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31D9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r>
            <w:tr w14:paraId="21837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4BE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38D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宫腔镜配套手术器械（异物钳）</w:t>
                  </w:r>
                </w:p>
              </w:tc>
              <w:tc>
                <w:tcPr>
                  <w:tcW w:w="1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937C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Φ2.0*410mm</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902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930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r>
            <w:tr w14:paraId="6529A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4C94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39B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宫腔镜配套手术器械（活检钳）</w:t>
                  </w:r>
                </w:p>
              </w:tc>
              <w:tc>
                <w:tcPr>
                  <w:tcW w:w="1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2151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Φ2.0*410mm</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5D0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3A4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r>
            <w:tr w14:paraId="6DB04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D42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DA4D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专用内窥镜器械消毒盒</w:t>
                  </w:r>
                </w:p>
              </w:tc>
              <w:tc>
                <w:tcPr>
                  <w:tcW w:w="1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F7E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B1A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962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bl>
          <w:p w14:paraId="537E7B24">
            <w:pPr>
              <w:rPr>
                <w:rFonts w:hint="eastAsia" w:ascii="宋体" w:hAnsi="宋体" w:eastAsia="宋体" w:cs="宋体"/>
                <w:color w:val="auto"/>
                <w:kern w:val="0"/>
                <w:szCs w:val="21"/>
                <w:highlight w:val="none"/>
              </w:rPr>
            </w:pPr>
          </w:p>
        </w:tc>
        <w:tc>
          <w:tcPr>
            <w:tcW w:w="427" w:type="dxa"/>
            <w:tcBorders>
              <w:top w:val="single" w:color="000000" w:sz="4" w:space="0"/>
              <w:left w:val="single" w:color="auto" w:sz="4" w:space="0"/>
              <w:bottom w:val="single" w:color="000000" w:sz="4" w:space="0"/>
              <w:right w:val="single" w:color="000000" w:sz="4" w:space="0"/>
            </w:tcBorders>
            <w:vAlign w:val="center"/>
          </w:tcPr>
          <w:p w14:paraId="44B31F13">
            <w:pPr>
              <w:widowControl/>
              <w:jc w:val="center"/>
              <w:textAlignment w:val="center"/>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组（微型2套、巨型1套）</w:t>
            </w:r>
          </w:p>
        </w:tc>
        <w:tc>
          <w:tcPr>
            <w:tcW w:w="427" w:type="dxa"/>
            <w:tcBorders>
              <w:top w:val="single" w:color="000000" w:sz="4" w:space="0"/>
              <w:left w:val="single" w:color="000000" w:sz="4" w:space="0"/>
              <w:bottom w:val="single" w:color="000000" w:sz="4" w:space="0"/>
              <w:right w:val="single" w:color="000000" w:sz="4" w:space="0"/>
            </w:tcBorders>
            <w:vAlign w:val="center"/>
          </w:tcPr>
          <w:p w14:paraId="082977D3">
            <w:pPr>
              <w:widowControl/>
              <w:textAlignment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w:t>
            </w:r>
          </w:p>
        </w:tc>
      </w:tr>
      <w:tr w14:paraId="54DDEA29">
        <w:tblPrEx>
          <w:tblCellMar>
            <w:top w:w="0" w:type="dxa"/>
            <w:left w:w="108" w:type="dxa"/>
            <w:bottom w:w="0" w:type="dxa"/>
            <w:right w:w="108" w:type="dxa"/>
          </w:tblCellMar>
        </w:tblPrEx>
        <w:trPr>
          <w:trHeight w:val="90" w:hRule="atLeast"/>
        </w:trPr>
        <w:tc>
          <w:tcPr>
            <w:tcW w:w="429" w:type="dxa"/>
            <w:tcBorders>
              <w:top w:val="single" w:color="000000" w:sz="4" w:space="0"/>
              <w:left w:val="single" w:color="000000" w:sz="4" w:space="0"/>
              <w:bottom w:val="single" w:color="000000" w:sz="4" w:space="0"/>
              <w:right w:val="single" w:color="auto" w:sz="4" w:space="0"/>
            </w:tcBorders>
            <w:vAlign w:val="center"/>
          </w:tcPr>
          <w:p w14:paraId="699A9A56">
            <w:pPr>
              <w:widowControl/>
              <w:jc w:val="center"/>
              <w:textAlignment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p>
        </w:tc>
        <w:tc>
          <w:tcPr>
            <w:tcW w:w="907" w:type="dxa"/>
            <w:tcBorders>
              <w:top w:val="single" w:color="auto" w:sz="4" w:space="0"/>
              <w:left w:val="single" w:color="auto" w:sz="4" w:space="0"/>
              <w:bottom w:val="single" w:color="auto" w:sz="4" w:space="0"/>
              <w:right w:val="single" w:color="auto" w:sz="4" w:space="0"/>
            </w:tcBorders>
            <w:vAlign w:val="center"/>
          </w:tcPr>
          <w:p w14:paraId="3A2B6476">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宫腔等离子电切机</w:t>
            </w:r>
          </w:p>
        </w:tc>
        <w:tc>
          <w:tcPr>
            <w:tcW w:w="6787" w:type="dxa"/>
            <w:tcBorders>
              <w:top w:val="single" w:color="auto" w:sz="4" w:space="0"/>
              <w:left w:val="single" w:color="auto" w:sz="4" w:space="0"/>
              <w:bottom w:val="single" w:color="auto" w:sz="4" w:space="0"/>
              <w:right w:val="single" w:color="auto" w:sz="4" w:space="0"/>
            </w:tcBorders>
          </w:tcPr>
          <w:p w14:paraId="1D75C695">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一、临床用途：用于妇产科子宫肌瘤、息肉，粘膜下肌瘤、子宫纵膈、宫腔粘连等宫腔疾病。</w:t>
            </w:r>
          </w:p>
          <w:p w14:paraId="6B0D6519">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二、主机</w:t>
            </w:r>
          </w:p>
          <w:p w14:paraId="1D959D61">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2.1制造商须在中国境内注册并在中国本土生产；</w:t>
            </w:r>
          </w:p>
          <w:p w14:paraId="261B313F">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2.2一种 ABLATION(切割、止血、消融)模式，一种 PLACOAG(止血、凝固)；</w:t>
            </w:r>
          </w:p>
          <w:p w14:paraId="5B958030">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2.3一个治疗刀头能同时实现消融、止血、切割功能，在一个手柄治疗主机声音大小可调节，能区分 ABLATION 和 PLACOAG 的工作声音，避免踏错脚踏；</w:t>
            </w:r>
          </w:p>
          <w:p w14:paraId="7543EF4A">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▲2.4治疗主机自动识别手柄、脚踏的连接状态。能在连接好脚踏和手柄后主机根据不同刀头自动设置默认功率大小；</w:t>
            </w:r>
          </w:p>
          <w:p w14:paraId="218F657B">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2.5能通过脚踏开关启动、切换 ABLATION 和 PLACOAG 模式，脚踏防水等级 IPX8；</w:t>
            </w:r>
          </w:p>
          <w:p w14:paraId="02D0C820">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▲2.6工作频率技术参数：工作频率 100KHz±10KHz；</w:t>
            </w:r>
          </w:p>
          <w:p w14:paraId="75C67FDA">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▲2.7输出模式：等离子输出：≥10 档可调；</w:t>
            </w:r>
          </w:p>
          <w:p w14:paraId="3FE2EFDB">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2.8阻抗显示：≥</w:t>
            </w:r>
            <w:r>
              <w:rPr>
                <w:rFonts w:hint="eastAsia" w:ascii="宋体" w:hAnsi="宋体" w:eastAsia="宋体" w:cs="宋体"/>
                <w:color w:val="auto"/>
                <w:kern w:val="0"/>
                <w:szCs w:val="21"/>
                <w:highlight w:val="none"/>
                <w:lang w:val="en-US" w:eastAsia="zh-CN"/>
              </w:rPr>
              <w:t>600</w:t>
            </w:r>
            <w:r>
              <w:rPr>
                <w:rFonts w:hint="eastAsia" w:ascii="宋体" w:hAnsi="宋体" w:eastAsia="宋体" w:cs="宋体"/>
                <w:color w:val="auto"/>
                <w:kern w:val="0"/>
                <w:szCs w:val="21"/>
                <w:highlight w:val="none"/>
              </w:rPr>
              <w:t>Ω，阻抗侦测和自动能量检测技术。具有热损毁深度监控系统，对治疗深度进行实时检测反馈、达到预设置消融深度和治疗范围自动提示操作者。（要求在设备上有对应显示界面）；</w:t>
            </w:r>
          </w:p>
          <w:p w14:paraId="46D7D6F8">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2.9工作计时：0-99s 循环计时（要求在设备上有对应显示界面）；</w:t>
            </w:r>
          </w:p>
          <w:p w14:paraId="48035A8F">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▲2.10整机输入功率：≤700W、整机输出功率：≤350W；</w:t>
            </w:r>
          </w:p>
          <w:p w14:paraId="0E2F27EE">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三、电切镜</w:t>
            </w:r>
          </w:p>
          <w:p w14:paraId="4EA18E59">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3.1镜子：12°蓝宝石镜，Φ4mm；</w:t>
            </w:r>
          </w:p>
          <w:p w14:paraId="49954C69">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3.2手柄：被动式操作器；</w:t>
            </w:r>
          </w:p>
          <w:p w14:paraId="47AADAE9">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3.3内鞘：≤24Fr；</w:t>
            </w:r>
          </w:p>
          <w:p w14:paraId="48C2C24A">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3.4外鞘：≤26Fr，带进、出水通道和控制开关。</w:t>
            </w:r>
          </w:p>
          <w:p w14:paraId="6CF034E0">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四、手术电极</w:t>
            </w:r>
          </w:p>
          <w:p w14:paraId="74B6B0F8">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▲4.1能适配 100KHZ 等离子体手术系统，适配的主机是国家药监局认定的射频等离子体手术系统（以注册证为依据）；</w:t>
            </w:r>
          </w:p>
          <w:p w14:paraId="43F5A7A4">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4.2电极为正负极一体化设计，连接导线直接与主机连接即可工作；</w:t>
            </w:r>
          </w:p>
          <w:p w14:paraId="76E536D3">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4.3多电极可选，根据不同的部位，不同的病症配备不同长短、粗细、弧度、能量级的治疗刀头；</w:t>
            </w:r>
          </w:p>
          <w:p w14:paraId="747EB78B">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4.4电极有环状电极、铲状电极、钩状电极、柱状电极、滚状电极、可重复使用电极等型号能满足临床不同应用。</w:t>
            </w:r>
          </w:p>
          <w:p w14:paraId="169EF3F0">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五、配置清单</w:t>
            </w:r>
          </w:p>
          <w:p w14:paraId="34120BEE">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1.射频等离子体手术系统（含脚踏）  1台；</w:t>
            </w:r>
          </w:p>
          <w:p w14:paraId="3CF2B722">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2.内窥镜  2支；</w:t>
            </w:r>
          </w:p>
          <w:p w14:paraId="7EF59771">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3.外 鞘  2支；</w:t>
            </w:r>
          </w:p>
          <w:p w14:paraId="6C639D70">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4.内 鞘  2支；</w:t>
            </w:r>
          </w:p>
          <w:p w14:paraId="1A733047">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5.手 柄  2个；</w:t>
            </w:r>
          </w:p>
          <w:p w14:paraId="032021BF">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6.闭孔鞘芯  2个；</w:t>
            </w:r>
          </w:p>
          <w:p w14:paraId="58135993">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7.环状电极  2根。</w:t>
            </w:r>
          </w:p>
        </w:tc>
        <w:tc>
          <w:tcPr>
            <w:tcW w:w="427" w:type="dxa"/>
            <w:tcBorders>
              <w:top w:val="single" w:color="000000" w:sz="4" w:space="0"/>
              <w:left w:val="single" w:color="auto" w:sz="4" w:space="0"/>
              <w:bottom w:val="single" w:color="000000" w:sz="4" w:space="0"/>
              <w:right w:val="single" w:color="000000" w:sz="4" w:space="0"/>
            </w:tcBorders>
            <w:vAlign w:val="center"/>
          </w:tcPr>
          <w:p w14:paraId="2885D84F">
            <w:pPr>
              <w:widowControl/>
              <w:jc w:val="center"/>
              <w:textAlignment w:val="center"/>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台</w:t>
            </w:r>
          </w:p>
        </w:tc>
        <w:tc>
          <w:tcPr>
            <w:tcW w:w="427" w:type="dxa"/>
            <w:tcBorders>
              <w:top w:val="single" w:color="000000" w:sz="4" w:space="0"/>
              <w:left w:val="single" w:color="000000" w:sz="4" w:space="0"/>
              <w:bottom w:val="single" w:color="000000" w:sz="4" w:space="0"/>
              <w:right w:val="single" w:color="000000" w:sz="4" w:space="0"/>
            </w:tcBorders>
            <w:vAlign w:val="center"/>
          </w:tcPr>
          <w:p w14:paraId="7B2FC533">
            <w:pPr>
              <w:widowControl/>
              <w:textAlignment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w:t>
            </w:r>
          </w:p>
        </w:tc>
      </w:tr>
    </w:tbl>
    <w:p w14:paraId="163ED069">
      <w:pPr>
        <w:spacing w:line="560" w:lineRule="exact"/>
        <w:jc w:val="left"/>
        <w:rPr>
          <w:rFonts w:ascii="宋体" w:hAnsi="宋体" w:cs="宋体"/>
          <w:b/>
          <w:bCs/>
          <w:color w:val="auto"/>
          <w:szCs w:val="21"/>
          <w:highlight w:val="none"/>
        </w:rPr>
      </w:pPr>
    </w:p>
    <w:p w14:paraId="4A2651B2">
      <w:pPr>
        <w:spacing w:line="560" w:lineRule="exact"/>
        <w:jc w:val="left"/>
        <w:rPr>
          <w:rFonts w:ascii="宋体" w:hAnsi="宋体" w:cs="宋体"/>
          <w:b/>
          <w:bCs/>
          <w:color w:val="auto"/>
          <w:szCs w:val="21"/>
          <w:highlight w:val="none"/>
        </w:rPr>
      </w:pPr>
      <w:r>
        <w:rPr>
          <w:rFonts w:hint="eastAsia" w:ascii="宋体" w:hAnsi="宋体" w:cs="宋体"/>
          <w:b/>
          <w:bCs/>
          <w:color w:val="auto"/>
          <w:szCs w:val="21"/>
          <w:highlight w:val="none"/>
        </w:rPr>
        <w:t xml:space="preserve"> </w:t>
      </w:r>
      <w:r>
        <w:rPr>
          <w:rFonts w:hint="eastAsia"/>
          <w:b/>
          <w:color w:val="auto"/>
          <w:sz w:val="24"/>
          <w:highlight w:val="none"/>
        </w:rPr>
        <w:t>标项</w:t>
      </w:r>
      <w:r>
        <w:rPr>
          <w:rFonts w:hint="eastAsia"/>
          <w:b/>
          <w:color w:val="auto"/>
          <w:sz w:val="24"/>
          <w:highlight w:val="none"/>
          <w:lang w:eastAsia="zh-CN"/>
        </w:rPr>
        <w:t>二</w:t>
      </w:r>
      <w:r>
        <w:rPr>
          <w:rFonts w:hint="eastAsia" w:ascii="宋体" w:hAnsi="宋体" w:cs="宋体"/>
          <w:b/>
          <w:bCs/>
          <w:color w:val="auto"/>
          <w:szCs w:val="21"/>
          <w:highlight w:val="none"/>
        </w:rPr>
        <w:t>技术参数表：</w:t>
      </w:r>
    </w:p>
    <w:tbl>
      <w:tblPr>
        <w:tblStyle w:val="48"/>
        <w:tblW w:w="8977" w:type="dxa"/>
        <w:tblInd w:w="93" w:type="dxa"/>
        <w:tblLayout w:type="autofit"/>
        <w:tblCellMar>
          <w:top w:w="0" w:type="dxa"/>
          <w:left w:w="108" w:type="dxa"/>
          <w:bottom w:w="0" w:type="dxa"/>
          <w:right w:w="108" w:type="dxa"/>
        </w:tblCellMar>
      </w:tblPr>
      <w:tblGrid>
        <w:gridCol w:w="429"/>
        <w:gridCol w:w="889"/>
        <w:gridCol w:w="6596"/>
        <w:gridCol w:w="636"/>
        <w:gridCol w:w="427"/>
      </w:tblGrid>
      <w:tr w14:paraId="749ECC3A">
        <w:tblPrEx>
          <w:tblCellMar>
            <w:top w:w="0" w:type="dxa"/>
            <w:left w:w="108" w:type="dxa"/>
            <w:bottom w:w="0" w:type="dxa"/>
            <w:right w:w="108" w:type="dxa"/>
          </w:tblCellMar>
        </w:tblPrEx>
        <w:trPr>
          <w:trHeight w:val="694" w:hRule="atLeast"/>
        </w:trPr>
        <w:tc>
          <w:tcPr>
            <w:tcW w:w="429" w:type="dxa"/>
            <w:tcBorders>
              <w:top w:val="single" w:color="000000" w:sz="4" w:space="0"/>
              <w:left w:val="single" w:color="000000" w:sz="4" w:space="0"/>
              <w:bottom w:val="single" w:color="000000" w:sz="4" w:space="0"/>
              <w:right w:val="single" w:color="000000" w:sz="4" w:space="0"/>
            </w:tcBorders>
            <w:vAlign w:val="center"/>
          </w:tcPr>
          <w:p w14:paraId="211F3D3A">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rPr>
              <w:t>序号</w:t>
            </w:r>
          </w:p>
        </w:tc>
        <w:tc>
          <w:tcPr>
            <w:tcW w:w="889" w:type="dxa"/>
            <w:tcBorders>
              <w:top w:val="single" w:color="000000" w:sz="4" w:space="0"/>
              <w:left w:val="single" w:color="000000" w:sz="4" w:space="0"/>
              <w:bottom w:val="single" w:color="000000" w:sz="4" w:space="0"/>
              <w:right w:val="single" w:color="000000" w:sz="4" w:space="0"/>
            </w:tcBorders>
            <w:vAlign w:val="center"/>
          </w:tcPr>
          <w:p w14:paraId="6D866373">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rPr>
              <w:t>设备名称</w:t>
            </w:r>
          </w:p>
        </w:tc>
        <w:tc>
          <w:tcPr>
            <w:tcW w:w="6596" w:type="dxa"/>
            <w:tcBorders>
              <w:top w:val="single" w:color="000000" w:sz="4" w:space="0"/>
              <w:left w:val="single" w:color="000000" w:sz="4" w:space="0"/>
              <w:bottom w:val="single" w:color="000000" w:sz="4" w:space="0"/>
              <w:right w:val="single" w:color="000000" w:sz="4" w:space="0"/>
            </w:tcBorders>
            <w:vAlign w:val="center"/>
          </w:tcPr>
          <w:p w14:paraId="7161128C">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rPr>
              <w:t>主要性能指标</w:t>
            </w:r>
          </w:p>
        </w:tc>
        <w:tc>
          <w:tcPr>
            <w:tcW w:w="636" w:type="dxa"/>
            <w:tcBorders>
              <w:top w:val="single" w:color="000000" w:sz="4" w:space="0"/>
              <w:left w:val="single" w:color="000000" w:sz="4" w:space="0"/>
              <w:bottom w:val="single" w:color="000000" w:sz="4" w:space="0"/>
              <w:right w:val="single" w:color="000000" w:sz="4" w:space="0"/>
            </w:tcBorders>
            <w:vAlign w:val="center"/>
          </w:tcPr>
          <w:p w14:paraId="252B35D5">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rPr>
              <w:t>单位</w:t>
            </w:r>
          </w:p>
        </w:tc>
        <w:tc>
          <w:tcPr>
            <w:tcW w:w="427" w:type="dxa"/>
            <w:tcBorders>
              <w:top w:val="single" w:color="000000" w:sz="4" w:space="0"/>
              <w:left w:val="single" w:color="000000" w:sz="4" w:space="0"/>
              <w:bottom w:val="single" w:color="000000" w:sz="4" w:space="0"/>
              <w:right w:val="single" w:color="000000" w:sz="4" w:space="0"/>
            </w:tcBorders>
            <w:vAlign w:val="center"/>
          </w:tcPr>
          <w:p w14:paraId="449EE4D5">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rPr>
              <w:t>数量</w:t>
            </w:r>
          </w:p>
        </w:tc>
      </w:tr>
      <w:tr w14:paraId="45FB0B70">
        <w:tblPrEx>
          <w:tblCellMar>
            <w:top w:w="0" w:type="dxa"/>
            <w:left w:w="108" w:type="dxa"/>
            <w:bottom w:w="0" w:type="dxa"/>
            <w:right w:w="108" w:type="dxa"/>
          </w:tblCellMar>
        </w:tblPrEx>
        <w:trPr>
          <w:trHeight w:val="90" w:hRule="atLeast"/>
        </w:trPr>
        <w:tc>
          <w:tcPr>
            <w:tcW w:w="429" w:type="dxa"/>
            <w:tcBorders>
              <w:top w:val="single" w:color="000000" w:sz="4" w:space="0"/>
              <w:left w:val="single" w:color="000000" w:sz="4" w:space="0"/>
              <w:bottom w:val="single" w:color="000000" w:sz="4" w:space="0"/>
              <w:right w:val="single" w:color="000000" w:sz="4" w:space="0"/>
            </w:tcBorders>
            <w:vAlign w:val="center"/>
          </w:tcPr>
          <w:p w14:paraId="47BEEBB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p>
        </w:tc>
        <w:tc>
          <w:tcPr>
            <w:tcW w:w="889" w:type="dxa"/>
            <w:tcBorders>
              <w:top w:val="single" w:color="000000" w:sz="4" w:space="0"/>
              <w:left w:val="single" w:color="000000" w:sz="4" w:space="0"/>
              <w:bottom w:val="single" w:color="auto" w:sz="4" w:space="0"/>
              <w:right w:val="single" w:color="000000" w:sz="4" w:space="0"/>
            </w:tcBorders>
            <w:vAlign w:val="center"/>
          </w:tcPr>
          <w:p w14:paraId="7DE1E9AA">
            <w:pPr>
              <w:widowControl/>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血透机</w:t>
            </w:r>
          </w:p>
        </w:tc>
        <w:tc>
          <w:tcPr>
            <w:tcW w:w="6596" w:type="dxa"/>
            <w:tcBorders>
              <w:top w:val="single" w:color="000000" w:sz="4" w:space="0"/>
              <w:left w:val="single" w:color="000000" w:sz="4" w:space="0"/>
              <w:bottom w:val="single" w:color="auto" w:sz="4" w:space="0"/>
              <w:right w:val="single" w:color="000000" w:sz="4" w:space="0"/>
            </w:tcBorders>
          </w:tcPr>
          <w:p w14:paraId="6D4A84B2">
            <w:pPr>
              <w:pStyle w:val="130"/>
              <w:numPr>
                <w:ilvl w:val="1"/>
                <w:numId w:val="0"/>
              </w:num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1.机器适用于血液透析、单纯超滤、序贯透析等治疗模式。</w:t>
            </w:r>
          </w:p>
          <w:p w14:paraId="1FD71C37">
            <w:pPr>
              <w:pStyle w:val="130"/>
              <w:numPr>
                <w:ilvl w:val="1"/>
                <w:numId w:val="0"/>
              </w:num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2.≥8英寸彩色液晶显示屏；全中文操作系统，具有显示和复位报警功能；带提示信号灯。 </w:t>
            </w:r>
          </w:p>
          <w:p w14:paraId="69F5C8B7">
            <w:pPr>
              <w:pStyle w:val="130"/>
              <w:numPr>
                <w:ilvl w:val="1"/>
                <w:numId w:val="0"/>
              </w:num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3.▲标配碳酸氢钠干粉(支架)与B液吸管，A、B液吸管可以整合消毒，不需要其他额外的消耗品。 </w:t>
            </w:r>
          </w:p>
          <w:p w14:paraId="0F156324">
            <w:pPr>
              <w:pStyle w:val="130"/>
              <w:numPr>
                <w:ilvl w:val="1"/>
                <w:numId w:val="0"/>
              </w:num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4.▲采用双容量平衡腔四腔室超滤控制系统，控制系统准确可靠。保证超滤的精准和治疗的安全。 </w:t>
            </w:r>
          </w:p>
          <w:p w14:paraId="10F766B9">
            <w:pPr>
              <w:pStyle w:val="130"/>
              <w:numPr>
                <w:ilvl w:val="1"/>
                <w:numId w:val="0"/>
              </w:num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5.有两种以上曲线，至少包含6种可调钠曲线及6种超滤曲线，可单独使用或者联合使用。 </w:t>
            </w:r>
          </w:p>
          <w:p w14:paraId="2ECB6A62">
            <w:pPr>
              <w:pStyle w:val="130"/>
              <w:numPr>
                <w:ilvl w:val="1"/>
                <w:numId w:val="0"/>
              </w:num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6.具备自动开、关机功能。具备开机自检功能，保证机器的正常运转和安全。 </w:t>
            </w:r>
          </w:p>
          <w:p w14:paraId="3339DC1C">
            <w:pPr>
              <w:pStyle w:val="130"/>
              <w:numPr>
                <w:ilvl w:val="1"/>
                <w:numId w:val="0"/>
              </w:num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7.血泵管内径应2-10mm可调，血路管的泵管尺寸应兼容8 x 12 mm 或 7 x 10 mm （内径/外径）以外的其他泵管规格的多个管路，从而保证血流量精准。 </w:t>
            </w:r>
          </w:p>
          <w:p w14:paraId="4983A16B">
            <w:pPr>
              <w:pStyle w:val="130"/>
              <w:numPr>
                <w:ilvl w:val="1"/>
                <w:numId w:val="0"/>
              </w:num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8.消毒方式采用化学消毒、热消毒。消毒脱钙一体化设计。</w:t>
            </w:r>
          </w:p>
          <w:p w14:paraId="159BD4F4">
            <w:pPr>
              <w:pStyle w:val="130"/>
              <w:numPr>
                <w:ilvl w:val="1"/>
                <w:numId w:val="0"/>
              </w:num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9.为安全起见，使用碳酸氢盐透析后，不得立即用大于等于25%的柠檬酸进行脱钙处理。 </w:t>
            </w:r>
          </w:p>
          <w:p w14:paraId="122F4E05">
            <w:pPr>
              <w:pStyle w:val="130"/>
              <w:numPr>
                <w:ilvl w:val="1"/>
                <w:numId w:val="0"/>
              </w:num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10.空气检测器：超声传导检测，静脉夹中另有光学检测器，双重监测，确保安全。 </w:t>
            </w:r>
          </w:p>
          <w:p w14:paraId="5D2E6B29">
            <w:pPr>
              <w:pStyle w:val="130"/>
              <w:numPr>
                <w:ilvl w:val="1"/>
                <w:numId w:val="0"/>
              </w:num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11.透析液速率：300～400～500～600～700～800ml/min可调。 </w:t>
            </w:r>
          </w:p>
          <w:p w14:paraId="3E96B026">
            <w:pPr>
              <w:pStyle w:val="130"/>
              <w:numPr>
                <w:ilvl w:val="1"/>
                <w:numId w:val="0"/>
              </w:num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12.▲标配透析液滤过装置。</w:t>
            </w:r>
          </w:p>
          <w:p w14:paraId="1F220D68">
            <w:pPr>
              <w:pStyle w:val="130"/>
              <w:numPr>
                <w:ilvl w:val="1"/>
                <w:numId w:val="0"/>
              </w:num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13.透析液配制为容积式连续配制方式(非电导式反馈)，能使用多种不同透析液配方。 </w:t>
            </w:r>
          </w:p>
          <w:p w14:paraId="12A0A40F">
            <w:pPr>
              <w:pStyle w:val="130"/>
              <w:numPr>
                <w:ilvl w:val="1"/>
                <w:numId w:val="0"/>
              </w:num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14.漏血检测功能：绿光侦测、红外线补偿双重监测系统。血流速200-400 ml/min （经漏血监测器流速）时，单个气泡的报警限设置为 0.25。 </w:t>
            </w:r>
          </w:p>
          <w:p w14:paraId="34B5D674">
            <w:pPr>
              <w:pStyle w:val="130"/>
              <w:numPr>
                <w:ilvl w:val="1"/>
                <w:numId w:val="0"/>
              </w:num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15.治疗过程中，除了显示泵速，还要有能显示有效血流量的界面，便于医护人员评估患者内瘘状况。 </w:t>
            </w:r>
          </w:p>
          <w:p w14:paraId="4FD2BA2B">
            <w:pPr>
              <w:pStyle w:val="130"/>
              <w:numPr>
                <w:ilvl w:val="1"/>
                <w:numId w:val="0"/>
              </w:num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16.▲机器断电后，可自动切换到后备电源（10分钟以上），不需医护人员手动操作，且能正常监测和显示所有治疗数据。 </w:t>
            </w:r>
          </w:p>
          <w:p w14:paraId="5E9B6870">
            <w:pPr>
              <w:pStyle w:val="130"/>
              <w:numPr>
                <w:ilvl w:val="1"/>
                <w:numId w:val="0"/>
              </w:num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17.▲必须配数字化计算机信息网络接口。 </w:t>
            </w:r>
          </w:p>
          <w:p w14:paraId="3517408D">
            <w:pPr>
              <w:pStyle w:val="130"/>
              <w:numPr>
                <w:ilvl w:val="1"/>
                <w:numId w:val="0"/>
              </w:num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18.▲必须有透析充分性在线监测（实时 Kt/V）。 实时监测尿素清除率（K值）和血浆钠的变化，应有K值、Kt/V值、血浆钠的曲线图显示。以方便医护人员更好的了解治疗的情况    </w:t>
            </w:r>
          </w:p>
          <w:p w14:paraId="3D924224">
            <w:pPr>
              <w:pStyle w:val="130"/>
              <w:numPr>
                <w:ilvl w:val="1"/>
                <w:numId w:val="0"/>
              </w:num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19.▲必须有在线血压监测组件，显示范围为收缩压：30mmHg ～ 260 mmHg 、舒张压：10mmHg ～ 220 mmHg 、 平均动脉压： 20mmHg ～ 245 mmHg</w:t>
            </w:r>
          </w:p>
          <w:p w14:paraId="09E1001E">
            <w:pPr>
              <w:pStyle w:val="130"/>
              <w:numPr>
                <w:ilvl w:val="1"/>
                <w:numId w:val="0"/>
              </w:num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20.▲静脉壶液面必须有可调节功能</w:t>
            </w:r>
          </w:p>
          <w:p w14:paraId="70FDF0F6">
            <w:pPr>
              <w:pStyle w:val="130"/>
              <w:numPr>
                <w:ilvl w:val="1"/>
                <w:numId w:val="0"/>
              </w:num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21.主要技术参数 </w:t>
            </w:r>
          </w:p>
          <w:p w14:paraId="1BAB0766">
            <w:pPr>
              <w:pStyle w:val="130"/>
              <w:numPr>
                <w:ilvl w:val="1"/>
                <w:numId w:val="0"/>
              </w:num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22.进水、排水管采用不透光管子； </w:t>
            </w:r>
          </w:p>
          <w:p w14:paraId="52E67B99">
            <w:pPr>
              <w:pStyle w:val="130"/>
              <w:numPr>
                <w:ilvl w:val="1"/>
                <w:numId w:val="0"/>
              </w:num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23.血泵速度：50～500ml/min（8/12mm）。 </w:t>
            </w:r>
          </w:p>
          <w:p w14:paraId="7BF909F8">
            <w:pPr>
              <w:pStyle w:val="130"/>
              <w:numPr>
                <w:ilvl w:val="1"/>
                <w:numId w:val="0"/>
              </w:num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24.透析液温度35-39℃，并可随时调整，精度±0.5℃，透析液压力范围-750～+750 mmHg，钠浓度范围125～150mmol/L可调。 </w:t>
            </w:r>
          </w:p>
          <w:p w14:paraId="779D3992">
            <w:pPr>
              <w:pStyle w:val="130"/>
              <w:numPr>
                <w:ilvl w:val="1"/>
                <w:numId w:val="0"/>
              </w:num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25.超滤目标：10ml-7000ml可调;以10ml为增量可调，超滤速率0-4000ml/h。</w:t>
            </w:r>
          </w:p>
          <w:p w14:paraId="4819B94B">
            <w:pPr>
              <w:pStyle w:val="130"/>
              <w:numPr>
                <w:ilvl w:val="1"/>
                <w:numId w:val="0"/>
              </w:num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26.静脉压监测：-50～+520 mmHg,精度±10 mmHg，分辨率20 mmHg </w:t>
            </w:r>
          </w:p>
          <w:p w14:paraId="3CA8D7BE">
            <w:pPr>
              <w:pStyle w:val="130"/>
              <w:numPr>
                <w:ilvl w:val="1"/>
                <w:numId w:val="0"/>
              </w:num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27.动脉压监测：-280～+280 mmHg,精度±10 mmHg，分辨率20 mmHg </w:t>
            </w:r>
          </w:p>
          <w:p w14:paraId="6EF7BD21">
            <w:pPr>
              <w:pStyle w:val="130"/>
              <w:numPr>
                <w:ilvl w:val="1"/>
                <w:numId w:val="0"/>
              </w:num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28.跨膜压监测：-50～+520 mmHg,分辨率20 mmHg </w:t>
            </w:r>
          </w:p>
          <w:p w14:paraId="34FC37BA">
            <w:pPr>
              <w:pStyle w:val="130"/>
              <w:numPr>
                <w:ilvl w:val="1"/>
                <w:numId w:val="0"/>
              </w:num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29.气泡监测器：超声传导检测，静脉夹中另有光学检测器，预防气泡进入体内。 </w:t>
            </w:r>
          </w:p>
          <w:p w14:paraId="26323CFE">
            <w:pPr>
              <w:pStyle w:val="130"/>
              <w:numPr>
                <w:ilvl w:val="1"/>
                <w:numId w:val="0"/>
              </w:num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30.漏血监测器：智能化，绿光侦测、红外线补偿双重监测。 </w:t>
            </w:r>
          </w:p>
          <w:p w14:paraId="07AD4A0C">
            <w:pPr>
              <w:pStyle w:val="130"/>
              <w:numPr>
                <w:ilvl w:val="1"/>
                <w:numId w:val="0"/>
              </w:num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31.进水压：1.8 ～ 6.0 bar，进水温度：5-30℃ </w:t>
            </w:r>
          </w:p>
          <w:p w14:paraId="6622AC77">
            <w:pPr>
              <w:pStyle w:val="130"/>
              <w:numPr>
                <w:ilvl w:val="1"/>
                <w:numId w:val="0"/>
              </w:num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32.透析液电导度范围：13.0 ～ 15.5mS/cm (25℃) </w:t>
            </w:r>
          </w:p>
          <w:p w14:paraId="24C915EA">
            <w:pPr>
              <w:pStyle w:val="130"/>
              <w:numPr>
                <w:ilvl w:val="1"/>
                <w:numId w:val="0"/>
              </w:num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▲34.其他要求： </w:t>
            </w:r>
          </w:p>
          <w:p w14:paraId="682B1E77">
            <w:pPr>
              <w:pStyle w:val="130"/>
              <w:numPr>
                <w:ilvl w:val="1"/>
                <w:numId w:val="0"/>
              </w:num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售后服务：                                    </w:t>
            </w:r>
          </w:p>
          <w:p w14:paraId="2BE3BC25">
            <w:pPr>
              <w:pStyle w:val="130"/>
              <w:numPr>
                <w:ilvl w:val="1"/>
                <w:numId w:val="0"/>
              </w:num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（1）免费送货至医院指定地点安装调试，免费培训工程师、操作人员至能熟练操作为止。 </w:t>
            </w:r>
          </w:p>
          <w:p w14:paraId="6895C799">
            <w:pPr>
              <w:pStyle w:val="130"/>
              <w:numPr>
                <w:ilvl w:val="1"/>
                <w:numId w:val="0"/>
              </w:num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（2）质保期：三年。质保期内的维修费用全免；质保期后的维修只收取零备件费。接到客户反馈后半小时响应，24小时内赶到现场维修。</w:t>
            </w:r>
          </w:p>
        </w:tc>
        <w:tc>
          <w:tcPr>
            <w:tcW w:w="636" w:type="dxa"/>
            <w:tcBorders>
              <w:top w:val="single" w:color="000000" w:sz="4" w:space="0"/>
              <w:left w:val="single" w:color="000000" w:sz="4" w:space="0"/>
              <w:bottom w:val="single" w:color="000000" w:sz="4" w:space="0"/>
              <w:right w:val="single" w:color="000000" w:sz="4" w:space="0"/>
            </w:tcBorders>
            <w:vAlign w:val="center"/>
          </w:tcPr>
          <w:p w14:paraId="5ACEB786">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台</w:t>
            </w:r>
          </w:p>
        </w:tc>
        <w:tc>
          <w:tcPr>
            <w:tcW w:w="427" w:type="dxa"/>
            <w:tcBorders>
              <w:top w:val="single" w:color="000000" w:sz="4" w:space="0"/>
              <w:left w:val="single" w:color="000000" w:sz="4" w:space="0"/>
              <w:bottom w:val="single" w:color="000000" w:sz="4" w:space="0"/>
              <w:right w:val="single" w:color="000000" w:sz="4" w:space="0"/>
            </w:tcBorders>
            <w:vAlign w:val="center"/>
          </w:tcPr>
          <w:p w14:paraId="65356379">
            <w:pPr>
              <w:widowControl/>
              <w:jc w:val="center"/>
              <w:textAlignment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 xml:space="preserve"> </w:t>
            </w:r>
          </w:p>
        </w:tc>
      </w:tr>
    </w:tbl>
    <w:p w14:paraId="2A6F9092">
      <w:pPr>
        <w:spacing w:line="560" w:lineRule="exact"/>
        <w:jc w:val="left"/>
        <w:rPr>
          <w:rFonts w:hint="eastAsia"/>
          <w:b/>
          <w:color w:val="auto"/>
          <w:sz w:val="24"/>
          <w:highlight w:val="none"/>
        </w:rPr>
      </w:pPr>
    </w:p>
    <w:p w14:paraId="65CBB938">
      <w:pPr>
        <w:spacing w:line="560" w:lineRule="exact"/>
        <w:jc w:val="left"/>
        <w:rPr>
          <w:rFonts w:ascii="宋体" w:hAnsi="宋体" w:cs="宋体"/>
          <w:b/>
          <w:bCs/>
          <w:color w:val="auto"/>
          <w:szCs w:val="21"/>
          <w:highlight w:val="none"/>
        </w:rPr>
      </w:pPr>
      <w:r>
        <w:rPr>
          <w:rFonts w:hint="eastAsia"/>
          <w:b/>
          <w:color w:val="auto"/>
          <w:sz w:val="24"/>
          <w:highlight w:val="none"/>
        </w:rPr>
        <w:t>标项</w:t>
      </w:r>
      <w:r>
        <w:rPr>
          <w:rFonts w:hint="eastAsia"/>
          <w:b/>
          <w:color w:val="auto"/>
          <w:sz w:val="24"/>
          <w:highlight w:val="none"/>
          <w:lang w:eastAsia="zh-CN"/>
        </w:rPr>
        <w:t>三</w:t>
      </w:r>
      <w:r>
        <w:rPr>
          <w:rFonts w:hint="eastAsia" w:ascii="宋体" w:hAnsi="宋体" w:cs="宋体"/>
          <w:b/>
          <w:bCs/>
          <w:color w:val="auto"/>
          <w:szCs w:val="21"/>
          <w:highlight w:val="none"/>
        </w:rPr>
        <w:t>技术参数表：</w:t>
      </w:r>
    </w:p>
    <w:tbl>
      <w:tblPr>
        <w:tblStyle w:val="48"/>
        <w:tblW w:w="8977" w:type="dxa"/>
        <w:tblInd w:w="93" w:type="dxa"/>
        <w:tblLayout w:type="autofit"/>
        <w:tblCellMar>
          <w:top w:w="0" w:type="dxa"/>
          <w:left w:w="108" w:type="dxa"/>
          <w:bottom w:w="0" w:type="dxa"/>
          <w:right w:w="108" w:type="dxa"/>
        </w:tblCellMar>
      </w:tblPr>
      <w:tblGrid>
        <w:gridCol w:w="428"/>
        <w:gridCol w:w="780"/>
        <w:gridCol w:w="6755"/>
        <w:gridCol w:w="587"/>
        <w:gridCol w:w="427"/>
      </w:tblGrid>
      <w:tr w14:paraId="2300D2C0">
        <w:tblPrEx>
          <w:tblCellMar>
            <w:top w:w="0" w:type="dxa"/>
            <w:left w:w="108" w:type="dxa"/>
            <w:bottom w:w="0" w:type="dxa"/>
            <w:right w:w="108" w:type="dxa"/>
          </w:tblCellMar>
        </w:tblPrEx>
        <w:trPr>
          <w:trHeight w:val="694" w:hRule="atLeast"/>
        </w:trPr>
        <w:tc>
          <w:tcPr>
            <w:tcW w:w="429" w:type="dxa"/>
            <w:tcBorders>
              <w:top w:val="single" w:color="000000" w:sz="4" w:space="0"/>
              <w:left w:val="single" w:color="000000" w:sz="4" w:space="0"/>
              <w:bottom w:val="single" w:color="000000" w:sz="4" w:space="0"/>
              <w:right w:val="single" w:color="000000" w:sz="4" w:space="0"/>
            </w:tcBorders>
            <w:vAlign w:val="center"/>
          </w:tcPr>
          <w:p w14:paraId="523D6AC9">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序号</w:t>
            </w:r>
          </w:p>
        </w:tc>
        <w:tc>
          <w:tcPr>
            <w:tcW w:w="889" w:type="dxa"/>
            <w:tcBorders>
              <w:top w:val="single" w:color="000000" w:sz="4" w:space="0"/>
              <w:left w:val="single" w:color="000000" w:sz="4" w:space="0"/>
              <w:bottom w:val="single" w:color="000000" w:sz="4" w:space="0"/>
              <w:right w:val="single" w:color="000000" w:sz="4" w:space="0"/>
            </w:tcBorders>
            <w:vAlign w:val="center"/>
          </w:tcPr>
          <w:p w14:paraId="4132814D">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设备名称</w:t>
            </w:r>
          </w:p>
        </w:tc>
        <w:tc>
          <w:tcPr>
            <w:tcW w:w="6596" w:type="dxa"/>
            <w:tcBorders>
              <w:top w:val="single" w:color="000000" w:sz="4" w:space="0"/>
              <w:left w:val="single" w:color="000000" w:sz="4" w:space="0"/>
              <w:bottom w:val="single" w:color="000000" w:sz="4" w:space="0"/>
              <w:right w:val="single" w:color="000000" w:sz="4" w:space="0"/>
            </w:tcBorders>
            <w:vAlign w:val="center"/>
          </w:tcPr>
          <w:p w14:paraId="3BF2077B">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主要性能指标</w:t>
            </w:r>
          </w:p>
        </w:tc>
        <w:tc>
          <w:tcPr>
            <w:tcW w:w="636" w:type="dxa"/>
            <w:tcBorders>
              <w:top w:val="single" w:color="000000" w:sz="4" w:space="0"/>
              <w:left w:val="single" w:color="000000" w:sz="4" w:space="0"/>
              <w:bottom w:val="single" w:color="000000" w:sz="4" w:space="0"/>
              <w:right w:val="single" w:color="000000" w:sz="4" w:space="0"/>
            </w:tcBorders>
            <w:vAlign w:val="center"/>
          </w:tcPr>
          <w:p w14:paraId="4F01F8C8">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单位</w:t>
            </w:r>
          </w:p>
        </w:tc>
        <w:tc>
          <w:tcPr>
            <w:tcW w:w="427" w:type="dxa"/>
            <w:tcBorders>
              <w:top w:val="single" w:color="000000" w:sz="4" w:space="0"/>
              <w:left w:val="single" w:color="000000" w:sz="4" w:space="0"/>
              <w:bottom w:val="single" w:color="000000" w:sz="4" w:space="0"/>
              <w:right w:val="single" w:color="000000" w:sz="4" w:space="0"/>
            </w:tcBorders>
            <w:vAlign w:val="center"/>
          </w:tcPr>
          <w:p w14:paraId="7F65D71E">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数量</w:t>
            </w:r>
          </w:p>
        </w:tc>
      </w:tr>
      <w:tr w14:paraId="634023C7">
        <w:tblPrEx>
          <w:tblCellMar>
            <w:top w:w="0" w:type="dxa"/>
            <w:left w:w="108" w:type="dxa"/>
            <w:bottom w:w="0" w:type="dxa"/>
            <w:right w:w="108" w:type="dxa"/>
          </w:tblCellMar>
        </w:tblPrEx>
        <w:trPr>
          <w:trHeight w:val="12074" w:hRule="atLeast"/>
        </w:trPr>
        <w:tc>
          <w:tcPr>
            <w:tcW w:w="429" w:type="dxa"/>
            <w:tcBorders>
              <w:top w:val="single" w:color="000000" w:sz="4" w:space="0"/>
              <w:left w:val="single" w:color="000000" w:sz="4" w:space="0"/>
              <w:bottom w:val="single" w:color="000000" w:sz="4" w:space="0"/>
              <w:right w:val="single" w:color="000000" w:sz="4" w:space="0"/>
            </w:tcBorders>
            <w:vAlign w:val="center"/>
          </w:tcPr>
          <w:p w14:paraId="33F0EB91">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889" w:type="dxa"/>
            <w:tcBorders>
              <w:top w:val="single" w:color="000000" w:sz="4" w:space="0"/>
              <w:left w:val="single" w:color="000000" w:sz="4" w:space="0"/>
              <w:bottom w:val="single" w:color="000000" w:sz="4" w:space="0"/>
              <w:right w:val="single" w:color="000000" w:sz="4" w:space="0"/>
            </w:tcBorders>
            <w:vAlign w:val="center"/>
          </w:tcPr>
          <w:p w14:paraId="3299D001">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膀胱镜</w:t>
            </w:r>
          </w:p>
        </w:tc>
        <w:tc>
          <w:tcPr>
            <w:tcW w:w="6596" w:type="dxa"/>
            <w:tcBorders>
              <w:top w:val="single" w:color="000000" w:sz="4" w:space="0"/>
              <w:left w:val="single" w:color="000000" w:sz="4" w:space="0"/>
              <w:bottom w:val="single" w:color="000000" w:sz="4" w:space="0"/>
              <w:right w:val="single" w:color="000000" w:sz="4" w:space="0"/>
            </w:tcBorders>
          </w:tcPr>
          <w:p w14:paraId="55C71E91">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1、内窥镜镜体全部采用进口不锈钢管</w:t>
            </w:r>
          </w:p>
          <w:p w14:paraId="1A70A4AC">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2、窥镜采用德国光学玻璃、光钎、光锥</w:t>
            </w:r>
          </w:p>
          <w:p w14:paraId="131F6C2A">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3、带有方向标，蓝宝石镜头，永不磨损；</w:t>
            </w:r>
          </w:p>
          <w:p w14:paraId="11DDEAE0">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4、采用柱状透镜专利技术，图像清晰、视场明亮</w:t>
            </w:r>
          </w:p>
          <w:p w14:paraId="5D387D68">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5、不锈钢水阀，彻底根除了水阀维护繁琐，易损坏的弊病；</w:t>
            </w:r>
          </w:p>
          <w:p w14:paraId="02159E5E">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5、操作器手轮配有拨板起落指示标；</w:t>
            </w:r>
          </w:p>
          <w:p w14:paraId="202EC913">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6、旋锁式可与STORZ产品互换使用</w:t>
            </w:r>
          </w:p>
          <w:p w14:paraId="3988FC8C">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7、内窥镜可承受低温等离子消毒</w:t>
            </w:r>
          </w:p>
          <w:p w14:paraId="7E5CA0CF">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8、可选购耐高温高压消毒内窥镜</w:t>
            </w:r>
          </w:p>
          <w:p w14:paraId="3478AD45">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9、镜体外径：Ø4mm   镜体长度：302mm</w:t>
            </w:r>
          </w:p>
          <w:p w14:paraId="5EEFFEE5">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10、视向角：30°</w:t>
            </w:r>
          </w:p>
          <w:p w14:paraId="40D52363">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12、有效景深大于5mm-100mm</w:t>
            </w:r>
          </w:p>
          <w:p w14:paraId="4C3C5EEE">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13、目镜罩外径：Ø32mm</w:t>
            </w:r>
          </w:p>
          <w:p w14:paraId="6CDA6FE0">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14、光缆接头外径：Ø10mm</w:t>
            </w:r>
          </w:p>
          <w:p w14:paraId="0A92EB0F">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15、插入鞘套规格：15.5Fr、19.8Fr、21Fr、22.5Fr</w:t>
            </w:r>
          </w:p>
          <w:p w14:paraId="05828AC6">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16、插入工作长度：≥220mm</w:t>
            </w:r>
          </w:p>
          <w:p w14:paraId="21260EAD">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17、手术器械规格：7Fr×370mm</w:t>
            </w:r>
          </w:p>
          <w:p w14:paraId="09892688">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18、光缆：配有转换接头可与WOLF、STORZ光源连接,光缆接头可与STORZ、OLYMPUS、WOLF、ACMI光缆连接,与医用电气设备互连使用的安全要求全项符合GB9706.1的要求。</w:t>
            </w:r>
          </w:p>
          <w:p w14:paraId="572EFF33">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p>
          <w:p w14:paraId="2553DC48">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配置清单：</w:t>
            </w:r>
          </w:p>
          <w:tbl>
            <w:tblPr>
              <w:tblStyle w:val="4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1237"/>
              <w:gridCol w:w="3581"/>
              <w:gridCol w:w="760"/>
            </w:tblGrid>
            <w:tr w14:paraId="40C0D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pct"/>
                </w:tcPr>
                <w:p w14:paraId="151564BD">
                  <w:pPr>
                    <w:numPr>
                      <w:ilvl w:val="0"/>
                      <w:numId w:val="0"/>
                    </w:numPr>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序号</w:t>
                  </w:r>
                </w:p>
              </w:tc>
              <w:tc>
                <w:tcPr>
                  <w:tcW w:w="947" w:type="pct"/>
                </w:tcPr>
                <w:p w14:paraId="72960BFC">
                  <w:pPr>
                    <w:numPr>
                      <w:ilvl w:val="0"/>
                      <w:numId w:val="0"/>
                    </w:numPr>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名称</w:t>
                  </w:r>
                </w:p>
              </w:tc>
              <w:tc>
                <w:tcPr>
                  <w:tcW w:w="2742" w:type="pct"/>
                </w:tcPr>
                <w:p w14:paraId="57025646">
                  <w:pPr>
                    <w:numPr>
                      <w:ilvl w:val="0"/>
                      <w:numId w:val="0"/>
                    </w:numPr>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规格</w:t>
                  </w:r>
                </w:p>
              </w:tc>
              <w:tc>
                <w:tcPr>
                  <w:tcW w:w="582" w:type="pct"/>
                </w:tcPr>
                <w:p w14:paraId="46091D43">
                  <w:pPr>
                    <w:numPr>
                      <w:ilvl w:val="0"/>
                      <w:numId w:val="0"/>
                    </w:numPr>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数量</w:t>
                  </w:r>
                </w:p>
              </w:tc>
            </w:tr>
            <w:tr w14:paraId="49BE8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pct"/>
                </w:tcPr>
                <w:p w14:paraId="562203DF">
                  <w:pPr>
                    <w:numPr>
                      <w:ilvl w:val="0"/>
                      <w:numId w:val="0"/>
                    </w:numPr>
                    <w:jc w:val="left"/>
                    <w:rPr>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1  </w:t>
                  </w:r>
                </w:p>
              </w:tc>
              <w:tc>
                <w:tcPr>
                  <w:tcW w:w="947" w:type="pct"/>
                </w:tcPr>
                <w:p w14:paraId="5255AE57">
                  <w:pPr>
                    <w:numPr>
                      <w:ilvl w:val="0"/>
                      <w:numId w:val="0"/>
                    </w:numPr>
                    <w:jc w:val="left"/>
                    <w:rPr>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30°膀胱镜</w:t>
                  </w:r>
                </w:p>
              </w:tc>
              <w:tc>
                <w:tcPr>
                  <w:tcW w:w="2742" w:type="pct"/>
                </w:tcPr>
                <w:p w14:paraId="1E40974C">
                  <w:pPr>
                    <w:numPr>
                      <w:ilvl w:val="0"/>
                      <w:numId w:val="0"/>
                    </w:numPr>
                    <w:jc w:val="left"/>
                    <w:rPr>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≤Ф4、≤302mm</w:t>
                  </w:r>
                </w:p>
              </w:tc>
              <w:tc>
                <w:tcPr>
                  <w:tcW w:w="582" w:type="pct"/>
                </w:tcPr>
                <w:p w14:paraId="561FAE62">
                  <w:pPr>
                    <w:numPr>
                      <w:ilvl w:val="0"/>
                      <w:numId w:val="0"/>
                    </w:numPr>
                    <w:jc w:val="left"/>
                    <w:rPr>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2支</w:t>
                  </w:r>
                </w:p>
              </w:tc>
            </w:tr>
            <w:tr w14:paraId="41183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pct"/>
                </w:tcPr>
                <w:p w14:paraId="15C74F5E">
                  <w:pPr>
                    <w:numPr>
                      <w:ilvl w:val="0"/>
                      <w:numId w:val="0"/>
                    </w:numPr>
                    <w:jc w:val="left"/>
                    <w:rPr>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2  </w:t>
                  </w:r>
                </w:p>
              </w:tc>
              <w:tc>
                <w:tcPr>
                  <w:tcW w:w="947" w:type="pct"/>
                </w:tcPr>
                <w:p w14:paraId="69E0C02A">
                  <w:pPr>
                    <w:numPr>
                      <w:ilvl w:val="0"/>
                      <w:numId w:val="0"/>
                    </w:numPr>
                    <w:jc w:val="left"/>
                    <w:rPr>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鞘套及闭孔器</w:t>
                  </w:r>
                </w:p>
              </w:tc>
              <w:tc>
                <w:tcPr>
                  <w:tcW w:w="2742" w:type="pct"/>
                </w:tcPr>
                <w:p w14:paraId="2FC58462">
                  <w:pPr>
                    <w:numPr>
                      <w:ilvl w:val="0"/>
                      <w:numId w:val="0"/>
                    </w:numPr>
                    <w:jc w:val="left"/>
                    <w:rPr>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≤19.8Fr、≤230mm</w:t>
                  </w:r>
                </w:p>
              </w:tc>
              <w:tc>
                <w:tcPr>
                  <w:tcW w:w="582" w:type="pct"/>
                </w:tcPr>
                <w:p w14:paraId="02F01466">
                  <w:pPr>
                    <w:numPr>
                      <w:ilvl w:val="0"/>
                      <w:numId w:val="0"/>
                    </w:numPr>
                    <w:jc w:val="left"/>
                    <w:rPr>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1支</w:t>
                  </w:r>
                </w:p>
              </w:tc>
            </w:tr>
            <w:tr w14:paraId="39BCF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pct"/>
                </w:tcPr>
                <w:p w14:paraId="1F0C5960">
                  <w:pPr>
                    <w:numPr>
                      <w:ilvl w:val="0"/>
                      <w:numId w:val="0"/>
                    </w:numPr>
                    <w:jc w:val="left"/>
                    <w:rPr>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3   </w:t>
                  </w:r>
                </w:p>
              </w:tc>
              <w:tc>
                <w:tcPr>
                  <w:tcW w:w="947" w:type="pct"/>
                </w:tcPr>
                <w:p w14:paraId="7045B3A7">
                  <w:pPr>
                    <w:numPr>
                      <w:ilvl w:val="0"/>
                      <w:numId w:val="0"/>
                    </w:numPr>
                    <w:jc w:val="left"/>
                    <w:rPr>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鞘套及闭孔器</w:t>
                  </w:r>
                </w:p>
              </w:tc>
              <w:tc>
                <w:tcPr>
                  <w:tcW w:w="2742" w:type="pct"/>
                </w:tcPr>
                <w:p w14:paraId="6BAA8236">
                  <w:pPr>
                    <w:numPr>
                      <w:ilvl w:val="0"/>
                      <w:numId w:val="0"/>
                    </w:numPr>
                    <w:jc w:val="left"/>
                    <w:rPr>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≤21Fr、≤230mm</w:t>
                  </w:r>
                </w:p>
              </w:tc>
              <w:tc>
                <w:tcPr>
                  <w:tcW w:w="582" w:type="pct"/>
                </w:tcPr>
                <w:p w14:paraId="1229D6E1">
                  <w:pPr>
                    <w:numPr>
                      <w:ilvl w:val="0"/>
                      <w:numId w:val="0"/>
                    </w:numPr>
                    <w:jc w:val="left"/>
                    <w:rPr>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1支</w:t>
                  </w:r>
                </w:p>
              </w:tc>
            </w:tr>
            <w:tr w14:paraId="5A800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pct"/>
                </w:tcPr>
                <w:p w14:paraId="3A9108AB">
                  <w:pPr>
                    <w:numPr>
                      <w:ilvl w:val="0"/>
                      <w:numId w:val="0"/>
                    </w:numPr>
                    <w:jc w:val="left"/>
                    <w:rPr>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4  </w:t>
                  </w:r>
                </w:p>
              </w:tc>
              <w:tc>
                <w:tcPr>
                  <w:tcW w:w="947" w:type="pct"/>
                </w:tcPr>
                <w:p w14:paraId="5C470E14">
                  <w:pPr>
                    <w:numPr>
                      <w:ilvl w:val="0"/>
                      <w:numId w:val="0"/>
                    </w:numPr>
                    <w:jc w:val="left"/>
                    <w:rPr>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异物钳</w:t>
                  </w:r>
                </w:p>
              </w:tc>
              <w:tc>
                <w:tcPr>
                  <w:tcW w:w="2742" w:type="pct"/>
                </w:tcPr>
                <w:p w14:paraId="1BBC4E95">
                  <w:pPr>
                    <w:numPr>
                      <w:ilvl w:val="0"/>
                      <w:numId w:val="0"/>
                    </w:numPr>
                    <w:jc w:val="left"/>
                    <w:rPr>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≤5Fr≥370mm、软性</w:t>
                  </w:r>
                </w:p>
              </w:tc>
              <w:tc>
                <w:tcPr>
                  <w:tcW w:w="582" w:type="pct"/>
                </w:tcPr>
                <w:p w14:paraId="09A221AC">
                  <w:pPr>
                    <w:numPr>
                      <w:ilvl w:val="0"/>
                      <w:numId w:val="0"/>
                    </w:numPr>
                    <w:jc w:val="left"/>
                    <w:rPr>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3把</w:t>
                  </w:r>
                </w:p>
              </w:tc>
            </w:tr>
            <w:tr w14:paraId="7BED9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pct"/>
                </w:tcPr>
                <w:p w14:paraId="67B07F4E">
                  <w:pPr>
                    <w:numPr>
                      <w:ilvl w:val="0"/>
                      <w:numId w:val="0"/>
                    </w:numPr>
                    <w:jc w:val="left"/>
                    <w:rPr>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5  </w:t>
                  </w:r>
                </w:p>
              </w:tc>
              <w:tc>
                <w:tcPr>
                  <w:tcW w:w="947" w:type="pct"/>
                </w:tcPr>
                <w:p w14:paraId="4AFCCC2F">
                  <w:pPr>
                    <w:numPr>
                      <w:ilvl w:val="0"/>
                      <w:numId w:val="0"/>
                    </w:numPr>
                    <w:jc w:val="left"/>
                    <w:rPr>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活检钳</w:t>
                  </w:r>
                </w:p>
              </w:tc>
              <w:tc>
                <w:tcPr>
                  <w:tcW w:w="2742" w:type="pct"/>
                </w:tcPr>
                <w:p w14:paraId="322C018A">
                  <w:pPr>
                    <w:numPr>
                      <w:ilvl w:val="0"/>
                      <w:numId w:val="0"/>
                    </w:numPr>
                    <w:jc w:val="left"/>
                    <w:rPr>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≤5Fr、≥370mm、软性</w:t>
                  </w:r>
                </w:p>
              </w:tc>
              <w:tc>
                <w:tcPr>
                  <w:tcW w:w="582" w:type="pct"/>
                </w:tcPr>
                <w:p w14:paraId="619DE884">
                  <w:pPr>
                    <w:numPr>
                      <w:ilvl w:val="0"/>
                      <w:numId w:val="0"/>
                    </w:numPr>
                    <w:jc w:val="left"/>
                    <w:rPr>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1把</w:t>
                  </w:r>
                </w:p>
              </w:tc>
            </w:tr>
            <w:tr w14:paraId="59090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pct"/>
                </w:tcPr>
                <w:p w14:paraId="79F39522">
                  <w:pPr>
                    <w:numPr>
                      <w:ilvl w:val="0"/>
                      <w:numId w:val="0"/>
                    </w:numPr>
                    <w:jc w:val="left"/>
                    <w:rPr>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p>
              </w:tc>
              <w:tc>
                <w:tcPr>
                  <w:tcW w:w="947" w:type="pct"/>
                </w:tcPr>
                <w:p w14:paraId="0EE06D07">
                  <w:pPr>
                    <w:numPr>
                      <w:ilvl w:val="0"/>
                      <w:numId w:val="0"/>
                    </w:numPr>
                    <w:jc w:val="left"/>
                    <w:rPr>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活检钳  </w:t>
                  </w:r>
                </w:p>
              </w:tc>
              <w:tc>
                <w:tcPr>
                  <w:tcW w:w="2742" w:type="pct"/>
                </w:tcPr>
                <w:p w14:paraId="1238161A">
                  <w:pPr>
                    <w:numPr>
                      <w:ilvl w:val="0"/>
                      <w:numId w:val="0"/>
                    </w:numPr>
                    <w:jc w:val="left"/>
                    <w:rPr>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≤5Fr、≥560mm、硬性</w:t>
                  </w:r>
                </w:p>
              </w:tc>
              <w:tc>
                <w:tcPr>
                  <w:tcW w:w="582" w:type="pct"/>
                </w:tcPr>
                <w:p w14:paraId="3B48D483">
                  <w:pPr>
                    <w:numPr>
                      <w:ilvl w:val="0"/>
                      <w:numId w:val="0"/>
                    </w:numPr>
                    <w:jc w:val="left"/>
                    <w:rPr>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1把</w:t>
                  </w:r>
                </w:p>
              </w:tc>
            </w:tr>
            <w:tr w14:paraId="4EB1A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pct"/>
                </w:tcPr>
                <w:p w14:paraId="60783300">
                  <w:pPr>
                    <w:numPr>
                      <w:ilvl w:val="0"/>
                      <w:numId w:val="0"/>
                    </w:numPr>
                    <w:jc w:val="left"/>
                    <w:rPr>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7 </w:t>
                  </w:r>
                </w:p>
              </w:tc>
              <w:tc>
                <w:tcPr>
                  <w:tcW w:w="947" w:type="pct"/>
                </w:tcPr>
                <w:p w14:paraId="1D91820A">
                  <w:pPr>
                    <w:numPr>
                      <w:ilvl w:val="0"/>
                      <w:numId w:val="0"/>
                    </w:numPr>
                    <w:jc w:val="left"/>
                    <w:rPr>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异物钳  </w:t>
                  </w:r>
                </w:p>
              </w:tc>
              <w:tc>
                <w:tcPr>
                  <w:tcW w:w="2742" w:type="pct"/>
                </w:tcPr>
                <w:p w14:paraId="49860E34">
                  <w:pPr>
                    <w:numPr>
                      <w:ilvl w:val="0"/>
                      <w:numId w:val="0"/>
                    </w:numPr>
                    <w:jc w:val="left"/>
                    <w:rPr>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≤5Fr、≥560mm、硬性</w:t>
                  </w:r>
                </w:p>
              </w:tc>
              <w:tc>
                <w:tcPr>
                  <w:tcW w:w="582" w:type="pct"/>
                </w:tcPr>
                <w:p w14:paraId="1CAE4FC3">
                  <w:pPr>
                    <w:numPr>
                      <w:ilvl w:val="0"/>
                      <w:numId w:val="0"/>
                    </w:numPr>
                    <w:jc w:val="left"/>
                    <w:rPr>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1把</w:t>
                  </w:r>
                </w:p>
              </w:tc>
            </w:tr>
            <w:tr w14:paraId="4B37D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pct"/>
                </w:tcPr>
                <w:p w14:paraId="5E2BD09A">
                  <w:pPr>
                    <w:numPr>
                      <w:ilvl w:val="0"/>
                      <w:numId w:val="0"/>
                    </w:numPr>
                    <w:jc w:val="left"/>
                    <w:rPr>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w:t>
                  </w:r>
                </w:p>
              </w:tc>
              <w:tc>
                <w:tcPr>
                  <w:tcW w:w="947" w:type="pct"/>
                </w:tcPr>
                <w:p w14:paraId="2A34EC71">
                  <w:pPr>
                    <w:numPr>
                      <w:ilvl w:val="0"/>
                      <w:numId w:val="0"/>
                    </w:numPr>
                    <w:jc w:val="left"/>
                    <w:rPr>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连接桥  </w:t>
                  </w:r>
                </w:p>
              </w:tc>
              <w:tc>
                <w:tcPr>
                  <w:tcW w:w="2742" w:type="pct"/>
                </w:tcPr>
                <w:p w14:paraId="348F3002">
                  <w:pPr>
                    <w:numPr>
                      <w:ilvl w:val="0"/>
                      <w:numId w:val="0"/>
                    </w:numPr>
                    <w:jc w:val="left"/>
                    <w:rPr>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单通道、≥Ф3.5mm</w:t>
                  </w:r>
                </w:p>
              </w:tc>
              <w:tc>
                <w:tcPr>
                  <w:tcW w:w="582" w:type="pct"/>
                </w:tcPr>
                <w:p w14:paraId="09F5306C">
                  <w:pPr>
                    <w:numPr>
                      <w:ilvl w:val="0"/>
                      <w:numId w:val="0"/>
                    </w:numPr>
                    <w:jc w:val="left"/>
                    <w:rPr>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1支</w:t>
                  </w:r>
                </w:p>
              </w:tc>
            </w:tr>
          </w:tbl>
          <w:p w14:paraId="2914BD48">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p>
          <w:p w14:paraId="7DB0D52D">
            <w:pPr>
              <w:pStyle w:val="130"/>
              <w:numPr>
                <w:ilvl w:val="1"/>
                <w:numId w:val="0"/>
              </w:numPr>
              <w:spacing w:line="300" w:lineRule="exact"/>
              <w:jc w:val="left"/>
              <w:rPr>
                <w:rFonts w:hint="eastAsia" w:ascii="宋体" w:hAnsi="宋体" w:eastAsia="宋体" w:cs="宋体"/>
                <w:color w:val="auto"/>
                <w:sz w:val="21"/>
                <w:szCs w:val="21"/>
                <w:highlight w:val="none"/>
              </w:rPr>
            </w:pPr>
          </w:p>
        </w:tc>
        <w:tc>
          <w:tcPr>
            <w:tcW w:w="636" w:type="dxa"/>
            <w:tcBorders>
              <w:top w:val="single" w:color="000000" w:sz="4" w:space="0"/>
              <w:left w:val="single" w:color="000000" w:sz="4" w:space="0"/>
              <w:bottom w:val="single" w:color="000000" w:sz="4" w:space="0"/>
              <w:right w:val="single" w:color="000000" w:sz="4" w:space="0"/>
            </w:tcBorders>
            <w:vAlign w:val="center"/>
          </w:tcPr>
          <w:p w14:paraId="0ACB0E29">
            <w:pPr>
              <w:widowControl/>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组</w:t>
            </w:r>
          </w:p>
        </w:tc>
        <w:tc>
          <w:tcPr>
            <w:tcW w:w="427" w:type="dxa"/>
            <w:tcBorders>
              <w:top w:val="single" w:color="000000" w:sz="4" w:space="0"/>
              <w:left w:val="single" w:color="000000" w:sz="4" w:space="0"/>
              <w:bottom w:val="single" w:color="000000" w:sz="4" w:space="0"/>
              <w:right w:val="single" w:color="000000" w:sz="4" w:space="0"/>
            </w:tcBorders>
            <w:vAlign w:val="center"/>
          </w:tcPr>
          <w:p w14:paraId="594D0A59">
            <w:pPr>
              <w:widowControl/>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 </w:t>
            </w:r>
          </w:p>
        </w:tc>
      </w:tr>
      <w:tr w14:paraId="10E82AAD">
        <w:tblPrEx>
          <w:tblCellMar>
            <w:top w:w="0" w:type="dxa"/>
            <w:left w:w="108" w:type="dxa"/>
            <w:bottom w:w="0" w:type="dxa"/>
            <w:right w:w="108" w:type="dxa"/>
          </w:tblCellMar>
        </w:tblPrEx>
        <w:trPr>
          <w:trHeight w:val="6015" w:hRule="atLeast"/>
        </w:trPr>
        <w:tc>
          <w:tcPr>
            <w:tcW w:w="429" w:type="dxa"/>
            <w:tcBorders>
              <w:top w:val="single" w:color="000000" w:sz="4" w:space="0"/>
              <w:left w:val="single" w:color="000000" w:sz="4" w:space="0"/>
              <w:bottom w:val="single" w:color="000000" w:sz="4" w:space="0"/>
              <w:right w:val="single" w:color="000000" w:sz="4" w:space="0"/>
            </w:tcBorders>
            <w:vAlign w:val="center"/>
          </w:tcPr>
          <w:p w14:paraId="50A772C4">
            <w:pPr>
              <w:widowControl/>
              <w:jc w:val="center"/>
              <w:rPr>
                <w:rFonts w:hint="eastAsia" w:ascii="宋体" w:hAnsi="宋体" w:cs="宋体"/>
                <w:color w:val="auto"/>
                <w:kern w:val="0"/>
                <w:sz w:val="21"/>
                <w:szCs w:val="21"/>
                <w:highlight w:val="none"/>
                <w:lang w:val="en-US" w:eastAsia="zh-CN"/>
              </w:rPr>
            </w:pPr>
          </w:p>
          <w:p w14:paraId="2F56F38B">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w:t>
            </w:r>
          </w:p>
        </w:tc>
        <w:tc>
          <w:tcPr>
            <w:tcW w:w="889" w:type="dxa"/>
            <w:tcBorders>
              <w:top w:val="single" w:color="000000" w:sz="4" w:space="0"/>
              <w:left w:val="single" w:color="000000" w:sz="4" w:space="0"/>
              <w:bottom w:val="single" w:color="000000" w:sz="4" w:space="0"/>
              <w:right w:val="single" w:color="000000" w:sz="4" w:space="0"/>
            </w:tcBorders>
            <w:vAlign w:val="center"/>
          </w:tcPr>
          <w:p w14:paraId="22194AA8">
            <w:pPr>
              <w:widowControl/>
              <w:jc w:val="center"/>
              <w:rPr>
                <w:rFonts w:hint="eastAsia" w:ascii="宋体" w:hAnsi="宋体" w:eastAsia="宋体" w:cs="宋体"/>
                <w:color w:val="auto"/>
                <w:sz w:val="21"/>
                <w:szCs w:val="21"/>
                <w:highlight w:val="none"/>
                <w:lang w:eastAsia="zh-CN"/>
              </w:rPr>
            </w:pPr>
          </w:p>
          <w:p w14:paraId="6306EE55">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脑室内镜系统</w:t>
            </w:r>
          </w:p>
        </w:tc>
        <w:tc>
          <w:tcPr>
            <w:tcW w:w="6596" w:type="dxa"/>
            <w:tcBorders>
              <w:top w:val="single" w:color="000000" w:sz="4" w:space="0"/>
              <w:left w:val="single" w:color="000000" w:sz="4" w:space="0"/>
              <w:bottom w:val="single" w:color="000000" w:sz="4" w:space="0"/>
              <w:right w:val="single" w:color="000000" w:sz="4" w:space="0"/>
            </w:tcBorders>
          </w:tcPr>
          <w:p w14:paraId="3F85A084">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p>
          <w:p w14:paraId="0390D8DF">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1.脑室镜设计光学工作距d0</w:t>
            </w: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20mm</w:t>
            </w:r>
          </w:p>
          <w:p w14:paraId="268C2CBE">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视场中心角分辨力</w:t>
            </w: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2.6C/(°)</w:t>
            </w:r>
          </w:p>
          <w:p w14:paraId="3AC25F59">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有效景深范围</w:t>
            </w: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3~100mm</w:t>
            </w:r>
          </w:p>
          <w:p w14:paraId="0EAE2AAC">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在A标准照明体下的显色指数Ra</w:t>
            </w: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≥85</w:t>
            </w:r>
          </w:p>
          <w:p w14:paraId="007758E3">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在D65标准照明体下的显色指数Ra</w:t>
            </w: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≥85</w:t>
            </w:r>
          </w:p>
          <w:p w14:paraId="22F91B8B">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照明镜体光效ILeR</w:t>
            </w: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≥0.25</w:t>
            </w:r>
          </w:p>
          <w:p w14:paraId="50B53739">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综合镜体光效SLeR</w:t>
            </w: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≥0.26</w:t>
            </w:r>
          </w:p>
          <w:p w14:paraId="61415C6D">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综合边缘光效SLe-Z</w:t>
            </w: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≥0.13</w:t>
            </w:r>
          </w:p>
          <w:p w14:paraId="606F3A0E">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有效光度率DM</w:t>
            </w: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≤3000cd/m2/lm</w:t>
            </w:r>
          </w:p>
          <w:p w14:paraId="7C979D51">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单位相对畸变VU-Z的控制量</w:t>
            </w: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-15%</w:t>
            </w:r>
          </w:p>
          <w:p w14:paraId="14F86618">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2．工作套管工作长度</w:t>
            </w: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147</w:t>
            </w:r>
          </w:p>
          <w:p w14:paraId="40F4C625">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最大插入部（外管）外径 ≤</w:t>
            </w: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7.5</w:t>
            </w:r>
          </w:p>
          <w:p w14:paraId="11825611">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最小器械（操作孔道）内径</w:t>
            </w: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2.4</w:t>
            </w:r>
          </w:p>
          <w:p w14:paraId="21BDD62E">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最小器械（镜孔道）内径大于</w:t>
            </w: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2.7</w:t>
            </w:r>
          </w:p>
          <w:p w14:paraId="411C436D">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最小器械（注水孔道）内径</w:t>
            </w: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1.2</w:t>
            </w:r>
          </w:p>
          <w:p w14:paraId="1D813922">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最小器械（排水孔道）内径</w:t>
            </w: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1.2</w:t>
            </w:r>
          </w:p>
          <w:p w14:paraId="2617C489">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3．材料：与人体部分接触的材料符合医用不锈钢标准（YY/T 0294.1-2016）的要求，对应标准的中M号钢</w:t>
            </w:r>
          </w:p>
          <w:p w14:paraId="0812EF89">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4．目镜罩能与国际标准C式卡口配套</w:t>
            </w:r>
          </w:p>
          <w:p w14:paraId="523DEBBB">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5．可配套OLYMPUS、STORZ、WOLF、ACMI、STRYKER、天松品牌的导光束</w:t>
            </w:r>
          </w:p>
          <w:p w14:paraId="5069C05C">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6.内窥镜支持低温等离子灭菌，工作套管能高温高压灭菌和低温等离子灭菌</w:t>
            </w:r>
          </w:p>
          <w:p w14:paraId="3B4C84B5">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7.产品特性</w:t>
            </w:r>
          </w:p>
          <w:p w14:paraId="21BAED5B">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镜体前端嵌有蓝宝石耐磨。</w:t>
            </w:r>
          </w:p>
          <w:p w14:paraId="44AD6F69">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产品零件采用全自动加工中心生产，精度高，产品互配性好。</w:t>
            </w:r>
          </w:p>
          <w:p w14:paraId="0BA7AA4A">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产品采用美国无电镀表面处理技术,有效防止电镀对人体产生的副作用</w:t>
            </w:r>
          </w:p>
          <w:p w14:paraId="1E73C25A">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8.内窥镜软钳分为：活检状、异物状、锯齿状和剪刀状</w:t>
            </w:r>
          </w:p>
          <w:p w14:paraId="6C0A0AA2">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9.内窥镜软钳规格分为：4Fr、4.5Fr、5Fr、5.5Fr、6Fr、7Fr</w:t>
            </w:r>
          </w:p>
          <w:p w14:paraId="734BB858">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10.内窥镜软钳材料</w:t>
            </w:r>
          </w:p>
          <w:p w14:paraId="4956BE46">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内窥镜软钳的钳头与患者接触部分材料应符合YY/T0294.1-2016的C号钢的要求，其余部分应符合YY/T0294.1-2016的 M号钢的要求</w:t>
            </w:r>
          </w:p>
          <w:p w14:paraId="037E4975">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11.内窥镜软钳硬度</w:t>
            </w:r>
          </w:p>
          <w:p w14:paraId="235AE9DA">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内窥镜软钳的钳头经热处理，其硬度为480～620HV0.2</w:t>
            </w:r>
          </w:p>
          <w:p w14:paraId="15312785">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12.内窥镜软钳表面粗糙度Ra值为：钳头、剪刀头应不大于0.4μm，其余部位应不大于3.2μm</w:t>
            </w:r>
          </w:p>
          <w:p w14:paraId="18D53B8A">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13.内窥镜软钳钳头二片张开角度应不小于60°,软剪张开角度应不小于45°</w:t>
            </w:r>
          </w:p>
          <w:p w14:paraId="1358EA87">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14.内窥镜软钳应有良好的耐腐蚀性，应符合YY/T0149-2006中a级要求</w:t>
            </w:r>
          </w:p>
          <w:p w14:paraId="1F0614C7">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15.内窥镜软钳产品特性</w:t>
            </w:r>
          </w:p>
          <w:p w14:paraId="1464C52A">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采用真空热处理技术：真空油淬、真空回火。真空热处理的零件具有无氧化，无脱碳、脱气，表面质量好，变形小，综合力学性能高，可靠性好（重复性好，寿命稳定）等一系列优点。</w:t>
            </w:r>
          </w:p>
          <w:p w14:paraId="0261E8D6">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采用美国无电镀表面处理工艺，有效去除产品对人体产生副作用的有害物质，提高产品耐腐蚀性。</w:t>
            </w:r>
          </w:p>
          <w:p w14:paraId="3ECDCBBC">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产品零件采用全自动加工中心生产，精度高，产品互配性好</w:t>
            </w:r>
          </w:p>
          <w:p w14:paraId="5B39E25E">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16.产品包含绝缘抓取钳、绝缘剥离钳、绝缘剪刀、电刀、电钩</w:t>
            </w:r>
          </w:p>
          <w:p w14:paraId="6F721BAE">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17.电刀规格尺寸：</w:t>
            </w:r>
          </w:p>
          <w:p w14:paraId="09B9F4DE">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外径：φ5mm或φ10mm</w:t>
            </w:r>
          </w:p>
          <w:p w14:paraId="24928FAC">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工作长度：330mm、400mm、410mm、450mm</w:t>
            </w:r>
          </w:p>
          <w:p w14:paraId="692A68F4">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18.电刀、电钩与患者接触部分的金属材料符合医用不锈钢标准YY/T0294.1-2016要求中的M号钢的要求</w:t>
            </w:r>
          </w:p>
          <w:p w14:paraId="356A6C51">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19.手术电极：φ1.8×350钝头</w:t>
            </w:r>
          </w:p>
          <w:p w14:paraId="451F938B">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20.导光束：φ4.5*2000mm(插口式)</w:t>
            </w:r>
          </w:p>
          <w:p w14:paraId="75CEC603">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21.高频线工作长度：大于3米</w:t>
            </w:r>
          </w:p>
          <w:p w14:paraId="3D3FAFAE">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22.高频线导通良好，其阻抗值应小于3Ω</w:t>
            </w:r>
          </w:p>
          <w:p w14:paraId="22C320BE">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23.导线绝缘材料：硅橡胶，绝缘外径φ4</w:t>
            </w:r>
          </w:p>
          <w:p w14:paraId="0961AADA">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24.电气安全性能要求符合GB9706.1-2007、GB9706.4-2009和GB9706.19-2000规定的要求</w:t>
            </w:r>
          </w:p>
          <w:p w14:paraId="413C6F83">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25.电磁兼容符合YY0505-2012及GB9706.4-2009第36章的要求</w:t>
            </w:r>
          </w:p>
          <w:p w14:paraId="661E8709">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26.高频线产品特性：低温等离子灭菌、高温高压灭菌</w:t>
            </w:r>
          </w:p>
          <w:p w14:paraId="0F24B7B0">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配置清单：</w:t>
            </w:r>
          </w:p>
          <w:tbl>
            <w:tblPr>
              <w:tblStyle w:val="4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50"/>
              <w:gridCol w:w="2316"/>
              <w:gridCol w:w="636"/>
              <w:gridCol w:w="637"/>
            </w:tblGrid>
            <w:tr w14:paraId="0296E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86B95">
                  <w:pPr>
                    <w:keepNext w:val="0"/>
                    <w:keepLines w:val="0"/>
                    <w:widowControl/>
                    <w:suppressLineNumbers w:val="0"/>
                    <w:jc w:val="center"/>
                    <w:rPr>
                      <w:rFonts w:hint="eastAsia" w:ascii="宋体" w:hAnsi="宋体" w:eastAsia="宋体" w:cs="宋体"/>
                      <w:b w:val="0"/>
                      <w:bCs/>
                      <w:i w:val="0"/>
                      <w:iCs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物料名称</w:t>
                  </w:r>
                </w:p>
              </w:tc>
              <w:tc>
                <w:tcPr>
                  <w:tcW w:w="1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0D316">
                  <w:pPr>
                    <w:keepNext w:val="0"/>
                    <w:keepLines w:val="0"/>
                    <w:widowControl/>
                    <w:suppressLineNumbers w:val="0"/>
                    <w:jc w:val="center"/>
                    <w:rPr>
                      <w:rFonts w:hint="eastAsia" w:ascii="宋体" w:hAnsi="宋体" w:eastAsia="宋体" w:cs="宋体"/>
                      <w:b w:val="0"/>
                      <w:bCs/>
                      <w:i w:val="0"/>
                      <w:iCs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规格型号</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C09839">
                  <w:pPr>
                    <w:keepNext w:val="0"/>
                    <w:keepLines w:val="0"/>
                    <w:widowControl/>
                    <w:suppressLineNumbers w:val="0"/>
                    <w:jc w:val="center"/>
                    <w:rPr>
                      <w:rFonts w:hint="eastAsia" w:ascii="宋体" w:hAnsi="宋体" w:eastAsia="宋体" w:cs="宋体"/>
                      <w:b w:val="0"/>
                      <w:bCs/>
                      <w:i w:val="0"/>
                      <w:iCs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单位</w:t>
                  </w: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4F1909">
                  <w:pPr>
                    <w:keepNext w:val="0"/>
                    <w:keepLines w:val="0"/>
                    <w:widowControl/>
                    <w:suppressLineNumbers w:val="0"/>
                    <w:jc w:val="center"/>
                    <w:rPr>
                      <w:rFonts w:hint="eastAsia" w:ascii="宋体" w:hAnsi="宋体" w:eastAsia="宋体" w:cs="宋体"/>
                      <w:b w:val="0"/>
                      <w:bCs/>
                      <w:i w:val="0"/>
                      <w:iCs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数量</w:t>
                  </w:r>
                </w:p>
              </w:tc>
            </w:tr>
            <w:tr w14:paraId="13C7D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51CB1">
                  <w:pPr>
                    <w:keepNext w:val="0"/>
                    <w:keepLines w:val="0"/>
                    <w:widowControl/>
                    <w:suppressLineNumbers w:val="0"/>
                    <w:jc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脑室镜</w:t>
                  </w:r>
                </w:p>
              </w:tc>
              <w:tc>
                <w:tcPr>
                  <w:tcW w:w="1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23A644">
                  <w:pPr>
                    <w:keepNext w:val="0"/>
                    <w:keepLines w:val="0"/>
                    <w:widowControl/>
                    <w:suppressLineNumbers w:val="0"/>
                    <w:jc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30°φ2.7*205mm</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E9924">
                  <w:pPr>
                    <w:keepNext w:val="0"/>
                    <w:keepLines w:val="0"/>
                    <w:widowControl/>
                    <w:suppressLineNumbers w:val="0"/>
                    <w:jc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支</w:t>
                  </w: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97AF55">
                  <w:pPr>
                    <w:keepNext w:val="0"/>
                    <w:keepLines w:val="0"/>
                    <w:widowControl/>
                    <w:suppressLineNumbers w:val="0"/>
                    <w:jc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1</w:t>
                  </w:r>
                </w:p>
              </w:tc>
            </w:tr>
            <w:tr w14:paraId="2398F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4CA4CC">
                  <w:pPr>
                    <w:keepNext w:val="0"/>
                    <w:keepLines w:val="0"/>
                    <w:widowControl/>
                    <w:suppressLineNumbers w:val="0"/>
                    <w:jc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工作套管</w:t>
                  </w:r>
                </w:p>
              </w:tc>
              <w:tc>
                <w:tcPr>
                  <w:tcW w:w="1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DF21B6">
                  <w:pPr>
                    <w:keepNext w:val="0"/>
                    <w:keepLines w:val="0"/>
                    <w:widowControl/>
                    <w:suppressLineNumbers w:val="0"/>
                    <w:jc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21.9Fr</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4A74B0">
                  <w:pPr>
                    <w:keepNext w:val="0"/>
                    <w:keepLines w:val="0"/>
                    <w:widowControl/>
                    <w:suppressLineNumbers w:val="0"/>
                    <w:jc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支</w:t>
                  </w: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F3CDCC">
                  <w:pPr>
                    <w:keepNext w:val="0"/>
                    <w:keepLines w:val="0"/>
                    <w:widowControl/>
                    <w:suppressLineNumbers w:val="0"/>
                    <w:jc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1</w:t>
                  </w:r>
                </w:p>
              </w:tc>
            </w:tr>
            <w:tr w14:paraId="69948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E6C884">
                  <w:pPr>
                    <w:keepNext w:val="0"/>
                    <w:keepLines w:val="0"/>
                    <w:widowControl/>
                    <w:suppressLineNumbers w:val="0"/>
                    <w:jc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内窥镜软钳</w:t>
                  </w:r>
                </w:p>
              </w:tc>
              <w:tc>
                <w:tcPr>
                  <w:tcW w:w="1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64A3C1">
                  <w:pPr>
                    <w:keepNext w:val="0"/>
                    <w:keepLines w:val="0"/>
                    <w:widowControl/>
                    <w:suppressLineNumbers w:val="0"/>
                    <w:jc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剪刀型 钝头 φ2*350</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F8A01">
                  <w:pPr>
                    <w:keepNext w:val="0"/>
                    <w:keepLines w:val="0"/>
                    <w:widowControl/>
                    <w:suppressLineNumbers w:val="0"/>
                    <w:jc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支</w:t>
                  </w: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B69DB9">
                  <w:pPr>
                    <w:keepNext w:val="0"/>
                    <w:keepLines w:val="0"/>
                    <w:widowControl/>
                    <w:suppressLineNumbers w:val="0"/>
                    <w:jc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1</w:t>
                  </w:r>
                </w:p>
              </w:tc>
            </w:tr>
            <w:tr w14:paraId="23425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1A45F5">
                  <w:pPr>
                    <w:keepNext w:val="0"/>
                    <w:keepLines w:val="0"/>
                    <w:widowControl/>
                    <w:suppressLineNumbers w:val="0"/>
                    <w:jc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内窥镜软钳</w:t>
                  </w:r>
                </w:p>
              </w:tc>
              <w:tc>
                <w:tcPr>
                  <w:tcW w:w="1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38ED02">
                  <w:pPr>
                    <w:keepNext w:val="0"/>
                    <w:keepLines w:val="0"/>
                    <w:widowControl/>
                    <w:suppressLineNumbers w:val="0"/>
                    <w:jc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抓取型 φ2*350</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06F4CE">
                  <w:pPr>
                    <w:keepNext w:val="0"/>
                    <w:keepLines w:val="0"/>
                    <w:widowControl/>
                    <w:suppressLineNumbers w:val="0"/>
                    <w:jc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支</w:t>
                  </w: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47C84">
                  <w:pPr>
                    <w:keepNext w:val="0"/>
                    <w:keepLines w:val="0"/>
                    <w:widowControl/>
                    <w:suppressLineNumbers w:val="0"/>
                    <w:jc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1</w:t>
                  </w:r>
                </w:p>
              </w:tc>
            </w:tr>
            <w:tr w14:paraId="2DF73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E4ED44">
                  <w:pPr>
                    <w:keepNext w:val="0"/>
                    <w:keepLines w:val="0"/>
                    <w:widowControl/>
                    <w:suppressLineNumbers w:val="0"/>
                    <w:jc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手术电极</w:t>
                  </w:r>
                </w:p>
              </w:tc>
              <w:tc>
                <w:tcPr>
                  <w:tcW w:w="1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1D8D25">
                  <w:pPr>
                    <w:keepNext w:val="0"/>
                    <w:keepLines w:val="0"/>
                    <w:widowControl/>
                    <w:suppressLineNumbers w:val="0"/>
                    <w:jc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φ1.8×350钝头</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DBB791">
                  <w:pPr>
                    <w:keepNext w:val="0"/>
                    <w:keepLines w:val="0"/>
                    <w:widowControl/>
                    <w:suppressLineNumbers w:val="0"/>
                    <w:jc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支</w:t>
                  </w: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984524">
                  <w:pPr>
                    <w:keepNext w:val="0"/>
                    <w:keepLines w:val="0"/>
                    <w:widowControl/>
                    <w:suppressLineNumbers w:val="0"/>
                    <w:jc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1</w:t>
                  </w:r>
                </w:p>
              </w:tc>
            </w:tr>
            <w:tr w14:paraId="54434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F90D7B">
                  <w:pPr>
                    <w:keepNext w:val="0"/>
                    <w:keepLines w:val="0"/>
                    <w:widowControl/>
                    <w:suppressLineNumbers w:val="0"/>
                    <w:jc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颅脑牵开器器械包（导向臂）</w:t>
                  </w:r>
                </w:p>
              </w:tc>
              <w:tc>
                <w:tcPr>
                  <w:tcW w:w="1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3B0FD3">
                  <w:pPr>
                    <w:keepNext w:val="0"/>
                    <w:keepLines w:val="0"/>
                    <w:widowControl/>
                    <w:suppressLineNumbers w:val="0"/>
                    <w:jc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HDR-1</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96000">
                  <w:pPr>
                    <w:keepNext w:val="0"/>
                    <w:keepLines w:val="0"/>
                    <w:widowControl/>
                    <w:suppressLineNumbers w:val="0"/>
                    <w:jc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套</w:t>
                  </w: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50E79F">
                  <w:pPr>
                    <w:keepNext w:val="0"/>
                    <w:keepLines w:val="0"/>
                    <w:widowControl/>
                    <w:suppressLineNumbers w:val="0"/>
                    <w:jc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1</w:t>
                  </w:r>
                </w:p>
              </w:tc>
            </w:tr>
            <w:tr w14:paraId="7DA24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5DE94">
                  <w:pPr>
                    <w:keepNext w:val="0"/>
                    <w:keepLines w:val="0"/>
                    <w:widowControl/>
                    <w:suppressLineNumbers w:val="0"/>
                    <w:jc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双极电凝</w:t>
                  </w:r>
                </w:p>
              </w:tc>
              <w:tc>
                <w:tcPr>
                  <w:tcW w:w="1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BEEB8">
                  <w:pPr>
                    <w:jc w:val="center"/>
                    <w:rPr>
                      <w:rFonts w:hint="eastAsia" w:ascii="宋体" w:hAnsi="宋体" w:eastAsia="宋体" w:cs="宋体"/>
                      <w:b w:val="0"/>
                      <w:i w:val="0"/>
                      <w:iCs w:val="0"/>
                      <w:color w:val="auto"/>
                      <w:sz w:val="21"/>
                      <w:szCs w:val="21"/>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6C352D">
                  <w:pPr>
                    <w:keepNext w:val="0"/>
                    <w:keepLines w:val="0"/>
                    <w:widowControl/>
                    <w:suppressLineNumbers w:val="0"/>
                    <w:jc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支</w:t>
                  </w: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A701B9">
                  <w:pPr>
                    <w:keepNext w:val="0"/>
                    <w:keepLines w:val="0"/>
                    <w:widowControl/>
                    <w:suppressLineNumbers w:val="0"/>
                    <w:jc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1</w:t>
                  </w:r>
                </w:p>
              </w:tc>
            </w:tr>
            <w:tr w14:paraId="310F1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0CE53">
                  <w:pPr>
                    <w:keepNext w:val="0"/>
                    <w:keepLines w:val="0"/>
                    <w:widowControl/>
                    <w:suppressLineNumbers w:val="0"/>
                    <w:jc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导光束*</w:t>
                  </w:r>
                </w:p>
              </w:tc>
              <w:tc>
                <w:tcPr>
                  <w:tcW w:w="1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62653E">
                  <w:pPr>
                    <w:keepNext w:val="0"/>
                    <w:keepLines w:val="0"/>
                    <w:widowControl/>
                    <w:suppressLineNumbers w:val="0"/>
                    <w:jc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φ4.5*2000mm(插口式)</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82A3A9">
                  <w:pPr>
                    <w:keepNext w:val="0"/>
                    <w:keepLines w:val="0"/>
                    <w:widowControl/>
                    <w:suppressLineNumbers w:val="0"/>
                    <w:jc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根</w:t>
                  </w: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345A80">
                  <w:pPr>
                    <w:keepNext w:val="0"/>
                    <w:keepLines w:val="0"/>
                    <w:widowControl/>
                    <w:suppressLineNumbers w:val="0"/>
                    <w:jc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1</w:t>
                  </w:r>
                </w:p>
              </w:tc>
            </w:tr>
            <w:tr w14:paraId="0C583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3E117">
                  <w:pPr>
                    <w:keepNext w:val="0"/>
                    <w:keepLines w:val="0"/>
                    <w:widowControl/>
                    <w:suppressLineNumbers w:val="0"/>
                    <w:jc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高频线</w:t>
                  </w:r>
                </w:p>
              </w:tc>
              <w:tc>
                <w:tcPr>
                  <w:tcW w:w="1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9463E1">
                  <w:pPr>
                    <w:keepNext w:val="0"/>
                    <w:keepLines w:val="0"/>
                    <w:widowControl/>
                    <w:suppressLineNumbers w:val="0"/>
                    <w:jc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单极</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F0D613">
                  <w:pPr>
                    <w:keepNext w:val="0"/>
                    <w:keepLines w:val="0"/>
                    <w:widowControl/>
                    <w:suppressLineNumbers w:val="0"/>
                    <w:jc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根</w:t>
                  </w: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0EB7A6">
                  <w:pPr>
                    <w:keepNext w:val="0"/>
                    <w:keepLines w:val="0"/>
                    <w:widowControl/>
                    <w:suppressLineNumbers w:val="0"/>
                    <w:jc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1</w:t>
                  </w:r>
                </w:p>
              </w:tc>
            </w:tr>
            <w:tr w14:paraId="0BA74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E95FDE">
                  <w:pPr>
                    <w:keepNext w:val="0"/>
                    <w:keepLines w:val="0"/>
                    <w:widowControl/>
                    <w:suppressLineNumbers w:val="0"/>
                    <w:jc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电凝线</w:t>
                  </w:r>
                </w:p>
              </w:tc>
              <w:tc>
                <w:tcPr>
                  <w:tcW w:w="1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FEA0C6">
                  <w:pPr>
                    <w:keepNext w:val="0"/>
                    <w:keepLines w:val="0"/>
                    <w:widowControl/>
                    <w:suppressLineNumbers w:val="0"/>
                    <w:jc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双极</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210475">
                  <w:pPr>
                    <w:keepNext w:val="0"/>
                    <w:keepLines w:val="0"/>
                    <w:widowControl/>
                    <w:suppressLineNumbers w:val="0"/>
                    <w:jc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根</w:t>
                  </w: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718A8B">
                  <w:pPr>
                    <w:keepNext w:val="0"/>
                    <w:keepLines w:val="0"/>
                    <w:widowControl/>
                    <w:suppressLineNumbers w:val="0"/>
                    <w:jc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1</w:t>
                  </w:r>
                </w:p>
              </w:tc>
            </w:tr>
          </w:tbl>
          <w:p w14:paraId="4C9F97EA">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p>
        </w:tc>
        <w:tc>
          <w:tcPr>
            <w:tcW w:w="636" w:type="dxa"/>
            <w:tcBorders>
              <w:top w:val="single" w:color="000000" w:sz="4" w:space="0"/>
              <w:left w:val="single" w:color="000000" w:sz="4" w:space="0"/>
              <w:bottom w:val="single" w:color="000000" w:sz="4" w:space="0"/>
              <w:right w:val="single" w:color="000000" w:sz="4" w:space="0"/>
            </w:tcBorders>
            <w:vAlign w:val="center"/>
          </w:tcPr>
          <w:p w14:paraId="3C411474">
            <w:pPr>
              <w:widowControl/>
              <w:jc w:val="center"/>
              <w:rPr>
                <w:rFonts w:hint="eastAsia" w:ascii="宋体" w:hAnsi="宋体" w:cs="宋体"/>
                <w:color w:val="auto"/>
                <w:sz w:val="21"/>
                <w:szCs w:val="21"/>
                <w:highlight w:val="none"/>
                <w:lang w:eastAsia="zh-CN"/>
              </w:rPr>
            </w:pPr>
          </w:p>
          <w:p w14:paraId="0B457388">
            <w:pPr>
              <w:widowControl/>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套</w:t>
            </w:r>
          </w:p>
        </w:tc>
        <w:tc>
          <w:tcPr>
            <w:tcW w:w="427" w:type="dxa"/>
            <w:tcBorders>
              <w:top w:val="single" w:color="000000" w:sz="4" w:space="0"/>
              <w:left w:val="single" w:color="000000" w:sz="4" w:space="0"/>
              <w:bottom w:val="single" w:color="000000" w:sz="4" w:space="0"/>
              <w:right w:val="single" w:color="000000" w:sz="4" w:space="0"/>
            </w:tcBorders>
            <w:vAlign w:val="center"/>
          </w:tcPr>
          <w:p w14:paraId="1FDE803A">
            <w:pPr>
              <w:widowControl/>
              <w:jc w:val="center"/>
              <w:rPr>
                <w:rFonts w:hint="eastAsia" w:ascii="宋体" w:hAnsi="宋体" w:cs="宋体"/>
                <w:color w:val="auto"/>
                <w:sz w:val="21"/>
                <w:szCs w:val="21"/>
                <w:highlight w:val="none"/>
                <w:lang w:val="en-US" w:eastAsia="zh-CN"/>
              </w:rPr>
            </w:pPr>
          </w:p>
          <w:p w14:paraId="2F084E12">
            <w:pPr>
              <w:widowControl/>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r>
      <w:tr w14:paraId="3D2E1088">
        <w:tblPrEx>
          <w:tblCellMar>
            <w:top w:w="0" w:type="dxa"/>
            <w:left w:w="108" w:type="dxa"/>
            <w:bottom w:w="0" w:type="dxa"/>
            <w:right w:w="108" w:type="dxa"/>
          </w:tblCellMar>
        </w:tblPrEx>
        <w:trPr>
          <w:trHeight w:val="6015" w:hRule="atLeast"/>
        </w:trPr>
        <w:tc>
          <w:tcPr>
            <w:tcW w:w="429" w:type="dxa"/>
            <w:tcBorders>
              <w:top w:val="single" w:color="000000" w:sz="4" w:space="0"/>
              <w:left w:val="single" w:color="000000" w:sz="4" w:space="0"/>
              <w:bottom w:val="single" w:color="000000" w:sz="4" w:space="0"/>
              <w:right w:val="single" w:color="000000" w:sz="4" w:space="0"/>
            </w:tcBorders>
            <w:vAlign w:val="center"/>
          </w:tcPr>
          <w:p w14:paraId="73704CCC">
            <w:pPr>
              <w:widowControl/>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w:t>
            </w:r>
          </w:p>
        </w:tc>
        <w:tc>
          <w:tcPr>
            <w:tcW w:w="889" w:type="dxa"/>
            <w:tcBorders>
              <w:top w:val="single" w:color="000000" w:sz="4" w:space="0"/>
              <w:left w:val="single" w:color="000000" w:sz="4" w:space="0"/>
              <w:bottom w:val="single" w:color="000000" w:sz="4" w:space="0"/>
              <w:right w:val="single" w:color="000000" w:sz="4" w:space="0"/>
            </w:tcBorders>
            <w:vAlign w:val="center"/>
          </w:tcPr>
          <w:p w14:paraId="3E635F22">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手持式麻醉视频喉镜</w:t>
            </w:r>
          </w:p>
        </w:tc>
        <w:tc>
          <w:tcPr>
            <w:tcW w:w="6596" w:type="dxa"/>
            <w:tcBorders>
              <w:top w:val="single" w:color="000000" w:sz="4" w:space="0"/>
              <w:left w:val="single" w:color="000000" w:sz="4" w:space="0"/>
              <w:bottom w:val="single" w:color="000000" w:sz="4" w:space="0"/>
              <w:right w:val="single" w:color="000000" w:sz="4" w:space="0"/>
            </w:tcBorders>
          </w:tcPr>
          <w:p w14:paraId="504E6F0F">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1.喉镜与显示屏一体化结构，便携易用</w:t>
            </w:r>
          </w:p>
          <w:p w14:paraId="6F9D1A99">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2．一支喉镜手柄可与大、中、小等五种以上不同规格的镜片匹配使用，适用范围广  </w:t>
            </w:r>
          </w:p>
          <w:p w14:paraId="409DC545">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3．全防水设计，可浸泡消毒，摄像头内置的全密封防水设计高功率LED光源</w:t>
            </w:r>
          </w:p>
          <w:p w14:paraId="698081BB">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4．视频喉镜的全金属框架，机械强度高</w:t>
            </w:r>
          </w:p>
          <w:p w14:paraId="1D4429BA">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5．USB读取与存储，大容量16G TF卡</w:t>
            </w:r>
          </w:p>
          <w:p w14:paraId="61345D63">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6.镜头像素：摄像头进口200万像素摄像头</w:t>
            </w:r>
          </w:p>
          <w:p w14:paraId="75F8A041">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7.液晶屏像素（PIX）不低于320*240</w:t>
            </w:r>
          </w:p>
          <w:p w14:paraId="210A150E">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8.分辨率≥3.72lp/mm</w:t>
            </w:r>
          </w:p>
          <w:p w14:paraId="0E646EB5">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9.光照度：≥150 Lux</w:t>
            </w:r>
          </w:p>
          <w:p w14:paraId="0B92D51D">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10.显示器可前后转动角度0-180°，显示器可左右转动角度0-270°</w:t>
            </w:r>
          </w:p>
          <w:p w14:paraId="5CFB04D5">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11.内置电源：可充电高能聚合物锂电池3.7V DC，2000mAh</w:t>
            </w:r>
          </w:p>
          <w:p w14:paraId="618FA284">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12.电池持续放电时间不低于200min</w:t>
            </w:r>
          </w:p>
          <w:p w14:paraId="09888DFE">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13.充电时间：3h，充电次数＞400次</w:t>
            </w:r>
          </w:p>
          <w:p w14:paraId="19DA32FA">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14.液晶屏3寸及以上</w:t>
            </w:r>
          </w:p>
          <w:p w14:paraId="08744CFE">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15.屏幕比例：4:3</w:t>
            </w:r>
          </w:p>
          <w:p w14:paraId="3E4F5B90">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16.低电量屏幕显示功能</w:t>
            </w:r>
          </w:p>
          <w:p w14:paraId="315B22C2">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17.一次性视频喉镜片为进口医用级高分子PC材料</w:t>
            </w:r>
          </w:p>
          <w:p w14:paraId="398D02ED">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18.视场角 45°-65°</w:t>
            </w:r>
          </w:p>
          <w:p w14:paraId="5699E8F1">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19.景深5-100mm</w:t>
            </w:r>
          </w:p>
          <w:p w14:paraId="61034408">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20.摄像头与镜片前端垂直距离：≤30mm</w:t>
            </w:r>
          </w:p>
          <w:p w14:paraId="0BC3C301">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21.可插入镜片长度：80-132mm</w:t>
            </w:r>
          </w:p>
          <w:p w14:paraId="5E37737A">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22.渐缩型镜片前端厚度：11-17mm</w:t>
            </w:r>
          </w:p>
          <w:p w14:paraId="7295D37E">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23.镜片角度：33-44度</w:t>
            </w:r>
          </w:p>
          <w:p w14:paraId="758D7FD8">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24.高清数字化系统芯片</w:t>
            </w:r>
          </w:p>
          <w:p w14:paraId="3ECADFCC">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25.一键拍照/录像功能</w:t>
            </w:r>
          </w:p>
          <w:p w14:paraId="1C281A3C">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26.具备无线充电及充电指示功能</w:t>
            </w:r>
          </w:p>
        </w:tc>
        <w:tc>
          <w:tcPr>
            <w:tcW w:w="636" w:type="dxa"/>
            <w:tcBorders>
              <w:top w:val="single" w:color="000000" w:sz="4" w:space="0"/>
              <w:left w:val="single" w:color="000000" w:sz="4" w:space="0"/>
              <w:bottom w:val="single" w:color="000000" w:sz="4" w:space="0"/>
              <w:right w:val="single" w:color="000000" w:sz="4" w:space="0"/>
            </w:tcBorders>
            <w:vAlign w:val="center"/>
          </w:tcPr>
          <w:p w14:paraId="487C9E9D">
            <w:pPr>
              <w:widowControl/>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套</w:t>
            </w:r>
          </w:p>
        </w:tc>
        <w:tc>
          <w:tcPr>
            <w:tcW w:w="427" w:type="dxa"/>
            <w:tcBorders>
              <w:top w:val="single" w:color="000000" w:sz="4" w:space="0"/>
              <w:left w:val="single" w:color="000000" w:sz="4" w:space="0"/>
              <w:bottom w:val="single" w:color="000000" w:sz="4" w:space="0"/>
              <w:right w:val="single" w:color="000000" w:sz="4" w:space="0"/>
            </w:tcBorders>
            <w:vAlign w:val="center"/>
          </w:tcPr>
          <w:p w14:paraId="50A169AD">
            <w:pPr>
              <w:widowControl/>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r>
      <w:tr w14:paraId="744FC476">
        <w:tblPrEx>
          <w:tblCellMar>
            <w:top w:w="0" w:type="dxa"/>
            <w:left w:w="108" w:type="dxa"/>
            <w:bottom w:w="0" w:type="dxa"/>
            <w:right w:w="108" w:type="dxa"/>
          </w:tblCellMar>
        </w:tblPrEx>
        <w:trPr>
          <w:trHeight w:val="2945" w:hRule="atLeast"/>
        </w:trPr>
        <w:tc>
          <w:tcPr>
            <w:tcW w:w="429" w:type="dxa"/>
            <w:tcBorders>
              <w:top w:val="single" w:color="000000" w:sz="4" w:space="0"/>
              <w:left w:val="single" w:color="000000" w:sz="4" w:space="0"/>
              <w:bottom w:val="single" w:color="000000" w:sz="4" w:space="0"/>
              <w:right w:val="single" w:color="000000" w:sz="4" w:space="0"/>
            </w:tcBorders>
            <w:vAlign w:val="center"/>
          </w:tcPr>
          <w:p w14:paraId="578C98B2">
            <w:pPr>
              <w:widowControl/>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w:t>
            </w:r>
          </w:p>
        </w:tc>
        <w:tc>
          <w:tcPr>
            <w:tcW w:w="889" w:type="dxa"/>
            <w:tcBorders>
              <w:top w:val="single" w:color="000000" w:sz="4" w:space="0"/>
              <w:left w:val="single" w:color="000000" w:sz="4" w:space="0"/>
              <w:bottom w:val="single" w:color="000000" w:sz="4" w:space="0"/>
              <w:right w:val="single" w:color="000000" w:sz="4" w:space="0"/>
            </w:tcBorders>
            <w:vAlign w:val="center"/>
          </w:tcPr>
          <w:p w14:paraId="1767A0B1">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麻醉用软镜</w:t>
            </w:r>
          </w:p>
        </w:tc>
        <w:tc>
          <w:tcPr>
            <w:tcW w:w="6596" w:type="dxa"/>
            <w:tcBorders>
              <w:top w:val="single" w:color="000000" w:sz="4" w:space="0"/>
              <w:left w:val="single" w:color="000000" w:sz="4" w:space="0"/>
              <w:bottom w:val="single" w:color="000000" w:sz="4" w:space="0"/>
              <w:right w:val="single" w:color="000000" w:sz="4" w:space="0"/>
            </w:tcBorders>
          </w:tcPr>
          <w:p w14:paraId="29577ED9">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一、技术指标：</w:t>
            </w:r>
          </w:p>
          <w:p w14:paraId="00D7F620">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1.操作部</w:t>
            </w:r>
          </w:p>
          <w:p w14:paraId="6B9E855D">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1.1视场角90°，视向角：0—3°</w:t>
            </w:r>
          </w:p>
          <w:p w14:paraId="311DBD96">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val="en-US" w:eastAsia="zh-CN"/>
              </w:rPr>
              <w:t>1.2景深：3-150㎜</w:t>
            </w:r>
          </w:p>
          <w:p w14:paraId="14864171">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1.3采用电子成像技术，工作软管不含光纤</w:t>
            </w:r>
          </w:p>
          <w:p w14:paraId="608F249A">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1.4工作长度：≥600㎜</w:t>
            </w:r>
          </w:p>
          <w:p w14:paraId="02A0FCD1">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val="en-US" w:eastAsia="zh-CN"/>
              </w:rPr>
              <w:t>1.5软镜插入管外径≤4.8mm，工作管道内径≥2.6mm</w:t>
            </w:r>
          </w:p>
          <w:p w14:paraId="6B802412">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1.6插入软管弯曲角度：向上弯曲≥180°/向下弯曲≥130°,总弯曲度≥310°</w:t>
            </w:r>
          </w:p>
          <w:p w14:paraId="2AC8AF77">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1.7成像分辨力：不低于9线对/毫米，成像像素：150000</w:t>
            </w:r>
          </w:p>
          <w:p w14:paraId="40DF34F2">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1.8采用LED白光照明，其最低照明不低于 80 lx，具有5级亮度的照明调光</w:t>
            </w:r>
          </w:p>
          <w:p w14:paraId="2C6F4501">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1.9插入管先端头采用绝缘材料，具备防雾功能，无需预热。</w:t>
            </w:r>
          </w:p>
          <w:p w14:paraId="2EC8028F">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1.10操作手柄具备两个功能按键：可控制图像显示器的图像冻结或调光，</w:t>
            </w:r>
          </w:p>
          <w:p w14:paraId="21A934B5">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图像拍照、录像，以及录中拍功能</w:t>
            </w:r>
          </w:p>
          <w:p w14:paraId="6F2C8123">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val="en-US" w:eastAsia="zh-CN"/>
              </w:rPr>
              <w:t>1.11采用无顶针双向通气阀（NT阀），气体分子自由进出，液体无法进入，降低误操作风险</w:t>
            </w:r>
          </w:p>
          <w:p w14:paraId="2815CAF5">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1.12人体工程学设计指模印操作手柄，握持舒适稳定，利于长时间使用</w:t>
            </w:r>
          </w:p>
          <w:p w14:paraId="08F7FF6A">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1.13操作部采用复合材料，支持低温等离子消毒和环氧乙烷灭菌。</w:t>
            </w:r>
          </w:p>
          <w:p w14:paraId="1A4341FC">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1.14防水等级：IPX7，可进行全浸泡消毒，严格按照消毒指南进行操作，以确保消毒彻底；</w:t>
            </w:r>
          </w:p>
          <w:p w14:paraId="65809669">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2.显示部</w:t>
            </w:r>
          </w:p>
          <w:p w14:paraId="15150F0C">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2.1分辨率：1280×800</w:t>
            </w:r>
          </w:p>
          <w:p w14:paraId="4717496D">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val="en-US" w:eastAsia="zh-CN"/>
              </w:rPr>
              <w:t>2.2屏幕：≥10.1寸全视角高清液晶触摸屏，支持双指缩放，屏幕可以放大3倍；安卓智能系统终身提供免费升级服务；</w:t>
            </w:r>
          </w:p>
          <w:p w14:paraId="0D8AE76F">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2.3内置大于8G内存，可持续录制视频120分钟，外置可插拔SD存储卡直接存储图片及视频等信息；</w:t>
            </w:r>
          </w:p>
          <w:p w14:paraId="5D1D8E4A">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2.4视频输出：具视频输出接口：具有高清画质的HDMI视频输出，可外接高清显示屏同屏显示和连接医用高清工作站；</w:t>
            </w:r>
          </w:p>
          <w:p w14:paraId="6CD2F60E">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2.5具有冻结、调光、拍照和摄像功能，具备图像、视频回放功能；</w:t>
            </w:r>
          </w:p>
          <w:p w14:paraId="571459FD">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val="en-US" w:eastAsia="zh-CN"/>
              </w:rPr>
              <w:t>2.6具有文件管理功能，文件夹可重命名设置，以患者的姓名设置文件名称，方便医护人员对检查患者资料的管理；</w:t>
            </w:r>
          </w:p>
          <w:p w14:paraId="2A731F91">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2.7图片管理，图片可根据医护人员的需求，选择JPG、BMP两种不同的图片格式；</w:t>
            </w:r>
          </w:p>
          <w:p w14:paraId="58E40A71">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2.8白平衡功能：具有手动、自动一体设计白平衡功能；</w:t>
            </w:r>
          </w:p>
          <w:p w14:paraId="52D7EAD7">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2.9显示屏转动角度:前后：90°～ 150°（范围内任意角度固定）。</w:t>
            </w:r>
          </w:p>
          <w:p w14:paraId="3CD49352">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2.10软件升级：可通过WiFi联网升级，可外插U盘升级</w:t>
            </w:r>
          </w:p>
          <w:p w14:paraId="2E68C11D">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3.电源</w:t>
            </w:r>
          </w:p>
          <w:p w14:paraId="602BB770">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3.1可充电锂电池：3.7V锂离子可充电电池，</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000mAH</w:t>
            </w:r>
          </w:p>
          <w:p w14:paraId="0AA8F699">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3.2显示屏工作时间：≥150分钟</w:t>
            </w:r>
          </w:p>
          <w:p w14:paraId="02F1BEFC">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3.3外接电源：100∽240Vac，50/60Hz，DC12V</w:t>
            </w:r>
          </w:p>
          <w:p w14:paraId="2927FE5D">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p>
          <w:p w14:paraId="683451A9">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二、配置清单：</w:t>
            </w:r>
          </w:p>
          <w:tbl>
            <w:tblPr>
              <w:tblStyle w:val="48"/>
              <w:tblpPr w:leftFromText="180" w:rightFromText="180" w:vertAnchor="text" w:horzAnchor="page" w:tblpX="241" w:tblpY="46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0"/>
              <w:gridCol w:w="3820"/>
              <w:gridCol w:w="869"/>
              <w:gridCol w:w="870"/>
            </w:tblGrid>
            <w:tr w14:paraId="14795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trPr>
              <w:tc>
                <w:tcPr>
                  <w:tcW w:w="1042" w:type="dxa"/>
                  <w:tcBorders>
                    <w:top w:val="single" w:color="auto" w:sz="4" w:space="0"/>
                    <w:left w:val="single" w:color="auto" w:sz="4" w:space="0"/>
                    <w:bottom w:val="single" w:color="auto" w:sz="4" w:space="0"/>
                    <w:right w:val="single" w:color="auto" w:sz="4" w:space="0"/>
                  </w:tcBorders>
                  <w:noWrap w:val="0"/>
                  <w:vAlign w:val="center"/>
                </w:tcPr>
                <w:p w14:paraId="680BF47A">
                  <w:pPr>
                    <w:tabs>
                      <w:tab w:val="left" w:pos="1322"/>
                    </w:tabs>
                    <w:spacing w:line="360" w:lineRule="auto"/>
                    <w:jc w:val="center"/>
                    <w:rPr>
                      <w:rFonts w:ascii="宋体" w:hAnsi="宋体"/>
                      <w:color w:val="auto"/>
                      <w:sz w:val="21"/>
                      <w:szCs w:val="21"/>
                      <w:highlight w:val="none"/>
                      <w:lang w:val="en-GB"/>
                    </w:rPr>
                  </w:pPr>
                  <w:r>
                    <w:rPr>
                      <w:rFonts w:hint="eastAsia" w:ascii="宋体" w:hAnsi="宋体"/>
                      <w:color w:val="auto"/>
                      <w:sz w:val="21"/>
                      <w:szCs w:val="21"/>
                      <w:highlight w:val="none"/>
                      <w:lang w:val="en-GB"/>
                    </w:rPr>
                    <w:t>序</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GB"/>
                    </w:rPr>
                    <w:t>号</w:t>
                  </w:r>
                </w:p>
              </w:tc>
              <w:tc>
                <w:tcPr>
                  <w:tcW w:w="4240" w:type="dxa"/>
                  <w:tcBorders>
                    <w:top w:val="single" w:color="auto" w:sz="4" w:space="0"/>
                    <w:left w:val="single" w:color="auto" w:sz="4" w:space="0"/>
                    <w:bottom w:val="single" w:color="auto" w:sz="4" w:space="0"/>
                    <w:right w:val="single" w:color="auto" w:sz="4" w:space="0"/>
                  </w:tcBorders>
                  <w:noWrap w:val="0"/>
                  <w:vAlign w:val="center"/>
                </w:tcPr>
                <w:p w14:paraId="33A58A48">
                  <w:pPr>
                    <w:tabs>
                      <w:tab w:val="left" w:pos="1322"/>
                    </w:tabs>
                    <w:spacing w:line="360" w:lineRule="auto"/>
                    <w:jc w:val="center"/>
                    <w:rPr>
                      <w:rFonts w:ascii="宋体" w:hAnsi="宋体"/>
                      <w:color w:val="auto"/>
                      <w:sz w:val="21"/>
                      <w:szCs w:val="21"/>
                      <w:highlight w:val="none"/>
                      <w:lang w:val="en-GB"/>
                    </w:rPr>
                  </w:pPr>
                  <w:r>
                    <w:rPr>
                      <w:rFonts w:hint="eastAsia" w:ascii="宋体" w:hAnsi="宋体"/>
                      <w:color w:val="auto"/>
                      <w:sz w:val="21"/>
                      <w:szCs w:val="21"/>
                      <w:highlight w:val="none"/>
                      <w:lang w:val="en-GB"/>
                    </w:rPr>
                    <w:t>名</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GB"/>
                    </w:rPr>
                    <w:t>称</w:t>
                  </w:r>
                </w:p>
              </w:tc>
              <w:tc>
                <w:tcPr>
                  <w:tcW w:w="927" w:type="dxa"/>
                  <w:tcBorders>
                    <w:top w:val="single" w:color="auto" w:sz="4" w:space="0"/>
                    <w:left w:val="single" w:color="auto" w:sz="4" w:space="0"/>
                    <w:bottom w:val="single" w:color="auto" w:sz="4" w:space="0"/>
                    <w:right w:val="single" w:color="auto" w:sz="4" w:space="0"/>
                  </w:tcBorders>
                  <w:noWrap w:val="0"/>
                  <w:vAlign w:val="center"/>
                </w:tcPr>
                <w:p w14:paraId="5FA1C695">
                  <w:pPr>
                    <w:tabs>
                      <w:tab w:val="left" w:pos="1322"/>
                    </w:tabs>
                    <w:spacing w:line="360" w:lineRule="auto"/>
                    <w:jc w:val="center"/>
                    <w:rPr>
                      <w:rFonts w:ascii="宋体" w:hAnsi="宋体"/>
                      <w:color w:val="auto"/>
                      <w:sz w:val="21"/>
                      <w:szCs w:val="21"/>
                      <w:highlight w:val="none"/>
                      <w:lang w:val="en-GB"/>
                    </w:rPr>
                  </w:pPr>
                  <w:r>
                    <w:rPr>
                      <w:rFonts w:hint="eastAsia" w:ascii="宋体" w:hAnsi="宋体"/>
                      <w:color w:val="auto"/>
                      <w:sz w:val="21"/>
                      <w:szCs w:val="21"/>
                      <w:highlight w:val="none"/>
                      <w:lang w:val="en-GB"/>
                    </w:rPr>
                    <w:t>单</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GB"/>
                    </w:rPr>
                    <w:t>位</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74098575">
                  <w:pPr>
                    <w:tabs>
                      <w:tab w:val="left" w:pos="1322"/>
                    </w:tabs>
                    <w:spacing w:line="360" w:lineRule="auto"/>
                    <w:jc w:val="center"/>
                    <w:rPr>
                      <w:rFonts w:ascii="宋体" w:hAnsi="宋体"/>
                      <w:color w:val="auto"/>
                      <w:sz w:val="21"/>
                      <w:szCs w:val="21"/>
                      <w:highlight w:val="none"/>
                      <w:lang w:val="en-GB"/>
                    </w:rPr>
                  </w:pPr>
                  <w:r>
                    <w:rPr>
                      <w:rFonts w:hint="eastAsia" w:ascii="宋体" w:hAnsi="宋体"/>
                      <w:color w:val="auto"/>
                      <w:sz w:val="21"/>
                      <w:szCs w:val="21"/>
                      <w:highlight w:val="none"/>
                      <w:lang w:val="en-GB"/>
                    </w:rPr>
                    <w:t>数</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GB"/>
                    </w:rPr>
                    <w:t>量</w:t>
                  </w:r>
                </w:p>
              </w:tc>
            </w:tr>
            <w:tr w14:paraId="2C0F0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trPr>
              <w:tc>
                <w:tcPr>
                  <w:tcW w:w="1042" w:type="dxa"/>
                  <w:tcBorders>
                    <w:top w:val="single" w:color="auto" w:sz="4" w:space="0"/>
                    <w:left w:val="single" w:color="auto" w:sz="4" w:space="0"/>
                    <w:bottom w:val="single" w:color="auto" w:sz="4" w:space="0"/>
                    <w:right w:val="single" w:color="auto" w:sz="4" w:space="0"/>
                  </w:tcBorders>
                  <w:noWrap w:val="0"/>
                  <w:vAlign w:val="center"/>
                </w:tcPr>
                <w:p w14:paraId="41479FA2">
                  <w:pPr>
                    <w:tabs>
                      <w:tab w:val="left" w:pos="1322"/>
                    </w:tabs>
                    <w:spacing w:line="360" w:lineRule="auto"/>
                    <w:jc w:val="center"/>
                    <w:rPr>
                      <w:rFonts w:hint="eastAsia" w:ascii="宋体" w:hAnsi="宋体"/>
                      <w:color w:val="auto"/>
                      <w:sz w:val="21"/>
                      <w:szCs w:val="21"/>
                      <w:highlight w:val="none"/>
                      <w:lang w:val="en-GB"/>
                    </w:rPr>
                  </w:pPr>
                  <w:r>
                    <w:rPr>
                      <w:rFonts w:hint="eastAsia" w:ascii="宋体" w:hAnsi="宋体"/>
                      <w:color w:val="auto"/>
                      <w:sz w:val="21"/>
                      <w:szCs w:val="21"/>
                      <w:highlight w:val="none"/>
                      <w:lang w:val="en-GB"/>
                    </w:rPr>
                    <w:t>1</w:t>
                  </w:r>
                </w:p>
              </w:tc>
              <w:tc>
                <w:tcPr>
                  <w:tcW w:w="4240" w:type="dxa"/>
                  <w:tcBorders>
                    <w:top w:val="single" w:color="auto" w:sz="4" w:space="0"/>
                    <w:left w:val="single" w:color="auto" w:sz="4" w:space="0"/>
                    <w:bottom w:val="single" w:color="auto" w:sz="4" w:space="0"/>
                    <w:right w:val="single" w:color="auto" w:sz="4" w:space="0"/>
                  </w:tcBorders>
                  <w:noWrap w:val="0"/>
                  <w:vAlign w:val="center"/>
                </w:tcPr>
                <w:p w14:paraId="16482972">
                  <w:pPr>
                    <w:widowControl/>
                    <w:jc w:val="left"/>
                    <w:rPr>
                      <w:rFonts w:ascii="宋体" w:hAnsi="宋体"/>
                      <w:color w:val="auto"/>
                      <w:sz w:val="21"/>
                      <w:szCs w:val="21"/>
                      <w:highlight w:val="none"/>
                      <w:lang w:val="en-GB"/>
                    </w:rPr>
                  </w:pPr>
                  <w:r>
                    <w:rPr>
                      <w:rFonts w:hint="eastAsia" w:ascii="宋体" w:hAnsi="宋体" w:cs="宋体"/>
                      <w:color w:val="auto"/>
                      <w:kern w:val="0"/>
                      <w:sz w:val="21"/>
                      <w:szCs w:val="21"/>
                      <w:highlight w:val="none"/>
                    </w:rPr>
                    <w:t xml:space="preserve">手提箱 </w:t>
                  </w:r>
                </w:p>
              </w:tc>
              <w:tc>
                <w:tcPr>
                  <w:tcW w:w="927" w:type="dxa"/>
                  <w:tcBorders>
                    <w:top w:val="single" w:color="auto" w:sz="4" w:space="0"/>
                    <w:left w:val="single" w:color="auto" w:sz="4" w:space="0"/>
                    <w:bottom w:val="single" w:color="auto" w:sz="4" w:space="0"/>
                    <w:right w:val="single" w:color="auto" w:sz="4" w:space="0"/>
                  </w:tcBorders>
                  <w:noWrap w:val="0"/>
                  <w:vAlign w:val="center"/>
                </w:tcPr>
                <w:p w14:paraId="4A08599A">
                  <w:pPr>
                    <w:widowControl/>
                    <w:jc w:val="center"/>
                    <w:rPr>
                      <w:rFonts w:ascii="宋体" w:hAnsi="宋体"/>
                      <w:color w:val="auto"/>
                      <w:sz w:val="21"/>
                      <w:szCs w:val="21"/>
                      <w:highlight w:val="none"/>
                      <w:lang w:val="en-GB"/>
                    </w:rPr>
                  </w:pPr>
                  <w:r>
                    <w:rPr>
                      <w:rFonts w:hint="eastAsia" w:ascii="宋体" w:hAnsi="宋体" w:cs="宋体"/>
                      <w:color w:val="auto"/>
                      <w:kern w:val="0"/>
                      <w:sz w:val="21"/>
                      <w:szCs w:val="21"/>
                      <w:highlight w:val="none"/>
                    </w:rPr>
                    <w:t>个</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25F4A201">
                  <w:pPr>
                    <w:widowControl/>
                    <w:jc w:val="center"/>
                    <w:rPr>
                      <w:rFonts w:hint="eastAsia" w:ascii="宋体" w:hAnsi="宋体" w:eastAsia="宋体"/>
                      <w:color w:val="auto"/>
                      <w:sz w:val="21"/>
                      <w:szCs w:val="21"/>
                      <w:highlight w:val="none"/>
                      <w:lang w:val="en-GB" w:eastAsia="zh-CN"/>
                    </w:rPr>
                  </w:pPr>
                  <w:r>
                    <w:rPr>
                      <w:rFonts w:hint="eastAsia" w:ascii="宋体" w:hAnsi="宋体" w:cs="宋体"/>
                      <w:color w:val="auto"/>
                      <w:kern w:val="0"/>
                      <w:sz w:val="21"/>
                      <w:szCs w:val="21"/>
                      <w:highlight w:val="none"/>
                      <w:lang w:val="en-US" w:eastAsia="zh-CN"/>
                    </w:rPr>
                    <w:t>2</w:t>
                  </w:r>
                </w:p>
              </w:tc>
            </w:tr>
            <w:tr w14:paraId="3E92C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trPr>
              <w:tc>
                <w:tcPr>
                  <w:tcW w:w="1042" w:type="dxa"/>
                  <w:tcBorders>
                    <w:top w:val="single" w:color="auto" w:sz="4" w:space="0"/>
                    <w:left w:val="single" w:color="auto" w:sz="4" w:space="0"/>
                    <w:bottom w:val="single" w:color="auto" w:sz="4" w:space="0"/>
                    <w:right w:val="single" w:color="auto" w:sz="4" w:space="0"/>
                  </w:tcBorders>
                  <w:noWrap w:val="0"/>
                  <w:vAlign w:val="center"/>
                </w:tcPr>
                <w:p w14:paraId="00088D74">
                  <w:pPr>
                    <w:jc w:val="center"/>
                    <w:rPr>
                      <w:rFonts w:ascii="宋体" w:hAnsi="宋体" w:cs="宋体"/>
                      <w:color w:val="auto"/>
                      <w:kern w:val="0"/>
                      <w:sz w:val="21"/>
                      <w:szCs w:val="21"/>
                      <w:highlight w:val="none"/>
                    </w:rPr>
                  </w:pPr>
                  <w:r>
                    <w:rPr>
                      <w:rFonts w:ascii="宋体" w:hAnsi="宋体" w:cs="宋体"/>
                      <w:color w:val="auto"/>
                      <w:kern w:val="0"/>
                      <w:sz w:val="21"/>
                      <w:szCs w:val="21"/>
                      <w:highlight w:val="none"/>
                    </w:rPr>
                    <w:t>2</w:t>
                  </w:r>
                </w:p>
              </w:tc>
              <w:tc>
                <w:tcPr>
                  <w:tcW w:w="4240" w:type="dxa"/>
                  <w:tcBorders>
                    <w:top w:val="single" w:color="auto" w:sz="4" w:space="0"/>
                    <w:left w:val="nil"/>
                    <w:bottom w:val="single" w:color="auto" w:sz="4" w:space="0"/>
                    <w:right w:val="single" w:color="auto" w:sz="4" w:space="0"/>
                  </w:tcBorders>
                  <w:noWrap w:val="0"/>
                  <w:vAlign w:val="center"/>
                </w:tcPr>
                <w:p w14:paraId="4F7665C8">
                  <w:pPr>
                    <w:jc w:val="left"/>
                    <w:rPr>
                      <w:rFonts w:ascii="宋体" w:hAnsi="宋体"/>
                      <w:color w:val="auto"/>
                      <w:sz w:val="21"/>
                      <w:szCs w:val="21"/>
                      <w:highlight w:val="none"/>
                    </w:rPr>
                  </w:pPr>
                  <w:r>
                    <w:rPr>
                      <w:rFonts w:hint="eastAsia" w:ascii="宋体" w:hAnsi="宋体"/>
                      <w:color w:val="auto"/>
                      <w:sz w:val="21"/>
                      <w:szCs w:val="21"/>
                      <w:highlight w:val="none"/>
                    </w:rPr>
                    <w:t>电子支气管操作部</w:t>
                  </w:r>
                </w:p>
              </w:tc>
              <w:tc>
                <w:tcPr>
                  <w:tcW w:w="927" w:type="dxa"/>
                  <w:tcBorders>
                    <w:top w:val="single" w:color="auto" w:sz="4" w:space="0"/>
                    <w:left w:val="nil"/>
                    <w:bottom w:val="single" w:color="auto" w:sz="4" w:space="0"/>
                    <w:right w:val="single" w:color="auto" w:sz="4" w:space="0"/>
                  </w:tcBorders>
                  <w:noWrap w:val="0"/>
                  <w:vAlign w:val="center"/>
                </w:tcPr>
                <w:p w14:paraId="0EFD6A2E">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条</w:t>
                  </w:r>
                </w:p>
              </w:tc>
              <w:tc>
                <w:tcPr>
                  <w:tcW w:w="929" w:type="dxa"/>
                  <w:tcBorders>
                    <w:top w:val="single" w:color="auto" w:sz="4" w:space="0"/>
                    <w:left w:val="nil"/>
                    <w:bottom w:val="single" w:color="auto" w:sz="4" w:space="0"/>
                    <w:right w:val="single" w:color="auto" w:sz="4" w:space="0"/>
                  </w:tcBorders>
                  <w:noWrap w:val="0"/>
                  <w:vAlign w:val="center"/>
                </w:tcPr>
                <w:p w14:paraId="7D5F898E">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r>
            <w:tr w14:paraId="7B636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trPr>
              <w:tc>
                <w:tcPr>
                  <w:tcW w:w="1042" w:type="dxa"/>
                  <w:tcBorders>
                    <w:top w:val="single" w:color="auto" w:sz="4" w:space="0"/>
                    <w:left w:val="single" w:color="auto" w:sz="4" w:space="0"/>
                    <w:bottom w:val="single" w:color="auto" w:sz="4" w:space="0"/>
                    <w:right w:val="single" w:color="auto" w:sz="4" w:space="0"/>
                  </w:tcBorders>
                  <w:noWrap w:val="0"/>
                  <w:vAlign w:val="center"/>
                </w:tcPr>
                <w:p w14:paraId="6762734C">
                  <w:pPr>
                    <w:widowControl/>
                    <w:jc w:val="center"/>
                    <w:rPr>
                      <w:rFonts w:ascii="宋体" w:hAnsi="宋体" w:cs="宋体"/>
                      <w:color w:val="auto"/>
                      <w:kern w:val="0"/>
                      <w:sz w:val="21"/>
                      <w:szCs w:val="21"/>
                      <w:highlight w:val="none"/>
                    </w:rPr>
                  </w:pPr>
                  <w:r>
                    <w:rPr>
                      <w:rFonts w:ascii="宋体" w:hAnsi="宋体" w:cs="宋体"/>
                      <w:color w:val="auto"/>
                      <w:kern w:val="0"/>
                      <w:sz w:val="21"/>
                      <w:szCs w:val="21"/>
                      <w:highlight w:val="none"/>
                    </w:rPr>
                    <w:t>3</w:t>
                  </w:r>
                </w:p>
              </w:tc>
              <w:tc>
                <w:tcPr>
                  <w:tcW w:w="4240" w:type="dxa"/>
                  <w:tcBorders>
                    <w:top w:val="single" w:color="auto" w:sz="4" w:space="0"/>
                    <w:left w:val="nil"/>
                    <w:bottom w:val="single" w:color="auto" w:sz="4" w:space="0"/>
                    <w:right w:val="single" w:color="auto" w:sz="4" w:space="0"/>
                  </w:tcBorders>
                  <w:noWrap w:val="0"/>
                  <w:vAlign w:val="center"/>
                </w:tcPr>
                <w:p w14:paraId="64A6D7E8">
                  <w:pPr>
                    <w:jc w:val="left"/>
                    <w:rPr>
                      <w:rFonts w:ascii="宋体" w:hAnsi="宋体"/>
                      <w:color w:val="auto"/>
                      <w:sz w:val="21"/>
                      <w:szCs w:val="21"/>
                      <w:highlight w:val="none"/>
                    </w:rPr>
                  </w:pPr>
                  <w:r>
                    <w:rPr>
                      <w:rFonts w:hint="eastAsia" w:ascii="宋体" w:hAnsi="宋体"/>
                      <w:color w:val="auto"/>
                      <w:sz w:val="21"/>
                      <w:szCs w:val="21"/>
                      <w:highlight w:val="none"/>
                      <w:lang w:eastAsia="zh-CN"/>
                    </w:rPr>
                    <w:t>10寸显示器</w:t>
                  </w:r>
                </w:p>
              </w:tc>
              <w:tc>
                <w:tcPr>
                  <w:tcW w:w="927" w:type="dxa"/>
                  <w:tcBorders>
                    <w:top w:val="single" w:color="auto" w:sz="4" w:space="0"/>
                    <w:left w:val="nil"/>
                    <w:bottom w:val="single" w:color="auto" w:sz="4" w:space="0"/>
                    <w:right w:val="single" w:color="auto" w:sz="4" w:space="0"/>
                  </w:tcBorders>
                  <w:noWrap w:val="0"/>
                  <w:vAlign w:val="center"/>
                </w:tcPr>
                <w:p w14:paraId="30768726">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台</w:t>
                  </w:r>
                </w:p>
              </w:tc>
              <w:tc>
                <w:tcPr>
                  <w:tcW w:w="929" w:type="dxa"/>
                  <w:tcBorders>
                    <w:top w:val="single" w:color="auto" w:sz="4" w:space="0"/>
                    <w:left w:val="nil"/>
                    <w:bottom w:val="single" w:color="auto" w:sz="4" w:space="0"/>
                    <w:right w:val="single" w:color="auto" w:sz="4" w:space="0"/>
                  </w:tcBorders>
                  <w:noWrap w:val="0"/>
                  <w:vAlign w:val="center"/>
                </w:tcPr>
                <w:p w14:paraId="6698D068">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r>
            <w:tr w14:paraId="2BBAE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trPr>
              <w:tc>
                <w:tcPr>
                  <w:tcW w:w="1042" w:type="dxa"/>
                  <w:tcBorders>
                    <w:top w:val="single" w:color="auto" w:sz="4" w:space="0"/>
                    <w:left w:val="single" w:color="auto" w:sz="4" w:space="0"/>
                    <w:bottom w:val="single" w:color="auto" w:sz="4" w:space="0"/>
                    <w:right w:val="single" w:color="auto" w:sz="4" w:space="0"/>
                  </w:tcBorders>
                  <w:noWrap w:val="0"/>
                  <w:vAlign w:val="center"/>
                </w:tcPr>
                <w:p w14:paraId="102D304D">
                  <w:pPr>
                    <w:widowControl/>
                    <w:jc w:val="center"/>
                    <w:rPr>
                      <w:rFonts w:hint="eastAsia" w:ascii="宋体" w:hAnsi="宋体" w:cs="宋体"/>
                      <w:color w:val="auto"/>
                      <w:kern w:val="0"/>
                      <w:sz w:val="21"/>
                      <w:szCs w:val="21"/>
                      <w:highlight w:val="none"/>
                    </w:rPr>
                  </w:pPr>
                  <w:r>
                    <w:rPr>
                      <w:rFonts w:ascii="宋体" w:hAnsi="宋体" w:cs="宋体"/>
                      <w:color w:val="auto"/>
                      <w:kern w:val="0"/>
                      <w:sz w:val="21"/>
                      <w:szCs w:val="21"/>
                      <w:highlight w:val="none"/>
                    </w:rPr>
                    <w:t>4</w:t>
                  </w:r>
                </w:p>
              </w:tc>
              <w:tc>
                <w:tcPr>
                  <w:tcW w:w="4240" w:type="dxa"/>
                  <w:tcBorders>
                    <w:top w:val="single" w:color="auto" w:sz="4" w:space="0"/>
                    <w:left w:val="nil"/>
                    <w:bottom w:val="single" w:color="auto" w:sz="4" w:space="0"/>
                    <w:right w:val="single" w:color="auto" w:sz="4" w:space="0"/>
                  </w:tcBorders>
                  <w:noWrap w:val="0"/>
                  <w:vAlign w:val="center"/>
                </w:tcPr>
                <w:p w14:paraId="7FC699C3">
                  <w:pPr>
                    <w:jc w:val="left"/>
                    <w:rPr>
                      <w:rFonts w:hint="eastAsia" w:ascii="宋体" w:hAnsi="宋体"/>
                      <w:color w:val="auto"/>
                      <w:sz w:val="21"/>
                      <w:szCs w:val="21"/>
                      <w:highlight w:val="none"/>
                    </w:rPr>
                  </w:pPr>
                  <w:r>
                    <w:rPr>
                      <w:rFonts w:hint="eastAsia" w:ascii="宋体" w:hAnsi="宋体"/>
                      <w:color w:val="auto"/>
                      <w:sz w:val="21"/>
                      <w:szCs w:val="21"/>
                      <w:highlight w:val="none"/>
                    </w:rPr>
                    <w:t>延长线</w:t>
                  </w:r>
                </w:p>
              </w:tc>
              <w:tc>
                <w:tcPr>
                  <w:tcW w:w="927" w:type="dxa"/>
                  <w:tcBorders>
                    <w:top w:val="single" w:color="auto" w:sz="4" w:space="0"/>
                    <w:left w:val="nil"/>
                    <w:bottom w:val="single" w:color="auto" w:sz="4" w:space="0"/>
                    <w:right w:val="single" w:color="auto" w:sz="4" w:space="0"/>
                  </w:tcBorders>
                  <w:noWrap w:val="0"/>
                  <w:vAlign w:val="center"/>
                </w:tcPr>
                <w:p w14:paraId="59357431">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条</w:t>
                  </w:r>
                </w:p>
              </w:tc>
              <w:tc>
                <w:tcPr>
                  <w:tcW w:w="929" w:type="dxa"/>
                  <w:tcBorders>
                    <w:top w:val="single" w:color="auto" w:sz="4" w:space="0"/>
                    <w:left w:val="nil"/>
                    <w:bottom w:val="single" w:color="auto" w:sz="4" w:space="0"/>
                    <w:right w:val="single" w:color="auto" w:sz="4" w:space="0"/>
                  </w:tcBorders>
                  <w:noWrap w:val="0"/>
                  <w:vAlign w:val="center"/>
                </w:tcPr>
                <w:p w14:paraId="3556E454">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r>
            <w:tr w14:paraId="1D401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trPr>
              <w:tc>
                <w:tcPr>
                  <w:tcW w:w="1042" w:type="dxa"/>
                  <w:tcBorders>
                    <w:top w:val="single" w:color="auto" w:sz="4" w:space="0"/>
                    <w:left w:val="single" w:color="auto" w:sz="4" w:space="0"/>
                    <w:bottom w:val="single" w:color="auto" w:sz="4" w:space="0"/>
                    <w:right w:val="single" w:color="auto" w:sz="4" w:space="0"/>
                  </w:tcBorders>
                  <w:noWrap w:val="0"/>
                  <w:vAlign w:val="center"/>
                </w:tcPr>
                <w:p w14:paraId="4A6EBCFA">
                  <w:pPr>
                    <w:widowControl/>
                    <w:jc w:val="center"/>
                    <w:rPr>
                      <w:rFonts w:hint="eastAsia" w:ascii="宋体" w:hAnsi="宋体" w:cs="宋体"/>
                      <w:color w:val="auto"/>
                      <w:kern w:val="0"/>
                      <w:sz w:val="21"/>
                      <w:szCs w:val="21"/>
                      <w:highlight w:val="none"/>
                    </w:rPr>
                  </w:pPr>
                  <w:r>
                    <w:rPr>
                      <w:rFonts w:ascii="宋体" w:hAnsi="宋体" w:cs="宋体"/>
                      <w:color w:val="auto"/>
                      <w:kern w:val="0"/>
                      <w:sz w:val="21"/>
                      <w:szCs w:val="21"/>
                      <w:highlight w:val="none"/>
                    </w:rPr>
                    <w:t>5</w:t>
                  </w:r>
                </w:p>
              </w:tc>
              <w:tc>
                <w:tcPr>
                  <w:tcW w:w="4240" w:type="dxa"/>
                  <w:tcBorders>
                    <w:top w:val="single" w:color="auto" w:sz="4" w:space="0"/>
                    <w:left w:val="nil"/>
                    <w:bottom w:val="single" w:color="auto" w:sz="4" w:space="0"/>
                    <w:right w:val="single" w:color="auto" w:sz="4" w:space="0"/>
                  </w:tcBorders>
                  <w:noWrap w:val="0"/>
                  <w:vAlign w:val="center"/>
                </w:tcPr>
                <w:p w14:paraId="5E6AA2B5">
                  <w:pPr>
                    <w:widowControl/>
                    <w:jc w:val="left"/>
                    <w:rPr>
                      <w:rFonts w:hint="eastAsia" w:ascii="宋体" w:hAnsi="宋体" w:cs="宋体"/>
                      <w:color w:val="auto"/>
                      <w:kern w:val="0"/>
                      <w:sz w:val="21"/>
                      <w:szCs w:val="21"/>
                      <w:highlight w:val="none"/>
                    </w:rPr>
                  </w:pPr>
                  <w:r>
                    <w:rPr>
                      <w:rFonts w:hint="eastAsia" w:ascii="宋体" w:hAnsi="宋体" w:cs="宋体"/>
                      <w:color w:val="auto"/>
                      <w:sz w:val="21"/>
                      <w:szCs w:val="21"/>
                      <w:highlight w:val="none"/>
                    </w:rPr>
                    <w:t>吸引按钮</w:t>
                  </w:r>
                </w:p>
              </w:tc>
              <w:tc>
                <w:tcPr>
                  <w:tcW w:w="927" w:type="dxa"/>
                  <w:tcBorders>
                    <w:top w:val="single" w:color="auto" w:sz="4" w:space="0"/>
                    <w:left w:val="nil"/>
                    <w:bottom w:val="single" w:color="auto" w:sz="4" w:space="0"/>
                    <w:right w:val="single" w:color="auto" w:sz="4" w:space="0"/>
                  </w:tcBorders>
                  <w:noWrap w:val="0"/>
                  <w:vAlign w:val="center"/>
                </w:tcPr>
                <w:p w14:paraId="5476A9BC">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个</w:t>
                  </w:r>
                </w:p>
              </w:tc>
              <w:tc>
                <w:tcPr>
                  <w:tcW w:w="929" w:type="dxa"/>
                  <w:tcBorders>
                    <w:top w:val="single" w:color="auto" w:sz="4" w:space="0"/>
                    <w:left w:val="nil"/>
                    <w:bottom w:val="single" w:color="auto" w:sz="4" w:space="0"/>
                    <w:right w:val="single" w:color="auto" w:sz="4" w:space="0"/>
                  </w:tcBorders>
                  <w:noWrap w:val="0"/>
                  <w:vAlign w:val="center"/>
                </w:tcPr>
                <w:p w14:paraId="162630CB">
                  <w:pPr>
                    <w:widowControl/>
                    <w:jc w:val="center"/>
                    <w:rPr>
                      <w:rFonts w:hint="eastAsia" w:ascii="宋体" w:hAnsi="宋体" w:cs="宋体"/>
                      <w:color w:val="auto"/>
                      <w:kern w:val="0"/>
                      <w:sz w:val="21"/>
                      <w:szCs w:val="21"/>
                      <w:highlight w:val="none"/>
                    </w:rPr>
                  </w:pPr>
                  <w:r>
                    <w:rPr>
                      <w:rFonts w:hint="eastAsia" w:ascii="宋体" w:hAnsi="宋体" w:cs="宋体"/>
                      <w:color w:val="auto"/>
                      <w:sz w:val="21"/>
                      <w:szCs w:val="21"/>
                      <w:highlight w:val="none"/>
                    </w:rPr>
                    <w:t>2</w:t>
                  </w:r>
                </w:p>
              </w:tc>
            </w:tr>
            <w:tr w14:paraId="53B81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trPr>
              <w:tc>
                <w:tcPr>
                  <w:tcW w:w="1042" w:type="dxa"/>
                  <w:tcBorders>
                    <w:top w:val="single" w:color="auto" w:sz="4" w:space="0"/>
                    <w:left w:val="single" w:color="auto" w:sz="4" w:space="0"/>
                    <w:bottom w:val="single" w:color="auto" w:sz="4" w:space="0"/>
                    <w:right w:val="single" w:color="auto" w:sz="4" w:space="0"/>
                  </w:tcBorders>
                  <w:noWrap w:val="0"/>
                  <w:vAlign w:val="center"/>
                </w:tcPr>
                <w:p w14:paraId="3C737B80">
                  <w:pPr>
                    <w:widowControl/>
                    <w:jc w:val="center"/>
                    <w:rPr>
                      <w:rFonts w:hint="eastAsia" w:ascii="宋体" w:hAnsi="宋体" w:cs="宋体"/>
                      <w:color w:val="auto"/>
                      <w:kern w:val="0"/>
                      <w:sz w:val="21"/>
                      <w:szCs w:val="21"/>
                      <w:highlight w:val="none"/>
                    </w:rPr>
                  </w:pPr>
                  <w:r>
                    <w:rPr>
                      <w:rFonts w:ascii="宋体" w:hAnsi="宋体" w:cs="宋体"/>
                      <w:color w:val="auto"/>
                      <w:kern w:val="0"/>
                      <w:sz w:val="21"/>
                      <w:szCs w:val="21"/>
                      <w:highlight w:val="none"/>
                    </w:rPr>
                    <w:t>6</w:t>
                  </w:r>
                </w:p>
              </w:tc>
              <w:tc>
                <w:tcPr>
                  <w:tcW w:w="4240" w:type="dxa"/>
                  <w:tcBorders>
                    <w:top w:val="single" w:color="auto" w:sz="4" w:space="0"/>
                    <w:left w:val="nil"/>
                    <w:bottom w:val="single" w:color="auto" w:sz="4" w:space="0"/>
                    <w:right w:val="single" w:color="auto" w:sz="4" w:space="0"/>
                  </w:tcBorders>
                  <w:noWrap w:val="0"/>
                  <w:vAlign w:val="center"/>
                </w:tcPr>
                <w:p w14:paraId="290F720D">
                  <w:pPr>
                    <w:widowControl/>
                    <w:jc w:val="left"/>
                    <w:rPr>
                      <w:rFonts w:hint="eastAsia" w:ascii="宋体" w:hAnsi="宋体" w:cs="宋体"/>
                      <w:color w:val="auto"/>
                      <w:kern w:val="0"/>
                      <w:sz w:val="21"/>
                      <w:szCs w:val="21"/>
                      <w:highlight w:val="none"/>
                    </w:rPr>
                  </w:pPr>
                  <w:r>
                    <w:rPr>
                      <w:rFonts w:hint="eastAsia" w:ascii="宋体" w:hAnsi="宋体" w:cs="宋体"/>
                      <w:color w:val="auto"/>
                      <w:sz w:val="21"/>
                      <w:szCs w:val="21"/>
                      <w:highlight w:val="none"/>
                    </w:rPr>
                    <w:t>台车</w:t>
                  </w:r>
                </w:p>
              </w:tc>
              <w:tc>
                <w:tcPr>
                  <w:tcW w:w="927" w:type="dxa"/>
                  <w:tcBorders>
                    <w:top w:val="single" w:color="auto" w:sz="4" w:space="0"/>
                    <w:left w:val="nil"/>
                    <w:bottom w:val="single" w:color="auto" w:sz="4" w:space="0"/>
                    <w:right w:val="single" w:color="auto" w:sz="4" w:space="0"/>
                  </w:tcBorders>
                  <w:noWrap w:val="0"/>
                  <w:vAlign w:val="center"/>
                </w:tcPr>
                <w:p w14:paraId="1FDCECED">
                  <w:pPr>
                    <w:widowControl/>
                    <w:jc w:val="center"/>
                    <w:rPr>
                      <w:rFonts w:hint="eastAsia" w:ascii="宋体" w:hAnsi="宋体" w:cs="宋体"/>
                      <w:color w:val="auto"/>
                      <w:kern w:val="0"/>
                      <w:sz w:val="21"/>
                      <w:szCs w:val="21"/>
                      <w:highlight w:val="none"/>
                    </w:rPr>
                  </w:pPr>
                  <w:r>
                    <w:rPr>
                      <w:rFonts w:hint="eastAsia" w:ascii="宋体" w:hAnsi="宋体" w:cs="宋体"/>
                      <w:color w:val="auto"/>
                      <w:sz w:val="21"/>
                      <w:szCs w:val="21"/>
                      <w:highlight w:val="none"/>
                    </w:rPr>
                    <w:t>台</w:t>
                  </w:r>
                </w:p>
              </w:tc>
              <w:tc>
                <w:tcPr>
                  <w:tcW w:w="929" w:type="dxa"/>
                  <w:tcBorders>
                    <w:top w:val="single" w:color="auto" w:sz="4" w:space="0"/>
                    <w:left w:val="nil"/>
                    <w:bottom w:val="single" w:color="auto" w:sz="4" w:space="0"/>
                    <w:right w:val="single" w:color="auto" w:sz="4" w:space="0"/>
                  </w:tcBorders>
                  <w:noWrap w:val="0"/>
                  <w:vAlign w:val="center"/>
                </w:tcPr>
                <w:p w14:paraId="237D4EB0">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r>
            <w:tr w14:paraId="482DF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trPr>
              <w:tc>
                <w:tcPr>
                  <w:tcW w:w="1042" w:type="dxa"/>
                  <w:tcBorders>
                    <w:top w:val="single" w:color="auto" w:sz="4" w:space="0"/>
                    <w:left w:val="single" w:color="auto" w:sz="4" w:space="0"/>
                    <w:bottom w:val="single" w:color="auto" w:sz="4" w:space="0"/>
                    <w:right w:val="single" w:color="auto" w:sz="4" w:space="0"/>
                  </w:tcBorders>
                  <w:noWrap w:val="0"/>
                  <w:vAlign w:val="center"/>
                </w:tcPr>
                <w:p w14:paraId="5F337226">
                  <w:pPr>
                    <w:widowControl/>
                    <w:jc w:val="center"/>
                    <w:rPr>
                      <w:rFonts w:hint="eastAsia" w:ascii="宋体" w:hAnsi="宋体" w:cs="宋体"/>
                      <w:color w:val="auto"/>
                      <w:kern w:val="0"/>
                      <w:sz w:val="21"/>
                      <w:szCs w:val="21"/>
                      <w:highlight w:val="none"/>
                    </w:rPr>
                  </w:pPr>
                  <w:r>
                    <w:rPr>
                      <w:rFonts w:ascii="宋体" w:hAnsi="宋体" w:cs="宋体"/>
                      <w:color w:val="auto"/>
                      <w:kern w:val="0"/>
                      <w:sz w:val="21"/>
                      <w:szCs w:val="21"/>
                      <w:highlight w:val="none"/>
                    </w:rPr>
                    <w:t>7</w:t>
                  </w:r>
                </w:p>
              </w:tc>
              <w:tc>
                <w:tcPr>
                  <w:tcW w:w="4240" w:type="dxa"/>
                  <w:tcBorders>
                    <w:top w:val="single" w:color="auto" w:sz="4" w:space="0"/>
                    <w:left w:val="nil"/>
                    <w:bottom w:val="single" w:color="auto" w:sz="4" w:space="0"/>
                    <w:right w:val="single" w:color="auto" w:sz="4" w:space="0"/>
                  </w:tcBorders>
                  <w:noWrap w:val="0"/>
                  <w:vAlign w:val="center"/>
                </w:tcPr>
                <w:p w14:paraId="364ECB3D">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HDMI转接线（公对公）</w:t>
                  </w:r>
                </w:p>
              </w:tc>
              <w:tc>
                <w:tcPr>
                  <w:tcW w:w="927" w:type="dxa"/>
                  <w:tcBorders>
                    <w:top w:val="single" w:color="auto" w:sz="4" w:space="0"/>
                    <w:left w:val="nil"/>
                    <w:bottom w:val="single" w:color="auto" w:sz="4" w:space="0"/>
                    <w:right w:val="single" w:color="auto" w:sz="4" w:space="0"/>
                  </w:tcBorders>
                  <w:noWrap w:val="0"/>
                  <w:vAlign w:val="center"/>
                </w:tcPr>
                <w:p w14:paraId="0B195724">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条</w:t>
                  </w:r>
                </w:p>
              </w:tc>
              <w:tc>
                <w:tcPr>
                  <w:tcW w:w="929" w:type="dxa"/>
                  <w:tcBorders>
                    <w:top w:val="single" w:color="auto" w:sz="4" w:space="0"/>
                    <w:left w:val="nil"/>
                    <w:bottom w:val="single" w:color="auto" w:sz="4" w:space="0"/>
                    <w:right w:val="single" w:color="auto" w:sz="4" w:space="0"/>
                  </w:tcBorders>
                  <w:noWrap w:val="0"/>
                  <w:vAlign w:val="center"/>
                </w:tcPr>
                <w:p w14:paraId="13F845ED">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r>
          </w:tbl>
          <w:p w14:paraId="20DAEE8E">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p>
        </w:tc>
        <w:tc>
          <w:tcPr>
            <w:tcW w:w="636" w:type="dxa"/>
            <w:tcBorders>
              <w:top w:val="single" w:color="000000" w:sz="4" w:space="0"/>
              <w:left w:val="single" w:color="000000" w:sz="4" w:space="0"/>
              <w:bottom w:val="single" w:color="000000" w:sz="4" w:space="0"/>
              <w:right w:val="single" w:color="000000" w:sz="4" w:space="0"/>
            </w:tcBorders>
            <w:vAlign w:val="center"/>
          </w:tcPr>
          <w:p w14:paraId="50800F1C">
            <w:pPr>
              <w:widowControl/>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套</w:t>
            </w:r>
          </w:p>
        </w:tc>
        <w:tc>
          <w:tcPr>
            <w:tcW w:w="427" w:type="dxa"/>
            <w:tcBorders>
              <w:top w:val="single" w:color="000000" w:sz="4" w:space="0"/>
              <w:left w:val="single" w:color="000000" w:sz="4" w:space="0"/>
              <w:bottom w:val="single" w:color="000000" w:sz="4" w:space="0"/>
              <w:right w:val="single" w:color="000000" w:sz="4" w:space="0"/>
            </w:tcBorders>
            <w:vAlign w:val="center"/>
          </w:tcPr>
          <w:p w14:paraId="63501422">
            <w:pPr>
              <w:widowControl/>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r>
      <w:tr w14:paraId="01387AFC">
        <w:tblPrEx>
          <w:tblCellMar>
            <w:top w:w="0" w:type="dxa"/>
            <w:left w:w="108" w:type="dxa"/>
            <w:bottom w:w="0" w:type="dxa"/>
            <w:right w:w="108" w:type="dxa"/>
          </w:tblCellMar>
        </w:tblPrEx>
        <w:trPr>
          <w:trHeight w:val="4690" w:hRule="atLeast"/>
        </w:trPr>
        <w:tc>
          <w:tcPr>
            <w:tcW w:w="429" w:type="dxa"/>
            <w:tcBorders>
              <w:top w:val="single" w:color="000000" w:sz="4" w:space="0"/>
              <w:left w:val="single" w:color="000000" w:sz="4" w:space="0"/>
              <w:bottom w:val="single" w:color="000000" w:sz="4" w:space="0"/>
              <w:right w:val="single" w:color="000000" w:sz="4" w:space="0"/>
            </w:tcBorders>
            <w:vAlign w:val="center"/>
          </w:tcPr>
          <w:p w14:paraId="6BB4ED61">
            <w:pPr>
              <w:widowControl/>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w:t>
            </w:r>
          </w:p>
        </w:tc>
        <w:tc>
          <w:tcPr>
            <w:tcW w:w="889" w:type="dxa"/>
            <w:tcBorders>
              <w:top w:val="single" w:color="000000" w:sz="4" w:space="0"/>
              <w:left w:val="single" w:color="000000" w:sz="4" w:space="0"/>
              <w:bottom w:val="single" w:color="000000" w:sz="4" w:space="0"/>
              <w:right w:val="single" w:color="000000" w:sz="4" w:space="0"/>
            </w:tcBorders>
            <w:vAlign w:val="center"/>
          </w:tcPr>
          <w:p w14:paraId="4C76DA2D">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电子支气管镜</w:t>
            </w:r>
          </w:p>
        </w:tc>
        <w:tc>
          <w:tcPr>
            <w:tcW w:w="6596" w:type="dxa"/>
            <w:tcBorders>
              <w:top w:val="single" w:color="000000" w:sz="4" w:space="0"/>
              <w:left w:val="single" w:color="000000" w:sz="4" w:space="0"/>
              <w:bottom w:val="single" w:color="000000" w:sz="4" w:space="0"/>
              <w:right w:val="single" w:color="000000" w:sz="4" w:space="0"/>
            </w:tcBorders>
          </w:tcPr>
          <w:p w14:paraId="78F8E24C">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一、技术指标：</w:t>
            </w:r>
          </w:p>
          <w:p w14:paraId="59AD7371">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1.操作部</w:t>
            </w:r>
          </w:p>
          <w:p w14:paraId="72C38A79">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1.1视场角：</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0°，视向角：0—3°</w:t>
            </w:r>
          </w:p>
          <w:p w14:paraId="25514691">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val="en-US" w:eastAsia="zh-CN"/>
              </w:rPr>
              <w:t>1.2景深：3-150㎜</w:t>
            </w:r>
          </w:p>
          <w:p w14:paraId="49E9E9A6">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1.3采用电子成像技术，工作软管不含光纤</w:t>
            </w:r>
          </w:p>
          <w:p w14:paraId="51B1C5E8">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1.4工作长度：≥600㎜</w:t>
            </w:r>
          </w:p>
          <w:p w14:paraId="58353723">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val="en-US" w:eastAsia="zh-CN"/>
              </w:rPr>
              <w:t>1.5软镜插入管外径≤4.8mm，工作管道内径≥2.6mm</w:t>
            </w:r>
          </w:p>
          <w:p w14:paraId="165A7847">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1.6插入软管弯曲角度：向上弯曲≥180°/向下弯曲≥130°,总弯曲度≥310°</w:t>
            </w:r>
          </w:p>
          <w:p w14:paraId="4F81D928">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1.7成像分辨力：不低于9线对/毫米，成像像素：150000</w:t>
            </w:r>
          </w:p>
          <w:p w14:paraId="0D2D864E">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1.8采用LED白光照明，其最低照明不低于 80 lx，具有5级亮度的照明调光</w:t>
            </w:r>
          </w:p>
          <w:p w14:paraId="2C7E6B91">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1.9插入管先端头采用绝缘材料，具备防雾功能，无需预热。</w:t>
            </w:r>
          </w:p>
          <w:p w14:paraId="0D85E7C3">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1.10操作手柄具备两个功能按键：可控制图像显示器的图像冻结或调光，</w:t>
            </w:r>
          </w:p>
          <w:p w14:paraId="07341634">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图像拍照、录像，以及录中拍功能</w:t>
            </w:r>
          </w:p>
          <w:p w14:paraId="1D08457C">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val="en-US" w:eastAsia="zh-CN"/>
              </w:rPr>
              <w:t>1.11采用无顶针双向通气阀（NT阀），气体分子自由进出，液体无法进入，降低误操作风险</w:t>
            </w:r>
          </w:p>
          <w:p w14:paraId="301FA5C5">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1.12人体工程学设计指模印操作手柄，握持舒适稳定，利于长时间使用</w:t>
            </w:r>
          </w:p>
          <w:p w14:paraId="464E8358">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1.13操作部采用复合材料，支持低温等离子消毒和环氧乙烷灭菌。</w:t>
            </w:r>
          </w:p>
          <w:p w14:paraId="1949CD06">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1.14防水等级：IPX7，可进行全浸泡消毒，严格按照消毒指南进行操作，以确保消毒彻底；</w:t>
            </w:r>
          </w:p>
          <w:p w14:paraId="2413CD96">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2.显示部</w:t>
            </w:r>
          </w:p>
          <w:p w14:paraId="00A29744">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2.1分辨率：1280×800</w:t>
            </w:r>
          </w:p>
          <w:p w14:paraId="5C25AF8D">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val="en-US" w:eastAsia="zh-CN"/>
              </w:rPr>
              <w:t>2.2屏幕：10.1寸全视角高清液晶触摸屏，支持双指缩放，屏幕可以放大3倍；安卓智能系统终身提供免费升级服务；</w:t>
            </w:r>
          </w:p>
          <w:p w14:paraId="62A91CB4">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2.3内置8G内存，可持续录制视频120分钟，外置可插拔SD存储卡直接存储图片及视频等信息；</w:t>
            </w:r>
          </w:p>
          <w:p w14:paraId="57AA646F">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2.4视频输出：具视频输出接口：具有高清画质的HDMI视频输出，可外接高清显示屏同屏显示和连接医用高清工作站；</w:t>
            </w:r>
          </w:p>
          <w:p w14:paraId="60015CEE">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2.5具有冻结、调光、拍照和摄像功能，具备图像、视频回放功能；</w:t>
            </w:r>
          </w:p>
          <w:p w14:paraId="495D54BB">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val="en-US" w:eastAsia="zh-CN"/>
              </w:rPr>
              <w:t>2.6具有文件管理功能，文件夹可重命名设置，以患者的姓名设置文件名称，方便医护人员对检查患者资料的管理；</w:t>
            </w:r>
          </w:p>
          <w:p w14:paraId="43535503">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2.7图片管理，图片可根据医护人员的需求，选择JPG、BMP两种不同的图片格式；</w:t>
            </w:r>
          </w:p>
          <w:p w14:paraId="15FF8F38">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2.8白平衡功能：具有手动、自动一体设计白平衡功能；</w:t>
            </w:r>
          </w:p>
          <w:p w14:paraId="12967E4E">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2.9显示屏转动角度:前后：90°～ 150°（范围内任意角度固定）。</w:t>
            </w:r>
          </w:p>
          <w:p w14:paraId="4E846458">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2.10软件升级：可通过WiFi联网升级，可外插U盘升级</w:t>
            </w:r>
          </w:p>
          <w:p w14:paraId="52CD66B0">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3.电源</w:t>
            </w:r>
          </w:p>
          <w:p w14:paraId="30955B76">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3.1可充电锂电池：3.7V锂离子可充电电池，</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000mAH</w:t>
            </w:r>
          </w:p>
          <w:p w14:paraId="60EF4858">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3.2显示屏工作时间：≥150分钟</w:t>
            </w:r>
          </w:p>
          <w:p w14:paraId="7550B470">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3.3外接电源：100∽240Vac，50/60Hz，DC12V</w:t>
            </w:r>
          </w:p>
          <w:p w14:paraId="23179831">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2、无线视频发射器</w:t>
            </w:r>
          </w:p>
          <w:p w14:paraId="5EF65F39">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4.1无线传输功能在明视下，可以接收≥10米距离内的视频信号；</w:t>
            </w:r>
          </w:p>
          <w:p w14:paraId="5CFC5CB0">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4.2具有支持8部手机同时连接显示屏功能，显示屏可实现同步显示图像，可做教学展示。</w:t>
            </w:r>
          </w:p>
          <w:p w14:paraId="453E4437">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4.3电池连续工作时间：≥240分钟（新电池在充满电后室温25℃情况下）</w:t>
            </w:r>
          </w:p>
          <w:p w14:paraId="1E44B48B">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4.4配备数量：配备1个独立的自带Wifi接收发射器，可轮流工作，快速切换</w:t>
            </w:r>
          </w:p>
          <w:p w14:paraId="64E8A69F">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4.5无线传输软件包</w:t>
            </w:r>
          </w:p>
          <w:p w14:paraId="3563C3CE">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二、配置清单：</w:t>
            </w:r>
          </w:p>
          <w:p w14:paraId="48051EE9">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p>
          <w:tbl>
            <w:tblPr>
              <w:tblStyle w:val="48"/>
              <w:tblpPr w:leftFromText="180" w:rightFromText="180" w:vertAnchor="text" w:horzAnchor="page" w:tblpX="136" w:tblpY="1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3803"/>
              <w:gridCol w:w="874"/>
              <w:gridCol w:w="876"/>
            </w:tblGrid>
            <w:tr w14:paraId="770CD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72" w:type="dxa"/>
                  <w:tcBorders>
                    <w:top w:val="single" w:color="auto" w:sz="4" w:space="0"/>
                    <w:left w:val="single" w:color="auto" w:sz="4" w:space="0"/>
                    <w:bottom w:val="single" w:color="auto" w:sz="4" w:space="0"/>
                    <w:right w:val="single" w:color="auto" w:sz="4" w:space="0"/>
                  </w:tcBorders>
                  <w:noWrap w:val="0"/>
                  <w:vAlign w:val="center"/>
                </w:tcPr>
                <w:p w14:paraId="6B84B5C7">
                  <w:pPr>
                    <w:tabs>
                      <w:tab w:val="left" w:pos="1322"/>
                    </w:tabs>
                    <w:spacing w:line="360" w:lineRule="auto"/>
                    <w:jc w:val="center"/>
                    <w:rPr>
                      <w:rFonts w:ascii="宋体" w:hAnsi="宋体"/>
                      <w:color w:val="auto"/>
                      <w:sz w:val="21"/>
                      <w:szCs w:val="21"/>
                      <w:highlight w:val="none"/>
                      <w:lang w:val="en-GB"/>
                    </w:rPr>
                  </w:pPr>
                  <w:r>
                    <w:rPr>
                      <w:rFonts w:hint="eastAsia" w:ascii="宋体" w:hAnsi="宋体"/>
                      <w:color w:val="auto"/>
                      <w:sz w:val="21"/>
                      <w:szCs w:val="21"/>
                      <w:highlight w:val="none"/>
                      <w:lang w:val="en-GB"/>
                    </w:rPr>
                    <w:t>序</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GB"/>
                    </w:rPr>
                    <w:t>号</w:t>
                  </w:r>
                </w:p>
              </w:tc>
              <w:tc>
                <w:tcPr>
                  <w:tcW w:w="4359" w:type="dxa"/>
                  <w:tcBorders>
                    <w:top w:val="single" w:color="auto" w:sz="4" w:space="0"/>
                    <w:left w:val="single" w:color="auto" w:sz="4" w:space="0"/>
                    <w:bottom w:val="single" w:color="auto" w:sz="4" w:space="0"/>
                    <w:right w:val="single" w:color="auto" w:sz="4" w:space="0"/>
                  </w:tcBorders>
                  <w:noWrap w:val="0"/>
                  <w:vAlign w:val="center"/>
                </w:tcPr>
                <w:p w14:paraId="280E2CDD">
                  <w:pPr>
                    <w:tabs>
                      <w:tab w:val="left" w:pos="1322"/>
                    </w:tabs>
                    <w:spacing w:line="360" w:lineRule="auto"/>
                    <w:jc w:val="center"/>
                    <w:rPr>
                      <w:rFonts w:ascii="宋体" w:hAnsi="宋体"/>
                      <w:color w:val="auto"/>
                      <w:sz w:val="21"/>
                      <w:szCs w:val="21"/>
                      <w:highlight w:val="none"/>
                      <w:lang w:val="en-GB"/>
                    </w:rPr>
                  </w:pPr>
                  <w:r>
                    <w:rPr>
                      <w:rFonts w:hint="eastAsia" w:ascii="宋体" w:hAnsi="宋体"/>
                      <w:color w:val="auto"/>
                      <w:sz w:val="21"/>
                      <w:szCs w:val="21"/>
                      <w:highlight w:val="none"/>
                      <w:lang w:val="en-GB"/>
                    </w:rPr>
                    <w:t>名</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GB"/>
                    </w:rPr>
                    <w:t>称</w:t>
                  </w:r>
                </w:p>
              </w:tc>
              <w:tc>
                <w:tcPr>
                  <w:tcW w:w="953" w:type="dxa"/>
                  <w:tcBorders>
                    <w:top w:val="single" w:color="auto" w:sz="4" w:space="0"/>
                    <w:left w:val="single" w:color="auto" w:sz="4" w:space="0"/>
                    <w:bottom w:val="single" w:color="auto" w:sz="4" w:space="0"/>
                    <w:right w:val="single" w:color="auto" w:sz="4" w:space="0"/>
                  </w:tcBorders>
                  <w:noWrap w:val="0"/>
                  <w:vAlign w:val="center"/>
                </w:tcPr>
                <w:p w14:paraId="747491E9">
                  <w:pPr>
                    <w:tabs>
                      <w:tab w:val="left" w:pos="1322"/>
                    </w:tabs>
                    <w:spacing w:line="360" w:lineRule="auto"/>
                    <w:jc w:val="center"/>
                    <w:rPr>
                      <w:rFonts w:ascii="宋体" w:hAnsi="宋体"/>
                      <w:color w:val="auto"/>
                      <w:sz w:val="21"/>
                      <w:szCs w:val="21"/>
                      <w:highlight w:val="none"/>
                      <w:lang w:val="en-GB"/>
                    </w:rPr>
                  </w:pPr>
                  <w:r>
                    <w:rPr>
                      <w:rFonts w:hint="eastAsia" w:ascii="宋体" w:hAnsi="宋体"/>
                      <w:color w:val="auto"/>
                      <w:sz w:val="21"/>
                      <w:szCs w:val="21"/>
                      <w:highlight w:val="none"/>
                      <w:lang w:val="en-GB"/>
                    </w:rPr>
                    <w:t>单</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GB"/>
                    </w:rPr>
                    <w:t>位</w:t>
                  </w:r>
                </w:p>
              </w:tc>
              <w:tc>
                <w:tcPr>
                  <w:tcW w:w="955" w:type="dxa"/>
                  <w:tcBorders>
                    <w:top w:val="single" w:color="auto" w:sz="4" w:space="0"/>
                    <w:left w:val="single" w:color="auto" w:sz="4" w:space="0"/>
                    <w:bottom w:val="single" w:color="auto" w:sz="4" w:space="0"/>
                    <w:right w:val="single" w:color="auto" w:sz="4" w:space="0"/>
                  </w:tcBorders>
                  <w:noWrap w:val="0"/>
                  <w:vAlign w:val="center"/>
                </w:tcPr>
                <w:p w14:paraId="2CFB0842">
                  <w:pPr>
                    <w:tabs>
                      <w:tab w:val="left" w:pos="1322"/>
                    </w:tabs>
                    <w:spacing w:line="360" w:lineRule="auto"/>
                    <w:jc w:val="center"/>
                    <w:rPr>
                      <w:rFonts w:ascii="宋体" w:hAnsi="宋体"/>
                      <w:color w:val="auto"/>
                      <w:sz w:val="21"/>
                      <w:szCs w:val="21"/>
                      <w:highlight w:val="none"/>
                      <w:lang w:val="en-GB"/>
                    </w:rPr>
                  </w:pPr>
                  <w:r>
                    <w:rPr>
                      <w:rFonts w:hint="eastAsia" w:ascii="宋体" w:hAnsi="宋体"/>
                      <w:color w:val="auto"/>
                      <w:sz w:val="21"/>
                      <w:szCs w:val="21"/>
                      <w:highlight w:val="none"/>
                      <w:lang w:val="en-GB"/>
                    </w:rPr>
                    <w:t>数</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GB"/>
                    </w:rPr>
                    <w:t>量</w:t>
                  </w:r>
                </w:p>
              </w:tc>
            </w:tr>
            <w:tr w14:paraId="408AD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72" w:type="dxa"/>
                  <w:tcBorders>
                    <w:top w:val="single" w:color="auto" w:sz="4" w:space="0"/>
                    <w:left w:val="single" w:color="auto" w:sz="4" w:space="0"/>
                    <w:bottom w:val="single" w:color="auto" w:sz="4" w:space="0"/>
                    <w:right w:val="single" w:color="auto" w:sz="4" w:space="0"/>
                  </w:tcBorders>
                  <w:noWrap w:val="0"/>
                  <w:vAlign w:val="center"/>
                </w:tcPr>
                <w:p w14:paraId="2811F317">
                  <w:pPr>
                    <w:tabs>
                      <w:tab w:val="left" w:pos="1322"/>
                    </w:tabs>
                    <w:spacing w:line="360" w:lineRule="auto"/>
                    <w:jc w:val="center"/>
                    <w:rPr>
                      <w:rFonts w:hint="eastAsia" w:ascii="宋体" w:hAnsi="宋体"/>
                      <w:color w:val="auto"/>
                      <w:sz w:val="21"/>
                      <w:szCs w:val="21"/>
                      <w:highlight w:val="none"/>
                      <w:lang w:val="en-GB"/>
                    </w:rPr>
                  </w:pPr>
                  <w:r>
                    <w:rPr>
                      <w:rFonts w:hint="eastAsia" w:ascii="宋体" w:hAnsi="宋体"/>
                      <w:color w:val="auto"/>
                      <w:sz w:val="21"/>
                      <w:szCs w:val="21"/>
                      <w:highlight w:val="none"/>
                      <w:lang w:val="en-GB"/>
                    </w:rPr>
                    <w:t>1</w:t>
                  </w:r>
                </w:p>
              </w:tc>
              <w:tc>
                <w:tcPr>
                  <w:tcW w:w="4359" w:type="dxa"/>
                  <w:tcBorders>
                    <w:top w:val="single" w:color="auto" w:sz="4" w:space="0"/>
                    <w:left w:val="single" w:color="auto" w:sz="4" w:space="0"/>
                    <w:bottom w:val="single" w:color="auto" w:sz="4" w:space="0"/>
                    <w:right w:val="single" w:color="auto" w:sz="4" w:space="0"/>
                  </w:tcBorders>
                  <w:noWrap w:val="0"/>
                  <w:vAlign w:val="center"/>
                </w:tcPr>
                <w:p w14:paraId="434813BC">
                  <w:pPr>
                    <w:widowControl/>
                    <w:jc w:val="left"/>
                    <w:rPr>
                      <w:rFonts w:ascii="宋体" w:hAnsi="宋体"/>
                      <w:color w:val="auto"/>
                      <w:sz w:val="21"/>
                      <w:szCs w:val="21"/>
                      <w:highlight w:val="none"/>
                      <w:lang w:val="en-GB"/>
                    </w:rPr>
                  </w:pPr>
                  <w:r>
                    <w:rPr>
                      <w:rFonts w:hint="eastAsia" w:ascii="宋体" w:hAnsi="宋体" w:cs="宋体"/>
                      <w:color w:val="auto"/>
                      <w:kern w:val="0"/>
                      <w:sz w:val="21"/>
                      <w:szCs w:val="21"/>
                      <w:highlight w:val="none"/>
                    </w:rPr>
                    <w:t xml:space="preserve">手提箱 </w:t>
                  </w:r>
                </w:p>
              </w:tc>
              <w:tc>
                <w:tcPr>
                  <w:tcW w:w="953" w:type="dxa"/>
                  <w:tcBorders>
                    <w:top w:val="single" w:color="auto" w:sz="4" w:space="0"/>
                    <w:left w:val="single" w:color="auto" w:sz="4" w:space="0"/>
                    <w:bottom w:val="single" w:color="auto" w:sz="4" w:space="0"/>
                    <w:right w:val="single" w:color="auto" w:sz="4" w:space="0"/>
                  </w:tcBorders>
                  <w:noWrap w:val="0"/>
                  <w:vAlign w:val="center"/>
                </w:tcPr>
                <w:p w14:paraId="68BCD2FE">
                  <w:pPr>
                    <w:widowControl/>
                    <w:jc w:val="center"/>
                    <w:rPr>
                      <w:rFonts w:ascii="宋体" w:hAnsi="宋体"/>
                      <w:color w:val="auto"/>
                      <w:sz w:val="21"/>
                      <w:szCs w:val="21"/>
                      <w:highlight w:val="none"/>
                      <w:lang w:val="en-GB"/>
                    </w:rPr>
                  </w:pPr>
                  <w:r>
                    <w:rPr>
                      <w:rFonts w:hint="eastAsia" w:ascii="宋体" w:hAnsi="宋体" w:cs="宋体"/>
                      <w:color w:val="auto"/>
                      <w:kern w:val="0"/>
                      <w:sz w:val="21"/>
                      <w:szCs w:val="21"/>
                      <w:highlight w:val="none"/>
                    </w:rPr>
                    <w:t>个</w:t>
                  </w:r>
                </w:p>
              </w:tc>
              <w:tc>
                <w:tcPr>
                  <w:tcW w:w="955" w:type="dxa"/>
                  <w:tcBorders>
                    <w:top w:val="single" w:color="auto" w:sz="4" w:space="0"/>
                    <w:left w:val="single" w:color="auto" w:sz="4" w:space="0"/>
                    <w:bottom w:val="single" w:color="auto" w:sz="4" w:space="0"/>
                    <w:right w:val="single" w:color="auto" w:sz="4" w:space="0"/>
                  </w:tcBorders>
                  <w:noWrap w:val="0"/>
                  <w:vAlign w:val="center"/>
                </w:tcPr>
                <w:p w14:paraId="70C6D35C">
                  <w:pPr>
                    <w:widowControl/>
                    <w:jc w:val="center"/>
                    <w:rPr>
                      <w:rFonts w:hint="eastAsia" w:ascii="宋体" w:hAnsi="宋体" w:eastAsia="宋体"/>
                      <w:color w:val="auto"/>
                      <w:sz w:val="21"/>
                      <w:szCs w:val="21"/>
                      <w:highlight w:val="none"/>
                      <w:lang w:val="en-GB" w:eastAsia="zh-CN"/>
                    </w:rPr>
                  </w:pPr>
                  <w:r>
                    <w:rPr>
                      <w:rFonts w:hint="eastAsia" w:ascii="宋体" w:hAnsi="宋体" w:cs="宋体"/>
                      <w:color w:val="auto"/>
                      <w:kern w:val="0"/>
                      <w:sz w:val="21"/>
                      <w:szCs w:val="21"/>
                      <w:highlight w:val="none"/>
                      <w:lang w:val="en-US" w:eastAsia="zh-CN"/>
                    </w:rPr>
                    <w:t>2</w:t>
                  </w:r>
                </w:p>
              </w:tc>
            </w:tr>
            <w:tr w14:paraId="4F850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72" w:type="dxa"/>
                  <w:tcBorders>
                    <w:top w:val="single" w:color="auto" w:sz="4" w:space="0"/>
                    <w:left w:val="single" w:color="auto" w:sz="4" w:space="0"/>
                    <w:bottom w:val="single" w:color="auto" w:sz="4" w:space="0"/>
                    <w:right w:val="single" w:color="auto" w:sz="4" w:space="0"/>
                  </w:tcBorders>
                  <w:noWrap w:val="0"/>
                  <w:vAlign w:val="center"/>
                </w:tcPr>
                <w:p w14:paraId="2BD2535C">
                  <w:pPr>
                    <w:jc w:val="center"/>
                    <w:rPr>
                      <w:rFonts w:ascii="宋体" w:hAnsi="宋体" w:cs="宋体"/>
                      <w:color w:val="auto"/>
                      <w:kern w:val="0"/>
                      <w:sz w:val="21"/>
                      <w:szCs w:val="21"/>
                      <w:highlight w:val="none"/>
                    </w:rPr>
                  </w:pPr>
                  <w:r>
                    <w:rPr>
                      <w:rFonts w:ascii="宋体" w:hAnsi="宋体" w:cs="宋体"/>
                      <w:color w:val="auto"/>
                      <w:kern w:val="0"/>
                      <w:sz w:val="21"/>
                      <w:szCs w:val="21"/>
                      <w:highlight w:val="none"/>
                    </w:rPr>
                    <w:t>2</w:t>
                  </w:r>
                </w:p>
              </w:tc>
              <w:tc>
                <w:tcPr>
                  <w:tcW w:w="4359" w:type="dxa"/>
                  <w:tcBorders>
                    <w:top w:val="single" w:color="auto" w:sz="4" w:space="0"/>
                    <w:left w:val="nil"/>
                    <w:bottom w:val="single" w:color="auto" w:sz="4" w:space="0"/>
                    <w:right w:val="single" w:color="auto" w:sz="4" w:space="0"/>
                  </w:tcBorders>
                  <w:noWrap w:val="0"/>
                  <w:vAlign w:val="center"/>
                </w:tcPr>
                <w:p w14:paraId="0A84E128">
                  <w:pPr>
                    <w:jc w:val="left"/>
                    <w:rPr>
                      <w:rFonts w:ascii="宋体" w:hAnsi="宋体"/>
                      <w:color w:val="auto"/>
                      <w:sz w:val="21"/>
                      <w:szCs w:val="21"/>
                      <w:highlight w:val="none"/>
                    </w:rPr>
                  </w:pPr>
                  <w:r>
                    <w:rPr>
                      <w:rFonts w:hint="eastAsia" w:ascii="宋体" w:hAnsi="宋体"/>
                      <w:color w:val="auto"/>
                      <w:sz w:val="21"/>
                      <w:szCs w:val="21"/>
                      <w:highlight w:val="none"/>
                    </w:rPr>
                    <w:t>电子支气管操作部</w:t>
                  </w:r>
                </w:p>
              </w:tc>
              <w:tc>
                <w:tcPr>
                  <w:tcW w:w="953" w:type="dxa"/>
                  <w:tcBorders>
                    <w:top w:val="single" w:color="auto" w:sz="4" w:space="0"/>
                    <w:left w:val="nil"/>
                    <w:bottom w:val="single" w:color="auto" w:sz="4" w:space="0"/>
                    <w:right w:val="single" w:color="auto" w:sz="4" w:space="0"/>
                  </w:tcBorders>
                  <w:noWrap w:val="0"/>
                  <w:vAlign w:val="center"/>
                </w:tcPr>
                <w:p w14:paraId="10DBA86A">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条</w:t>
                  </w:r>
                </w:p>
              </w:tc>
              <w:tc>
                <w:tcPr>
                  <w:tcW w:w="955" w:type="dxa"/>
                  <w:tcBorders>
                    <w:top w:val="single" w:color="auto" w:sz="4" w:space="0"/>
                    <w:left w:val="nil"/>
                    <w:bottom w:val="single" w:color="auto" w:sz="4" w:space="0"/>
                    <w:right w:val="single" w:color="auto" w:sz="4" w:space="0"/>
                  </w:tcBorders>
                  <w:noWrap w:val="0"/>
                  <w:vAlign w:val="center"/>
                </w:tcPr>
                <w:p w14:paraId="79B8FF21">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r>
            <w:tr w14:paraId="2CF60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72" w:type="dxa"/>
                  <w:tcBorders>
                    <w:top w:val="single" w:color="auto" w:sz="4" w:space="0"/>
                    <w:left w:val="single" w:color="auto" w:sz="4" w:space="0"/>
                    <w:bottom w:val="single" w:color="auto" w:sz="4" w:space="0"/>
                    <w:right w:val="single" w:color="auto" w:sz="4" w:space="0"/>
                  </w:tcBorders>
                  <w:noWrap w:val="0"/>
                  <w:vAlign w:val="center"/>
                </w:tcPr>
                <w:p w14:paraId="5DDFC4E7">
                  <w:pPr>
                    <w:widowControl/>
                    <w:jc w:val="center"/>
                    <w:rPr>
                      <w:rFonts w:ascii="宋体" w:hAnsi="宋体" w:cs="宋体"/>
                      <w:color w:val="auto"/>
                      <w:kern w:val="0"/>
                      <w:sz w:val="21"/>
                      <w:szCs w:val="21"/>
                      <w:highlight w:val="none"/>
                    </w:rPr>
                  </w:pPr>
                  <w:r>
                    <w:rPr>
                      <w:rFonts w:ascii="宋体" w:hAnsi="宋体" w:cs="宋体"/>
                      <w:color w:val="auto"/>
                      <w:kern w:val="0"/>
                      <w:sz w:val="21"/>
                      <w:szCs w:val="21"/>
                      <w:highlight w:val="none"/>
                    </w:rPr>
                    <w:t>3</w:t>
                  </w:r>
                </w:p>
              </w:tc>
              <w:tc>
                <w:tcPr>
                  <w:tcW w:w="4359" w:type="dxa"/>
                  <w:tcBorders>
                    <w:top w:val="single" w:color="auto" w:sz="4" w:space="0"/>
                    <w:left w:val="nil"/>
                    <w:bottom w:val="single" w:color="auto" w:sz="4" w:space="0"/>
                    <w:right w:val="single" w:color="auto" w:sz="4" w:space="0"/>
                  </w:tcBorders>
                  <w:noWrap w:val="0"/>
                  <w:vAlign w:val="center"/>
                </w:tcPr>
                <w:p w14:paraId="7D0C4C09">
                  <w:pPr>
                    <w:jc w:val="left"/>
                    <w:rPr>
                      <w:rFonts w:ascii="宋体" w:hAnsi="宋体"/>
                      <w:color w:val="auto"/>
                      <w:sz w:val="21"/>
                      <w:szCs w:val="21"/>
                      <w:highlight w:val="none"/>
                    </w:rPr>
                  </w:pPr>
                  <w:r>
                    <w:rPr>
                      <w:rFonts w:hint="eastAsia" w:ascii="宋体" w:hAnsi="宋体"/>
                      <w:color w:val="auto"/>
                      <w:sz w:val="21"/>
                      <w:szCs w:val="21"/>
                      <w:highlight w:val="none"/>
                      <w:lang w:eastAsia="zh-CN"/>
                    </w:rPr>
                    <w:t>10寸显示器</w:t>
                  </w:r>
                </w:p>
              </w:tc>
              <w:tc>
                <w:tcPr>
                  <w:tcW w:w="953" w:type="dxa"/>
                  <w:tcBorders>
                    <w:top w:val="single" w:color="auto" w:sz="4" w:space="0"/>
                    <w:left w:val="nil"/>
                    <w:bottom w:val="single" w:color="auto" w:sz="4" w:space="0"/>
                    <w:right w:val="single" w:color="auto" w:sz="4" w:space="0"/>
                  </w:tcBorders>
                  <w:noWrap w:val="0"/>
                  <w:vAlign w:val="center"/>
                </w:tcPr>
                <w:p w14:paraId="46F2C0A1">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台</w:t>
                  </w:r>
                </w:p>
              </w:tc>
              <w:tc>
                <w:tcPr>
                  <w:tcW w:w="955" w:type="dxa"/>
                  <w:tcBorders>
                    <w:top w:val="single" w:color="auto" w:sz="4" w:space="0"/>
                    <w:left w:val="nil"/>
                    <w:bottom w:val="single" w:color="auto" w:sz="4" w:space="0"/>
                    <w:right w:val="single" w:color="auto" w:sz="4" w:space="0"/>
                  </w:tcBorders>
                  <w:noWrap w:val="0"/>
                  <w:vAlign w:val="center"/>
                </w:tcPr>
                <w:p w14:paraId="0A81F0A9">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r>
            <w:tr w14:paraId="44281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72" w:type="dxa"/>
                  <w:tcBorders>
                    <w:top w:val="single" w:color="auto" w:sz="4" w:space="0"/>
                    <w:left w:val="single" w:color="auto" w:sz="4" w:space="0"/>
                    <w:bottom w:val="single" w:color="auto" w:sz="4" w:space="0"/>
                    <w:right w:val="single" w:color="auto" w:sz="4" w:space="0"/>
                  </w:tcBorders>
                  <w:noWrap w:val="0"/>
                  <w:vAlign w:val="center"/>
                </w:tcPr>
                <w:p w14:paraId="2F2A7B2A">
                  <w:pPr>
                    <w:widowControl/>
                    <w:jc w:val="center"/>
                    <w:rPr>
                      <w:rFonts w:hint="eastAsia" w:ascii="宋体" w:hAnsi="宋体" w:cs="宋体"/>
                      <w:color w:val="auto"/>
                      <w:kern w:val="0"/>
                      <w:sz w:val="21"/>
                      <w:szCs w:val="21"/>
                      <w:highlight w:val="none"/>
                    </w:rPr>
                  </w:pPr>
                  <w:r>
                    <w:rPr>
                      <w:rFonts w:ascii="宋体" w:hAnsi="宋体" w:cs="宋体"/>
                      <w:color w:val="auto"/>
                      <w:kern w:val="0"/>
                      <w:sz w:val="21"/>
                      <w:szCs w:val="21"/>
                      <w:highlight w:val="none"/>
                    </w:rPr>
                    <w:t>4</w:t>
                  </w:r>
                </w:p>
              </w:tc>
              <w:tc>
                <w:tcPr>
                  <w:tcW w:w="4359" w:type="dxa"/>
                  <w:tcBorders>
                    <w:top w:val="single" w:color="auto" w:sz="4" w:space="0"/>
                    <w:left w:val="nil"/>
                    <w:bottom w:val="single" w:color="auto" w:sz="4" w:space="0"/>
                    <w:right w:val="single" w:color="auto" w:sz="4" w:space="0"/>
                  </w:tcBorders>
                  <w:noWrap w:val="0"/>
                  <w:vAlign w:val="center"/>
                </w:tcPr>
                <w:p w14:paraId="3C042BD9">
                  <w:pPr>
                    <w:jc w:val="left"/>
                    <w:rPr>
                      <w:rFonts w:hint="eastAsia" w:ascii="宋体" w:hAnsi="宋体"/>
                      <w:color w:val="auto"/>
                      <w:sz w:val="21"/>
                      <w:szCs w:val="21"/>
                      <w:highlight w:val="none"/>
                    </w:rPr>
                  </w:pPr>
                  <w:r>
                    <w:rPr>
                      <w:rFonts w:hint="eastAsia" w:ascii="宋体" w:hAnsi="宋体"/>
                      <w:color w:val="auto"/>
                      <w:sz w:val="21"/>
                      <w:szCs w:val="21"/>
                      <w:highlight w:val="none"/>
                    </w:rPr>
                    <w:t>延长线</w:t>
                  </w:r>
                </w:p>
              </w:tc>
              <w:tc>
                <w:tcPr>
                  <w:tcW w:w="953" w:type="dxa"/>
                  <w:tcBorders>
                    <w:top w:val="single" w:color="auto" w:sz="4" w:space="0"/>
                    <w:left w:val="nil"/>
                    <w:bottom w:val="single" w:color="auto" w:sz="4" w:space="0"/>
                    <w:right w:val="single" w:color="auto" w:sz="4" w:space="0"/>
                  </w:tcBorders>
                  <w:noWrap w:val="0"/>
                  <w:vAlign w:val="center"/>
                </w:tcPr>
                <w:p w14:paraId="5B41E892">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条</w:t>
                  </w:r>
                </w:p>
              </w:tc>
              <w:tc>
                <w:tcPr>
                  <w:tcW w:w="955" w:type="dxa"/>
                  <w:tcBorders>
                    <w:top w:val="single" w:color="auto" w:sz="4" w:space="0"/>
                    <w:left w:val="nil"/>
                    <w:bottom w:val="single" w:color="auto" w:sz="4" w:space="0"/>
                    <w:right w:val="single" w:color="auto" w:sz="4" w:space="0"/>
                  </w:tcBorders>
                  <w:noWrap w:val="0"/>
                  <w:vAlign w:val="center"/>
                </w:tcPr>
                <w:p w14:paraId="47BAC01E">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r>
            <w:tr w14:paraId="0BC72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72" w:type="dxa"/>
                  <w:tcBorders>
                    <w:top w:val="single" w:color="auto" w:sz="4" w:space="0"/>
                    <w:left w:val="single" w:color="auto" w:sz="4" w:space="0"/>
                    <w:bottom w:val="single" w:color="auto" w:sz="4" w:space="0"/>
                    <w:right w:val="single" w:color="auto" w:sz="4" w:space="0"/>
                  </w:tcBorders>
                  <w:noWrap w:val="0"/>
                  <w:vAlign w:val="center"/>
                </w:tcPr>
                <w:p w14:paraId="15FAF4A3">
                  <w:pPr>
                    <w:widowControl/>
                    <w:jc w:val="center"/>
                    <w:rPr>
                      <w:rFonts w:hint="eastAsia" w:ascii="宋体" w:hAnsi="宋体" w:cs="宋体"/>
                      <w:color w:val="auto"/>
                      <w:kern w:val="0"/>
                      <w:sz w:val="21"/>
                      <w:szCs w:val="21"/>
                      <w:highlight w:val="none"/>
                    </w:rPr>
                  </w:pPr>
                  <w:r>
                    <w:rPr>
                      <w:rFonts w:ascii="宋体" w:hAnsi="宋体" w:cs="宋体"/>
                      <w:color w:val="auto"/>
                      <w:kern w:val="0"/>
                      <w:sz w:val="21"/>
                      <w:szCs w:val="21"/>
                      <w:highlight w:val="none"/>
                    </w:rPr>
                    <w:t>5</w:t>
                  </w:r>
                </w:p>
              </w:tc>
              <w:tc>
                <w:tcPr>
                  <w:tcW w:w="4359" w:type="dxa"/>
                  <w:tcBorders>
                    <w:top w:val="single" w:color="auto" w:sz="4" w:space="0"/>
                    <w:left w:val="nil"/>
                    <w:bottom w:val="single" w:color="auto" w:sz="4" w:space="0"/>
                    <w:right w:val="single" w:color="auto" w:sz="4" w:space="0"/>
                  </w:tcBorders>
                  <w:noWrap w:val="0"/>
                  <w:vAlign w:val="center"/>
                </w:tcPr>
                <w:p w14:paraId="4873D632">
                  <w:pPr>
                    <w:widowControl/>
                    <w:jc w:val="left"/>
                    <w:rPr>
                      <w:rFonts w:hint="eastAsia" w:ascii="宋体" w:hAnsi="宋体" w:cs="宋体"/>
                      <w:color w:val="auto"/>
                      <w:kern w:val="0"/>
                      <w:sz w:val="21"/>
                      <w:szCs w:val="21"/>
                      <w:highlight w:val="none"/>
                    </w:rPr>
                  </w:pPr>
                  <w:r>
                    <w:rPr>
                      <w:rFonts w:hint="eastAsia" w:ascii="宋体" w:hAnsi="宋体" w:cs="宋体"/>
                      <w:color w:val="auto"/>
                      <w:sz w:val="21"/>
                      <w:szCs w:val="21"/>
                      <w:highlight w:val="none"/>
                    </w:rPr>
                    <w:t>无线发射器</w:t>
                  </w:r>
                </w:p>
              </w:tc>
              <w:tc>
                <w:tcPr>
                  <w:tcW w:w="953" w:type="dxa"/>
                  <w:tcBorders>
                    <w:top w:val="single" w:color="auto" w:sz="4" w:space="0"/>
                    <w:left w:val="nil"/>
                    <w:bottom w:val="single" w:color="auto" w:sz="4" w:space="0"/>
                    <w:right w:val="single" w:color="auto" w:sz="4" w:space="0"/>
                  </w:tcBorders>
                  <w:noWrap w:val="0"/>
                  <w:vAlign w:val="center"/>
                </w:tcPr>
                <w:p w14:paraId="15CA7001">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个</w:t>
                  </w:r>
                </w:p>
              </w:tc>
              <w:tc>
                <w:tcPr>
                  <w:tcW w:w="955" w:type="dxa"/>
                  <w:tcBorders>
                    <w:top w:val="single" w:color="auto" w:sz="4" w:space="0"/>
                    <w:left w:val="nil"/>
                    <w:bottom w:val="single" w:color="auto" w:sz="4" w:space="0"/>
                    <w:right w:val="single" w:color="auto" w:sz="4" w:space="0"/>
                  </w:tcBorders>
                  <w:noWrap w:val="0"/>
                  <w:vAlign w:val="center"/>
                </w:tcPr>
                <w:p w14:paraId="2790ECFE">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r>
            <w:tr w14:paraId="0E3F6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72" w:type="dxa"/>
                  <w:tcBorders>
                    <w:top w:val="single" w:color="auto" w:sz="4" w:space="0"/>
                    <w:left w:val="single" w:color="auto" w:sz="4" w:space="0"/>
                    <w:bottom w:val="single" w:color="auto" w:sz="4" w:space="0"/>
                    <w:right w:val="single" w:color="auto" w:sz="4" w:space="0"/>
                  </w:tcBorders>
                  <w:noWrap w:val="0"/>
                  <w:vAlign w:val="center"/>
                </w:tcPr>
                <w:p w14:paraId="4397AF41">
                  <w:pPr>
                    <w:widowControl/>
                    <w:jc w:val="center"/>
                    <w:rPr>
                      <w:rFonts w:hint="eastAsia" w:ascii="宋体" w:hAnsi="宋体" w:cs="宋体"/>
                      <w:color w:val="auto"/>
                      <w:kern w:val="0"/>
                      <w:sz w:val="21"/>
                      <w:szCs w:val="21"/>
                      <w:highlight w:val="none"/>
                    </w:rPr>
                  </w:pPr>
                  <w:r>
                    <w:rPr>
                      <w:rFonts w:ascii="宋体" w:hAnsi="宋体" w:cs="宋体"/>
                      <w:color w:val="auto"/>
                      <w:kern w:val="0"/>
                      <w:sz w:val="21"/>
                      <w:szCs w:val="21"/>
                      <w:highlight w:val="none"/>
                    </w:rPr>
                    <w:t>6</w:t>
                  </w:r>
                </w:p>
              </w:tc>
              <w:tc>
                <w:tcPr>
                  <w:tcW w:w="4359" w:type="dxa"/>
                  <w:tcBorders>
                    <w:top w:val="single" w:color="auto" w:sz="4" w:space="0"/>
                    <w:left w:val="nil"/>
                    <w:bottom w:val="single" w:color="auto" w:sz="4" w:space="0"/>
                    <w:right w:val="single" w:color="auto" w:sz="4" w:space="0"/>
                  </w:tcBorders>
                  <w:noWrap w:val="0"/>
                  <w:vAlign w:val="center"/>
                </w:tcPr>
                <w:p w14:paraId="57CE482E">
                  <w:pPr>
                    <w:widowControl/>
                    <w:jc w:val="left"/>
                    <w:rPr>
                      <w:rFonts w:hint="eastAsia" w:ascii="宋体" w:hAnsi="宋体" w:cs="宋体"/>
                      <w:color w:val="auto"/>
                      <w:kern w:val="0"/>
                      <w:sz w:val="21"/>
                      <w:szCs w:val="21"/>
                      <w:highlight w:val="none"/>
                    </w:rPr>
                  </w:pPr>
                  <w:r>
                    <w:rPr>
                      <w:rFonts w:hint="eastAsia" w:ascii="宋体" w:hAnsi="宋体" w:cs="宋体"/>
                      <w:color w:val="auto"/>
                      <w:sz w:val="21"/>
                      <w:szCs w:val="21"/>
                      <w:highlight w:val="none"/>
                    </w:rPr>
                    <w:t>台车</w:t>
                  </w:r>
                </w:p>
              </w:tc>
              <w:tc>
                <w:tcPr>
                  <w:tcW w:w="953" w:type="dxa"/>
                  <w:tcBorders>
                    <w:top w:val="single" w:color="auto" w:sz="4" w:space="0"/>
                    <w:left w:val="nil"/>
                    <w:bottom w:val="single" w:color="auto" w:sz="4" w:space="0"/>
                    <w:right w:val="single" w:color="auto" w:sz="4" w:space="0"/>
                  </w:tcBorders>
                  <w:noWrap w:val="0"/>
                  <w:vAlign w:val="center"/>
                </w:tcPr>
                <w:p w14:paraId="014F8205">
                  <w:pPr>
                    <w:widowControl/>
                    <w:jc w:val="center"/>
                    <w:rPr>
                      <w:rFonts w:hint="eastAsia" w:ascii="宋体" w:hAnsi="宋体" w:cs="宋体"/>
                      <w:color w:val="auto"/>
                      <w:kern w:val="0"/>
                      <w:sz w:val="21"/>
                      <w:szCs w:val="21"/>
                      <w:highlight w:val="none"/>
                    </w:rPr>
                  </w:pPr>
                  <w:r>
                    <w:rPr>
                      <w:rFonts w:hint="eastAsia" w:ascii="宋体" w:hAnsi="宋体" w:cs="宋体"/>
                      <w:color w:val="auto"/>
                      <w:sz w:val="21"/>
                      <w:szCs w:val="21"/>
                      <w:highlight w:val="none"/>
                    </w:rPr>
                    <w:t>台</w:t>
                  </w:r>
                </w:p>
              </w:tc>
              <w:tc>
                <w:tcPr>
                  <w:tcW w:w="955" w:type="dxa"/>
                  <w:tcBorders>
                    <w:top w:val="single" w:color="auto" w:sz="4" w:space="0"/>
                    <w:left w:val="nil"/>
                    <w:bottom w:val="single" w:color="auto" w:sz="4" w:space="0"/>
                    <w:right w:val="single" w:color="auto" w:sz="4" w:space="0"/>
                  </w:tcBorders>
                  <w:noWrap w:val="0"/>
                  <w:vAlign w:val="center"/>
                </w:tcPr>
                <w:p w14:paraId="5D04AAF8">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r>
            <w:tr w14:paraId="11221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72" w:type="dxa"/>
                  <w:tcBorders>
                    <w:top w:val="single" w:color="auto" w:sz="4" w:space="0"/>
                    <w:left w:val="single" w:color="auto" w:sz="4" w:space="0"/>
                    <w:bottom w:val="single" w:color="auto" w:sz="4" w:space="0"/>
                    <w:right w:val="single" w:color="auto" w:sz="4" w:space="0"/>
                  </w:tcBorders>
                  <w:noWrap w:val="0"/>
                  <w:vAlign w:val="center"/>
                </w:tcPr>
                <w:p w14:paraId="6CD17C57">
                  <w:pPr>
                    <w:widowControl/>
                    <w:jc w:val="center"/>
                    <w:rPr>
                      <w:rFonts w:hint="eastAsia" w:ascii="宋体" w:hAnsi="宋体" w:cs="宋体"/>
                      <w:color w:val="auto"/>
                      <w:kern w:val="0"/>
                      <w:sz w:val="21"/>
                      <w:szCs w:val="21"/>
                      <w:highlight w:val="none"/>
                    </w:rPr>
                  </w:pPr>
                  <w:r>
                    <w:rPr>
                      <w:rFonts w:ascii="宋体" w:hAnsi="宋体" w:cs="宋体"/>
                      <w:color w:val="auto"/>
                      <w:kern w:val="0"/>
                      <w:sz w:val="21"/>
                      <w:szCs w:val="21"/>
                      <w:highlight w:val="none"/>
                    </w:rPr>
                    <w:t>7</w:t>
                  </w:r>
                </w:p>
              </w:tc>
              <w:tc>
                <w:tcPr>
                  <w:tcW w:w="4359" w:type="dxa"/>
                  <w:tcBorders>
                    <w:top w:val="single" w:color="auto" w:sz="4" w:space="0"/>
                    <w:left w:val="nil"/>
                    <w:bottom w:val="single" w:color="auto" w:sz="4" w:space="0"/>
                    <w:right w:val="single" w:color="auto" w:sz="4" w:space="0"/>
                  </w:tcBorders>
                  <w:noWrap w:val="0"/>
                  <w:vAlign w:val="center"/>
                </w:tcPr>
                <w:p w14:paraId="6956CFA2">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HDMI转接线（公对公）</w:t>
                  </w:r>
                </w:p>
              </w:tc>
              <w:tc>
                <w:tcPr>
                  <w:tcW w:w="953" w:type="dxa"/>
                  <w:tcBorders>
                    <w:top w:val="single" w:color="auto" w:sz="4" w:space="0"/>
                    <w:left w:val="nil"/>
                    <w:bottom w:val="single" w:color="auto" w:sz="4" w:space="0"/>
                    <w:right w:val="single" w:color="auto" w:sz="4" w:space="0"/>
                  </w:tcBorders>
                  <w:noWrap w:val="0"/>
                  <w:vAlign w:val="center"/>
                </w:tcPr>
                <w:p w14:paraId="3DCC18BD">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条</w:t>
                  </w:r>
                </w:p>
              </w:tc>
              <w:tc>
                <w:tcPr>
                  <w:tcW w:w="955" w:type="dxa"/>
                  <w:tcBorders>
                    <w:top w:val="single" w:color="auto" w:sz="4" w:space="0"/>
                    <w:left w:val="nil"/>
                    <w:bottom w:val="single" w:color="auto" w:sz="4" w:space="0"/>
                    <w:right w:val="single" w:color="auto" w:sz="4" w:space="0"/>
                  </w:tcBorders>
                  <w:noWrap w:val="0"/>
                  <w:vAlign w:val="center"/>
                </w:tcPr>
                <w:p w14:paraId="793541AF">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r>
          </w:tbl>
          <w:p w14:paraId="00AF5369">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p>
          <w:p w14:paraId="4C9BF455">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p>
          <w:p w14:paraId="67D31124">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p>
          <w:p w14:paraId="4A7DCBF7">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p>
          <w:p w14:paraId="3A51624D">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p>
          <w:p w14:paraId="1A9651F4">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p>
        </w:tc>
        <w:tc>
          <w:tcPr>
            <w:tcW w:w="636" w:type="dxa"/>
            <w:tcBorders>
              <w:top w:val="single" w:color="000000" w:sz="4" w:space="0"/>
              <w:left w:val="single" w:color="000000" w:sz="4" w:space="0"/>
              <w:bottom w:val="single" w:color="000000" w:sz="4" w:space="0"/>
              <w:right w:val="single" w:color="000000" w:sz="4" w:space="0"/>
            </w:tcBorders>
            <w:vAlign w:val="center"/>
          </w:tcPr>
          <w:p w14:paraId="17687E26">
            <w:pPr>
              <w:widowControl/>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套</w:t>
            </w:r>
          </w:p>
        </w:tc>
        <w:tc>
          <w:tcPr>
            <w:tcW w:w="427" w:type="dxa"/>
            <w:tcBorders>
              <w:top w:val="single" w:color="000000" w:sz="4" w:space="0"/>
              <w:left w:val="single" w:color="000000" w:sz="4" w:space="0"/>
              <w:bottom w:val="single" w:color="000000" w:sz="4" w:space="0"/>
              <w:right w:val="single" w:color="000000" w:sz="4" w:space="0"/>
            </w:tcBorders>
            <w:vAlign w:val="center"/>
          </w:tcPr>
          <w:p w14:paraId="1DBC9AD5">
            <w:pPr>
              <w:widowControl/>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r>
      <w:tr w14:paraId="07C82980">
        <w:tblPrEx>
          <w:tblCellMar>
            <w:top w:w="0" w:type="dxa"/>
            <w:left w:w="108" w:type="dxa"/>
            <w:bottom w:w="0" w:type="dxa"/>
            <w:right w:w="108" w:type="dxa"/>
          </w:tblCellMar>
        </w:tblPrEx>
        <w:trPr>
          <w:trHeight w:val="1178" w:hRule="atLeast"/>
        </w:trPr>
        <w:tc>
          <w:tcPr>
            <w:tcW w:w="429" w:type="dxa"/>
            <w:tcBorders>
              <w:top w:val="single" w:color="000000" w:sz="4" w:space="0"/>
              <w:left w:val="single" w:color="000000" w:sz="4" w:space="0"/>
              <w:bottom w:val="single" w:color="000000" w:sz="4" w:space="0"/>
              <w:right w:val="single" w:color="000000" w:sz="4" w:space="0"/>
            </w:tcBorders>
            <w:vAlign w:val="center"/>
          </w:tcPr>
          <w:p w14:paraId="703AC8A4">
            <w:pPr>
              <w:widowControl/>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w:t>
            </w:r>
          </w:p>
        </w:tc>
        <w:tc>
          <w:tcPr>
            <w:tcW w:w="889" w:type="dxa"/>
            <w:tcBorders>
              <w:top w:val="single" w:color="000000" w:sz="4" w:space="0"/>
              <w:left w:val="single" w:color="000000" w:sz="4" w:space="0"/>
              <w:bottom w:val="single" w:color="auto" w:sz="4" w:space="0"/>
              <w:right w:val="single" w:color="000000" w:sz="4" w:space="0"/>
            </w:tcBorders>
            <w:vAlign w:val="center"/>
          </w:tcPr>
          <w:p w14:paraId="1014657A">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电子鼻咽喉镜</w:t>
            </w:r>
          </w:p>
        </w:tc>
        <w:tc>
          <w:tcPr>
            <w:tcW w:w="6596" w:type="dxa"/>
            <w:tcBorders>
              <w:top w:val="single" w:color="000000" w:sz="4" w:space="0"/>
              <w:left w:val="single" w:color="000000" w:sz="4" w:space="0"/>
              <w:bottom w:val="single" w:color="auto" w:sz="4" w:space="0"/>
              <w:right w:val="single" w:color="000000" w:sz="4" w:space="0"/>
            </w:tcBorders>
          </w:tcPr>
          <w:p w14:paraId="6BFA97D4">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1.电子鼻咽喉镜：</w:t>
            </w:r>
          </w:p>
          <w:p w14:paraId="454E2764">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1.1产品注册证：具有治疗功能。</w:t>
            </w:r>
          </w:p>
          <w:p w14:paraId="7C5A0043">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1.2成像原理：电子成像技术，工作软管不含导像、导光纤维。</w:t>
            </w:r>
          </w:p>
          <w:p w14:paraId="301A154E">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1.3保证清晰图像和视场角及最小的图像畸变。</w:t>
            </w:r>
          </w:p>
          <w:p w14:paraId="285511B9">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val="en-US" w:eastAsia="zh-CN"/>
              </w:rPr>
              <w:t>1.4 照度：在工作距离（L=5mm）处，照度应≥7000lx。</w:t>
            </w:r>
          </w:p>
          <w:p w14:paraId="50BF7471">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val="en-US" w:eastAsia="zh-CN"/>
              </w:rPr>
              <w:t>1.5软镜插入管外径≥4.8mm，工作管道内径≥2.0mm。</w:t>
            </w:r>
          </w:p>
          <w:p w14:paraId="5B6ECB92">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1.6软镜工作软管有效长度≥365mm。</w:t>
            </w:r>
          </w:p>
          <w:p w14:paraId="477A65C1">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val="en-US" w:eastAsia="zh-CN"/>
              </w:rPr>
              <w:t>1.7操作手柄具备</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个电子功能按键。</w:t>
            </w:r>
          </w:p>
          <w:p w14:paraId="46C4DCB2">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1.8操作手柄上按键可控制：①图像放大/缩小、②拍照/录像、③画面冻结/解冻结。</w:t>
            </w:r>
          </w:p>
          <w:p w14:paraId="061CCD82">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val="en-US" w:eastAsia="zh-CN"/>
              </w:rPr>
              <w:t>1.9操作手柄具备左右旋转关节，可带动插入软管部先端左右旋转，向左1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0°，向右1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w:t>
            </w:r>
          </w:p>
          <w:p w14:paraId="65AB51FE">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val="en-US" w:eastAsia="zh-CN"/>
              </w:rPr>
              <w:t>1.10吸引阀座一体式防脱设计。</w:t>
            </w:r>
          </w:p>
          <w:p w14:paraId="666ED6B6">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1.11操作部防水等级：IPX7，配备防水盖可进行全浸泡消毒。</w:t>
            </w:r>
          </w:p>
          <w:p w14:paraId="7D38EF31">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1.12采用智能主控芯片，具备无需手动调节即可实现自动控制图像曝光度功能。</w:t>
            </w:r>
          </w:p>
          <w:p w14:paraId="6D092CDC">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2.电子内窥镜图像处理器</w:t>
            </w:r>
          </w:p>
          <w:p w14:paraId="6D08E25E">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2.1具备医疗器械注册证。</w:t>
            </w:r>
          </w:p>
          <w:p w14:paraId="145A3465">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2.2触摸屏：电容式触摸屏。</w:t>
            </w:r>
          </w:p>
          <w:p w14:paraId="5365047D">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2.3高清视频信号输出分辨率：1280×800。</w:t>
            </w:r>
          </w:p>
          <w:p w14:paraId="0E691718">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2.4显示功能：自带显示屏≥10英寸，开机时间5秒，即能实现图像显示,满足临床快速使用需求。</w:t>
            </w:r>
          </w:p>
          <w:p w14:paraId="5DB8DDD3">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2.5通过操作部功能按键即可实现：图像放大缩小，图像冻结，拍照，录像功能（无需触摸屏幕，避免术后消毒问题）。</w:t>
            </w:r>
          </w:p>
          <w:p w14:paraId="5DD5DFA1">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2.6预览、隐藏功能：具有可实时观察、记录与回放功能，且可一键隐藏所有按键功能。有利于临床操作使用。</w:t>
            </w:r>
          </w:p>
          <w:p w14:paraId="7E7A9AB5">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2.7白平衡功能：具有白平衡调节功能。</w:t>
            </w:r>
          </w:p>
          <w:p w14:paraId="18BCE1CA">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2.8视频转接线：线缆可</w:t>
            </w:r>
            <w:r>
              <w:rPr>
                <w:rFonts w:hint="eastAsia" w:ascii="宋体" w:hAnsi="宋体" w:cs="宋体"/>
                <w:color w:val="auto"/>
                <w:sz w:val="21"/>
                <w:szCs w:val="21"/>
                <w:highlight w:val="none"/>
                <w:lang w:val="en-US" w:eastAsia="zh-CN"/>
              </w:rPr>
              <w:t>120</w:t>
            </w:r>
            <w:r>
              <w:rPr>
                <w:rFonts w:hint="eastAsia" w:ascii="宋体" w:hAnsi="宋体" w:eastAsia="宋体" w:cs="宋体"/>
                <w:color w:val="auto"/>
                <w:sz w:val="21"/>
                <w:szCs w:val="21"/>
                <w:highlight w:val="none"/>
                <w:lang w:val="en-US" w:eastAsia="zh-CN"/>
              </w:rPr>
              <w:t>度旋转，操作更舒适。</w:t>
            </w:r>
          </w:p>
          <w:p w14:paraId="77072291">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2.9视频输出接口：有CVBS视频输出接口和DVI视频输出接口，配备DVI转HDMI信号转换数据线，实现HDMI视频图像输出，可与医用显示器或工作站连接。</w:t>
            </w:r>
          </w:p>
          <w:p w14:paraId="4746C291">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2.10与内窥镜操作部连接方式：通过视频转接线与内窥镜手柄部直接相连，中间无需再通过连接手持式显示器即能实现视频操作，有效减轻产品重量方便临床使用。</w:t>
            </w:r>
          </w:p>
          <w:p w14:paraId="5158D054">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3.图文管理软件：</w:t>
            </w:r>
          </w:p>
          <w:p w14:paraId="221F7650">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3.1视频接口支持DVI/HDMI/BNC常规信号。</w:t>
            </w:r>
          </w:p>
          <w:p w14:paraId="4C4321AB">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val="en-US" w:eastAsia="zh-CN"/>
              </w:rPr>
              <w:t>3.2实时视频特效。</w:t>
            </w:r>
          </w:p>
          <w:p w14:paraId="40D36BA8">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3.3图像裁剪，可自定义取图区域，取图形状可选矩形和圆形等。</w:t>
            </w:r>
          </w:p>
          <w:p w14:paraId="2E9D1C95">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3.4多种报告格式可选，并提供打印预览功能。</w:t>
            </w:r>
          </w:p>
          <w:p w14:paraId="1D67BE76">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3.5填写报告时，对一些常用项目，可以通过下拉的方式选择，对这些项目也可以增加，修改和删除。</w:t>
            </w:r>
          </w:p>
          <w:p w14:paraId="67EA1314">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3.6病历查询，提供多种查询条件，可以查看病人的采集图像和检查结果，导出单个病人检查结果，也可导出病人列表。</w:t>
            </w:r>
          </w:p>
          <w:p w14:paraId="0BCC2E9F">
            <w:pPr>
              <w:pStyle w:val="130"/>
              <w:numPr>
                <w:ilvl w:val="1"/>
                <w:numId w:val="0"/>
              </w:numPr>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val="en-US" w:eastAsia="zh-CN"/>
              </w:rPr>
              <w:t>3.7图像处理：软件支持定标、长度与面积的测量、滤色与伪彩、局部放大、文字与区域标注等基本图像处理功能。</w:t>
            </w:r>
          </w:p>
          <w:p w14:paraId="6D78019E">
            <w:pPr>
              <w:pStyle w:val="130"/>
              <w:numPr>
                <w:ilvl w:val="1"/>
                <w:numId w:val="0"/>
              </w:numPr>
              <w:spacing w:line="300" w:lineRule="exact"/>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4.配置清单</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5"/>
              <w:gridCol w:w="2177"/>
              <w:gridCol w:w="2177"/>
            </w:tblGrid>
            <w:tr w14:paraId="1A33F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vAlign w:val="center"/>
                </w:tcPr>
                <w:p w14:paraId="09D7E6B7">
                  <w:pPr>
                    <w:pStyle w:val="42"/>
                    <w:keepNext w:val="0"/>
                    <w:keepLines w:val="0"/>
                    <w:widowControl/>
                    <w:suppressLineNumbers w:val="0"/>
                    <w:spacing w:before="0" w:beforeAutospacing="0" w:after="0" w:afterAutospacing="0" w:line="360" w:lineRule="auto"/>
                    <w:ind w:left="0" w:leftChars="0" w:right="0" w:rightChars="0"/>
                    <w:jc w:val="center"/>
                    <w:rPr>
                      <w:rFonts w:hint="default" w:ascii="宋体" w:hAnsi="宋体" w:cs="宋体"/>
                      <w:color w:val="auto"/>
                      <w:sz w:val="21"/>
                      <w:szCs w:val="21"/>
                      <w:highlight w:val="none"/>
                      <w:vertAlign w:val="baseline"/>
                      <w:lang w:val="en-US" w:eastAsia="zh-CN"/>
                    </w:rPr>
                  </w:pPr>
                  <w:r>
                    <w:rPr>
                      <w:rFonts w:hint="eastAsia" w:asciiTheme="minorEastAsia" w:hAnsiTheme="minorEastAsia" w:eastAsiaTheme="minorEastAsia" w:cstheme="minorEastAsia"/>
                      <w:b/>
                      <w:color w:val="auto"/>
                      <w:kern w:val="0"/>
                      <w:sz w:val="24"/>
                      <w:szCs w:val="24"/>
                      <w:highlight w:val="none"/>
                      <w:lang w:val="en-US" w:eastAsia="zh-CN" w:bidi="ar"/>
                    </w:rPr>
                    <w:t>序号</w:t>
                  </w:r>
                </w:p>
              </w:tc>
              <w:tc>
                <w:tcPr>
                  <w:tcW w:w="2177" w:type="dxa"/>
                  <w:vAlign w:val="center"/>
                </w:tcPr>
                <w:p w14:paraId="17E3986D">
                  <w:pPr>
                    <w:pStyle w:val="42"/>
                    <w:keepNext w:val="0"/>
                    <w:keepLines w:val="0"/>
                    <w:widowControl/>
                    <w:suppressLineNumbers w:val="0"/>
                    <w:spacing w:before="0" w:beforeAutospacing="0" w:after="0" w:afterAutospacing="0" w:line="360" w:lineRule="auto"/>
                    <w:ind w:left="0" w:leftChars="0" w:right="0" w:rightChars="0"/>
                    <w:jc w:val="center"/>
                    <w:rPr>
                      <w:rFonts w:hint="default" w:ascii="宋体" w:hAnsi="宋体" w:cs="宋体"/>
                      <w:color w:val="auto"/>
                      <w:sz w:val="21"/>
                      <w:szCs w:val="21"/>
                      <w:highlight w:val="none"/>
                      <w:vertAlign w:val="baseline"/>
                      <w:lang w:val="en-US" w:eastAsia="zh-CN"/>
                    </w:rPr>
                  </w:pPr>
                  <w:r>
                    <w:rPr>
                      <w:rFonts w:hint="eastAsia" w:asciiTheme="minorEastAsia" w:hAnsiTheme="minorEastAsia" w:eastAsiaTheme="minorEastAsia" w:cstheme="minorEastAsia"/>
                      <w:b/>
                      <w:color w:val="auto"/>
                      <w:kern w:val="0"/>
                      <w:sz w:val="24"/>
                      <w:szCs w:val="24"/>
                      <w:highlight w:val="none"/>
                      <w:lang w:val="en-US" w:eastAsia="zh-CN" w:bidi="ar"/>
                    </w:rPr>
                    <w:t>名称</w:t>
                  </w:r>
                </w:p>
              </w:tc>
              <w:tc>
                <w:tcPr>
                  <w:tcW w:w="2177" w:type="dxa"/>
                  <w:vAlign w:val="center"/>
                </w:tcPr>
                <w:p w14:paraId="2C584336">
                  <w:pPr>
                    <w:pStyle w:val="42"/>
                    <w:keepNext w:val="0"/>
                    <w:keepLines w:val="0"/>
                    <w:widowControl/>
                    <w:suppressLineNumbers w:val="0"/>
                    <w:spacing w:before="0" w:beforeAutospacing="0" w:after="0" w:afterAutospacing="0" w:line="360" w:lineRule="auto"/>
                    <w:ind w:left="0" w:leftChars="0" w:right="0" w:rightChars="0"/>
                    <w:jc w:val="center"/>
                    <w:rPr>
                      <w:rFonts w:hint="default" w:ascii="宋体" w:hAnsi="宋体" w:cs="宋体"/>
                      <w:color w:val="auto"/>
                      <w:sz w:val="21"/>
                      <w:szCs w:val="21"/>
                      <w:highlight w:val="none"/>
                      <w:vertAlign w:val="baseline"/>
                      <w:lang w:val="en-US" w:eastAsia="zh-CN"/>
                    </w:rPr>
                  </w:pPr>
                  <w:r>
                    <w:rPr>
                      <w:rFonts w:hint="eastAsia" w:asciiTheme="minorEastAsia" w:hAnsiTheme="minorEastAsia" w:eastAsiaTheme="minorEastAsia" w:cstheme="minorEastAsia"/>
                      <w:b/>
                      <w:color w:val="auto"/>
                      <w:kern w:val="0"/>
                      <w:sz w:val="24"/>
                      <w:szCs w:val="24"/>
                      <w:highlight w:val="none"/>
                      <w:lang w:val="en-US" w:eastAsia="zh-CN" w:bidi="ar"/>
                    </w:rPr>
                    <w:t>数量</w:t>
                  </w:r>
                </w:p>
              </w:tc>
            </w:tr>
            <w:tr w14:paraId="3430B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vAlign w:val="center"/>
                </w:tcPr>
                <w:p w14:paraId="4D2E497A">
                  <w:pPr>
                    <w:pStyle w:val="42"/>
                    <w:keepNext w:val="0"/>
                    <w:keepLines w:val="0"/>
                    <w:widowControl/>
                    <w:suppressLineNumbers w:val="0"/>
                    <w:spacing w:before="0" w:beforeAutospacing="0" w:after="0" w:afterAutospacing="0" w:line="360" w:lineRule="auto"/>
                    <w:ind w:left="0" w:leftChars="0" w:right="0" w:rightChars="0"/>
                    <w:jc w:val="center"/>
                    <w:rPr>
                      <w:rFonts w:hint="default" w:ascii="宋体" w:hAnsi="宋体" w:cs="宋体"/>
                      <w:color w:val="auto"/>
                      <w:sz w:val="21"/>
                      <w:szCs w:val="21"/>
                      <w:highlight w:val="none"/>
                      <w:vertAlign w:val="baseline"/>
                      <w:lang w:val="en-US" w:eastAsia="zh-CN"/>
                    </w:rPr>
                  </w:pPr>
                  <w:r>
                    <w:rPr>
                      <w:rFonts w:hint="eastAsia" w:asciiTheme="minorEastAsia" w:hAnsiTheme="minorEastAsia" w:eastAsiaTheme="minorEastAsia" w:cstheme="minorEastAsia"/>
                      <w:color w:val="auto"/>
                      <w:kern w:val="0"/>
                      <w:sz w:val="22"/>
                      <w:szCs w:val="22"/>
                      <w:highlight w:val="none"/>
                      <w:lang w:val="en-US" w:eastAsia="zh-CN" w:bidi="ar"/>
                    </w:rPr>
                    <w:t>1</w:t>
                  </w:r>
                </w:p>
              </w:tc>
              <w:tc>
                <w:tcPr>
                  <w:tcW w:w="2177" w:type="dxa"/>
                  <w:vAlign w:val="center"/>
                </w:tcPr>
                <w:p w14:paraId="63DA07FA">
                  <w:pPr>
                    <w:pStyle w:val="42"/>
                    <w:keepNext w:val="0"/>
                    <w:keepLines w:val="0"/>
                    <w:widowControl/>
                    <w:suppressLineNumbers w:val="0"/>
                    <w:spacing w:before="0" w:beforeAutospacing="0" w:after="0" w:afterAutospacing="0" w:line="360" w:lineRule="auto"/>
                    <w:ind w:left="0" w:leftChars="0" w:right="0" w:rightChars="0"/>
                    <w:jc w:val="center"/>
                    <w:rPr>
                      <w:rFonts w:hint="default" w:ascii="宋体" w:hAnsi="宋体" w:cs="宋体"/>
                      <w:color w:val="auto"/>
                      <w:sz w:val="21"/>
                      <w:szCs w:val="21"/>
                      <w:highlight w:val="none"/>
                      <w:vertAlign w:val="baseline"/>
                      <w:lang w:val="en-US" w:eastAsia="zh-CN"/>
                    </w:rPr>
                  </w:pPr>
                  <w:r>
                    <w:rPr>
                      <w:rFonts w:hint="eastAsia" w:asciiTheme="minorEastAsia" w:hAnsiTheme="minorEastAsia" w:cstheme="minorEastAsia"/>
                      <w:color w:val="auto"/>
                      <w:kern w:val="0"/>
                      <w:sz w:val="22"/>
                      <w:szCs w:val="22"/>
                      <w:highlight w:val="none"/>
                      <w:lang w:val="en-US" w:eastAsia="zh-Hans" w:bidi="ar"/>
                    </w:rPr>
                    <w:t>电子</w:t>
                  </w:r>
                  <w:r>
                    <w:rPr>
                      <w:rFonts w:hint="eastAsia" w:asciiTheme="minorEastAsia" w:hAnsiTheme="minorEastAsia" w:cstheme="minorEastAsia"/>
                      <w:color w:val="auto"/>
                      <w:kern w:val="0"/>
                      <w:sz w:val="22"/>
                      <w:szCs w:val="22"/>
                      <w:highlight w:val="none"/>
                      <w:lang w:val="en-US" w:eastAsia="zh-CN" w:bidi="ar"/>
                    </w:rPr>
                    <w:t>鼻咽喉镜</w:t>
                  </w:r>
                  <w:r>
                    <w:rPr>
                      <w:rFonts w:hint="eastAsia" w:asciiTheme="minorEastAsia" w:hAnsiTheme="minorEastAsia" w:eastAsiaTheme="minorEastAsia" w:cstheme="minorEastAsia"/>
                      <w:color w:val="auto"/>
                      <w:kern w:val="0"/>
                      <w:sz w:val="22"/>
                      <w:szCs w:val="22"/>
                      <w:highlight w:val="none"/>
                      <w:lang w:val="en-US" w:eastAsia="zh-CN" w:bidi="ar"/>
                    </w:rPr>
                    <w:t>操作部</w:t>
                  </w:r>
                  <w:r>
                    <w:rPr>
                      <w:rFonts w:hint="eastAsia" w:asciiTheme="minorEastAsia" w:hAnsiTheme="minorEastAsia" w:cstheme="minorEastAsia"/>
                      <w:color w:val="auto"/>
                      <w:kern w:val="0"/>
                      <w:sz w:val="22"/>
                      <w:szCs w:val="22"/>
                      <w:highlight w:val="none"/>
                      <w:lang w:val="en-US" w:eastAsia="zh-CN" w:bidi="ar"/>
                    </w:rPr>
                    <w:t>（含主控软件）</w:t>
                  </w:r>
                </w:p>
              </w:tc>
              <w:tc>
                <w:tcPr>
                  <w:tcW w:w="2177" w:type="dxa"/>
                  <w:vAlign w:val="center"/>
                </w:tcPr>
                <w:p w14:paraId="060F1706">
                  <w:pPr>
                    <w:pStyle w:val="42"/>
                    <w:keepNext w:val="0"/>
                    <w:keepLines w:val="0"/>
                    <w:widowControl/>
                    <w:suppressLineNumbers w:val="0"/>
                    <w:spacing w:before="0" w:beforeAutospacing="0" w:after="0" w:afterAutospacing="0" w:line="360" w:lineRule="auto"/>
                    <w:ind w:left="0" w:leftChars="0" w:right="0" w:rightChars="0"/>
                    <w:jc w:val="center"/>
                    <w:rPr>
                      <w:rFonts w:hint="default" w:ascii="宋体" w:hAnsi="宋体" w:cs="宋体"/>
                      <w:color w:val="auto"/>
                      <w:sz w:val="21"/>
                      <w:szCs w:val="21"/>
                      <w:highlight w:val="none"/>
                      <w:vertAlign w:val="baseline"/>
                      <w:lang w:val="en-US" w:eastAsia="zh-CN"/>
                    </w:rPr>
                  </w:pPr>
                  <w:r>
                    <w:rPr>
                      <w:rFonts w:hint="eastAsia" w:asciiTheme="minorEastAsia" w:hAnsiTheme="minorEastAsia" w:eastAsiaTheme="minorEastAsia" w:cstheme="minorEastAsia"/>
                      <w:color w:val="auto"/>
                      <w:kern w:val="0"/>
                      <w:sz w:val="22"/>
                      <w:szCs w:val="22"/>
                      <w:highlight w:val="none"/>
                      <w:lang w:val="en-US" w:eastAsia="zh-CN" w:bidi="ar"/>
                    </w:rPr>
                    <w:t>1条</w:t>
                  </w:r>
                </w:p>
              </w:tc>
            </w:tr>
            <w:tr w14:paraId="16E3C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vAlign w:val="center"/>
                </w:tcPr>
                <w:p w14:paraId="29437940">
                  <w:pPr>
                    <w:pStyle w:val="42"/>
                    <w:keepNext w:val="0"/>
                    <w:keepLines w:val="0"/>
                    <w:widowControl/>
                    <w:suppressLineNumbers w:val="0"/>
                    <w:spacing w:before="0" w:beforeAutospacing="0" w:after="0" w:afterAutospacing="0" w:line="360" w:lineRule="auto"/>
                    <w:ind w:left="0" w:leftChars="0" w:right="0" w:rightChars="0"/>
                    <w:jc w:val="center"/>
                    <w:rPr>
                      <w:rFonts w:hint="default" w:ascii="宋体" w:hAnsi="宋体" w:cs="宋体"/>
                      <w:color w:val="auto"/>
                      <w:sz w:val="21"/>
                      <w:szCs w:val="21"/>
                      <w:highlight w:val="none"/>
                      <w:vertAlign w:val="baseline"/>
                      <w:lang w:val="en-US" w:eastAsia="zh-CN"/>
                    </w:rPr>
                  </w:pPr>
                  <w:r>
                    <w:rPr>
                      <w:rFonts w:hint="eastAsia" w:asciiTheme="minorEastAsia" w:hAnsiTheme="minorEastAsia" w:cstheme="minorEastAsia"/>
                      <w:color w:val="auto"/>
                      <w:kern w:val="0"/>
                      <w:sz w:val="22"/>
                      <w:szCs w:val="22"/>
                      <w:highlight w:val="none"/>
                      <w:lang w:val="en-US" w:eastAsia="zh-CN" w:bidi="ar"/>
                    </w:rPr>
                    <w:t>2</w:t>
                  </w:r>
                </w:p>
              </w:tc>
              <w:tc>
                <w:tcPr>
                  <w:tcW w:w="2177" w:type="dxa"/>
                  <w:vAlign w:val="center"/>
                </w:tcPr>
                <w:p w14:paraId="142C1EBB">
                  <w:pPr>
                    <w:pStyle w:val="42"/>
                    <w:keepNext w:val="0"/>
                    <w:keepLines w:val="0"/>
                    <w:widowControl/>
                    <w:suppressLineNumbers w:val="0"/>
                    <w:spacing w:before="0" w:beforeAutospacing="0" w:after="0" w:afterAutospacing="0" w:line="360" w:lineRule="auto"/>
                    <w:ind w:left="0" w:leftChars="0" w:right="0" w:rightChars="0"/>
                    <w:jc w:val="center"/>
                    <w:rPr>
                      <w:rFonts w:hint="default" w:ascii="宋体" w:hAnsi="宋体" w:cs="宋体"/>
                      <w:color w:val="auto"/>
                      <w:sz w:val="21"/>
                      <w:szCs w:val="21"/>
                      <w:highlight w:val="none"/>
                      <w:vertAlign w:val="baseline"/>
                      <w:lang w:val="en-US" w:eastAsia="zh-CN"/>
                    </w:rPr>
                  </w:pPr>
                  <w:r>
                    <w:rPr>
                      <w:rFonts w:hint="eastAsia" w:asciiTheme="minorEastAsia" w:hAnsiTheme="minorEastAsia" w:eastAsiaTheme="minorEastAsia" w:cstheme="minorEastAsia"/>
                      <w:color w:val="auto"/>
                      <w:kern w:val="0"/>
                      <w:sz w:val="22"/>
                      <w:szCs w:val="22"/>
                      <w:highlight w:val="none"/>
                      <w:lang w:val="en-US" w:eastAsia="zh-CN" w:bidi="ar"/>
                    </w:rPr>
                    <w:t>防水盖</w:t>
                  </w:r>
                </w:p>
              </w:tc>
              <w:tc>
                <w:tcPr>
                  <w:tcW w:w="2177" w:type="dxa"/>
                  <w:vAlign w:val="center"/>
                </w:tcPr>
                <w:p w14:paraId="7E31CC3D">
                  <w:pPr>
                    <w:pStyle w:val="42"/>
                    <w:keepNext w:val="0"/>
                    <w:keepLines w:val="0"/>
                    <w:widowControl/>
                    <w:suppressLineNumbers w:val="0"/>
                    <w:spacing w:before="0" w:beforeAutospacing="0" w:after="0" w:afterAutospacing="0" w:line="360" w:lineRule="auto"/>
                    <w:ind w:left="0" w:leftChars="0" w:right="0" w:rightChars="0"/>
                    <w:jc w:val="center"/>
                    <w:rPr>
                      <w:rFonts w:hint="default" w:ascii="宋体" w:hAnsi="宋体" w:cs="宋体"/>
                      <w:color w:val="auto"/>
                      <w:sz w:val="21"/>
                      <w:szCs w:val="21"/>
                      <w:highlight w:val="none"/>
                      <w:vertAlign w:val="baseline"/>
                      <w:lang w:val="en-US" w:eastAsia="zh-CN"/>
                    </w:rPr>
                  </w:pPr>
                  <w:r>
                    <w:rPr>
                      <w:rFonts w:hint="eastAsia" w:asciiTheme="minorEastAsia" w:hAnsiTheme="minorEastAsia" w:eastAsiaTheme="minorEastAsia" w:cstheme="minorEastAsia"/>
                      <w:color w:val="auto"/>
                      <w:kern w:val="0"/>
                      <w:sz w:val="22"/>
                      <w:szCs w:val="22"/>
                      <w:highlight w:val="none"/>
                      <w:lang w:val="en-US" w:eastAsia="zh-CN" w:bidi="ar"/>
                    </w:rPr>
                    <w:t>1个</w:t>
                  </w:r>
                </w:p>
              </w:tc>
            </w:tr>
            <w:tr w14:paraId="4D03A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vAlign w:val="center"/>
                </w:tcPr>
                <w:p w14:paraId="3C46E20A">
                  <w:pPr>
                    <w:pStyle w:val="42"/>
                    <w:keepNext w:val="0"/>
                    <w:keepLines w:val="0"/>
                    <w:widowControl/>
                    <w:suppressLineNumbers w:val="0"/>
                    <w:spacing w:before="0" w:beforeAutospacing="0" w:after="0" w:afterAutospacing="0" w:line="360" w:lineRule="auto"/>
                    <w:ind w:left="0" w:leftChars="0" w:right="0" w:rightChars="0"/>
                    <w:jc w:val="center"/>
                    <w:rPr>
                      <w:rFonts w:hint="default" w:ascii="宋体" w:hAnsi="宋体" w:cs="宋体"/>
                      <w:color w:val="auto"/>
                      <w:sz w:val="21"/>
                      <w:szCs w:val="21"/>
                      <w:highlight w:val="none"/>
                      <w:vertAlign w:val="baseline"/>
                      <w:lang w:val="en-US" w:eastAsia="zh-CN"/>
                    </w:rPr>
                  </w:pPr>
                  <w:r>
                    <w:rPr>
                      <w:rFonts w:hint="eastAsia" w:asciiTheme="minorEastAsia" w:hAnsiTheme="minorEastAsia" w:cstheme="minorEastAsia"/>
                      <w:color w:val="auto"/>
                      <w:kern w:val="0"/>
                      <w:sz w:val="22"/>
                      <w:szCs w:val="22"/>
                      <w:highlight w:val="none"/>
                      <w:lang w:val="en-US" w:eastAsia="zh-CN" w:bidi="ar"/>
                    </w:rPr>
                    <w:t>3</w:t>
                  </w:r>
                </w:p>
              </w:tc>
              <w:tc>
                <w:tcPr>
                  <w:tcW w:w="2177" w:type="dxa"/>
                  <w:vAlign w:val="center"/>
                </w:tcPr>
                <w:p w14:paraId="7876BB24">
                  <w:pPr>
                    <w:pStyle w:val="42"/>
                    <w:keepNext w:val="0"/>
                    <w:keepLines w:val="0"/>
                    <w:widowControl/>
                    <w:suppressLineNumbers w:val="0"/>
                    <w:spacing w:before="0" w:beforeAutospacing="0" w:after="0" w:afterAutospacing="0" w:line="360" w:lineRule="auto"/>
                    <w:ind w:left="0" w:leftChars="0" w:right="0" w:rightChars="0"/>
                    <w:jc w:val="center"/>
                    <w:rPr>
                      <w:rFonts w:hint="default" w:ascii="宋体" w:hAnsi="宋体" w:cs="宋体"/>
                      <w:color w:val="auto"/>
                      <w:sz w:val="21"/>
                      <w:szCs w:val="21"/>
                      <w:highlight w:val="none"/>
                      <w:vertAlign w:val="baseline"/>
                      <w:lang w:val="en-US" w:eastAsia="zh-CN"/>
                    </w:rPr>
                  </w:pPr>
                  <w:r>
                    <w:rPr>
                      <w:rFonts w:hint="eastAsia" w:asciiTheme="minorEastAsia" w:hAnsiTheme="minorEastAsia" w:eastAsiaTheme="minorEastAsia" w:cstheme="minorEastAsia"/>
                      <w:color w:val="auto"/>
                      <w:kern w:val="0"/>
                      <w:sz w:val="22"/>
                      <w:szCs w:val="22"/>
                      <w:highlight w:val="none"/>
                      <w:lang w:val="en-US" w:eastAsia="zh-CN" w:bidi="ar"/>
                    </w:rPr>
                    <w:t>活检阀帽</w:t>
                  </w:r>
                </w:p>
              </w:tc>
              <w:tc>
                <w:tcPr>
                  <w:tcW w:w="2177" w:type="dxa"/>
                  <w:vAlign w:val="center"/>
                </w:tcPr>
                <w:p w14:paraId="2918EBB9">
                  <w:pPr>
                    <w:pStyle w:val="42"/>
                    <w:keepNext w:val="0"/>
                    <w:keepLines w:val="0"/>
                    <w:widowControl/>
                    <w:suppressLineNumbers w:val="0"/>
                    <w:spacing w:before="0" w:beforeAutospacing="0" w:after="0" w:afterAutospacing="0" w:line="360" w:lineRule="auto"/>
                    <w:ind w:left="0" w:leftChars="0" w:right="0" w:rightChars="0"/>
                    <w:jc w:val="center"/>
                    <w:rPr>
                      <w:rFonts w:hint="default" w:ascii="宋体" w:hAnsi="宋体" w:cs="宋体"/>
                      <w:color w:val="auto"/>
                      <w:sz w:val="21"/>
                      <w:szCs w:val="21"/>
                      <w:highlight w:val="none"/>
                      <w:vertAlign w:val="baseline"/>
                      <w:lang w:val="en-US" w:eastAsia="zh-CN"/>
                    </w:rPr>
                  </w:pPr>
                  <w:r>
                    <w:rPr>
                      <w:rFonts w:hint="eastAsia" w:asciiTheme="minorEastAsia" w:hAnsiTheme="minorEastAsia" w:eastAsiaTheme="minorEastAsia" w:cstheme="minorEastAsia"/>
                      <w:color w:val="auto"/>
                      <w:kern w:val="0"/>
                      <w:sz w:val="22"/>
                      <w:szCs w:val="22"/>
                      <w:highlight w:val="none"/>
                      <w:lang w:val="en-US" w:eastAsia="zh-CN" w:bidi="ar"/>
                    </w:rPr>
                    <w:t>5个</w:t>
                  </w:r>
                </w:p>
              </w:tc>
            </w:tr>
            <w:tr w14:paraId="3493B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vAlign w:val="center"/>
                </w:tcPr>
                <w:p w14:paraId="68396954">
                  <w:pPr>
                    <w:pStyle w:val="42"/>
                    <w:keepNext w:val="0"/>
                    <w:keepLines w:val="0"/>
                    <w:widowControl/>
                    <w:suppressLineNumbers w:val="0"/>
                    <w:spacing w:before="0" w:beforeAutospacing="0" w:after="0" w:afterAutospacing="0" w:line="360" w:lineRule="auto"/>
                    <w:ind w:left="0" w:leftChars="0" w:right="0" w:rightChars="0"/>
                    <w:jc w:val="center"/>
                    <w:rPr>
                      <w:rFonts w:hint="default" w:ascii="宋体" w:hAnsi="宋体" w:cs="宋体"/>
                      <w:color w:val="auto"/>
                      <w:sz w:val="21"/>
                      <w:szCs w:val="21"/>
                      <w:highlight w:val="none"/>
                      <w:vertAlign w:val="baseline"/>
                      <w:lang w:val="en-US" w:eastAsia="zh-CN"/>
                    </w:rPr>
                  </w:pPr>
                  <w:r>
                    <w:rPr>
                      <w:rFonts w:hint="eastAsia" w:asciiTheme="minorEastAsia" w:hAnsiTheme="minorEastAsia" w:cstheme="minorEastAsia"/>
                      <w:color w:val="auto"/>
                      <w:highlight w:val="none"/>
                      <w:lang w:val="en-US" w:eastAsia="zh-CN"/>
                    </w:rPr>
                    <w:t>4</w:t>
                  </w:r>
                </w:p>
              </w:tc>
              <w:tc>
                <w:tcPr>
                  <w:tcW w:w="2177" w:type="dxa"/>
                  <w:vAlign w:val="center"/>
                </w:tcPr>
                <w:p w14:paraId="615F39BE">
                  <w:pPr>
                    <w:pStyle w:val="42"/>
                    <w:keepNext w:val="0"/>
                    <w:keepLines w:val="0"/>
                    <w:widowControl/>
                    <w:suppressLineNumbers w:val="0"/>
                    <w:spacing w:before="0" w:beforeAutospacing="0" w:after="0" w:afterAutospacing="0" w:line="360" w:lineRule="auto"/>
                    <w:ind w:left="0" w:leftChars="0" w:right="0" w:rightChars="0"/>
                    <w:jc w:val="center"/>
                    <w:rPr>
                      <w:rFonts w:hint="default" w:ascii="宋体" w:hAnsi="宋体" w:cs="宋体"/>
                      <w:color w:val="auto"/>
                      <w:sz w:val="21"/>
                      <w:szCs w:val="21"/>
                      <w:highlight w:val="none"/>
                      <w:vertAlign w:val="baseline"/>
                      <w:lang w:val="en-US" w:eastAsia="zh-CN"/>
                    </w:rPr>
                  </w:pPr>
                  <w:r>
                    <w:rPr>
                      <w:rFonts w:hint="eastAsia" w:asciiTheme="minorEastAsia" w:hAnsiTheme="minorEastAsia" w:eastAsiaTheme="minorEastAsia" w:cstheme="minorEastAsia"/>
                      <w:color w:val="auto"/>
                      <w:kern w:val="0"/>
                      <w:sz w:val="22"/>
                      <w:szCs w:val="22"/>
                      <w:highlight w:val="none"/>
                      <w:lang w:val="en-US" w:eastAsia="zh-CN" w:bidi="ar"/>
                    </w:rPr>
                    <w:t>吸引按钮</w:t>
                  </w:r>
                </w:p>
              </w:tc>
              <w:tc>
                <w:tcPr>
                  <w:tcW w:w="2177" w:type="dxa"/>
                  <w:vAlign w:val="center"/>
                </w:tcPr>
                <w:p w14:paraId="3B42FF4B">
                  <w:pPr>
                    <w:pStyle w:val="42"/>
                    <w:keepNext w:val="0"/>
                    <w:keepLines w:val="0"/>
                    <w:widowControl/>
                    <w:suppressLineNumbers w:val="0"/>
                    <w:spacing w:before="0" w:beforeAutospacing="0" w:after="0" w:afterAutospacing="0" w:line="360" w:lineRule="auto"/>
                    <w:ind w:left="0" w:leftChars="0" w:right="0" w:rightChars="0"/>
                    <w:jc w:val="center"/>
                    <w:rPr>
                      <w:rFonts w:hint="default" w:ascii="宋体" w:hAnsi="宋体" w:cs="宋体"/>
                      <w:color w:val="auto"/>
                      <w:sz w:val="21"/>
                      <w:szCs w:val="21"/>
                      <w:highlight w:val="none"/>
                      <w:vertAlign w:val="baseline"/>
                      <w:lang w:val="en-US" w:eastAsia="zh-CN"/>
                    </w:rPr>
                  </w:pPr>
                  <w:r>
                    <w:rPr>
                      <w:rFonts w:hint="eastAsia" w:asciiTheme="minorEastAsia" w:hAnsiTheme="minorEastAsia" w:eastAsiaTheme="minorEastAsia" w:cstheme="minorEastAsia"/>
                      <w:color w:val="auto"/>
                      <w:kern w:val="0"/>
                      <w:sz w:val="22"/>
                      <w:szCs w:val="22"/>
                      <w:highlight w:val="none"/>
                      <w:lang w:val="en-US" w:eastAsia="zh-CN" w:bidi="ar"/>
                    </w:rPr>
                    <w:t>2个</w:t>
                  </w:r>
                </w:p>
              </w:tc>
            </w:tr>
            <w:tr w14:paraId="099E2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vAlign w:val="center"/>
                </w:tcPr>
                <w:p w14:paraId="276F1D00">
                  <w:pPr>
                    <w:jc w:val="center"/>
                    <w:rPr>
                      <w:rFonts w:hint="default" w:ascii="宋体" w:hAnsi="宋体" w:cs="宋体"/>
                      <w:color w:val="auto"/>
                      <w:sz w:val="21"/>
                      <w:szCs w:val="21"/>
                      <w:highlight w:val="none"/>
                      <w:vertAlign w:val="baseline"/>
                      <w:lang w:val="en-US" w:eastAsia="zh-CN"/>
                    </w:rPr>
                  </w:pPr>
                  <w:r>
                    <w:rPr>
                      <w:rFonts w:hint="eastAsia" w:cs="宋体" w:asciiTheme="minorEastAsia" w:hAnsiTheme="minorEastAsia"/>
                      <w:b/>
                      <w:bCs/>
                      <w:color w:val="auto"/>
                      <w:kern w:val="2"/>
                      <w:sz w:val="24"/>
                      <w:szCs w:val="24"/>
                      <w:highlight w:val="none"/>
                      <w:lang w:val="en-US" w:eastAsia="zh-CN" w:bidi="ar-SA"/>
                    </w:rPr>
                    <w:t>5</w:t>
                  </w:r>
                </w:p>
              </w:tc>
              <w:tc>
                <w:tcPr>
                  <w:tcW w:w="2177" w:type="dxa"/>
                  <w:vAlign w:val="center"/>
                </w:tcPr>
                <w:p w14:paraId="656AABA5">
                  <w:pPr>
                    <w:jc w:val="center"/>
                    <w:rPr>
                      <w:rFonts w:hint="default" w:ascii="宋体" w:hAnsi="宋体" w:cs="宋体"/>
                      <w:color w:val="auto"/>
                      <w:sz w:val="21"/>
                      <w:szCs w:val="21"/>
                      <w:highlight w:val="none"/>
                      <w:vertAlign w:val="baseline"/>
                      <w:lang w:val="en-US" w:eastAsia="zh-CN"/>
                    </w:rPr>
                  </w:pPr>
                  <w:r>
                    <w:rPr>
                      <w:rFonts w:hint="eastAsia" w:cs="Tahoma" w:asciiTheme="minorEastAsia" w:hAnsiTheme="minorEastAsia" w:eastAsiaTheme="minorEastAsia"/>
                      <w:color w:val="auto"/>
                      <w:sz w:val="22"/>
                      <w:szCs w:val="22"/>
                      <w:highlight w:val="none"/>
                      <w:lang w:val="en-US" w:eastAsia="zh-CN"/>
                    </w:rPr>
                    <w:t>电子内窥镜图像处理器</w:t>
                  </w:r>
                  <w:r>
                    <w:rPr>
                      <w:rFonts w:hint="eastAsia" w:cs="Tahoma" w:asciiTheme="minorEastAsia" w:hAnsiTheme="minorEastAsia" w:eastAsiaTheme="minorEastAsia"/>
                      <w:color w:val="auto"/>
                      <w:sz w:val="22"/>
                      <w:szCs w:val="22"/>
                      <w:highlight w:val="none"/>
                    </w:rPr>
                    <w:t>（</w:t>
                  </w:r>
                  <w:r>
                    <w:rPr>
                      <w:rFonts w:hint="eastAsia" w:cs="Tahoma" w:asciiTheme="minorEastAsia" w:hAnsiTheme="minorEastAsia" w:eastAsiaTheme="minorEastAsia"/>
                      <w:color w:val="auto"/>
                      <w:sz w:val="22"/>
                      <w:szCs w:val="22"/>
                      <w:highlight w:val="none"/>
                      <w:lang w:val="en-US" w:eastAsia="zh-CN"/>
                    </w:rPr>
                    <w:t>含</w:t>
                  </w:r>
                  <w:r>
                    <w:rPr>
                      <w:rFonts w:hint="eastAsia" w:cs="Tahoma" w:asciiTheme="minorEastAsia" w:hAnsiTheme="minorEastAsia" w:eastAsiaTheme="minorEastAsia"/>
                      <w:color w:val="auto"/>
                      <w:sz w:val="22"/>
                      <w:szCs w:val="22"/>
                      <w:highlight w:val="none"/>
                    </w:rPr>
                    <w:t>软件）</w:t>
                  </w:r>
                </w:p>
              </w:tc>
              <w:tc>
                <w:tcPr>
                  <w:tcW w:w="2177" w:type="dxa"/>
                  <w:vAlign w:val="center"/>
                </w:tcPr>
                <w:p w14:paraId="7A76C238">
                  <w:pPr>
                    <w:jc w:val="center"/>
                    <w:rPr>
                      <w:rFonts w:hint="default" w:ascii="宋体" w:hAnsi="宋体" w:cs="宋体"/>
                      <w:color w:val="auto"/>
                      <w:sz w:val="21"/>
                      <w:szCs w:val="21"/>
                      <w:highlight w:val="none"/>
                      <w:vertAlign w:val="baseline"/>
                      <w:lang w:val="en-US" w:eastAsia="zh-CN"/>
                    </w:rPr>
                  </w:pPr>
                  <w:r>
                    <w:rPr>
                      <w:rFonts w:hint="eastAsia" w:cs="Tahoma" w:asciiTheme="minorEastAsia" w:hAnsiTheme="minorEastAsia" w:eastAsiaTheme="minorEastAsia"/>
                      <w:color w:val="auto"/>
                      <w:sz w:val="22"/>
                      <w:szCs w:val="22"/>
                      <w:highlight w:val="none"/>
                    </w:rPr>
                    <w:t>1台</w:t>
                  </w:r>
                </w:p>
              </w:tc>
            </w:tr>
            <w:tr w14:paraId="667F2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vAlign w:val="center"/>
                </w:tcPr>
                <w:p w14:paraId="2F47D02A">
                  <w:pPr>
                    <w:jc w:val="center"/>
                    <w:rPr>
                      <w:rFonts w:hint="default" w:ascii="宋体" w:hAnsi="宋体" w:cs="宋体"/>
                      <w:color w:val="auto"/>
                      <w:sz w:val="21"/>
                      <w:szCs w:val="21"/>
                      <w:highlight w:val="none"/>
                      <w:vertAlign w:val="baseline"/>
                      <w:lang w:val="en-US" w:eastAsia="zh-CN"/>
                    </w:rPr>
                  </w:pPr>
                  <w:r>
                    <w:rPr>
                      <w:rFonts w:hint="eastAsia" w:cs="Tahoma" w:asciiTheme="minorEastAsia" w:hAnsiTheme="minorEastAsia"/>
                      <w:color w:val="auto"/>
                      <w:kern w:val="2"/>
                      <w:sz w:val="22"/>
                      <w:szCs w:val="22"/>
                      <w:highlight w:val="none"/>
                      <w:lang w:val="en-US" w:eastAsia="zh-CN" w:bidi="ar-SA"/>
                    </w:rPr>
                    <w:t>6</w:t>
                  </w:r>
                </w:p>
              </w:tc>
              <w:tc>
                <w:tcPr>
                  <w:tcW w:w="2177" w:type="dxa"/>
                  <w:vAlign w:val="center"/>
                </w:tcPr>
                <w:p w14:paraId="075AEAB7">
                  <w:pPr>
                    <w:jc w:val="center"/>
                    <w:rPr>
                      <w:rFonts w:hint="default" w:ascii="宋体" w:hAnsi="宋体" w:cs="宋体"/>
                      <w:color w:val="auto"/>
                      <w:sz w:val="21"/>
                      <w:szCs w:val="21"/>
                      <w:highlight w:val="none"/>
                      <w:vertAlign w:val="baseline"/>
                      <w:lang w:val="en-US" w:eastAsia="zh-CN"/>
                    </w:rPr>
                  </w:pPr>
                  <w:r>
                    <w:rPr>
                      <w:rFonts w:hint="eastAsia" w:cs="Tahoma" w:asciiTheme="minorEastAsia" w:hAnsiTheme="minorEastAsia" w:eastAsiaTheme="minorEastAsia"/>
                      <w:color w:val="auto"/>
                      <w:sz w:val="22"/>
                      <w:szCs w:val="22"/>
                      <w:highlight w:val="none"/>
                    </w:rPr>
                    <w:t>12V AC适配器</w:t>
                  </w:r>
                </w:p>
              </w:tc>
              <w:tc>
                <w:tcPr>
                  <w:tcW w:w="2177" w:type="dxa"/>
                  <w:vAlign w:val="center"/>
                </w:tcPr>
                <w:p w14:paraId="371756D0">
                  <w:pPr>
                    <w:jc w:val="center"/>
                    <w:rPr>
                      <w:rFonts w:hint="default" w:ascii="宋体" w:hAnsi="宋体" w:cs="宋体"/>
                      <w:color w:val="auto"/>
                      <w:sz w:val="21"/>
                      <w:szCs w:val="21"/>
                      <w:highlight w:val="none"/>
                      <w:vertAlign w:val="baseline"/>
                      <w:lang w:val="en-US" w:eastAsia="zh-CN"/>
                    </w:rPr>
                  </w:pPr>
                  <w:r>
                    <w:rPr>
                      <w:rFonts w:hint="eastAsia" w:cs="Tahoma" w:asciiTheme="minorEastAsia" w:hAnsiTheme="minorEastAsia" w:eastAsiaTheme="minorEastAsia"/>
                      <w:color w:val="auto"/>
                      <w:szCs w:val="21"/>
                      <w:highlight w:val="none"/>
                    </w:rPr>
                    <w:t>1个</w:t>
                  </w:r>
                </w:p>
              </w:tc>
            </w:tr>
            <w:tr w14:paraId="66A35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vAlign w:val="center"/>
                </w:tcPr>
                <w:p w14:paraId="0D40C8CC">
                  <w:pPr>
                    <w:jc w:val="center"/>
                    <w:rPr>
                      <w:rFonts w:hint="default" w:ascii="宋体" w:hAnsi="宋体" w:cs="宋体"/>
                      <w:color w:val="auto"/>
                      <w:sz w:val="21"/>
                      <w:szCs w:val="21"/>
                      <w:highlight w:val="none"/>
                      <w:vertAlign w:val="baseline"/>
                      <w:lang w:val="en-US" w:eastAsia="zh-CN"/>
                    </w:rPr>
                  </w:pPr>
                  <w:r>
                    <w:rPr>
                      <w:rFonts w:hint="eastAsia" w:cs="Tahoma" w:asciiTheme="minorEastAsia" w:hAnsiTheme="minorEastAsia"/>
                      <w:color w:val="auto"/>
                      <w:kern w:val="2"/>
                      <w:sz w:val="22"/>
                      <w:szCs w:val="22"/>
                      <w:highlight w:val="none"/>
                      <w:lang w:val="en-US" w:eastAsia="zh-CN" w:bidi="ar-SA"/>
                    </w:rPr>
                    <w:t>7</w:t>
                  </w:r>
                </w:p>
              </w:tc>
              <w:tc>
                <w:tcPr>
                  <w:tcW w:w="2177" w:type="dxa"/>
                  <w:vAlign w:val="center"/>
                </w:tcPr>
                <w:p w14:paraId="3D176A38">
                  <w:pPr>
                    <w:jc w:val="center"/>
                    <w:rPr>
                      <w:rFonts w:hint="default" w:ascii="宋体" w:hAnsi="宋体" w:cs="宋体"/>
                      <w:color w:val="auto"/>
                      <w:sz w:val="21"/>
                      <w:szCs w:val="21"/>
                      <w:highlight w:val="none"/>
                      <w:vertAlign w:val="baseline"/>
                      <w:lang w:val="en-US" w:eastAsia="zh-CN"/>
                    </w:rPr>
                  </w:pPr>
                  <w:r>
                    <w:rPr>
                      <w:rFonts w:hint="eastAsia" w:cs="Tahoma" w:asciiTheme="minorEastAsia" w:hAnsiTheme="minorEastAsia" w:eastAsiaTheme="minorEastAsia"/>
                      <w:color w:val="auto"/>
                      <w:sz w:val="22"/>
                      <w:szCs w:val="22"/>
                      <w:highlight w:val="none"/>
                    </w:rPr>
                    <w:t>AC适配器电源线</w:t>
                  </w:r>
                </w:p>
              </w:tc>
              <w:tc>
                <w:tcPr>
                  <w:tcW w:w="2177" w:type="dxa"/>
                  <w:vAlign w:val="center"/>
                </w:tcPr>
                <w:p w14:paraId="2A82DCB2">
                  <w:pPr>
                    <w:jc w:val="center"/>
                    <w:rPr>
                      <w:rFonts w:hint="default" w:ascii="宋体" w:hAnsi="宋体" w:cs="宋体"/>
                      <w:color w:val="auto"/>
                      <w:sz w:val="21"/>
                      <w:szCs w:val="21"/>
                      <w:highlight w:val="none"/>
                      <w:vertAlign w:val="baseline"/>
                      <w:lang w:val="en-US" w:eastAsia="zh-CN"/>
                    </w:rPr>
                  </w:pPr>
                  <w:r>
                    <w:rPr>
                      <w:rFonts w:hint="eastAsia" w:cs="Tahoma" w:asciiTheme="minorEastAsia" w:hAnsiTheme="minorEastAsia" w:eastAsiaTheme="minorEastAsia"/>
                      <w:color w:val="auto"/>
                      <w:szCs w:val="21"/>
                      <w:highlight w:val="none"/>
                    </w:rPr>
                    <w:t>1条</w:t>
                  </w:r>
                </w:p>
              </w:tc>
            </w:tr>
            <w:tr w14:paraId="35FA1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vAlign w:val="center"/>
                </w:tcPr>
                <w:p w14:paraId="5B283D8D">
                  <w:pPr>
                    <w:jc w:val="center"/>
                    <w:rPr>
                      <w:rFonts w:hint="default" w:ascii="宋体" w:hAnsi="宋体" w:cs="宋体"/>
                      <w:color w:val="auto"/>
                      <w:sz w:val="21"/>
                      <w:szCs w:val="21"/>
                      <w:highlight w:val="none"/>
                      <w:vertAlign w:val="baseline"/>
                      <w:lang w:val="en-US" w:eastAsia="zh-CN"/>
                    </w:rPr>
                  </w:pPr>
                  <w:r>
                    <w:rPr>
                      <w:rFonts w:hint="eastAsia" w:cs="Tahoma" w:asciiTheme="minorEastAsia" w:hAnsiTheme="minorEastAsia"/>
                      <w:color w:val="auto"/>
                      <w:kern w:val="2"/>
                      <w:sz w:val="22"/>
                      <w:szCs w:val="22"/>
                      <w:highlight w:val="none"/>
                      <w:lang w:val="en-US" w:eastAsia="zh-CN" w:bidi="ar-SA"/>
                    </w:rPr>
                    <w:t>8</w:t>
                  </w:r>
                </w:p>
              </w:tc>
              <w:tc>
                <w:tcPr>
                  <w:tcW w:w="2177" w:type="dxa"/>
                  <w:vAlign w:val="center"/>
                </w:tcPr>
                <w:p w14:paraId="1FD60B86">
                  <w:pPr>
                    <w:jc w:val="center"/>
                    <w:rPr>
                      <w:rFonts w:hint="default" w:ascii="宋体" w:hAnsi="宋体" w:cs="宋体"/>
                      <w:color w:val="auto"/>
                      <w:sz w:val="21"/>
                      <w:szCs w:val="21"/>
                      <w:highlight w:val="none"/>
                      <w:vertAlign w:val="baseline"/>
                      <w:lang w:val="en-US" w:eastAsia="zh-CN"/>
                    </w:rPr>
                  </w:pPr>
                  <w:r>
                    <w:rPr>
                      <w:rFonts w:hint="eastAsia" w:cs="Tahoma" w:asciiTheme="minorEastAsia" w:hAnsiTheme="minorEastAsia" w:eastAsiaTheme="minorEastAsia"/>
                      <w:color w:val="auto"/>
                      <w:sz w:val="22"/>
                      <w:szCs w:val="22"/>
                      <w:highlight w:val="none"/>
                    </w:rPr>
                    <w:t>SD读卡器</w:t>
                  </w:r>
                </w:p>
              </w:tc>
              <w:tc>
                <w:tcPr>
                  <w:tcW w:w="2177" w:type="dxa"/>
                  <w:vAlign w:val="center"/>
                </w:tcPr>
                <w:p w14:paraId="23598B14">
                  <w:pPr>
                    <w:jc w:val="center"/>
                    <w:rPr>
                      <w:rFonts w:hint="default" w:ascii="宋体" w:hAnsi="宋体" w:cs="宋体"/>
                      <w:color w:val="auto"/>
                      <w:sz w:val="21"/>
                      <w:szCs w:val="21"/>
                      <w:highlight w:val="none"/>
                      <w:vertAlign w:val="baseline"/>
                      <w:lang w:val="en-US" w:eastAsia="zh-CN"/>
                    </w:rPr>
                  </w:pPr>
                  <w:r>
                    <w:rPr>
                      <w:rFonts w:hint="eastAsia" w:cs="Tahoma" w:asciiTheme="minorEastAsia" w:hAnsiTheme="minorEastAsia" w:eastAsiaTheme="minorEastAsia"/>
                      <w:color w:val="auto"/>
                      <w:szCs w:val="21"/>
                      <w:highlight w:val="none"/>
                    </w:rPr>
                    <w:t>1个</w:t>
                  </w:r>
                </w:p>
              </w:tc>
            </w:tr>
            <w:tr w14:paraId="4F434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vAlign w:val="center"/>
                </w:tcPr>
                <w:p w14:paraId="6D22DC6C">
                  <w:pPr>
                    <w:jc w:val="center"/>
                    <w:rPr>
                      <w:rFonts w:hint="default" w:ascii="宋体" w:hAnsi="宋体" w:cs="宋体"/>
                      <w:color w:val="auto"/>
                      <w:sz w:val="21"/>
                      <w:szCs w:val="21"/>
                      <w:highlight w:val="none"/>
                      <w:vertAlign w:val="baseline"/>
                      <w:lang w:val="en-US" w:eastAsia="zh-CN"/>
                    </w:rPr>
                  </w:pPr>
                  <w:r>
                    <w:rPr>
                      <w:rFonts w:hint="eastAsia" w:cs="Tahoma" w:asciiTheme="minorEastAsia" w:hAnsiTheme="minorEastAsia"/>
                      <w:color w:val="auto"/>
                      <w:kern w:val="2"/>
                      <w:sz w:val="22"/>
                      <w:szCs w:val="22"/>
                      <w:highlight w:val="none"/>
                      <w:lang w:val="en-US" w:eastAsia="zh-CN" w:bidi="ar-SA"/>
                    </w:rPr>
                    <w:t>9</w:t>
                  </w:r>
                </w:p>
              </w:tc>
              <w:tc>
                <w:tcPr>
                  <w:tcW w:w="2177" w:type="dxa"/>
                  <w:vAlign w:val="center"/>
                </w:tcPr>
                <w:p w14:paraId="2069E541">
                  <w:pPr>
                    <w:jc w:val="center"/>
                    <w:rPr>
                      <w:rFonts w:hint="default" w:ascii="宋体" w:hAnsi="宋体" w:cs="宋体"/>
                      <w:color w:val="auto"/>
                      <w:sz w:val="21"/>
                      <w:szCs w:val="21"/>
                      <w:highlight w:val="none"/>
                      <w:vertAlign w:val="baseline"/>
                      <w:lang w:val="en-US" w:eastAsia="zh-CN"/>
                    </w:rPr>
                  </w:pPr>
                  <w:r>
                    <w:rPr>
                      <w:rFonts w:hint="eastAsia" w:cs="Tahoma" w:asciiTheme="minorEastAsia" w:hAnsiTheme="minorEastAsia" w:eastAsiaTheme="minorEastAsia"/>
                      <w:color w:val="auto"/>
                      <w:sz w:val="22"/>
                      <w:szCs w:val="22"/>
                      <w:highlight w:val="none"/>
                    </w:rPr>
                    <w:t>BNC-BNC视频线</w:t>
                  </w:r>
                </w:p>
              </w:tc>
              <w:tc>
                <w:tcPr>
                  <w:tcW w:w="2177" w:type="dxa"/>
                  <w:vAlign w:val="center"/>
                </w:tcPr>
                <w:p w14:paraId="1A24AF89">
                  <w:pPr>
                    <w:jc w:val="center"/>
                    <w:rPr>
                      <w:rFonts w:hint="default" w:ascii="宋体" w:hAnsi="宋体" w:cs="宋体"/>
                      <w:color w:val="auto"/>
                      <w:sz w:val="21"/>
                      <w:szCs w:val="21"/>
                      <w:highlight w:val="none"/>
                      <w:vertAlign w:val="baseline"/>
                      <w:lang w:val="en-US" w:eastAsia="zh-CN"/>
                    </w:rPr>
                  </w:pPr>
                  <w:r>
                    <w:rPr>
                      <w:rFonts w:hint="eastAsia" w:cs="Tahoma" w:asciiTheme="minorEastAsia" w:hAnsiTheme="minorEastAsia" w:eastAsiaTheme="minorEastAsia"/>
                      <w:color w:val="auto"/>
                      <w:szCs w:val="21"/>
                      <w:highlight w:val="none"/>
                    </w:rPr>
                    <w:t>1条</w:t>
                  </w:r>
                </w:p>
              </w:tc>
            </w:tr>
            <w:tr w14:paraId="34826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vAlign w:val="center"/>
                </w:tcPr>
                <w:p w14:paraId="36D5A69B">
                  <w:pPr>
                    <w:jc w:val="center"/>
                    <w:rPr>
                      <w:rFonts w:hint="default" w:ascii="宋体" w:hAnsi="宋体" w:cs="宋体"/>
                      <w:color w:val="auto"/>
                      <w:sz w:val="21"/>
                      <w:szCs w:val="21"/>
                      <w:highlight w:val="none"/>
                      <w:vertAlign w:val="baseline"/>
                      <w:lang w:val="en-US" w:eastAsia="zh-CN"/>
                    </w:rPr>
                  </w:pPr>
                  <w:r>
                    <w:rPr>
                      <w:rFonts w:hint="eastAsia" w:cs="Tahoma" w:asciiTheme="minorEastAsia" w:hAnsiTheme="minorEastAsia"/>
                      <w:color w:val="auto"/>
                      <w:kern w:val="2"/>
                      <w:sz w:val="22"/>
                      <w:szCs w:val="22"/>
                      <w:highlight w:val="none"/>
                      <w:lang w:val="en-US" w:eastAsia="zh-CN" w:bidi="ar-SA"/>
                    </w:rPr>
                    <w:t>10</w:t>
                  </w:r>
                </w:p>
              </w:tc>
              <w:tc>
                <w:tcPr>
                  <w:tcW w:w="2177" w:type="dxa"/>
                  <w:vAlign w:val="center"/>
                </w:tcPr>
                <w:p w14:paraId="6BBB69BB">
                  <w:pPr>
                    <w:jc w:val="center"/>
                    <w:rPr>
                      <w:rFonts w:hint="default" w:ascii="宋体" w:hAnsi="宋体" w:cs="宋体"/>
                      <w:color w:val="auto"/>
                      <w:sz w:val="21"/>
                      <w:szCs w:val="21"/>
                      <w:highlight w:val="none"/>
                      <w:vertAlign w:val="baseline"/>
                      <w:lang w:val="en-US" w:eastAsia="zh-CN"/>
                    </w:rPr>
                  </w:pPr>
                  <w:r>
                    <w:rPr>
                      <w:rFonts w:hint="eastAsia" w:cs="Tahoma" w:asciiTheme="minorEastAsia" w:hAnsiTheme="minorEastAsia" w:eastAsiaTheme="minorEastAsia"/>
                      <w:color w:val="auto"/>
                      <w:sz w:val="22"/>
                      <w:szCs w:val="22"/>
                      <w:highlight w:val="none"/>
                    </w:rPr>
                    <w:t>DVI</w:t>
                  </w:r>
                  <w:r>
                    <w:rPr>
                      <w:rFonts w:cs="Tahoma" w:asciiTheme="minorEastAsia" w:hAnsiTheme="minorEastAsia" w:eastAsiaTheme="minorEastAsia"/>
                      <w:color w:val="auto"/>
                      <w:sz w:val="22"/>
                      <w:szCs w:val="22"/>
                      <w:highlight w:val="none"/>
                    </w:rPr>
                    <w:t>-</w:t>
                  </w:r>
                  <w:r>
                    <w:rPr>
                      <w:rFonts w:hint="eastAsia" w:cs="Tahoma" w:asciiTheme="minorEastAsia" w:hAnsiTheme="minorEastAsia" w:eastAsiaTheme="minorEastAsia"/>
                      <w:color w:val="auto"/>
                      <w:sz w:val="22"/>
                      <w:szCs w:val="22"/>
                      <w:highlight w:val="none"/>
                    </w:rPr>
                    <w:t>DVI视频线</w:t>
                  </w:r>
                </w:p>
              </w:tc>
              <w:tc>
                <w:tcPr>
                  <w:tcW w:w="2177" w:type="dxa"/>
                  <w:vAlign w:val="center"/>
                </w:tcPr>
                <w:p w14:paraId="50365632">
                  <w:pPr>
                    <w:jc w:val="center"/>
                    <w:rPr>
                      <w:rFonts w:hint="default" w:ascii="宋体" w:hAnsi="宋体" w:cs="宋体"/>
                      <w:color w:val="auto"/>
                      <w:sz w:val="21"/>
                      <w:szCs w:val="21"/>
                      <w:highlight w:val="none"/>
                      <w:vertAlign w:val="baseline"/>
                      <w:lang w:val="en-US" w:eastAsia="zh-CN"/>
                    </w:rPr>
                  </w:pPr>
                  <w:r>
                    <w:rPr>
                      <w:rFonts w:hint="eastAsia" w:cs="Tahoma" w:asciiTheme="minorEastAsia" w:hAnsiTheme="minorEastAsia" w:eastAsiaTheme="minorEastAsia"/>
                      <w:color w:val="auto"/>
                      <w:szCs w:val="21"/>
                      <w:highlight w:val="none"/>
                    </w:rPr>
                    <w:t>1条</w:t>
                  </w:r>
                </w:p>
              </w:tc>
            </w:tr>
            <w:tr w14:paraId="333D4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vAlign w:val="center"/>
                </w:tcPr>
                <w:p w14:paraId="5FDEEC87">
                  <w:pPr>
                    <w:jc w:val="center"/>
                    <w:rPr>
                      <w:rFonts w:hint="default" w:ascii="宋体" w:hAnsi="宋体" w:cs="宋体"/>
                      <w:color w:val="auto"/>
                      <w:sz w:val="21"/>
                      <w:szCs w:val="21"/>
                      <w:highlight w:val="none"/>
                      <w:vertAlign w:val="baseline"/>
                      <w:lang w:val="en-US" w:eastAsia="zh-CN"/>
                    </w:rPr>
                  </w:pPr>
                  <w:r>
                    <w:rPr>
                      <w:rFonts w:hint="eastAsia" w:cs="Tahoma" w:asciiTheme="minorEastAsia" w:hAnsiTheme="minorEastAsia"/>
                      <w:color w:val="auto"/>
                      <w:kern w:val="2"/>
                      <w:sz w:val="22"/>
                      <w:szCs w:val="22"/>
                      <w:highlight w:val="none"/>
                      <w:lang w:val="en-US" w:eastAsia="zh-CN" w:bidi="ar-SA"/>
                    </w:rPr>
                    <w:t>11</w:t>
                  </w:r>
                </w:p>
              </w:tc>
              <w:tc>
                <w:tcPr>
                  <w:tcW w:w="2177" w:type="dxa"/>
                  <w:vAlign w:val="center"/>
                </w:tcPr>
                <w:p w14:paraId="1F194A85">
                  <w:pPr>
                    <w:jc w:val="center"/>
                    <w:rPr>
                      <w:rFonts w:hint="default" w:ascii="宋体" w:hAnsi="宋体" w:cs="宋体"/>
                      <w:color w:val="auto"/>
                      <w:sz w:val="21"/>
                      <w:szCs w:val="21"/>
                      <w:highlight w:val="none"/>
                      <w:vertAlign w:val="baseline"/>
                      <w:lang w:val="en-US" w:eastAsia="zh-CN"/>
                    </w:rPr>
                  </w:pPr>
                  <w:r>
                    <w:rPr>
                      <w:rFonts w:hint="eastAsia" w:cs="Tahoma" w:asciiTheme="minorEastAsia" w:hAnsiTheme="minorEastAsia" w:eastAsiaTheme="minorEastAsia"/>
                      <w:color w:val="auto"/>
                      <w:sz w:val="22"/>
                      <w:szCs w:val="22"/>
                      <w:highlight w:val="none"/>
                    </w:rPr>
                    <w:t>64G SD卡</w:t>
                  </w:r>
                </w:p>
              </w:tc>
              <w:tc>
                <w:tcPr>
                  <w:tcW w:w="2177" w:type="dxa"/>
                  <w:vAlign w:val="center"/>
                </w:tcPr>
                <w:p w14:paraId="5B010669">
                  <w:pPr>
                    <w:jc w:val="center"/>
                    <w:rPr>
                      <w:rFonts w:hint="default" w:ascii="宋体" w:hAnsi="宋体" w:cs="宋体"/>
                      <w:color w:val="auto"/>
                      <w:sz w:val="21"/>
                      <w:szCs w:val="21"/>
                      <w:highlight w:val="none"/>
                      <w:vertAlign w:val="baseline"/>
                      <w:lang w:val="en-US" w:eastAsia="zh-CN"/>
                    </w:rPr>
                  </w:pPr>
                  <w:r>
                    <w:rPr>
                      <w:rFonts w:cs="Tahoma" w:asciiTheme="minorEastAsia" w:hAnsiTheme="minorEastAsia" w:eastAsiaTheme="minorEastAsia"/>
                      <w:color w:val="auto"/>
                      <w:szCs w:val="21"/>
                      <w:highlight w:val="none"/>
                    </w:rPr>
                    <w:t>1</w:t>
                  </w:r>
                  <w:r>
                    <w:rPr>
                      <w:rFonts w:hint="eastAsia" w:cs="Tahoma" w:asciiTheme="minorEastAsia" w:hAnsiTheme="minorEastAsia" w:eastAsiaTheme="minorEastAsia"/>
                      <w:color w:val="auto"/>
                      <w:szCs w:val="21"/>
                      <w:highlight w:val="none"/>
                    </w:rPr>
                    <w:t>个</w:t>
                  </w:r>
                </w:p>
              </w:tc>
            </w:tr>
            <w:tr w14:paraId="584BE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vAlign w:val="center"/>
                </w:tcPr>
                <w:p w14:paraId="37C68412">
                  <w:pPr>
                    <w:jc w:val="center"/>
                    <w:rPr>
                      <w:rFonts w:hint="default" w:ascii="宋体" w:hAnsi="宋体" w:cs="宋体"/>
                      <w:color w:val="auto"/>
                      <w:sz w:val="21"/>
                      <w:szCs w:val="21"/>
                      <w:highlight w:val="none"/>
                      <w:vertAlign w:val="baseline"/>
                      <w:lang w:val="en-US" w:eastAsia="zh-CN"/>
                    </w:rPr>
                  </w:pPr>
                  <w:r>
                    <w:rPr>
                      <w:rFonts w:hint="eastAsia" w:cs="Tahoma" w:asciiTheme="minorEastAsia" w:hAnsiTheme="minorEastAsia"/>
                      <w:color w:val="auto"/>
                      <w:kern w:val="2"/>
                      <w:sz w:val="22"/>
                      <w:szCs w:val="22"/>
                      <w:highlight w:val="none"/>
                      <w:lang w:val="en-US" w:eastAsia="zh-CN" w:bidi="ar-SA"/>
                    </w:rPr>
                    <w:t>12</w:t>
                  </w:r>
                </w:p>
              </w:tc>
              <w:tc>
                <w:tcPr>
                  <w:tcW w:w="2177" w:type="dxa"/>
                  <w:vAlign w:val="center"/>
                </w:tcPr>
                <w:p w14:paraId="47073A8C">
                  <w:pPr>
                    <w:jc w:val="center"/>
                    <w:rPr>
                      <w:rFonts w:hint="default" w:ascii="宋体" w:hAnsi="宋体" w:cs="宋体"/>
                      <w:color w:val="auto"/>
                      <w:sz w:val="21"/>
                      <w:szCs w:val="21"/>
                      <w:highlight w:val="none"/>
                      <w:vertAlign w:val="baseline"/>
                      <w:lang w:val="en-US" w:eastAsia="zh-CN"/>
                    </w:rPr>
                  </w:pPr>
                  <w:r>
                    <w:rPr>
                      <w:rFonts w:hint="eastAsia" w:cs="Tahoma" w:asciiTheme="minorEastAsia" w:hAnsiTheme="minorEastAsia" w:eastAsiaTheme="minorEastAsia"/>
                      <w:color w:val="auto"/>
                      <w:sz w:val="22"/>
                      <w:szCs w:val="22"/>
                      <w:highlight w:val="none"/>
                    </w:rPr>
                    <w:t>视频转接线</w:t>
                  </w:r>
                </w:p>
              </w:tc>
              <w:tc>
                <w:tcPr>
                  <w:tcW w:w="2177" w:type="dxa"/>
                  <w:vAlign w:val="center"/>
                </w:tcPr>
                <w:p w14:paraId="057DCF8D">
                  <w:pPr>
                    <w:jc w:val="center"/>
                    <w:rPr>
                      <w:rFonts w:hint="default" w:ascii="宋体" w:hAnsi="宋体" w:cs="宋体"/>
                      <w:color w:val="auto"/>
                      <w:sz w:val="21"/>
                      <w:szCs w:val="21"/>
                      <w:highlight w:val="none"/>
                      <w:vertAlign w:val="baseline"/>
                      <w:lang w:val="en-US" w:eastAsia="zh-CN"/>
                    </w:rPr>
                  </w:pPr>
                  <w:r>
                    <w:rPr>
                      <w:rFonts w:hint="eastAsia" w:cs="Tahoma" w:asciiTheme="minorEastAsia" w:hAnsiTheme="minorEastAsia" w:eastAsiaTheme="minorEastAsia"/>
                      <w:color w:val="auto"/>
                      <w:sz w:val="22"/>
                      <w:szCs w:val="22"/>
                      <w:highlight w:val="none"/>
                    </w:rPr>
                    <w:t>1条</w:t>
                  </w:r>
                </w:p>
              </w:tc>
            </w:tr>
            <w:tr w14:paraId="4F121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vAlign w:val="center"/>
                </w:tcPr>
                <w:p w14:paraId="24E58F10">
                  <w:pPr>
                    <w:jc w:val="center"/>
                    <w:rPr>
                      <w:rFonts w:hint="default" w:ascii="宋体" w:hAnsi="宋体" w:cs="宋体"/>
                      <w:color w:val="auto"/>
                      <w:sz w:val="21"/>
                      <w:szCs w:val="21"/>
                      <w:highlight w:val="none"/>
                      <w:vertAlign w:val="baseline"/>
                      <w:lang w:val="en-US" w:eastAsia="zh-CN"/>
                    </w:rPr>
                  </w:pPr>
                  <w:r>
                    <w:rPr>
                      <w:rFonts w:hint="eastAsia" w:cs="Tahoma" w:asciiTheme="minorEastAsia" w:hAnsiTheme="minorEastAsia"/>
                      <w:color w:val="auto"/>
                      <w:kern w:val="2"/>
                      <w:sz w:val="22"/>
                      <w:szCs w:val="22"/>
                      <w:highlight w:val="none"/>
                      <w:lang w:val="en-US" w:eastAsia="zh-CN" w:bidi="ar-SA"/>
                    </w:rPr>
                    <w:t>13</w:t>
                  </w:r>
                </w:p>
              </w:tc>
              <w:tc>
                <w:tcPr>
                  <w:tcW w:w="2177" w:type="dxa"/>
                  <w:vAlign w:val="center"/>
                </w:tcPr>
                <w:p w14:paraId="12DF0BA0">
                  <w:pPr>
                    <w:jc w:val="center"/>
                    <w:rPr>
                      <w:rFonts w:hint="default" w:ascii="宋体" w:hAnsi="宋体" w:cs="宋体"/>
                      <w:color w:val="auto"/>
                      <w:sz w:val="21"/>
                      <w:szCs w:val="21"/>
                      <w:highlight w:val="none"/>
                      <w:vertAlign w:val="baseline"/>
                      <w:lang w:val="en-US" w:eastAsia="zh-CN"/>
                    </w:rPr>
                  </w:pPr>
                  <w:r>
                    <w:rPr>
                      <w:rFonts w:hint="eastAsia" w:asciiTheme="minorEastAsia" w:hAnsiTheme="minorEastAsia" w:cstheme="minorEastAsia"/>
                      <w:color w:val="auto"/>
                      <w:kern w:val="0"/>
                      <w:sz w:val="21"/>
                      <w:szCs w:val="21"/>
                      <w:highlight w:val="none"/>
                      <w:lang w:val="en-US" w:eastAsia="zh-CN" w:bidi="ar"/>
                    </w:rPr>
                    <w:t>图像处理器（一体式主机）</w:t>
                  </w:r>
                </w:p>
              </w:tc>
              <w:tc>
                <w:tcPr>
                  <w:tcW w:w="2177" w:type="dxa"/>
                  <w:vAlign w:val="center"/>
                </w:tcPr>
                <w:p w14:paraId="1C4965C3">
                  <w:pPr>
                    <w:jc w:val="center"/>
                    <w:rPr>
                      <w:rFonts w:hint="default" w:ascii="宋体" w:hAnsi="宋体" w:cs="宋体"/>
                      <w:color w:val="auto"/>
                      <w:sz w:val="21"/>
                      <w:szCs w:val="21"/>
                      <w:highlight w:val="none"/>
                      <w:vertAlign w:val="baseline"/>
                      <w:lang w:val="en-US" w:eastAsia="zh-CN"/>
                    </w:rPr>
                  </w:pPr>
                  <w:r>
                    <w:rPr>
                      <w:rFonts w:hint="eastAsia" w:cs="Tahoma" w:asciiTheme="minorEastAsia" w:hAnsiTheme="minorEastAsia"/>
                      <w:color w:val="auto"/>
                      <w:sz w:val="22"/>
                      <w:szCs w:val="22"/>
                      <w:highlight w:val="none"/>
                      <w:lang w:val="en-US" w:eastAsia="zh-CN"/>
                    </w:rPr>
                    <w:t>1台</w:t>
                  </w:r>
                </w:p>
              </w:tc>
            </w:tr>
            <w:tr w14:paraId="34B2F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vAlign w:val="center"/>
                </w:tcPr>
                <w:p w14:paraId="4F7E0EB1">
                  <w:pPr>
                    <w:jc w:val="center"/>
                    <w:rPr>
                      <w:rFonts w:hint="default" w:ascii="宋体" w:hAnsi="宋体" w:cs="宋体"/>
                      <w:color w:val="auto"/>
                      <w:sz w:val="21"/>
                      <w:szCs w:val="21"/>
                      <w:highlight w:val="none"/>
                      <w:vertAlign w:val="baseline"/>
                      <w:lang w:val="en-US" w:eastAsia="zh-CN"/>
                    </w:rPr>
                  </w:pPr>
                  <w:r>
                    <w:rPr>
                      <w:rFonts w:hint="eastAsia" w:cs="Tahoma" w:asciiTheme="minorEastAsia" w:hAnsiTheme="minorEastAsia"/>
                      <w:color w:val="auto"/>
                      <w:kern w:val="2"/>
                      <w:sz w:val="22"/>
                      <w:szCs w:val="22"/>
                      <w:highlight w:val="none"/>
                      <w:lang w:val="en-US" w:eastAsia="zh-CN" w:bidi="ar-SA"/>
                    </w:rPr>
                    <w:t>14</w:t>
                  </w:r>
                </w:p>
              </w:tc>
              <w:tc>
                <w:tcPr>
                  <w:tcW w:w="2177" w:type="dxa"/>
                  <w:vAlign w:val="center"/>
                </w:tcPr>
                <w:p w14:paraId="52C053DA">
                  <w:pPr>
                    <w:jc w:val="center"/>
                    <w:rPr>
                      <w:rFonts w:hint="default" w:ascii="宋体" w:hAnsi="宋体" w:cs="宋体"/>
                      <w:color w:val="auto"/>
                      <w:sz w:val="21"/>
                      <w:szCs w:val="21"/>
                      <w:highlight w:val="none"/>
                      <w:vertAlign w:val="baseline"/>
                      <w:lang w:val="en-US" w:eastAsia="zh-CN"/>
                    </w:rPr>
                  </w:pPr>
                  <w:r>
                    <w:rPr>
                      <w:rFonts w:hint="eastAsia" w:cs="Tahoma" w:asciiTheme="minorEastAsia" w:hAnsiTheme="minorEastAsia"/>
                      <w:color w:val="auto"/>
                      <w:sz w:val="22"/>
                      <w:szCs w:val="22"/>
                      <w:highlight w:val="none"/>
                      <w:lang w:val="en-US" w:eastAsia="zh-CN"/>
                    </w:rPr>
                    <w:t>打印机</w:t>
                  </w:r>
                </w:p>
              </w:tc>
              <w:tc>
                <w:tcPr>
                  <w:tcW w:w="2177" w:type="dxa"/>
                  <w:vAlign w:val="center"/>
                </w:tcPr>
                <w:p w14:paraId="3D0F041D">
                  <w:pPr>
                    <w:jc w:val="center"/>
                    <w:rPr>
                      <w:rFonts w:hint="default" w:ascii="宋体" w:hAnsi="宋体" w:cs="宋体"/>
                      <w:color w:val="auto"/>
                      <w:sz w:val="21"/>
                      <w:szCs w:val="21"/>
                      <w:highlight w:val="none"/>
                      <w:vertAlign w:val="baseline"/>
                      <w:lang w:val="en-US" w:eastAsia="zh-CN"/>
                    </w:rPr>
                  </w:pPr>
                  <w:r>
                    <w:rPr>
                      <w:rFonts w:hint="eastAsia" w:cs="Tahoma" w:asciiTheme="minorEastAsia" w:hAnsiTheme="minorEastAsia"/>
                      <w:color w:val="auto"/>
                      <w:sz w:val="22"/>
                      <w:szCs w:val="22"/>
                      <w:highlight w:val="none"/>
                      <w:lang w:val="en-US" w:eastAsia="zh-CN"/>
                    </w:rPr>
                    <w:t>1台</w:t>
                  </w:r>
                </w:p>
              </w:tc>
            </w:tr>
            <w:tr w14:paraId="70715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vAlign w:val="center"/>
                </w:tcPr>
                <w:p w14:paraId="5605E7A8">
                  <w:pPr>
                    <w:jc w:val="center"/>
                    <w:rPr>
                      <w:rFonts w:hint="default" w:ascii="宋体" w:hAnsi="宋体" w:cs="宋体"/>
                      <w:color w:val="auto"/>
                      <w:sz w:val="21"/>
                      <w:szCs w:val="21"/>
                      <w:highlight w:val="none"/>
                      <w:vertAlign w:val="baseline"/>
                      <w:lang w:val="en-US" w:eastAsia="zh-CN"/>
                    </w:rPr>
                  </w:pPr>
                  <w:r>
                    <w:rPr>
                      <w:rFonts w:hint="eastAsia" w:cs="Tahoma" w:asciiTheme="minorEastAsia" w:hAnsiTheme="minorEastAsia"/>
                      <w:color w:val="auto"/>
                      <w:kern w:val="2"/>
                      <w:sz w:val="22"/>
                      <w:szCs w:val="22"/>
                      <w:highlight w:val="none"/>
                      <w:lang w:val="en-US" w:eastAsia="zh-CN" w:bidi="ar-SA"/>
                    </w:rPr>
                    <w:t>15</w:t>
                  </w:r>
                </w:p>
              </w:tc>
              <w:tc>
                <w:tcPr>
                  <w:tcW w:w="2177" w:type="dxa"/>
                  <w:vAlign w:val="center"/>
                </w:tcPr>
                <w:p w14:paraId="072001F5">
                  <w:pPr>
                    <w:jc w:val="center"/>
                    <w:rPr>
                      <w:rFonts w:hint="default" w:ascii="宋体" w:hAnsi="宋体" w:cs="宋体"/>
                      <w:color w:val="auto"/>
                      <w:sz w:val="21"/>
                      <w:szCs w:val="21"/>
                      <w:highlight w:val="none"/>
                      <w:vertAlign w:val="baseline"/>
                      <w:lang w:val="en-US" w:eastAsia="zh-CN"/>
                    </w:rPr>
                  </w:pPr>
                  <w:r>
                    <w:rPr>
                      <w:rFonts w:hint="eastAsia" w:asciiTheme="minorEastAsia" w:hAnsiTheme="minorEastAsia" w:cstheme="minorEastAsia"/>
                      <w:color w:val="auto"/>
                      <w:kern w:val="0"/>
                      <w:sz w:val="21"/>
                      <w:szCs w:val="21"/>
                      <w:highlight w:val="none"/>
                      <w:lang w:val="en-US" w:eastAsia="zh-CN" w:bidi="ar"/>
                    </w:rPr>
                    <w:t>图文管理</w:t>
                  </w:r>
                  <w:r>
                    <w:rPr>
                      <w:rFonts w:hint="eastAsia" w:asciiTheme="minorEastAsia" w:hAnsiTheme="minorEastAsia" w:eastAsiaTheme="minorEastAsia" w:cstheme="minorEastAsia"/>
                      <w:color w:val="auto"/>
                      <w:kern w:val="0"/>
                      <w:sz w:val="21"/>
                      <w:szCs w:val="21"/>
                      <w:highlight w:val="none"/>
                      <w:lang w:val="en-US" w:eastAsia="zh-CN" w:bidi="ar"/>
                    </w:rPr>
                    <w:t>软件</w:t>
                  </w:r>
                </w:p>
              </w:tc>
              <w:tc>
                <w:tcPr>
                  <w:tcW w:w="2177" w:type="dxa"/>
                  <w:vAlign w:val="center"/>
                </w:tcPr>
                <w:p w14:paraId="1F26F85E">
                  <w:pPr>
                    <w:jc w:val="center"/>
                    <w:rPr>
                      <w:rFonts w:hint="default" w:ascii="宋体" w:hAnsi="宋体" w:cs="宋体"/>
                      <w:color w:val="auto"/>
                      <w:sz w:val="21"/>
                      <w:szCs w:val="21"/>
                      <w:highlight w:val="none"/>
                      <w:vertAlign w:val="baseline"/>
                      <w:lang w:val="en-US" w:eastAsia="zh-CN"/>
                    </w:rPr>
                  </w:pPr>
                  <w:r>
                    <w:rPr>
                      <w:rFonts w:hint="eastAsia" w:cs="Tahoma" w:asciiTheme="minorEastAsia" w:hAnsiTheme="minorEastAsia"/>
                      <w:color w:val="auto"/>
                      <w:sz w:val="22"/>
                      <w:szCs w:val="22"/>
                      <w:highlight w:val="none"/>
                      <w:lang w:val="en-US" w:eastAsia="zh-CN"/>
                    </w:rPr>
                    <w:t>1套</w:t>
                  </w:r>
                </w:p>
              </w:tc>
            </w:tr>
            <w:tr w14:paraId="0731C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vAlign w:val="center"/>
                </w:tcPr>
                <w:p w14:paraId="08884B77">
                  <w:pPr>
                    <w:widowControl/>
                    <w:jc w:val="center"/>
                    <w:rPr>
                      <w:rFonts w:hint="default" w:ascii="宋体" w:hAnsi="宋体" w:cs="宋体"/>
                      <w:color w:val="auto"/>
                      <w:sz w:val="21"/>
                      <w:szCs w:val="21"/>
                      <w:highlight w:val="none"/>
                      <w:vertAlign w:val="baseline"/>
                      <w:lang w:val="en-US" w:eastAsia="zh-CN"/>
                    </w:rPr>
                  </w:pPr>
                  <w:r>
                    <w:rPr>
                      <w:rFonts w:hint="eastAsia" w:asciiTheme="minorEastAsia" w:hAnsiTheme="minorEastAsia" w:cstheme="minorEastAsia"/>
                      <w:color w:val="auto"/>
                      <w:sz w:val="21"/>
                      <w:szCs w:val="21"/>
                      <w:highlight w:val="none"/>
                      <w:lang w:val="en-US" w:eastAsia="zh-CN"/>
                    </w:rPr>
                    <w:t>16</w:t>
                  </w:r>
                </w:p>
              </w:tc>
              <w:tc>
                <w:tcPr>
                  <w:tcW w:w="2177" w:type="dxa"/>
                  <w:vAlign w:val="center"/>
                </w:tcPr>
                <w:p w14:paraId="56489392">
                  <w:pPr>
                    <w:widowControl/>
                    <w:jc w:val="center"/>
                    <w:rPr>
                      <w:rFonts w:hint="default" w:ascii="宋体" w:hAnsi="宋体" w:cs="宋体"/>
                      <w:color w:val="auto"/>
                      <w:sz w:val="21"/>
                      <w:szCs w:val="21"/>
                      <w:highlight w:val="none"/>
                      <w:vertAlign w:val="baseline"/>
                      <w:lang w:val="en-US" w:eastAsia="zh-CN"/>
                    </w:rPr>
                  </w:pPr>
                  <w:r>
                    <w:rPr>
                      <w:rFonts w:hint="eastAsia" w:asciiTheme="minorEastAsia" w:hAnsiTheme="minorEastAsia" w:cstheme="minorEastAsia"/>
                      <w:color w:val="auto"/>
                      <w:kern w:val="0"/>
                      <w:sz w:val="21"/>
                      <w:szCs w:val="21"/>
                      <w:highlight w:val="none"/>
                      <w:lang w:val="en-US" w:eastAsia="zh-CN" w:bidi="ar"/>
                    </w:rPr>
                    <w:t>移动</w:t>
                  </w:r>
                  <w:r>
                    <w:rPr>
                      <w:rFonts w:hint="eastAsia" w:asciiTheme="minorEastAsia" w:hAnsiTheme="minorEastAsia" w:eastAsiaTheme="minorEastAsia" w:cstheme="minorEastAsia"/>
                      <w:color w:val="auto"/>
                      <w:kern w:val="0"/>
                      <w:sz w:val="21"/>
                      <w:szCs w:val="21"/>
                      <w:highlight w:val="none"/>
                      <w:lang w:bidi="ar"/>
                    </w:rPr>
                    <w:t>台车</w:t>
                  </w:r>
                </w:p>
              </w:tc>
              <w:tc>
                <w:tcPr>
                  <w:tcW w:w="2177" w:type="dxa"/>
                  <w:vAlign w:val="center"/>
                </w:tcPr>
                <w:p w14:paraId="43265EE5">
                  <w:pPr>
                    <w:widowControl/>
                    <w:jc w:val="center"/>
                    <w:rPr>
                      <w:rFonts w:hint="default" w:ascii="宋体" w:hAnsi="宋体" w:cs="宋体"/>
                      <w:color w:val="auto"/>
                      <w:sz w:val="21"/>
                      <w:szCs w:val="21"/>
                      <w:highlight w:val="none"/>
                      <w:vertAlign w:val="baseline"/>
                      <w:lang w:val="en-US" w:eastAsia="zh-CN"/>
                    </w:rPr>
                  </w:pPr>
                  <w:r>
                    <w:rPr>
                      <w:rStyle w:val="142"/>
                      <w:rFonts w:hint="eastAsia" w:asciiTheme="minorEastAsia" w:hAnsiTheme="minorEastAsia" w:eastAsiaTheme="minorEastAsia" w:cstheme="minorEastAsia"/>
                      <w:color w:val="auto"/>
                      <w:sz w:val="21"/>
                      <w:szCs w:val="21"/>
                      <w:highlight w:val="none"/>
                      <w:lang w:bidi="ar"/>
                    </w:rPr>
                    <w:t>1</w:t>
                  </w:r>
                  <w:r>
                    <w:rPr>
                      <w:rStyle w:val="142"/>
                      <w:rFonts w:hint="eastAsia" w:asciiTheme="minorEastAsia" w:hAnsiTheme="minorEastAsia" w:cstheme="minorEastAsia"/>
                      <w:color w:val="auto"/>
                      <w:sz w:val="21"/>
                      <w:szCs w:val="21"/>
                      <w:highlight w:val="none"/>
                      <w:lang w:val="en-US" w:eastAsia="zh-CN" w:bidi="ar"/>
                    </w:rPr>
                    <w:t>台</w:t>
                  </w:r>
                </w:p>
              </w:tc>
            </w:tr>
          </w:tbl>
          <w:p w14:paraId="25E59424">
            <w:pPr>
              <w:pStyle w:val="130"/>
              <w:numPr>
                <w:ilvl w:val="1"/>
                <w:numId w:val="0"/>
              </w:numPr>
              <w:spacing w:line="300" w:lineRule="exact"/>
              <w:jc w:val="left"/>
              <w:rPr>
                <w:rFonts w:hint="default" w:ascii="宋体" w:hAnsi="宋体" w:cs="宋体"/>
                <w:color w:val="auto"/>
                <w:sz w:val="21"/>
                <w:szCs w:val="21"/>
                <w:highlight w:val="none"/>
                <w:lang w:val="en-US" w:eastAsia="zh-CN"/>
              </w:rPr>
            </w:pPr>
          </w:p>
        </w:tc>
        <w:tc>
          <w:tcPr>
            <w:tcW w:w="636" w:type="dxa"/>
            <w:tcBorders>
              <w:top w:val="single" w:color="000000" w:sz="4" w:space="0"/>
              <w:left w:val="single" w:color="000000" w:sz="4" w:space="0"/>
              <w:bottom w:val="single" w:color="000000" w:sz="4" w:space="0"/>
              <w:right w:val="single" w:color="000000" w:sz="4" w:space="0"/>
            </w:tcBorders>
            <w:vAlign w:val="center"/>
          </w:tcPr>
          <w:p w14:paraId="3A8BD064">
            <w:pPr>
              <w:widowControl/>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套</w:t>
            </w:r>
          </w:p>
        </w:tc>
        <w:tc>
          <w:tcPr>
            <w:tcW w:w="427" w:type="dxa"/>
            <w:tcBorders>
              <w:top w:val="single" w:color="000000" w:sz="4" w:space="0"/>
              <w:left w:val="single" w:color="000000" w:sz="4" w:space="0"/>
              <w:bottom w:val="single" w:color="000000" w:sz="4" w:space="0"/>
              <w:right w:val="single" w:color="000000" w:sz="4" w:space="0"/>
            </w:tcBorders>
            <w:vAlign w:val="center"/>
          </w:tcPr>
          <w:p w14:paraId="67F6EE17">
            <w:pPr>
              <w:widowControl/>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r>
    </w:tbl>
    <w:p w14:paraId="3FEFD6EC">
      <w:pPr>
        <w:spacing w:line="560" w:lineRule="exact"/>
        <w:jc w:val="left"/>
        <w:rPr>
          <w:rFonts w:hint="eastAsia"/>
          <w:b/>
          <w:color w:val="auto"/>
          <w:sz w:val="24"/>
          <w:highlight w:val="none"/>
        </w:rPr>
      </w:pPr>
    </w:p>
    <w:p w14:paraId="3BC4C905">
      <w:pPr>
        <w:spacing w:line="560" w:lineRule="exact"/>
        <w:jc w:val="left"/>
        <w:rPr>
          <w:rFonts w:hint="eastAsia"/>
          <w:b/>
          <w:color w:val="auto"/>
          <w:sz w:val="24"/>
          <w:highlight w:val="none"/>
        </w:rPr>
      </w:pPr>
    </w:p>
    <w:p w14:paraId="507AC53C">
      <w:pPr>
        <w:spacing w:line="560" w:lineRule="exact"/>
        <w:jc w:val="left"/>
        <w:rPr>
          <w:rFonts w:hint="eastAsia"/>
          <w:b/>
          <w:color w:val="auto"/>
          <w:sz w:val="24"/>
          <w:highlight w:val="none"/>
        </w:rPr>
      </w:pPr>
    </w:p>
    <w:p w14:paraId="0DF7B404">
      <w:pPr>
        <w:spacing w:line="560" w:lineRule="exact"/>
        <w:jc w:val="left"/>
        <w:rPr>
          <w:rFonts w:hint="eastAsia"/>
          <w:b/>
          <w:color w:val="auto"/>
          <w:sz w:val="24"/>
          <w:highlight w:val="none"/>
        </w:rPr>
      </w:pPr>
    </w:p>
    <w:p w14:paraId="4CAFFCA8">
      <w:pPr>
        <w:spacing w:line="560" w:lineRule="exact"/>
        <w:jc w:val="left"/>
        <w:rPr>
          <w:rFonts w:hint="eastAsia"/>
          <w:b/>
          <w:color w:val="auto"/>
          <w:sz w:val="24"/>
          <w:highlight w:val="none"/>
        </w:rPr>
      </w:pPr>
    </w:p>
    <w:p w14:paraId="21C77E21">
      <w:pPr>
        <w:spacing w:line="560" w:lineRule="exact"/>
        <w:jc w:val="left"/>
        <w:rPr>
          <w:rFonts w:hint="eastAsia"/>
          <w:b/>
          <w:color w:val="auto"/>
          <w:sz w:val="24"/>
          <w:highlight w:val="none"/>
        </w:rPr>
      </w:pPr>
    </w:p>
    <w:p w14:paraId="66428DF7">
      <w:pPr>
        <w:spacing w:line="560" w:lineRule="exact"/>
        <w:jc w:val="left"/>
        <w:rPr>
          <w:rFonts w:hint="eastAsia"/>
          <w:b/>
          <w:color w:val="auto"/>
          <w:sz w:val="24"/>
          <w:highlight w:val="none"/>
        </w:rPr>
      </w:pPr>
    </w:p>
    <w:p w14:paraId="05A4B5A6">
      <w:pPr>
        <w:spacing w:line="560" w:lineRule="exact"/>
        <w:jc w:val="left"/>
        <w:rPr>
          <w:rFonts w:hint="eastAsia"/>
          <w:b/>
          <w:color w:val="auto"/>
          <w:sz w:val="24"/>
          <w:highlight w:val="none"/>
        </w:rPr>
      </w:pPr>
    </w:p>
    <w:p w14:paraId="44AE569B">
      <w:pPr>
        <w:spacing w:line="560" w:lineRule="exact"/>
        <w:jc w:val="left"/>
        <w:rPr>
          <w:rFonts w:hint="eastAsia"/>
          <w:b/>
          <w:color w:val="auto"/>
          <w:sz w:val="24"/>
          <w:highlight w:val="none"/>
        </w:rPr>
      </w:pPr>
    </w:p>
    <w:p w14:paraId="67BC1317">
      <w:pPr>
        <w:spacing w:line="560" w:lineRule="exact"/>
        <w:jc w:val="left"/>
        <w:rPr>
          <w:rFonts w:hint="eastAsia"/>
          <w:b/>
          <w:color w:val="auto"/>
          <w:sz w:val="24"/>
          <w:highlight w:val="none"/>
        </w:rPr>
      </w:pPr>
    </w:p>
    <w:p w14:paraId="6D2D228C">
      <w:pPr>
        <w:spacing w:line="560" w:lineRule="exact"/>
        <w:jc w:val="left"/>
        <w:rPr>
          <w:rFonts w:hint="eastAsia"/>
          <w:b/>
          <w:color w:val="auto"/>
          <w:sz w:val="24"/>
          <w:highlight w:val="none"/>
        </w:rPr>
      </w:pPr>
    </w:p>
    <w:p w14:paraId="56DD1FA3">
      <w:pPr>
        <w:spacing w:line="560" w:lineRule="exact"/>
        <w:jc w:val="left"/>
        <w:rPr>
          <w:rFonts w:hint="eastAsia"/>
          <w:b/>
          <w:color w:val="auto"/>
          <w:sz w:val="24"/>
          <w:highlight w:val="none"/>
        </w:rPr>
      </w:pPr>
    </w:p>
    <w:p w14:paraId="57EBAF9C">
      <w:pPr>
        <w:spacing w:line="560" w:lineRule="exact"/>
        <w:jc w:val="left"/>
        <w:rPr>
          <w:rFonts w:hint="eastAsia"/>
          <w:b/>
          <w:color w:val="auto"/>
          <w:sz w:val="24"/>
          <w:highlight w:val="none"/>
        </w:rPr>
      </w:pPr>
    </w:p>
    <w:p w14:paraId="3A28BAE6">
      <w:pPr>
        <w:spacing w:line="560" w:lineRule="exact"/>
        <w:jc w:val="left"/>
        <w:rPr>
          <w:rFonts w:hint="eastAsia"/>
          <w:b/>
          <w:color w:val="auto"/>
          <w:sz w:val="24"/>
          <w:highlight w:val="none"/>
        </w:rPr>
      </w:pPr>
    </w:p>
    <w:p w14:paraId="4A74554E">
      <w:pPr>
        <w:spacing w:line="560" w:lineRule="exact"/>
        <w:jc w:val="left"/>
        <w:rPr>
          <w:rFonts w:hint="eastAsia"/>
          <w:b/>
          <w:color w:val="auto"/>
          <w:sz w:val="24"/>
          <w:highlight w:val="none"/>
        </w:rPr>
      </w:pPr>
    </w:p>
    <w:p w14:paraId="594B30D6">
      <w:pPr>
        <w:spacing w:line="560" w:lineRule="exact"/>
        <w:jc w:val="left"/>
        <w:rPr>
          <w:rFonts w:hint="eastAsia"/>
          <w:b/>
          <w:color w:val="auto"/>
          <w:sz w:val="24"/>
          <w:highlight w:val="none"/>
        </w:rPr>
      </w:pPr>
    </w:p>
    <w:p w14:paraId="6177E8E3">
      <w:pPr>
        <w:spacing w:line="560" w:lineRule="exact"/>
        <w:jc w:val="left"/>
        <w:rPr>
          <w:rFonts w:hint="eastAsia"/>
          <w:b/>
          <w:color w:val="auto"/>
          <w:sz w:val="24"/>
          <w:highlight w:val="none"/>
        </w:rPr>
      </w:pPr>
    </w:p>
    <w:p w14:paraId="1873C88A">
      <w:pPr>
        <w:spacing w:line="560" w:lineRule="exact"/>
        <w:jc w:val="left"/>
        <w:rPr>
          <w:rFonts w:hint="eastAsia"/>
          <w:b/>
          <w:color w:val="auto"/>
          <w:sz w:val="24"/>
          <w:highlight w:val="none"/>
        </w:rPr>
      </w:pPr>
    </w:p>
    <w:p w14:paraId="2E09E081">
      <w:pPr>
        <w:spacing w:line="560" w:lineRule="exact"/>
        <w:jc w:val="left"/>
        <w:rPr>
          <w:rFonts w:hint="eastAsia"/>
          <w:b/>
          <w:color w:val="auto"/>
          <w:sz w:val="24"/>
          <w:highlight w:val="none"/>
        </w:rPr>
      </w:pPr>
    </w:p>
    <w:p w14:paraId="49D5DA8A">
      <w:pPr>
        <w:spacing w:line="560" w:lineRule="exact"/>
        <w:jc w:val="left"/>
        <w:rPr>
          <w:rFonts w:hint="eastAsia"/>
          <w:b/>
          <w:color w:val="auto"/>
          <w:sz w:val="24"/>
          <w:highlight w:val="none"/>
        </w:rPr>
      </w:pPr>
    </w:p>
    <w:p w14:paraId="2EB9ED3E">
      <w:pPr>
        <w:spacing w:line="560" w:lineRule="exact"/>
        <w:jc w:val="left"/>
        <w:rPr>
          <w:rFonts w:hint="eastAsia"/>
          <w:b/>
          <w:color w:val="auto"/>
          <w:sz w:val="24"/>
          <w:highlight w:val="none"/>
        </w:rPr>
      </w:pPr>
    </w:p>
    <w:p w14:paraId="6022874F">
      <w:pPr>
        <w:spacing w:line="560" w:lineRule="exact"/>
        <w:jc w:val="left"/>
        <w:rPr>
          <w:rFonts w:hint="eastAsia"/>
          <w:b/>
          <w:color w:val="auto"/>
          <w:sz w:val="24"/>
          <w:highlight w:val="none"/>
        </w:rPr>
      </w:pPr>
    </w:p>
    <w:p w14:paraId="5AA8BCF9">
      <w:pPr>
        <w:spacing w:line="560" w:lineRule="exact"/>
        <w:jc w:val="left"/>
        <w:rPr>
          <w:rFonts w:hint="eastAsia" w:ascii="宋体" w:hAnsi="宋体" w:cs="宋体"/>
          <w:b/>
          <w:bCs/>
          <w:color w:val="auto"/>
          <w:szCs w:val="21"/>
          <w:highlight w:val="none"/>
        </w:rPr>
      </w:pPr>
      <w:r>
        <w:rPr>
          <w:rFonts w:hint="eastAsia"/>
          <w:b/>
          <w:color w:val="auto"/>
          <w:sz w:val="24"/>
          <w:highlight w:val="none"/>
        </w:rPr>
        <w:t>标项</w:t>
      </w:r>
      <w:r>
        <w:rPr>
          <w:rFonts w:hint="eastAsia"/>
          <w:b/>
          <w:color w:val="auto"/>
          <w:sz w:val="24"/>
          <w:highlight w:val="none"/>
          <w:lang w:eastAsia="zh-CN"/>
        </w:rPr>
        <w:t>四</w:t>
      </w:r>
      <w:r>
        <w:rPr>
          <w:rFonts w:hint="eastAsia" w:ascii="宋体" w:hAnsi="宋体" w:cs="宋体"/>
          <w:b/>
          <w:bCs/>
          <w:color w:val="auto"/>
          <w:szCs w:val="21"/>
          <w:highlight w:val="none"/>
        </w:rPr>
        <w:t>技术参数表：</w:t>
      </w:r>
    </w:p>
    <w:tbl>
      <w:tblPr>
        <w:tblStyle w:val="49"/>
        <w:tblW w:w="9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435"/>
        <w:gridCol w:w="7560"/>
        <w:gridCol w:w="405"/>
        <w:gridCol w:w="450"/>
      </w:tblGrid>
      <w:tr w14:paraId="6FF07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522" w:type="dxa"/>
            <w:vAlign w:val="center"/>
          </w:tcPr>
          <w:p w14:paraId="02C9BF5C">
            <w:pPr>
              <w:widowControl/>
              <w:spacing w:line="240" w:lineRule="auto"/>
              <w:jc w:val="center"/>
              <w:textAlignment w:val="center"/>
              <w:rPr>
                <w:rFonts w:hint="eastAsia" w:ascii="宋体" w:hAnsi="宋体" w:cs="宋体"/>
                <w:b/>
                <w:bCs/>
                <w:color w:val="auto"/>
                <w:sz w:val="21"/>
                <w:szCs w:val="21"/>
                <w:highlight w:val="none"/>
                <w:vertAlign w:val="baseline"/>
              </w:rPr>
            </w:pPr>
            <w:r>
              <w:rPr>
                <w:rFonts w:hint="eastAsia" w:ascii="宋体" w:hAnsi="宋体" w:eastAsia="宋体" w:cs="宋体"/>
                <w:b/>
                <w:bCs/>
                <w:color w:val="auto"/>
                <w:kern w:val="0"/>
                <w:sz w:val="21"/>
                <w:szCs w:val="21"/>
                <w:highlight w:val="none"/>
              </w:rPr>
              <w:t>序号</w:t>
            </w:r>
          </w:p>
        </w:tc>
        <w:tc>
          <w:tcPr>
            <w:tcW w:w="435" w:type="dxa"/>
            <w:vAlign w:val="center"/>
          </w:tcPr>
          <w:p w14:paraId="2D55728D">
            <w:pPr>
              <w:widowControl/>
              <w:spacing w:line="240" w:lineRule="auto"/>
              <w:jc w:val="center"/>
              <w:textAlignment w:val="center"/>
              <w:rPr>
                <w:rFonts w:hint="eastAsia" w:ascii="宋体" w:hAnsi="宋体" w:cs="宋体"/>
                <w:b/>
                <w:bCs/>
                <w:color w:val="auto"/>
                <w:sz w:val="21"/>
                <w:szCs w:val="21"/>
                <w:highlight w:val="none"/>
                <w:vertAlign w:val="baseline"/>
              </w:rPr>
            </w:pPr>
            <w:r>
              <w:rPr>
                <w:rFonts w:hint="eastAsia" w:ascii="宋体" w:hAnsi="宋体" w:eastAsia="宋体" w:cs="宋体"/>
                <w:b/>
                <w:bCs/>
                <w:color w:val="auto"/>
                <w:kern w:val="0"/>
                <w:sz w:val="21"/>
                <w:szCs w:val="21"/>
                <w:highlight w:val="none"/>
              </w:rPr>
              <w:t>设备名称</w:t>
            </w:r>
          </w:p>
        </w:tc>
        <w:tc>
          <w:tcPr>
            <w:tcW w:w="7560" w:type="dxa"/>
            <w:vAlign w:val="center"/>
          </w:tcPr>
          <w:p w14:paraId="63BF658E">
            <w:pPr>
              <w:widowControl/>
              <w:spacing w:line="240" w:lineRule="auto"/>
              <w:jc w:val="center"/>
              <w:textAlignment w:val="center"/>
              <w:rPr>
                <w:rFonts w:hint="eastAsia" w:ascii="宋体" w:hAnsi="宋体" w:cs="宋体"/>
                <w:b/>
                <w:bCs/>
                <w:color w:val="auto"/>
                <w:sz w:val="21"/>
                <w:szCs w:val="21"/>
                <w:highlight w:val="none"/>
                <w:vertAlign w:val="baseline"/>
              </w:rPr>
            </w:pPr>
            <w:r>
              <w:rPr>
                <w:rFonts w:hint="eastAsia" w:ascii="宋体" w:hAnsi="宋体" w:eastAsia="宋体" w:cs="宋体"/>
                <w:b/>
                <w:bCs/>
                <w:color w:val="auto"/>
                <w:kern w:val="0"/>
                <w:sz w:val="21"/>
                <w:szCs w:val="21"/>
                <w:highlight w:val="none"/>
              </w:rPr>
              <w:t>主要性能指标</w:t>
            </w:r>
          </w:p>
        </w:tc>
        <w:tc>
          <w:tcPr>
            <w:tcW w:w="405" w:type="dxa"/>
            <w:vAlign w:val="center"/>
          </w:tcPr>
          <w:p w14:paraId="0A6FD0F4">
            <w:pPr>
              <w:widowControl/>
              <w:spacing w:line="240" w:lineRule="auto"/>
              <w:jc w:val="center"/>
              <w:textAlignment w:val="center"/>
              <w:rPr>
                <w:rFonts w:hint="eastAsia" w:ascii="宋体" w:hAnsi="宋体" w:cs="宋体"/>
                <w:b/>
                <w:bCs/>
                <w:color w:val="auto"/>
                <w:sz w:val="21"/>
                <w:szCs w:val="21"/>
                <w:highlight w:val="none"/>
                <w:vertAlign w:val="baseline"/>
              </w:rPr>
            </w:pPr>
            <w:r>
              <w:rPr>
                <w:rFonts w:hint="eastAsia" w:ascii="宋体" w:hAnsi="宋体" w:eastAsia="宋体" w:cs="宋体"/>
                <w:b/>
                <w:bCs/>
                <w:color w:val="auto"/>
                <w:kern w:val="0"/>
                <w:sz w:val="21"/>
                <w:szCs w:val="21"/>
                <w:highlight w:val="none"/>
              </w:rPr>
              <w:t>单位</w:t>
            </w:r>
          </w:p>
        </w:tc>
        <w:tc>
          <w:tcPr>
            <w:tcW w:w="450" w:type="dxa"/>
            <w:vAlign w:val="center"/>
          </w:tcPr>
          <w:p w14:paraId="046FAEAA">
            <w:pPr>
              <w:widowControl/>
              <w:spacing w:line="240" w:lineRule="auto"/>
              <w:jc w:val="center"/>
              <w:textAlignment w:val="center"/>
              <w:rPr>
                <w:rFonts w:hint="eastAsia" w:ascii="宋体" w:hAnsi="宋体" w:cs="宋体"/>
                <w:b/>
                <w:bCs/>
                <w:color w:val="auto"/>
                <w:sz w:val="21"/>
                <w:szCs w:val="21"/>
                <w:highlight w:val="none"/>
                <w:vertAlign w:val="baseline"/>
              </w:rPr>
            </w:pPr>
            <w:r>
              <w:rPr>
                <w:rFonts w:hint="eastAsia" w:ascii="宋体" w:hAnsi="宋体" w:eastAsia="宋体" w:cs="宋体"/>
                <w:b/>
                <w:bCs/>
                <w:color w:val="auto"/>
                <w:kern w:val="0"/>
                <w:sz w:val="21"/>
                <w:szCs w:val="21"/>
                <w:highlight w:val="none"/>
              </w:rPr>
              <w:t>数量</w:t>
            </w:r>
          </w:p>
        </w:tc>
      </w:tr>
      <w:tr w14:paraId="67364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14:paraId="2F0842C6">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c>
          <w:tcPr>
            <w:tcW w:w="435" w:type="dxa"/>
            <w:vAlign w:val="center"/>
          </w:tcPr>
          <w:p w14:paraId="2E8FC246">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经颅多普勒超声诊断仪</w:t>
            </w:r>
          </w:p>
        </w:tc>
        <w:tc>
          <w:tcPr>
            <w:tcW w:w="7560" w:type="dxa"/>
          </w:tcPr>
          <w:p w14:paraId="5AEDF119">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临床功能：支持颅内外血管常规检测、栓子监测及长程监护等功能。</w:t>
            </w:r>
          </w:p>
          <w:p w14:paraId="740EC41A">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1.主要技术规格及系统参数</w:t>
            </w:r>
          </w:p>
          <w:p w14:paraId="5A60DAFD">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 频谱分辨率：128点、256点、512点、1024点；</w:t>
            </w:r>
          </w:p>
          <w:p w14:paraId="67B9E695">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 流速测量范围</w:t>
            </w:r>
            <w:r>
              <w:rPr>
                <w:rFonts w:hint="eastAsia" w:ascii="宋体" w:hAnsi="宋体" w:eastAsia="宋体" w:cs="宋体"/>
                <w:color w:val="auto"/>
                <w:kern w:val="2"/>
                <w:sz w:val="21"/>
                <w:szCs w:val="21"/>
                <w:highlight w:val="none"/>
                <w:lang w:val="en-US" w:eastAsia="zh-CN" w:bidi="ar-SA"/>
              </w:rPr>
              <w:tab/>
            </w:r>
            <w:r>
              <w:rPr>
                <w:rFonts w:hint="eastAsia" w:ascii="宋体" w:hAnsi="宋体" w:eastAsia="宋体" w:cs="宋体"/>
                <w:color w:val="auto"/>
                <w:kern w:val="2"/>
                <w:sz w:val="21"/>
                <w:szCs w:val="21"/>
                <w:highlight w:val="none"/>
                <w:lang w:val="en-US" w:eastAsia="zh-CN" w:bidi="ar-SA"/>
              </w:rPr>
              <w:t>：</w:t>
            </w:r>
          </w:p>
          <w:p w14:paraId="1982A02D">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a)脉冲波（PW）模式：</w:t>
            </w:r>
          </w:p>
          <w:p w14:paraId="15A60365">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当超声工作频率为1.0MHz时，50mm深处时，6mm取样容积，流速测量范围不窄于20cm/s—1000cm/s；</w:t>
            </w:r>
          </w:p>
          <w:p w14:paraId="4F16BD99">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当超声工作频率为1.6MHz时，50mm深处时，6mm取样容积，流速测量范围不窄于20cm/s—625cm/s；</w:t>
            </w:r>
          </w:p>
          <w:p w14:paraId="408BBB5E">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当超声工作频率为2.0MHz时，50mm深处时，6mm取样容积，流速测量范围不窄于20cm/s—500cm/s；</w:t>
            </w:r>
          </w:p>
          <w:p w14:paraId="78A7A4E8">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b)连续波（CW）模式：</w:t>
            </w:r>
          </w:p>
          <w:p w14:paraId="3288FD51">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当超声工作频率为4.0MHz时，流速测量范围不窄于10cm/s～400cm/s；</w:t>
            </w:r>
          </w:p>
          <w:p w14:paraId="01D66719">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当超声工作频率为8.0MHz时，流速测量范围不窄于10cm/s～400cm/s；</w:t>
            </w:r>
          </w:p>
          <w:p w14:paraId="6CDB9AC3">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 取样容积：1-20 mm连续可调；</w:t>
            </w:r>
          </w:p>
          <w:p w14:paraId="4E5AB2BC">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1.4 探测深度范围:最小工作距离≤15mm，最大工作距离≥140mm；</w:t>
            </w:r>
          </w:p>
          <w:p w14:paraId="571DCE0B">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 增益范围：1～60dB可调，并可自动调整；</w:t>
            </w:r>
          </w:p>
          <w:p w14:paraId="2517B63F">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color w:val="auto"/>
                <w:kern w:val="2"/>
                <w:sz w:val="21"/>
                <w:szCs w:val="21"/>
                <w:highlight w:val="none"/>
                <w:lang w:val="en-US" w:eastAsia="zh-CN" w:bidi="ar-SA"/>
              </w:rPr>
              <w:t>1.6 动态范围:1-40 dB；</w:t>
            </w:r>
          </w:p>
          <w:p w14:paraId="2AA3BE30">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1.7 功率范围:0-100 %,在保持高灵敏度和高穿透力的基础上，功率范围在0-182mw之间；</w:t>
            </w:r>
          </w:p>
          <w:p w14:paraId="5430679F">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1.8 多普勒角度补偿功能： 0～89°，补偿超声波与血管夹角造成的血流速度降低，真实反映血流流速；</w:t>
            </w:r>
          </w:p>
          <w:p w14:paraId="4E2BCB63">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1.9 滤波调节范围:0-800Hz（13档）</w:t>
            </w:r>
          </w:p>
          <w:p w14:paraId="27779958">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1.10 扫描时间: 2.6s、3.1s、3.9s、5.2s、7.8s（5档）</w:t>
            </w:r>
          </w:p>
          <w:p w14:paraId="1B1B3391">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1.11 谱图色条:≥6种，操作界面可调节</w:t>
            </w:r>
          </w:p>
          <w:p w14:paraId="20F3A97B">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1.12 M波色条:≥6种，操作界面可调节</w:t>
            </w:r>
            <w:r>
              <w:rPr>
                <w:rFonts w:hint="eastAsia" w:ascii="宋体" w:hAnsi="宋体" w:eastAsia="宋体" w:cs="宋体"/>
                <w:color w:val="auto"/>
                <w:kern w:val="2"/>
                <w:sz w:val="21"/>
                <w:szCs w:val="21"/>
                <w:highlight w:val="none"/>
                <w:lang w:val="en-US" w:eastAsia="zh-CN" w:bidi="ar-SA"/>
              </w:rPr>
              <w:tab/>
            </w:r>
          </w:p>
          <w:p w14:paraId="4381B29D">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color w:val="auto"/>
                <w:kern w:val="2"/>
                <w:sz w:val="21"/>
                <w:szCs w:val="21"/>
                <w:highlight w:val="none"/>
                <w:lang w:val="en-US" w:eastAsia="zh-CN" w:bidi="ar-SA"/>
              </w:rPr>
              <w:t>1.13 支持探头类型:1MHz、1.6MHz、2MHz、4MHz、8MHz。</w:t>
            </w:r>
          </w:p>
          <w:p w14:paraId="75EF8FDD">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2.软件功能</w:t>
            </w:r>
          </w:p>
          <w:p w14:paraId="2F11335A">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 检查参数：Vs、Vd、Vm、PI、RI、S/D、HR、a、DFI（脑死亡指数）、SBI（频宽指数）、STI（狭窄指数）、HITS（短暂高强度信号）、TI（热指数）、lindegaard（血管痉挛指数）；</w:t>
            </w:r>
          </w:p>
          <w:p w14:paraId="63BC6F75">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2.2 同时工作通道数：2个;</w:t>
            </w:r>
          </w:p>
          <w:p w14:paraId="0456F532">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2.3 常规检测模式下， 单个探头能够支持同步显示的多普勒频谱图≥9个，同时多深度间隔可设置；</w:t>
            </w:r>
          </w:p>
          <w:p w14:paraId="376CA6C1">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2.4 多深度动态M波功能:可视取样容积宽度、深度，全深度内血流的流向、强度、深度信息同时显示；</w:t>
            </w:r>
          </w:p>
          <w:p w14:paraId="0A1EF01C">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2.5 双线M波功能：双通双深模式下，M波上可显示双深度界面频谱取样线，可联动调节，也可单独调节；</w:t>
            </w:r>
          </w:p>
          <w:p w14:paraId="3F9A35B2">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2.6 异常血流提醒功能：常规检查中参数Vs、Vm、Vd、PI、RI、S/D 通过与内置（专家）各年龄组、两性别的正常参考值比较，超出和低于正常值范围时，软件有颜色提醒功能，方便操作者结合临床能更准确的分析诊断；</w:t>
            </w:r>
          </w:p>
          <w:p w14:paraId="4FFB71C3">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2.7 检测技术：具备辅助规范化检测动脉功能，图像化显示至少41支血管的多维度参考依据（解剖位置、深度范围、探头角度、血管阻力、血流方向、谱图实例等）；</w:t>
            </w:r>
          </w:p>
          <w:p w14:paraId="12434315">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color w:val="auto"/>
                <w:kern w:val="2"/>
                <w:sz w:val="21"/>
                <w:szCs w:val="21"/>
                <w:highlight w:val="none"/>
                <w:lang w:val="en-US" w:eastAsia="zh-CN" w:bidi="ar-SA"/>
              </w:rPr>
              <w:t>2.8 分析诊断：具备辅助诊断模式、图像化，文字化实时提供诊断建议，并辅助引导进一步血管检查路径，辅助诊断建议需符合《经颅多普勒超声操作标准》及《中国脑血管超声临床应用指南》；</w:t>
            </w:r>
          </w:p>
          <w:p w14:paraId="4744E814">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color w:val="auto"/>
                <w:kern w:val="2"/>
                <w:sz w:val="21"/>
                <w:szCs w:val="21"/>
                <w:highlight w:val="none"/>
                <w:lang w:val="en-US" w:eastAsia="zh-CN" w:bidi="ar-SA"/>
              </w:rPr>
              <w:t>2.9 一键优化：深度、标尺、增益、基线、降噪一键控制，快速获得理想频谱；</w:t>
            </w:r>
          </w:p>
          <w:p w14:paraId="04C4F116">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2.10 微栓子监测：</w:t>
            </w:r>
          </w:p>
          <w:p w14:paraId="577248BC">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（1）栓子/伪迹自动识别、栓子自动统计；</w:t>
            </w:r>
          </w:p>
          <w:p w14:paraId="0EB025A7">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（2）具备栓子图、声谱图、统计直方图等；</w:t>
            </w:r>
          </w:p>
          <w:p w14:paraId="0E186295">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（3）可缩放/测量纺锤波，可手动添加栓子事件；</w:t>
            </w:r>
          </w:p>
          <w:p w14:paraId="3862E80A">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（4）TCD报告能够显示栓子图、声谱图、直方图；</w:t>
            </w:r>
          </w:p>
          <w:p w14:paraId="65CBAE4D">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2.11 长程监护：</w:t>
            </w:r>
          </w:p>
          <w:p w14:paraId="5BED6AD2">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（1）全程至少六种参数进行趋势监护；</w:t>
            </w:r>
          </w:p>
          <w:p w14:paraId="18266D0E">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（2）测量方式：H测量、两点测量、单线测量；</w:t>
            </w:r>
          </w:p>
          <w:p w14:paraId="6A83656C">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（3）可进行事件持续时间描记；</w:t>
            </w:r>
          </w:p>
          <w:p w14:paraId="56B5BFE5">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（4）趋势线快速拖拽、缩放（时间缩放、幅度缩放）；</w:t>
            </w:r>
          </w:p>
          <w:p w14:paraId="61E03EC5">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（5）TCD报告显示监护曲线和监护图谱；</w:t>
            </w:r>
          </w:p>
          <w:p w14:paraId="31357121">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color w:val="auto"/>
                <w:kern w:val="2"/>
                <w:sz w:val="21"/>
                <w:szCs w:val="21"/>
                <w:highlight w:val="none"/>
                <w:lang w:val="en-US" w:eastAsia="zh-CN" w:bidi="ar-SA"/>
              </w:rPr>
              <w:t>2.12 参数自动报警功能：可设定预警的阈值，术中避免高灌注、低灌注的发生；</w:t>
            </w:r>
          </w:p>
          <w:p w14:paraId="3D0EEF3B">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2.13 支持自定义检测血管参数，自定义检测流程；</w:t>
            </w:r>
          </w:p>
          <w:p w14:paraId="06B16BE7">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color w:val="auto"/>
                <w:kern w:val="2"/>
                <w:sz w:val="21"/>
                <w:szCs w:val="21"/>
                <w:highlight w:val="none"/>
                <w:lang w:val="en-US" w:eastAsia="zh-CN" w:bidi="ar-SA"/>
              </w:rPr>
              <w:t>2.14 配备无线遥控器：可远距离无线操控，同时遥控器具有自定义按键功能；</w:t>
            </w:r>
          </w:p>
          <w:p w14:paraId="4F50B9BB">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2.15 离线数据分析功能：可在检查结束后再对数据进行计算、测量、出报告</w:t>
            </w:r>
          </w:p>
          <w:p w14:paraId="6AA92B31">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2.16 报告单功能：多种模板选择、模板自定义、报告单另存为图片/PDF文件、血管批量导入报告单、词条可编辑导入或导出、快速出报告单（从检查页面直接出报告单）、从病案界面直接出报告单；</w:t>
            </w:r>
          </w:p>
          <w:p w14:paraId="6B0617BB">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2.17 参数双向自动计算，并支持手动测量保存数据。</w:t>
            </w:r>
          </w:p>
          <w:p w14:paraId="28BFAD7B">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3.数据管理</w:t>
            </w:r>
          </w:p>
          <w:p w14:paraId="0A56A3AA">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3.1 数据导入及导出：检查条件、功能设置、病案可导入及导出；</w:t>
            </w:r>
          </w:p>
          <w:p w14:paraId="0013E6BB">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3.2 数据检索：可以根据TCD号、病案号、姓名等任意参数快速检索出病例；</w:t>
            </w:r>
          </w:p>
          <w:p w14:paraId="11579497">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3.3 联网及统计：数据分类统计、网络数据库读写。</w:t>
            </w:r>
          </w:p>
          <w:p w14:paraId="5CB5A892">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4.探头配置</w:t>
            </w:r>
          </w:p>
          <w:p w14:paraId="385B8269">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color w:val="auto"/>
                <w:kern w:val="2"/>
                <w:sz w:val="21"/>
                <w:szCs w:val="21"/>
                <w:highlight w:val="none"/>
                <w:lang w:val="en-US" w:eastAsia="zh-CN" w:bidi="ar-SA"/>
              </w:rPr>
              <w:t>4.1 探头要求：</w:t>
            </w:r>
          </w:p>
          <w:p w14:paraId="0EB54644">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PW 1.6M探头1个，PW 2M 探头一个，</w:t>
            </w:r>
          </w:p>
          <w:p w14:paraId="275BFC78">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CW 4M探头1个，监护探头PW 2M探头2个；</w:t>
            </w:r>
          </w:p>
          <w:p w14:paraId="4C681B38">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4.2 监护头架：准确固定探头位置，解放双手；</w:t>
            </w:r>
          </w:p>
          <w:p w14:paraId="16D7851E">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4.3 探头保护功能：探头自动休眠功能，延长探头使用寿命。</w:t>
            </w:r>
          </w:p>
        </w:tc>
        <w:tc>
          <w:tcPr>
            <w:tcW w:w="405" w:type="dxa"/>
            <w:vAlign w:val="center"/>
          </w:tcPr>
          <w:p w14:paraId="42E9CE60">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台</w:t>
            </w:r>
          </w:p>
        </w:tc>
        <w:tc>
          <w:tcPr>
            <w:tcW w:w="450" w:type="dxa"/>
            <w:vAlign w:val="center"/>
          </w:tcPr>
          <w:p w14:paraId="2EB13A80">
            <w:pPr>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r>
      <w:tr w14:paraId="21FDD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14:paraId="025C654E">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435" w:type="dxa"/>
            <w:vAlign w:val="center"/>
          </w:tcPr>
          <w:p w14:paraId="69446EF8">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超声骨密度仪</w:t>
            </w:r>
          </w:p>
        </w:tc>
        <w:tc>
          <w:tcPr>
            <w:tcW w:w="7560" w:type="dxa"/>
          </w:tcPr>
          <w:p w14:paraId="7029661B">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color w:val="auto"/>
                <w:kern w:val="2"/>
                <w:sz w:val="21"/>
                <w:szCs w:val="21"/>
                <w:highlight w:val="none"/>
                <w:lang w:val="en-US" w:eastAsia="zh-CN" w:bidi="ar-SA"/>
              </w:rPr>
              <w:t>1 、测量部位；脚部跟骨。</w:t>
            </w:r>
          </w:p>
          <w:p w14:paraId="55FB5256">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 、测量方法方便的全干式测量，医用耦合剂耦合测量时操作者不需手动调节探头，和受检者皮肤接触。</w:t>
            </w:r>
          </w:p>
          <w:p w14:paraId="7545BCA2">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 、探头耦合介质超声探头采用水囊式包裹。</w:t>
            </w:r>
          </w:p>
          <w:p w14:paraId="095B9AF7">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 、扫描时间：≤15 秒。</w:t>
            </w:r>
          </w:p>
          <w:p w14:paraId="2440719D">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 、数据库中国人数据库参考。</w:t>
            </w:r>
          </w:p>
          <w:p w14:paraId="541D38F3">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6、精确度测量复现性：≤1%，SOS精确度≤0.2%，</w:t>
            </w:r>
          </w:p>
          <w:p w14:paraId="5E567F05">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7、超声探头尺寸：≤35*40mm</w:t>
            </w:r>
          </w:p>
          <w:p w14:paraId="13BA5C42">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8、探头频率：≥0.53MHz</w:t>
            </w:r>
          </w:p>
          <w:p w14:paraId="093724E6">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 、质量控制有校准模块提供日常质量控制和校准并数据库中国人数据库参考。</w:t>
            </w:r>
          </w:p>
          <w:p w14:paraId="03913AD2">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 、测量结果参数T 值、Z 值、骨密度的超声速度（SOS ）、骨结构的款待超声衰减（BUA ）、骨质指数（BQI ）。</w:t>
            </w:r>
          </w:p>
          <w:p w14:paraId="22E4F2DC">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color w:val="auto"/>
                <w:kern w:val="2"/>
                <w:sz w:val="21"/>
                <w:szCs w:val="21"/>
                <w:highlight w:val="none"/>
                <w:lang w:val="en-US" w:eastAsia="zh-CN" w:bidi="ar-SA"/>
              </w:rPr>
              <w:t>11 、数据统计功能操作软件支持数据导出EXCEL 功能，方便用户统计和分析，提供软件操作说明。</w:t>
            </w:r>
          </w:p>
          <w:p w14:paraId="52F46982">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color w:val="auto"/>
                <w:kern w:val="2"/>
                <w:sz w:val="21"/>
                <w:szCs w:val="21"/>
                <w:highlight w:val="none"/>
                <w:lang w:val="en-US" w:eastAsia="zh-CN" w:bidi="ar-SA"/>
              </w:rPr>
              <w:t>12 、售后服务在本省内有服务机构负责产品的售后服务。</w:t>
            </w:r>
          </w:p>
          <w:p w14:paraId="3D7A7B02">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 、病人数据：可储存100000 以上个病例。</w:t>
            </w:r>
          </w:p>
          <w:p w14:paraId="39542197">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14、操作环境要求</w:t>
            </w:r>
          </w:p>
          <w:p w14:paraId="3782E00A">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a) 环境温度：18～27℃；</w:t>
            </w:r>
          </w:p>
          <w:p w14:paraId="225739A3">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b) 相对湿度：35～75%</w:t>
            </w:r>
          </w:p>
          <w:p w14:paraId="3868D0FD">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c) 大气压力：86.0～106.0kpa；</w:t>
            </w:r>
          </w:p>
          <w:p w14:paraId="6065E396">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d) 电源；AC 100-240V、50-60Hz。</w:t>
            </w:r>
          </w:p>
          <w:p w14:paraId="6ACCF245">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15、主机重量：≤8kg。</w:t>
            </w:r>
          </w:p>
          <w:p w14:paraId="7D02CFE0">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color w:val="auto"/>
                <w:kern w:val="2"/>
                <w:sz w:val="21"/>
                <w:szCs w:val="21"/>
                <w:highlight w:val="none"/>
                <w:lang w:val="en-US" w:eastAsia="zh-CN" w:bidi="ar-SA"/>
              </w:rPr>
              <w:t>16 、版本为2018 年之后的最新版本</w:t>
            </w:r>
          </w:p>
          <w:p w14:paraId="070F9277">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r>
              <w:rPr>
                <w:rFonts w:hint="eastAsia" w:ascii="宋体" w:hAnsi="宋体" w:cs="宋体"/>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配备有</w:t>
            </w:r>
            <w:r>
              <w:rPr>
                <w:rFonts w:hint="eastAsia" w:ascii="宋体" w:hAnsi="宋体" w:eastAsia="宋体" w:cs="宋体"/>
                <w:color w:val="auto"/>
                <w:kern w:val="2"/>
                <w:sz w:val="21"/>
                <w:szCs w:val="21"/>
                <w:highlight w:val="none"/>
                <w:lang w:val="en-US" w:eastAsia="zh-CN" w:bidi="ar-SA"/>
              </w:rPr>
              <w:t>儿童生长发育预测软件</w:t>
            </w:r>
          </w:p>
          <w:p w14:paraId="3B346154">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r>
              <w:rPr>
                <w:rFonts w:hint="eastAsia" w:ascii="宋体" w:hAnsi="宋体" w:cs="宋体"/>
                <w:color w:val="auto"/>
                <w:kern w:val="2"/>
                <w:sz w:val="21"/>
                <w:szCs w:val="21"/>
                <w:highlight w:val="none"/>
                <w:lang w:val="en-US" w:eastAsia="zh-CN" w:bidi="ar-SA"/>
              </w:rPr>
              <w:t>8</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配备有</w:t>
            </w:r>
            <w:r>
              <w:rPr>
                <w:rFonts w:hint="eastAsia" w:ascii="宋体" w:hAnsi="宋体" w:eastAsia="宋体" w:cs="宋体"/>
                <w:color w:val="auto"/>
                <w:kern w:val="2"/>
                <w:sz w:val="21"/>
                <w:szCs w:val="21"/>
                <w:highlight w:val="none"/>
                <w:lang w:val="en-US" w:eastAsia="zh-CN" w:bidi="ar-SA"/>
              </w:rPr>
              <w:t>骨折风险评估软件（FRAX）</w:t>
            </w:r>
          </w:p>
          <w:p w14:paraId="5A10BED9">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r>
              <w:rPr>
                <w:rFonts w:hint="eastAsia" w:ascii="宋体" w:hAnsi="宋体" w:cs="宋体"/>
                <w:color w:val="auto"/>
                <w:kern w:val="2"/>
                <w:sz w:val="21"/>
                <w:szCs w:val="21"/>
                <w:highlight w:val="none"/>
                <w:lang w:val="en-US" w:eastAsia="zh-CN" w:bidi="ar-SA"/>
              </w:rPr>
              <w:t>9</w:t>
            </w:r>
            <w:r>
              <w:rPr>
                <w:rFonts w:hint="eastAsia" w:ascii="宋体" w:hAnsi="宋体" w:eastAsia="宋体" w:cs="宋体"/>
                <w:color w:val="auto"/>
                <w:kern w:val="2"/>
                <w:sz w:val="21"/>
                <w:szCs w:val="21"/>
                <w:highlight w:val="none"/>
                <w:lang w:val="en-US" w:eastAsia="zh-CN" w:bidi="ar-SA"/>
              </w:rPr>
              <w:t>、配置清单</w:t>
            </w:r>
          </w:p>
          <w:p w14:paraId="28CD0639">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序类别配置名称数量规格号</w:t>
            </w:r>
          </w:p>
          <w:p w14:paraId="269F6CD9">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1.超声骨密度仪主机1台</w:t>
            </w:r>
          </w:p>
          <w:p w14:paraId="6CD88C59">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2.电源线1根</w:t>
            </w:r>
          </w:p>
          <w:p w14:paraId="485E05CA">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3.校准模块(骨膜)1个</w:t>
            </w:r>
          </w:p>
          <w:p w14:paraId="58534621">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 USB线1根</w:t>
            </w:r>
          </w:p>
          <w:p w14:paraId="6B05B78F">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5.使用说明书本1本 </w:t>
            </w:r>
          </w:p>
          <w:p w14:paraId="4771D355">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6.附件：</w:t>
            </w:r>
          </w:p>
          <w:p w14:paraId="64FA82A2">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中文系统应用软件(光盘)1套 </w:t>
            </w:r>
          </w:p>
          <w:p w14:paraId="30200C38">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耦合剂2瓶</w:t>
            </w:r>
          </w:p>
          <w:p w14:paraId="57864A99">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配注射器6OML1个置</w:t>
            </w:r>
          </w:p>
          <w:p w14:paraId="7AB7721E">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酒精棉签1盒</w:t>
            </w:r>
          </w:p>
          <w:p w14:paraId="5252C1BA">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脚垫〔标准,1号,2号]1套</w:t>
            </w:r>
          </w:p>
          <w:p w14:paraId="58A81A0A">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水囊2个</w:t>
            </w:r>
          </w:p>
          <w:p w14:paraId="3D4AC6B6">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水囊固定圈1个</w:t>
            </w:r>
          </w:p>
          <w:p w14:paraId="536D804F">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锁水帽1个</w:t>
            </w:r>
          </w:p>
          <w:p w14:paraId="39F57981">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合格证1份</w:t>
            </w:r>
          </w:p>
        </w:tc>
        <w:tc>
          <w:tcPr>
            <w:tcW w:w="405" w:type="dxa"/>
            <w:vAlign w:val="center"/>
          </w:tcPr>
          <w:p w14:paraId="5EA8BD97">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台</w:t>
            </w:r>
          </w:p>
        </w:tc>
        <w:tc>
          <w:tcPr>
            <w:tcW w:w="450" w:type="dxa"/>
            <w:vAlign w:val="center"/>
          </w:tcPr>
          <w:p w14:paraId="5744FEDA">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r>
    </w:tbl>
    <w:p w14:paraId="17FE945F">
      <w:pPr>
        <w:spacing w:line="560" w:lineRule="exact"/>
        <w:jc w:val="left"/>
        <w:rPr>
          <w:rFonts w:hint="eastAsia" w:ascii="宋体" w:hAnsi="宋体" w:cs="宋体"/>
          <w:b/>
          <w:bCs/>
          <w:color w:val="auto"/>
          <w:szCs w:val="21"/>
          <w:highlight w:val="none"/>
        </w:rPr>
      </w:pPr>
    </w:p>
    <w:tbl>
      <w:tblPr>
        <w:tblStyle w:val="48"/>
        <w:tblW w:w="95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38"/>
        <w:gridCol w:w="524"/>
        <w:gridCol w:w="7054"/>
      </w:tblGrid>
      <w:tr w14:paraId="254B9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16" w:type="dxa"/>
            <w:gridSpan w:val="3"/>
            <w:tcBorders>
              <w:top w:val="single" w:color="auto" w:sz="4" w:space="0"/>
              <w:left w:val="single" w:color="auto" w:sz="4" w:space="0"/>
              <w:bottom w:val="single" w:color="auto" w:sz="4" w:space="0"/>
              <w:right w:val="single" w:color="auto" w:sz="4" w:space="0"/>
            </w:tcBorders>
          </w:tcPr>
          <w:p w14:paraId="34CB4BB1">
            <w:pPr>
              <w:spacing w:line="360" w:lineRule="auto"/>
              <w:rPr>
                <w:rFonts w:ascii="宋体" w:hAnsi="宋体" w:cs="宋体"/>
                <w:color w:val="auto"/>
                <w:szCs w:val="21"/>
                <w:highlight w:val="none"/>
              </w:rPr>
            </w:pPr>
            <w:r>
              <w:rPr>
                <w:rFonts w:hint="eastAsia" w:ascii="宋体" w:hAnsi="宋体" w:cs="宋体"/>
                <w:color w:val="auto"/>
                <w:szCs w:val="21"/>
                <w:highlight w:val="none"/>
              </w:rPr>
              <w:t>▲一、</w:t>
            </w:r>
            <w:r>
              <w:rPr>
                <w:rFonts w:hint="eastAsia" w:ascii="宋体" w:hAnsi="宋体" w:cs="宋体"/>
                <w:b/>
                <w:color w:val="auto"/>
                <w:szCs w:val="21"/>
                <w:highlight w:val="none"/>
              </w:rPr>
              <w:t>商务要求</w:t>
            </w:r>
          </w:p>
        </w:tc>
      </w:tr>
      <w:tr w14:paraId="09E8C0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62" w:type="dxa"/>
            <w:gridSpan w:val="2"/>
            <w:tcBorders>
              <w:top w:val="single" w:color="auto" w:sz="4" w:space="0"/>
              <w:left w:val="single" w:color="auto" w:sz="4" w:space="0"/>
              <w:bottom w:val="single" w:color="auto" w:sz="4" w:space="0"/>
              <w:right w:val="single" w:color="auto" w:sz="4" w:space="0"/>
            </w:tcBorders>
            <w:vAlign w:val="center"/>
          </w:tcPr>
          <w:p w14:paraId="1E9A3336">
            <w:pPr>
              <w:spacing w:line="360" w:lineRule="auto"/>
              <w:rPr>
                <w:rFonts w:ascii="宋体" w:hAnsi="宋体" w:cs="宋体"/>
                <w:color w:val="auto"/>
                <w:szCs w:val="21"/>
                <w:highlight w:val="none"/>
              </w:rPr>
            </w:pPr>
            <w:r>
              <w:rPr>
                <w:rFonts w:hint="eastAsia" w:ascii="宋体" w:hAnsi="宋体" w:cs="宋体"/>
                <w:color w:val="auto"/>
                <w:szCs w:val="21"/>
                <w:highlight w:val="none"/>
              </w:rPr>
              <w:t>交付时间和地点</w:t>
            </w:r>
          </w:p>
        </w:tc>
        <w:tc>
          <w:tcPr>
            <w:tcW w:w="7054" w:type="dxa"/>
            <w:tcBorders>
              <w:top w:val="single" w:color="auto" w:sz="4" w:space="0"/>
              <w:left w:val="single" w:color="auto" w:sz="4" w:space="0"/>
              <w:bottom w:val="single" w:color="auto" w:sz="4" w:space="0"/>
              <w:right w:val="single" w:color="auto" w:sz="4" w:space="0"/>
            </w:tcBorders>
            <w:vAlign w:val="center"/>
          </w:tcPr>
          <w:p w14:paraId="01A28192">
            <w:pPr>
              <w:spacing w:line="360" w:lineRule="auto"/>
              <w:rPr>
                <w:rFonts w:ascii="宋体" w:hAnsi="宋体" w:cs="宋体"/>
                <w:bCs/>
                <w:color w:val="auto"/>
                <w:szCs w:val="21"/>
                <w:highlight w:val="none"/>
              </w:rPr>
            </w:pPr>
            <w:r>
              <w:rPr>
                <w:rFonts w:hint="eastAsia" w:ascii="宋体" w:hAnsi="宋体" w:cs="宋体"/>
                <w:color w:val="auto"/>
                <w:szCs w:val="21"/>
                <w:highlight w:val="none"/>
              </w:rPr>
              <w:t>1.交付时间：自签订合同之日起30天内完成安装、调试、培训等全部工作，并交付使用</w:t>
            </w:r>
            <w:r>
              <w:rPr>
                <w:rFonts w:hint="eastAsia" w:ascii="宋体" w:hAnsi="宋体" w:cs="宋体"/>
                <w:bCs/>
                <w:color w:val="auto"/>
                <w:szCs w:val="21"/>
                <w:highlight w:val="none"/>
              </w:rPr>
              <w:t>。</w:t>
            </w:r>
          </w:p>
          <w:p w14:paraId="4C01E58D">
            <w:pPr>
              <w:pStyle w:val="91"/>
              <w:autoSpaceDE/>
              <w:autoSpaceDN/>
              <w:adjustRightInd/>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2.交付地点：苍梧县人民医院内。</w:t>
            </w:r>
          </w:p>
        </w:tc>
      </w:tr>
      <w:tr w14:paraId="5E1483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62" w:type="dxa"/>
            <w:gridSpan w:val="2"/>
            <w:tcBorders>
              <w:top w:val="single" w:color="auto" w:sz="4" w:space="0"/>
              <w:left w:val="single" w:color="auto" w:sz="4" w:space="0"/>
              <w:bottom w:val="single" w:color="auto" w:sz="4" w:space="0"/>
              <w:right w:val="single" w:color="auto" w:sz="4" w:space="0"/>
            </w:tcBorders>
            <w:vAlign w:val="center"/>
          </w:tcPr>
          <w:p w14:paraId="198A343B">
            <w:pPr>
              <w:spacing w:line="360" w:lineRule="auto"/>
              <w:rPr>
                <w:rFonts w:ascii="宋体" w:hAnsi="宋体" w:cs="宋体"/>
                <w:b/>
                <w:color w:val="auto"/>
                <w:szCs w:val="21"/>
                <w:highlight w:val="none"/>
              </w:rPr>
            </w:pPr>
            <w:r>
              <w:rPr>
                <w:rFonts w:hint="eastAsia" w:ascii="宋体" w:hAnsi="宋体" w:cs="宋体"/>
                <w:color w:val="auto"/>
                <w:szCs w:val="21"/>
                <w:highlight w:val="none"/>
              </w:rPr>
              <w:t>合同签订时间</w:t>
            </w:r>
          </w:p>
        </w:tc>
        <w:tc>
          <w:tcPr>
            <w:tcW w:w="7054" w:type="dxa"/>
            <w:tcBorders>
              <w:top w:val="single" w:color="auto" w:sz="4" w:space="0"/>
              <w:left w:val="single" w:color="auto" w:sz="4" w:space="0"/>
              <w:bottom w:val="single" w:color="auto" w:sz="4" w:space="0"/>
              <w:right w:val="single" w:color="auto" w:sz="4" w:space="0"/>
            </w:tcBorders>
            <w:vAlign w:val="center"/>
          </w:tcPr>
          <w:p w14:paraId="02D7AEB5">
            <w:pPr>
              <w:pStyle w:val="16"/>
              <w:spacing w:line="360" w:lineRule="auto"/>
              <w:rPr>
                <w:rFonts w:ascii="宋体" w:hAnsi="宋体" w:cs="宋体"/>
                <w:color w:val="auto"/>
                <w:szCs w:val="21"/>
                <w:highlight w:val="none"/>
              </w:rPr>
            </w:pPr>
            <w:r>
              <w:rPr>
                <w:rFonts w:hint="eastAsia" w:ascii="宋体" w:hAnsi="宋体" w:cs="宋体"/>
                <w:color w:val="auto"/>
                <w:szCs w:val="21"/>
                <w:highlight w:val="none"/>
              </w:rPr>
              <w:t>自中标通知书发出之日起15日内</w:t>
            </w:r>
          </w:p>
        </w:tc>
      </w:tr>
      <w:tr w14:paraId="01010E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62" w:type="dxa"/>
            <w:gridSpan w:val="2"/>
            <w:tcBorders>
              <w:top w:val="single" w:color="auto" w:sz="4" w:space="0"/>
              <w:left w:val="single" w:color="auto" w:sz="4" w:space="0"/>
              <w:bottom w:val="single" w:color="auto" w:sz="4" w:space="0"/>
              <w:right w:val="single" w:color="auto" w:sz="4" w:space="0"/>
            </w:tcBorders>
            <w:vAlign w:val="center"/>
          </w:tcPr>
          <w:p w14:paraId="7083A76D">
            <w:pPr>
              <w:spacing w:line="360" w:lineRule="auto"/>
              <w:rPr>
                <w:rFonts w:ascii="宋体" w:hAnsi="宋体" w:cs="宋体"/>
                <w:b/>
                <w:color w:val="auto"/>
                <w:szCs w:val="21"/>
                <w:highlight w:val="none"/>
              </w:rPr>
            </w:pPr>
            <w:r>
              <w:rPr>
                <w:rFonts w:hint="eastAsia" w:ascii="宋体" w:hAnsi="宋体" w:cs="宋体"/>
                <w:color w:val="auto"/>
                <w:szCs w:val="21"/>
                <w:highlight w:val="none"/>
              </w:rPr>
              <w:t>付款方式</w:t>
            </w:r>
          </w:p>
        </w:tc>
        <w:tc>
          <w:tcPr>
            <w:tcW w:w="7054" w:type="dxa"/>
            <w:tcBorders>
              <w:top w:val="single" w:color="auto" w:sz="4" w:space="0"/>
              <w:left w:val="single" w:color="auto" w:sz="4" w:space="0"/>
              <w:bottom w:val="single" w:color="auto" w:sz="4" w:space="0"/>
              <w:right w:val="single" w:color="auto" w:sz="4" w:space="0"/>
            </w:tcBorders>
            <w:vAlign w:val="center"/>
          </w:tcPr>
          <w:p w14:paraId="133DE546">
            <w:pPr>
              <w:widowControl/>
              <w:spacing w:line="440" w:lineRule="exact"/>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分三期付款方式结算：</w:t>
            </w:r>
          </w:p>
          <w:p w14:paraId="37B430B1">
            <w:pPr>
              <w:widowControl/>
              <w:spacing w:line="440" w:lineRule="exact"/>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第一期：收到项目货物并经采购人验收合格入库后，并经医院审核确认后，</w:t>
            </w:r>
            <w:r>
              <w:rPr>
                <w:rFonts w:hint="eastAsia" w:asciiTheme="minorEastAsia" w:hAnsiTheme="minorEastAsia" w:eastAsiaTheme="minorEastAsia" w:cstheme="minorEastAsia"/>
                <w:b w:val="0"/>
                <w:bCs w:val="0"/>
                <w:color w:val="auto"/>
                <w:sz w:val="21"/>
                <w:szCs w:val="21"/>
                <w:highlight w:val="none"/>
                <w:lang w:val="en-US" w:eastAsia="zh-CN"/>
              </w:rPr>
              <w:t>30</w:t>
            </w:r>
            <w:r>
              <w:rPr>
                <w:rFonts w:hint="eastAsia" w:asciiTheme="minorEastAsia" w:hAnsiTheme="minorEastAsia" w:eastAsiaTheme="minorEastAsia" w:cstheme="minorEastAsia"/>
                <w:b w:val="0"/>
                <w:bCs w:val="0"/>
                <w:color w:val="auto"/>
                <w:sz w:val="21"/>
                <w:szCs w:val="21"/>
                <w:highlight w:val="none"/>
              </w:rPr>
              <w:t>个工作日内支付至合同总额的</w:t>
            </w:r>
            <w:r>
              <w:rPr>
                <w:rFonts w:hint="eastAsia" w:asciiTheme="minorEastAsia" w:hAnsiTheme="minorEastAsia" w:eastAsiaTheme="minorEastAsia" w:cstheme="minorEastAsia"/>
                <w:b w:val="0"/>
                <w:bCs w:val="0"/>
                <w:color w:val="auto"/>
                <w:sz w:val="21"/>
                <w:szCs w:val="21"/>
                <w:highlight w:val="none"/>
                <w:lang w:val="en-US" w:eastAsia="zh-CN"/>
              </w:rPr>
              <w:t>6</w:t>
            </w:r>
            <w:r>
              <w:rPr>
                <w:rFonts w:hint="eastAsia" w:asciiTheme="minorEastAsia" w:hAnsiTheme="minorEastAsia" w:eastAsiaTheme="minorEastAsia" w:cstheme="minorEastAsia"/>
                <w:b w:val="0"/>
                <w:bCs w:val="0"/>
                <w:color w:val="auto"/>
                <w:sz w:val="21"/>
                <w:szCs w:val="21"/>
                <w:highlight w:val="none"/>
              </w:rPr>
              <w:t>0％。</w:t>
            </w:r>
          </w:p>
          <w:p w14:paraId="2CCC965B">
            <w:pPr>
              <w:widowControl/>
              <w:spacing w:line="440" w:lineRule="exact"/>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第二期：项目货物验收合格</w:t>
            </w:r>
            <w:r>
              <w:rPr>
                <w:rFonts w:hint="eastAsia" w:asciiTheme="minorEastAsia" w:hAnsiTheme="minorEastAsia" w:eastAsiaTheme="minorEastAsia" w:cstheme="minorEastAsia"/>
                <w:b w:val="0"/>
                <w:bCs w:val="0"/>
                <w:color w:val="auto"/>
                <w:sz w:val="21"/>
                <w:szCs w:val="21"/>
                <w:highlight w:val="none"/>
                <w:lang w:val="en-US" w:eastAsia="zh-CN"/>
              </w:rPr>
              <w:t>6</w:t>
            </w:r>
            <w:r>
              <w:rPr>
                <w:rFonts w:hint="eastAsia" w:asciiTheme="minorEastAsia" w:hAnsiTheme="minorEastAsia" w:eastAsiaTheme="minorEastAsia" w:cstheme="minorEastAsia"/>
                <w:b w:val="0"/>
                <w:bCs w:val="0"/>
                <w:color w:val="auto"/>
                <w:sz w:val="21"/>
                <w:szCs w:val="21"/>
                <w:highlight w:val="none"/>
              </w:rPr>
              <w:t>个月后，中标人向采购人请款，采购人收到请款函后</w:t>
            </w:r>
            <w:r>
              <w:rPr>
                <w:rFonts w:hint="eastAsia" w:asciiTheme="minorEastAsia" w:hAnsiTheme="minorEastAsia" w:eastAsiaTheme="minorEastAsia" w:cstheme="minorEastAsia"/>
                <w:b w:val="0"/>
                <w:bCs w:val="0"/>
                <w:color w:val="auto"/>
                <w:sz w:val="21"/>
                <w:szCs w:val="21"/>
                <w:highlight w:val="none"/>
                <w:lang w:val="en-US" w:eastAsia="zh-CN"/>
              </w:rPr>
              <w:t>30</w:t>
            </w:r>
            <w:r>
              <w:rPr>
                <w:rFonts w:hint="eastAsia" w:asciiTheme="minorEastAsia" w:hAnsiTheme="minorEastAsia" w:eastAsiaTheme="minorEastAsia" w:cstheme="minorEastAsia"/>
                <w:b w:val="0"/>
                <w:bCs w:val="0"/>
                <w:color w:val="auto"/>
                <w:sz w:val="21"/>
                <w:szCs w:val="21"/>
                <w:highlight w:val="none"/>
              </w:rPr>
              <w:t>个工作日内支付至合同总额的</w:t>
            </w:r>
            <w:r>
              <w:rPr>
                <w:rFonts w:hint="eastAsia" w:asciiTheme="minorEastAsia" w:hAnsiTheme="minorEastAsia" w:eastAsiaTheme="minorEastAsia" w:cstheme="minorEastAsia"/>
                <w:b w:val="0"/>
                <w:bCs w:val="0"/>
                <w:color w:val="auto"/>
                <w:sz w:val="21"/>
                <w:szCs w:val="21"/>
                <w:highlight w:val="none"/>
                <w:lang w:val="en-US" w:eastAsia="zh-CN"/>
              </w:rPr>
              <w:t>8</w:t>
            </w:r>
            <w:r>
              <w:rPr>
                <w:rFonts w:hint="eastAsia" w:asciiTheme="minorEastAsia" w:hAnsiTheme="minorEastAsia" w:eastAsiaTheme="minorEastAsia" w:cstheme="minorEastAsia"/>
                <w:b w:val="0"/>
                <w:bCs w:val="0"/>
                <w:color w:val="auto"/>
                <w:sz w:val="21"/>
                <w:szCs w:val="21"/>
                <w:highlight w:val="none"/>
              </w:rPr>
              <w:t>0％。</w:t>
            </w:r>
          </w:p>
          <w:p w14:paraId="058DEBF3">
            <w:pPr>
              <w:widowControl/>
              <w:spacing w:line="440" w:lineRule="exact"/>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第三期：余下</w:t>
            </w:r>
            <w:r>
              <w:rPr>
                <w:rFonts w:hint="eastAsia" w:asciiTheme="minorEastAsia" w:hAnsiTheme="minorEastAsia" w:eastAsiaTheme="minorEastAsia" w:cstheme="minorEastAsia"/>
                <w:b w:val="0"/>
                <w:bCs w:val="0"/>
                <w:color w:val="auto"/>
                <w:sz w:val="21"/>
                <w:szCs w:val="21"/>
                <w:highlight w:val="none"/>
                <w:lang w:val="en-US" w:eastAsia="zh-CN"/>
              </w:rPr>
              <w:t>2</w:t>
            </w:r>
            <w:r>
              <w:rPr>
                <w:rFonts w:hint="eastAsia" w:asciiTheme="minorEastAsia" w:hAnsiTheme="minorEastAsia" w:eastAsiaTheme="minorEastAsia" w:cstheme="minorEastAsia"/>
                <w:b w:val="0"/>
                <w:bCs w:val="0"/>
                <w:color w:val="auto"/>
                <w:sz w:val="21"/>
                <w:szCs w:val="21"/>
                <w:highlight w:val="none"/>
              </w:rPr>
              <w:t>0%合同款项在验收合格</w:t>
            </w:r>
            <w:r>
              <w:rPr>
                <w:rFonts w:hint="eastAsia" w:asciiTheme="minorEastAsia" w:hAnsiTheme="minorEastAsia" w:eastAsiaTheme="minorEastAsia" w:cstheme="minorEastAsia"/>
                <w:b w:val="0"/>
                <w:bCs w:val="0"/>
                <w:color w:val="auto"/>
                <w:sz w:val="21"/>
                <w:szCs w:val="21"/>
                <w:highlight w:val="none"/>
                <w:lang w:val="en-US" w:eastAsia="zh-CN"/>
              </w:rPr>
              <w:t>12</w:t>
            </w:r>
            <w:r>
              <w:rPr>
                <w:rFonts w:hint="eastAsia" w:asciiTheme="minorEastAsia" w:hAnsiTheme="minorEastAsia" w:eastAsiaTheme="minorEastAsia" w:cstheme="minorEastAsia"/>
                <w:b w:val="0"/>
                <w:bCs w:val="0"/>
                <w:color w:val="auto"/>
                <w:sz w:val="21"/>
                <w:szCs w:val="21"/>
                <w:highlight w:val="none"/>
              </w:rPr>
              <w:t>个月后，采购人收到请款函后</w:t>
            </w:r>
            <w:r>
              <w:rPr>
                <w:rFonts w:hint="eastAsia" w:asciiTheme="minorEastAsia" w:hAnsiTheme="minorEastAsia" w:eastAsiaTheme="minorEastAsia" w:cstheme="minorEastAsia"/>
                <w:b w:val="0"/>
                <w:bCs w:val="0"/>
                <w:color w:val="auto"/>
                <w:sz w:val="21"/>
                <w:szCs w:val="21"/>
                <w:highlight w:val="none"/>
                <w:lang w:val="en-US" w:eastAsia="zh-CN"/>
              </w:rPr>
              <w:t>30</w:t>
            </w:r>
            <w:r>
              <w:rPr>
                <w:rFonts w:hint="eastAsia" w:asciiTheme="minorEastAsia" w:hAnsiTheme="minorEastAsia" w:eastAsiaTheme="minorEastAsia" w:cstheme="minorEastAsia"/>
                <w:b w:val="0"/>
                <w:bCs w:val="0"/>
                <w:color w:val="auto"/>
                <w:sz w:val="21"/>
                <w:szCs w:val="21"/>
                <w:highlight w:val="none"/>
              </w:rPr>
              <w:t>个工作日内支付完毕。（不计利息）。</w:t>
            </w:r>
          </w:p>
          <w:p w14:paraId="53AA176D">
            <w:pPr>
              <w:widowControl/>
              <w:spacing w:line="360" w:lineRule="auto"/>
              <w:rPr>
                <w:rFonts w:ascii="宋体" w:hAnsi="宋体" w:cs="宋体"/>
                <w:color w:val="auto"/>
                <w:szCs w:val="21"/>
                <w:highlight w:val="none"/>
              </w:rPr>
            </w:pPr>
            <w:r>
              <w:rPr>
                <w:rFonts w:hint="eastAsia" w:asciiTheme="minorEastAsia" w:hAnsiTheme="minorEastAsia" w:eastAsiaTheme="minorEastAsia" w:cstheme="minorEastAsia"/>
                <w:b w:val="0"/>
                <w:bCs w:val="0"/>
                <w:color w:val="auto"/>
                <w:sz w:val="21"/>
                <w:szCs w:val="21"/>
                <w:highlight w:val="none"/>
              </w:rPr>
              <w:t>合同签署的中标人名称及发票开具单位与收款单位必须一致，在合同执行过程中，中标人不得以其他不正当理由要求调整发票开具单位或收款单位，否则视为中标人违约。</w:t>
            </w:r>
          </w:p>
        </w:tc>
      </w:tr>
      <w:tr w14:paraId="4B3E48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62" w:type="dxa"/>
            <w:gridSpan w:val="2"/>
            <w:tcBorders>
              <w:top w:val="single" w:color="auto" w:sz="4" w:space="0"/>
              <w:left w:val="single" w:color="auto" w:sz="4" w:space="0"/>
              <w:bottom w:val="single" w:color="auto" w:sz="4" w:space="0"/>
              <w:right w:val="single" w:color="auto" w:sz="4" w:space="0"/>
            </w:tcBorders>
            <w:vAlign w:val="center"/>
          </w:tcPr>
          <w:p w14:paraId="66CEBA48">
            <w:pPr>
              <w:widowControl/>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质保期</w:t>
            </w:r>
          </w:p>
        </w:tc>
        <w:tc>
          <w:tcPr>
            <w:tcW w:w="7054" w:type="dxa"/>
            <w:tcBorders>
              <w:top w:val="single" w:color="auto" w:sz="4" w:space="0"/>
              <w:left w:val="single" w:color="auto" w:sz="4" w:space="0"/>
              <w:bottom w:val="single" w:color="auto" w:sz="4" w:space="0"/>
              <w:right w:val="single" w:color="auto" w:sz="4" w:space="0"/>
            </w:tcBorders>
            <w:vAlign w:val="center"/>
          </w:tcPr>
          <w:p w14:paraId="56CA6D8D">
            <w:pPr>
              <w:widowControl/>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按国家有关产品“三包”规定执行“三包”，质保期不得少于</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eastAsia="zh-CN"/>
              </w:rPr>
              <w:t>，</w:t>
            </w:r>
            <w:r>
              <w:rPr>
                <w:rFonts w:hint="eastAsia" w:ascii="宋体" w:hAnsi="宋体" w:cs="宋体"/>
                <w:b/>
                <w:bCs/>
                <w:color w:val="auto"/>
                <w:szCs w:val="21"/>
                <w:highlight w:val="none"/>
              </w:rPr>
              <w:t>技术参数表</w:t>
            </w:r>
            <w:r>
              <w:rPr>
                <w:rFonts w:hint="eastAsia" w:ascii="宋体" w:hAnsi="宋体" w:cs="宋体"/>
                <w:b/>
                <w:bCs/>
                <w:color w:val="auto"/>
                <w:szCs w:val="21"/>
                <w:highlight w:val="none"/>
                <w:lang w:eastAsia="zh-CN"/>
              </w:rPr>
              <w:t>内有专项要求的</w:t>
            </w:r>
            <w:r>
              <w:rPr>
                <w:rFonts w:hint="eastAsia" w:ascii="宋体" w:hAnsi="宋体" w:cs="宋体"/>
                <w:b/>
                <w:bCs/>
                <w:color w:val="auto"/>
                <w:szCs w:val="21"/>
                <w:highlight w:val="none"/>
                <w:lang w:val="en-US" w:eastAsia="zh-CN"/>
              </w:rPr>
              <w:t>按</w:t>
            </w:r>
            <w:r>
              <w:rPr>
                <w:rFonts w:hint="eastAsia" w:ascii="宋体" w:hAnsi="宋体" w:cs="宋体"/>
                <w:b/>
                <w:bCs/>
                <w:color w:val="auto"/>
                <w:szCs w:val="21"/>
                <w:highlight w:val="none"/>
                <w:lang w:eastAsia="zh-CN"/>
              </w:rPr>
              <w:t>专项要求执行</w:t>
            </w:r>
            <w:r>
              <w:rPr>
                <w:rFonts w:hint="eastAsia" w:ascii="宋体" w:hAnsi="宋体" w:cs="宋体"/>
                <w:color w:val="auto"/>
                <w:kern w:val="0"/>
                <w:szCs w:val="21"/>
                <w:highlight w:val="none"/>
              </w:rPr>
              <w:t>。</w:t>
            </w:r>
          </w:p>
        </w:tc>
      </w:tr>
      <w:tr w14:paraId="3B7D61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62" w:type="dxa"/>
            <w:gridSpan w:val="2"/>
            <w:tcBorders>
              <w:top w:val="single" w:color="auto" w:sz="4" w:space="0"/>
              <w:left w:val="single" w:color="auto" w:sz="4" w:space="0"/>
              <w:bottom w:val="single" w:color="auto" w:sz="4" w:space="0"/>
              <w:right w:val="single" w:color="auto" w:sz="4" w:space="0"/>
            </w:tcBorders>
            <w:vAlign w:val="center"/>
          </w:tcPr>
          <w:p w14:paraId="43C86572">
            <w:pPr>
              <w:widowControl/>
              <w:spacing w:line="360" w:lineRule="auto"/>
              <w:jc w:val="left"/>
              <w:rPr>
                <w:rFonts w:ascii="宋体" w:hAnsi="宋体" w:cs="宋体"/>
                <w:b/>
                <w:color w:val="auto"/>
                <w:szCs w:val="21"/>
                <w:highlight w:val="none"/>
              </w:rPr>
            </w:pPr>
            <w:r>
              <w:rPr>
                <w:rFonts w:hint="eastAsia" w:ascii="宋体" w:hAnsi="宋体" w:cs="宋体"/>
                <w:color w:val="auto"/>
                <w:kern w:val="0"/>
                <w:szCs w:val="21"/>
                <w:highlight w:val="none"/>
              </w:rPr>
              <w:t>售后服务及培训要求</w:t>
            </w:r>
          </w:p>
        </w:tc>
        <w:tc>
          <w:tcPr>
            <w:tcW w:w="7054" w:type="dxa"/>
            <w:tcBorders>
              <w:top w:val="single" w:color="auto" w:sz="4" w:space="0"/>
              <w:left w:val="single" w:color="auto" w:sz="4" w:space="0"/>
              <w:bottom w:val="single" w:color="auto" w:sz="4" w:space="0"/>
              <w:right w:val="single" w:color="auto" w:sz="4" w:space="0"/>
            </w:tcBorders>
            <w:vAlign w:val="center"/>
          </w:tcPr>
          <w:p w14:paraId="1FE454F4">
            <w:pPr>
              <w:widowControl/>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 xml:space="preserve">售后服务费用包含在报价中，售后服务内容如下： </w:t>
            </w:r>
          </w:p>
          <w:p w14:paraId="2179D175">
            <w:pPr>
              <w:widowControl/>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1）负责送货上门，中标人安装调试至合格，负责培训。配置至少1名工程技术人员，随时提供安装、调试或维修等服务。配置专业技术人员提供技术培训，包括设备日常操作、工作原理、注意事项、简单故障排除、维护保养等方面的系统培训，保证使用人员正常操作设备的各种功能。时间、地点、人员由采购人确定，提前通知中标人安排工程师到场。</w:t>
            </w:r>
          </w:p>
          <w:p w14:paraId="12FECD7E">
            <w:pPr>
              <w:widowControl/>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（2）定期回访以及对设备维修、更换配件。</w:t>
            </w:r>
          </w:p>
          <w:p w14:paraId="434E82C1">
            <w:pPr>
              <w:widowControl/>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（3）中标人应保证所供产品是全新的、未使用过的且是近</w:t>
            </w:r>
            <w:r>
              <w:rPr>
                <w:rFonts w:hint="eastAsia" w:ascii="宋体" w:hAnsi="宋体" w:cs="宋体"/>
                <w:bCs/>
                <w:color w:val="auto"/>
                <w:szCs w:val="21"/>
                <w:highlight w:val="none"/>
                <w:lang w:val="en-US" w:eastAsia="zh-CN"/>
              </w:rPr>
              <w:t>6个月</w:t>
            </w:r>
            <w:r>
              <w:rPr>
                <w:rFonts w:hint="eastAsia" w:ascii="宋体" w:hAnsi="宋体" w:cs="宋体"/>
                <w:bCs/>
                <w:color w:val="auto"/>
                <w:szCs w:val="21"/>
                <w:highlight w:val="none"/>
              </w:rPr>
              <w:t>内生产的，并完全符合规定的质量、规格的要求。</w:t>
            </w:r>
          </w:p>
          <w:p w14:paraId="1DF587CE">
            <w:pPr>
              <w:widowControl/>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（4）便于售后问题的处理，响应时间＜4小时，接故障通知24小时内派合格的技术人员并携带工器具到达现场提供技术服务。</w:t>
            </w:r>
          </w:p>
          <w:p w14:paraId="61FA2CF7">
            <w:pPr>
              <w:widowControl/>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（5）提供设备纸质版或电子版的操作规程和维护保养流程。</w:t>
            </w:r>
          </w:p>
          <w:p w14:paraId="7E9F57BE">
            <w:pPr>
              <w:widowControl/>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（6）设备如属于政府部门有强制检定要求的，中标人应负责设备使用前的相关检定。</w:t>
            </w:r>
          </w:p>
          <w:p w14:paraId="33B207BC">
            <w:pPr>
              <w:widowControl/>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（7）其余按厂家承诺。</w:t>
            </w:r>
          </w:p>
        </w:tc>
      </w:tr>
      <w:tr w14:paraId="688DA6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62" w:type="dxa"/>
            <w:gridSpan w:val="2"/>
            <w:tcBorders>
              <w:top w:val="single" w:color="auto" w:sz="4" w:space="0"/>
              <w:left w:val="single" w:color="auto" w:sz="4" w:space="0"/>
              <w:bottom w:val="single" w:color="auto" w:sz="4" w:space="0"/>
              <w:right w:val="single" w:color="auto" w:sz="4" w:space="0"/>
            </w:tcBorders>
            <w:vAlign w:val="center"/>
          </w:tcPr>
          <w:p w14:paraId="76B37EB9">
            <w:pPr>
              <w:widowControl/>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投标报价要求</w:t>
            </w:r>
          </w:p>
        </w:tc>
        <w:tc>
          <w:tcPr>
            <w:tcW w:w="7054" w:type="dxa"/>
            <w:tcBorders>
              <w:top w:val="single" w:color="auto" w:sz="4" w:space="0"/>
              <w:left w:val="single" w:color="auto" w:sz="4" w:space="0"/>
              <w:bottom w:val="single" w:color="auto" w:sz="4" w:space="0"/>
              <w:right w:val="single" w:color="auto" w:sz="4" w:space="0"/>
            </w:tcBorders>
            <w:vAlign w:val="center"/>
          </w:tcPr>
          <w:p w14:paraId="2F17D325">
            <w:pPr>
              <w:widowControl/>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投标报价为采购人指定地点的现场交货价，包括：</w:t>
            </w:r>
          </w:p>
          <w:p w14:paraId="704E4EC1">
            <w:pPr>
              <w:widowControl/>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（1）货物的价格：包括货款、杂配件、安装调试费、验收费，信息系统接入费；</w:t>
            </w:r>
          </w:p>
          <w:p w14:paraId="603729F3">
            <w:pPr>
              <w:widowControl/>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（2）货物的标准附件、备品备件、专用工具的价格。</w:t>
            </w:r>
          </w:p>
          <w:p w14:paraId="2B1FC96B">
            <w:pPr>
              <w:widowControl/>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（3）运输、装卸、调试、培训、技术支持、售后服务费。</w:t>
            </w:r>
          </w:p>
          <w:p w14:paraId="1977D213">
            <w:pPr>
              <w:widowControl/>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（4）采购代理服务费、保险费和各项税金。</w:t>
            </w:r>
          </w:p>
          <w:p w14:paraId="31F511A8">
            <w:pPr>
              <w:widowControl/>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注：投标人自行考虑完成项目所需的辅材、杂配件等数量，投标报价中应包含全部内容，中标后采购人不再另行支付额外费用。</w:t>
            </w:r>
          </w:p>
        </w:tc>
      </w:tr>
      <w:tr w14:paraId="62599C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16" w:type="dxa"/>
            <w:gridSpan w:val="3"/>
            <w:tcBorders>
              <w:top w:val="single" w:color="auto" w:sz="4" w:space="0"/>
              <w:left w:val="single" w:color="auto" w:sz="4" w:space="0"/>
              <w:bottom w:val="single" w:color="auto" w:sz="4" w:space="0"/>
              <w:right w:val="single" w:color="auto" w:sz="4" w:space="0"/>
            </w:tcBorders>
            <w:vAlign w:val="center"/>
          </w:tcPr>
          <w:p w14:paraId="0FB161F6">
            <w:pPr>
              <w:spacing w:line="360" w:lineRule="auto"/>
              <w:rPr>
                <w:rFonts w:ascii="宋体" w:hAnsi="宋体" w:cs="宋体"/>
                <w:b/>
                <w:color w:val="auto"/>
                <w:szCs w:val="21"/>
                <w:highlight w:val="none"/>
              </w:rPr>
            </w:pPr>
            <w:r>
              <w:rPr>
                <w:rFonts w:hint="eastAsia" w:ascii="宋体" w:hAnsi="宋体" w:cs="宋体"/>
                <w:b/>
                <w:color w:val="auto"/>
                <w:szCs w:val="21"/>
                <w:highlight w:val="none"/>
              </w:rPr>
              <w:t>二、与实现项目目标相关的其他要求</w:t>
            </w:r>
          </w:p>
        </w:tc>
      </w:tr>
      <w:tr w14:paraId="17E712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16" w:type="dxa"/>
            <w:gridSpan w:val="3"/>
            <w:tcBorders>
              <w:top w:val="single" w:color="auto" w:sz="4" w:space="0"/>
              <w:left w:val="single" w:color="auto" w:sz="4" w:space="0"/>
              <w:bottom w:val="single" w:color="auto" w:sz="4" w:space="0"/>
              <w:right w:val="single" w:color="auto" w:sz="4" w:space="0"/>
            </w:tcBorders>
            <w:vAlign w:val="center"/>
          </w:tcPr>
          <w:p w14:paraId="7A832209">
            <w:pPr>
              <w:tabs>
                <w:tab w:val="left" w:pos="180"/>
                <w:tab w:val="left" w:pos="1620"/>
              </w:tabs>
              <w:spacing w:line="360" w:lineRule="auto"/>
              <w:rPr>
                <w:rFonts w:ascii="宋体" w:hAnsi="宋体" w:cs="宋体"/>
                <w:b/>
                <w:color w:val="auto"/>
                <w:szCs w:val="21"/>
                <w:highlight w:val="none"/>
              </w:rPr>
            </w:pPr>
            <w:r>
              <w:rPr>
                <w:rFonts w:hint="eastAsia" w:ascii="宋体" w:hAnsi="宋体" w:cs="宋体"/>
                <w:b/>
                <w:color w:val="auto"/>
                <w:szCs w:val="21"/>
                <w:highlight w:val="none"/>
              </w:rPr>
              <w:t>（一）验收标准</w:t>
            </w:r>
          </w:p>
        </w:tc>
      </w:tr>
      <w:tr w14:paraId="529F60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16" w:type="dxa"/>
            <w:gridSpan w:val="3"/>
            <w:tcBorders>
              <w:top w:val="single" w:color="auto" w:sz="4" w:space="0"/>
              <w:left w:val="single" w:color="auto" w:sz="4" w:space="0"/>
              <w:bottom w:val="single" w:color="auto" w:sz="4" w:space="0"/>
              <w:right w:val="single" w:color="auto" w:sz="4" w:space="0"/>
            </w:tcBorders>
            <w:vAlign w:val="center"/>
          </w:tcPr>
          <w:p w14:paraId="5F92C135">
            <w:pPr>
              <w:spacing w:line="360" w:lineRule="auto"/>
              <w:rPr>
                <w:rFonts w:ascii="宋体" w:hAnsi="宋体" w:cs="宋体"/>
                <w:color w:val="auto"/>
                <w:szCs w:val="21"/>
                <w:highlight w:val="none"/>
              </w:rPr>
            </w:pPr>
            <w:r>
              <w:rPr>
                <w:rFonts w:hint="eastAsia" w:ascii="宋体" w:hAnsi="宋体" w:cs="宋体"/>
                <w:color w:val="auto"/>
                <w:szCs w:val="21"/>
                <w:highlight w:val="none"/>
              </w:rPr>
              <w:t>1、验收标准：符合现行国家相关标准、行业标准、地方标准或者其他标准、规范。</w:t>
            </w:r>
          </w:p>
          <w:p w14:paraId="7D841021">
            <w:pPr>
              <w:spacing w:line="360" w:lineRule="auto"/>
              <w:rPr>
                <w:rFonts w:ascii="宋体" w:hAnsi="宋体" w:cs="宋体"/>
                <w:color w:val="auto"/>
                <w:szCs w:val="21"/>
                <w:highlight w:val="none"/>
              </w:rPr>
            </w:pPr>
            <w:r>
              <w:rPr>
                <w:rFonts w:hint="eastAsia" w:ascii="宋体" w:hAnsi="宋体" w:cs="宋体"/>
                <w:color w:val="auto"/>
                <w:szCs w:val="21"/>
                <w:highlight w:val="none"/>
              </w:rPr>
              <w:t>2、中标人在货物交付验收时，由采购人</w:t>
            </w:r>
            <w:r>
              <w:rPr>
                <w:rFonts w:hint="eastAsia" w:asciiTheme="minorEastAsia" w:hAnsiTheme="minorEastAsia" w:eastAsiaTheme="minorEastAsia" w:cstheme="minorEastAsia"/>
                <w:b w:val="0"/>
                <w:bCs w:val="0"/>
                <w:color w:val="auto"/>
                <w:sz w:val="21"/>
                <w:szCs w:val="21"/>
                <w:highlight w:val="none"/>
                <w:lang w:val="en-US" w:eastAsia="zh-CN"/>
              </w:rPr>
              <w:t>自行组织验收小组</w:t>
            </w:r>
            <w:r>
              <w:rPr>
                <w:rFonts w:hint="eastAsia" w:ascii="宋体" w:hAnsi="宋体" w:cs="宋体"/>
                <w:color w:val="auto"/>
                <w:szCs w:val="21"/>
                <w:highlight w:val="none"/>
              </w:rPr>
              <w:t>对照招标文件的项目要求及技术需求，全面核对检验。如不符合招标文件的技术需求及要求以及提供虚假承诺的，按相关规定做违约处理，中标人承担所有责任和费用，采购人保留进一步追究责任的权利。</w:t>
            </w:r>
          </w:p>
          <w:p w14:paraId="2F218BAA">
            <w:pPr>
              <w:spacing w:line="360" w:lineRule="auto"/>
              <w:rPr>
                <w:rFonts w:ascii="宋体" w:hAnsi="宋体" w:cs="宋体"/>
                <w:color w:val="auto"/>
                <w:szCs w:val="21"/>
                <w:highlight w:val="none"/>
              </w:rPr>
            </w:pPr>
            <w:r>
              <w:rPr>
                <w:rFonts w:hint="eastAsia" w:ascii="宋体" w:hAnsi="宋体" w:cs="宋体"/>
                <w:color w:val="auto"/>
                <w:szCs w:val="21"/>
                <w:highlight w:val="none"/>
              </w:rPr>
              <w:t>3、验收时间: 采购人收到中标人验收申请之日起5个工作日进行验收（如有特殊情况，按采购人指定的时间，另行验收）。</w:t>
            </w:r>
          </w:p>
          <w:p w14:paraId="3B2CAB92">
            <w:pPr>
              <w:spacing w:line="360" w:lineRule="auto"/>
              <w:rPr>
                <w:rFonts w:ascii="宋体" w:hAnsi="宋体" w:cs="宋体"/>
                <w:color w:val="auto"/>
                <w:szCs w:val="21"/>
                <w:highlight w:val="none"/>
              </w:rPr>
            </w:pPr>
            <w:r>
              <w:rPr>
                <w:rFonts w:hint="eastAsia" w:ascii="宋体" w:hAnsi="宋体" w:cs="宋体"/>
                <w:color w:val="auto"/>
                <w:szCs w:val="21"/>
                <w:highlight w:val="none"/>
              </w:rPr>
              <w:t>4、验收地点：苍梧县人民医院内。</w:t>
            </w:r>
          </w:p>
          <w:p w14:paraId="71B7901E">
            <w:pPr>
              <w:spacing w:line="360" w:lineRule="auto"/>
              <w:rPr>
                <w:rFonts w:ascii="宋体" w:hAnsi="宋体" w:cs="宋体"/>
                <w:color w:val="auto"/>
                <w:szCs w:val="21"/>
                <w:highlight w:val="none"/>
              </w:rPr>
            </w:pPr>
            <w:r>
              <w:rPr>
                <w:rFonts w:hint="eastAsia" w:ascii="宋体" w:hAnsi="宋体" w:cs="宋体"/>
                <w:color w:val="auto"/>
                <w:szCs w:val="21"/>
                <w:highlight w:val="none"/>
              </w:rPr>
              <w:t>5、验收方式：</w:t>
            </w:r>
          </w:p>
          <w:p w14:paraId="666173D4">
            <w:pPr>
              <w:spacing w:line="360" w:lineRule="auto"/>
              <w:rPr>
                <w:rFonts w:ascii="宋体" w:hAnsi="宋体" w:cs="宋体"/>
                <w:color w:val="auto"/>
                <w:szCs w:val="21"/>
                <w:highlight w:val="none"/>
              </w:rPr>
            </w:pPr>
            <w:r>
              <w:rPr>
                <w:rFonts w:hint="eastAsia" w:ascii="宋体" w:hAnsi="宋体" w:cs="宋体"/>
                <w:color w:val="auto"/>
                <w:szCs w:val="21"/>
                <w:highlight w:val="none"/>
              </w:rPr>
              <w:t>1）中标人完成货物安装调试和培训后，书面向采购人提交验收申请。</w:t>
            </w:r>
          </w:p>
          <w:p w14:paraId="27BE04E0">
            <w:pPr>
              <w:spacing w:line="360" w:lineRule="auto"/>
              <w:rPr>
                <w:rFonts w:ascii="宋体" w:hAnsi="宋体" w:cs="宋体"/>
                <w:color w:val="auto"/>
                <w:szCs w:val="21"/>
                <w:highlight w:val="none"/>
              </w:rPr>
            </w:pPr>
            <w:r>
              <w:rPr>
                <w:rFonts w:hint="eastAsia" w:ascii="宋体" w:hAnsi="宋体" w:cs="宋体"/>
                <w:color w:val="auto"/>
                <w:szCs w:val="21"/>
                <w:highlight w:val="none"/>
              </w:rPr>
              <w:t>2）采购人收到中标人验收申请之日起5个工作日进行验收（如有特殊情况，按采购人指定的时间，另行验收）。</w:t>
            </w:r>
          </w:p>
          <w:p w14:paraId="46C28687">
            <w:pPr>
              <w:spacing w:line="360" w:lineRule="auto"/>
              <w:rPr>
                <w:rFonts w:ascii="宋体" w:hAnsi="宋体" w:cs="宋体"/>
                <w:color w:val="auto"/>
                <w:szCs w:val="21"/>
                <w:highlight w:val="none"/>
              </w:rPr>
            </w:pPr>
            <w:r>
              <w:rPr>
                <w:rFonts w:hint="eastAsia" w:ascii="宋体" w:hAnsi="宋体" w:cs="宋体"/>
                <w:color w:val="auto"/>
                <w:szCs w:val="21"/>
                <w:highlight w:val="none"/>
              </w:rPr>
              <w:t>3）本项目验收由验收小组按照采购合同约定对每一项技术和商务要求的履约情况进行确认，作为验收依据；</w:t>
            </w:r>
          </w:p>
          <w:p w14:paraId="4DDB8696">
            <w:pPr>
              <w:spacing w:line="360" w:lineRule="auto"/>
              <w:rPr>
                <w:rFonts w:ascii="宋体" w:hAnsi="宋体" w:cs="宋体"/>
                <w:color w:val="auto"/>
                <w:szCs w:val="21"/>
                <w:highlight w:val="none"/>
              </w:rPr>
            </w:pPr>
            <w:r>
              <w:rPr>
                <w:rFonts w:hint="eastAsia" w:ascii="宋体" w:hAnsi="宋体" w:cs="宋体"/>
                <w:color w:val="auto"/>
                <w:szCs w:val="21"/>
                <w:highlight w:val="none"/>
              </w:rPr>
              <w:t>4）验收结束后，验收小组出具采购验收书，验收书应当包括每一项技术和商务要求的履约情况，并列明项目总体评价，由验收小组、采购人和中标人共同签署。</w:t>
            </w:r>
          </w:p>
          <w:p w14:paraId="75F61715">
            <w:pPr>
              <w:spacing w:line="360" w:lineRule="auto"/>
              <w:rPr>
                <w:rFonts w:ascii="宋体" w:hAnsi="宋体" w:cs="宋体"/>
                <w:color w:val="auto"/>
                <w:szCs w:val="21"/>
                <w:highlight w:val="none"/>
              </w:rPr>
            </w:pPr>
            <w:r>
              <w:rPr>
                <w:rFonts w:hint="eastAsia" w:ascii="宋体" w:hAnsi="宋体" w:cs="宋体"/>
                <w:color w:val="auto"/>
                <w:szCs w:val="21"/>
                <w:highlight w:val="none"/>
              </w:rPr>
              <w:t>5）验收过程中所产生的一切费用均由中标人承担。</w:t>
            </w:r>
          </w:p>
          <w:p w14:paraId="38D39FFC">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6）验收书一式肆份，双方各执两份。 </w:t>
            </w:r>
          </w:p>
          <w:p w14:paraId="1F1EAD9E">
            <w:pPr>
              <w:spacing w:line="360" w:lineRule="auto"/>
              <w:rPr>
                <w:rFonts w:ascii="宋体" w:hAnsi="宋体" w:cs="宋体"/>
                <w:color w:val="auto"/>
                <w:szCs w:val="21"/>
                <w:highlight w:val="none"/>
              </w:rPr>
            </w:pPr>
            <w:r>
              <w:rPr>
                <w:rFonts w:hint="eastAsia" w:ascii="宋体" w:hAnsi="宋体" w:cs="宋体"/>
                <w:color w:val="auto"/>
                <w:szCs w:val="21"/>
                <w:highlight w:val="none"/>
              </w:rPr>
              <w:t>7）验收结论不合格的，中标人应自收到验收书后5日内及时予以解决。经中标人对验收结论不合格的货物进行整改后，仍然达不到要求的，经双方协商，可按以下办法处理：</w:t>
            </w:r>
          </w:p>
          <w:p w14:paraId="46C8E070">
            <w:pPr>
              <w:spacing w:line="360" w:lineRule="auto"/>
              <w:rPr>
                <w:rFonts w:ascii="宋体" w:hAnsi="宋体" w:cs="宋体"/>
                <w:color w:val="auto"/>
                <w:szCs w:val="21"/>
                <w:highlight w:val="none"/>
              </w:rPr>
            </w:pPr>
            <w:r>
              <w:rPr>
                <w:rFonts w:hint="eastAsia" w:ascii="宋体" w:hAnsi="宋体" w:cs="宋体"/>
                <w:color w:val="auto"/>
                <w:szCs w:val="21"/>
                <w:highlight w:val="none"/>
              </w:rPr>
              <w:t>①更换：由中标人承担所发生的全部费用。</w:t>
            </w:r>
          </w:p>
          <w:p w14:paraId="727ED683">
            <w:pPr>
              <w:spacing w:line="360" w:lineRule="auto"/>
              <w:rPr>
                <w:rFonts w:ascii="宋体" w:hAnsi="宋体" w:cs="宋体"/>
                <w:color w:val="auto"/>
                <w:szCs w:val="21"/>
                <w:highlight w:val="none"/>
              </w:rPr>
            </w:pPr>
            <w:r>
              <w:rPr>
                <w:rFonts w:hint="eastAsia" w:ascii="宋体" w:hAnsi="宋体" w:cs="宋体"/>
                <w:color w:val="auto"/>
                <w:szCs w:val="21"/>
                <w:highlight w:val="none"/>
              </w:rPr>
              <w:t>②退货处理：中标人应退还采购人支付的合同款，同时应承担该货物的直接费用（运输保险、检验、货款利息及银行手续费等）。</w:t>
            </w:r>
          </w:p>
        </w:tc>
      </w:tr>
      <w:tr w14:paraId="058084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16" w:type="dxa"/>
            <w:gridSpan w:val="3"/>
            <w:tcBorders>
              <w:top w:val="single" w:color="auto" w:sz="4" w:space="0"/>
              <w:left w:val="single" w:color="auto" w:sz="4" w:space="0"/>
              <w:bottom w:val="single" w:color="auto" w:sz="4" w:space="0"/>
              <w:right w:val="single" w:color="auto" w:sz="4" w:space="0"/>
            </w:tcBorders>
            <w:vAlign w:val="center"/>
          </w:tcPr>
          <w:p w14:paraId="3B8CFB89">
            <w:pPr>
              <w:widowControl/>
              <w:spacing w:line="360" w:lineRule="auto"/>
              <w:jc w:val="left"/>
              <w:rPr>
                <w:rFonts w:ascii="宋体" w:hAnsi="宋体" w:cs="宋体"/>
                <w:b/>
                <w:color w:val="auto"/>
                <w:szCs w:val="21"/>
                <w:highlight w:val="none"/>
              </w:rPr>
            </w:pPr>
            <w:r>
              <w:rPr>
                <w:rFonts w:hint="eastAsia" w:ascii="宋体" w:hAnsi="宋体" w:cs="宋体"/>
                <w:b/>
                <w:bCs/>
                <w:color w:val="auto"/>
                <w:kern w:val="0"/>
                <w:szCs w:val="21"/>
                <w:highlight w:val="none"/>
              </w:rPr>
              <w:t>▲（二）履约验收其他事项</w:t>
            </w:r>
          </w:p>
        </w:tc>
      </w:tr>
      <w:tr w14:paraId="5F0F00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16" w:type="dxa"/>
            <w:gridSpan w:val="3"/>
            <w:tcBorders>
              <w:top w:val="single" w:color="auto" w:sz="4" w:space="0"/>
              <w:left w:val="single" w:color="auto" w:sz="4" w:space="0"/>
              <w:bottom w:val="single" w:color="auto" w:sz="4" w:space="0"/>
              <w:right w:val="single" w:color="auto" w:sz="4" w:space="0"/>
            </w:tcBorders>
            <w:vAlign w:val="center"/>
          </w:tcPr>
          <w:p w14:paraId="3B882B22">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1、验收过程中所产生的一切费用均由中标人承担。报价时应考虑相关费用。</w:t>
            </w:r>
          </w:p>
          <w:p w14:paraId="73013998">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2、中标人在货物交付验收时，由采购人对照采购文件的项目要求及技术需求，全面核对检验。如不符合采购文件的技术需求及要求以及提供虚假承诺的，按相关规定做违约处理，中标人承担所有责任和费用，采购人保留进一步追究责任的权利。</w:t>
            </w:r>
          </w:p>
          <w:p w14:paraId="41AF9C5E">
            <w:pPr>
              <w:widowControl/>
              <w:spacing w:line="360" w:lineRule="auto"/>
              <w:jc w:val="left"/>
              <w:rPr>
                <w:rFonts w:ascii="宋体" w:hAnsi="宋体" w:cs="宋体"/>
                <w:bCs/>
                <w:color w:val="auto"/>
                <w:szCs w:val="21"/>
                <w:highlight w:val="none"/>
              </w:rPr>
            </w:pPr>
            <w:r>
              <w:rPr>
                <w:rFonts w:hint="eastAsia" w:ascii="宋体" w:hAnsi="宋体" w:cs="宋体"/>
                <w:color w:val="auto"/>
                <w:kern w:val="0"/>
                <w:szCs w:val="21"/>
                <w:highlight w:val="none"/>
              </w:rPr>
              <w:t>3、验收方式：采购人成立验收小组，按照采购合同的约定对供应商履约情况进行验收。</w:t>
            </w:r>
          </w:p>
        </w:tc>
      </w:tr>
      <w:tr w14:paraId="720610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16" w:type="dxa"/>
            <w:gridSpan w:val="3"/>
            <w:tcBorders>
              <w:top w:val="single" w:color="auto" w:sz="4" w:space="0"/>
              <w:left w:val="single" w:color="auto" w:sz="4" w:space="0"/>
              <w:bottom w:val="single" w:color="auto" w:sz="4" w:space="0"/>
              <w:right w:val="single" w:color="auto" w:sz="4" w:space="0"/>
            </w:tcBorders>
          </w:tcPr>
          <w:p w14:paraId="00258A40">
            <w:pPr>
              <w:widowControl/>
              <w:spacing w:line="360" w:lineRule="auto"/>
              <w:jc w:val="left"/>
              <w:rPr>
                <w:rFonts w:ascii="宋体" w:hAnsi="宋体" w:cs="宋体"/>
                <w:color w:val="auto"/>
                <w:kern w:val="0"/>
                <w:szCs w:val="21"/>
                <w:highlight w:val="none"/>
              </w:rPr>
            </w:pPr>
            <w:r>
              <w:rPr>
                <w:rFonts w:hint="eastAsia" w:ascii="宋体" w:hAnsi="宋体" w:cs="宋体"/>
                <w:b/>
                <w:bCs/>
                <w:color w:val="auto"/>
                <w:kern w:val="0"/>
                <w:szCs w:val="21"/>
                <w:highlight w:val="none"/>
              </w:rPr>
              <w:t>（三）政策性加分条件</w:t>
            </w:r>
          </w:p>
        </w:tc>
      </w:tr>
      <w:tr w14:paraId="57B813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16" w:type="dxa"/>
            <w:gridSpan w:val="3"/>
            <w:tcBorders>
              <w:top w:val="single" w:color="auto" w:sz="4" w:space="0"/>
              <w:left w:val="single" w:color="auto" w:sz="4" w:space="0"/>
              <w:bottom w:val="single" w:color="auto" w:sz="4" w:space="0"/>
              <w:right w:val="single" w:color="auto" w:sz="4" w:space="0"/>
            </w:tcBorders>
            <w:vAlign w:val="center"/>
          </w:tcPr>
          <w:p w14:paraId="1B05FE13">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符合节能环保等国家政策要求</w:t>
            </w:r>
          </w:p>
        </w:tc>
      </w:tr>
      <w:tr w14:paraId="0DDA8B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16" w:type="dxa"/>
            <w:gridSpan w:val="3"/>
            <w:tcBorders>
              <w:top w:val="single" w:color="auto" w:sz="4" w:space="0"/>
              <w:left w:val="single" w:color="auto" w:sz="4" w:space="0"/>
              <w:bottom w:val="single" w:color="auto" w:sz="4" w:space="0"/>
              <w:right w:val="single" w:color="auto" w:sz="4" w:space="0"/>
            </w:tcBorders>
          </w:tcPr>
          <w:p w14:paraId="2F1C6D01">
            <w:pPr>
              <w:spacing w:line="360" w:lineRule="auto"/>
              <w:rPr>
                <w:rFonts w:ascii="宋体" w:hAnsi="宋体" w:cs="宋体"/>
                <w:b/>
                <w:color w:val="auto"/>
                <w:szCs w:val="21"/>
                <w:highlight w:val="none"/>
              </w:rPr>
            </w:pPr>
            <w:r>
              <w:rPr>
                <w:rFonts w:hint="eastAsia" w:ascii="宋体" w:hAnsi="宋体" w:cs="宋体"/>
                <w:b/>
                <w:bCs/>
                <w:color w:val="auto"/>
                <w:kern w:val="0"/>
                <w:szCs w:val="21"/>
                <w:highlight w:val="none"/>
              </w:rPr>
              <w:t>（四）进口产品说明</w:t>
            </w:r>
          </w:p>
        </w:tc>
      </w:tr>
      <w:tr w14:paraId="4DB457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8" w:type="dxa"/>
            <w:tcBorders>
              <w:top w:val="single" w:color="auto" w:sz="4" w:space="0"/>
              <w:left w:val="single" w:color="auto" w:sz="4" w:space="0"/>
              <w:bottom w:val="single" w:color="auto" w:sz="4" w:space="0"/>
              <w:right w:val="single" w:color="auto" w:sz="4" w:space="0"/>
            </w:tcBorders>
            <w:vAlign w:val="center"/>
          </w:tcPr>
          <w:p w14:paraId="62713FCD">
            <w:pPr>
              <w:spacing w:line="360" w:lineRule="auto"/>
              <w:rPr>
                <w:rFonts w:ascii="宋体" w:hAnsi="宋体" w:cs="宋体"/>
                <w:color w:val="auto"/>
                <w:szCs w:val="21"/>
                <w:highlight w:val="none"/>
              </w:rPr>
            </w:pPr>
            <w:r>
              <w:rPr>
                <w:rFonts w:hint="eastAsia" w:ascii="宋体" w:hAnsi="宋体" w:cs="宋体"/>
                <w:color w:val="auto"/>
                <w:szCs w:val="21"/>
                <w:highlight w:val="none"/>
              </w:rPr>
              <w:t>进口产品说明</w:t>
            </w:r>
          </w:p>
        </w:tc>
        <w:tc>
          <w:tcPr>
            <w:tcW w:w="7578" w:type="dxa"/>
            <w:gridSpan w:val="2"/>
            <w:tcBorders>
              <w:top w:val="single" w:color="auto" w:sz="4" w:space="0"/>
              <w:left w:val="single" w:color="auto" w:sz="4" w:space="0"/>
              <w:bottom w:val="single" w:color="auto" w:sz="4" w:space="0"/>
              <w:right w:val="single" w:color="auto" w:sz="4" w:space="0"/>
            </w:tcBorders>
          </w:tcPr>
          <w:p w14:paraId="06F8D0C7">
            <w:pPr>
              <w:spacing w:line="360" w:lineRule="auto"/>
              <w:rPr>
                <w:rFonts w:ascii="宋体" w:hAnsi="宋体" w:cs="宋体"/>
                <w:color w:val="auto"/>
                <w:szCs w:val="21"/>
                <w:highlight w:val="none"/>
              </w:rPr>
            </w:pPr>
            <w:r>
              <w:rPr>
                <w:rFonts w:hint="eastAsia" w:ascii="宋体" w:hAnsi="宋体" w:cs="宋体"/>
                <w:color w:val="auto"/>
                <w:szCs w:val="21"/>
                <w:highlight w:val="none"/>
              </w:rPr>
              <w:t>□本表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其他货物不接受进口产品参与投标，</w:t>
            </w:r>
            <w:r>
              <w:rPr>
                <w:rFonts w:hint="eastAsia" w:ascii="宋体" w:hAnsi="宋体" w:cs="宋体"/>
                <w:b/>
                <w:color w:val="auto"/>
                <w:szCs w:val="21"/>
                <w:highlight w:val="none"/>
              </w:rPr>
              <w:t>否则作无效标处理。</w:t>
            </w:r>
          </w:p>
          <w:p w14:paraId="19EE21E4">
            <w:pPr>
              <w:spacing w:line="360" w:lineRule="auto"/>
              <w:rPr>
                <w:rFonts w:ascii="宋体" w:hAnsi="宋体" w:cs="宋体"/>
                <w:color w:val="auto"/>
                <w:szCs w:val="21"/>
                <w:highlight w:val="none"/>
              </w:rPr>
            </w:pPr>
            <w:r>
              <w:rPr>
                <w:rFonts w:hint="eastAsia" w:ascii="宋体" w:hAnsi="宋体" w:cs="宋体"/>
                <w:color w:val="auto"/>
                <w:szCs w:val="21"/>
                <w:highlight w:val="none"/>
              </w:rPr>
              <w:t>☑本项目货物不接受进口产品（即通过中国海关报关验放进入中国境内且产自关境外的产品）参与投标，</w:t>
            </w:r>
            <w:r>
              <w:rPr>
                <w:rFonts w:hint="eastAsia" w:ascii="宋体" w:hAnsi="宋体" w:cs="宋体"/>
                <w:b/>
                <w:color w:val="auto"/>
                <w:szCs w:val="21"/>
                <w:highlight w:val="none"/>
              </w:rPr>
              <w:t>如有进口产品参与投标的作无效标处理</w:t>
            </w:r>
            <w:r>
              <w:rPr>
                <w:rFonts w:hint="eastAsia" w:ascii="宋体" w:hAnsi="宋体" w:cs="宋体"/>
                <w:color w:val="auto"/>
                <w:szCs w:val="21"/>
                <w:highlight w:val="none"/>
              </w:rPr>
              <w:t>。</w:t>
            </w:r>
          </w:p>
        </w:tc>
      </w:tr>
    </w:tbl>
    <w:p w14:paraId="5C2B2918">
      <w:pPr>
        <w:spacing w:line="560" w:lineRule="exact"/>
        <w:ind w:firstLine="420" w:firstLineChars="200"/>
        <w:jc w:val="left"/>
        <w:rPr>
          <w:rFonts w:ascii="宋体" w:hAnsi="宋体" w:cs="宋体"/>
          <w:bCs/>
          <w:color w:val="auto"/>
          <w:szCs w:val="21"/>
          <w:highlight w:val="none"/>
          <w:u w:val="single"/>
        </w:rPr>
      </w:pPr>
    </w:p>
    <w:p w14:paraId="756F0050">
      <w:pPr>
        <w:rPr>
          <w:rFonts w:ascii="宋体" w:hAnsi="宋体" w:cs="宋体"/>
          <w:color w:val="auto"/>
          <w:sz w:val="32"/>
          <w:szCs w:val="32"/>
          <w:highlight w:val="none"/>
        </w:rPr>
      </w:pPr>
      <w:r>
        <w:rPr>
          <w:rFonts w:hint="eastAsia" w:ascii="宋体" w:hAnsi="宋体" w:cs="宋体"/>
          <w:color w:val="auto"/>
          <w:highlight w:val="none"/>
        </w:rPr>
        <w:br w:type="page"/>
      </w:r>
      <w:bookmarkStart w:id="43" w:name="_Toc25688"/>
    </w:p>
    <w:p w14:paraId="3C1B1F61">
      <w:pPr>
        <w:spacing w:line="528" w:lineRule="exact"/>
        <w:ind w:left="1871" w:firstLine="803" w:firstLineChars="200"/>
        <w:rPr>
          <w:rFonts w:ascii="宋体" w:hAnsi="宋体" w:cs="宋体"/>
          <w:b/>
          <w:bCs/>
          <w:color w:val="auto"/>
          <w:sz w:val="40"/>
          <w:szCs w:val="40"/>
          <w:highlight w:val="none"/>
        </w:rPr>
      </w:pPr>
      <w:r>
        <w:rPr>
          <w:rFonts w:hint="eastAsia" w:ascii="宋体" w:hAnsi="宋体" w:cs="宋体"/>
          <w:b/>
          <w:bCs/>
          <w:color w:val="auto"/>
          <w:sz w:val="40"/>
          <w:szCs w:val="40"/>
          <w:highlight w:val="none"/>
        </w:rPr>
        <w:t>中小微企业划型标准</w:t>
      </w:r>
    </w:p>
    <w:tbl>
      <w:tblPr>
        <w:tblStyle w:val="48"/>
        <w:tblW w:w="8790" w:type="dxa"/>
        <w:tblInd w:w="7" w:type="dxa"/>
        <w:tblLayout w:type="fixed"/>
        <w:tblCellMar>
          <w:top w:w="0" w:type="dxa"/>
          <w:left w:w="108" w:type="dxa"/>
          <w:bottom w:w="0" w:type="dxa"/>
          <w:right w:w="108" w:type="dxa"/>
        </w:tblCellMar>
      </w:tblPr>
      <w:tblGrid>
        <w:gridCol w:w="1944"/>
        <w:gridCol w:w="1383"/>
        <w:gridCol w:w="913"/>
        <w:gridCol w:w="1619"/>
        <w:gridCol w:w="1439"/>
        <w:gridCol w:w="1492"/>
      </w:tblGrid>
      <w:tr w14:paraId="110F7823">
        <w:tblPrEx>
          <w:tblCellMar>
            <w:top w:w="0" w:type="dxa"/>
            <w:left w:w="108" w:type="dxa"/>
            <w:bottom w:w="0" w:type="dxa"/>
            <w:right w:w="108" w:type="dxa"/>
          </w:tblCellMar>
        </w:tblPrEx>
        <w:trPr>
          <w:trHeight w:val="285" w:hRule="atLeast"/>
        </w:trPr>
        <w:tc>
          <w:tcPr>
            <w:tcW w:w="1944" w:type="dxa"/>
            <w:tcBorders>
              <w:top w:val="single" w:color="auto" w:sz="4" w:space="0"/>
              <w:left w:val="single" w:color="auto" w:sz="4" w:space="0"/>
              <w:bottom w:val="single" w:color="auto" w:sz="4" w:space="0"/>
              <w:right w:val="single" w:color="auto" w:sz="4" w:space="0"/>
            </w:tcBorders>
            <w:noWrap/>
            <w:vAlign w:val="center"/>
          </w:tcPr>
          <w:p w14:paraId="5E42D509">
            <w:pPr>
              <w:spacing w:before="57" w:line="254" w:lineRule="auto"/>
              <w:ind w:left="59" w:right="60"/>
              <w:jc w:val="center"/>
              <w:rPr>
                <w:rFonts w:ascii="宋体" w:hAnsi="宋体" w:cs="宋体"/>
                <w:b/>
                <w:bCs/>
                <w:color w:val="auto"/>
                <w:w w:val="99"/>
                <w:kern w:val="0"/>
                <w:sz w:val="20"/>
                <w:szCs w:val="20"/>
                <w:highlight w:val="none"/>
                <w:lang w:eastAsia="en-US"/>
              </w:rPr>
            </w:pPr>
            <w:r>
              <w:rPr>
                <w:rFonts w:hint="eastAsia" w:ascii="宋体" w:hAnsi="宋体" w:cs="宋体"/>
                <w:b/>
                <w:bCs/>
                <w:color w:val="auto"/>
                <w:w w:val="99"/>
                <w:kern w:val="0"/>
                <w:sz w:val="20"/>
                <w:szCs w:val="20"/>
                <w:highlight w:val="none"/>
                <w:lang w:eastAsia="en-US"/>
              </w:rPr>
              <w:t>行业名称</w:t>
            </w:r>
          </w:p>
        </w:tc>
        <w:tc>
          <w:tcPr>
            <w:tcW w:w="1383" w:type="dxa"/>
            <w:tcBorders>
              <w:top w:val="single" w:color="auto" w:sz="4" w:space="0"/>
              <w:left w:val="nil"/>
              <w:bottom w:val="single" w:color="auto" w:sz="4" w:space="0"/>
              <w:right w:val="single" w:color="auto" w:sz="4" w:space="0"/>
            </w:tcBorders>
            <w:noWrap/>
            <w:vAlign w:val="center"/>
          </w:tcPr>
          <w:p w14:paraId="04F6BBE3">
            <w:pPr>
              <w:spacing w:before="57" w:line="254" w:lineRule="auto"/>
              <w:ind w:left="59" w:right="60"/>
              <w:jc w:val="center"/>
              <w:rPr>
                <w:rFonts w:ascii="宋体" w:hAnsi="宋体" w:cs="宋体"/>
                <w:b/>
                <w:bCs/>
                <w:color w:val="auto"/>
                <w:w w:val="99"/>
                <w:kern w:val="0"/>
                <w:sz w:val="20"/>
                <w:szCs w:val="20"/>
                <w:highlight w:val="none"/>
                <w:lang w:eastAsia="en-US"/>
              </w:rPr>
            </w:pPr>
            <w:r>
              <w:rPr>
                <w:rFonts w:hint="eastAsia" w:ascii="宋体" w:hAnsi="宋体" w:cs="宋体"/>
                <w:b/>
                <w:bCs/>
                <w:color w:val="auto"/>
                <w:w w:val="99"/>
                <w:kern w:val="0"/>
                <w:sz w:val="20"/>
                <w:szCs w:val="20"/>
                <w:highlight w:val="none"/>
                <w:lang w:eastAsia="en-US"/>
              </w:rPr>
              <w:t>指标名称</w:t>
            </w:r>
          </w:p>
        </w:tc>
        <w:tc>
          <w:tcPr>
            <w:tcW w:w="913" w:type="dxa"/>
            <w:tcBorders>
              <w:top w:val="single" w:color="auto" w:sz="4" w:space="0"/>
              <w:left w:val="nil"/>
              <w:bottom w:val="single" w:color="auto" w:sz="4" w:space="0"/>
              <w:right w:val="single" w:color="auto" w:sz="4" w:space="0"/>
            </w:tcBorders>
            <w:noWrap/>
            <w:vAlign w:val="center"/>
          </w:tcPr>
          <w:p w14:paraId="346CC3B0">
            <w:pPr>
              <w:spacing w:before="57" w:line="254" w:lineRule="auto"/>
              <w:ind w:left="59" w:right="60"/>
              <w:jc w:val="center"/>
              <w:rPr>
                <w:rFonts w:ascii="宋体" w:hAnsi="宋体" w:cs="宋体"/>
                <w:b/>
                <w:bCs/>
                <w:color w:val="auto"/>
                <w:w w:val="99"/>
                <w:kern w:val="0"/>
                <w:sz w:val="20"/>
                <w:szCs w:val="20"/>
                <w:highlight w:val="none"/>
                <w:lang w:eastAsia="en-US"/>
              </w:rPr>
            </w:pPr>
            <w:r>
              <w:rPr>
                <w:rFonts w:hint="eastAsia" w:ascii="宋体" w:hAnsi="宋体" w:cs="宋体"/>
                <w:b/>
                <w:bCs/>
                <w:color w:val="auto"/>
                <w:w w:val="99"/>
                <w:kern w:val="0"/>
                <w:sz w:val="20"/>
                <w:szCs w:val="20"/>
                <w:highlight w:val="none"/>
                <w:lang w:eastAsia="en-US"/>
              </w:rPr>
              <w:t>计量单位</w:t>
            </w:r>
          </w:p>
        </w:tc>
        <w:tc>
          <w:tcPr>
            <w:tcW w:w="1619" w:type="dxa"/>
            <w:tcBorders>
              <w:top w:val="single" w:color="auto" w:sz="4" w:space="0"/>
              <w:left w:val="nil"/>
              <w:bottom w:val="single" w:color="auto" w:sz="4" w:space="0"/>
              <w:right w:val="single" w:color="auto" w:sz="4" w:space="0"/>
            </w:tcBorders>
            <w:noWrap/>
            <w:vAlign w:val="center"/>
          </w:tcPr>
          <w:p w14:paraId="47256D47">
            <w:pPr>
              <w:spacing w:before="57" w:line="254" w:lineRule="auto"/>
              <w:ind w:left="59" w:right="60"/>
              <w:jc w:val="center"/>
              <w:rPr>
                <w:rFonts w:ascii="宋体" w:hAnsi="宋体" w:cs="宋体"/>
                <w:b/>
                <w:bCs/>
                <w:color w:val="auto"/>
                <w:w w:val="99"/>
                <w:kern w:val="0"/>
                <w:sz w:val="20"/>
                <w:szCs w:val="20"/>
                <w:highlight w:val="none"/>
                <w:lang w:eastAsia="en-US"/>
              </w:rPr>
            </w:pPr>
            <w:r>
              <w:rPr>
                <w:rFonts w:hint="eastAsia" w:ascii="宋体" w:hAnsi="宋体" w:cs="宋体"/>
                <w:b/>
                <w:bCs/>
                <w:color w:val="auto"/>
                <w:w w:val="99"/>
                <w:kern w:val="0"/>
                <w:sz w:val="20"/>
                <w:szCs w:val="20"/>
                <w:highlight w:val="none"/>
                <w:lang w:eastAsia="en-US"/>
              </w:rPr>
              <w:t>中型</w:t>
            </w:r>
          </w:p>
        </w:tc>
        <w:tc>
          <w:tcPr>
            <w:tcW w:w="1439" w:type="dxa"/>
            <w:tcBorders>
              <w:top w:val="single" w:color="auto" w:sz="4" w:space="0"/>
              <w:left w:val="nil"/>
              <w:bottom w:val="single" w:color="auto" w:sz="4" w:space="0"/>
              <w:right w:val="single" w:color="auto" w:sz="4" w:space="0"/>
            </w:tcBorders>
            <w:noWrap/>
            <w:vAlign w:val="center"/>
          </w:tcPr>
          <w:p w14:paraId="784D500A">
            <w:pPr>
              <w:spacing w:before="57" w:line="254" w:lineRule="auto"/>
              <w:ind w:left="59" w:right="60"/>
              <w:jc w:val="center"/>
              <w:rPr>
                <w:rFonts w:ascii="宋体" w:hAnsi="宋体" w:cs="宋体"/>
                <w:b/>
                <w:bCs/>
                <w:color w:val="auto"/>
                <w:w w:val="99"/>
                <w:kern w:val="0"/>
                <w:sz w:val="20"/>
                <w:szCs w:val="20"/>
                <w:highlight w:val="none"/>
                <w:lang w:eastAsia="en-US"/>
              </w:rPr>
            </w:pPr>
            <w:r>
              <w:rPr>
                <w:rFonts w:hint="eastAsia" w:ascii="宋体" w:hAnsi="宋体" w:cs="宋体"/>
                <w:b/>
                <w:bCs/>
                <w:color w:val="auto"/>
                <w:w w:val="99"/>
                <w:kern w:val="0"/>
                <w:sz w:val="20"/>
                <w:szCs w:val="20"/>
                <w:highlight w:val="none"/>
                <w:lang w:eastAsia="en-US"/>
              </w:rPr>
              <w:t>小型</w:t>
            </w:r>
          </w:p>
        </w:tc>
        <w:tc>
          <w:tcPr>
            <w:tcW w:w="1492" w:type="dxa"/>
            <w:tcBorders>
              <w:top w:val="single" w:color="auto" w:sz="4" w:space="0"/>
              <w:left w:val="nil"/>
              <w:bottom w:val="single" w:color="auto" w:sz="4" w:space="0"/>
              <w:right w:val="single" w:color="auto" w:sz="4" w:space="0"/>
            </w:tcBorders>
            <w:noWrap/>
            <w:vAlign w:val="center"/>
          </w:tcPr>
          <w:p w14:paraId="07DD8333">
            <w:pPr>
              <w:spacing w:before="57" w:line="254" w:lineRule="auto"/>
              <w:ind w:left="59" w:right="60"/>
              <w:jc w:val="center"/>
              <w:rPr>
                <w:rFonts w:ascii="宋体" w:hAnsi="宋体" w:cs="宋体"/>
                <w:b/>
                <w:bCs/>
                <w:color w:val="auto"/>
                <w:w w:val="99"/>
                <w:kern w:val="0"/>
                <w:sz w:val="20"/>
                <w:szCs w:val="20"/>
                <w:highlight w:val="none"/>
                <w:lang w:eastAsia="en-US"/>
              </w:rPr>
            </w:pPr>
            <w:r>
              <w:rPr>
                <w:rFonts w:hint="eastAsia" w:ascii="宋体" w:hAnsi="宋体" w:cs="宋体"/>
                <w:b/>
                <w:bCs/>
                <w:color w:val="auto"/>
                <w:w w:val="99"/>
                <w:kern w:val="0"/>
                <w:sz w:val="20"/>
                <w:szCs w:val="20"/>
                <w:highlight w:val="none"/>
                <w:lang w:eastAsia="en-US"/>
              </w:rPr>
              <w:t>微型</w:t>
            </w:r>
          </w:p>
        </w:tc>
      </w:tr>
      <w:tr w14:paraId="7F8C39A6">
        <w:tblPrEx>
          <w:tblCellMar>
            <w:top w:w="0" w:type="dxa"/>
            <w:left w:w="108" w:type="dxa"/>
            <w:bottom w:w="0" w:type="dxa"/>
            <w:right w:w="108" w:type="dxa"/>
          </w:tblCellMar>
        </w:tblPrEx>
        <w:trPr>
          <w:trHeight w:val="225" w:hRule="atLeast"/>
        </w:trPr>
        <w:tc>
          <w:tcPr>
            <w:tcW w:w="1944" w:type="dxa"/>
            <w:tcBorders>
              <w:top w:val="nil"/>
              <w:left w:val="single" w:color="auto" w:sz="4" w:space="0"/>
              <w:bottom w:val="single" w:color="auto" w:sz="4" w:space="0"/>
              <w:right w:val="single" w:color="auto" w:sz="4" w:space="0"/>
            </w:tcBorders>
            <w:noWrap/>
            <w:vAlign w:val="center"/>
          </w:tcPr>
          <w:p w14:paraId="2978848B">
            <w:pPr>
              <w:spacing w:before="57" w:line="254" w:lineRule="auto"/>
              <w:ind w:left="59" w:right="60"/>
              <w:jc w:val="center"/>
              <w:rPr>
                <w:rFonts w:ascii="宋体" w:hAnsi="宋体" w:cs="宋体"/>
                <w:b/>
                <w:bCs/>
                <w:color w:val="auto"/>
                <w:w w:val="99"/>
                <w:kern w:val="0"/>
                <w:sz w:val="20"/>
                <w:szCs w:val="20"/>
                <w:highlight w:val="none"/>
                <w:lang w:eastAsia="en-US"/>
              </w:rPr>
            </w:pPr>
            <w:r>
              <w:rPr>
                <w:rFonts w:hint="eastAsia" w:ascii="宋体" w:hAnsi="宋体" w:cs="宋体"/>
                <w:b/>
                <w:bCs/>
                <w:color w:val="auto"/>
                <w:w w:val="99"/>
                <w:kern w:val="0"/>
                <w:sz w:val="20"/>
                <w:szCs w:val="20"/>
                <w:highlight w:val="none"/>
                <w:lang w:eastAsia="en-US"/>
              </w:rPr>
              <w:t>农、林、牧、渔</w:t>
            </w:r>
          </w:p>
        </w:tc>
        <w:tc>
          <w:tcPr>
            <w:tcW w:w="1383" w:type="dxa"/>
            <w:tcBorders>
              <w:top w:val="nil"/>
              <w:left w:val="nil"/>
              <w:bottom w:val="single" w:color="auto" w:sz="4" w:space="0"/>
              <w:right w:val="single" w:color="auto" w:sz="4" w:space="0"/>
            </w:tcBorders>
            <w:noWrap/>
            <w:vAlign w:val="center"/>
          </w:tcPr>
          <w:p w14:paraId="554D2B00">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营业收入（Y）</w:t>
            </w:r>
          </w:p>
        </w:tc>
        <w:tc>
          <w:tcPr>
            <w:tcW w:w="913" w:type="dxa"/>
            <w:tcBorders>
              <w:top w:val="nil"/>
              <w:left w:val="nil"/>
              <w:bottom w:val="single" w:color="auto" w:sz="4" w:space="0"/>
              <w:right w:val="single" w:color="auto" w:sz="4" w:space="0"/>
            </w:tcBorders>
            <w:noWrap/>
            <w:vAlign w:val="center"/>
          </w:tcPr>
          <w:p w14:paraId="13EC3763">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万元</w:t>
            </w:r>
          </w:p>
        </w:tc>
        <w:tc>
          <w:tcPr>
            <w:tcW w:w="1619" w:type="dxa"/>
            <w:tcBorders>
              <w:top w:val="nil"/>
              <w:left w:val="nil"/>
              <w:bottom w:val="single" w:color="auto" w:sz="4" w:space="0"/>
              <w:right w:val="single" w:color="auto" w:sz="4" w:space="0"/>
            </w:tcBorders>
            <w:noWrap/>
            <w:vAlign w:val="center"/>
          </w:tcPr>
          <w:p w14:paraId="7BBBF149">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500≤Y＜20000</w:t>
            </w:r>
          </w:p>
        </w:tc>
        <w:tc>
          <w:tcPr>
            <w:tcW w:w="1439" w:type="dxa"/>
            <w:tcBorders>
              <w:top w:val="nil"/>
              <w:left w:val="nil"/>
              <w:bottom w:val="single" w:color="auto" w:sz="4" w:space="0"/>
              <w:right w:val="single" w:color="auto" w:sz="4" w:space="0"/>
            </w:tcBorders>
            <w:noWrap/>
            <w:vAlign w:val="center"/>
          </w:tcPr>
          <w:p w14:paraId="06CE00D6">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50≤Y＜500</w:t>
            </w:r>
          </w:p>
        </w:tc>
        <w:tc>
          <w:tcPr>
            <w:tcW w:w="1492" w:type="dxa"/>
            <w:tcBorders>
              <w:top w:val="nil"/>
              <w:left w:val="nil"/>
              <w:bottom w:val="single" w:color="auto" w:sz="4" w:space="0"/>
              <w:right w:val="single" w:color="auto" w:sz="4" w:space="0"/>
            </w:tcBorders>
            <w:noWrap/>
            <w:vAlign w:val="center"/>
          </w:tcPr>
          <w:p w14:paraId="50C2480D">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Y＜50</w:t>
            </w:r>
          </w:p>
        </w:tc>
      </w:tr>
      <w:tr w14:paraId="25C0D625">
        <w:tblPrEx>
          <w:tblCellMar>
            <w:top w:w="0" w:type="dxa"/>
            <w:left w:w="108" w:type="dxa"/>
            <w:bottom w:w="0" w:type="dxa"/>
            <w:right w:w="108" w:type="dxa"/>
          </w:tblCellMar>
        </w:tblPrEx>
        <w:trPr>
          <w:trHeight w:val="225" w:hRule="atLeast"/>
        </w:trPr>
        <w:tc>
          <w:tcPr>
            <w:tcW w:w="1944" w:type="dxa"/>
            <w:vMerge w:val="restart"/>
            <w:tcBorders>
              <w:top w:val="nil"/>
              <w:left w:val="single" w:color="auto" w:sz="4" w:space="0"/>
              <w:bottom w:val="single" w:color="auto" w:sz="4" w:space="0"/>
              <w:right w:val="single" w:color="auto" w:sz="4" w:space="0"/>
            </w:tcBorders>
            <w:noWrap/>
            <w:vAlign w:val="center"/>
          </w:tcPr>
          <w:p w14:paraId="40B9F22C">
            <w:pPr>
              <w:spacing w:before="57" w:line="254" w:lineRule="auto"/>
              <w:ind w:left="59" w:right="60"/>
              <w:jc w:val="center"/>
              <w:rPr>
                <w:rFonts w:ascii="宋体" w:hAnsi="宋体" w:cs="宋体"/>
                <w:b/>
                <w:bCs/>
                <w:color w:val="auto"/>
                <w:w w:val="99"/>
                <w:kern w:val="0"/>
                <w:sz w:val="20"/>
                <w:szCs w:val="20"/>
                <w:highlight w:val="none"/>
                <w:lang w:eastAsia="en-US"/>
              </w:rPr>
            </w:pPr>
            <w:r>
              <w:rPr>
                <w:rFonts w:hint="eastAsia" w:ascii="宋体" w:hAnsi="宋体" w:cs="宋体"/>
                <w:b/>
                <w:bCs/>
                <w:color w:val="auto"/>
                <w:w w:val="99"/>
                <w:kern w:val="0"/>
                <w:sz w:val="20"/>
                <w:szCs w:val="20"/>
                <w:highlight w:val="none"/>
                <w:lang w:eastAsia="en-US"/>
              </w:rPr>
              <w:t>工业</w:t>
            </w:r>
          </w:p>
        </w:tc>
        <w:tc>
          <w:tcPr>
            <w:tcW w:w="1383" w:type="dxa"/>
            <w:tcBorders>
              <w:top w:val="nil"/>
              <w:left w:val="nil"/>
              <w:bottom w:val="single" w:color="auto" w:sz="4" w:space="0"/>
              <w:right w:val="single" w:color="auto" w:sz="4" w:space="0"/>
            </w:tcBorders>
            <w:noWrap/>
            <w:vAlign w:val="center"/>
          </w:tcPr>
          <w:p w14:paraId="2764735C">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从业人员（X）</w:t>
            </w:r>
          </w:p>
        </w:tc>
        <w:tc>
          <w:tcPr>
            <w:tcW w:w="913" w:type="dxa"/>
            <w:tcBorders>
              <w:top w:val="nil"/>
              <w:left w:val="nil"/>
              <w:bottom w:val="single" w:color="auto" w:sz="4" w:space="0"/>
              <w:right w:val="single" w:color="auto" w:sz="4" w:space="0"/>
            </w:tcBorders>
            <w:noWrap/>
            <w:vAlign w:val="center"/>
          </w:tcPr>
          <w:p w14:paraId="3D5D7BD5">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人</w:t>
            </w:r>
          </w:p>
        </w:tc>
        <w:tc>
          <w:tcPr>
            <w:tcW w:w="1619" w:type="dxa"/>
            <w:tcBorders>
              <w:top w:val="nil"/>
              <w:left w:val="nil"/>
              <w:bottom w:val="single" w:color="auto" w:sz="4" w:space="0"/>
              <w:right w:val="single" w:color="auto" w:sz="4" w:space="0"/>
            </w:tcBorders>
            <w:noWrap/>
            <w:vAlign w:val="center"/>
          </w:tcPr>
          <w:p w14:paraId="79DA70CA">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300≤X＜1000</w:t>
            </w:r>
          </w:p>
        </w:tc>
        <w:tc>
          <w:tcPr>
            <w:tcW w:w="1439" w:type="dxa"/>
            <w:tcBorders>
              <w:top w:val="nil"/>
              <w:left w:val="nil"/>
              <w:bottom w:val="single" w:color="auto" w:sz="4" w:space="0"/>
              <w:right w:val="single" w:color="auto" w:sz="4" w:space="0"/>
            </w:tcBorders>
            <w:noWrap/>
            <w:vAlign w:val="center"/>
          </w:tcPr>
          <w:p w14:paraId="2225D2AD">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20≤X＜300</w:t>
            </w:r>
          </w:p>
        </w:tc>
        <w:tc>
          <w:tcPr>
            <w:tcW w:w="1492" w:type="dxa"/>
            <w:tcBorders>
              <w:top w:val="nil"/>
              <w:left w:val="nil"/>
              <w:bottom w:val="single" w:color="auto" w:sz="4" w:space="0"/>
              <w:right w:val="single" w:color="auto" w:sz="4" w:space="0"/>
            </w:tcBorders>
            <w:noWrap/>
            <w:vAlign w:val="center"/>
          </w:tcPr>
          <w:p w14:paraId="1956A634">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X＜20</w:t>
            </w:r>
          </w:p>
        </w:tc>
      </w:tr>
      <w:tr w14:paraId="15B1ADE6">
        <w:tblPrEx>
          <w:tblCellMar>
            <w:top w:w="0" w:type="dxa"/>
            <w:left w:w="108" w:type="dxa"/>
            <w:bottom w:w="0" w:type="dxa"/>
            <w:right w:w="108" w:type="dxa"/>
          </w:tblCellMar>
        </w:tblPrEx>
        <w:trPr>
          <w:trHeight w:val="225" w:hRule="atLeast"/>
        </w:trPr>
        <w:tc>
          <w:tcPr>
            <w:tcW w:w="1944" w:type="dxa"/>
            <w:vMerge w:val="continue"/>
            <w:tcBorders>
              <w:top w:val="nil"/>
              <w:left w:val="single" w:color="auto" w:sz="4" w:space="0"/>
              <w:bottom w:val="single" w:color="auto" w:sz="4" w:space="0"/>
              <w:right w:val="single" w:color="auto" w:sz="4" w:space="0"/>
            </w:tcBorders>
            <w:noWrap/>
            <w:vAlign w:val="center"/>
          </w:tcPr>
          <w:p w14:paraId="57B6E221">
            <w:pPr>
              <w:spacing w:before="57" w:line="254" w:lineRule="auto"/>
              <w:ind w:left="59" w:right="60"/>
              <w:jc w:val="center"/>
              <w:rPr>
                <w:rFonts w:ascii="宋体" w:hAnsi="宋体" w:cs="宋体"/>
                <w:b/>
                <w:bCs/>
                <w:color w:val="auto"/>
                <w:w w:val="99"/>
                <w:kern w:val="0"/>
                <w:sz w:val="20"/>
                <w:szCs w:val="20"/>
                <w:highlight w:val="none"/>
                <w:lang w:eastAsia="en-US"/>
              </w:rPr>
            </w:pPr>
          </w:p>
        </w:tc>
        <w:tc>
          <w:tcPr>
            <w:tcW w:w="1383" w:type="dxa"/>
            <w:tcBorders>
              <w:top w:val="nil"/>
              <w:left w:val="nil"/>
              <w:bottom w:val="single" w:color="auto" w:sz="4" w:space="0"/>
              <w:right w:val="single" w:color="auto" w:sz="4" w:space="0"/>
            </w:tcBorders>
            <w:noWrap/>
            <w:vAlign w:val="center"/>
          </w:tcPr>
          <w:p w14:paraId="4089E221">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营业收入（Y）</w:t>
            </w:r>
          </w:p>
        </w:tc>
        <w:tc>
          <w:tcPr>
            <w:tcW w:w="913" w:type="dxa"/>
            <w:tcBorders>
              <w:top w:val="nil"/>
              <w:left w:val="nil"/>
              <w:bottom w:val="single" w:color="auto" w:sz="4" w:space="0"/>
              <w:right w:val="single" w:color="auto" w:sz="4" w:space="0"/>
            </w:tcBorders>
            <w:noWrap/>
            <w:vAlign w:val="center"/>
          </w:tcPr>
          <w:p w14:paraId="3D4E3211">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万元</w:t>
            </w:r>
          </w:p>
        </w:tc>
        <w:tc>
          <w:tcPr>
            <w:tcW w:w="1619" w:type="dxa"/>
            <w:tcBorders>
              <w:top w:val="nil"/>
              <w:left w:val="nil"/>
              <w:bottom w:val="single" w:color="auto" w:sz="4" w:space="0"/>
              <w:right w:val="single" w:color="auto" w:sz="4" w:space="0"/>
            </w:tcBorders>
            <w:noWrap/>
            <w:vAlign w:val="center"/>
          </w:tcPr>
          <w:p w14:paraId="77CEF279">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2000≤Y＜40000</w:t>
            </w:r>
          </w:p>
        </w:tc>
        <w:tc>
          <w:tcPr>
            <w:tcW w:w="1439" w:type="dxa"/>
            <w:tcBorders>
              <w:top w:val="nil"/>
              <w:left w:val="nil"/>
              <w:bottom w:val="single" w:color="auto" w:sz="4" w:space="0"/>
              <w:right w:val="single" w:color="auto" w:sz="4" w:space="0"/>
            </w:tcBorders>
            <w:noWrap/>
            <w:vAlign w:val="center"/>
          </w:tcPr>
          <w:p w14:paraId="7B1356A8">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300≤Y＜2000</w:t>
            </w:r>
          </w:p>
        </w:tc>
        <w:tc>
          <w:tcPr>
            <w:tcW w:w="1492" w:type="dxa"/>
            <w:tcBorders>
              <w:top w:val="nil"/>
              <w:left w:val="nil"/>
              <w:bottom w:val="single" w:color="auto" w:sz="4" w:space="0"/>
              <w:right w:val="single" w:color="auto" w:sz="4" w:space="0"/>
            </w:tcBorders>
            <w:noWrap/>
            <w:vAlign w:val="center"/>
          </w:tcPr>
          <w:p w14:paraId="536FA3D9">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Y＜300</w:t>
            </w:r>
          </w:p>
        </w:tc>
      </w:tr>
      <w:tr w14:paraId="5C9B6820">
        <w:tblPrEx>
          <w:tblCellMar>
            <w:top w:w="0" w:type="dxa"/>
            <w:left w:w="108" w:type="dxa"/>
            <w:bottom w:w="0" w:type="dxa"/>
            <w:right w:w="108" w:type="dxa"/>
          </w:tblCellMar>
        </w:tblPrEx>
        <w:trPr>
          <w:trHeight w:val="225" w:hRule="atLeast"/>
        </w:trPr>
        <w:tc>
          <w:tcPr>
            <w:tcW w:w="1944" w:type="dxa"/>
            <w:vMerge w:val="restart"/>
            <w:tcBorders>
              <w:top w:val="nil"/>
              <w:left w:val="single" w:color="auto" w:sz="4" w:space="0"/>
              <w:bottom w:val="single" w:color="auto" w:sz="4" w:space="0"/>
              <w:right w:val="single" w:color="auto" w:sz="4" w:space="0"/>
            </w:tcBorders>
            <w:noWrap/>
            <w:vAlign w:val="center"/>
          </w:tcPr>
          <w:p w14:paraId="72793CB3">
            <w:pPr>
              <w:spacing w:before="57" w:line="254" w:lineRule="auto"/>
              <w:ind w:left="59" w:right="60"/>
              <w:jc w:val="center"/>
              <w:rPr>
                <w:rFonts w:ascii="宋体" w:hAnsi="宋体" w:cs="宋体"/>
                <w:b/>
                <w:bCs/>
                <w:color w:val="auto"/>
                <w:w w:val="99"/>
                <w:kern w:val="0"/>
                <w:sz w:val="20"/>
                <w:szCs w:val="20"/>
                <w:highlight w:val="none"/>
                <w:lang w:eastAsia="en-US"/>
              </w:rPr>
            </w:pPr>
            <w:r>
              <w:rPr>
                <w:rFonts w:hint="eastAsia" w:ascii="宋体" w:hAnsi="宋体" w:cs="宋体"/>
                <w:b/>
                <w:bCs/>
                <w:color w:val="auto"/>
                <w:w w:val="99"/>
                <w:kern w:val="0"/>
                <w:sz w:val="20"/>
                <w:szCs w:val="20"/>
                <w:highlight w:val="none"/>
                <w:lang w:eastAsia="en-US"/>
              </w:rPr>
              <w:t>建筑业</w:t>
            </w:r>
          </w:p>
        </w:tc>
        <w:tc>
          <w:tcPr>
            <w:tcW w:w="1383" w:type="dxa"/>
            <w:tcBorders>
              <w:top w:val="nil"/>
              <w:left w:val="nil"/>
              <w:bottom w:val="single" w:color="auto" w:sz="4" w:space="0"/>
              <w:right w:val="single" w:color="auto" w:sz="4" w:space="0"/>
            </w:tcBorders>
            <w:noWrap/>
            <w:vAlign w:val="center"/>
          </w:tcPr>
          <w:p w14:paraId="0DDC34E0">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营业收入（Y）</w:t>
            </w:r>
          </w:p>
        </w:tc>
        <w:tc>
          <w:tcPr>
            <w:tcW w:w="913" w:type="dxa"/>
            <w:tcBorders>
              <w:top w:val="nil"/>
              <w:left w:val="nil"/>
              <w:bottom w:val="single" w:color="auto" w:sz="4" w:space="0"/>
              <w:right w:val="single" w:color="auto" w:sz="4" w:space="0"/>
            </w:tcBorders>
            <w:noWrap/>
            <w:vAlign w:val="center"/>
          </w:tcPr>
          <w:p w14:paraId="3AE5B361">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万元</w:t>
            </w:r>
          </w:p>
        </w:tc>
        <w:tc>
          <w:tcPr>
            <w:tcW w:w="1619" w:type="dxa"/>
            <w:tcBorders>
              <w:top w:val="nil"/>
              <w:left w:val="nil"/>
              <w:bottom w:val="single" w:color="auto" w:sz="4" w:space="0"/>
              <w:right w:val="single" w:color="auto" w:sz="4" w:space="0"/>
            </w:tcBorders>
            <w:noWrap/>
            <w:vAlign w:val="center"/>
          </w:tcPr>
          <w:p w14:paraId="446EFC0B">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6000≤Y＜80000</w:t>
            </w:r>
          </w:p>
        </w:tc>
        <w:tc>
          <w:tcPr>
            <w:tcW w:w="1439" w:type="dxa"/>
            <w:tcBorders>
              <w:top w:val="nil"/>
              <w:left w:val="nil"/>
              <w:bottom w:val="single" w:color="auto" w:sz="4" w:space="0"/>
              <w:right w:val="single" w:color="auto" w:sz="4" w:space="0"/>
            </w:tcBorders>
            <w:noWrap/>
            <w:vAlign w:val="center"/>
          </w:tcPr>
          <w:p w14:paraId="36650CFF">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300≤Y＜6000</w:t>
            </w:r>
          </w:p>
        </w:tc>
        <w:tc>
          <w:tcPr>
            <w:tcW w:w="1492" w:type="dxa"/>
            <w:tcBorders>
              <w:top w:val="nil"/>
              <w:left w:val="nil"/>
              <w:bottom w:val="single" w:color="auto" w:sz="4" w:space="0"/>
              <w:right w:val="single" w:color="auto" w:sz="4" w:space="0"/>
            </w:tcBorders>
            <w:noWrap/>
            <w:vAlign w:val="center"/>
          </w:tcPr>
          <w:p w14:paraId="5213EDC8">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Y＜300</w:t>
            </w:r>
          </w:p>
        </w:tc>
      </w:tr>
      <w:tr w14:paraId="6945CC22">
        <w:tblPrEx>
          <w:tblCellMar>
            <w:top w:w="0" w:type="dxa"/>
            <w:left w:w="108" w:type="dxa"/>
            <w:bottom w:w="0" w:type="dxa"/>
            <w:right w:w="108" w:type="dxa"/>
          </w:tblCellMar>
        </w:tblPrEx>
        <w:trPr>
          <w:trHeight w:val="225" w:hRule="atLeast"/>
        </w:trPr>
        <w:tc>
          <w:tcPr>
            <w:tcW w:w="1944" w:type="dxa"/>
            <w:vMerge w:val="continue"/>
            <w:tcBorders>
              <w:top w:val="nil"/>
              <w:left w:val="single" w:color="auto" w:sz="4" w:space="0"/>
              <w:bottom w:val="single" w:color="auto" w:sz="4" w:space="0"/>
              <w:right w:val="single" w:color="auto" w:sz="4" w:space="0"/>
            </w:tcBorders>
            <w:noWrap/>
            <w:vAlign w:val="center"/>
          </w:tcPr>
          <w:p w14:paraId="4F3547EF">
            <w:pPr>
              <w:spacing w:before="57" w:line="254" w:lineRule="auto"/>
              <w:ind w:left="59" w:right="60"/>
              <w:jc w:val="center"/>
              <w:rPr>
                <w:rFonts w:ascii="宋体" w:hAnsi="宋体" w:cs="宋体"/>
                <w:b/>
                <w:bCs/>
                <w:color w:val="auto"/>
                <w:w w:val="99"/>
                <w:kern w:val="0"/>
                <w:sz w:val="20"/>
                <w:szCs w:val="20"/>
                <w:highlight w:val="none"/>
                <w:lang w:eastAsia="en-US"/>
              </w:rPr>
            </w:pPr>
          </w:p>
        </w:tc>
        <w:tc>
          <w:tcPr>
            <w:tcW w:w="1383" w:type="dxa"/>
            <w:tcBorders>
              <w:top w:val="nil"/>
              <w:left w:val="nil"/>
              <w:bottom w:val="single" w:color="auto" w:sz="4" w:space="0"/>
              <w:right w:val="single" w:color="auto" w:sz="4" w:space="0"/>
            </w:tcBorders>
            <w:noWrap/>
            <w:vAlign w:val="center"/>
          </w:tcPr>
          <w:p w14:paraId="1DAF88AA">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资产总额（Z）</w:t>
            </w:r>
          </w:p>
        </w:tc>
        <w:tc>
          <w:tcPr>
            <w:tcW w:w="913" w:type="dxa"/>
            <w:tcBorders>
              <w:top w:val="nil"/>
              <w:left w:val="nil"/>
              <w:bottom w:val="single" w:color="auto" w:sz="4" w:space="0"/>
              <w:right w:val="single" w:color="auto" w:sz="4" w:space="0"/>
            </w:tcBorders>
            <w:noWrap/>
            <w:vAlign w:val="center"/>
          </w:tcPr>
          <w:p w14:paraId="494B8970">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万元</w:t>
            </w:r>
          </w:p>
        </w:tc>
        <w:tc>
          <w:tcPr>
            <w:tcW w:w="1619" w:type="dxa"/>
            <w:tcBorders>
              <w:top w:val="nil"/>
              <w:left w:val="nil"/>
              <w:bottom w:val="single" w:color="auto" w:sz="4" w:space="0"/>
              <w:right w:val="single" w:color="auto" w:sz="4" w:space="0"/>
            </w:tcBorders>
            <w:noWrap/>
            <w:vAlign w:val="center"/>
          </w:tcPr>
          <w:p w14:paraId="3B8A32C8">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5000≤Z＜80000</w:t>
            </w:r>
          </w:p>
        </w:tc>
        <w:tc>
          <w:tcPr>
            <w:tcW w:w="1439" w:type="dxa"/>
            <w:tcBorders>
              <w:top w:val="nil"/>
              <w:left w:val="nil"/>
              <w:bottom w:val="single" w:color="auto" w:sz="4" w:space="0"/>
              <w:right w:val="single" w:color="auto" w:sz="4" w:space="0"/>
            </w:tcBorders>
            <w:noWrap/>
            <w:vAlign w:val="center"/>
          </w:tcPr>
          <w:p w14:paraId="30EF5B2E">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300≤Z＜5000</w:t>
            </w:r>
          </w:p>
        </w:tc>
        <w:tc>
          <w:tcPr>
            <w:tcW w:w="1492" w:type="dxa"/>
            <w:tcBorders>
              <w:top w:val="nil"/>
              <w:left w:val="nil"/>
              <w:bottom w:val="single" w:color="auto" w:sz="4" w:space="0"/>
              <w:right w:val="single" w:color="auto" w:sz="4" w:space="0"/>
            </w:tcBorders>
            <w:noWrap/>
            <w:vAlign w:val="center"/>
          </w:tcPr>
          <w:p w14:paraId="2F39B3DB">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Z＜300</w:t>
            </w:r>
          </w:p>
        </w:tc>
      </w:tr>
      <w:tr w14:paraId="1F53D628">
        <w:tblPrEx>
          <w:tblCellMar>
            <w:top w:w="0" w:type="dxa"/>
            <w:left w:w="108" w:type="dxa"/>
            <w:bottom w:w="0" w:type="dxa"/>
            <w:right w:w="108" w:type="dxa"/>
          </w:tblCellMar>
        </w:tblPrEx>
        <w:trPr>
          <w:trHeight w:val="225" w:hRule="atLeast"/>
        </w:trPr>
        <w:tc>
          <w:tcPr>
            <w:tcW w:w="1944" w:type="dxa"/>
            <w:vMerge w:val="restart"/>
            <w:tcBorders>
              <w:top w:val="nil"/>
              <w:left w:val="single" w:color="auto" w:sz="4" w:space="0"/>
              <w:bottom w:val="single" w:color="auto" w:sz="4" w:space="0"/>
              <w:right w:val="single" w:color="auto" w:sz="4" w:space="0"/>
            </w:tcBorders>
            <w:noWrap/>
            <w:vAlign w:val="center"/>
          </w:tcPr>
          <w:p w14:paraId="18B2C3EB">
            <w:pPr>
              <w:spacing w:before="57" w:line="254" w:lineRule="auto"/>
              <w:ind w:left="59" w:right="60"/>
              <w:jc w:val="center"/>
              <w:rPr>
                <w:rFonts w:ascii="宋体" w:hAnsi="宋体" w:cs="宋体"/>
                <w:b/>
                <w:bCs/>
                <w:color w:val="auto"/>
                <w:w w:val="99"/>
                <w:kern w:val="0"/>
                <w:sz w:val="20"/>
                <w:szCs w:val="20"/>
                <w:highlight w:val="none"/>
                <w:lang w:eastAsia="en-US"/>
              </w:rPr>
            </w:pPr>
            <w:r>
              <w:rPr>
                <w:rFonts w:hint="eastAsia" w:ascii="宋体" w:hAnsi="宋体" w:cs="宋体"/>
                <w:b/>
                <w:bCs/>
                <w:color w:val="auto"/>
                <w:w w:val="99"/>
                <w:kern w:val="0"/>
                <w:sz w:val="20"/>
                <w:szCs w:val="20"/>
                <w:highlight w:val="none"/>
                <w:lang w:eastAsia="en-US"/>
              </w:rPr>
              <w:t>批发业</w:t>
            </w:r>
          </w:p>
        </w:tc>
        <w:tc>
          <w:tcPr>
            <w:tcW w:w="1383" w:type="dxa"/>
            <w:tcBorders>
              <w:top w:val="nil"/>
              <w:left w:val="nil"/>
              <w:bottom w:val="single" w:color="auto" w:sz="4" w:space="0"/>
              <w:right w:val="single" w:color="auto" w:sz="4" w:space="0"/>
            </w:tcBorders>
            <w:noWrap/>
            <w:vAlign w:val="center"/>
          </w:tcPr>
          <w:p w14:paraId="7D841349">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从业人员（X）</w:t>
            </w:r>
          </w:p>
        </w:tc>
        <w:tc>
          <w:tcPr>
            <w:tcW w:w="913" w:type="dxa"/>
            <w:tcBorders>
              <w:top w:val="nil"/>
              <w:left w:val="nil"/>
              <w:bottom w:val="single" w:color="auto" w:sz="4" w:space="0"/>
              <w:right w:val="single" w:color="auto" w:sz="4" w:space="0"/>
            </w:tcBorders>
            <w:noWrap/>
            <w:vAlign w:val="center"/>
          </w:tcPr>
          <w:p w14:paraId="203B2A8B">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人</w:t>
            </w:r>
          </w:p>
        </w:tc>
        <w:tc>
          <w:tcPr>
            <w:tcW w:w="1619" w:type="dxa"/>
            <w:tcBorders>
              <w:top w:val="nil"/>
              <w:left w:val="nil"/>
              <w:bottom w:val="single" w:color="auto" w:sz="4" w:space="0"/>
              <w:right w:val="single" w:color="auto" w:sz="4" w:space="0"/>
            </w:tcBorders>
            <w:noWrap/>
            <w:vAlign w:val="center"/>
          </w:tcPr>
          <w:p w14:paraId="79313284">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20≤X＜200</w:t>
            </w:r>
          </w:p>
        </w:tc>
        <w:tc>
          <w:tcPr>
            <w:tcW w:w="1439" w:type="dxa"/>
            <w:tcBorders>
              <w:top w:val="nil"/>
              <w:left w:val="nil"/>
              <w:bottom w:val="single" w:color="auto" w:sz="4" w:space="0"/>
              <w:right w:val="single" w:color="auto" w:sz="4" w:space="0"/>
            </w:tcBorders>
            <w:noWrap/>
            <w:vAlign w:val="center"/>
          </w:tcPr>
          <w:p w14:paraId="01D93698">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5≤X＜20</w:t>
            </w:r>
          </w:p>
        </w:tc>
        <w:tc>
          <w:tcPr>
            <w:tcW w:w="1492" w:type="dxa"/>
            <w:tcBorders>
              <w:top w:val="nil"/>
              <w:left w:val="nil"/>
              <w:bottom w:val="single" w:color="auto" w:sz="4" w:space="0"/>
              <w:right w:val="single" w:color="auto" w:sz="4" w:space="0"/>
            </w:tcBorders>
            <w:noWrap/>
            <w:vAlign w:val="center"/>
          </w:tcPr>
          <w:p w14:paraId="33DB5AD5">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X＜5</w:t>
            </w:r>
          </w:p>
        </w:tc>
      </w:tr>
      <w:tr w14:paraId="495E7798">
        <w:tblPrEx>
          <w:tblCellMar>
            <w:top w:w="0" w:type="dxa"/>
            <w:left w:w="108" w:type="dxa"/>
            <w:bottom w:w="0" w:type="dxa"/>
            <w:right w:w="108" w:type="dxa"/>
          </w:tblCellMar>
        </w:tblPrEx>
        <w:trPr>
          <w:trHeight w:val="225" w:hRule="atLeast"/>
        </w:trPr>
        <w:tc>
          <w:tcPr>
            <w:tcW w:w="1944" w:type="dxa"/>
            <w:vMerge w:val="continue"/>
            <w:tcBorders>
              <w:top w:val="nil"/>
              <w:left w:val="single" w:color="auto" w:sz="4" w:space="0"/>
              <w:bottom w:val="single" w:color="auto" w:sz="4" w:space="0"/>
              <w:right w:val="single" w:color="auto" w:sz="4" w:space="0"/>
            </w:tcBorders>
            <w:noWrap/>
            <w:vAlign w:val="center"/>
          </w:tcPr>
          <w:p w14:paraId="11807BAE">
            <w:pPr>
              <w:spacing w:before="57" w:line="254" w:lineRule="auto"/>
              <w:ind w:left="59" w:right="60"/>
              <w:jc w:val="center"/>
              <w:rPr>
                <w:rFonts w:ascii="宋体" w:hAnsi="宋体" w:cs="宋体"/>
                <w:b/>
                <w:bCs/>
                <w:color w:val="auto"/>
                <w:w w:val="99"/>
                <w:kern w:val="0"/>
                <w:sz w:val="20"/>
                <w:szCs w:val="20"/>
                <w:highlight w:val="none"/>
                <w:lang w:eastAsia="en-US"/>
              </w:rPr>
            </w:pPr>
          </w:p>
        </w:tc>
        <w:tc>
          <w:tcPr>
            <w:tcW w:w="1383" w:type="dxa"/>
            <w:tcBorders>
              <w:top w:val="nil"/>
              <w:left w:val="nil"/>
              <w:bottom w:val="single" w:color="auto" w:sz="4" w:space="0"/>
              <w:right w:val="single" w:color="auto" w:sz="4" w:space="0"/>
            </w:tcBorders>
            <w:noWrap/>
            <w:vAlign w:val="center"/>
          </w:tcPr>
          <w:p w14:paraId="7767C829">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营业收入（Y）</w:t>
            </w:r>
          </w:p>
        </w:tc>
        <w:tc>
          <w:tcPr>
            <w:tcW w:w="913" w:type="dxa"/>
            <w:tcBorders>
              <w:top w:val="nil"/>
              <w:left w:val="nil"/>
              <w:bottom w:val="single" w:color="auto" w:sz="4" w:space="0"/>
              <w:right w:val="single" w:color="auto" w:sz="4" w:space="0"/>
            </w:tcBorders>
            <w:noWrap/>
            <w:vAlign w:val="center"/>
          </w:tcPr>
          <w:p w14:paraId="685BB2AC">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万元</w:t>
            </w:r>
          </w:p>
        </w:tc>
        <w:tc>
          <w:tcPr>
            <w:tcW w:w="1619" w:type="dxa"/>
            <w:tcBorders>
              <w:top w:val="nil"/>
              <w:left w:val="nil"/>
              <w:bottom w:val="single" w:color="auto" w:sz="4" w:space="0"/>
              <w:right w:val="single" w:color="auto" w:sz="4" w:space="0"/>
            </w:tcBorders>
            <w:noWrap/>
            <w:vAlign w:val="center"/>
          </w:tcPr>
          <w:p w14:paraId="491E1C75">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5000≤Y＜40000</w:t>
            </w:r>
          </w:p>
        </w:tc>
        <w:tc>
          <w:tcPr>
            <w:tcW w:w="1439" w:type="dxa"/>
            <w:tcBorders>
              <w:top w:val="nil"/>
              <w:left w:val="nil"/>
              <w:bottom w:val="single" w:color="auto" w:sz="4" w:space="0"/>
              <w:right w:val="single" w:color="auto" w:sz="4" w:space="0"/>
            </w:tcBorders>
            <w:noWrap/>
            <w:vAlign w:val="center"/>
          </w:tcPr>
          <w:p w14:paraId="3DED4B79">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1000≤Y＜5000</w:t>
            </w:r>
          </w:p>
        </w:tc>
        <w:tc>
          <w:tcPr>
            <w:tcW w:w="1492" w:type="dxa"/>
            <w:tcBorders>
              <w:top w:val="nil"/>
              <w:left w:val="nil"/>
              <w:bottom w:val="single" w:color="auto" w:sz="4" w:space="0"/>
              <w:right w:val="single" w:color="auto" w:sz="4" w:space="0"/>
            </w:tcBorders>
            <w:noWrap/>
            <w:vAlign w:val="center"/>
          </w:tcPr>
          <w:p w14:paraId="147E213E">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Y＜1000</w:t>
            </w:r>
          </w:p>
        </w:tc>
      </w:tr>
      <w:tr w14:paraId="1352660D">
        <w:tblPrEx>
          <w:tblCellMar>
            <w:top w:w="0" w:type="dxa"/>
            <w:left w:w="108" w:type="dxa"/>
            <w:bottom w:w="0" w:type="dxa"/>
            <w:right w:w="108" w:type="dxa"/>
          </w:tblCellMar>
        </w:tblPrEx>
        <w:trPr>
          <w:trHeight w:val="225" w:hRule="atLeast"/>
        </w:trPr>
        <w:tc>
          <w:tcPr>
            <w:tcW w:w="1944" w:type="dxa"/>
            <w:vMerge w:val="restart"/>
            <w:tcBorders>
              <w:top w:val="nil"/>
              <w:left w:val="single" w:color="auto" w:sz="4" w:space="0"/>
              <w:bottom w:val="single" w:color="auto" w:sz="4" w:space="0"/>
              <w:right w:val="single" w:color="auto" w:sz="4" w:space="0"/>
            </w:tcBorders>
            <w:noWrap/>
            <w:vAlign w:val="center"/>
          </w:tcPr>
          <w:p w14:paraId="6A3A1B24">
            <w:pPr>
              <w:spacing w:before="57" w:line="254" w:lineRule="auto"/>
              <w:ind w:left="59" w:right="60"/>
              <w:jc w:val="center"/>
              <w:rPr>
                <w:rFonts w:ascii="宋体" w:hAnsi="宋体" w:cs="宋体"/>
                <w:b/>
                <w:bCs/>
                <w:color w:val="auto"/>
                <w:w w:val="99"/>
                <w:kern w:val="0"/>
                <w:sz w:val="20"/>
                <w:szCs w:val="20"/>
                <w:highlight w:val="none"/>
                <w:lang w:eastAsia="en-US"/>
              </w:rPr>
            </w:pPr>
            <w:r>
              <w:rPr>
                <w:rFonts w:hint="eastAsia" w:ascii="宋体" w:hAnsi="宋体" w:cs="宋体"/>
                <w:b/>
                <w:bCs/>
                <w:color w:val="auto"/>
                <w:w w:val="99"/>
                <w:kern w:val="0"/>
                <w:sz w:val="20"/>
                <w:szCs w:val="20"/>
                <w:highlight w:val="none"/>
                <w:lang w:eastAsia="en-US"/>
              </w:rPr>
              <w:t>零售业</w:t>
            </w:r>
          </w:p>
        </w:tc>
        <w:tc>
          <w:tcPr>
            <w:tcW w:w="1383" w:type="dxa"/>
            <w:tcBorders>
              <w:top w:val="nil"/>
              <w:left w:val="nil"/>
              <w:bottom w:val="single" w:color="auto" w:sz="4" w:space="0"/>
              <w:right w:val="single" w:color="auto" w:sz="4" w:space="0"/>
            </w:tcBorders>
            <w:noWrap/>
            <w:vAlign w:val="center"/>
          </w:tcPr>
          <w:p w14:paraId="1B4D5790">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从业人员（X）</w:t>
            </w:r>
          </w:p>
        </w:tc>
        <w:tc>
          <w:tcPr>
            <w:tcW w:w="913" w:type="dxa"/>
            <w:tcBorders>
              <w:top w:val="nil"/>
              <w:left w:val="nil"/>
              <w:bottom w:val="single" w:color="auto" w:sz="4" w:space="0"/>
              <w:right w:val="single" w:color="auto" w:sz="4" w:space="0"/>
            </w:tcBorders>
            <w:noWrap/>
            <w:vAlign w:val="center"/>
          </w:tcPr>
          <w:p w14:paraId="0DBB29F8">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人</w:t>
            </w:r>
          </w:p>
        </w:tc>
        <w:tc>
          <w:tcPr>
            <w:tcW w:w="1619" w:type="dxa"/>
            <w:tcBorders>
              <w:top w:val="nil"/>
              <w:left w:val="nil"/>
              <w:bottom w:val="single" w:color="auto" w:sz="4" w:space="0"/>
              <w:right w:val="single" w:color="auto" w:sz="4" w:space="0"/>
            </w:tcBorders>
            <w:noWrap/>
            <w:vAlign w:val="center"/>
          </w:tcPr>
          <w:p w14:paraId="02174F69">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50≤X＜300</w:t>
            </w:r>
          </w:p>
        </w:tc>
        <w:tc>
          <w:tcPr>
            <w:tcW w:w="1439" w:type="dxa"/>
            <w:tcBorders>
              <w:top w:val="nil"/>
              <w:left w:val="nil"/>
              <w:bottom w:val="single" w:color="auto" w:sz="4" w:space="0"/>
              <w:right w:val="single" w:color="auto" w:sz="4" w:space="0"/>
            </w:tcBorders>
            <w:noWrap/>
            <w:vAlign w:val="center"/>
          </w:tcPr>
          <w:p w14:paraId="224ACE32">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10≤X＜50</w:t>
            </w:r>
          </w:p>
        </w:tc>
        <w:tc>
          <w:tcPr>
            <w:tcW w:w="1492" w:type="dxa"/>
            <w:tcBorders>
              <w:top w:val="nil"/>
              <w:left w:val="nil"/>
              <w:bottom w:val="single" w:color="auto" w:sz="4" w:space="0"/>
              <w:right w:val="single" w:color="auto" w:sz="4" w:space="0"/>
            </w:tcBorders>
            <w:noWrap/>
            <w:vAlign w:val="center"/>
          </w:tcPr>
          <w:p w14:paraId="20777719">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X＜10</w:t>
            </w:r>
          </w:p>
        </w:tc>
      </w:tr>
      <w:tr w14:paraId="6E4B2087">
        <w:tblPrEx>
          <w:tblCellMar>
            <w:top w:w="0" w:type="dxa"/>
            <w:left w:w="108" w:type="dxa"/>
            <w:bottom w:w="0" w:type="dxa"/>
            <w:right w:w="108" w:type="dxa"/>
          </w:tblCellMar>
        </w:tblPrEx>
        <w:trPr>
          <w:trHeight w:val="225" w:hRule="atLeast"/>
        </w:trPr>
        <w:tc>
          <w:tcPr>
            <w:tcW w:w="1944" w:type="dxa"/>
            <w:vMerge w:val="continue"/>
            <w:tcBorders>
              <w:top w:val="nil"/>
              <w:left w:val="single" w:color="auto" w:sz="4" w:space="0"/>
              <w:bottom w:val="single" w:color="auto" w:sz="4" w:space="0"/>
              <w:right w:val="single" w:color="auto" w:sz="4" w:space="0"/>
            </w:tcBorders>
            <w:noWrap/>
            <w:vAlign w:val="center"/>
          </w:tcPr>
          <w:p w14:paraId="5A0D02B3">
            <w:pPr>
              <w:spacing w:before="57" w:line="254" w:lineRule="auto"/>
              <w:ind w:left="59" w:right="60"/>
              <w:jc w:val="center"/>
              <w:rPr>
                <w:rFonts w:ascii="宋体" w:hAnsi="宋体" w:cs="宋体"/>
                <w:b/>
                <w:bCs/>
                <w:color w:val="auto"/>
                <w:w w:val="99"/>
                <w:kern w:val="0"/>
                <w:sz w:val="20"/>
                <w:szCs w:val="20"/>
                <w:highlight w:val="none"/>
                <w:lang w:eastAsia="en-US"/>
              </w:rPr>
            </w:pPr>
          </w:p>
        </w:tc>
        <w:tc>
          <w:tcPr>
            <w:tcW w:w="1383" w:type="dxa"/>
            <w:tcBorders>
              <w:top w:val="nil"/>
              <w:left w:val="nil"/>
              <w:bottom w:val="single" w:color="auto" w:sz="4" w:space="0"/>
              <w:right w:val="single" w:color="auto" w:sz="4" w:space="0"/>
            </w:tcBorders>
            <w:noWrap/>
            <w:vAlign w:val="center"/>
          </w:tcPr>
          <w:p w14:paraId="294D481B">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营业收入（Y）</w:t>
            </w:r>
          </w:p>
        </w:tc>
        <w:tc>
          <w:tcPr>
            <w:tcW w:w="913" w:type="dxa"/>
            <w:tcBorders>
              <w:top w:val="nil"/>
              <w:left w:val="nil"/>
              <w:bottom w:val="single" w:color="auto" w:sz="4" w:space="0"/>
              <w:right w:val="single" w:color="auto" w:sz="4" w:space="0"/>
            </w:tcBorders>
            <w:noWrap/>
            <w:vAlign w:val="center"/>
          </w:tcPr>
          <w:p w14:paraId="14543D7A">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万元</w:t>
            </w:r>
          </w:p>
        </w:tc>
        <w:tc>
          <w:tcPr>
            <w:tcW w:w="1619" w:type="dxa"/>
            <w:tcBorders>
              <w:top w:val="nil"/>
              <w:left w:val="nil"/>
              <w:bottom w:val="single" w:color="auto" w:sz="4" w:space="0"/>
              <w:right w:val="single" w:color="auto" w:sz="4" w:space="0"/>
            </w:tcBorders>
            <w:noWrap/>
            <w:vAlign w:val="center"/>
          </w:tcPr>
          <w:p w14:paraId="37D575D5">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500≤Y＜20000</w:t>
            </w:r>
          </w:p>
        </w:tc>
        <w:tc>
          <w:tcPr>
            <w:tcW w:w="1439" w:type="dxa"/>
            <w:tcBorders>
              <w:top w:val="nil"/>
              <w:left w:val="nil"/>
              <w:bottom w:val="single" w:color="auto" w:sz="4" w:space="0"/>
              <w:right w:val="single" w:color="auto" w:sz="4" w:space="0"/>
            </w:tcBorders>
            <w:noWrap/>
            <w:vAlign w:val="center"/>
          </w:tcPr>
          <w:p w14:paraId="6899D3BD">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100≤Y＜500</w:t>
            </w:r>
          </w:p>
        </w:tc>
        <w:tc>
          <w:tcPr>
            <w:tcW w:w="1492" w:type="dxa"/>
            <w:tcBorders>
              <w:top w:val="nil"/>
              <w:left w:val="nil"/>
              <w:bottom w:val="single" w:color="auto" w:sz="4" w:space="0"/>
              <w:right w:val="single" w:color="auto" w:sz="4" w:space="0"/>
            </w:tcBorders>
            <w:noWrap/>
            <w:vAlign w:val="center"/>
          </w:tcPr>
          <w:p w14:paraId="42023D2D">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Y＜100</w:t>
            </w:r>
          </w:p>
        </w:tc>
      </w:tr>
      <w:tr w14:paraId="4D7B4FEA">
        <w:tblPrEx>
          <w:tblCellMar>
            <w:top w:w="0" w:type="dxa"/>
            <w:left w:w="108" w:type="dxa"/>
            <w:bottom w:w="0" w:type="dxa"/>
            <w:right w:w="108" w:type="dxa"/>
          </w:tblCellMar>
        </w:tblPrEx>
        <w:trPr>
          <w:trHeight w:val="225" w:hRule="atLeast"/>
        </w:trPr>
        <w:tc>
          <w:tcPr>
            <w:tcW w:w="1944" w:type="dxa"/>
            <w:vMerge w:val="restart"/>
            <w:tcBorders>
              <w:top w:val="nil"/>
              <w:left w:val="single" w:color="auto" w:sz="4" w:space="0"/>
              <w:bottom w:val="single" w:color="auto" w:sz="4" w:space="0"/>
              <w:right w:val="single" w:color="auto" w:sz="4" w:space="0"/>
            </w:tcBorders>
            <w:noWrap/>
            <w:vAlign w:val="center"/>
          </w:tcPr>
          <w:p w14:paraId="6E044315">
            <w:pPr>
              <w:spacing w:before="57" w:line="254" w:lineRule="auto"/>
              <w:ind w:left="59" w:right="60"/>
              <w:jc w:val="center"/>
              <w:rPr>
                <w:rFonts w:ascii="宋体" w:hAnsi="宋体" w:cs="宋体"/>
                <w:b/>
                <w:bCs/>
                <w:color w:val="auto"/>
                <w:w w:val="99"/>
                <w:kern w:val="0"/>
                <w:sz w:val="20"/>
                <w:szCs w:val="20"/>
                <w:highlight w:val="none"/>
                <w:lang w:eastAsia="en-US"/>
              </w:rPr>
            </w:pPr>
            <w:r>
              <w:rPr>
                <w:rFonts w:hint="eastAsia" w:ascii="宋体" w:hAnsi="宋体" w:cs="宋体"/>
                <w:b/>
                <w:bCs/>
                <w:color w:val="auto"/>
                <w:w w:val="99"/>
                <w:kern w:val="0"/>
                <w:sz w:val="20"/>
                <w:szCs w:val="20"/>
                <w:highlight w:val="none"/>
                <w:lang w:eastAsia="en-US"/>
              </w:rPr>
              <w:t>交通运输业</w:t>
            </w:r>
          </w:p>
        </w:tc>
        <w:tc>
          <w:tcPr>
            <w:tcW w:w="1383" w:type="dxa"/>
            <w:tcBorders>
              <w:top w:val="nil"/>
              <w:left w:val="nil"/>
              <w:bottom w:val="single" w:color="auto" w:sz="4" w:space="0"/>
              <w:right w:val="single" w:color="auto" w:sz="4" w:space="0"/>
            </w:tcBorders>
            <w:noWrap/>
            <w:vAlign w:val="center"/>
          </w:tcPr>
          <w:p w14:paraId="64104E2B">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从业人员（X）</w:t>
            </w:r>
          </w:p>
        </w:tc>
        <w:tc>
          <w:tcPr>
            <w:tcW w:w="913" w:type="dxa"/>
            <w:tcBorders>
              <w:top w:val="nil"/>
              <w:left w:val="nil"/>
              <w:bottom w:val="single" w:color="auto" w:sz="4" w:space="0"/>
              <w:right w:val="single" w:color="auto" w:sz="4" w:space="0"/>
            </w:tcBorders>
            <w:noWrap/>
            <w:vAlign w:val="center"/>
          </w:tcPr>
          <w:p w14:paraId="2E540D39">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人</w:t>
            </w:r>
          </w:p>
        </w:tc>
        <w:tc>
          <w:tcPr>
            <w:tcW w:w="1619" w:type="dxa"/>
            <w:tcBorders>
              <w:top w:val="nil"/>
              <w:left w:val="nil"/>
              <w:bottom w:val="single" w:color="auto" w:sz="4" w:space="0"/>
              <w:right w:val="single" w:color="auto" w:sz="4" w:space="0"/>
            </w:tcBorders>
            <w:noWrap/>
            <w:vAlign w:val="center"/>
          </w:tcPr>
          <w:p w14:paraId="4EB76F3B">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300≤X＜1000</w:t>
            </w:r>
          </w:p>
        </w:tc>
        <w:tc>
          <w:tcPr>
            <w:tcW w:w="1439" w:type="dxa"/>
            <w:tcBorders>
              <w:top w:val="nil"/>
              <w:left w:val="nil"/>
              <w:bottom w:val="single" w:color="auto" w:sz="4" w:space="0"/>
              <w:right w:val="single" w:color="auto" w:sz="4" w:space="0"/>
            </w:tcBorders>
            <w:noWrap/>
            <w:vAlign w:val="center"/>
          </w:tcPr>
          <w:p w14:paraId="2581839E">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20≤X＜300</w:t>
            </w:r>
          </w:p>
        </w:tc>
        <w:tc>
          <w:tcPr>
            <w:tcW w:w="1492" w:type="dxa"/>
            <w:tcBorders>
              <w:top w:val="nil"/>
              <w:left w:val="nil"/>
              <w:bottom w:val="single" w:color="auto" w:sz="4" w:space="0"/>
              <w:right w:val="single" w:color="auto" w:sz="4" w:space="0"/>
            </w:tcBorders>
            <w:noWrap/>
            <w:vAlign w:val="center"/>
          </w:tcPr>
          <w:p w14:paraId="5111CEE0">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X＜20</w:t>
            </w:r>
          </w:p>
        </w:tc>
      </w:tr>
      <w:tr w14:paraId="5E05B383">
        <w:tblPrEx>
          <w:tblCellMar>
            <w:top w:w="0" w:type="dxa"/>
            <w:left w:w="108" w:type="dxa"/>
            <w:bottom w:w="0" w:type="dxa"/>
            <w:right w:w="108" w:type="dxa"/>
          </w:tblCellMar>
        </w:tblPrEx>
        <w:trPr>
          <w:trHeight w:val="225" w:hRule="atLeast"/>
        </w:trPr>
        <w:tc>
          <w:tcPr>
            <w:tcW w:w="1944" w:type="dxa"/>
            <w:vMerge w:val="continue"/>
            <w:tcBorders>
              <w:top w:val="nil"/>
              <w:left w:val="single" w:color="auto" w:sz="4" w:space="0"/>
              <w:bottom w:val="single" w:color="auto" w:sz="4" w:space="0"/>
              <w:right w:val="single" w:color="auto" w:sz="4" w:space="0"/>
            </w:tcBorders>
            <w:noWrap/>
            <w:vAlign w:val="center"/>
          </w:tcPr>
          <w:p w14:paraId="56FEEA5C">
            <w:pPr>
              <w:spacing w:before="57" w:line="254" w:lineRule="auto"/>
              <w:ind w:left="59" w:right="60"/>
              <w:jc w:val="center"/>
              <w:rPr>
                <w:rFonts w:ascii="宋体" w:hAnsi="宋体" w:cs="宋体"/>
                <w:b/>
                <w:bCs/>
                <w:color w:val="auto"/>
                <w:w w:val="99"/>
                <w:kern w:val="0"/>
                <w:sz w:val="20"/>
                <w:szCs w:val="20"/>
                <w:highlight w:val="none"/>
                <w:lang w:eastAsia="en-US"/>
              </w:rPr>
            </w:pPr>
          </w:p>
        </w:tc>
        <w:tc>
          <w:tcPr>
            <w:tcW w:w="1383" w:type="dxa"/>
            <w:tcBorders>
              <w:top w:val="nil"/>
              <w:left w:val="nil"/>
              <w:bottom w:val="single" w:color="auto" w:sz="4" w:space="0"/>
              <w:right w:val="single" w:color="auto" w:sz="4" w:space="0"/>
            </w:tcBorders>
            <w:noWrap/>
            <w:vAlign w:val="center"/>
          </w:tcPr>
          <w:p w14:paraId="28E1EFDA">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营业收入（Y）</w:t>
            </w:r>
          </w:p>
        </w:tc>
        <w:tc>
          <w:tcPr>
            <w:tcW w:w="913" w:type="dxa"/>
            <w:tcBorders>
              <w:top w:val="nil"/>
              <w:left w:val="nil"/>
              <w:bottom w:val="single" w:color="auto" w:sz="4" w:space="0"/>
              <w:right w:val="single" w:color="auto" w:sz="4" w:space="0"/>
            </w:tcBorders>
            <w:noWrap/>
            <w:vAlign w:val="center"/>
          </w:tcPr>
          <w:p w14:paraId="4BB8A388">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万元</w:t>
            </w:r>
          </w:p>
        </w:tc>
        <w:tc>
          <w:tcPr>
            <w:tcW w:w="1619" w:type="dxa"/>
            <w:tcBorders>
              <w:top w:val="nil"/>
              <w:left w:val="nil"/>
              <w:bottom w:val="single" w:color="auto" w:sz="4" w:space="0"/>
              <w:right w:val="single" w:color="auto" w:sz="4" w:space="0"/>
            </w:tcBorders>
            <w:noWrap/>
            <w:vAlign w:val="center"/>
          </w:tcPr>
          <w:p w14:paraId="533E2F4E">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3000≤Y＜30000</w:t>
            </w:r>
          </w:p>
        </w:tc>
        <w:tc>
          <w:tcPr>
            <w:tcW w:w="1439" w:type="dxa"/>
            <w:tcBorders>
              <w:top w:val="nil"/>
              <w:left w:val="nil"/>
              <w:bottom w:val="single" w:color="auto" w:sz="4" w:space="0"/>
              <w:right w:val="single" w:color="auto" w:sz="4" w:space="0"/>
            </w:tcBorders>
            <w:noWrap/>
            <w:vAlign w:val="center"/>
          </w:tcPr>
          <w:p w14:paraId="161C4B77">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200≤Y＜3000</w:t>
            </w:r>
          </w:p>
        </w:tc>
        <w:tc>
          <w:tcPr>
            <w:tcW w:w="1492" w:type="dxa"/>
            <w:tcBorders>
              <w:top w:val="nil"/>
              <w:left w:val="nil"/>
              <w:bottom w:val="single" w:color="auto" w:sz="4" w:space="0"/>
              <w:right w:val="single" w:color="auto" w:sz="4" w:space="0"/>
            </w:tcBorders>
            <w:noWrap/>
            <w:vAlign w:val="center"/>
          </w:tcPr>
          <w:p w14:paraId="26448B3D">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Y＜200</w:t>
            </w:r>
          </w:p>
        </w:tc>
      </w:tr>
      <w:tr w14:paraId="113F8862">
        <w:tblPrEx>
          <w:tblCellMar>
            <w:top w:w="0" w:type="dxa"/>
            <w:left w:w="108" w:type="dxa"/>
            <w:bottom w:w="0" w:type="dxa"/>
            <w:right w:w="108" w:type="dxa"/>
          </w:tblCellMar>
        </w:tblPrEx>
        <w:trPr>
          <w:trHeight w:val="225" w:hRule="atLeast"/>
        </w:trPr>
        <w:tc>
          <w:tcPr>
            <w:tcW w:w="1944" w:type="dxa"/>
            <w:vMerge w:val="restart"/>
            <w:tcBorders>
              <w:top w:val="nil"/>
              <w:left w:val="single" w:color="auto" w:sz="4" w:space="0"/>
              <w:bottom w:val="single" w:color="auto" w:sz="4" w:space="0"/>
              <w:right w:val="single" w:color="auto" w:sz="4" w:space="0"/>
            </w:tcBorders>
            <w:noWrap/>
            <w:vAlign w:val="center"/>
          </w:tcPr>
          <w:p w14:paraId="79362A4B">
            <w:pPr>
              <w:spacing w:before="57" w:line="254" w:lineRule="auto"/>
              <w:ind w:left="59" w:right="60"/>
              <w:jc w:val="center"/>
              <w:rPr>
                <w:rFonts w:ascii="宋体" w:hAnsi="宋体" w:cs="宋体"/>
                <w:b/>
                <w:bCs/>
                <w:color w:val="auto"/>
                <w:w w:val="99"/>
                <w:kern w:val="0"/>
                <w:sz w:val="20"/>
                <w:szCs w:val="20"/>
                <w:highlight w:val="none"/>
                <w:lang w:eastAsia="en-US"/>
              </w:rPr>
            </w:pPr>
            <w:r>
              <w:rPr>
                <w:rFonts w:hint="eastAsia" w:ascii="宋体" w:hAnsi="宋体" w:cs="宋体"/>
                <w:b/>
                <w:bCs/>
                <w:color w:val="auto"/>
                <w:w w:val="99"/>
                <w:kern w:val="0"/>
                <w:sz w:val="20"/>
                <w:szCs w:val="20"/>
                <w:highlight w:val="none"/>
                <w:lang w:eastAsia="en-US"/>
              </w:rPr>
              <w:t>仓储业</w:t>
            </w:r>
          </w:p>
        </w:tc>
        <w:tc>
          <w:tcPr>
            <w:tcW w:w="1383" w:type="dxa"/>
            <w:tcBorders>
              <w:top w:val="nil"/>
              <w:left w:val="nil"/>
              <w:bottom w:val="single" w:color="auto" w:sz="4" w:space="0"/>
              <w:right w:val="single" w:color="auto" w:sz="4" w:space="0"/>
            </w:tcBorders>
            <w:noWrap/>
            <w:vAlign w:val="center"/>
          </w:tcPr>
          <w:p w14:paraId="03F79131">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从业人员（X）</w:t>
            </w:r>
          </w:p>
        </w:tc>
        <w:tc>
          <w:tcPr>
            <w:tcW w:w="913" w:type="dxa"/>
            <w:tcBorders>
              <w:top w:val="nil"/>
              <w:left w:val="nil"/>
              <w:bottom w:val="single" w:color="auto" w:sz="4" w:space="0"/>
              <w:right w:val="single" w:color="auto" w:sz="4" w:space="0"/>
            </w:tcBorders>
            <w:noWrap/>
            <w:vAlign w:val="center"/>
          </w:tcPr>
          <w:p w14:paraId="047D3455">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人</w:t>
            </w:r>
          </w:p>
        </w:tc>
        <w:tc>
          <w:tcPr>
            <w:tcW w:w="1619" w:type="dxa"/>
            <w:tcBorders>
              <w:top w:val="nil"/>
              <w:left w:val="nil"/>
              <w:bottom w:val="single" w:color="auto" w:sz="4" w:space="0"/>
              <w:right w:val="single" w:color="auto" w:sz="4" w:space="0"/>
            </w:tcBorders>
            <w:noWrap/>
            <w:vAlign w:val="center"/>
          </w:tcPr>
          <w:p w14:paraId="2FF1FD09">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100≤X＜200</w:t>
            </w:r>
          </w:p>
        </w:tc>
        <w:tc>
          <w:tcPr>
            <w:tcW w:w="1439" w:type="dxa"/>
            <w:tcBorders>
              <w:top w:val="nil"/>
              <w:left w:val="nil"/>
              <w:bottom w:val="single" w:color="auto" w:sz="4" w:space="0"/>
              <w:right w:val="single" w:color="auto" w:sz="4" w:space="0"/>
            </w:tcBorders>
            <w:noWrap/>
            <w:vAlign w:val="center"/>
          </w:tcPr>
          <w:p w14:paraId="5C14CE1B">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20≤X＜100</w:t>
            </w:r>
          </w:p>
        </w:tc>
        <w:tc>
          <w:tcPr>
            <w:tcW w:w="1492" w:type="dxa"/>
            <w:tcBorders>
              <w:top w:val="nil"/>
              <w:left w:val="nil"/>
              <w:bottom w:val="single" w:color="auto" w:sz="4" w:space="0"/>
              <w:right w:val="single" w:color="auto" w:sz="4" w:space="0"/>
            </w:tcBorders>
            <w:noWrap/>
            <w:vAlign w:val="center"/>
          </w:tcPr>
          <w:p w14:paraId="3D0B2D40">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X＜20</w:t>
            </w:r>
          </w:p>
        </w:tc>
      </w:tr>
      <w:tr w14:paraId="21FA6916">
        <w:tblPrEx>
          <w:tblCellMar>
            <w:top w:w="0" w:type="dxa"/>
            <w:left w:w="108" w:type="dxa"/>
            <w:bottom w:w="0" w:type="dxa"/>
            <w:right w:w="108" w:type="dxa"/>
          </w:tblCellMar>
        </w:tblPrEx>
        <w:trPr>
          <w:trHeight w:val="225" w:hRule="atLeast"/>
        </w:trPr>
        <w:tc>
          <w:tcPr>
            <w:tcW w:w="1944" w:type="dxa"/>
            <w:vMerge w:val="continue"/>
            <w:tcBorders>
              <w:top w:val="nil"/>
              <w:left w:val="single" w:color="auto" w:sz="4" w:space="0"/>
              <w:bottom w:val="single" w:color="auto" w:sz="4" w:space="0"/>
              <w:right w:val="single" w:color="auto" w:sz="4" w:space="0"/>
            </w:tcBorders>
            <w:noWrap/>
            <w:vAlign w:val="center"/>
          </w:tcPr>
          <w:p w14:paraId="40F638F2">
            <w:pPr>
              <w:spacing w:before="57" w:line="254" w:lineRule="auto"/>
              <w:ind w:left="59" w:right="60"/>
              <w:jc w:val="center"/>
              <w:rPr>
                <w:rFonts w:ascii="宋体" w:hAnsi="宋体" w:cs="宋体"/>
                <w:b/>
                <w:bCs/>
                <w:color w:val="auto"/>
                <w:w w:val="99"/>
                <w:kern w:val="0"/>
                <w:sz w:val="20"/>
                <w:szCs w:val="20"/>
                <w:highlight w:val="none"/>
                <w:lang w:eastAsia="en-US"/>
              </w:rPr>
            </w:pPr>
          </w:p>
        </w:tc>
        <w:tc>
          <w:tcPr>
            <w:tcW w:w="1383" w:type="dxa"/>
            <w:tcBorders>
              <w:top w:val="nil"/>
              <w:left w:val="nil"/>
              <w:bottom w:val="single" w:color="auto" w:sz="4" w:space="0"/>
              <w:right w:val="single" w:color="auto" w:sz="4" w:space="0"/>
            </w:tcBorders>
            <w:noWrap/>
            <w:vAlign w:val="center"/>
          </w:tcPr>
          <w:p w14:paraId="0B30ABC7">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营业收入（Y）</w:t>
            </w:r>
          </w:p>
        </w:tc>
        <w:tc>
          <w:tcPr>
            <w:tcW w:w="913" w:type="dxa"/>
            <w:tcBorders>
              <w:top w:val="nil"/>
              <w:left w:val="nil"/>
              <w:bottom w:val="single" w:color="auto" w:sz="4" w:space="0"/>
              <w:right w:val="single" w:color="auto" w:sz="4" w:space="0"/>
            </w:tcBorders>
            <w:noWrap/>
            <w:vAlign w:val="center"/>
          </w:tcPr>
          <w:p w14:paraId="4D136B94">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万元</w:t>
            </w:r>
          </w:p>
        </w:tc>
        <w:tc>
          <w:tcPr>
            <w:tcW w:w="1619" w:type="dxa"/>
            <w:tcBorders>
              <w:top w:val="nil"/>
              <w:left w:val="nil"/>
              <w:bottom w:val="single" w:color="auto" w:sz="4" w:space="0"/>
              <w:right w:val="single" w:color="auto" w:sz="4" w:space="0"/>
            </w:tcBorders>
            <w:noWrap/>
            <w:vAlign w:val="center"/>
          </w:tcPr>
          <w:p w14:paraId="0E0180C6">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1000≤Y＜30000</w:t>
            </w:r>
          </w:p>
        </w:tc>
        <w:tc>
          <w:tcPr>
            <w:tcW w:w="1439" w:type="dxa"/>
            <w:tcBorders>
              <w:top w:val="nil"/>
              <w:left w:val="nil"/>
              <w:bottom w:val="single" w:color="auto" w:sz="4" w:space="0"/>
              <w:right w:val="single" w:color="auto" w:sz="4" w:space="0"/>
            </w:tcBorders>
            <w:noWrap/>
            <w:vAlign w:val="center"/>
          </w:tcPr>
          <w:p w14:paraId="004683EC">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100≤Y＜1000</w:t>
            </w:r>
          </w:p>
        </w:tc>
        <w:tc>
          <w:tcPr>
            <w:tcW w:w="1492" w:type="dxa"/>
            <w:tcBorders>
              <w:top w:val="nil"/>
              <w:left w:val="nil"/>
              <w:bottom w:val="single" w:color="auto" w:sz="4" w:space="0"/>
              <w:right w:val="single" w:color="auto" w:sz="4" w:space="0"/>
            </w:tcBorders>
            <w:noWrap/>
            <w:vAlign w:val="center"/>
          </w:tcPr>
          <w:p w14:paraId="73482D69">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Y＜100</w:t>
            </w:r>
          </w:p>
        </w:tc>
      </w:tr>
      <w:tr w14:paraId="2390C103">
        <w:tblPrEx>
          <w:tblCellMar>
            <w:top w:w="0" w:type="dxa"/>
            <w:left w:w="108" w:type="dxa"/>
            <w:bottom w:w="0" w:type="dxa"/>
            <w:right w:w="108" w:type="dxa"/>
          </w:tblCellMar>
        </w:tblPrEx>
        <w:trPr>
          <w:trHeight w:val="225" w:hRule="atLeast"/>
        </w:trPr>
        <w:tc>
          <w:tcPr>
            <w:tcW w:w="1944" w:type="dxa"/>
            <w:vMerge w:val="restart"/>
            <w:tcBorders>
              <w:top w:val="nil"/>
              <w:left w:val="single" w:color="auto" w:sz="4" w:space="0"/>
              <w:bottom w:val="single" w:color="auto" w:sz="4" w:space="0"/>
              <w:right w:val="single" w:color="auto" w:sz="4" w:space="0"/>
            </w:tcBorders>
            <w:noWrap/>
            <w:vAlign w:val="center"/>
          </w:tcPr>
          <w:p w14:paraId="6445FA3F">
            <w:pPr>
              <w:spacing w:before="57" w:line="254" w:lineRule="auto"/>
              <w:ind w:left="59" w:right="60"/>
              <w:jc w:val="center"/>
              <w:rPr>
                <w:rFonts w:ascii="宋体" w:hAnsi="宋体" w:cs="宋体"/>
                <w:b/>
                <w:bCs/>
                <w:color w:val="auto"/>
                <w:w w:val="99"/>
                <w:kern w:val="0"/>
                <w:sz w:val="20"/>
                <w:szCs w:val="20"/>
                <w:highlight w:val="none"/>
                <w:lang w:eastAsia="en-US"/>
              </w:rPr>
            </w:pPr>
            <w:r>
              <w:rPr>
                <w:rFonts w:hint="eastAsia" w:ascii="宋体" w:hAnsi="宋体" w:cs="宋体"/>
                <w:b/>
                <w:bCs/>
                <w:color w:val="auto"/>
                <w:w w:val="99"/>
                <w:kern w:val="0"/>
                <w:sz w:val="20"/>
                <w:szCs w:val="20"/>
                <w:highlight w:val="none"/>
                <w:lang w:eastAsia="en-US"/>
              </w:rPr>
              <w:t>邮政业</w:t>
            </w:r>
          </w:p>
        </w:tc>
        <w:tc>
          <w:tcPr>
            <w:tcW w:w="1383" w:type="dxa"/>
            <w:tcBorders>
              <w:top w:val="nil"/>
              <w:left w:val="nil"/>
              <w:bottom w:val="single" w:color="auto" w:sz="4" w:space="0"/>
              <w:right w:val="single" w:color="auto" w:sz="4" w:space="0"/>
            </w:tcBorders>
            <w:noWrap/>
            <w:vAlign w:val="center"/>
          </w:tcPr>
          <w:p w14:paraId="32C50785">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从业人员（X）</w:t>
            </w:r>
          </w:p>
        </w:tc>
        <w:tc>
          <w:tcPr>
            <w:tcW w:w="913" w:type="dxa"/>
            <w:tcBorders>
              <w:top w:val="nil"/>
              <w:left w:val="nil"/>
              <w:bottom w:val="single" w:color="auto" w:sz="4" w:space="0"/>
              <w:right w:val="single" w:color="auto" w:sz="4" w:space="0"/>
            </w:tcBorders>
            <w:noWrap/>
            <w:vAlign w:val="center"/>
          </w:tcPr>
          <w:p w14:paraId="131FB37D">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人</w:t>
            </w:r>
          </w:p>
        </w:tc>
        <w:tc>
          <w:tcPr>
            <w:tcW w:w="1619" w:type="dxa"/>
            <w:tcBorders>
              <w:top w:val="nil"/>
              <w:left w:val="nil"/>
              <w:bottom w:val="single" w:color="auto" w:sz="4" w:space="0"/>
              <w:right w:val="single" w:color="auto" w:sz="4" w:space="0"/>
            </w:tcBorders>
            <w:noWrap/>
            <w:vAlign w:val="center"/>
          </w:tcPr>
          <w:p w14:paraId="07D4429C">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300≤X＜1000</w:t>
            </w:r>
          </w:p>
        </w:tc>
        <w:tc>
          <w:tcPr>
            <w:tcW w:w="1439" w:type="dxa"/>
            <w:tcBorders>
              <w:top w:val="nil"/>
              <w:left w:val="nil"/>
              <w:bottom w:val="single" w:color="auto" w:sz="4" w:space="0"/>
              <w:right w:val="single" w:color="auto" w:sz="4" w:space="0"/>
            </w:tcBorders>
            <w:noWrap/>
            <w:vAlign w:val="center"/>
          </w:tcPr>
          <w:p w14:paraId="62430B83">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20≤X＜300</w:t>
            </w:r>
          </w:p>
        </w:tc>
        <w:tc>
          <w:tcPr>
            <w:tcW w:w="1492" w:type="dxa"/>
            <w:tcBorders>
              <w:top w:val="nil"/>
              <w:left w:val="nil"/>
              <w:bottom w:val="single" w:color="auto" w:sz="4" w:space="0"/>
              <w:right w:val="single" w:color="auto" w:sz="4" w:space="0"/>
            </w:tcBorders>
            <w:noWrap/>
            <w:vAlign w:val="center"/>
          </w:tcPr>
          <w:p w14:paraId="7E0FC39C">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X＜20</w:t>
            </w:r>
          </w:p>
        </w:tc>
      </w:tr>
      <w:tr w14:paraId="2C022948">
        <w:tblPrEx>
          <w:tblCellMar>
            <w:top w:w="0" w:type="dxa"/>
            <w:left w:w="108" w:type="dxa"/>
            <w:bottom w:w="0" w:type="dxa"/>
            <w:right w:w="108" w:type="dxa"/>
          </w:tblCellMar>
        </w:tblPrEx>
        <w:trPr>
          <w:trHeight w:val="225" w:hRule="atLeast"/>
        </w:trPr>
        <w:tc>
          <w:tcPr>
            <w:tcW w:w="1944" w:type="dxa"/>
            <w:vMerge w:val="continue"/>
            <w:tcBorders>
              <w:top w:val="nil"/>
              <w:left w:val="single" w:color="auto" w:sz="4" w:space="0"/>
              <w:bottom w:val="single" w:color="auto" w:sz="4" w:space="0"/>
              <w:right w:val="single" w:color="auto" w:sz="4" w:space="0"/>
            </w:tcBorders>
            <w:noWrap/>
            <w:vAlign w:val="center"/>
          </w:tcPr>
          <w:p w14:paraId="3C99F96B">
            <w:pPr>
              <w:spacing w:before="57" w:line="254" w:lineRule="auto"/>
              <w:ind w:left="59" w:right="60"/>
              <w:jc w:val="center"/>
              <w:rPr>
                <w:rFonts w:ascii="宋体" w:hAnsi="宋体" w:cs="宋体"/>
                <w:b/>
                <w:bCs/>
                <w:color w:val="auto"/>
                <w:w w:val="99"/>
                <w:kern w:val="0"/>
                <w:sz w:val="20"/>
                <w:szCs w:val="20"/>
                <w:highlight w:val="none"/>
                <w:lang w:eastAsia="en-US"/>
              </w:rPr>
            </w:pPr>
          </w:p>
        </w:tc>
        <w:tc>
          <w:tcPr>
            <w:tcW w:w="1383" w:type="dxa"/>
            <w:tcBorders>
              <w:top w:val="nil"/>
              <w:left w:val="nil"/>
              <w:bottom w:val="single" w:color="auto" w:sz="4" w:space="0"/>
              <w:right w:val="single" w:color="auto" w:sz="4" w:space="0"/>
            </w:tcBorders>
            <w:noWrap/>
            <w:vAlign w:val="center"/>
          </w:tcPr>
          <w:p w14:paraId="7735B753">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营业收入（Y）</w:t>
            </w:r>
          </w:p>
        </w:tc>
        <w:tc>
          <w:tcPr>
            <w:tcW w:w="913" w:type="dxa"/>
            <w:tcBorders>
              <w:top w:val="nil"/>
              <w:left w:val="nil"/>
              <w:bottom w:val="single" w:color="auto" w:sz="4" w:space="0"/>
              <w:right w:val="single" w:color="auto" w:sz="4" w:space="0"/>
            </w:tcBorders>
            <w:noWrap/>
            <w:vAlign w:val="center"/>
          </w:tcPr>
          <w:p w14:paraId="16D9CCC7">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万元</w:t>
            </w:r>
          </w:p>
        </w:tc>
        <w:tc>
          <w:tcPr>
            <w:tcW w:w="1619" w:type="dxa"/>
            <w:tcBorders>
              <w:top w:val="nil"/>
              <w:left w:val="nil"/>
              <w:bottom w:val="single" w:color="auto" w:sz="4" w:space="0"/>
              <w:right w:val="single" w:color="auto" w:sz="4" w:space="0"/>
            </w:tcBorders>
            <w:noWrap/>
            <w:vAlign w:val="center"/>
          </w:tcPr>
          <w:p w14:paraId="1524B05D">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2000≤Y＜30000</w:t>
            </w:r>
          </w:p>
        </w:tc>
        <w:tc>
          <w:tcPr>
            <w:tcW w:w="1439" w:type="dxa"/>
            <w:tcBorders>
              <w:top w:val="nil"/>
              <w:left w:val="nil"/>
              <w:bottom w:val="single" w:color="auto" w:sz="4" w:space="0"/>
              <w:right w:val="single" w:color="auto" w:sz="4" w:space="0"/>
            </w:tcBorders>
            <w:noWrap/>
            <w:vAlign w:val="center"/>
          </w:tcPr>
          <w:p w14:paraId="57FCBD93">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100≤Y＜2000</w:t>
            </w:r>
          </w:p>
        </w:tc>
        <w:tc>
          <w:tcPr>
            <w:tcW w:w="1492" w:type="dxa"/>
            <w:tcBorders>
              <w:top w:val="nil"/>
              <w:left w:val="nil"/>
              <w:bottom w:val="single" w:color="auto" w:sz="4" w:space="0"/>
              <w:right w:val="single" w:color="auto" w:sz="4" w:space="0"/>
            </w:tcBorders>
            <w:noWrap/>
            <w:vAlign w:val="center"/>
          </w:tcPr>
          <w:p w14:paraId="72CB9408">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Y＜100</w:t>
            </w:r>
          </w:p>
        </w:tc>
      </w:tr>
      <w:tr w14:paraId="7B7D9C4D">
        <w:tblPrEx>
          <w:tblCellMar>
            <w:top w:w="0" w:type="dxa"/>
            <w:left w:w="108" w:type="dxa"/>
            <w:bottom w:w="0" w:type="dxa"/>
            <w:right w:w="108" w:type="dxa"/>
          </w:tblCellMar>
        </w:tblPrEx>
        <w:trPr>
          <w:trHeight w:val="225" w:hRule="atLeast"/>
        </w:trPr>
        <w:tc>
          <w:tcPr>
            <w:tcW w:w="1944" w:type="dxa"/>
            <w:vMerge w:val="restart"/>
            <w:tcBorders>
              <w:top w:val="nil"/>
              <w:left w:val="single" w:color="auto" w:sz="4" w:space="0"/>
              <w:bottom w:val="single" w:color="auto" w:sz="4" w:space="0"/>
              <w:right w:val="single" w:color="auto" w:sz="4" w:space="0"/>
            </w:tcBorders>
            <w:noWrap/>
            <w:vAlign w:val="center"/>
          </w:tcPr>
          <w:p w14:paraId="3A21C8F6">
            <w:pPr>
              <w:spacing w:before="57" w:line="254" w:lineRule="auto"/>
              <w:ind w:left="59" w:right="60"/>
              <w:jc w:val="center"/>
              <w:rPr>
                <w:rFonts w:ascii="宋体" w:hAnsi="宋体" w:cs="宋体"/>
                <w:b/>
                <w:bCs/>
                <w:color w:val="auto"/>
                <w:w w:val="99"/>
                <w:kern w:val="0"/>
                <w:sz w:val="20"/>
                <w:szCs w:val="20"/>
                <w:highlight w:val="none"/>
                <w:lang w:eastAsia="en-US"/>
              </w:rPr>
            </w:pPr>
            <w:r>
              <w:rPr>
                <w:rFonts w:hint="eastAsia" w:ascii="宋体" w:hAnsi="宋体" w:cs="宋体"/>
                <w:b/>
                <w:bCs/>
                <w:color w:val="auto"/>
                <w:w w:val="99"/>
                <w:kern w:val="0"/>
                <w:sz w:val="20"/>
                <w:szCs w:val="20"/>
                <w:highlight w:val="none"/>
                <w:lang w:eastAsia="en-US"/>
              </w:rPr>
              <w:t>住宿业</w:t>
            </w:r>
          </w:p>
        </w:tc>
        <w:tc>
          <w:tcPr>
            <w:tcW w:w="1383" w:type="dxa"/>
            <w:tcBorders>
              <w:top w:val="nil"/>
              <w:left w:val="nil"/>
              <w:bottom w:val="single" w:color="auto" w:sz="4" w:space="0"/>
              <w:right w:val="single" w:color="auto" w:sz="4" w:space="0"/>
            </w:tcBorders>
            <w:noWrap/>
            <w:vAlign w:val="center"/>
          </w:tcPr>
          <w:p w14:paraId="74DE90CB">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从业人员（X）</w:t>
            </w:r>
          </w:p>
        </w:tc>
        <w:tc>
          <w:tcPr>
            <w:tcW w:w="913" w:type="dxa"/>
            <w:tcBorders>
              <w:top w:val="nil"/>
              <w:left w:val="nil"/>
              <w:bottom w:val="single" w:color="auto" w:sz="4" w:space="0"/>
              <w:right w:val="single" w:color="auto" w:sz="4" w:space="0"/>
            </w:tcBorders>
            <w:noWrap/>
            <w:vAlign w:val="center"/>
          </w:tcPr>
          <w:p w14:paraId="6D7C8D46">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人</w:t>
            </w:r>
          </w:p>
        </w:tc>
        <w:tc>
          <w:tcPr>
            <w:tcW w:w="1619" w:type="dxa"/>
            <w:tcBorders>
              <w:top w:val="nil"/>
              <w:left w:val="nil"/>
              <w:bottom w:val="single" w:color="auto" w:sz="4" w:space="0"/>
              <w:right w:val="single" w:color="auto" w:sz="4" w:space="0"/>
            </w:tcBorders>
            <w:noWrap/>
            <w:vAlign w:val="center"/>
          </w:tcPr>
          <w:p w14:paraId="73EE0E85">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100≤X＜300</w:t>
            </w:r>
          </w:p>
        </w:tc>
        <w:tc>
          <w:tcPr>
            <w:tcW w:w="1439" w:type="dxa"/>
            <w:tcBorders>
              <w:top w:val="nil"/>
              <w:left w:val="nil"/>
              <w:bottom w:val="single" w:color="auto" w:sz="4" w:space="0"/>
              <w:right w:val="single" w:color="auto" w:sz="4" w:space="0"/>
            </w:tcBorders>
            <w:noWrap/>
            <w:vAlign w:val="center"/>
          </w:tcPr>
          <w:p w14:paraId="5568240D">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10≤X＜100</w:t>
            </w:r>
          </w:p>
        </w:tc>
        <w:tc>
          <w:tcPr>
            <w:tcW w:w="1492" w:type="dxa"/>
            <w:tcBorders>
              <w:top w:val="nil"/>
              <w:left w:val="nil"/>
              <w:bottom w:val="single" w:color="auto" w:sz="4" w:space="0"/>
              <w:right w:val="single" w:color="auto" w:sz="4" w:space="0"/>
            </w:tcBorders>
            <w:noWrap/>
            <w:vAlign w:val="center"/>
          </w:tcPr>
          <w:p w14:paraId="53CD8077">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X＜10</w:t>
            </w:r>
          </w:p>
        </w:tc>
      </w:tr>
      <w:tr w14:paraId="5F0E87D2">
        <w:tblPrEx>
          <w:tblCellMar>
            <w:top w:w="0" w:type="dxa"/>
            <w:left w:w="108" w:type="dxa"/>
            <w:bottom w:w="0" w:type="dxa"/>
            <w:right w:w="108" w:type="dxa"/>
          </w:tblCellMar>
        </w:tblPrEx>
        <w:trPr>
          <w:trHeight w:val="225" w:hRule="atLeast"/>
        </w:trPr>
        <w:tc>
          <w:tcPr>
            <w:tcW w:w="1944" w:type="dxa"/>
            <w:vMerge w:val="continue"/>
            <w:tcBorders>
              <w:top w:val="nil"/>
              <w:left w:val="single" w:color="auto" w:sz="4" w:space="0"/>
              <w:bottom w:val="single" w:color="auto" w:sz="4" w:space="0"/>
              <w:right w:val="single" w:color="auto" w:sz="4" w:space="0"/>
            </w:tcBorders>
            <w:noWrap/>
            <w:vAlign w:val="center"/>
          </w:tcPr>
          <w:p w14:paraId="446C19AF">
            <w:pPr>
              <w:spacing w:before="57" w:line="254" w:lineRule="auto"/>
              <w:ind w:left="59" w:right="60"/>
              <w:jc w:val="center"/>
              <w:rPr>
                <w:rFonts w:ascii="宋体" w:hAnsi="宋体" w:cs="宋体"/>
                <w:b/>
                <w:bCs/>
                <w:color w:val="auto"/>
                <w:w w:val="99"/>
                <w:kern w:val="0"/>
                <w:sz w:val="20"/>
                <w:szCs w:val="20"/>
                <w:highlight w:val="none"/>
                <w:lang w:eastAsia="en-US"/>
              </w:rPr>
            </w:pPr>
          </w:p>
        </w:tc>
        <w:tc>
          <w:tcPr>
            <w:tcW w:w="1383" w:type="dxa"/>
            <w:tcBorders>
              <w:top w:val="nil"/>
              <w:left w:val="nil"/>
              <w:bottom w:val="single" w:color="auto" w:sz="4" w:space="0"/>
              <w:right w:val="single" w:color="auto" w:sz="4" w:space="0"/>
            </w:tcBorders>
            <w:noWrap/>
            <w:vAlign w:val="center"/>
          </w:tcPr>
          <w:p w14:paraId="62843160">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营业收入（Y）</w:t>
            </w:r>
          </w:p>
        </w:tc>
        <w:tc>
          <w:tcPr>
            <w:tcW w:w="913" w:type="dxa"/>
            <w:tcBorders>
              <w:top w:val="nil"/>
              <w:left w:val="nil"/>
              <w:bottom w:val="single" w:color="auto" w:sz="4" w:space="0"/>
              <w:right w:val="single" w:color="auto" w:sz="4" w:space="0"/>
            </w:tcBorders>
            <w:noWrap/>
            <w:vAlign w:val="center"/>
          </w:tcPr>
          <w:p w14:paraId="197842CB">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万元</w:t>
            </w:r>
          </w:p>
        </w:tc>
        <w:tc>
          <w:tcPr>
            <w:tcW w:w="1619" w:type="dxa"/>
            <w:tcBorders>
              <w:top w:val="nil"/>
              <w:left w:val="nil"/>
              <w:bottom w:val="single" w:color="auto" w:sz="4" w:space="0"/>
              <w:right w:val="single" w:color="auto" w:sz="4" w:space="0"/>
            </w:tcBorders>
            <w:noWrap/>
            <w:vAlign w:val="center"/>
          </w:tcPr>
          <w:p w14:paraId="20A63F48">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2000≤Y＜10000</w:t>
            </w:r>
          </w:p>
        </w:tc>
        <w:tc>
          <w:tcPr>
            <w:tcW w:w="1439" w:type="dxa"/>
            <w:tcBorders>
              <w:top w:val="nil"/>
              <w:left w:val="nil"/>
              <w:bottom w:val="single" w:color="auto" w:sz="4" w:space="0"/>
              <w:right w:val="single" w:color="auto" w:sz="4" w:space="0"/>
            </w:tcBorders>
            <w:noWrap/>
            <w:vAlign w:val="center"/>
          </w:tcPr>
          <w:p w14:paraId="0D49E70B">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100≤Y＜2000</w:t>
            </w:r>
          </w:p>
        </w:tc>
        <w:tc>
          <w:tcPr>
            <w:tcW w:w="1492" w:type="dxa"/>
            <w:tcBorders>
              <w:top w:val="nil"/>
              <w:left w:val="nil"/>
              <w:bottom w:val="single" w:color="auto" w:sz="4" w:space="0"/>
              <w:right w:val="single" w:color="auto" w:sz="4" w:space="0"/>
            </w:tcBorders>
            <w:noWrap/>
            <w:vAlign w:val="center"/>
          </w:tcPr>
          <w:p w14:paraId="32697815">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Y＜100</w:t>
            </w:r>
          </w:p>
        </w:tc>
      </w:tr>
      <w:tr w14:paraId="321DD5D4">
        <w:tblPrEx>
          <w:tblCellMar>
            <w:top w:w="0" w:type="dxa"/>
            <w:left w:w="108" w:type="dxa"/>
            <w:bottom w:w="0" w:type="dxa"/>
            <w:right w:w="108" w:type="dxa"/>
          </w:tblCellMar>
        </w:tblPrEx>
        <w:trPr>
          <w:trHeight w:val="225" w:hRule="atLeast"/>
        </w:trPr>
        <w:tc>
          <w:tcPr>
            <w:tcW w:w="1944" w:type="dxa"/>
            <w:vMerge w:val="restart"/>
            <w:tcBorders>
              <w:top w:val="nil"/>
              <w:left w:val="single" w:color="auto" w:sz="4" w:space="0"/>
              <w:bottom w:val="single" w:color="auto" w:sz="4" w:space="0"/>
              <w:right w:val="single" w:color="auto" w:sz="4" w:space="0"/>
            </w:tcBorders>
            <w:noWrap/>
            <w:vAlign w:val="center"/>
          </w:tcPr>
          <w:p w14:paraId="35F4625C">
            <w:pPr>
              <w:spacing w:before="57" w:line="254" w:lineRule="auto"/>
              <w:ind w:left="59" w:right="60"/>
              <w:jc w:val="center"/>
              <w:rPr>
                <w:rFonts w:ascii="宋体" w:hAnsi="宋体" w:cs="宋体"/>
                <w:b/>
                <w:bCs/>
                <w:color w:val="auto"/>
                <w:w w:val="99"/>
                <w:kern w:val="0"/>
                <w:sz w:val="20"/>
                <w:szCs w:val="20"/>
                <w:highlight w:val="none"/>
                <w:lang w:eastAsia="en-US"/>
              </w:rPr>
            </w:pPr>
            <w:r>
              <w:rPr>
                <w:rFonts w:hint="eastAsia" w:ascii="宋体" w:hAnsi="宋体" w:cs="宋体"/>
                <w:b/>
                <w:bCs/>
                <w:color w:val="auto"/>
                <w:w w:val="99"/>
                <w:kern w:val="0"/>
                <w:sz w:val="20"/>
                <w:szCs w:val="20"/>
                <w:highlight w:val="none"/>
                <w:lang w:eastAsia="en-US"/>
              </w:rPr>
              <w:t>餐饮业</w:t>
            </w:r>
          </w:p>
        </w:tc>
        <w:tc>
          <w:tcPr>
            <w:tcW w:w="1383" w:type="dxa"/>
            <w:tcBorders>
              <w:top w:val="nil"/>
              <w:left w:val="nil"/>
              <w:bottom w:val="single" w:color="auto" w:sz="4" w:space="0"/>
              <w:right w:val="single" w:color="auto" w:sz="4" w:space="0"/>
            </w:tcBorders>
            <w:noWrap/>
            <w:vAlign w:val="center"/>
          </w:tcPr>
          <w:p w14:paraId="6CEE187A">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从业人员（X）</w:t>
            </w:r>
          </w:p>
        </w:tc>
        <w:tc>
          <w:tcPr>
            <w:tcW w:w="913" w:type="dxa"/>
            <w:tcBorders>
              <w:top w:val="nil"/>
              <w:left w:val="nil"/>
              <w:bottom w:val="single" w:color="auto" w:sz="4" w:space="0"/>
              <w:right w:val="single" w:color="auto" w:sz="4" w:space="0"/>
            </w:tcBorders>
            <w:noWrap/>
            <w:vAlign w:val="center"/>
          </w:tcPr>
          <w:p w14:paraId="24772DBA">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人</w:t>
            </w:r>
          </w:p>
        </w:tc>
        <w:tc>
          <w:tcPr>
            <w:tcW w:w="1619" w:type="dxa"/>
            <w:tcBorders>
              <w:top w:val="nil"/>
              <w:left w:val="nil"/>
              <w:bottom w:val="single" w:color="auto" w:sz="4" w:space="0"/>
              <w:right w:val="single" w:color="auto" w:sz="4" w:space="0"/>
            </w:tcBorders>
            <w:noWrap/>
            <w:vAlign w:val="center"/>
          </w:tcPr>
          <w:p w14:paraId="6974CCAA">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100≤X＜300</w:t>
            </w:r>
          </w:p>
        </w:tc>
        <w:tc>
          <w:tcPr>
            <w:tcW w:w="1439" w:type="dxa"/>
            <w:tcBorders>
              <w:top w:val="nil"/>
              <w:left w:val="nil"/>
              <w:bottom w:val="single" w:color="auto" w:sz="4" w:space="0"/>
              <w:right w:val="single" w:color="auto" w:sz="4" w:space="0"/>
            </w:tcBorders>
            <w:noWrap/>
            <w:vAlign w:val="center"/>
          </w:tcPr>
          <w:p w14:paraId="176C144C">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10≤X＜100</w:t>
            </w:r>
          </w:p>
        </w:tc>
        <w:tc>
          <w:tcPr>
            <w:tcW w:w="1492" w:type="dxa"/>
            <w:tcBorders>
              <w:top w:val="nil"/>
              <w:left w:val="nil"/>
              <w:bottom w:val="single" w:color="auto" w:sz="4" w:space="0"/>
              <w:right w:val="single" w:color="auto" w:sz="4" w:space="0"/>
            </w:tcBorders>
            <w:noWrap/>
            <w:vAlign w:val="center"/>
          </w:tcPr>
          <w:p w14:paraId="4B8495F8">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X＜10</w:t>
            </w:r>
          </w:p>
        </w:tc>
      </w:tr>
      <w:tr w14:paraId="7C3A09D1">
        <w:tblPrEx>
          <w:tblCellMar>
            <w:top w:w="0" w:type="dxa"/>
            <w:left w:w="108" w:type="dxa"/>
            <w:bottom w:w="0" w:type="dxa"/>
            <w:right w:w="108" w:type="dxa"/>
          </w:tblCellMar>
        </w:tblPrEx>
        <w:trPr>
          <w:trHeight w:val="225" w:hRule="atLeast"/>
        </w:trPr>
        <w:tc>
          <w:tcPr>
            <w:tcW w:w="1944" w:type="dxa"/>
            <w:vMerge w:val="continue"/>
            <w:tcBorders>
              <w:top w:val="nil"/>
              <w:left w:val="single" w:color="auto" w:sz="4" w:space="0"/>
              <w:bottom w:val="single" w:color="auto" w:sz="4" w:space="0"/>
              <w:right w:val="single" w:color="auto" w:sz="4" w:space="0"/>
            </w:tcBorders>
            <w:noWrap/>
            <w:vAlign w:val="center"/>
          </w:tcPr>
          <w:p w14:paraId="140A9618">
            <w:pPr>
              <w:spacing w:before="57" w:line="254" w:lineRule="auto"/>
              <w:ind w:left="59" w:right="60"/>
              <w:jc w:val="center"/>
              <w:rPr>
                <w:rFonts w:ascii="宋体" w:hAnsi="宋体" w:cs="宋体"/>
                <w:b/>
                <w:bCs/>
                <w:color w:val="auto"/>
                <w:w w:val="99"/>
                <w:kern w:val="0"/>
                <w:sz w:val="20"/>
                <w:szCs w:val="20"/>
                <w:highlight w:val="none"/>
                <w:lang w:eastAsia="en-US"/>
              </w:rPr>
            </w:pPr>
          </w:p>
        </w:tc>
        <w:tc>
          <w:tcPr>
            <w:tcW w:w="1383" w:type="dxa"/>
            <w:tcBorders>
              <w:top w:val="nil"/>
              <w:left w:val="nil"/>
              <w:bottom w:val="single" w:color="auto" w:sz="4" w:space="0"/>
              <w:right w:val="single" w:color="auto" w:sz="4" w:space="0"/>
            </w:tcBorders>
            <w:noWrap/>
            <w:vAlign w:val="center"/>
          </w:tcPr>
          <w:p w14:paraId="00550D89">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营业收入（Y）</w:t>
            </w:r>
          </w:p>
        </w:tc>
        <w:tc>
          <w:tcPr>
            <w:tcW w:w="913" w:type="dxa"/>
            <w:tcBorders>
              <w:top w:val="nil"/>
              <w:left w:val="nil"/>
              <w:bottom w:val="single" w:color="auto" w:sz="4" w:space="0"/>
              <w:right w:val="single" w:color="auto" w:sz="4" w:space="0"/>
            </w:tcBorders>
            <w:noWrap/>
            <w:vAlign w:val="center"/>
          </w:tcPr>
          <w:p w14:paraId="4F249F31">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万元</w:t>
            </w:r>
          </w:p>
        </w:tc>
        <w:tc>
          <w:tcPr>
            <w:tcW w:w="1619" w:type="dxa"/>
            <w:tcBorders>
              <w:top w:val="nil"/>
              <w:left w:val="nil"/>
              <w:bottom w:val="single" w:color="auto" w:sz="4" w:space="0"/>
              <w:right w:val="single" w:color="auto" w:sz="4" w:space="0"/>
            </w:tcBorders>
            <w:noWrap/>
            <w:vAlign w:val="center"/>
          </w:tcPr>
          <w:p w14:paraId="52D4A545">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2000≤Y＜10000</w:t>
            </w:r>
          </w:p>
        </w:tc>
        <w:tc>
          <w:tcPr>
            <w:tcW w:w="1439" w:type="dxa"/>
            <w:tcBorders>
              <w:top w:val="nil"/>
              <w:left w:val="nil"/>
              <w:bottom w:val="single" w:color="auto" w:sz="4" w:space="0"/>
              <w:right w:val="single" w:color="auto" w:sz="4" w:space="0"/>
            </w:tcBorders>
            <w:noWrap/>
            <w:vAlign w:val="center"/>
          </w:tcPr>
          <w:p w14:paraId="63CFB9E2">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100≤Y＜2000</w:t>
            </w:r>
          </w:p>
        </w:tc>
        <w:tc>
          <w:tcPr>
            <w:tcW w:w="1492" w:type="dxa"/>
            <w:tcBorders>
              <w:top w:val="nil"/>
              <w:left w:val="nil"/>
              <w:bottom w:val="single" w:color="auto" w:sz="4" w:space="0"/>
              <w:right w:val="single" w:color="auto" w:sz="4" w:space="0"/>
            </w:tcBorders>
            <w:noWrap/>
            <w:vAlign w:val="center"/>
          </w:tcPr>
          <w:p w14:paraId="2CBB10E0">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Y＜100</w:t>
            </w:r>
          </w:p>
        </w:tc>
      </w:tr>
      <w:tr w14:paraId="67BDABB6">
        <w:tblPrEx>
          <w:tblCellMar>
            <w:top w:w="0" w:type="dxa"/>
            <w:left w:w="108" w:type="dxa"/>
            <w:bottom w:w="0" w:type="dxa"/>
            <w:right w:w="108" w:type="dxa"/>
          </w:tblCellMar>
        </w:tblPrEx>
        <w:trPr>
          <w:trHeight w:val="225" w:hRule="atLeast"/>
        </w:trPr>
        <w:tc>
          <w:tcPr>
            <w:tcW w:w="1944" w:type="dxa"/>
            <w:vMerge w:val="restart"/>
            <w:tcBorders>
              <w:top w:val="nil"/>
              <w:left w:val="single" w:color="auto" w:sz="4" w:space="0"/>
              <w:bottom w:val="single" w:color="auto" w:sz="4" w:space="0"/>
              <w:right w:val="single" w:color="auto" w:sz="4" w:space="0"/>
            </w:tcBorders>
            <w:noWrap/>
            <w:vAlign w:val="center"/>
          </w:tcPr>
          <w:p w14:paraId="2C278E14">
            <w:pPr>
              <w:spacing w:before="57" w:line="254" w:lineRule="auto"/>
              <w:ind w:left="59" w:right="60"/>
              <w:jc w:val="center"/>
              <w:rPr>
                <w:rFonts w:ascii="宋体" w:hAnsi="宋体" w:cs="宋体"/>
                <w:b/>
                <w:bCs/>
                <w:color w:val="auto"/>
                <w:w w:val="99"/>
                <w:kern w:val="0"/>
                <w:sz w:val="20"/>
                <w:szCs w:val="20"/>
                <w:highlight w:val="none"/>
                <w:lang w:eastAsia="en-US"/>
              </w:rPr>
            </w:pPr>
            <w:r>
              <w:rPr>
                <w:rFonts w:hint="eastAsia" w:ascii="宋体" w:hAnsi="宋体" w:cs="宋体"/>
                <w:b/>
                <w:bCs/>
                <w:color w:val="auto"/>
                <w:w w:val="99"/>
                <w:kern w:val="0"/>
                <w:sz w:val="20"/>
                <w:szCs w:val="20"/>
                <w:highlight w:val="none"/>
                <w:lang w:eastAsia="en-US"/>
              </w:rPr>
              <w:t>信息传输业</w:t>
            </w:r>
          </w:p>
        </w:tc>
        <w:tc>
          <w:tcPr>
            <w:tcW w:w="1383" w:type="dxa"/>
            <w:tcBorders>
              <w:top w:val="nil"/>
              <w:left w:val="nil"/>
              <w:bottom w:val="single" w:color="auto" w:sz="4" w:space="0"/>
              <w:right w:val="single" w:color="auto" w:sz="4" w:space="0"/>
            </w:tcBorders>
            <w:noWrap/>
            <w:vAlign w:val="center"/>
          </w:tcPr>
          <w:p w14:paraId="6B71ABF1">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从业人员（X）</w:t>
            </w:r>
          </w:p>
        </w:tc>
        <w:tc>
          <w:tcPr>
            <w:tcW w:w="913" w:type="dxa"/>
            <w:tcBorders>
              <w:top w:val="nil"/>
              <w:left w:val="nil"/>
              <w:bottom w:val="single" w:color="auto" w:sz="4" w:space="0"/>
              <w:right w:val="single" w:color="auto" w:sz="4" w:space="0"/>
            </w:tcBorders>
            <w:noWrap/>
            <w:vAlign w:val="center"/>
          </w:tcPr>
          <w:p w14:paraId="72A41966">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人</w:t>
            </w:r>
          </w:p>
        </w:tc>
        <w:tc>
          <w:tcPr>
            <w:tcW w:w="1619" w:type="dxa"/>
            <w:tcBorders>
              <w:top w:val="nil"/>
              <w:left w:val="nil"/>
              <w:bottom w:val="single" w:color="auto" w:sz="4" w:space="0"/>
              <w:right w:val="single" w:color="auto" w:sz="4" w:space="0"/>
            </w:tcBorders>
            <w:noWrap/>
            <w:vAlign w:val="center"/>
          </w:tcPr>
          <w:p w14:paraId="35C59D8F">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100≤X＜2000</w:t>
            </w:r>
          </w:p>
        </w:tc>
        <w:tc>
          <w:tcPr>
            <w:tcW w:w="1439" w:type="dxa"/>
            <w:tcBorders>
              <w:top w:val="nil"/>
              <w:left w:val="nil"/>
              <w:bottom w:val="single" w:color="auto" w:sz="4" w:space="0"/>
              <w:right w:val="single" w:color="auto" w:sz="4" w:space="0"/>
            </w:tcBorders>
            <w:noWrap/>
            <w:vAlign w:val="center"/>
          </w:tcPr>
          <w:p w14:paraId="70464802">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10≤X＜100</w:t>
            </w:r>
          </w:p>
        </w:tc>
        <w:tc>
          <w:tcPr>
            <w:tcW w:w="1492" w:type="dxa"/>
            <w:tcBorders>
              <w:top w:val="nil"/>
              <w:left w:val="nil"/>
              <w:bottom w:val="single" w:color="auto" w:sz="4" w:space="0"/>
              <w:right w:val="single" w:color="auto" w:sz="4" w:space="0"/>
            </w:tcBorders>
            <w:noWrap/>
            <w:vAlign w:val="center"/>
          </w:tcPr>
          <w:p w14:paraId="5A8A05C2">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X＜10</w:t>
            </w:r>
          </w:p>
        </w:tc>
      </w:tr>
      <w:tr w14:paraId="1CEAEAA0">
        <w:tblPrEx>
          <w:tblCellMar>
            <w:top w:w="0" w:type="dxa"/>
            <w:left w:w="108" w:type="dxa"/>
            <w:bottom w:w="0" w:type="dxa"/>
            <w:right w:w="108" w:type="dxa"/>
          </w:tblCellMar>
        </w:tblPrEx>
        <w:trPr>
          <w:trHeight w:val="225" w:hRule="atLeast"/>
        </w:trPr>
        <w:tc>
          <w:tcPr>
            <w:tcW w:w="1944" w:type="dxa"/>
            <w:vMerge w:val="continue"/>
            <w:tcBorders>
              <w:top w:val="nil"/>
              <w:left w:val="single" w:color="auto" w:sz="4" w:space="0"/>
              <w:bottom w:val="single" w:color="auto" w:sz="4" w:space="0"/>
              <w:right w:val="single" w:color="auto" w:sz="4" w:space="0"/>
            </w:tcBorders>
            <w:noWrap/>
            <w:vAlign w:val="center"/>
          </w:tcPr>
          <w:p w14:paraId="018D7427">
            <w:pPr>
              <w:spacing w:before="57" w:line="254" w:lineRule="auto"/>
              <w:ind w:left="59" w:right="60"/>
              <w:jc w:val="center"/>
              <w:rPr>
                <w:rFonts w:ascii="宋体" w:hAnsi="宋体" w:cs="宋体"/>
                <w:b/>
                <w:bCs/>
                <w:color w:val="auto"/>
                <w:w w:val="99"/>
                <w:kern w:val="0"/>
                <w:sz w:val="20"/>
                <w:szCs w:val="20"/>
                <w:highlight w:val="none"/>
                <w:lang w:eastAsia="en-US"/>
              </w:rPr>
            </w:pPr>
          </w:p>
        </w:tc>
        <w:tc>
          <w:tcPr>
            <w:tcW w:w="1383" w:type="dxa"/>
            <w:tcBorders>
              <w:top w:val="nil"/>
              <w:left w:val="nil"/>
              <w:bottom w:val="single" w:color="auto" w:sz="4" w:space="0"/>
              <w:right w:val="single" w:color="auto" w:sz="4" w:space="0"/>
            </w:tcBorders>
            <w:noWrap/>
            <w:vAlign w:val="center"/>
          </w:tcPr>
          <w:p w14:paraId="15AE09DD">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营业收入（Y）</w:t>
            </w:r>
          </w:p>
        </w:tc>
        <w:tc>
          <w:tcPr>
            <w:tcW w:w="913" w:type="dxa"/>
            <w:tcBorders>
              <w:top w:val="nil"/>
              <w:left w:val="nil"/>
              <w:bottom w:val="single" w:color="auto" w:sz="4" w:space="0"/>
              <w:right w:val="single" w:color="auto" w:sz="4" w:space="0"/>
            </w:tcBorders>
            <w:noWrap/>
            <w:vAlign w:val="center"/>
          </w:tcPr>
          <w:p w14:paraId="397D1956">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万元</w:t>
            </w:r>
          </w:p>
        </w:tc>
        <w:tc>
          <w:tcPr>
            <w:tcW w:w="1619" w:type="dxa"/>
            <w:tcBorders>
              <w:top w:val="nil"/>
              <w:left w:val="nil"/>
              <w:bottom w:val="single" w:color="auto" w:sz="4" w:space="0"/>
              <w:right w:val="single" w:color="auto" w:sz="4" w:space="0"/>
            </w:tcBorders>
            <w:noWrap/>
            <w:vAlign w:val="center"/>
          </w:tcPr>
          <w:p w14:paraId="31347374">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1000≤Y＜100000</w:t>
            </w:r>
          </w:p>
        </w:tc>
        <w:tc>
          <w:tcPr>
            <w:tcW w:w="1439" w:type="dxa"/>
            <w:tcBorders>
              <w:top w:val="nil"/>
              <w:left w:val="nil"/>
              <w:bottom w:val="single" w:color="auto" w:sz="4" w:space="0"/>
              <w:right w:val="single" w:color="auto" w:sz="4" w:space="0"/>
            </w:tcBorders>
            <w:noWrap/>
            <w:vAlign w:val="center"/>
          </w:tcPr>
          <w:p w14:paraId="33B7A7D9">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100≤Y＜1000</w:t>
            </w:r>
          </w:p>
        </w:tc>
        <w:tc>
          <w:tcPr>
            <w:tcW w:w="1492" w:type="dxa"/>
            <w:tcBorders>
              <w:top w:val="nil"/>
              <w:left w:val="nil"/>
              <w:bottom w:val="single" w:color="auto" w:sz="4" w:space="0"/>
              <w:right w:val="single" w:color="auto" w:sz="4" w:space="0"/>
            </w:tcBorders>
            <w:noWrap/>
            <w:vAlign w:val="center"/>
          </w:tcPr>
          <w:p w14:paraId="2B21259A">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Y＜100</w:t>
            </w:r>
          </w:p>
        </w:tc>
      </w:tr>
      <w:tr w14:paraId="71D259B7">
        <w:tblPrEx>
          <w:tblCellMar>
            <w:top w:w="0" w:type="dxa"/>
            <w:left w:w="108" w:type="dxa"/>
            <w:bottom w:w="0" w:type="dxa"/>
            <w:right w:w="108" w:type="dxa"/>
          </w:tblCellMar>
        </w:tblPrEx>
        <w:trPr>
          <w:trHeight w:val="225" w:hRule="atLeast"/>
        </w:trPr>
        <w:tc>
          <w:tcPr>
            <w:tcW w:w="1944" w:type="dxa"/>
            <w:vMerge w:val="restart"/>
            <w:tcBorders>
              <w:top w:val="nil"/>
              <w:left w:val="single" w:color="auto" w:sz="4" w:space="0"/>
              <w:bottom w:val="single" w:color="auto" w:sz="4" w:space="0"/>
              <w:right w:val="single" w:color="auto" w:sz="4" w:space="0"/>
            </w:tcBorders>
            <w:noWrap/>
            <w:vAlign w:val="center"/>
          </w:tcPr>
          <w:p w14:paraId="6DA999AA">
            <w:pPr>
              <w:spacing w:before="57" w:line="254" w:lineRule="auto"/>
              <w:ind w:left="59" w:right="60"/>
              <w:jc w:val="center"/>
              <w:rPr>
                <w:rFonts w:ascii="宋体" w:hAnsi="宋体" w:cs="宋体"/>
                <w:b/>
                <w:bCs/>
                <w:color w:val="auto"/>
                <w:w w:val="99"/>
                <w:kern w:val="0"/>
                <w:sz w:val="20"/>
                <w:szCs w:val="20"/>
                <w:highlight w:val="none"/>
              </w:rPr>
            </w:pPr>
            <w:r>
              <w:rPr>
                <w:rFonts w:hint="eastAsia" w:ascii="宋体" w:hAnsi="宋体" w:cs="宋体"/>
                <w:b/>
                <w:bCs/>
                <w:color w:val="auto"/>
                <w:w w:val="99"/>
                <w:kern w:val="0"/>
                <w:sz w:val="20"/>
                <w:szCs w:val="20"/>
                <w:highlight w:val="none"/>
              </w:rPr>
              <w:t>软件和信息技术服务业</w:t>
            </w:r>
          </w:p>
        </w:tc>
        <w:tc>
          <w:tcPr>
            <w:tcW w:w="1383" w:type="dxa"/>
            <w:tcBorders>
              <w:top w:val="nil"/>
              <w:left w:val="nil"/>
              <w:bottom w:val="single" w:color="auto" w:sz="4" w:space="0"/>
              <w:right w:val="single" w:color="auto" w:sz="4" w:space="0"/>
            </w:tcBorders>
            <w:noWrap/>
            <w:vAlign w:val="center"/>
          </w:tcPr>
          <w:p w14:paraId="5CE563FE">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从业人员（X）</w:t>
            </w:r>
          </w:p>
        </w:tc>
        <w:tc>
          <w:tcPr>
            <w:tcW w:w="913" w:type="dxa"/>
            <w:tcBorders>
              <w:top w:val="nil"/>
              <w:left w:val="nil"/>
              <w:bottom w:val="single" w:color="auto" w:sz="4" w:space="0"/>
              <w:right w:val="single" w:color="auto" w:sz="4" w:space="0"/>
            </w:tcBorders>
            <w:noWrap/>
            <w:vAlign w:val="center"/>
          </w:tcPr>
          <w:p w14:paraId="491991DB">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人</w:t>
            </w:r>
          </w:p>
        </w:tc>
        <w:tc>
          <w:tcPr>
            <w:tcW w:w="1619" w:type="dxa"/>
            <w:tcBorders>
              <w:top w:val="nil"/>
              <w:left w:val="nil"/>
              <w:bottom w:val="single" w:color="auto" w:sz="4" w:space="0"/>
              <w:right w:val="single" w:color="auto" w:sz="4" w:space="0"/>
            </w:tcBorders>
            <w:noWrap/>
            <w:vAlign w:val="center"/>
          </w:tcPr>
          <w:p w14:paraId="25033609">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100≤X＜300</w:t>
            </w:r>
          </w:p>
        </w:tc>
        <w:tc>
          <w:tcPr>
            <w:tcW w:w="1439" w:type="dxa"/>
            <w:tcBorders>
              <w:top w:val="nil"/>
              <w:left w:val="nil"/>
              <w:bottom w:val="single" w:color="auto" w:sz="4" w:space="0"/>
              <w:right w:val="single" w:color="auto" w:sz="4" w:space="0"/>
            </w:tcBorders>
            <w:noWrap/>
            <w:vAlign w:val="center"/>
          </w:tcPr>
          <w:p w14:paraId="3E69C4DA">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10≤X＜100</w:t>
            </w:r>
          </w:p>
        </w:tc>
        <w:tc>
          <w:tcPr>
            <w:tcW w:w="1492" w:type="dxa"/>
            <w:tcBorders>
              <w:top w:val="nil"/>
              <w:left w:val="nil"/>
              <w:bottom w:val="single" w:color="auto" w:sz="4" w:space="0"/>
              <w:right w:val="single" w:color="auto" w:sz="4" w:space="0"/>
            </w:tcBorders>
            <w:noWrap/>
            <w:vAlign w:val="center"/>
          </w:tcPr>
          <w:p w14:paraId="74BB2978">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X＜10</w:t>
            </w:r>
          </w:p>
        </w:tc>
      </w:tr>
      <w:tr w14:paraId="4C2D4ADB">
        <w:tblPrEx>
          <w:tblCellMar>
            <w:top w:w="0" w:type="dxa"/>
            <w:left w:w="108" w:type="dxa"/>
            <w:bottom w:w="0" w:type="dxa"/>
            <w:right w:w="108" w:type="dxa"/>
          </w:tblCellMar>
        </w:tblPrEx>
        <w:trPr>
          <w:trHeight w:val="225" w:hRule="atLeast"/>
        </w:trPr>
        <w:tc>
          <w:tcPr>
            <w:tcW w:w="1944" w:type="dxa"/>
            <w:vMerge w:val="continue"/>
            <w:tcBorders>
              <w:top w:val="nil"/>
              <w:left w:val="single" w:color="auto" w:sz="4" w:space="0"/>
              <w:bottom w:val="single" w:color="auto" w:sz="4" w:space="0"/>
              <w:right w:val="single" w:color="auto" w:sz="4" w:space="0"/>
            </w:tcBorders>
            <w:noWrap/>
            <w:vAlign w:val="center"/>
          </w:tcPr>
          <w:p w14:paraId="111CE1FE">
            <w:pPr>
              <w:spacing w:before="57" w:line="254" w:lineRule="auto"/>
              <w:ind w:left="59" w:right="60"/>
              <w:jc w:val="center"/>
              <w:rPr>
                <w:rFonts w:ascii="宋体" w:hAnsi="宋体" w:cs="宋体"/>
                <w:b/>
                <w:bCs/>
                <w:color w:val="auto"/>
                <w:w w:val="99"/>
                <w:kern w:val="0"/>
                <w:sz w:val="20"/>
                <w:szCs w:val="20"/>
                <w:highlight w:val="none"/>
                <w:lang w:eastAsia="en-US"/>
              </w:rPr>
            </w:pPr>
          </w:p>
        </w:tc>
        <w:tc>
          <w:tcPr>
            <w:tcW w:w="1383" w:type="dxa"/>
            <w:tcBorders>
              <w:top w:val="nil"/>
              <w:left w:val="nil"/>
              <w:bottom w:val="single" w:color="auto" w:sz="4" w:space="0"/>
              <w:right w:val="single" w:color="auto" w:sz="4" w:space="0"/>
            </w:tcBorders>
            <w:noWrap/>
            <w:vAlign w:val="center"/>
          </w:tcPr>
          <w:p w14:paraId="36E461BF">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营业收入（Y）</w:t>
            </w:r>
          </w:p>
        </w:tc>
        <w:tc>
          <w:tcPr>
            <w:tcW w:w="913" w:type="dxa"/>
            <w:tcBorders>
              <w:top w:val="nil"/>
              <w:left w:val="nil"/>
              <w:bottom w:val="single" w:color="auto" w:sz="4" w:space="0"/>
              <w:right w:val="single" w:color="auto" w:sz="4" w:space="0"/>
            </w:tcBorders>
            <w:noWrap/>
            <w:vAlign w:val="center"/>
          </w:tcPr>
          <w:p w14:paraId="59B102A8">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万元</w:t>
            </w:r>
          </w:p>
        </w:tc>
        <w:tc>
          <w:tcPr>
            <w:tcW w:w="1619" w:type="dxa"/>
            <w:tcBorders>
              <w:top w:val="nil"/>
              <w:left w:val="nil"/>
              <w:bottom w:val="single" w:color="auto" w:sz="4" w:space="0"/>
              <w:right w:val="single" w:color="auto" w:sz="4" w:space="0"/>
            </w:tcBorders>
            <w:noWrap/>
            <w:vAlign w:val="center"/>
          </w:tcPr>
          <w:p w14:paraId="6D761AE4">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1000≤Y＜10000</w:t>
            </w:r>
          </w:p>
        </w:tc>
        <w:tc>
          <w:tcPr>
            <w:tcW w:w="1439" w:type="dxa"/>
            <w:tcBorders>
              <w:top w:val="nil"/>
              <w:left w:val="nil"/>
              <w:bottom w:val="single" w:color="auto" w:sz="4" w:space="0"/>
              <w:right w:val="single" w:color="auto" w:sz="4" w:space="0"/>
            </w:tcBorders>
            <w:noWrap/>
            <w:vAlign w:val="center"/>
          </w:tcPr>
          <w:p w14:paraId="46FF7130">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50≤Y＜1000</w:t>
            </w:r>
          </w:p>
        </w:tc>
        <w:tc>
          <w:tcPr>
            <w:tcW w:w="1492" w:type="dxa"/>
            <w:tcBorders>
              <w:top w:val="nil"/>
              <w:left w:val="nil"/>
              <w:bottom w:val="single" w:color="auto" w:sz="4" w:space="0"/>
              <w:right w:val="single" w:color="auto" w:sz="4" w:space="0"/>
            </w:tcBorders>
            <w:noWrap/>
            <w:vAlign w:val="center"/>
          </w:tcPr>
          <w:p w14:paraId="76AF91F5">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Y＜50</w:t>
            </w:r>
          </w:p>
        </w:tc>
      </w:tr>
      <w:tr w14:paraId="20AE9D34">
        <w:tblPrEx>
          <w:tblCellMar>
            <w:top w:w="0" w:type="dxa"/>
            <w:left w:w="108" w:type="dxa"/>
            <w:bottom w:w="0" w:type="dxa"/>
            <w:right w:w="108" w:type="dxa"/>
          </w:tblCellMar>
        </w:tblPrEx>
        <w:trPr>
          <w:trHeight w:val="225" w:hRule="atLeast"/>
        </w:trPr>
        <w:tc>
          <w:tcPr>
            <w:tcW w:w="1944" w:type="dxa"/>
            <w:vMerge w:val="restart"/>
            <w:tcBorders>
              <w:top w:val="nil"/>
              <w:left w:val="single" w:color="auto" w:sz="4" w:space="0"/>
              <w:bottom w:val="single" w:color="auto" w:sz="4" w:space="0"/>
              <w:right w:val="single" w:color="auto" w:sz="4" w:space="0"/>
            </w:tcBorders>
            <w:noWrap/>
            <w:vAlign w:val="center"/>
          </w:tcPr>
          <w:p w14:paraId="4464E756">
            <w:pPr>
              <w:spacing w:before="57" w:line="254" w:lineRule="auto"/>
              <w:ind w:left="59" w:right="60"/>
              <w:jc w:val="center"/>
              <w:rPr>
                <w:rFonts w:ascii="宋体" w:hAnsi="宋体" w:cs="宋体"/>
                <w:b/>
                <w:bCs/>
                <w:color w:val="auto"/>
                <w:w w:val="99"/>
                <w:kern w:val="0"/>
                <w:sz w:val="20"/>
                <w:szCs w:val="20"/>
                <w:highlight w:val="none"/>
                <w:lang w:eastAsia="en-US"/>
              </w:rPr>
            </w:pPr>
            <w:r>
              <w:rPr>
                <w:rFonts w:hint="eastAsia" w:ascii="宋体" w:hAnsi="宋体" w:cs="宋体"/>
                <w:b/>
                <w:bCs/>
                <w:color w:val="auto"/>
                <w:w w:val="99"/>
                <w:kern w:val="0"/>
                <w:sz w:val="20"/>
                <w:szCs w:val="20"/>
                <w:highlight w:val="none"/>
                <w:lang w:eastAsia="en-US"/>
              </w:rPr>
              <w:t>房地产开发经营</w:t>
            </w:r>
          </w:p>
        </w:tc>
        <w:tc>
          <w:tcPr>
            <w:tcW w:w="1383" w:type="dxa"/>
            <w:tcBorders>
              <w:top w:val="nil"/>
              <w:left w:val="nil"/>
              <w:bottom w:val="single" w:color="auto" w:sz="4" w:space="0"/>
              <w:right w:val="single" w:color="auto" w:sz="4" w:space="0"/>
            </w:tcBorders>
            <w:noWrap/>
            <w:vAlign w:val="center"/>
          </w:tcPr>
          <w:p w14:paraId="75AAC580">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营业收入（Y）</w:t>
            </w:r>
          </w:p>
        </w:tc>
        <w:tc>
          <w:tcPr>
            <w:tcW w:w="913" w:type="dxa"/>
            <w:tcBorders>
              <w:top w:val="nil"/>
              <w:left w:val="nil"/>
              <w:bottom w:val="single" w:color="auto" w:sz="4" w:space="0"/>
              <w:right w:val="single" w:color="auto" w:sz="4" w:space="0"/>
            </w:tcBorders>
            <w:noWrap/>
            <w:vAlign w:val="center"/>
          </w:tcPr>
          <w:p w14:paraId="618589B7">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万元</w:t>
            </w:r>
          </w:p>
        </w:tc>
        <w:tc>
          <w:tcPr>
            <w:tcW w:w="1619" w:type="dxa"/>
            <w:tcBorders>
              <w:top w:val="nil"/>
              <w:left w:val="nil"/>
              <w:bottom w:val="single" w:color="auto" w:sz="4" w:space="0"/>
              <w:right w:val="single" w:color="auto" w:sz="4" w:space="0"/>
            </w:tcBorders>
            <w:noWrap/>
            <w:vAlign w:val="center"/>
          </w:tcPr>
          <w:p w14:paraId="22319F7F">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1000≤Y＜200000</w:t>
            </w:r>
          </w:p>
        </w:tc>
        <w:tc>
          <w:tcPr>
            <w:tcW w:w="1439" w:type="dxa"/>
            <w:tcBorders>
              <w:top w:val="nil"/>
              <w:left w:val="nil"/>
              <w:bottom w:val="single" w:color="auto" w:sz="4" w:space="0"/>
              <w:right w:val="single" w:color="auto" w:sz="4" w:space="0"/>
            </w:tcBorders>
            <w:noWrap/>
            <w:vAlign w:val="center"/>
          </w:tcPr>
          <w:p w14:paraId="28754540">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100≤X＜1000</w:t>
            </w:r>
          </w:p>
        </w:tc>
        <w:tc>
          <w:tcPr>
            <w:tcW w:w="1492" w:type="dxa"/>
            <w:tcBorders>
              <w:top w:val="nil"/>
              <w:left w:val="nil"/>
              <w:bottom w:val="single" w:color="auto" w:sz="4" w:space="0"/>
              <w:right w:val="single" w:color="auto" w:sz="4" w:space="0"/>
            </w:tcBorders>
            <w:noWrap/>
            <w:vAlign w:val="center"/>
          </w:tcPr>
          <w:p w14:paraId="283EB900">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X＜100</w:t>
            </w:r>
          </w:p>
        </w:tc>
      </w:tr>
      <w:tr w14:paraId="1C0EC0EF">
        <w:tblPrEx>
          <w:tblCellMar>
            <w:top w:w="0" w:type="dxa"/>
            <w:left w:w="108" w:type="dxa"/>
            <w:bottom w:w="0" w:type="dxa"/>
            <w:right w:w="108" w:type="dxa"/>
          </w:tblCellMar>
        </w:tblPrEx>
        <w:trPr>
          <w:trHeight w:val="225" w:hRule="atLeast"/>
        </w:trPr>
        <w:tc>
          <w:tcPr>
            <w:tcW w:w="1944" w:type="dxa"/>
            <w:vMerge w:val="continue"/>
            <w:tcBorders>
              <w:top w:val="nil"/>
              <w:left w:val="single" w:color="auto" w:sz="4" w:space="0"/>
              <w:bottom w:val="single" w:color="auto" w:sz="4" w:space="0"/>
              <w:right w:val="single" w:color="auto" w:sz="4" w:space="0"/>
            </w:tcBorders>
            <w:noWrap/>
            <w:vAlign w:val="center"/>
          </w:tcPr>
          <w:p w14:paraId="67D2E0FA">
            <w:pPr>
              <w:spacing w:before="57" w:line="254" w:lineRule="auto"/>
              <w:ind w:left="59" w:right="60"/>
              <w:jc w:val="center"/>
              <w:rPr>
                <w:rFonts w:ascii="宋体" w:hAnsi="宋体" w:cs="宋体"/>
                <w:b/>
                <w:bCs/>
                <w:color w:val="auto"/>
                <w:w w:val="99"/>
                <w:kern w:val="0"/>
                <w:sz w:val="20"/>
                <w:szCs w:val="20"/>
                <w:highlight w:val="none"/>
                <w:lang w:eastAsia="en-US"/>
              </w:rPr>
            </w:pPr>
          </w:p>
        </w:tc>
        <w:tc>
          <w:tcPr>
            <w:tcW w:w="1383" w:type="dxa"/>
            <w:tcBorders>
              <w:top w:val="nil"/>
              <w:left w:val="nil"/>
              <w:bottom w:val="single" w:color="auto" w:sz="4" w:space="0"/>
              <w:right w:val="single" w:color="auto" w:sz="4" w:space="0"/>
            </w:tcBorders>
            <w:noWrap/>
            <w:vAlign w:val="center"/>
          </w:tcPr>
          <w:p w14:paraId="077C4C45">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资产总额（Z）</w:t>
            </w:r>
          </w:p>
        </w:tc>
        <w:tc>
          <w:tcPr>
            <w:tcW w:w="913" w:type="dxa"/>
            <w:tcBorders>
              <w:top w:val="nil"/>
              <w:left w:val="nil"/>
              <w:bottom w:val="single" w:color="auto" w:sz="4" w:space="0"/>
              <w:right w:val="single" w:color="auto" w:sz="4" w:space="0"/>
            </w:tcBorders>
            <w:noWrap/>
            <w:vAlign w:val="center"/>
          </w:tcPr>
          <w:p w14:paraId="6577F8AD">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万元</w:t>
            </w:r>
          </w:p>
        </w:tc>
        <w:tc>
          <w:tcPr>
            <w:tcW w:w="1619" w:type="dxa"/>
            <w:tcBorders>
              <w:top w:val="nil"/>
              <w:left w:val="nil"/>
              <w:bottom w:val="single" w:color="auto" w:sz="4" w:space="0"/>
              <w:right w:val="single" w:color="auto" w:sz="4" w:space="0"/>
            </w:tcBorders>
            <w:noWrap/>
            <w:vAlign w:val="center"/>
          </w:tcPr>
          <w:p w14:paraId="424B78CC">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5000≤Z＜10000</w:t>
            </w:r>
          </w:p>
        </w:tc>
        <w:tc>
          <w:tcPr>
            <w:tcW w:w="1439" w:type="dxa"/>
            <w:tcBorders>
              <w:top w:val="nil"/>
              <w:left w:val="nil"/>
              <w:bottom w:val="single" w:color="auto" w:sz="4" w:space="0"/>
              <w:right w:val="single" w:color="auto" w:sz="4" w:space="0"/>
            </w:tcBorders>
            <w:noWrap/>
            <w:vAlign w:val="center"/>
          </w:tcPr>
          <w:p w14:paraId="6E6CE2FE">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2000≤Y＜5000</w:t>
            </w:r>
          </w:p>
        </w:tc>
        <w:tc>
          <w:tcPr>
            <w:tcW w:w="1492" w:type="dxa"/>
            <w:tcBorders>
              <w:top w:val="nil"/>
              <w:left w:val="nil"/>
              <w:bottom w:val="single" w:color="auto" w:sz="4" w:space="0"/>
              <w:right w:val="single" w:color="auto" w:sz="4" w:space="0"/>
            </w:tcBorders>
            <w:noWrap/>
            <w:vAlign w:val="center"/>
          </w:tcPr>
          <w:p w14:paraId="058FB3A2">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Y＜2000</w:t>
            </w:r>
          </w:p>
        </w:tc>
      </w:tr>
      <w:tr w14:paraId="1CA38974">
        <w:tblPrEx>
          <w:tblCellMar>
            <w:top w:w="0" w:type="dxa"/>
            <w:left w:w="108" w:type="dxa"/>
            <w:bottom w:w="0" w:type="dxa"/>
            <w:right w:w="108" w:type="dxa"/>
          </w:tblCellMar>
        </w:tblPrEx>
        <w:trPr>
          <w:trHeight w:val="225" w:hRule="atLeast"/>
        </w:trPr>
        <w:tc>
          <w:tcPr>
            <w:tcW w:w="1944" w:type="dxa"/>
            <w:vMerge w:val="restart"/>
            <w:tcBorders>
              <w:top w:val="nil"/>
              <w:left w:val="single" w:color="auto" w:sz="4" w:space="0"/>
              <w:bottom w:val="single" w:color="auto" w:sz="4" w:space="0"/>
              <w:right w:val="single" w:color="auto" w:sz="4" w:space="0"/>
            </w:tcBorders>
            <w:noWrap/>
            <w:vAlign w:val="center"/>
          </w:tcPr>
          <w:p w14:paraId="3D38FE91">
            <w:pPr>
              <w:spacing w:before="57" w:line="254" w:lineRule="auto"/>
              <w:ind w:left="59" w:right="60"/>
              <w:jc w:val="center"/>
              <w:rPr>
                <w:rFonts w:ascii="宋体" w:hAnsi="宋体" w:cs="宋体"/>
                <w:b/>
                <w:bCs/>
                <w:color w:val="auto"/>
                <w:w w:val="99"/>
                <w:kern w:val="0"/>
                <w:sz w:val="20"/>
                <w:szCs w:val="20"/>
                <w:highlight w:val="none"/>
                <w:lang w:eastAsia="en-US"/>
              </w:rPr>
            </w:pPr>
            <w:r>
              <w:rPr>
                <w:rFonts w:hint="eastAsia" w:ascii="宋体" w:hAnsi="宋体" w:cs="宋体"/>
                <w:b/>
                <w:bCs/>
                <w:color w:val="auto"/>
                <w:w w:val="99"/>
                <w:kern w:val="0"/>
                <w:sz w:val="20"/>
                <w:szCs w:val="20"/>
                <w:highlight w:val="none"/>
                <w:lang w:eastAsia="en-US"/>
              </w:rPr>
              <w:t>物业管理</w:t>
            </w:r>
          </w:p>
        </w:tc>
        <w:tc>
          <w:tcPr>
            <w:tcW w:w="1383" w:type="dxa"/>
            <w:tcBorders>
              <w:top w:val="nil"/>
              <w:left w:val="nil"/>
              <w:bottom w:val="single" w:color="auto" w:sz="4" w:space="0"/>
              <w:right w:val="single" w:color="auto" w:sz="4" w:space="0"/>
            </w:tcBorders>
            <w:noWrap/>
            <w:vAlign w:val="center"/>
          </w:tcPr>
          <w:p w14:paraId="5C3BD754">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从业人员（X）</w:t>
            </w:r>
          </w:p>
        </w:tc>
        <w:tc>
          <w:tcPr>
            <w:tcW w:w="913" w:type="dxa"/>
            <w:tcBorders>
              <w:top w:val="nil"/>
              <w:left w:val="nil"/>
              <w:bottom w:val="single" w:color="auto" w:sz="4" w:space="0"/>
              <w:right w:val="single" w:color="auto" w:sz="4" w:space="0"/>
            </w:tcBorders>
            <w:noWrap/>
            <w:vAlign w:val="center"/>
          </w:tcPr>
          <w:p w14:paraId="71E5D33C">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人</w:t>
            </w:r>
          </w:p>
        </w:tc>
        <w:tc>
          <w:tcPr>
            <w:tcW w:w="1619" w:type="dxa"/>
            <w:tcBorders>
              <w:top w:val="nil"/>
              <w:left w:val="nil"/>
              <w:bottom w:val="single" w:color="auto" w:sz="4" w:space="0"/>
              <w:right w:val="single" w:color="auto" w:sz="4" w:space="0"/>
            </w:tcBorders>
            <w:noWrap/>
            <w:vAlign w:val="center"/>
          </w:tcPr>
          <w:p w14:paraId="4B8497F5">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300≤X＜1000</w:t>
            </w:r>
          </w:p>
        </w:tc>
        <w:tc>
          <w:tcPr>
            <w:tcW w:w="1439" w:type="dxa"/>
            <w:tcBorders>
              <w:top w:val="nil"/>
              <w:left w:val="nil"/>
              <w:bottom w:val="single" w:color="auto" w:sz="4" w:space="0"/>
              <w:right w:val="single" w:color="auto" w:sz="4" w:space="0"/>
            </w:tcBorders>
            <w:noWrap/>
            <w:vAlign w:val="center"/>
          </w:tcPr>
          <w:p w14:paraId="0637FB82">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100≤X＜300</w:t>
            </w:r>
          </w:p>
        </w:tc>
        <w:tc>
          <w:tcPr>
            <w:tcW w:w="1492" w:type="dxa"/>
            <w:tcBorders>
              <w:top w:val="nil"/>
              <w:left w:val="nil"/>
              <w:bottom w:val="single" w:color="auto" w:sz="4" w:space="0"/>
              <w:right w:val="single" w:color="auto" w:sz="4" w:space="0"/>
            </w:tcBorders>
            <w:noWrap/>
            <w:vAlign w:val="center"/>
          </w:tcPr>
          <w:p w14:paraId="51C2B460">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X＜100</w:t>
            </w:r>
          </w:p>
        </w:tc>
      </w:tr>
      <w:tr w14:paraId="4F5BCC64">
        <w:tblPrEx>
          <w:tblCellMar>
            <w:top w:w="0" w:type="dxa"/>
            <w:left w:w="108" w:type="dxa"/>
            <w:bottom w:w="0" w:type="dxa"/>
            <w:right w:w="108" w:type="dxa"/>
          </w:tblCellMar>
        </w:tblPrEx>
        <w:trPr>
          <w:trHeight w:val="225" w:hRule="atLeast"/>
        </w:trPr>
        <w:tc>
          <w:tcPr>
            <w:tcW w:w="1944" w:type="dxa"/>
            <w:vMerge w:val="continue"/>
            <w:tcBorders>
              <w:top w:val="nil"/>
              <w:left w:val="single" w:color="auto" w:sz="4" w:space="0"/>
              <w:bottom w:val="single" w:color="auto" w:sz="4" w:space="0"/>
              <w:right w:val="single" w:color="auto" w:sz="4" w:space="0"/>
            </w:tcBorders>
            <w:noWrap/>
            <w:vAlign w:val="center"/>
          </w:tcPr>
          <w:p w14:paraId="384061B0">
            <w:pPr>
              <w:spacing w:before="57" w:line="254" w:lineRule="auto"/>
              <w:ind w:left="59" w:right="60"/>
              <w:jc w:val="center"/>
              <w:rPr>
                <w:rFonts w:ascii="宋体" w:hAnsi="宋体" w:cs="宋体"/>
                <w:b/>
                <w:bCs/>
                <w:color w:val="auto"/>
                <w:w w:val="99"/>
                <w:kern w:val="0"/>
                <w:sz w:val="20"/>
                <w:szCs w:val="20"/>
                <w:highlight w:val="none"/>
                <w:lang w:eastAsia="en-US"/>
              </w:rPr>
            </w:pPr>
          </w:p>
        </w:tc>
        <w:tc>
          <w:tcPr>
            <w:tcW w:w="1383" w:type="dxa"/>
            <w:tcBorders>
              <w:top w:val="nil"/>
              <w:left w:val="nil"/>
              <w:bottom w:val="single" w:color="auto" w:sz="4" w:space="0"/>
              <w:right w:val="single" w:color="auto" w:sz="4" w:space="0"/>
            </w:tcBorders>
            <w:noWrap/>
            <w:vAlign w:val="center"/>
          </w:tcPr>
          <w:p w14:paraId="003B6C34">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营业收入（Y）</w:t>
            </w:r>
          </w:p>
        </w:tc>
        <w:tc>
          <w:tcPr>
            <w:tcW w:w="913" w:type="dxa"/>
            <w:tcBorders>
              <w:top w:val="nil"/>
              <w:left w:val="nil"/>
              <w:bottom w:val="single" w:color="auto" w:sz="4" w:space="0"/>
              <w:right w:val="single" w:color="auto" w:sz="4" w:space="0"/>
            </w:tcBorders>
            <w:noWrap/>
            <w:vAlign w:val="center"/>
          </w:tcPr>
          <w:p w14:paraId="1EE28393">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万元</w:t>
            </w:r>
          </w:p>
        </w:tc>
        <w:tc>
          <w:tcPr>
            <w:tcW w:w="1619" w:type="dxa"/>
            <w:tcBorders>
              <w:top w:val="nil"/>
              <w:left w:val="nil"/>
              <w:bottom w:val="single" w:color="auto" w:sz="4" w:space="0"/>
              <w:right w:val="single" w:color="auto" w:sz="4" w:space="0"/>
            </w:tcBorders>
            <w:noWrap/>
            <w:vAlign w:val="center"/>
          </w:tcPr>
          <w:p w14:paraId="7E9F5F10">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1000≤Y＜5000</w:t>
            </w:r>
          </w:p>
        </w:tc>
        <w:tc>
          <w:tcPr>
            <w:tcW w:w="1439" w:type="dxa"/>
            <w:tcBorders>
              <w:top w:val="nil"/>
              <w:left w:val="nil"/>
              <w:bottom w:val="single" w:color="auto" w:sz="4" w:space="0"/>
              <w:right w:val="single" w:color="auto" w:sz="4" w:space="0"/>
            </w:tcBorders>
            <w:noWrap/>
            <w:vAlign w:val="center"/>
          </w:tcPr>
          <w:p w14:paraId="6E7F3D34">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500≤Y＜1000</w:t>
            </w:r>
          </w:p>
        </w:tc>
        <w:tc>
          <w:tcPr>
            <w:tcW w:w="1492" w:type="dxa"/>
            <w:tcBorders>
              <w:top w:val="nil"/>
              <w:left w:val="nil"/>
              <w:bottom w:val="single" w:color="auto" w:sz="4" w:space="0"/>
              <w:right w:val="single" w:color="auto" w:sz="4" w:space="0"/>
            </w:tcBorders>
            <w:noWrap/>
            <w:vAlign w:val="center"/>
          </w:tcPr>
          <w:p w14:paraId="08AD4532">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Y＜500</w:t>
            </w:r>
          </w:p>
        </w:tc>
      </w:tr>
      <w:tr w14:paraId="035996B8">
        <w:tblPrEx>
          <w:tblCellMar>
            <w:top w:w="0" w:type="dxa"/>
            <w:left w:w="108" w:type="dxa"/>
            <w:bottom w:w="0" w:type="dxa"/>
            <w:right w:w="108" w:type="dxa"/>
          </w:tblCellMar>
        </w:tblPrEx>
        <w:trPr>
          <w:trHeight w:val="225" w:hRule="atLeast"/>
        </w:trPr>
        <w:tc>
          <w:tcPr>
            <w:tcW w:w="1944" w:type="dxa"/>
            <w:vMerge w:val="restart"/>
            <w:tcBorders>
              <w:top w:val="nil"/>
              <w:left w:val="single" w:color="auto" w:sz="4" w:space="0"/>
              <w:bottom w:val="single" w:color="auto" w:sz="4" w:space="0"/>
              <w:right w:val="single" w:color="auto" w:sz="4" w:space="0"/>
            </w:tcBorders>
            <w:noWrap/>
            <w:vAlign w:val="center"/>
          </w:tcPr>
          <w:p w14:paraId="797F1B1F">
            <w:pPr>
              <w:spacing w:before="57" w:line="254" w:lineRule="auto"/>
              <w:ind w:left="59" w:right="60"/>
              <w:jc w:val="center"/>
              <w:rPr>
                <w:rFonts w:ascii="宋体" w:hAnsi="宋体" w:cs="宋体"/>
                <w:b/>
                <w:bCs/>
                <w:color w:val="auto"/>
                <w:w w:val="99"/>
                <w:kern w:val="0"/>
                <w:sz w:val="20"/>
                <w:szCs w:val="20"/>
                <w:highlight w:val="none"/>
                <w:lang w:eastAsia="en-US"/>
              </w:rPr>
            </w:pPr>
            <w:r>
              <w:rPr>
                <w:rFonts w:hint="eastAsia" w:ascii="宋体" w:hAnsi="宋体" w:cs="宋体"/>
                <w:b/>
                <w:bCs/>
                <w:color w:val="auto"/>
                <w:w w:val="99"/>
                <w:kern w:val="0"/>
                <w:sz w:val="20"/>
                <w:szCs w:val="20"/>
                <w:highlight w:val="none"/>
                <w:lang w:eastAsia="en-US"/>
              </w:rPr>
              <w:t>租赁和商务服务业</w:t>
            </w:r>
          </w:p>
        </w:tc>
        <w:tc>
          <w:tcPr>
            <w:tcW w:w="1383" w:type="dxa"/>
            <w:tcBorders>
              <w:top w:val="nil"/>
              <w:left w:val="nil"/>
              <w:bottom w:val="single" w:color="auto" w:sz="4" w:space="0"/>
              <w:right w:val="single" w:color="auto" w:sz="4" w:space="0"/>
            </w:tcBorders>
            <w:noWrap/>
            <w:vAlign w:val="center"/>
          </w:tcPr>
          <w:p w14:paraId="666B0886">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从业人员（X）</w:t>
            </w:r>
          </w:p>
        </w:tc>
        <w:tc>
          <w:tcPr>
            <w:tcW w:w="913" w:type="dxa"/>
            <w:tcBorders>
              <w:top w:val="nil"/>
              <w:left w:val="nil"/>
              <w:bottom w:val="single" w:color="auto" w:sz="4" w:space="0"/>
              <w:right w:val="single" w:color="auto" w:sz="4" w:space="0"/>
            </w:tcBorders>
            <w:noWrap/>
            <w:vAlign w:val="center"/>
          </w:tcPr>
          <w:p w14:paraId="0212B68C">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人</w:t>
            </w:r>
          </w:p>
        </w:tc>
        <w:tc>
          <w:tcPr>
            <w:tcW w:w="1619" w:type="dxa"/>
            <w:tcBorders>
              <w:top w:val="nil"/>
              <w:left w:val="nil"/>
              <w:bottom w:val="single" w:color="auto" w:sz="4" w:space="0"/>
              <w:right w:val="single" w:color="auto" w:sz="4" w:space="0"/>
            </w:tcBorders>
            <w:noWrap/>
            <w:vAlign w:val="center"/>
          </w:tcPr>
          <w:p w14:paraId="6996C83A">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100≤X＜300</w:t>
            </w:r>
          </w:p>
        </w:tc>
        <w:tc>
          <w:tcPr>
            <w:tcW w:w="1439" w:type="dxa"/>
            <w:tcBorders>
              <w:top w:val="nil"/>
              <w:left w:val="nil"/>
              <w:bottom w:val="single" w:color="auto" w:sz="4" w:space="0"/>
              <w:right w:val="single" w:color="auto" w:sz="4" w:space="0"/>
            </w:tcBorders>
            <w:noWrap/>
            <w:vAlign w:val="center"/>
          </w:tcPr>
          <w:p w14:paraId="4BE11D7C">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10≤X＜100</w:t>
            </w:r>
          </w:p>
        </w:tc>
        <w:tc>
          <w:tcPr>
            <w:tcW w:w="1492" w:type="dxa"/>
            <w:tcBorders>
              <w:top w:val="nil"/>
              <w:left w:val="nil"/>
              <w:bottom w:val="single" w:color="auto" w:sz="4" w:space="0"/>
              <w:right w:val="single" w:color="auto" w:sz="4" w:space="0"/>
            </w:tcBorders>
            <w:noWrap/>
            <w:vAlign w:val="center"/>
          </w:tcPr>
          <w:p w14:paraId="6CB95C9B">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X＜10</w:t>
            </w:r>
          </w:p>
        </w:tc>
      </w:tr>
      <w:tr w14:paraId="7EEFD8C9">
        <w:tblPrEx>
          <w:tblCellMar>
            <w:top w:w="0" w:type="dxa"/>
            <w:left w:w="108" w:type="dxa"/>
            <w:bottom w:w="0" w:type="dxa"/>
            <w:right w:w="108" w:type="dxa"/>
          </w:tblCellMar>
        </w:tblPrEx>
        <w:trPr>
          <w:trHeight w:val="225" w:hRule="atLeast"/>
        </w:trPr>
        <w:tc>
          <w:tcPr>
            <w:tcW w:w="1944" w:type="dxa"/>
            <w:vMerge w:val="continue"/>
            <w:tcBorders>
              <w:top w:val="nil"/>
              <w:left w:val="single" w:color="auto" w:sz="4" w:space="0"/>
              <w:bottom w:val="single" w:color="auto" w:sz="4" w:space="0"/>
              <w:right w:val="single" w:color="auto" w:sz="4" w:space="0"/>
            </w:tcBorders>
            <w:noWrap/>
            <w:vAlign w:val="center"/>
          </w:tcPr>
          <w:p w14:paraId="4D8B002B">
            <w:pPr>
              <w:spacing w:before="57" w:line="254" w:lineRule="auto"/>
              <w:ind w:left="59" w:right="60"/>
              <w:jc w:val="center"/>
              <w:rPr>
                <w:rFonts w:ascii="宋体" w:hAnsi="宋体" w:cs="宋体"/>
                <w:b/>
                <w:bCs/>
                <w:color w:val="auto"/>
                <w:w w:val="99"/>
                <w:kern w:val="0"/>
                <w:sz w:val="20"/>
                <w:szCs w:val="20"/>
                <w:highlight w:val="none"/>
                <w:lang w:eastAsia="en-US"/>
              </w:rPr>
            </w:pPr>
          </w:p>
        </w:tc>
        <w:tc>
          <w:tcPr>
            <w:tcW w:w="1383" w:type="dxa"/>
            <w:tcBorders>
              <w:top w:val="nil"/>
              <w:left w:val="nil"/>
              <w:bottom w:val="single" w:color="auto" w:sz="4" w:space="0"/>
              <w:right w:val="single" w:color="auto" w:sz="4" w:space="0"/>
            </w:tcBorders>
            <w:noWrap/>
            <w:vAlign w:val="center"/>
          </w:tcPr>
          <w:p w14:paraId="1E76FD33">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资产总额（Z）</w:t>
            </w:r>
          </w:p>
        </w:tc>
        <w:tc>
          <w:tcPr>
            <w:tcW w:w="913" w:type="dxa"/>
            <w:tcBorders>
              <w:top w:val="nil"/>
              <w:left w:val="nil"/>
              <w:bottom w:val="single" w:color="auto" w:sz="4" w:space="0"/>
              <w:right w:val="single" w:color="auto" w:sz="4" w:space="0"/>
            </w:tcBorders>
            <w:noWrap/>
            <w:vAlign w:val="center"/>
          </w:tcPr>
          <w:p w14:paraId="0DEAF50C">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万元</w:t>
            </w:r>
          </w:p>
        </w:tc>
        <w:tc>
          <w:tcPr>
            <w:tcW w:w="1619" w:type="dxa"/>
            <w:tcBorders>
              <w:top w:val="nil"/>
              <w:left w:val="nil"/>
              <w:bottom w:val="single" w:color="auto" w:sz="4" w:space="0"/>
              <w:right w:val="single" w:color="auto" w:sz="4" w:space="0"/>
            </w:tcBorders>
            <w:noWrap/>
            <w:vAlign w:val="center"/>
          </w:tcPr>
          <w:p w14:paraId="274B4DF9">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8000≤Z＜120000</w:t>
            </w:r>
          </w:p>
        </w:tc>
        <w:tc>
          <w:tcPr>
            <w:tcW w:w="1439" w:type="dxa"/>
            <w:tcBorders>
              <w:top w:val="nil"/>
              <w:left w:val="nil"/>
              <w:bottom w:val="single" w:color="auto" w:sz="4" w:space="0"/>
              <w:right w:val="single" w:color="auto" w:sz="4" w:space="0"/>
            </w:tcBorders>
            <w:noWrap/>
            <w:vAlign w:val="center"/>
          </w:tcPr>
          <w:p w14:paraId="6D0A57D8">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100≤Z＜8000</w:t>
            </w:r>
          </w:p>
        </w:tc>
        <w:tc>
          <w:tcPr>
            <w:tcW w:w="1492" w:type="dxa"/>
            <w:tcBorders>
              <w:top w:val="nil"/>
              <w:left w:val="nil"/>
              <w:bottom w:val="single" w:color="auto" w:sz="4" w:space="0"/>
              <w:right w:val="single" w:color="auto" w:sz="4" w:space="0"/>
            </w:tcBorders>
            <w:noWrap/>
            <w:vAlign w:val="center"/>
          </w:tcPr>
          <w:p w14:paraId="08640F80">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Y＜100</w:t>
            </w:r>
          </w:p>
        </w:tc>
      </w:tr>
      <w:tr w14:paraId="03BBF650">
        <w:tblPrEx>
          <w:tblCellMar>
            <w:top w:w="0" w:type="dxa"/>
            <w:left w:w="108" w:type="dxa"/>
            <w:bottom w:w="0" w:type="dxa"/>
            <w:right w:w="108" w:type="dxa"/>
          </w:tblCellMar>
        </w:tblPrEx>
        <w:trPr>
          <w:trHeight w:val="225" w:hRule="atLeast"/>
        </w:trPr>
        <w:tc>
          <w:tcPr>
            <w:tcW w:w="1944" w:type="dxa"/>
            <w:tcBorders>
              <w:top w:val="nil"/>
              <w:left w:val="single" w:color="auto" w:sz="4" w:space="0"/>
              <w:bottom w:val="single" w:color="auto" w:sz="4" w:space="0"/>
              <w:right w:val="single" w:color="auto" w:sz="4" w:space="0"/>
            </w:tcBorders>
            <w:noWrap/>
            <w:vAlign w:val="center"/>
          </w:tcPr>
          <w:p w14:paraId="15070164">
            <w:pPr>
              <w:spacing w:before="57" w:line="254" w:lineRule="auto"/>
              <w:ind w:left="59" w:right="60"/>
              <w:jc w:val="center"/>
              <w:rPr>
                <w:rFonts w:ascii="宋体" w:hAnsi="宋体" w:cs="宋体"/>
                <w:b/>
                <w:bCs/>
                <w:color w:val="auto"/>
                <w:w w:val="99"/>
                <w:kern w:val="0"/>
                <w:sz w:val="20"/>
                <w:szCs w:val="20"/>
                <w:highlight w:val="none"/>
                <w:lang w:eastAsia="en-US"/>
              </w:rPr>
            </w:pPr>
            <w:r>
              <w:rPr>
                <w:rFonts w:hint="eastAsia" w:ascii="宋体" w:hAnsi="宋体" w:cs="宋体"/>
                <w:b/>
                <w:bCs/>
                <w:color w:val="auto"/>
                <w:w w:val="99"/>
                <w:kern w:val="0"/>
                <w:sz w:val="20"/>
                <w:szCs w:val="20"/>
                <w:highlight w:val="none"/>
                <w:lang w:eastAsia="en-US"/>
              </w:rPr>
              <w:t>其他未列明行业</w:t>
            </w:r>
          </w:p>
        </w:tc>
        <w:tc>
          <w:tcPr>
            <w:tcW w:w="1383" w:type="dxa"/>
            <w:tcBorders>
              <w:top w:val="nil"/>
              <w:left w:val="nil"/>
              <w:bottom w:val="single" w:color="auto" w:sz="4" w:space="0"/>
              <w:right w:val="single" w:color="auto" w:sz="4" w:space="0"/>
            </w:tcBorders>
            <w:noWrap/>
            <w:vAlign w:val="center"/>
          </w:tcPr>
          <w:p w14:paraId="4C510017">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从业人员（X）</w:t>
            </w:r>
          </w:p>
        </w:tc>
        <w:tc>
          <w:tcPr>
            <w:tcW w:w="913" w:type="dxa"/>
            <w:tcBorders>
              <w:top w:val="nil"/>
              <w:left w:val="nil"/>
              <w:bottom w:val="single" w:color="auto" w:sz="4" w:space="0"/>
              <w:right w:val="single" w:color="auto" w:sz="4" w:space="0"/>
            </w:tcBorders>
            <w:noWrap/>
            <w:vAlign w:val="center"/>
          </w:tcPr>
          <w:p w14:paraId="7C3DDCF0">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人</w:t>
            </w:r>
          </w:p>
        </w:tc>
        <w:tc>
          <w:tcPr>
            <w:tcW w:w="1619" w:type="dxa"/>
            <w:tcBorders>
              <w:top w:val="nil"/>
              <w:left w:val="nil"/>
              <w:bottom w:val="single" w:color="auto" w:sz="4" w:space="0"/>
              <w:right w:val="single" w:color="auto" w:sz="4" w:space="0"/>
            </w:tcBorders>
            <w:noWrap/>
            <w:vAlign w:val="center"/>
          </w:tcPr>
          <w:p w14:paraId="19BBC250">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100≤X＜300</w:t>
            </w:r>
          </w:p>
        </w:tc>
        <w:tc>
          <w:tcPr>
            <w:tcW w:w="1439" w:type="dxa"/>
            <w:tcBorders>
              <w:top w:val="nil"/>
              <w:left w:val="nil"/>
              <w:bottom w:val="single" w:color="auto" w:sz="4" w:space="0"/>
              <w:right w:val="single" w:color="auto" w:sz="4" w:space="0"/>
            </w:tcBorders>
            <w:noWrap/>
            <w:vAlign w:val="center"/>
          </w:tcPr>
          <w:p w14:paraId="0FFF898D">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10≤X＜100</w:t>
            </w:r>
          </w:p>
        </w:tc>
        <w:tc>
          <w:tcPr>
            <w:tcW w:w="1492" w:type="dxa"/>
            <w:tcBorders>
              <w:top w:val="nil"/>
              <w:left w:val="nil"/>
              <w:bottom w:val="single" w:color="auto" w:sz="4" w:space="0"/>
              <w:right w:val="single" w:color="auto" w:sz="4" w:space="0"/>
            </w:tcBorders>
            <w:noWrap/>
            <w:vAlign w:val="center"/>
          </w:tcPr>
          <w:p w14:paraId="77C6FCF4">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X＜10</w:t>
            </w:r>
          </w:p>
        </w:tc>
      </w:tr>
    </w:tbl>
    <w:p w14:paraId="790AEDCD">
      <w:pPr>
        <w:pStyle w:val="18"/>
        <w:spacing w:line="360" w:lineRule="auto"/>
        <w:rPr>
          <w:rFonts w:ascii="宋体" w:hAnsi="宋体" w:cs="宋体"/>
          <w:color w:val="auto"/>
          <w:spacing w:val="-3"/>
          <w:szCs w:val="21"/>
          <w:highlight w:val="none"/>
        </w:rPr>
      </w:pPr>
      <w:r>
        <w:rPr>
          <w:rFonts w:hint="eastAsia" w:ascii="宋体" w:hAnsi="宋体" w:cs="宋体"/>
          <w:color w:val="auto"/>
          <w:spacing w:val="-3"/>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784072FF">
      <w:pPr>
        <w:widowControl/>
        <w:spacing w:line="360" w:lineRule="auto"/>
        <w:jc w:val="center"/>
        <w:rPr>
          <w:rFonts w:ascii="宋体" w:hAnsi="宋体" w:cs="宋体"/>
          <w:color w:val="auto"/>
          <w:highlight w:val="none"/>
        </w:rPr>
      </w:pPr>
      <w:r>
        <w:rPr>
          <w:rFonts w:hint="eastAsia" w:ascii="宋体" w:hAnsi="宋体" w:cs="宋体"/>
          <w:bCs/>
          <w:color w:val="auto"/>
          <w:sz w:val="24"/>
          <w:highlight w:val="none"/>
          <w:u w:val="single"/>
        </w:rPr>
        <w:br w:type="page"/>
      </w:r>
      <w:r>
        <w:rPr>
          <w:rFonts w:hint="eastAsia" w:ascii="宋体" w:hAnsi="宋体" w:cs="宋体"/>
          <w:b/>
          <w:bCs/>
          <w:color w:val="auto"/>
          <w:sz w:val="44"/>
          <w:szCs w:val="44"/>
          <w:highlight w:val="none"/>
        </w:rPr>
        <w:t>第三章  投标人须知</w:t>
      </w:r>
      <w:bookmarkEnd w:id="43"/>
    </w:p>
    <w:p w14:paraId="01BB5053">
      <w:pPr>
        <w:jc w:val="center"/>
        <w:rPr>
          <w:rFonts w:ascii="宋体" w:hAnsi="宋体" w:cs="宋体"/>
          <w:color w:val="auto"/>
          <w:sz w:val="36"/>
          <w:szCs w:val="36"/>
          <w:highlight w:val="none"/>
        </w:rPr>
      </w:pPr>
      <w:bookmarkStart w:id="44" w:name="_Toc254970667"/>
      <w:bookmarkStart w:id="45" w:name="_Toc254970526"/>
      <w:r>
        <w:rPr>
          <w:rFonts w:hint="eastAsia" w:ascii="宋体" w:hAnsi="宋体" w:cs="宋体"/>
          <w:color w:val="auto"/>
          <w:sz w:val="36"/>
          <w:szCs w:val="36"/>
          <w:highlight w:val="none"/>
        </w:rPr>
        <w:t>投标人须知前附表</w:t>
      </w:r>
      <w:bookmarkEnd w:id="44"/>
      <w:bookmarkEnd w:id="45"/>
    </w:p>
    <w:tbl>
      <w:tblPr>
        <w:tblStyle w:val="48"/>
        <w:tblW w:w="915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8"/>
        <w:gridCol w:w="8175"/>
      </w:tblGrid>
      <w:tr w14:paraId="70A35E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64630402">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条款号</w:t>
            </w:r>
          </w:p>
        </w:tc>
        <w:tc>
          <w:tcPr>
            <w:tcW w:w="8175" w:type="dxa"/>
            <w:tcBorders>
              <w:top w:val="single" w:color="auto" w:sz="4" w:space="0"/>
              <w:left w:val="single" w:color="auto" w:sz="4" w:space="0"/>
              <w:bottom w:val="single" w:color="auto" w:sz="4" w:space="0"/>
              <w:right w:val="single" w:color="auto" w:sz="4" w:space="0"/>
            </w:tcBorders>
            <w:vAlign w:val="center"/>
          </w:tcPr>
          <w:p w14:paraId="3643EE5F">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编列内容</w:t>
            </w:r>
          </w:p>
        </w:tc>
      </w:tr>
      <w:tr w14:paraId="2DE067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5EC285E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8175" w:type="dxa"/>
            <w:tcBorders>
              <w:top w:val="single" w:color="auto" w:sz="4" w:space="0"/>
              <w:left w:val="single" w:color="auto" w:sz="4" w:space="0"/>
              <w:bottom w:val="single" w:color="auto" w:sz="4" w:space="0"/>
              <w:right w:val="single" w:color="auto" w:sz="4" w:space="0"/>
            </w:tcBorders>
            <w:vAlign w:val="center"/>
          </w:tcPr>
          <w:p w14:paraId="14F935E9">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1.投标人的资格要求详见招标公告。</w:t>
            </w:r>
          </w:p>
          <w:p w14:paraId="4F5083D9">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2.投标人出现下列情形之一的，不得参加政府采购活动：</w:t>
            </w:r>
          </w:p>
          <w:p w14:paraId="319040DE">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6A66B08">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18F2AB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6CAF2160">
            <w:pPr>
              <w:spacing w:line="360" w:lineRule="auto"/>
              <w:jc w:val="center"/>
              <w:rPr>
                <w:rFonts w:ascii="宋体" w:hAnsi="宋体" w:cs="宋体"/>
                <w:color w:val="auto"/>
                <w:szCs w:val="21"/>
                <w:highlight w:val="none"/>
              </w:rPr>
            </w:pPr>
            <w:bookmarkStart w:id="46" w:name="_8.1"/>
            <w:bookmarkEnd w:id="46"/>
            <w:bookmarkStart w:id="47" w:name="_5"/>
            <w:bookmarkEnd w:id="47"/>
            <w:bookmarkStart w:id="48" w:name="_9.2"/>
            <w:bookmarkEnd w:id="48"/>
            <w:r>
              <w:rPr>
                <w:rFonts w:hint="eastAsia" w:ascii="宋体" w:hAnsi="宋体" w:cs="宋体"/>
                <w:color w:val="auto"/>
                <w:szCs w:val="21"/>
                <w:highlight w:val="none"/>
              </w:rPr>
              <w:t>6.1</w:t>
            </w:r>
          </w:p>
        </w:tc>
        <w:tc>
          <w:tcPr>
            <w:tcW w:w="8175" w:type="dxa"/>
            <w:tcBorders>
              <w:top w:val="single" w:color="auto" w:sz="4" w:space="0"/>
              <w:left w:val="single" w:color="auto" w:sz="4" w:space="0"/>
              <w:bottom w:val="single" w:color="auto" w:sz="4" w:space="0"/>
              <w:right w:val="single" w:color="auto" w:sz="4" w:space="0"/>
            </w:tcBorders>
            <w:vAlign w:val="center"/>
          </w:tcPr>
          <w:p w14:paraId="6A46F83B">
            <w:pPr>
              <w:pStyle w:val="16"/>
              <w:spacing w:line="360" w:lineRule="auto"/>
              <w:rPr>
                <w:rFonts w:ascii="宋体" w:hAnsi="宋体" w:cs="宋体"/>
                <w:color w:val="auto"/>
                <w:szCs w:val="21"/>
                <w:highlight w:val="none"/>
              </w:rPr>
            </w:pPr>
            <w:r>
              <w:rPr>
                <w:rFonts w:hint="eastAsia" w:ascii="宋体" w:hAnsi="宋体" w:cs="宋体"/>
                <w:color w:val="auto"/>
                <w:szCs w:val="21"/>
                <w:highlight w:val="none"/>
              </w:rPr>
              <w:t>本项目是否接受联合体投标：详见招标公告。</w:t>
            </w:r>
          </w:p>
        </w:tc>
      </w:tr>
      <w:tr w14:paraId="4AE908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52F4547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6.2</w:t>
            </w:r>
          </w:p>
        </w:tc>
        <w:tc>
          <w:tcPr>
            <w:tcW w:w="8175" w:type="dxa"/>
            <w:tcBorders>
              <w:top w:val="single" w:color="auto" w:sz="4" w:space="0"/>
              <w:left w:val="single" w:color="auto" w:sz="4" w:space="0"/>
              <w:bottom w:val="single" w:color="auto" w:sz="4" w:space="0"/>
              <w:right w:val="single" w:color="auto" w:sz="4" w:space="0"/>
            </w:tcBorders>
            <w:vAlign w:val="center"/>
          </w:tcPr>
          <w:p w14:paraId="7E078FE4">
            <w:pPr>
              <w:pStyle w:val="16"/>
              <w:spacing w:line="360" w:lineRule="auto"/>
              <w:rPr>
                <w:rFonts w:ascii="宋体" w:hAnsi="宋体" w:cs="宋体"/>
                <w:color w:val="auto"/>
                <w:szCs w:val="21"/>
                <w:highlight w:val="none"/>
              </w:rPr>
            </w:pPr>
            <w:bookmarkStart w:id="49" w:name="_Hlk54105293"/>
            <w:r>
              <w:rPr>
                <w:rFonts w:hint="eastAsia" w:ascii="宋体" w:hAnsi="宋体" w:cs="宋体"/>
                <w:color w:val="auto"/>
                <w:szCs w:val="21"/>
                <w:highlight w:val="none"/>
              </w:rPr>
              <w:t>如接受联合体投标，</w:t>
            </w:r>
            <w:bookmarkEnd w:id="49"/>
            <w:r>
              <w:rPr>
                <w:rFonts w:hint="eastAsia" w:ascii="宋体" w:hAnsi="宋体" w:cs="宋体"/>
                <w:color w:val="auto"/>
                <w:szCs w:val="21"/>
                <w:highlight w:val="none"/>
              </w:rPr>
              <w:t>联合体投标要求如下：无</w:t>
            </w:r>
          </w:p>
        </w:tc>
      </w:tr>
      <w:tr w14:paraId="1CD04C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3361A01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7.2</w:t>
            </w:r>
          </w:p>
        </w:tc>
        <w:tc>
          <w:tcPr>
            <w:tcW w:w="8175" w:type="dxa"/>
            <w:tcBorders>
              <w:top w:val="single" w:color="auto" w:sz="4" w:space="0"/>
              <w:left w:val="single" w:color="auto" w:sz="4" w:space="0"/>
              <w:bottom w:val="single" w:color="auto" w:sz="4" w:space="0"/>
              <w:right w:val="single" w:color="auto" w:sz="4" w:space="0"/>
            </w:tcBorders>
            <w:vAlign w:val="center"/>
          </w:tcPr>
          <w:p w14:paraId="4292FBC2">
            <w:pPr>
              <w:pStyle w:val="16"/>
              <w:spacing w:line="360" w:lineRule="auto"/>
              <w:rPr>
                <w:rFonts w:ascii="宋体" w:hAnsi="宋体" w:cs="宋体"/>
                <w:color w:val="auto"/>
                <w:szCs w:val="21"/>
                <w:highlight w:val="none"/>
              </w:rPr>
            </w:pPr>
            <w:r>
              <w:rPr>
                <w:rFonts w:hint="eastAsia" w:ascii="宋体" w:hAnsi="宋体" w:cs="宋体"/>
                <w:color w:val="auto"/>
                <w:szCs w:val="21"/>
                <w:highlight w:val="none"/>
              </w:rPr>
              <w:t>☑不允许分包</w:t>
            </w:r>
          </w:p>
          <w:p w14:paraId="14E8ED02">
            <w:pPr>
              <w:pStyle w:val="16"/>
              <w:spacing w:line="360" w:lineRule="auto"/>
              <w:rPr>
                <w:rFonts w:ascii="宋体" w:hAnsi="宋体" w:cs="宋体"/>
                <w:color w:val="auto"/>
                <w:szCs w:val="21"/>
                <w:highlight w:val="none"/>
              </w:rPr>
            </w:pPr>
            <w:r>
              <w:rPr>
                <w:rFonts w:hint="eastAsia" w:ascii="宋体" w:hAnsi="宋体" w:cs="宋体"/>
                <w:color w:val="auto"/>
                <w:szCs w:val="21"/>
                <w:highlight w:val="none"/>
              </w:rPr>
              <w:t>□允许分包</w:t>
            </w:r>
          </w:p>
          <w:p w14:paraId="36770BD6">
            <w:pPr>
              <w:pStyle w:val="16"/>
              <w:spacing w:line="360" w:lineRule="auto"/>
              <w:rPr>
                <w:rFonts w:ascii="宋体" w:hAnsi="宋体" w:cs="宋体"/>
                <w:color w:val="auto"/>
                <w:szCs w:val="21"/>
                <w:highlight w:val="none"/>
                <w:u w:val="single"/>
              </w:rPr>
            </w:pPr>
            <w:r>
              <w:rPr>
                <w:rFonts w:hint="eastAsia" w:ascii="宋体" w:hAnsi="宋体" w:cs="宋体"/>
                <w:color w:val="auto"/>
                <w:szCs w:val="21"/>
                <w:highlight w:val="none"/>
              </w:rPr>
              <w:t>分包内容：</w:t>
            </w:r>
            <w:r>
              <w:rPr>
                <w:rFonts w:hint="eastAsia" w:ascii="宋体" w:hAnsi="宋体" w:cs="宋体"/>
                <w:color w:val="auto"/>
                <w:szCs w:val="21"/>
                <w:highlight w:val="none"/>
                <w:u w:val="single"/>
              </w:rPr>
              <w:t xml:space="preserve">                                     。</w:t>
            </w:r>
          </w:p>
          <w:p w14:paraId="4ED6C1BB">
            <w:pPr>
              <w:pStyle w:val="16"/>
              <w:spacing w:line="360" w:lineRule="auto"/>
              <w:jc w:val="both"/>
              <w:rPr>
                <w:rFonts w:ascii="宋体" w:hAnsi="宋体" w:cs="宋体"/>
                <w:color w:val="auto"/>
                <w:szCs w:val="21"/>
                <w:highlight w:val="none"/>
                <w:u w:val="single"/>
              </w:rPr>
            </w:pPr>
            <w:r>
              <w:rPr>
                <w:rFonts w:hint="eastAsia" w:ascii="宋体" w:hAnsi="宋体" w:cs="宋体"/>
                <w:color w:val="auto"/>
                <w:szCs w:val="21"/>
                <w:highlight w:val="none"/>
              </w:rPr>
              <w:t>分包金额或者比例：</w:t>
            </w:r>
            <w:r>
              <w:rPr>
                <w:rFonts w:hint="eastAsia" w:ascii="宋体" w:hAnsi="宋体" w:cs="宋体"/>
                <w:color w:val="auto"/>
                <w:szCs w:val="21"/>
                <w:highlight w:val="none"/>
                <w:u w:val="single"/>
              </w:rPr>
              <w:t xml:space="preserve">                                     。</w:t>
            </w:r>
          </w:p>
        </w:tc>
      </w:tr>
      <w:tr w14:paraId="5AC3C4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6" w:hRule="atLeast"/>
        </w:trPr>
        <w:tc>
          <w:tcPr>
            <w:tcW w:w="978" w:type="dxa"/>
            <w:vMerge w:val="restart"/>
            <w:tcBorders>
              <w:top w:val="single" w:color="auto" w:sz="4" w:space="0"/>
              <w:left w:val="single" w:color="auto" w:sz="4" w:space="0"/>
              <w:right w:val="single" w:color="auto" w:sz="4" w:space="0"/>
            </w:tcBorders>
            <w:vAlign w:val="center"/>
          </w:tcPr>
          <w:p w14:paraId="064CE69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11.2</w:t>
            </w:r>
          </w:p>
        </w:tc>
        <w:tc>
          <w:tcPr>
            <w:tcW w:w="8175" w:type="dxa"/>
            <w:tcBorders>
              <w:top w:val="single" w:color="auto" w:sz="4" w:space="0"/>
              <w:left w:val="single" w:color="auto" w:sz="4" w:space="0"/>
              <w:bottom w:val="single" w:color="auto" w:sz="4" w:space="0"/>
              <w:right w:val="single" w:color="auto" w:sz="4" w:space="0"/>
            </w:tcBorders>
            <w:vAlign w:val="center"/>
          </w:tcPr>
          <w:p w14:paraId="49A3A48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☑不组织现场考察</w:t>
            </w:r>
          </w:p>
          <w:p w14:paraId="61E5B87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□组织现场考察：</w:t>
            </w:r>
          </w:p>
          <w:p w14:paraId="336D9EE6">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集中时间：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分</w:t>
            </w:r>
            <w:r>
              <w:rPr>
                <w:rFonts w:hint="eastAsia" w:ascii="宋体" w:hAnsi="宋体" w:cs="宋体"/>
                <w:color w:val="auto"/>
                <w:szCs w:val="21"/>
                <w:highlight w:val="none"/>
              </w:rPr>
              <w:t>，逾期后果自负。集中地点：</w:t>
            </w:r>
            <w:r>
              <w:rPr>
                <w:rFonts w:hint="eastAsia" w:ascii="宋体" w:hAnsi="宋体" w:cs="宋体"/>
                <w:color w:val="auto"/>
                <w:szCs w:val="21"/>
                <w:highlight w:val="none"/>
                <w:u w:val="single"/>
              </w:rPr>
              <w:t xml:space="preserve">              </w:t>
            </w:r>
          </w:p>
          <w:p w14:paraId="580BDDA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p>
        </w:tc>
      </w:tr>
      <w:tr w14:paraId="5E33A5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3" w:hRule="atLeast"/>
        </w:trPr>
        <w:tc>
          <w:tcPr>
            <w:tcW w:w="978" w:type="dxa"/>
            <w:vMerge w:val="continue"/>
            <w:tcBorders>
              <w:left w:val="single" w:color="auto" w:sz="4" w:space="0"/>
              <w:bottom w:val="single" w:color="auto" w:sz="4" w:space="0"/>
              <w:right w:val="single" w:color="auto" w:sz="4" w:space="0"/>
            </w:tcBorders>
            <w:vAlign w:val="center"/>
          </w:tcPr>
          <w:p w14:paraId="75D7CC64">
            <w:pPr>
              <w:spacing w:line="360" w:lineRule="auto"/>
              <w:jc w:val="center"/>
              <w:rPr>
                <w:rFonts w:ascii="宋体" w:hAnsi="宋体" w:cs="宋体"/>
                <w:color w:val="auto"/>
                <w:szCs w:val="21"/>
                <w:highlight w:val="none"/>
              </w:rPr>
            </w:pPr>
          </w:p>
        </w:tc>
        <w:tc>
          <w:tcPr>
            <w:tcW w:w="8175" w:type="dxa"/>
            <w:tcBorders>
              <w:top w:val="single" w:color="auto" w:sz="4" w:space="0"/>
              <w:left w:val="single" w:color="auto" w:sz="4" w:space="0"/>
              <w:bottom w:val="single" w:color="auto" w:sz="4" w:space="0"/>
              <w:right w:val="single" w:color="auto" w:sz="4" w:space="0"/>
            </w:tcBorders>
            <w:vAlign w:val="center"/>
          </w:tcPr>
          <w:p w14:paraId="4F4339C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不组织召开开标前答疑会</w:t>
            </w:r>
          </w:p>
          <w:p w14:paraId="031800CD">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□组织召开开标前答疑会</w:t>
            </w:r>
          </w:p>
          <w:p w14:paraId="0EC09D1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会议开始时间：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分</w:t>
            </w:r>
            <w:r>
              <w:rPr>
                <w:rFonts w:hint="eastAsia" w:ascii="宋体" w:hAnsi="宋体" w:cs="宋体"/>
                <w:color w:val="auto"/>
                <w:szCs w:val="21"/>
                <w:highlight w:val="none"/>
              </w:rPr>
              <w:t>，逾期后果自负。会议地点：</w:t>
            </w:r>
            <w:r>
              <w:rPr>
                <w:rFonts w:hint="eastAsia" w:ascii="宋体" w:hAnsi="宋体" w:cs="宋体"/>
                <w:color w:val="auto"/>
                <w:szCs w:val="21"/>
                <w:highlight w:val="none"/>
                <w:u w:val="single"/>
              </w:rPr>
              <w:t xml:space="preserve">              </w:t>
            </w:r>
          </w:p>
        </w:tc>
      </w:tr>
      <w:tr w14:paraId="47C8F4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vMerge w:val="restart"/>
            <w:tcBorders>
              <w:top w:val="single" w:color="auto" w:sz="4" w:space="0"/>
              <w:left w:val="single" w:color="auto" w:sz="4" w:space="0"/>
              <w:right w:val="single" w:color="auto" w:sz="4" w:space="0"/>
            </w:tcBorders>
            <w:vAlign w:val="center"/>
          </w:tcPr>
          <w:p w14:paraId="1603B274">
            <w:pPr>
              <w:spacing w:line="360" w:lineRule="auto"/>
              <w:ind w:firstLine="210" w:firstLineChars="100"/>
              <w:rPr>
                <w:rFonts w:ascii="宋体" w:hAnsi="宋体" w:cs="宋体"/>
                <w:color w:val="auto"/>
                <w:szCs w:val="21"/>
                <w:highlight w:val="none"/>
              </w:rPr>
            </w:pPr>
            <w:bookmarkStart w:id="50" w:name="_13.1"/>
            <w:bookmarkEnd w:id="50"/>
            <w:r>
              <w:rPr>
                <w:rFonts w:hint="eastAsia" w:ascii="宋体" w:hAnsi="宋体" w:cs="宋体"/>
                <w:color w:val="auto"/>
                <w:szCs w:val="21"/>
                <w:highlight w:val="none"/>
              </w:rPr>
              <w:t>13</w:t>
            </w:r>
          </w:p>
        </w:tc>
        <w:tc>
          <w:tcPr>
            <w:tcW w:w="8175" w:type="dxa"/>
            <w:tcBorders>
              <w:top w:val="single" w:color="auto" w:sz="4" w:space="0"/>
              <w:left w:val="single" w:color="auto" w:sz="4" w:space="0"/>
              <w:bottom w:val="single" w:color="auto" w:sz="4" w:space="0"/>
              <w:right w:val="single" w:color="auto" w:sz="4" w:space="0"/>
            </w:tcBorders>
            <w:vAlign w:val="center"/>
          </w:tcPr>
          <w:p w14:paraId="4993C58D">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报价文件：</w:t>
            </w:r>
          </w:p>
          <w:p w14:paraId="7B0F62BC">
            <w:pPr>
              <w:tabs>
                <w:tab w:val="left" w:pos="459"/>
              </w:tabs>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1.投标函（格式后附）；</w:t>
            </w:r>
            <w:r>
              <w:rPr>
                <w:rFonts w:hint="eastAsia" w:ascii="宋体" w:hAnsi="宋体" w:cs="宋体"/>
                <w:b/>
                <w:color w:val="auto"/>
                <w:szCs w:val="21"/>
                <w:highlight w:val="none"/>
              </w:rPr>
              <w:t>（必须提供，否则按无效投标处理）</w:t>
            </w:r>
          </w:p>
          <w:p w14:paraId="710146DA">
            <w:pPr>
              <w:tabs>
                <w:tab w:val="left" w:pos="459"/>
              </w:tabs>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2.开标一览表（格式后附）； （</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146CC318">
            <w:pPr>
              <w:tabs>
                <w:tab w:val="left" w:pos="459"/>
              </w:tabs>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3.投标人针对报价需要说明的其他文件和说明（格式自拟）。（</w:t>
            </w:r>
            <w:r>
              <w:rPr>
                <w:rFonts w:hint="eastAsia" w:ascii="宋体" w:hAnsi="宋体" w:cs="宋体"/>
                <w:bCs/>
                <w:color w:val="auto"/>
                <w:szCs w:val="21"/>
                <w:highlight w:val="none"/>
              </w:rPr>
              <w:t>如有则提供</w:t>
            </w:r>
            <w:r>
              <w:rPr>
                <w:rFonts w:hint="eastAsia" w:ascii="宋体" w:hAnsi="宋体" w:cs="宋体"/>
                <w:color w:val="auto"/>
                <w:szCs w:val="21"/>
                <w:highlight w:val="none"/>
              </w:rPr>
              <w:t>）</w:t>
            </w:r>
          </w:p>
          <w:p w14:paraId="1133DADF">
            <w:pPr>
              <w:snapToGrid w:val="0"/>
              <w:spacing w:line="360" w:lineRule="auto"/>
              <w:jc w:val="left"/>
              <w:rPr>
                <w:rFonts w:ascii="宋体" w:hAnsi="宋体" w:cs="宋体"/>
                <w:color w:val="auto"/>
                <w:szCs w:val="21"/>
                <w:highlight w:val="none"/>
              </w:rPr>
            </w:pPr>
            <w:r>
              <w:rPr>
                <w:rFonts w:hint="eastAsia" w:ascii="宋体" w:hAnsi="宋体" w:cs="宋体"/>
                <w:b/>
                <w:bCs/>
                <w:color w:val="auto"/>
                <w:szCs w:val="21"/>
                <w:highlight w:val="none"/>
              </w:rPr>
              <w:t>注：投标函、开标一览表必须由法定代表人或者委托代理人在规定签章处逐一签字或者电子签名并加盖投标人公章，否则按无效投标</w:t>
            </w:r>
            <w:r>
              <w:rPr>
                <w:rFonts w:hint="eastAsia" w:ascii="宋体" w:hAnsi="宋体" w:cs="宋体"/>
                <w:b/>
                <w:color w:val="auto"/>
                <w:szCs w:val="21"/>
                <w:highlight w:val="none"/>
              </w:rPr>
              <w:t>处理</w:t>
            </w:r>
            <w:r>
              <w:rPr>
                <w:rFonts w:hint="eastAsia" w:ascii="宋体" w:hAnsi="宋体" w:cs="宋体"/>
                <w:b/>
                <w:bCs/>
                <w:color w:val="auto"/>
                <w:szCs w:val="21"/>
                <w:highlight w:val="none"/>
              </w:rPr>
              <w:t>。</w:t>
            </w:r>
          </w:p>
        </w:tc>
      </w:tr>
      <w:tr w14:paraId="06EC56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vMerge w:val="continue"/>
            <w:tcBorders>
              <w:left w:val="single" w:color="auto" w:sz="4" w:space="0"/>
              <w:right w:val="single" w:color="auto" w:sz="4" w:space="0"/>
            </w:tcBorders>
            <w:vAlign w:val="center"/>
          </w:tcPr>
          <w:p w14:paraId="7A628BF0">
            <w:pPr>
              <w:spacing w:line="360" w:lineRule="auto"/>
              <w:rPr>
                <w:rFonts w:ascii="宋体" w:hAnsi="宋体" w:cs="宋体"/>
                <w:color w:val="auto"/>
                <w:szCs w:val="21"/>
                <w:highlight w:val="none"/>
              </w:rPr>
            </w:pPr>
            <w:bookmarkStart w:id="51" w:name="_13.2"/>
            <w:bookmarkEnd w:id="51"/>
          </w:p>
        </w:tc>
        <w:tc>
          <w:tcPr>
            <w:tcW w:w="8175" w:type="dxa"/>
            <w:tcBorders>
              <w:top w:val="single" w:color="auto" w:sz="4" w:space="0"/>
              <w:left w:val="single" w:color="auto" w:sz="4" w:space="0"/>
              <w:bottom w:val="single" w:color="auto" w:sz="4" w:space="0"/>
              <w:right w:val="single" w:color="auto" w:sz="4" w:space="0"/>
            </w:tcBorders>
            <w:vAlign w:val="center"/>
          </w:tcPr>
          <w:p w14:paraId="44DBA1DE">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资格证明文件</w:t>
            </w:r>
          </w:p>
          <w:p w14:paraId="25166FB5">
            <w:pPr>
              <w:snapToGrid w:val="0"/>
              <w:spacing w:line="360" w:lineRule="auto"/>
              <w:jc w:val="left"/>
              <w:rPr>
                <w:rFonts w:ascii="宋体" w:hAnsi="宋体" w:cs="宋体"/>
                <w:b/>
                <w:color w:val="auto"/>
                <w:szCs w:val="21"/>
                <w:highlight w:val="none"/>
              </w:rPr>
            </w:pPr>
            <w:r>
              <w:rPr>
                <w:rFonts w:hint="eastAsia" w:ascii="宋体" w:hAnsi="宋体" w:cs="宋体"/>
                <w:color w:val="auto"/>
                <w:szCs w:val="21"/>
                <w:highlight w:val="none"/>
              </w:rPr>
              <w:t>1.投标人为法人或者其他组织的，提供营业执照等证明文件（如营业执照或者事业单位法人证书或者</w:t>
            </w:r>
            <w:r>
              <w:rPr>
                <w:rStyle w:val="106"/>
                <w:rFonts w:hint="eastAsia"/>
                <w:color w:val="auto"/>
                <w:sz w:val="21"/>
                <w:szCs w:val="21"/>
                <w:highlight w:val="none"/>
              </w:rPr>
              <w:t>执业许可证</w:t>
            </w:r>
            <w:r>
              <w:rPr>
                <w:rFonts w:hint="eastAsia" w:ascii="宋体" w:hAnsi="宋体" w:cs="宋体"/>
                <w:color w:val="auto"/>
                <w:szCs w:val="21"/>
                <w:highlight w:val="none"/>
              </w:rPr>
              <w:t>或者登记证书等），投标人为自然人的，提供身份证复印件；（</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6CCE41FF">
            <w:pPr>
              <w:snapToGrid w:val="0"/>
              <w:spacing w:line="360" w:lineRule="auto"/>
              <w:jc w:val="left"/>
              <w:rPr>
                <w:rFonts w:ascii="宋体" w:hAnsi="宋体" w:cs="宋体"/>
                <w:b/>
                <w:color w:val="auto"/>
                <w:szCs w:val="21"/>
                <w:highlight w:val="none"/>
              </w:rPr>
            </w:pPr>
            <w:r>
              <w:rPr>
                <w:rFonts w:hint="eastAsia" w:ascii="宋体" w:hAnsi="宋体" w:cs="宋体"/>
                <w:color w:val="auto"/>
                <w:szCs w:val="21"/>
                <w:highlight w:val="none"/>
              </w:rPr>
              <w:t>2.投标人依法缴纳税收的相关材料（</w:t>
            </w:r>
            <w:r>
              <w:rPr>
                <w:rFonts w:hint="eastAsia" w:ascii="宋体" w:hAnsi="宋体" w:cs="宋体"/>
                <w:color w:val="auto"/>
                <w:szCs w:val="21"/>
                <w:highlight w:val="none"/>
                <w:u w:val="single"/>
              </w:rPr>
              <w:t>2024</w:t>
            </w:r>
            <w:r>
              <w:rPr>
                <w:rFonts w:hint="eastAsia" w:ascii="宋体" w:hAnsi="宋体" w:cs="宋体"/>
                <w:color w:val="auto"/>
                <w:szCs w:val="21"/>
                <w:highlight w:val="none"/>
              </w:rPr>
              <w:t>年</w:t>
            </w:r>
            <w:r>
              <w:rPr>
                <w:rFonts w:hint="eastAsia" w:ascii="宋体" w:hAnsi="宋体" w:cs="宋体"/>
                <w:color w:val="auto"/>
                <w:szCs w:val="21"/>
                <w:highlight w:val="none"/>
                <w:u w:val="single"/>
              </w:rPr>
              <w:t>1</w:t>
            </w:r>
            <w:r>
              <w:rPr>
                <w:rFonts w:hint="eastAsia" w:ascii="宋体" w:hAnsi="宋体" w:cs="宋体"/>
                <w:color w:val="auto"/>
                <w:szCs w:val="21"/>
                <w:highlight w:val="none"/>
              </w:rPr>
              <w:t>月至</w:t>
            </w:r>
            <w:r>
              <w:rPr>
                <w:rFonts w:hint="eastAsia" w:ascii="宋体" w:hAnsi="宋体" w:cs="宋体"/>
                <w:color w:val="auto"/>
                <w:szCs w:val="21"/>
                <w:highlight w:val="none"/>
                <w:u w:val="single"/>
              </w:rPr>
              <w:t>2024</w:t>
            </w:r>
            <w:r>
              <w:rPr>
                <w:rFonts w:hint="eastAsia" w:ascii="宋体" w:hAnsi="宋体" w:cs="宋体"/>
                <w:color w:val="auto"/>
                <w:szCs w:val="21"/>
                <w:highlight w:val="none"/>
              </w:rPr>
              <w:t>年</w:t>
            </w:r>
            <w:r>
              <w:rPr>
                <w:rFonts w:hint="eastAsia" w:ascii="宋体" w:hAnsi="宋体" w:cs="宋体"/>
                <w:color w:val="auto"/>
                <w:szCs w:val="21"/>
                <w:highlight w:val="none"/>
                <w:u w:val="single"/>
              </w:rPr>
              <w:t>6</w:t>
            </w:r>
            <w:r>
              <w:rPr>
                <w:rFonts w:hint="eastAsia" w:ascii="宋体" w:hAnsi="宋体" w:cs="宋体"/>
                <w:color w:val="auto"/>
                <w:szCs w:val="21"/>
                <w:highlight w:val="none"/>
              </w:rPr>
              <w:t>月内任意</w:t>
            </w:r>
            <w:r>
              <w:rPr>
                <w:rFonts w:hint="eastAsia" w:ascii="宋体" w:hAnsi="宋体" w:cs="宋体"/>
                <w:color w:val="auto"/>
                <w:szCs w:val="21"/>
                <w:highlight w:val="none"/>
                <w:lang w:eastAsia="zh-CN"/>
              </w:rPr>
              <w:t>一</w:t>
            </w:r>
            <w:r>
              <w:rPr>
                <w:rFonts w:hint="eastAsia" w:ascii="宋体" w:hAnsi="宋体" w:cs="宋体"/>
                <w:color w:val="auto"/>
                <w:szCs w:val="21"/>
                <w:highlight w:val="none"/>
              </w:rPr>
              <w:t>个月的依法缴纳税收的凭据</w:t>
            </w:r>
            <w:r>
              <w:rPr>
                <w:rFonts w:hint="eastAsia" w:ascii="宋体" w:hAnsi="宋体" w:cs="宋体"/>
                <w:color w:val="auto"/>
                <w:szCs w:val="21"/>
                <w:highlight w:val="none"/>
                <w:lang w:eastAsia="zh-CN"/>
              </w:rPr>
              <w:t>或完税证明</w:t>
            </w:r>
            <w:r>
              <w:rPr>
                <w:rFonts w:hint="eastAsia" w:ascii="宋体" w:hAnsi="宋体" w:cs="宋体"/>
                <w:color w:val="auto"/>
                <w:szCs w:val="21"/>
                <w:highlight w:val="none"/>
              </w:rPr>
              <w:t>；依法免税的供应商，必须提供相应文件证明其依法免税。从成立之日起到投标文件提交截止时间止不足要求月数的，只需提供从成立之日起的依法缴纳税收相应证明文件）；（</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725F0F7C">
            <w:pPr>
              <w:snapToGrid w:val="0"/>
              <w:spacing w:line="360" w:lineRule="auto"/>
              <w:jc w:val="left"/>
              <w:rPr>
                <w:rFonts w:ascii="宋体" w:hAnsi="宋体" w:cs="宋体"/>
                <w:b/>
                <w:color w:val="auto"/>
                <w:szCs w:val="21"/>
                <w:highlight w:val="none"/>
              </w:rPr>
            </w:pPr>
            <w:r>
              <w:rPr>
                <w:rFonts w:hint="eastAsia" w:ascii="宋体" w:hAnsi="宋体" w:cs="宋体"/>
                <w:color w:val="auto"/>
                <w:szCs w:val="21"/>
                <w:highlight w:val="none"/>
              </w:rPr>
              <w:t>3.投标人依法缴纳社会保障资金的相关材料[</w:t>
            </w:r>
            <w:r>
              <w:rPr>
                <w:rFonts w:hint="eastAsia" w:ascii="宋体" w:hAnsi="宋体" w:cs="宋体"/>
                <w:color w:val="auto"/>
                <w:szCs w:val="21"/>
                <w:highlight w:val="none"/>
                <w:u w:val="single"/>
              </w:rPr>
              <w:t>2024</w:t>
            </w:r>
            <w:r>
              <w:rPr>
                <w:rFonts w:hint="eastAsia" w:ascii="宋体" w:hAnsi="宋体" w:cs="宋体"/>
                <w:color w:val="auto"/>
                <w:szCs w:val="21"/>
                <w:highlight w:val="none"/>
              </w:rPr>
              <w:t>年</w:t>
            </w:r>
            <w:r>
              <w:rPr>
                <w:rFonts w:hint="eastAsia" w:ascii="宋体" w:hAnsi="宋体" w:cs="宋体"/>
                <w:color w:val="auto"/>
                <w:szCs w:val="21"/>
                <w:highlight w:val="none"/>
                <w:u w:val="single"/>
              </w:rPr>
              <w:t>1</w:t>
            </w:r>
            <w:r>
              <w:rPr>
                <w:rFonts w:hint="eastAsia" w:ascii="宋体" w:hAnsi="宋体" w:cs="宋体"/>
                <w:color w:val="auto"/>
                <w:szCs w:val="21"/>
                <w:highlight w:val="none"/>
              </w:rPr>
              <w:t>月至</w:t>
            </w:r>
            <w:r>
              <w:rPr>
                <w:rFonts w:hint="eastAsia" w:ascii="宋体" w:hAnsi="宋体" w:cs="宋体"/>
                <w:color w:val="auto"/>
                <w:szCs w:val="21"/>
                <w:highlight w:val="none"/>
                <w:u w:val="single"/>
              </w:rPr>
              <w:t>2024</w:t>
            </w:r>
            <w:r>
              <w:rPr>
                <w:rFonts w:hint="eastAsia" w:ascii="宋体" w:hAnsi="宋体" w:cs="宋体"/>
                <w:color w:val="auto"/>
                <w:szCs w:val="21"/>
                <w:highlight w:val="none"/>
              </w:rPr>
              <w:t>年</w:t>
            </w:r>
            <w:r>
              <w:rPr>
                <w:rFonts w:hint="eastAsia" w:ascii="宋体" w:hAnsi="宋体" w:cs="宋体"/>
                <w:color w:val="auto"/>
                <w:szCs w:val="21"/>
                <w:highlight w:val="none"/>
                <w:u w:val="single"/>
              </w:rPr>
              <w:t>6</w:t>
            </w:r>
            <w:r>
              <w:rPr>
                <w:rFonts w:hint="eastAsia" w:ascii="宋体" w:hAnsi="宋体" w:cs="宋体"/>
                <w:color w:val="auto"/>
                <w:szCs w:val="21"/>
                <w:highlight w:val="none"/>
              </w:rPr>
              <w:t>月内任意</w:t>
            </w:r>
            <w:r>
              <w:rPr>
                <w:rFonts w:hint="eastAsia" w:ascii="宋体" w:hAnsi="宋体" w:cs="宋体"/>
                <w:color w:val="auto"/>
                <w:szCs w:val="21"/>
                <w:highlight w:val="none"/>
                <w:lang w:eastAsia="zh-CN"/>
              </w:rPr>
              <w:t>一</w:t>
            </w:r>
            <w:r>
              <w:rPr>
                <w:rFonts w:hint="eastAsia" w:ascii="宋体" w:hAnsi="宋体" w:cs="宋体"/>
                <w:color w:val="auto"/>
                <w:szCs w:val="21"/>
                <w:highlight w:val="none"/>
              </w:rPr>
              <w:t>个月的依法缴纳社会保障资金的缴费凭证（专用收据或者社会保险缴纳清单）</w:t>
            </w:r>
            <w:r>
              <w:rPr>
                <w:rFonts w:hint="eastAsia" w:ascii="宋体" w:hAnsi="宋体" w:cs="宋体"/>
                <w:color w:val="auto"/>
                <w:szCs w:val="21"/>
                <w:highlight w:val="none"/>
                <w:lang w:eastAsia="zh-CN"/>
              </w:rPr>
              <w:t>或完税证明</w:t>
            </w:r>
            <w:r>
              <w:rPr>
                <w:rFonts w:hint="eastAsia" w:ascii="宋体" w:hAnsi="宋体" w:cs="宋体"/>
                <w:color w:val="auto"/>
                <w:szCs w:val="21"/>
                <w:highlight w:val="none"/>
              </w:rPr>
              <w:t>；依法不需要缴纳社会保障资金的供应商，必须提供相应文件证明不需要缴纳社会保障资金。从成立之日起到投标文件提交截止时间止不足要求月数的只需提供从成立之日起的依法缴纳社会保障资金的相应证明文件]；（</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620E3268">
            <w:pPr>
              <w:snapToGrid w:val="0"/>
              <w:spacing w:line="360" w:lineRule="auto"/>
              <w:jc w:val="left"/>
              <w:rPr>
                <w:rFonts w:ascii="宋体" w:hAnsi="宋体" w:cs="宋体"/>
                <w:b/>
                <w:color w:val="auto"/>
                <w:szCs w:val="21"/>
                <w:highlight w:val="none"/>
              </w:rPr>
            </w:pPr>
            <w:r>
              <w:rPr>
                <w:rFonts w:hint="eastAsia" w:ascii="宋体" w:hAnsi="宋体" w:cs="宋体"/>
                <w:color w:val="auto"/>
                <w:szCs w:val="21"/>
                <w:highlight w:val="none"/>
              </w:rPr>
              <w:t>4.投标人财务状况报告（</w:t>
            </w:r>
            <w:r>
              <w:rPr>
                <w:rFonts w:hint="eastAsia" w:ascii="宋体" w:hAnsi="宋体" w:cs="宋体"/>
                <w:color w:val="auto"/>
                <w:szCs w:val="21"/>
                <w:highlight w:val="none"/>
                <w:u w:val="single"/>
              </w:rPr>
              <w:t>2023</w:t>
            </w:r>
            <w:r>
              <w:rPr>
                <w:rFonts w:hint="eastAsia" w:ascii="宋体" w:hAnsi="宋体" w:cs="宋体"/>
                <w:color w:val="auto"/>
                <w:szCs w:val="21"/>
                <w:highlight w:val="none"/>
              </w:rPr>
              <w:t>年度财务报表复印件，或者银行出具的资信证明，或者中国人民银行征信中心出具的信用报告（企业投标的提供企业信用报告，自然人投标的提供个人信用报告）；投标人属于</w:t>
            </w:r>
            <w:r>
              <w:rPr>
                <w:rFonts w:hint="eastAsia" w:ascii="宋体" w:hAnsi="宋体" w:cs="宋体"/>
                <w:color w:val="auto"/>
                <w:highlight w:val="none"/>
              </w:rPr>
              <w:t>成立时间</w:t>
            </w:r>
            <w:r>
              <w:rPr>
                <w:rFonts w:hint="eastAsia" w:ascii="宋体" w:hAnsi="宋体" w:cs="宋体"/>
                <w:color w:val="auto"/>
                <w:kern w:val="0"/>
                <w:highlight w:val="none"/>
              </w:rPr>
              <w:t>在规定年度之后</w:t>
            </w:r>
            <w:r>
              <w:rPr>
                <w:rFonts w:hint="eastAsia" w:ascii="宋体" w:hAnsi="宋体" w:cs="宋体"/>
                <w:color w:val="auto"/>
                <w:highlight w:val="none"/>
              </w:rPr>
              <w:t>的</w:t>
            </w:r>
            <w:r>
              <w:rPr>
                <w:rFonts w:hint="eastAsia" w:ascii="宋体" w:hAnsi="宋体" w:cs="宋体"/>
                <w:color w:val="auto"/>
                <w:szCs w:val="21"/>
                <w:highlight w:val="none"/>
              </w:rPr>
              <w:t>法人或其他组织</w:t>
            </w:r>
            <w:r>
              <w:rPr>
                <w:rFonts w:hint="eastAsia" w:ascii="宋体" w:hAnsi="宋体" w:cs="宋体"/>
                <w:color w:val="auto"/>
                <w:highlight w:val="none"/>
              </w:rPr>
              <w:t>，需提供成立之日起至投标文件提交截止时间前的月报表</w:t>
            </w:r>
            <w:r>
              <w:rPr>
                <w:rFonts w:hint="eastAsia" w:ascii="宋体" w:hAnsi="宋体" w:cs="宋体"/>
                <w:color w:val="auto"/>
                <w:szCs w:val="21"/>
                <w:highlight w:val="none"/>
              </w:rPr>
              <w:t>或银行出具的资信证明或者中国人民银行征信中心出具的企业信用报告；资信证明应在有效期内，未注明有效期的，银行出具时间至投标文件提交截止时间不超过一年）；（</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63B72C07">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5.投标人直接控股、管理关系信息表（格式后附）；（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）6.投标声明（格式后附）；（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68D4CD66">
            <w:pPr>
              <w:snapToGrid w:val="0"/>
              <w:spacing w:line="360" w:lineRule="auto"/>
              <w:jc w:val="left"/>
              <w:rPr>
                <w:rFonts w:ascii="宋体" w:hAnsi="宋体" w:cs="宋体"/>
                <w:b/>
                <w:color w:val="auto"/>
                <w:szCs w:val="21"/>
                <w:highlight w:val="none"/>
              </w:rPr>
            </w:pPr>
            <w:r>
              <w:rPr>
                <w:rFonts w:hint="eastAsia" w:ascii="宋体" w:hAnsi="宋体" w:cs="宋体"/>
                <w:color w:val="auto"/>
                <w:szCs w:val="21"/>
                <w:highlight w:val="none"/>
              </w:rPr>
              <w:t>7.本项目特定资格：（</w:t>
            </w:r>
            <w:r>
              <w:rPr>
                <w:rFonts w:hint="eastAsia" w:ascii="宋体" w:hAnsi="宋体" w:cs="宋体"/>
                <w:b/>
                <w:color w:val="auto"/>
                <w:szCs w:val="21"/>
                <w:highlight w:val="none"/>
              </w:rPr>
              <w:t>必须提供，否则投标文件按无效处理</w:t>
            </w:r>
            <w:r>
              <w:rPr>
                <w:rFonts w:hint="eastAsia" w:ascii="宋体" w:hAnsi="宋体" w:cs="宋体"/>
                <w:color w:val="auto"/>
                <w:szCs w:val="21"/>
                <w:highlight w:val="none"/>
              </w:rPr>
              <w:t>）</w:t>
            </w:r>
          </w:p>
          <w:p w14:paraId="420D66E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highlight w:val="none"/>
              </w:rPr>
              <w:t>标的属</w:t>
            </w:r>
            <w:r>
              <w:rPr>
                <w:rFonts w:hint="eastAsia" w:ascii="宋体" w:hAnsi="宋体" w:cs="宋体"/>
                <w:color w:val="auto"/>
                <w:szCs w:val="21"/>
                <w:highlight w:val="none"/>
              </w:rPr>
              <w:t>第二类医疗器械的，应提供有效的医疗器械经营备案凭证（经营范围包含采购的第二类医疗器械），符合《医疗器械监督管理条例》（国务院令第739号）第四十一条第二款规定的除外；如投标人符合《医疗器械监督管理条例》第四十三条“医疗器械注册人、备案人经营其注册、备案的医疗器械，无需办理医疗器械经营许可或者备案，但应当符合本条例规定的经营条件”规定的，仅需提供该医疗器械注册证（另附表格列明所投标对应产品的名称和规格型号，格式自拟）。</w:t>
            </w:r>
          </w:p>
          <w:p w14:paraId="0DF0AB2C">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highlight w:val="none"/>
              </w:rPr>
              <w:t>标的属</w:t>
            </w:r>
            <w:r>
              <w:rPr>
                <w:rFonts w:hint="eastAsia" w:ascii="宋体" w:hAnsi="宋体" w:cs="宋体"/>
                <w:color w:val="auto"/>
                <w:szCs w:val="21"/>
                <w:highlight w:val="none"/>
              </w:rPr>
              <w:t>第三类医疗器械的，应提供有效的医疗器械经营许可证（经营范围包含采购的第三类医疗器械）；如投标人符合《医疗器械监督管理条例》第四十三条“医疗器械注册人、备案人经营其注册、备案的医疗器械，无需办理医疗器械经营许可或者备案，但应当符合本条例规定的经营条件”规定的，仅需提供该医疗器械注册证（另附表格列明所投标对应产品的名称和规格型号，格式自拟）。</w:t>
            </w:r>
          </w:p>
          <w:p w14:paraId="0A2EF6A0">
            <w:pPr>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8.标项三、四</w:t>
            </w:r>
            <w:r>
              <w:rPr>
                <w:rFonts w:hint="eastAsia" w:ascii="宋体" w:hAnsi="宋体" w:cs="宋体"/>
                <w:b/>
                <w:bCs/>
                <w:color w:val="auto"/>
                <w:szCs w:val="21"/>
                <w:highlight w:val="none"/>
                <w:lang w:val="en-US" w:eastAsia="zh-CN"/>
              </w:rPr>
              <w:t>必须提供</w:t>
            </w:r>
            <w:r>
              <w:rPr>
                <w:rFonts w:hint="eastAsia" w:ascii="宋体" w:hAnsi="宋体"/>
                <w:color w:val="auto"/>
                <w:szCs w:val="21"/>
                <w:highlight w:val="none"/>
              </w:rPr>
              <w:t>中小企业</w:t>
            </w:r>
            <w:r>
              <w:rPr>
                <w:rFonts w:hint="eastAsia" w:ascii="宋体" w:hAnsi="宋体"/>
                <w:color w:val="auto"/>
                <w:szCs w:val="21"/>
                <w:highlight w:val="none"/>
                <w:lang w:eastAsia="zh-CN"/>
              </w:rPr>
              <w:t>声明函</w:t>
            </w:r>
            <w:r>
              <w:rPr>
                <w:rFonts w:hint="eastAsia" w:ascii="宋体" w:hAnsi="宋体"/>
                <w:color w:val="auto"/>
                <w:szCs w:val="21"/>
                <w:highlight w:val="none"/>
              </w:rPr>
              <w:t>或监狱企业</w:t>
            </w:r>
            <w:r>
              <w:rPr>
                <w:rFonts w:hint="eastAsia" w:ascii="宋体" w:hAnsi="宋体"/>
                <w:color w:val="auto"/>
                <w:szCs w:val="21"/>
                <w:highlight w:val="none"/>
                <w:lang w:eastAsia="zh-CN"/>
              </w:rPr>
              <w:t>证明</w:t>
            </w:r>
            <w:r>
              <w:rPr>
                <w:rFonts w:hint="eastAsia" w:ascii="宋体" w:hAnsi="宋体"/>
                <w:color w:val="auto"/>
                <w:szCs w:val="21"/>
                <w:highlight w:val="none"/>
              </w:rPr>
              <w:t>或残疾人福利性单位</w:t>
            </w:r>
            <w:r>
              <w:rPr>
                <w:rFonts w:hint="eastAsia" w:ascii="宋体" w:hAnsi="宋体"/>
                <w:color w:val="auto"/>
                <w:szCs w:val="21"/>
                <w:highlight w:val="none"/>
                <w:lang w:eastAsia="zh-CN"/>
              </w:rPr>
              <w:t>声明函，其余标项如有请提供；</w:t>
            </w:r>
          </w:p>
          <w:p w14:paraId="3B1D1E79">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.除招标文件规定必须提供以外，投标人认为需要提供的其他证明材料。（</w:t>
            </w:r>
            <w:r>
              <w:rPr>
                <w:rFonts w:hint="eastAsia" w:ascii="宋体" w:hAnsi="宋体" w:cs="宋体"/>
                <w:bCs/>
                <w:color w:val="auto"/>
                <w:szCs w:val="21"/>
                <w:highlight w:val="none"/>
              </w:rPr>
              <w:t>如有则提供</w:t>
            </w:r>
            <w:r>
              <w:rPr>
                <w:rFonts w:hint="eastAsia" w:ascii="宋体" w:hAnsi="宋体" w:cs="宋体"/>
                <w:color w:val="auto"/>
                <w:szCs w:val="21"/>
                <w:highlight w:val="none"/>
              </w:rPr>
              <w:t>）</w:t>
            </w:r>
          </w:p>
          <w:p w14:paraId="102F3372">
            <w:pPr>
              <w:snapToGrid w:val="0"/>
              <w:spacing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注：1.</w:t>
            </w:r>
            <w:r>
              <w:rPr>
                <w:rFonts w:hint="eastAsia" w:ascii="宋体" w:hAnsi="宋体" w:cs="宋体"/>
                <w:color w:val="auto"/>
                <w:szCs w:val="21"/>
                <w:highlight w:val="none"/>
              </w:rPr>
              <w:t xml:space="preserve"> </w:t>
            </w:r>
            <w:r>
              <w:rPr>
                <w:rFonts w:hint="eastAsia" w:ascii="宋体" w:hAnsi="宋体" w:cs="宋体"/>
                <w:b/>
                <w:bCs/>
                <w:color w:val="auto"/>
                <w:szCs w:val="21"/>
                <w:highlight w:val="none"/>
              </w:rPr>
              <w:t>以上标明“必须提供”的材料属于复印件的，必须加盖投标人公章，否则按无效投标</w:t>
            </w:r>
            <w:r>
              <w:rPr>
                <w:rFonts w:hint="eastAsia" w:ascii="宋体" w:hAnsi="宋体" w:cs="宋体"/>
                <w:b/>
                <w:color w:val="auto"/>
                <w:szCs w:val="21"/>
                <w:highlight w:val="none"/>
              </w:rPr>
              <w:t>处理。</w:t>
            </w:r>
          </w:p>
          <w:p w14:paraId="57015096">
            <w:pPr>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2.分公司参加投标的，应当取得总公司授权。</w:t>
            </w:r>
          </w:p>
        </w:tc>
      </w:tr>
      <w:tr w14:paraId="75D0AC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vMerge w:val="continue"/>
            <w:tcBorders>
              <w:left w:val="single" w:color="auto" w:sz="4" w:space="0"/>
              <w:right w:val="single" w:color="auto" w:sz="4" w:space="0"/>
            </w:tcBorders>
            <w:vAlign w:val="center"/>
          </w:tcPr>
          <w:p w14:paraId="0D02DE17">
            <w:pPr>
              <w:spacing w:line="360" w:lineRule="auto"/>
              <w:rPr>
                <w:rFonts w:ascii="宋体" w:hAnsi="宋体" w:cs="宋体"/>
                <w:color w:val="auto"/>
                <w:szCs w:val="21"/>
                <w:highlight w:val="none"/>
              </w:rPr>
            </w:pPr>
            <w:bookmarkStart w:id="52" w:name="_13.3"/>
            <w:bookmarkEnd w:id="52"/>
          </w:p>
        </w:tc>
        <w:tc>
          <w:tcPr>
            <w:tcW w:w="8175" w:type="dxa"/>
            <w:tcBorders>
              <w:top w:val="single" w:color="auto" w:sz="4" w:space="0"/>
              <w:left w:val="single" w:color="auto" w:sz="4" w:space="0"/>
              <w:bottom w:val="single" w:color="auto" w:sz="4" w:space="0"/>
              <w:right w:val="single" w:color="auto" w:sz="4" w:space="0"/>
            </w:tcBorders>
            <w:vAlign w:val="center"/>
          </w:tcPr>
          <w:p w14:paraId="40F58DB8">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商务文件：</w:t>
            </w:r>
          </w:p>
          <w:p w14:paraId="776D412A">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1.无串通投标行为的承诺函（格式后附）；（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33339A6B">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2.投标保证金提交凭证；（</w:t>
            </w:r>
            <w:r>
              <w:rPr>
                <w:rFonts w:hint="eastAsia" w:ascii="宋体" w:hAnsi="宋体" w:cs="宋体"/>
                <w:b/>
                <w:bCs/>
                <w:color w:val="auto"/>
                <w:highlight w:val="none"/>
              </w:rPr>
              <w:t>必须提供</w:t>
            </w:r>
            <w:r>
              <w:rPr>
                <w:rFonts w:hint="eastAsia" w:ascii="宋体" w:hAnsi="宋体" w:cs="宋体"/>
                <w:b/>
                <w:color w:val="auto"/>
                <w:szCs w:val="21"/>
                <w:highlight w:val="none"/>
              </w:rPr>
              <w:t>，否则按无效投标处理</w:t>
            </w:r>
            <w:r>
              <w:rPr>
                <w:rFonts w:hint="eastAsia" w:ascii="宋体" w:hAnsi="宋体" w:cs="宋体"/>
                <w:color w:val="auto"/>
                <w:szCs w:val="21"/>
                <w:highlight w:val="none"/>
              </w:rPr>
              <w:t>）</w:t>
            </w:r>
          </w:p>
          <w:p w14:paraId="4F9493A1">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3.法定代表人身份证明及法定代表人有效身份证正反面复印件（格式后附）；（</w:t>
            </w:r>
            <w:r>
              <w:rPr>
                <w:rFonts w:hint="eastAsia" w:ascii="宋体" w:hAnsi="宋体" w:cs="宋体"/>
                <w:b/>
                <w:bCs/>
                <w:color w:val="auto"/>
                <w:szCs w:val="21"/>
                <w:highlight w:val="none"/>
              </w:rPr>
              <w:t>除自然人投标外</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06B10AE0">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4.授权委托书及委托代理人有效身份证正反面复印件（格式后附）；（</w:t>
            </w:r>
            <w:r>
              <w:rPr>
                <w:rFonts w:hint="eastAsia" w:ascii="宋体" w:hAnsi="宋体" w:cs="宋体"/>
                <w:b/>
                <w:color w:val="auto"/>
                <w:szCs w:val="21"/>
                <w:highlight w:val="none"/>
              </w:rPr>
              <w:t>委托时必须提供，否则按无效投标处理</w:t>
            </w:r>
            <w:r>
              <w:rPr>
                <w:rFonts w:hint="eastAsia" w:ascii="宋体" w:hAnsi="宋体" w:cs="宋体"/>
                <w:color w:val="auto"/>
                <w:szCs w:val="21"/>
                <w:highlight w:val="none"/>
              </w:rPr>
              <w:t>）</w:t>
            </w:r>
          </w:p>
          <w:p w14:paraId="39C365BD">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5.商务要求偏离表（格式后附）；（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347C6A9C">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6.售后服务方案（根据采购需求及评分办法自拟）；（</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6A728158">
            <w:pPr>
              <w:spacing w:line="360" w:lineRule="auto"/>
              <w:rPr>
                <w:rFonts w:ascii="宋体" w:hAnsi="宋体" w:cs="宋体"/>
                <w:color w:val="auto"/>
                <w:szCs w:val="21"/>
                <w:highlight w:val="none"/>
              </w:rPr>
            </w:pPr>
            <w:r>
              <w:rPr>
                <w:rFonts w:hint="eastAsia" w:ascii="宋体" w:hAnsi="宋体" w:cs="宋体"/>
                <w:color w:val="auto"/>
                <w:szCs w:val="21"/>
                <w:highlight w:val="none"/>
              </w:rPr>
              <w:t>7.货物配置清单（均不含报价）（格式后附）；（</w:t>
            </w:r>
            <w:r>
              <w:rPr>
                <w:rFonts w:hint="eastAsia" w:ascii="宋体" w:hAnsi="宋体" w:cs="宋体"/>
                <w:b/>
                <w:color w:val="auto"/>
                <w:szCs w:val="21"/>
                <w:highlight w:val="none"/>
              </w:rPr>
              <w:t>必须提供，否则投标文件按无效处理</w:t>
            </w:r>
            <w:r>
              <w:rPr>
                <w:rFonts w:hint="eastAsia" w:ascii="宋体" w:hAnsi="宋体" w:cs="宋体"/>
                <w:color w:val="auto"/>
                <w:szCs w:val="21"/>
                <w:highlight w:val="none"/>
              </w:rPr>
              <w:t>）</w:t>
            </w:r>
          </w:p>
          <w:p w14:paraId="5FCE6D6B">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8.投标人业绩证明材料（格式后附）；（如有则提供）</w:t>
            </w:r>
          </w:p>
          <w:p w14:paraId="73D6E955">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9.除招标文件规定必须提供以外，投标人认为需要提供的其他证明材料（如有则提供）。（投标人根据“第二章 采购需求”及“第四章 评标方法及评标标准”提供有关证明材料）。</w:t>
            </w:r>
          </w:p>
          <w:p w14:paraId="43EBC8BB">
            <w:pPr>
              <w:snapToGrid w:val="0"/>
              <w:spacing w:line="360" w:lineRule="auto"/>
              <w:jc w:val="left"/>
              <w:rPr>
                <w:rFonts w:ascii="宋体" w:hAnsi="宋体" w:cs="宋体"/>
                <w:b/>
                <w:color w:val="auto"/>
                <w:szCs w:val="21"/>
                <w:highlight w:val="none"/>
              </w:rPr>
            </w:pPr>
            <w:r>
              <w:rPr>
                <w:rFonts w:hint="eastAsia" w:ascii="宋体" w:hAnsi="宋体" w:cs="宋体"/>
                <w:b/>
                <w:bCs/>
                <w:color w:val="auto"/>
                <w:szCs w:val="21"/>
                <w:highlight w:val="none"/>
              </w:rPr>
              <w:t>注：以上标明“必须提供”的材料属于复印件的，必须加盖投标人公章，否则按无效投标</w:t>
            </w:r>
            <w:r>
              <w:rPr>
                <w:rFonts w:hint="eastAsia" w:ascii="宋体" w:hAnsi="宋体" w:cs="宋体"/>
                <w:b/>
                <w:color w:val="auto"/>
                <w:szCs w:val="21"/>
                <w:highlight w:val="none"/>
              </w:rPr>
              <w:t>处理</w:t>
            </w:r>
            <w:r>
              <w:rPr>
                <w:rFonts w:hint="eastAsia" w:ascii="宋体" w:hAnsi="宋体" w:cs="宋体"/>
                <w:b/>
                <w:bCs/>
                <w:color w:val="auto"/>
                <w:szCs w:val="21"/>
                <w:highlight w:val="none"/>
              </w:rPr>
              <w:t>。</w:t>
            </w:r>
          </w:p>
        </w:tc>
      </w:tr>
      <w:tr w14:paraId="6F3CB1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vMerge w:val="continue"/>
            <w:tcBorders>
              <w:left w:val="single" w:color="auto" w:sz="4" w:space="0"/>
              <w:bottom w:val="single" w:color="auto" w:sz="4" w:space="0"/>
              <w:right w:val="single" w:color="auto" w:sz="4" w:space="0"/>
            </w:tcBorders>
            <w:vAlign w:val="center"/>
          </w:tcPr>
          <w:p w14:paraId="4D1E514A">
            <w:pPr>
              <w:spacing w:line="360" w:lineRule="auto"/>
              <w:rPr>
                <w:rFonts w:ascii="宋体" w:hAnsi="宋体" w:cs="宋体"/>
                <w:color w:val="auto"/>
                <w:szCs w:val="21"/>
                <w:highlight w:val="none"/>
              </w:rPr>
            </w:pPr>
            <w:bookmarkStart w:id="53" w:name="_13.4"/>
            <w:bookmarkEnd w:id="53"/>
          </w:p>
        </w:tc>
        <w:tc>
          <w:tcPr>
            <w:tcW w:w="8175" w:type="dxa"/>
            <w:tcBorders>
              <w:top w:val="single" w:color="auto" w:sz="4" w:space="0"/>
              <w:left w:val="single" w:color="auto" w:sz="4" w:space="0"/>
              <w:bottom w:val="single" w:color="auto" w:sz="4" w:space="0"/>
              <w:right w:val="single" w:color="auto" w:sz="4" w:space="0"/>
            </w:tcBorders>
            <w:vAlign w:val="center"/>
          </w:tcPr>
          <w:p w14:paraId="4A2EEA88">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技术文件：</w:t>
            </w:r>
          </w:p>
          <w:p w14:paraId="50E119F6">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1.技术要求偏离表（格式后附）；（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03062F6A">
            <w:pPr>
              <w:snapToGrid w:val="0"/>
              <w:spacing w:line="360" w:lineRule="auto"/>
              <w:jc w:val="left"/>
              <w:rPr>
                <w:rFonts w:ascii="宋体" w:hAnsi="宋体" w:cs="宋体"/>
                <w:bCs/>
                <w:color w:val="auto"/>
                <w:szCs w:val="21"/>
                <w:highlight w:val="none"/>
              </w:rPr>
            </w:pPr>
            <w:r>
              <w:rPr>
                <w:rFonts w:hint="eastAsia" w:ascii="宋体" w:hAnsi="宋体" w:cs="宋体"/>
                <w:color w:val="auto"/>
                <w:szCs w:val="21"/>
                <w:highlight w:val="none"/>
              </w:rPr>
              <w:t>2.除招标文件规定必须提供以外，投标人需要说明的其他文件和说明（如有则提供）（投标人根据“第二章 采购需求”及“第四章 评标方法及评标标准”提供有关证明材料）。</w:t>
            </w:r>
          </w:p>
          <w:p w14:paraId="3180B34C">
            <w:pPr>
              <w:snapToGrid w:val="0"/>
              <w:spacing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注：以上标明“必须提供”的材料属于复印件的，必须加盖投标人公章，否则按无效投标</w:t>
            </w:r>
            <w:r>
              <w:rPr>
                <w:rFonts w:hint="eastAsia" w:ascii="宋体" w:hAnsi="宋体" w:cs="宋体"/>
                <w:b/>
                <w:color w:val="auto"/>
                <w:szCs w:val="21"/>
                <w:highlight w:val="none"/>
              </w:rPr>
              <w:t>处理</w:t>
            </w:r>
            <w:r>
              <w:rPr>
                <w:rFonts w:hint="eastAsia" w:ascii="宋体" w:hAnsi="宋体" w:cs="宋体"/>
                <w:b/>
                <w:bCs/>
                <w:color w:val="auto"/>
                <w:szCs w:val="21"/>
                <w:highlight w:val="none"/>
              </w:rPr>
              <w:t>。</w:t>
            </w:r>
          </w:p>
        </w:tc>
      </w:tr>
      <w:tr w14:paraId="2DC92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4CFE1561">
            <w:pPr>
              <w:spacing w:line="360" w:lineRule="auto"/>
              <w:rPr>
                <w:rFonts w:ascii="宋体" w:hAnsi="宋体" w:cs="宋体"/>
                <w:color w:val="auto"/>
                <w:szCs w:val="21"/>
                <w:highlight w:val="none"/>
              </w:rPr>
            </w:pPr>
            <w:bookmarkStart w:id="54" w:name="_13.5"/>
            <w:bookmarkEnd w:id="54"/>
            <w:bookmarkStart w:id="55" w:name="_16.2"/>
            <w:bookmarkEnd w:id="55"/>
            <w:r>
              <w:rPr>
                <w:rFonts w:hint="eastAsia" w:ascii="宋体" w:hAnsi="宋体" w:cs="宋体"/>
                <w:color w:val="auto"/>
                <w:szCs w:val="21"/>
                <w:highlight w:val="none"/>
              </w:rPr>
              <w:t>16</w:t>
            </w:r>
            <w:bookmarkStart w:id="56" w:name="_Hlt19693759"/>
            <w:bookmarkStart w:id="57" w:name="_Hlt19693758"/>
            <w:bookmarkStart w:id="58" w:name="_Hlt19194067"/>
            <w:bookmarkStart w:id="59" w:name="_Hlt19194066"/>
            <w:r>
              <w:rPr>
                <w:rFonts w:hint="eastAsia" w:ascii="宋体" w:hAnsi="宋体" w:cs="宋体"/>
                <w:color w:val="auto"/>
                <w:szCs w:val="21"/>
                <w:highlight w:val="none"/>
              </w:rPr>
              <w:t>.</w:t>
            </w:r>
            <w:bookmarkEnd w:id="56"/>
            <w:bookmarkEnd w:id="57"/>
            <w:bookmarkEnd w:id="58"/>
            <w:bookmarkEnd w:id="59"/>
            <w:r>
              <w:rPr>
                <w:rFonts w:hint="eastAsia" w:ascii="宋体" w:hAnsi="宋体" w:cs="宋体"/>
                <w:color w:val="auto"/>
                <w:szCs w:val="21"/>
                <w:highlight w:val="none"/>
              </w:rPr>
              <w:t>2</w:t>
            </w:r>
          </w:p>
        </w:tc>
        <w:tc>
          <w:tcPr>
            <w:tcW w:w="8175" w:type="dxa"/>
            <w:tcBorders>
              <w:top w:val="single" w:color="auto" w:sz="4" w:space="0"/>
              <w:left w:val="single" w:color="auto" w:sz="4" w:space="0"/>
              <w:bottom w:val="single" w:color="auto" w:sz="4" w:space="0"/>
              <w:right w:val="single" w:color="auto" w:sz="4" w:space="0"/>
            </w:tcBorders>
            <w:vAlign w:val="center"/>
          </w:tcPr>
          <w:p w14:paraId="285D5DA3">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投标报价为采购人指定地点的现场交货价，包括：</w:t>
            </w:r>
          </w:p>
          <w:p w14:paraId="7038D28A">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（1）货物的价格：包括货款、杂配件、安装调试费、验收费，信息系统接入费；</w:t>
            </w:r>
          </w:p>
          <w:p w14:paraId="047AEE4F">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（2）货物的标准附件、备品备件、专用工具的价格。</w:t>
            </w:r>
          </w:p>
          <w:p w14:paraId="564E666D">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（3）运输、装卸、调试、培训、技术支持、售后服务费。</w:t>
            </w:r>
          </w:p>
          <w:p w14:paraId="341EA11D">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（4）采购代理服务费、保险费和各项税金。</w:t>
            </w:r>
          </w:p>
          <w:p w14:paraId="4387589F">
            <w:pPr>
              <w:snapToGrid w:val="0"/>
              <w:spacing w:line="360" w:lineRule="auto"/>
              <w:rPr>
                <w:rFonts w:ascii="宋体" w:hAnsi="宋体" w:cs="宋体"/>
                <w:b/>
                <w:i/>
                <w:color w:val="auto"/>
                <w:szCs w:val="21"/>
                <w:highlight w:val="none"/>
              </w:rPr>
            </w:pPr>
            <w:r>
              <w:rPr>
                <w:rFonts w:hint="eastAsia" w:ascii="宋体" w:hAnsi="宋体" w:cs="宋体"/>
                <w:color w:val="auto"/>
                <w:kern w:val="0"/>
                <w:szCs w:val="21"/>
                <w:highlight w:val="none"/>
              </w:rPr>
              <w:t>注：投标人自行考虑完成项目所需的辅材、杂配件等数量，投标报价中应包含全部内容，中标后采购人不再另行支付额外费用。</w:t>
            </w:r>
          </w:p>
        </w:tc>
      </w:tr>
      <w:tr w14:paraId="7A0456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024044B3">
            <w:pPr>
              <w:spacing w:line="360" w:lineRule="auto"/>
              <w:rPr>
                <w:rFonts w:ascii="宋体" w:hAnsi="宋体" w:cs="宋体"/>
                <w:color w:val="auto"/>
                <w:szCs w:val="21"/>
                <w:highlight w:val="none"/>
              </w:rPr>
            </w:pPr>
            <w:bookmarkStart w:id="60" w:name="_17.1"/>
            <w:bookmarkEnd w:id="60"/>
            <w:r>
              <w:rPr>
                <w:rFonts w:hint="eastAsia" w:ascii="宋体" w:hAnsi="宋体" w:cs="宋体"/>
                <w:color w:val="auto"/>
                <w:szCs w:val="21"/>
                <w:highlight w:val="none"/>
              </w:rPr>
              <w:t>17.2</w:t>
            </w:r>
          </w:p>
        </w:tc>
        <w:tc>
          <w:tcPr>
            <w:tcW w:w="8175" w:type="dxa"/>
            <w:tcBorders>
              <w:top w:val="single" w:color="auto" w:sz="4" w:space="0"/>
              <w:left w:val="single" w:color="auto" w:sz="4" w:space="0"/>
              <w:bottom w:val="single" w:color="auto" w:sz="4" w:space="0"/>
              <w:right w:val="single" w:color="auto" w:sz="4" w:space="0"/>
            </w:tcBorders>
            <w:vAlign w:val="center"/>
          </w:tcPr>
          <w:p w14:paraId="4DC26829">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投标有效期：自投标截止之日起</w:t>
            </w:r>
            <w:r>
              <w:rPr>
                <w:rFonts w:hint="eastAsia" w:ascii="宋体" w:hAnsi="宋体" w:cs="宋体"/>
                <w:color w:val="auto"/>
                <w:szCs w:val="21"/>
                <w:highlight w:val="none"/>
                <w:u w:val="single"/>
              </w:rPr>
              <w:t>120</w:t>
            </w:r>
            <w:r>
              <w:rPr>
                <w:rFonts w:hint="eastAsia" w:ascii="宋体" w:hAnsi="宋体" w:cs="宋体"/>
                <w:color w:val="auto"/>
                <w:szCs w:val="21"/>
                <w:highlight w:val="none"/>
              </w:rPr>
              <w:t>日。</w:t>
            </w:r>
          </w:p>
        </w:tc>
      </w:tr>
      <w:tr w14:paraId="2FD719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532B4D34">
            <w:pPr>
              <w:spacing w:line="360" w:lineRule="auto"/>
              <w:rPr>
                <w:rFonts w:ascii="宋体" w:hAnsi="宋体" w:cs="宋体"/>
                <w:color w:val="auto"/>
                <w:szCs w:val="21"/>
                <w:highlight w:val="none"/>
              </w:rPr>
            </w:pPr>
            <w:bookmarkStart w:id="61" w:name="_18"/>
            <w:bookmarkEnd w:id="61"/>
            <w:r>
              <w:rPr>
                <w:rFonts w:hint="eastAsia" w:ascii="宋体" w:hAnsi="宋体" w:cs="宋体"/>
                <w:color w:val="auto"/>
                <w:szCs w:val="21"/>
                <w:highlight w:val="none"/>
              </w:rPr>
              <w:t>18.1</w:t>
            </w:r>
          </w:p>
        </w:tc>
        <w:tc>
          <w:tcPr>
            <w:tcW w:w="8175" w:type="dxa"/>
            <w:tcBorders>
              <w:top w:val="single" w:color="auto" w:sz="4" w:space="0"/>
              <w:left w:val="single" w:color="auto" w:sz="4" w:space="0"/>
              <w:bottom w:val="single" w:color="auto" w:sz="4" w:space="0"/>
              <w:right w:val="single" w:color="auto" w:sz="4" w:space="0"/>
            </w:tcBorders>
            <w:vAlign w:val="center"/>
          </w:tcPr>
          <w:p w14:paraId="512E9F88">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□本项目不收取投标保证金。</w:t>
            </w:r>
          </w:p>
          <w:p w14:paraId="361F4D8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☑本项目收取投标保证金，具体规定如下：</w:t>
            </w:r>
          </w:p>
          <w:p w14:paraId="75037B38">
            <w:pPr>
              <w:snapToGrid w:val="0"/>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1分标投标保证金人民币</w:t>
            </w:r>
            <w:r>
              <w:rPr>
                <w:rFonts w:hint="eastAsia" w:ascii="宋体" w:hAnsi="宋体" w:cs="宋体"/>
                <w:color w:val="auto"/>
                <w:kern w:val="0"/>
                <w:szCs w:val="21"/>
                <w:highlight w:val="none"/>
                <w:u w:val="single"/>
                <w:lang w:val="en-US" w:eastAsia="zh-CN"/>
              </w:rPr>
              <w:t>21</w:t>
            </w:r>
            <w:r>
              <w:rPr>
                <w:rFonts w:hint="eastAsia" w:ascii="宋体" w:hAnsi="宋体" w:cs="宋体"/>
                <w:color w:val="auto"/>
                <w:kern w:val="0"/>
                <w:szCs w:val="21"/>
                <w:highlight w:val="none"/>
                <w:u w:val="single"/>
              </w:rPr>
              <w:t>000</w:t>
            </w:r>
            <w:r>
              <w:rPr>
                <w:rFonts w:hint="eastAsia" w:ascii="宋体" w:hAnsi="宋体" w:cs="宋体"/>
                <w:color w:val="auto"/>
                <w:kern w:val="0"/>
                <w:szCs w:val="21"/>
                <w:highlight w:val="none"/>
              </w:rPr>
              <w:t>元，2分标投标保证金人民币</w:t>
            </w:r>
            <w:r>
              <w:rPr>
                <w:rFonts w:hint="eastAsia" w:ascii="宋体" w:hAnsi="宋体" w:cs="宋体"/>
                <w:color w:val="auto"/>
                <w:kern w:val="0"/>
                <w:szCs w:val="21"/>
                <w:highlight w:val="none"/>
                <w:u w:val="single"/>
                <w:lang w:val="en-US" w:eastAsia="zh-CN"/>
              </w:rPr>
              <w:t>13</w:t>
            </w:r>
            <w:r>
              <w:rPr>
                <w:rFonts w:hint="eastAsia" w:ascii="宋体" w:hAnsi="宋体" w:cs="宋体"/>
                <w:color w:val="auto"/>
                <w:kern w:val="0"/>
                <w:szCs w:val="21"/>
                <w:highlight w:val="none"/>
                <w:u w:val="single"/>
              </w:rPr>
              <w:t>000</w:t>
            </w:r>
            <w:r>
              <w:rPr>
                <w:rFonts w:hint="eastAsia" w:ascii="宋体" w:hAnsi="宋体" w:cs="宋体"/>
                <w:color w:val="auto"/>
                <w:kern w:val="0"/>
                <w:szCs w:val="21"/>
                <w:highlight w:val="none"/>
              </w:rPr>
              <w:t>元</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分标投标保证金人民币</w:t>
            </w:r>
            <w:r>
              <w:rPr>
                <w:rFonts w:hint="eastAsia" w:ascii="宋体" w:hAnsi="宋体" w:cs="宋体"/>
                <w:color w:val="auto"/>
                <w:kern w:val="0"/>
                <w:szCs w:val="21"/>
                <w:highlight w:val="none"/>
                <w:u w:val="single"/>
                <w:lang w:val="en-US" w:eastAsia="zh-CN"/>
              </w:rPr>
              <w:t>110</w:t>
            </w:r>
            <w:r>
              <w:rPr>
                <w:rFonts w:hint="eastAsia" w:ascii="宋体" w:hAnsi="宋体" w:cs="宋体"/>
                <w:color w:val="auto"/>
                <w:kern w:val="0"/>
                <w:szCs w:val="21"/>
                <w:highlight w:val="none"/>
                <w:u w:val="single"/>
                <w:lang w:eastAsia="zh-CN"/>
              </w:rPr>
              <w:t>00</w:t>
            </w:r>
            <w:r>
              <w:rPr>
                <w:rFonts w:hint="eastAsia" w:ascii="宋体" w:hAnsi="宋体" w:cs="宋体"/>
                <w:color w:val="auto"/>
                <w:kern w:val="0"/>
                <w:szCs w:val="21"/>
                <w:highlight w:val="none"/>
                <w:lang w:eastAsia="zh-CN"/>
              </w:rPr>
              <w:t>元，</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lang w:eastAsia="zh-CN"/>
              </w:rPr>
              <w:t>分标投标保证金人民</w:t>
            </w:r>
            <w:r>
              <w:rPr>
                <w:rFonts w:hint="eastAsia" w:ascii="宋体" w:hAnsi="宋体" w:cs="宋体"/>
                <w:color w:val="auto"/>
                <w:kern w:val="0"/>
                <w:szCs w:val="21"/>
                <w:highlight w:val="none"/>
                <w:u w:val="none"/>
                <w:lang w:eastAsia="zh-CN"/>
              </w:rPr>
              <w:t>币</w:t>
            </w:r>
            <w:r>
              <w:rPr>
                <w:rFonts w:hint="eastAsia" w:ascii="宋体" w:hAnsi="宋体" w:cs="宋体"/>
                <w:color w:val="auto"/>
                <w:kern w:val="0"/>
                <w:szCs w:val="21"/>
                <w:highlight w:val="none"/>
                <w:u w:val="single"/>
                <w:lang w:val="en-US" w:eastAsia="zh-CN"/>
              </w:rPr>
              <w:t>48</w:t>
            </w:r>
            <w:r>
              <w:rPr>
                <w:rFonts w:hint="eastAsia" w:ascii="宋体" w:hAnsi="宋体" w:cs="宋体"/>
                <w:color w:val="auto"/>
                <w:kern w:val="0"/>
                <w:szCs w:val="21"/>
                <w:highlight w:val="none"/>
                <w:u w:val="single"/>
                <w:lang w:eastAsia="zh-CN"/>
              </w:rPr>
              <w:t>00</w:t>
            </w:r>
            <w:r>
              <w:rPr>
                <w:rFonts w:hint="eastAsia" w:ascii="宋体" w:hAnsi="宋体" w:cs="宋体"/>
                <w:color w:val="auto"/>
                <w:kern w:val="0"/>
                <w:szCs w:val="21"/>
                <w:highlight w:val="none"/>
                <w:lang w:eastAsia="zh-CN"/>
              </w:rPr>
              <w:t>元</w:t>
            </w:r>
            <w:r>
              <w:rPr>
                <w:rFonts w:hint="eastAsia" w:ascii="宋体" w:hAnsi="宋体" w:cs="宋体"/>
                <w:color w:val="auto"/>
                <w:kern w:val="0"/>
                <w:szCs w:val="21"/>
                <w:highlight w:val="none"/>
              </w:rPr>
              <w:t>。</w:t>
            </w:r>
          </w:p>
          <w:p w14:paraId="48794E0F">
            <w:pPr>
              <w:snapToGrid w:val="0"/>
              <w:spacing w:line="360" w:lineRule="auto"/>
              <w:rPr>
                <w:rFonts w:ascii="宋体" w:hAnsi="宋体" w:cs="宋体"/>
                <w:color w:val="auto"/>
                <w:szCs w:val="21"/>
                <w:highlight w:val="none"/>
              </w:rPr>
            </w:pPr>
            <w:r>
              <w:rPr>
                <w:rFonts w:hint="eastAsia" w:ascii="宋体" w:hAnsi="宋体" w:cs="宋体"/>
                <w:color w:val="auto"/>
                <w:kern w:val="0"/>
                <w:szCs w:val="21"/>
                <w:highlight w:val="none"/>
              </w:rPr>
              <w:t>【开户名称:苍梧县人民医院</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开户银行：中国银行梧州市龙城支行，银行账号：618457496636】。投标保证金的交纳方式：银行转账、支票、汇票、本票或者银行、保险机构出具的保函，禁止采用现钞方式。采用银行转账方式的，在投标截止时间前交至指定账户并且到账；采用支票、汇票、本票或者保函等方式的，在投标截止时间前，投标人必须递交单独密封的支票、汇票、本票或者保函原件。否则视为无效投标保证金。</w:t>
            </w:r>
          </w:p>
          <w:p w14:paraId="58D89A03">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相关要求：</w:t>
            </w:r>
          </w:p>
          <w:p w14:paraId="400A4615">
            <w:pPr>
              <w:pStyle w:val="16"/>
              <w:spacing w:line="360" w:lineRule="auto"/>
              <w:rPr>
                <w:rFonts w:ascii="宋体" w:hAnsi="宋体" w:cs="宋体"/>
                <w:color w:val="auto"/>
                <w:szCs w:val="21"/>
                <w:highlight w:val="none"/>
              </w:rPr>
            </w:pPr>
            <w:r>
              <w:rPr>
                <w:rFonts w:hint="eastAsia" w:ascii="宋体" w:hAnsi="宋体" w:cs="宋体"/>
                <w:color w:val="auto"/>
                <w:szCs w:val="21"/>
                <w:highlight w:val="none"/>
              </w:rPr>
              <w:t>1.投标保证金采用银行转账交纳方式的，在投标截止时间前交至指定账户并且到账，投标人应将银行转账底单的复印件作为投标保证金提交凭证，放置于商务文件中，</w:t>
            </w:r>
            <w:r>
              <w:rPr>
                <w:rFonts w:hint="eastAsia" w:ascii="宋体" w:hAnsi="宋体" w:cs="宋体"/>
                <w:b/>
                <w:color w:val="auto"/>
                <w:szCs w:val="21"/>
                <w:highlight w:val="none"/>
              </w:rPr>
              <w:t>否则投标无效</w:t>
            </w:r>
            <w:r>
              <w:rPr>
                <w:rFonts w:hint="eastAsia" w:ascii="宋体" w:hAnsi="宋体" w:cs="宋体"/>
                <w:color w:val="auto"/>
                <w:szCs w:val="21"/>
                <w:highlight w:val="none"/>
              </w:rPr>
              <w:t>。</w:t>
            </w:r>
          </w:p>
          <w:p w14:paraId="5C77FEC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2.投标保证金采用支票、汇票、本票或者银行、保险机构出具的保函交纳方式的，投标人应将支票、汇票、本票或者银行、保险机构出具的保函的复印件作为投标保证金提交凭证，放置于商务文件中，</w:t>
            </w:r>
            <w:r>
              <w:rPr>
                <w:rFonts w:hint="eastAsia" w:ascii="宋体" w:hAnsi="宋体" w:cs="宋体"/>
                <w:b/>
                <w:color w:val="auto"/>
                <w:szCs w:val="21"/>
                <w:highlight w:val="none"/>
              </w:rPr>
              <w:t>否则投标无效</w:t>
            </w:r>
            <w:r>
              <w:rPr>
                <w:rFonts w:hint="eastAsia" w:ascii="宋体" w:hAnsi="宋体" w:cs="宋体"/>
                <w:color w:val="auto"/>
                <w:szCs w:val="21"/>
                <w:highlight w:val="none"/>
              </w:rPr>
              <w:t>。投标人必须</w:t>
            </w:r>
            <w:r>
              <w:rPr>
                <w:rFonts w:hint="eastAsia" w:ascii="宋体" w:hAnsi="宋体" w:cs="宋体"/>
                <w:color w:val="auto"/>
                <w:highlight w:val="none"/>
              </w:rPr>
              <w:t>在投标截止时间前采用现场递交方式（现场提交地址：</w:t>
            </w:r>
            <w:r>
              <w:rPr>
                <w:rFonts w:hint="eastAsia" w:ascii="宋体" w:hAnsi="宋体" w:cs="宋体"/>
                <w:color w:val="auto"/>
                <w:highlight w:val="none"/>
                <w:u w:val="single"/>
              </w:rPr>
              <w:t>梧州市长洲区舜帝大道西段1号A6第14幢2号独立交易展示位</w:t>
            </w:r>
            <w:r>
              <w:rPr>
                <w:rFonts w:hint="eastAsia" w:ascii="宋体" w:hAnsi="宋体" w:cs="宋体"/>
                <w:color w:val="auto"/>
                <w:highlight w:val="none"/>
              </w:rPr>
              <w:t>；邮寄地址：</w:t>
            </w:r>
            <w:r>
              <w:rPr>
                <w:rFonts w:hint="eastAsia" w:ascii="宋体" w:hAnsi="宋体" w:cs="宋体"/>
                <w:color w:val="auto"/>
                <w:highlight w:val="none"/>
                <w:u w:val="single"/>
              </w:rPr>
              <w:t>梧州市长洲区舜帝大道西段1号A6第14幢2号独立交易展示位</w:t>
            </w:r>
            <w:r>
              <w:rPr>
                <w:rFonts w:hint="eastAsia" w:ascii="宋体" w:hAnsi="宋体" w:cs="宋体"/>
                <w:color w:val="auto"/>
                <w:highlight w:val="none"/>
              </w:rPr>
              <w:t>，收件人：</w:t>
            </w:r>
            <w:r>
              <w:rPr>
                <w:rFonts w:hint="eastAsia" w:ascii="宋体" w:hAnsi="宋体" w:cs="宋体"/>
                <w:color w:val="auto"/>
                <w:highlight w:val="none"/>
                <w:u w:val="single"/>
                <w:lang w:eastAsia="zh-CN"/>
              </w:rPr>
              <w:t>吴工</w:t>
            </w:r>
            <w:r>
              <w:rPr>
                <w:rFonts w:hint="eastAsia" w:ascii="宋体" w:hAnsi="宋体" w:cs="宋体"/>
                <w:color w:val="auto"/>
                <w:highlight w:val="none"/>
              </w:rPr>
              <w:t>，联系方式：</w:t>
            </w:r>
            <w:r>
              <w:rPr>
                <w:rFonts w:hint="eastAsia" w:ascii="宋体" w:hAnsi="宋体" w:cs="宋体"/>
                <w:color w:val="auto"/>
                <w:highlight w:val="none"/>
                <w:u w:val="single"/>
              </w:rPr>
              <w:t>0774-2028010</w:t>
            </w:r>
            <w:r>
              <w:rPr>
                <w:rFonts w:hint="eastAsia" w:ascii="宋体" w:hAnsi="宋体" w:cs="宋体"/>
                <w:color w:val="auto"/>
                <w:highlight w:val="none"/>
              </w:rPr>
              <w:t>）</w:t>
            </w:r>
            <w:r>
              <w:rPr>
                <w:rFonts w:hint="eastAsia" w:ascii="宋体" w:hAnsi="宋体" w:cs="宋体"/>
                <w:color w:val="auto"/>
                <w:szCs w:val="21"/>
                <w:highlight w:val="none"/>
              </w:rPr>
              <w:t>将</w:t>
            </w:r>
            <w:r>
              <w:rPr>
                <w:rFonts w:hint="eastAsia" w:ascii="宋体" w:hAnsi="宋体" w:cs="宋体"/>
                <w:color w:val="auto"/>
                <w:kern w:val="0"/>
                <w:szCs w:val="21"/>
                <w:highlight w:val="none"/>
              </w:rPr>
              <w:t>单独密封的</w:t>
            </w:r>
            <w:r>
              <w:rPr>
                <w:rFonts w:hint="eastAsia" w:ascii="宋体" w:hAnsi="宋体" w:cs="宋体"/>
                <w:color w:val="auto"/>
                <w:szCs w:val="21"/>
                <w:highlight w:val="none"/>
              </w:rPr>
              <w:t>支票、汇票、本票或者银行、保险机构出具的保函原件提交给采购人或者采购代理机构，由采购人或者采购代理机构向投标人出具回执（邮寄方式的除外），并妥善保管。</w:t>
            </w:r>
          </w:p>
          <w:p w14:paraId="07E80414">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备注： </w:t>
            </w:r>
          </w:p>
          <w:p w14:paraId="02D79221">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1. 投标保证金在投标截止时间后提交的，或者不按规定交纳方式交纳的，或者未足额交纳的（包含保函额度不足的），视为无效投标保证金。</w:t>
            </w:r>
          </w:p>
          <w:p w14:paraId="5BDFD1BE">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2.投标人采用现钞方式或者从个人账户（自然人投标除外）转出的投标保证金，视为无效投标保证金。</w:t>
            </w:r>
          </w:p>
          <w:p w14:paraId="028848D5">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3.支票、汇票或者本票出现无效或者背书情形的，视为无效投标保证金。</w:t>
            </w:r>
          </w:p>
          <w:p w14:paraId="2E931623">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4.保函有效期低于投标有效期的，视为无效投标保证金。</w:t>
            </w:r>
          </w:p>
          <w:p w14:paraId="0FAECEAF">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5.采用银行、保险机构出具保函的，必须为无条件保函，否则视为无效投标保证金。</w:t>
            </w:r>
          </w:p>
          <w:p w14:paraId="2C3AC24E">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6.政采云平台暂未支持电子保函功能，故本项目暂不接受电子保函形式的保证金。</w:t>
            </w:r>
          </w:p>
        </w:tc>
      </w:tr>
      <w:tr w14:paraId="0CFF08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978" w:type="dxa"/>
            <w:tcBorders>
              <w:top w:val="single" w:color="auto" w:sz="4" w:space="0"/>
              <w:left w:val="single" w:color="auto" w:sz="4" w:space="0"/>
              <w:bottom w:val="single" w:color="auto" w:sz="4" w:space="0"/>
              <w:right w:val="single" w:color="auto" w:sz="4" w:space="0"/>
            </w:tcBorders>
            <w:vAlign w:val="center"/>
          </w:tcPr>
          <w:p w14:paraId="26B386A9">
            <w:pPr>
              <w:spacing w:line="360" w:lineRule="auto"/>
              <w:jc w:val="center"/>
              <w:rPr>
                <w:rFonts w:ascii="宋体" w:hAnsi="宋体" w:cs="宋体"/>
                <w:color w:val="auto"/>
                <w:szCs w:val="21"/>
                <w:highlight w:val="none"/>
              </w:rPr>
            </w:pPr>
            <w:bookmarkStart w:id="62" w:name="_19.2"/>
            <w:bookmarkEnd w:id="62"/>
            <w:bookmarkStart w:id="63" w:name="_21.1"/>
            <w:bookmarkEnd w:id="63"/>
            <w:r>
              <w:rPr>
                <w:rFonts w:hint="eastAsia" w:ascii="宋体" w:hAnsi="宋体" w:cs="宋体"/>
                <w:color w:val="auto"/>
                <w:szCs w:val="21"/>
                <w:highlight w:val="none"/>
              </w:rPr>
              <w:t>20</w:t>
            </w:r>
          </w:p>
        </w:tc>
        <w:tc>
          <w:tcPr>
            <w:tcW w:w="8175" w:type="dxa"/>
            <w:tcBorders>
              <w:top w:val="single" w:color="auto" w:sz="4" w:space="0"/>
              <w:left w:val="single" w:color="auto" w:sz="4" w:space="0"/>
              <w:bottom w:val="single" w:color="auto" w:sz="4" w:space="0"/>
              <w:right w:val="single" w:color="auto" w:sz="4" w:space="0"/>
            </w:tcBorders>
            <w:vAlign w:val="center"/>
          </w:tcPr>
          <w:p w14:paraId="2FE491E2">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本项目不接受</w:t>
            </w:r>
            <w:r>
              <w:rPr>
                <w:rFonts w:hint="eastAsia" w:ascii="宋体" w:hAnsi="宋体" w:cs="宋体"/>
                <w:color w:val="auto"/>
                <w:highlight w:val="none"/>
              </w:rPr>
              <w:t>电子</w:t>
            </w:r>
            <w:r>
              <w:rPr>
                <w:rFonts w:hint="eastAsia" w:ascii="宋体" w:hAnsi="宋体" w:cs="宋体"/>
                <w:color w:val="auto"/>
                <w:szCs w:val="21"/>
                <w:highlight w:val="none"/>
              </w:rPr>
              <w:t>备份投标文件</w:t>
            </w:r>
          </w:p>
        </w:tc>
      </w:tr>
      <w:tr w14:paraId="63D40A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78" w:type="dxa"/>
            <w:tcBorders>
              <w:top w:val="single" w:color="auto" w:sz="4" w:space="0"/>
              <w:left w:val="single" w:color="auto" w:sz="4" w:space="0"/>
              <w:bottom w:val="single" w:color="auto" w:sz="4" w:space="0"/>
              <w:right w:val="single" w:color="auto" w:sz="4" w:space="0"/>
            </w:tcBorders>
            <w:vAlign w:val="center"/>
          </w:tcPr>
          <w:p w14:paraId="4D8DB0D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21.1</w:t>
            </w:r>
          </w:p>
        </w:tc>
        <w:tc>
          <w:tcPr>
            <w:tcW w:w="8175" w:type="dxa"/>
            <w:tcBorders>
              <w:top w:val="single" w:color="auto" w:sz="4" w:space="0"/>
              <w:left w:val="single" w:color="auto" w:sz="4" w:space="0"/>
              <w:bottom w:val="single" w:color="auto" w:sz="4" w:space="0"/>
              <w:right w:val="single" w:color="auto" w:sz="4" w:space="0"/>
            </w:tcBorders>
            <w:vAlign w:val="center"/>
          </w:tcPr>
          <w:p w14:paraId="07F13615">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1.投标文件提交截止时间：详见招标公告</w:t>
            </w:r>
          </w:p>
          <w:p w14:paraId="798BC92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2.投标地点：详见招标公告</w:t>
            </w:r>
          </w:p>
        </w:tc>
      </w:tr>
      <w:tr w14:paraId="197ADE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10D06966">
            <w:pPr>
              <w:spacing w:line="360" w:lineRule="auto"/>
              <w:jc w:val="center"/>
              <w:rPr>
                <w:rFonts w:ascii="宋体" w:hAnsi="宋体" w:cs="宋体"/>
                <w:color w:val="auto"/>
                <w:szCs w:val="21"/>
                <w:highlight w:val="none"/>
              </w:rPr>
            </w:pPr>
            <w:bookmarkStart w:id="64" w:name="_23"/>
            <w:bookmarkEnd w:id="64"/>
            <w:r>
              <w:rPr>
                <w:rFonts w:hint="eastAsia" w:ascii="宋体" w:hAnsi="宋体" w:cs="宋体"/>
                <w:color w:val="auto"/>
                <w:szCs w:val="21"/>
                <w:highlight w:val="none"/>
              </w:rPr>
              <w:t>23</w:t>
            </w:r>
          </w:p>
        </w:tc>
        <w:tc>
          <w:tcPr>
            <w:tcW w:w="8175" w:type="dxa"/>
            <w:tcBorders>
              <w:top w:val="single" w:color="auto" w:sz="4" w:space="0"/>
              <w:left w:val="single" w:color="auto" w:sz="4" w:space="0"/>
              <w:bottom w:val="single" w:color="auto" w:sz="4" w:space="0"/>
              <w:right w:val="single" w:color="auto" w:sz="4" w:space="0"/>
            </w:tcBorders>
            <w:vAlign w:val="center"/>
          </w:tcPr>
          <w:p w14:paraId="34098542">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1.开标时间：详见招标公告</w:t>
            </w:r>
          </w:p>
          <w:p w14:paraId="1AD7B7D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2.开标地点：详见招标公告</w:t>
            </w:r>
          </w:p>
        </w:tc>
      </w:tr>
      <w:tr w14:paraId="26E844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0F6BD3B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24.3（1）</w:t>
            </w:r>
          </w:p>
        </w:tc>
        <w:tc>
          <w:tcPr>
            <w:tcW w:w="8175" w:type="dxa"/>
            <w:tcBorders>
              <w:top w:val="single" w:color="auto" w:sz="4" w:space="0"/>
              <w:left w:val="single" w:color="auto" w:sz="4" w:space="0"/>
              <w:bottom w:val="single" w:color="auto" w:sz="4" w:space="0"/>
              <w:right w:val="single" w:color="auto" w:sz="4" w:space="0"/>
            </w:tcBorders>
            <w:vAlign w:val="center"/>
          </w:tcPr>
          <w:p w14:paraId="50CE9048">
            <w:pPr>
              <w:snapToGrid w:val="0"/>
              <w:spacing w:line="360" w:lineRule="auto"/>
              <w:rPr>
                <w:rFonts w:ascii="宋体" w:hAnsi="宋体" w:cs="宋体"/>
                <w:color w:val="auto"/>
                <w:szCs w:val="21"/>
                <w:highlight w:val="none"/>
              </w:rPr>
            </w:pPr>
            <w:r>
              <w:rPr>
                <w:rFonts w:hint="eastAsia" w:ascii="宋体" w:hAnsi="宋体" w:cs="宋体"/>
                <w:color w:val="auto"/>
                <w:highlight w:val="none"/>
              </w:rPr>
              <w:t>电子投标文件解密时间：</w:t>
            </w:r>
            <w:r>
              <w:rPr>
                <w:rFonts w:hint="eastAsia" w:ascii="宋体" w:hAnsi="宋体" w:cs="宋体"/>
                <w:color w:val="auto"/>
                <w:highlight w:val="none"/>
                <w:u w:val="single"/>
              </w:rPr>
              <w:t xml:space="preserve">30 </w:t>
            </w:r>
            <w:r>
              <w:rPr>
                <w:rFonts w:hint="eastAsia" w:ascii="宋体" w:hAnsi="宋体" w:cs="宋体"/>
                <w:color w:val="auto"/>
                <w:highlight w:val="none"/>
              </w:rPr>
              <w:t>分钟</w:t>
            </w:r>
          </w:p>
        </w:tc>
      </w:tr>
      <w:tr w14:paraId="677E32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544F7432">
            <w:pPr>
              <w:spacing w:line="360" w:lineRule="auto"/>
              <w:jc w:val="center"/>
              <w:rPr>
                <w:rFonts w:ascii="宋体" w:hAnsi="宋体" w:cs="宋体"/>
                <w:color w:val="auto"/>
                <w:szCs w:val="21"/>
                <w:highlight w:val="none"/>
              </w:rPr>
            </w:pPr>
            <w:bookmarkStart w:id="65" w:name="_25.3"/>
            <w:bookmarkEnd w:id="65"/>
            <w:r>
              <w:rPr>
                <w:rFonts w:hint="eastAsia" w:ascii="宋体" w:hAnsi="宋体" w:cs="宋体"/>
                <w:color w:val="auto"/>
                <w:szCs w:val="21"/>
                <w:highlight w:val="none"/>
              </w:rPr>
              <w:t>25.3（2）</w:t>
            </w:r>
          </w:p>
        </w:tc>
        <w:tc>
          <w:tcPr>
            <w:tcW w:w="8175" w:type="dxa"/>
            <w:tcBorders>
              <w:top w:val="single" w:color="auto" w:sz="4" w:space="0"/>
              <w:left w:val="single" w:color="auto" w:sz="4" w:space="0"/>
              <w:bottom w:val="single" w:color="auto" w:sz="4" w:space="0"/>
              <w:right w:val="single" w:color="auto" w:sz="4" w:space="0"/>
            </w:tcBorders>
            <w:vAlign w:val="center"/>
          </w:tcPr>
          <w:p w14:paraId="5B2EDD5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采购人或者采购代理机构在资格审查结束前，对投标人进行信用查询。</w:t>
            </w:r>
          </w:p>
          <w:p w14:paraId="5C8FE06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查询渠道：“信用中国”网站（www.creditchina.gov.cn） 、中国政府采购网（www.ccgp.gov.cn）。</w:t>
            </w:r>
          </w:p>
          <w:p w14:paraId="57E8859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信用查询截止时点：资格审查结束前</w:t>
            </w:r>
          </w:p>
          <w:p w14:paraId="13C25E2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查询记录和证据留存方式：在查询网站中直接截图查询记录，截图作为附件保存。</w:t>
            </w:r>
          </w:p>
          <w:p w14:paraId="125D81C0">
            <w:pPr>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w:t>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tc>
      </w:tr>
      <w:tr w14:paraId="36DCCE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3AD2121A">
            <w:pPr>
              <w:spacing w:line="360" w:lineRule="auto"/>
              <w:jc w:val="center"/>
              <w:rPr>
                <w:rFonts w:ascii="宋体" w:hAnsi="宋体" w:cs="宋体"/>
                <w:color w:val="auto"/>
                <w:szCs w:val="21"/>
                <w:highlight w:val="none"/>
              </w:rPr>
            </w:pPr>
            <w:bookmarkStart w:id="66" w:name="_26"/>
            <w:bookmarkEnd w:id="66"/>
            <w:r>
              <w:rPr>
                <w:rFonts w:hint="eastAsia" w:ascii="宋体" w:hAnsi="宋体" w:cs="宋体"/>
                <w:color w:val="auto"/>
                <w:szCs w:val="21"/>
                <w:highlight w:val="none"/>
              </w:rPr>
              <w:t>26.1</w:t>
            </w:r>
          </w:p>
        </w:tc>
        <w:tc>
          <w:tcPr>
            <w:tcW w:w="8175" w:type="dxa"/>
            <w:tcBorders>
              <w:top w:val="single" w:color="auto" w:sz="4" w:space="0"/>
              <w:left w:val="single" w:color="auto" w:sz="4" w:space="0"/>
              <w:bottom w:val="single" w:color="auto" w:sz="4" w:space="0"/>
              <w:right w:val="single" w:color="auto" w:sz="4" w:space="0"/>
            </w:tcBorders>
            <w:vAlign w:val="center"/>
          </w:tcPr>
          <w:p w14:paraId="19E3E816">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评标委员会的人数：</w:t>
            </w:r>
            <w:r>
              <w:rPr>
                <w:rFonts w:hint="eastAsia" w:ascii="宋体" w:hAnsi="宋体" w:cs="宋体"/>
                <w:color w:val="auto"/>
                <w:szCs w:val="21"/>
                <w:highlight w:val="none"/>
                <w:u w:val="single"/>
              </w:rPr>
              <w:t>5</w:t>
            </w:r>
            <w:r>
              <w:rPr>
                <w:rFonts w:hint="eastAsia" w:ascii="宋体" w:hAnsi="宋体" w:cs="宋体"/>
                <w:color w:val="auto"/>
                <w:szCs w:val="21"/>
                <w:highlight w:val="none"/>
              </w:rPr>
              <w:t>人</w:t>
            </w:r>
          </w:p>
        </w:tc>
      </w:tr>
      <w:tr w14:paraId="157040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2CC02DEC">
            <w:pPr>
              <w:spacing w:line="360" w:lineRule="auto"/>
              <w:jc w:val="center"/>
              <w:rPr>
                <w:rFonts w:ascii="宋体" w:hAnsi="宋体" w:cs="宋体"/>
                <w:color w:val="auto"/>
                <w:szCs w:val="21"/>
                <w:highlight w:val="none"/>
              </w:rPr>
            </w:pPr>
            <w:bookmarkStart w:id="67" w:name="_28.3"/>
            <w:bookmarkEnd w:id="67"/>
            <w:r>
              <w:rPr>
                <w:rFonts w:hint="eastAsia" w:ascii="宋体" w:hAnsi="宋体" w:cs="宋体"/>
                <w:color w:val="auto"/>
                <w:szCs w:val="21"/>
                <w:highlight w:val="none"/>
              </w:rPr>
              <w:t>29.1</w:t>
            </w:r>
          </w:p>
        </w:tc>
        <w:tc>
          <w:tcPr>
            <w:tcW w:w="8175" w:type="dxa"/>
            <w:tcBorders>
              <w:top w:val="single" w:color="auto" w:sz="4" w:space="0"/>
              <w:left w:val="single" w:color="auto" w:sz="4" w:space="0"/>
              <w:bottom w:val="single" w:color="auto" w:sz="4" w:space="0"/>
              <w:right w:val="single" w:color="auto" w:sz="4" w:space="0"/>
            </w:tcBorders>
            <w:vAlign w:val="center"/>
          </w:tcPr>
          <w:p w14:paraId="73A43C2D">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评标方法：</w:t>
            </w:r>
          </w:p>
          <w:p w14:paraId="1458E520">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☑综合评分法</w:t>
            </w:r>
          </w:p>
          <w:p w14:paraId="060B4FDE">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□最低评标报法</w:t>
            </w:r>
          </w:p>
        </w:tc>
      </w:tr>
      <w:tr w14:paraId="6B33F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78" w:type="dxa"/>
            <w:tcBorders>
              <w:top w:val="single" w:color="auto" w:sz="4" w:space="0"/>
              <w:left w:val="single" w:color="auto" w:sz="4" w:space="0"/>
              <w:bottom w:val="single" w:color="auto" w:sz="4" w:space="0"/>
              <w:right w:val="single" w:color="auto" w:sz="4" w:space="0"/>
            </w:tcBorders>
            <w:vAlign w:val="center"/>
          </w:tcPr>
          <w:p w14:paraId="56009F05">
            <w:pPr>
              <w:spacing w:line="360" w:lineRule="auto"/>
              <w:jc w:val="center"/>
              <w:rPr>
                <w:rFonts w:ascii="宋体" w:hAnsi="宋体" w:cs="宋体"/>
                <w:color w:val="auto"/>
                <w:szCs w:val="21"/>
                <w:highlight w:val="none"/>
              </w:rPr>
            </w:pPr>
            <w:bookmarkStart w:id="68" w:name="_29.2.2（2）"/>
            <w:bookmarkEnd w:id="68"/>
            <w:r>
              <w:rPr>
                <w:rFonts w:hint="eastAsia" w:ascii="宋体" w:hAnsi="宋体" w:cs="宋体"/>
                <w:color w:val="auto"/>
                <w:szCs w:val="21"/>
                <w:highlight w:val="none"/>
              </w:rPr>
              <w:t>29.2</w:t>
            </w:r>
          </w:p>
        </w:tc>
        <w:tc>
          <w:tcPr>
            <w:tcW w:w="8175" w:type="dxa"/>
            <w:tcBorders>
              <w:top w:val="single" w:color="auto" w:sz="4" w:space="0"/>
              <w:left w:val="single" w:color="auto" w:sz="4" w:space="0"/>
              <w:right w:val="single" w:color="auto" w:sz="4" w:space="0"/>
            </w:tcBorders>
            <w:vAlign w:val="center"/>
          </w:tcPr>
          <w:p w14:paraId="1081B379">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商务要求：</w:t>
            </w:r>
            <w:r>
              <w:rPr>
                <w:rFonts w:hint="eastAsia" w:ascii="宋体" w:hAnsi="宋体" w:cs="宋体"/>
                <w:bCs/>
                <w:color w:val="auto"/>
                <w:szCs w:val="21"/>
                <w:highlight w:val="none"/>
              </w:rPr>
              <w:t>不允许负偏离</w:t>
            </w:r>
          </w:p>
          <w:p w14:paraId="32F7557B">
            <w:pPr>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技术要求：</w:t>
            </w:r>
            <w:r>
              <w:rPr>
                <w:rFonts w:hint="eastAsia" w:ascii="宋体" w:hAnsi="宋体" w:eastAsia="宋体" w:cs="宋体"/>
                <w:b w:val="0"/>
                <w:bCs w:val="0"/>
                <w:color w:val="auto"/>
                <w:sz w:val="21"/>
                <w:szCs w:val="21"/>
                <w:highlight w:val="none"/>
              </w:rPr>
              <w:t xml:space="preserve">允许负偏离的条款数为 </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 xml:space="preserve"> 项。</w:t>
            </w:r>
            <w:r>
              <w:rPr>
                <w:rFonts w:hint="eastAsia" w:ascii="宋体" w:hAnsi="宋体" w:eastAsia="宋体" w:cs="宋体"/>
                <w:b/>
                <w:bCs/>
                <w:color w:val="auto"/>
                <w:sz w:val="21"/>
                <w:szCs w:val="21"/>
                <w:highlight w:val="none"/>
              </w:rPr>
              <w:t xml:space="preserve">(负偏离 </w:t>
            </w: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 xml:space="preserve"> 项及以上按无效投标处理)</w:t>
            </w:r>
          </w:p>
        </w:tc>
      </w:tr>
      <w:tr w14:paraId="4FB022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78" w:type="dxa"/>
            <w:tcBorders>
              <w:top w:val="single" w:color="auto" w:sz="4" w:space="0"/>
              <w:left w:val="single" w:color="auto" w:sz="4" w:space="0"/>
              <w:right w:val="single" w:color="auto" w:sz="4" w:space="0"/>
            </w:tcBorders>
            <w:vAlign w:val="center"/>
          </w:tcPr>
          <w:p w14:paraId="2CD5BAE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29.3</w:t>
            </w:r>
          </w:p>
        </w:tc>
        <w:tc>
          <w:tcPr>
            <w:tcW w:w="8175" w:type="dxa"/>
            <w:tcBorders>
              <w:top w:val="single" w:color="auto" w:sz="4" w:space="0"/>
              <w:left w:val="single" w:color="auto" w:sz="4" w:space="0"/>
              <w:right w:val="single" w:color="auto" w:sz="4" w:space="0"/>
            </w:tcBorders>
            <w:vAlign w:val="center"/>
          </w:tcPr>
          <w:p w14:paraId="6AD1EE62">
            <w:pPr>
              <w:snapToGrid w:val="0"/>
              <w:spacing w:line="360" w:lineRule="auto"/>
              <w:rPr>
                <w:rFonts w:ascii="宋体" w:hAnsi="宋体" w:cs="宋体"/>
                <w:b/>
                <w:bCs/>
                <w:color w:val="auto"/>
                <w:highlight w:val="none"/>
              </w:rPr>
            </w:pPr>
            <w:r>
              <w:rPr>
                <w:b/>
                <w:bCs/>
                <w:color w:val="auto"/>
                <w:highlight w:val="none"/>
              </w:rPr>
              <w:t>各投标人可就本招标项目的所有标段进行投标，并允许中标其中</w:t>
            </w:r>
            <w:r>
              <w:rPr>
                <w:rFonts w:hint="eastAsia"/>
                <w:b/>
                <w:bCs/>
                <w:color w:val="auto"/>
                <w:szCs w:val="21"/>
                <w:highlight w:val="none"/>
                <w:lang w:eastAsia="zh-CN"/>
              </w:rPr>
              <w:t>☑</w:t>
            </w:r>
            <w:r>
              <w:rPr>
                <w:b/>
                <w:bCs/>
                <w:color w:val="auto"/>
                <w:szCs w:val="21"/>
                <w:highlight w:val="none"/>
                <w:u w:val="single"/>
              </w:rPr>
              <w:t>一个/□多个/</w:t>
            </w:r>
            <w:r>
              <w:rPr>
                <w:rFonts w:hint="eastAsia"/>
                <w:b/>
                <w:bCs/>
                <w:color w:val="auto"/>
                <w:szCs w:val="21"/>
                <w:highlight w:val="none"/>
                <w:u w:val="single"/>
                <w:lang w:eastAsia="zh-CN"/>
              </w:rPr>
              <w:t>□</w:t>
            </w:r>
            <w:r>
              <w:rPr>
                <w:b/>
                <w:bCs/>
                <w:color w:val="auto"/>
                <w:szCs w:val="21"/>
                <w:highlight w:val="none"/>
                <w:u w:val="single"/>
              </w:rPr>
              <w:t>所有</w:t>
            </w:r>
            <w:r>
              <w:rPr>
                <w:b/>
                <w:bCs/>
                <w:color w:val="auto"/>
                <w:szCs w:val="21"/>
                <w:highlight w:val="none"/>
              </w:rPr>
              <w:t>标段</w:t>
            </w:r>
            <w:r>
              <w:rPr>
                <w:rFonts w:hint="eastAsia"/>
                <w:b/>
                <w:bCs/>
                <w:color w:val="auto"/>
                <w:szCs w:val="21"/>
                <w:highlight w:val="none"/>
                <w:lang w:eastAsia="zh-CN"/>
              </w:rPr>
              <w:t>，开标顺序按标项顺序开标，每个标段单独编制投标文件</w:t>
            </w:r>
            <w:r>
              <w:rPr>
                <w:b/>
                <w:bCs/>
                <w:color w:val="auto"/>
                <w:highlight w:val="none"/>
              </w:rPr>
              <w:t>。</w:t>
            </w:r>
          </w:p>
          <w:p w14:paraId="5ED2C081">
            <w:pPr>
              <w:snapToGrid w:val="0"/>
              <w:spacing w:line="360" w:lineRule="auto"/>
              <w:rPr>
                <w:rFonts w:ascii="宋体" w:hAnsi="宋体" w:cs="宋体"/>
                <w:color w:val="auto"/>
                <w:highlight w:val="none"/>
              </w:rPr>
            </w:pPr>
            <w:r>
              <w:rPr>
                <w:rFonts w:hint="eastAsia" w:ascii="宋体" w:hAnsi="宋体" w:cs="宋体"/>
                <w:color w:val="auto"/>
                <w:highlight w:val="none"/>
              </w:rPr>
              <w:t>中标候选人推荐数量：</w:t>
            </w:r>
            <w:r>
              <w:rPr>
                <w:rFonts w:hint="eastAsia" w:ascii="宋体" w:hAnsi="宋体" w:cs="宋体"/>
                <w:color w:val="auto"/>
                <w:highlight w:val="none"/>
                <w:lang w:eastAsia="zh-CN"/>
              </w:rPr>
              <w:t>每个标段推荐</w:t>
            </w:r>
            <w:r>
              <w:rPr>
                <w:rFonts w:hint="eastAsia" w:ascii="宋体" w:hAnsi="宋体" w:cs="宋体"/>
                <w:color w:val="auto"/>
                <w:szCs w:val="21"/>
                <w:highlight w:val="none"/>
              </w:rPr>
              <w:t>☑</w:t>
            </w:r>
            <w:r>
              <w:rPr>
                <w:rFonts w:hint="eastAsia" w:ascii="宋体" w:hAnsi="宋体" w:cs="宋体"/>
                <w:color w:val="auto"/>
                <w:highlight w:val="none"/>
                <w:u w:val="single"/>
              </w:rPr>
              <w:t xml:space="preserve">  3  </w:t>
            </w:r>
            <w:r>
              <w:rPr>
                <w:rFonts w:hint="eastAsia" w:ascii="宋体" w:hAnsi="宋体" w:cs="宋体"/>
                <w:color w:val="auto"/>
                <w:highlight w:val="none"/>
              </w:rPr>
              <w:t>名（根据总得分由高到低排列次序推荐3名中标候选人）</w:t>
            </w:r>
          </w:p>
          <w:p w14:paraId="567F511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highlight w:val="none"/>
              </w:rPr>
              <w:t>根据总得分由高到低排列次序并全部推荐为中标候选人</w:t>
            </w:r>
          </w:p>
        </w:tc>
      </w:tr>
      <w:tr w14:paraId="46F56D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7C90A2B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30.1</w:t>
            </w:r>
          </w:p>
        </w:tc>
        <w:tc>
          <w:tcPr>
            <w:tcW w:w="8175" w:type="dxa"/>
            <w:tcBorders>
              <w:top w:val="single" w:color="auto" w:sz="4" w:space="0"/>
              <w:left w:val="single" w:color="auto" w:sz="4" w:space="0"/>
              <w:bottom w:val="single" w:color="auto" w:sz="4" w:space="0"/>
              <w:right w:val="single" w:color="auto" w:sz="4" w:space="0"/>
            </w:tcBorders>
            <w:vAlign w:val="center"/>
          </w:tcPr>
          <w:p w14:paraId="7C632308">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采用综合评分法的采购项目，采购人确定中标人时，出现中标候选人并列的情形，采购人按以下的方式确定中标人：</w:t>
            </w:r>
          </w:p>
          <w:p w14:paraId="41A342C5">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☑依次按投标报价低的优先、政策分得分高的优先、技术评分高的优先、商务评分高的优先、故障响应时间短优先的顺序确定；</w:t>
            </w:r>
          </w:p>
          <w:p w14:paraId="562F86E4">
            <w:pPr>
              <w:autoSpaceDE w:val="0"/>
              <w:autoSpaceDN w:val="0"/>
              <w:snapToGrid w:val="0"/>
              <w:spacing w:line="360" w:lineRule="auto"/>
              <w:textAlignment w:val="bottom"/>
              <w:rPr>
                <w:rFonts w:ascii="宋体" w:hAnsi="宋体" w:cs="宋体"/>
                <w:b/>
                <w:color w:val="auto"/>
                <w:szCs w:val="21"/>
                <w:highlight w:val="none"/>
              </w:rPr>
            </w:pPr>
            <w:r>
              <w:rPr>
                <w:rFonts w:hint="eastAsia" w:ascii="宋体" w:hAnsi="宋体" w:cs="宋体"/>
                <w:color w:val="auto"/>
                <w:szCs w:val="21"/>
                <w:highlight w:val="none"/>
              </w:rPr>
              <w:t>□随机抽取；</w:t>
            </w:r>
          </w:p>
        </w:tc>
      </w:tr>
      <w:tr w14:paraId="03B3F0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8" w:type="dxa"/>
            <w:tcBorders>
              <w:top w:val="single" w:color="auto" w:sz="4" w:space="0"/>
              <w:left w:val="single" w:color="auto" w:sz="4" w:space="0"/>
              <w:bottom w:val="single" w:color="auto" w:sz="4" w:space="0"/>
              <w:right w:val="single" w:color="auto" w:sz="4" w:space="0"/>
            </w:tcBorders>
            <w:vAlign w:val="center"/>
          </w:tcPr>
          <w:p w14:paraId="5FCC09E8">
            <w:pPr>
              <w:spacing w:line="360" w:lineRule="auto"/>
              <w:jc w:val="center"/>
              <w:rPr>
                <w:rFonts w:ascii="宋体" w:hAnsi="宋体" w:cs="宋体"/>
                <w:color w:val="auto"/>
                <w:szCs w:val="21"/>
                <w:highlight w:val="none"/>
              </w:rPr>
            </w:pPr>
            <w:bookmarkStart w:id="69" w:name="_39.1"/>
            <w:bookmarkEnd w:id="69"/>
            <w:r>
              <w:rPr>
                <w:rFonts w:hint="eastAsia" w:ascii="宋体" w:hAnsi="宋体" w:cs="宋体"/>
                <w:color w:val="auto"/>
                <w:szCs w:val="21"/>
                <w:highlight w:val="none"/>
              </w:rPr>
              <w:t>35.1</w:t>
            </w:r>
          </w:p>
        </w:tc>
        <w:tc>
          <w:tcPr>
            <w:tcW w:w="8175" w:type="dxa"/>
            <w:tcBorders>
              <w:top w:val="single" w:color="auto" w:sz="4" w:space="0"/>
              <w:left w:val="single" w:color="auto" w:sz="4" w:space="0"/>
              <w:bottom w:val="single" w:color="auto" w:sz="4" w:space="0"/>
              <w:right w:val="single" w:color="auto" w:sz="4" w:space="0"/>
            </w:tcBorders>
            <w:vAlign w:val="center"/>
          </w:tcPr>
          <w:p w14:paraId="0BFD45CF">
            <w:pPr>
              <w:autoSpaceDE w:val="0"/>
              <w:autoSpaceDN w:val="0"/>
              <w:snapToGrid w:val="0"/>
              <w:spacing w:line="480" w:lineRule="exact"/>
              <w:textAlignment w:val="bottom"/>
              <w:rPr>
                <w:rFonts w:ascii="宋体" w:hAnsi="宋体" w:cs="宋体"/>
                <w:color w:val="auto"/>
                <w:highlight w:val="none"/>
              </w:rPr>
            </w:pPr>
            <w:r>
              <w:rPr>
                <w:rFonts w:hint="eastAsia" w:ascii="宋体" w:hAnsi="宋体" w:cs="宋体"/>
                <w:color w:val="auto"/>
                <w:szCs w:val="21"/>
                <w:highlight w:val="none"/>
              </w:rPr>
              <w:t>☑本项目不收取履约保证金。</w:t>
            </w:r>
          </w:p>
          <w:p w14:paraId="5431FD43">
            <w:pPr>
              <w:autoSpaceDE w:val="0"/>
              <w:autoSpaceDN w:val="0"/>
              <w:snapToGrid w:val="0"/>
              <w:spacing w:line="480" w:lineRule="exact"/>
              <w:textAlignment w:val="bottom"/>
              <w:rPr>
                <w:rFonts w:ascii="宋体" w:hAnsi="宋体" w:cs="宋体"/>
                <w:color w:val="auto"/>
                <w:szCs w:val="21"/>
                <w:highlight w:val="none"/>
              </w:rPr>
            </w:pPr>
            <w:r>
              <w:rPr>
                <w:rFonts w:hint="eastAsia" w:ascii="宋体" w:hAnsi="宋体" w:cs="宋体"/>
                <w:color w:val="auto"/>
                <w:szCs w:val="21"/>
                <w:highlight w:val="none"/>
              </w:rPr>
              <w:t>□本项目收取履约保证金，具体规定如下：</w:t>
            </w:r>
          </w:p>
          <w:p w14:paraId="6DEF55CD">
            <w:pPr>
              <w:autoSpaceDE w:val="0"/>
              <w:autoSpaceDN w:val="0"/>
              <w:snapToGrid w:val="0"/>
              <w:spacing w:line="480" w:lineRule="exact"/>
              <w:textAlignment w:val="bottom"/>
              <w:rPr>
                <w:rFonts w:ascii="宋体" w:hAnsi="宋体" w:cs="宋体"/>
                <w:color w:val="auto"/>
                <w:szCs w:val="21"/>
                <w:highlight w:val="none"/>
              </w:rPr>
            </w:pPr>
            <w:r>
              <w:rPr>
                <w:rFonts w:hint="eastAsia" w:ascii="宋体" w:hAnsi="宋体" w:cs="宋体"/>
                <w:color w:val="auto"/>
                <w:szCs w:val="21"/>
                <w:highlight w:val="none"/>
              </w:rPr>
              <w:t>履约保证金金额：按中标金额的</w:t>
            </w:r>
            <w:r>
              <w:rPr>
                <w:rFonts w:hint="eastAsia" w:ascii="宋体" w:hAnsi="宋体" w:cs="宋体"/>
                <w:color w:val="auto"/>
                <w:szCs w:val="21"/>
                <w:highlight w:val="none"/>
                <w:u w:val="single"/>
              </w:rPr>
              <w:t>2</w:t>
            </w:r>
            <w:r>
              <w:rPr>
                <w:rFonts w:hint="eastAsia" w:ascii="宋体" w:hAnsi="宋体" w:cs="宋体"/>
                <w:color w:val="auto"/>
                <w:szCs w:val="21"/>
                <w:highlight w:val="none"/>
              </w:rPr>
              <w:t>%（注：履约保证金数额不得超过政府采购合同金额的5%；政府采购要加大对中小企业发展的扶持力度，对中小企业收取的履约保证金数额不得超过政府采购合同金额的2%）。</w:t>
            </w:r>
          </w:p>
          <w:p w14:paraId="01D8A900">
            <w:pPr>
              <w:autoSpaceDE w:val="0"/>
              <w:autoSpaceDN w:val="0"/>
              <w:snapToGrid w:val="0"/>
              <w:spacing w:line="480" w:lineRule="exact"/>
              <w:textAlignment w:val="bottom"/>
              <w:rPr>
                <w:rFonts w:ascii="宋体" w:hAnsi="宋体" w:cs="宋体"/>
                <w:color w:val="auto"/>
                <w:szCs w:val="21"/>
                <w:highlight w:val="none"/>
              </w:rPr>
            </w:pPr>
            <w:r>
              <w:rPr>
                <w:rFonts w:hint="eastAsia" w:ascii="宋体" w:hAnsi="宋体" w:cs="宋体"/>
                <w:color w:val="auto"/>
                <w:szCs w:val="21"/>
                <w:highlight w:val="none"/>
              </w:rPr>
              <w:t>履约保证金提交方式：银行转账、支票、汇票、本票或者银行、保险机构出具的保函等非现金方式（参照投标保证金）。</w:t>
            </w:r>
          </w:p>
          <w:p w14:paraId="04D544C1">
            <w:pPr>
              <w:autoSpaceDE w:val="0"/>
              <w:autoSpaceDN w:val="0"/>
              <w:snapToGrid w:val="0"/>
              <w:spacing w:line="480" w:lineRule="exact"/>
              <w:textAlignment w:val="bottom"/>
              <w:rPr>
                <w:rFonts w:ascii="宋体" w:hAnsi="宋体" w:cs="宋体"/>
                <w:color w:val="auto"/>
                <w:szCs w:val="21"/>
                <w:highlight w:val="none"/>
              </w:rPr>
            </w:pPr>
            <w:r>
              <w:rPr>
                <w:rFonts w:hint="eastAsia" w:ascii="宋体" w:hAnsi="宋体" w:cs="宋体"/>
                <w:color w:val="auto"/>
                <w:szCs w:val="21"/>
                <w:highlight w:val="none"/>
              </w:rPr>
              <w:t>履约保证金退付方式、时间及条件：</w:t>
            </w:r>
            <w:r>
              <w:rPr>
                <w:rFonts w:hint="eastAsia" w:ascii="宋体" w:hAnsi="宋体" w:cs="宋体"/>
                <w:color w:val="auto"/>
                <w:szCs w:val="21"/>
                <w:highlight w:val="none"/>
                <w:u w:val="single"/>
              </w:rPr>
              <w:t>由中标供应商向履约保证金收取单位提供《广西壮族自治区政府采购项目合同验收书》（详见桂财采〔2015〕22号），保证金收取单位在收到合格材料后4个工作日内办理退还手续（不计利息）</w:t>
            </w:r>
            <w:r>
              <w:rPr>
                <w:rFonts w:hint="eastAsia" w:ascii="宋体" w:hAnsi="宋体" w:cs="宋体"/>
                <w:color w:val="auto"/>
                <w:szCs w:val="21"/>
                <w:highlight w:val="none"/>
              </w:rPr>
              <w:t>。</w:t>
            </w:r>
          </w:p>
          <w:p w14:paraId="441C87F2">
            <w:pPr>
              <w:autoSpaceDE w:val="0"/>
              <w:autoSpaceDN w:val="0"/>
              <w:snapToGrid w:val="0"/>
              <w:spacing w:line="480" w:lineRule="exact"/>
              <w:textAlignment w:val="bottom"/>
              <w:rPr>
                <w:rFonts w:ascii="宋体" w:hAnsi="宋体" w:cs="宋体"/>
                <w:color w:val="auto"/>
                <w:szCs w:val="21"/>
                <w:highlight w:val="none"/>
              </w:rPr>
            </w:pPr>
            <w:r>
              <w:rPr>
                <w:rFonts w:hint="eastAsia" w:ascii="宋体" w:hAnsi="宋体" w:cs="宋体"/>
                <w:color w:val="auto"/>
                <w:szCs w:val="21"/>
                <w:highlight w:val="none"/>
              </w:rPr>
              <w:t>履约保证金指定账户：</w:t>
            </w:r>
          </w:p>
          <w:p w14:paraId="21FACC75">
            <w:pPr>
              <w:autoSpaceDE w:val="0"/>
              <w:autoSpaceDN w:val="0"/>
              <w:snapToGrid w:val="0"/>
              <w:spacing w:line="480" w:lineRule="exact"/>
              <w:textAlignment w:val="bottom"/>
              <w:rPr>
                <w:rFonts w:ascii="宋体" w:hAnsi="宋体" w:cs="宋体"/>
                <w:color w:val="auto"/>
                <w:szCs w:val="21"/>
                <w:highlight w:val="none"/>
              </w:rPr>
            </w:pPr>
            <w:r>
              <w:rPr>
                <w:rFonts w:hint="eastAsia" w:ascii="宋体" w:hAnsi="宋体" w:cs="宋体"/>
                <w:color w:val="auto"/>
                <w:szCs w:val="21"/>
                <w:highlight w:val="none"/>
              </w:rPr>
              <w:t xml:space="preserve">开户名称：/               </w:t>
            </w:r>
          </w:p>
          <w:p w14:paraId="22595ECC">
            <w:pPr>
              <w:autoSpaceDE w:val="0"/>
              <w:autoSpaceDN w:val="0"/>
              <w:snapToGrid w:val="0"/>
              <w:spacing w:line="480" w:lineRule="exact"/>
              <w:textAlignment w:val="bottom"/>
              <w:rPr>
                <w:rFonts w:ascii="宋体" w:hAnsi="宋体" w:cs="宋体"/>
                <w:color w:val="auto"/>
                <w:szCs w:val="21"/>
                <w:highlight w:val="none"/>
              </w:rPr>
            </w:pPr>
            <w:r>
              <w:rPr>
                <w:rFonts w:hint="eastAsia" w:ascii="宋体" w:hAnsi="宋体" w:cs="宋体"/>
                <w:color w:val="auto"/>
                <w:szCs w:val="21"/>
                <w:highlight w:val="none"/>
              </w:rPr>
              <w:t xml:space="preserve">开户银行：/   </w:t>
            </w:r>
          </w:p>
          <w:p w14:paraId="435E59F4">
            <w:pPr>
              <w:autoSpaceDE w:val="0"/>
              <w:autoSpaceDN w:val="0"/>
              <w:snapToGrid w:val="0"/>
              <w:spacing w:line="480" w:lineRule="exact"/>
              <w:textAlignment w:val="bottom"/>
              <w:rPr>
                <w:rFonts w:ascii="宋体" w:hAnsi="宋体" w:cs="宋体"/>
                <w:color w:val="auto"/>
                <w:szCs w:val="21"/>
                <w:highlight w:val="none"/>
              </w:rPr>
            </w:pPr>
            <w:r>
              <w:rPr>
                <w:rFonts w:hint="eastAsia" w:ascii="宋体" w:hAnsi="宋体" w:cs="宋体"/>
                <w:color w:val="auto"/>
                <w:szCs w:val="21"/>
                <w:highlight w:val="none"/>
              </w:rPr>
              <w:t>银行账号：/</w:t>
            </w:r>
          </w:p>
          <w:p w14:paraId="485F68CF">
            <w:pPr>
              <w:autoSpaceDE w:val="0"/>
              <w:autoSpaceDN w:val="0"/>
              <w:snapToGrid w:val="0"/>
              <w:spacing w:line="480" w:lineRule="exact"/>
              <w:textAlignment w:val="bottom"/>
              <w:rPr>
                <w:rFonts w:ascii="宋体" w:hAnsi="宋体" w:cs="宋体"/>
                <w:b/>
                <w:bCs/>
                <w:color w:val="auto"/>
                <w:szCs w:val="21"/>
                <w:highlight w:val="none"/>
              </w:rPr>
            </w:pPr>
            <w:r>
              <w:rPr>
                <w:rFonts w:hint="eastAsia" w:ascii="宋体" w:hAnsi="宋体" w:cs="宋体"/>
                <w:b/>
                <w:bCs/>
                <w:color w:val="auto"/>
                <w:szCs w:val="21"/>
                <w:highlight w:val="none"/>
              </w:rPr>
              <w:t>备注：</w:t>
            </w:r>
          </w:p>
          <w:p w14:paraId="4E0EF883">
            <w:pPr>
              <w:autoSpaceDE w:val="0"/>
              <w:autoSpaceDN w:val="0"/>
              <w:snapToGrid w:val="0"/>
              <w:spacing w:line="480" w:lineRule="exact"/>
              <w:textAlignment w:val="bottom"/>
              <w:rPr>
                <w:rFonts w:ascii="宋体" w:hAnsi="宋体" w:cs="宋体"/>
                <w:b/>
                <w:bCs/>
                <w:color w:val="auto"/>
                <w:szCs w:val="21"/>
                <w:highlight w:val="none"/>
              </w:rPr>
            </w:pPr>
            <w:r>
              <w:rPr>
                <w:rFonts w:hint="eastAsia" w:ascii="宋体" w:hAnsi="宋体" w:cs="宋体"/>
                <w:b/>
                <w:bCs/>
                <w:color w:val="auto"/>
                <w:szCs w:val="21"/>
                <w:highlight w:val="none"/>
              </w:rPr>
              <w:t>1根据 《广西壮族自治区财政厅关于贯彻落实政府采购优化营商环境百日攻坚行动方案的通知》（桂财采〔2020〕49号）规定及桂财采〔2022〕30号广西壮族自治区财政厅关于进一步发挥政府采购政策功能促进企业发展的通知，履约保证金数额不得超过政府采购合同金额的5%，对中小企业收取的履约保证金数额不得超过政府采购合同金额的2%。采购人可根据供应商的资信等情况减免履约保证金。</w:t>
            </w:r>
          </w:p>
          <w:p w14:paraId="309B4C12">
            <w:pPr>
              <w:autoSpaceDE w:val="0"/>
              <w:autoSpaceDN w:val="0"/>
              <w:snapToGrid w:val="0"/>
              <w:spacing w:line="480" w:lineRule="exact"/>
              <w:textAlignment w:val="bottom"/>
              <w:rPr>
                <w:rFonts w:ascii="宋体" w:hAnsi="宋体" w:cs="宋体"/>
                <w:b/>
                <w:bCs/>
                <w:color w:val="auto"/>
                <w:szCs w:val="21"/>
                <w:highlight w:val="none"/>
              </w:rPr>
            </w:pPr>
            <w:r>
              <w:rPr>
                <w:rFonts w:hint="eastAsia" w:ascii="宋体" w:hAnsi="宋体" w:cs="宋体"/>
                <w:b/>
                <w:bCs/>
                <w:color w:val="auto"/>
                <w:szCs w:val="21"/>
                <w:highlight w:val="none"/>
              </w:rPr>
              <w:t>2.履约保证金不足额缴纳的，或者银行、保险机构出具的保函额度不足的或者保函有效期低于合同履行期限（即签订采购合同之日起至履行完合同约定的权利及义务之日止）的，不予签订合同。</w:t>
            </w:r>
          </w:p>
          <w:p w14:paraId="107C6C4F">
            <w:pPr>
              <w:autoSpaceDE w:val="0"/>
              <w:autoSpaceDN w:val="0"/>
              <w:snapToGrid w:val="0"/>
              <w:spacing w:line="480" w:lineRule="exact"/>
              <w:textAlignment w:val="bottom"/>
              <w:rPr>
                <w:rFonts w:ascii="宋体" w:hAnsi="宋体" w:cs="宋体"/>
                <w:color w:val="auto"/>
                <w:szCs w:val="21"/>
                <w:highlight w:val="none"/>
              </w:rPr>
            </w:pPr>
            <w:r>
              <w:rPr>
                <w:rFonts w:hint="eastAsia" w:ascii="宋体" w:hAnsi="宋体" w:cs="宋体"/>
                <w:b/>
                <w:bCs/>
                <w:color w:val="auto"/>
                <w:szCs w:val="21"/>
                <w:highlight w:val="none"/>
              </w:rPr>
              <w:t>3.采用银行、保险机构出具的保函的，必须为无条件保函，否则不予签订合同。</w:t>
            </w:r>
          </w:p>
        </w:tc>
      </w:tr>
      <w:tr w14:paraId="5CC3E0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3A3DA066">
            <w:pPr>
              <w:spacing w:line="360" w:lineRule="auto"/>
              <w:jc w:val="center"/>
              <w:rPr>
                <w:rFonts w:ascii="宋体" w:hAnsi="宋体" w:cs="宋体"/>
                <w:color w:val="auto"/>
                <w:szCs w:val="21"/>
                <w:highlight w:val="none"/>
              </w:rPr>
            </w:pPr>
            <w:bookmarkStart w:id="70" w:name="_40.1"/>
            <w:bookmarkEnd w:id="70"/>
            <w:r>
              <w:rPr>
                <w:rFonts w:hint="eastAsia" w:ascii="宋体" w:hAnsi="宋体" w:cs="宋体"/>
                <w:color w:val="auto"/>
                <w:szCs w:val="21"/>
                <w:highlight w:val="none"/>
              </w:rPr>
              <w:t>36.1</w:t>
            </w:r>
          </w:p>
        </w:tc>
        <w:tc>
          <w:tcPr>
            <w:tcW w:w="8175" w:type="dxa"/>
            <w:tcBorders>
              <w:top w:val="single" w:color="auto" w:sz="4" w:space="0"/>
              <w:left w:val="single" w:color="auto" w:sz="4" w:space="0"/>
              <w:bottom w:val="single" w:color="auto" w:sz="4" w:space="0"/>
              <w:right w:val="single" w:color="auto" w:sz="4" w:space="0"/>
            </w:tcBorders>
            <w:vAlign w:val="center"/>
          </w:tcPr>
          <w:p w14:paraId="4040E250">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 xml:space="preserve">签订合同携带的证明材料： </w:t>
            </w:r>
          </w:p>
          <w:p w14:paraId="1F71CE9C">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委托代理人负责签订合同的，须携带授权委托书及委托代理人身份证原件等其他资格证件。</w:t>
            </w:r>
          </w:p>
          <w:p w14:paraId="29543617">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法定代表人负责签订合同的，须携带法定代表人身份证明原件及身份证原件等其他证明材料。</w:t>
            </w:r>
          </w:p>
        </w:tc>
      </w:tr>
      <w:tr w14:paraId="6F942B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6495BF0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38.2</w:t>
            </w:r>
          </w:p>
        </w:tc>
        <w:tc>
          <w:tcPr>
            <w:tcW w:w="8175" w:type="dxa"/>
            <w:tcBorders>
              <w:top w:val="single" w:color="auto" w:sz="4" w:space="0"/>
              <w:left w:val="single" w:color="auto" w:sz="4" w:space="0"/>
              <w:bottom w:val="single" w:color="auto" w:sz="4" w:space="0"/>
              <w:right w:val="single" w:color="auto" w:sz="4" w:space="0"/>
            </w:tcBorders>
            <w:vAlign w:val="center"/>
          </w:tcPr>
          <w:p w14:paraId="48ED9BA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接收质疑函方式：以书面形式。</w:t>
            </w:r>
          </w:p>
          <w:p w14:paraId="24AF299F">
            <w:pPr>
              <w:pStyle w:val="25"/>
              <w:snapToGrid w:val="0"/>
              <w:spacing w:line="360" w:lineRule="auto"/>
              <w:rPr>
                <w:rFonts w:hAnsi="宋体" w:cs="宋体"/>
                <w:color w:val="auto"/>
                <w:kern w:val="2"/>
                <w:sz w:val="21"/>
                <w:highlight w:val="none"/>
              </w:rPr>
            </w:pPr>
            <w:r>
              <w:rPr>
                <w:rFonts w:hint="eastAsia" w:hAnsi="宋体" w:cs="宋体"/>
                <w:color w:val="auto"/>
                <w:kern w:val="2"/>
                <w:sz w:val="21"/>
                <w:highlight w:val="none"/>
              </w:rPr>
              <w:t>质疑联系部门及联系方式：</w:t>
            </w:r>
            <w:r>
              <w:rPr>
                <w:rFonts w:hint="eastAsia" w:hAnsi="宋体" w:cs="宋体"/>
                <w:color w:val="auto"/>
                <w:kern w:val="2"/>
                <w:sz w:val="21"/>
                <w:highlight w:val="none"/>
                <w:u w:val="single"/>
              </w:rPr>
              <w:t>广西海川工程咨询有限公司，联系电话：0774-2028010，通讯地址：（梧州市长洲区舜帝大道西段1号A6第14幢2号独立交易展示位）</w:t>
            </w:r>
          </w:p>
          <w:p w14:paraId="410F7876">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highlight w:val="none"/>
                <w:u w:val="single"/>
              </w:rPr>
              <w:t>业务时间：工作日每天上午8时00分到12时00分，下午3时00分到6时00分。</w:t>
            </w:r>
          </w:p>
        </w:tc>
      </w:tr>
      <w:tr w14:paraId="20B104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6A5B72D8">
            <w:pPr>
              <w:spacing w:line="360" w:lineRule="auto"/>
              <w:jc w:val="center"/>
              <w:rPr>
                <w:rFonts w:ascii="宋体" w:hAnsi="宋体" w:cs="宋体"/>
                <w:color w:val="auto"/>
                <w:szCs w:val="21"/>
                <w:highlight w:val="none"/>
              </w:rPr>
            </w:pPr>
            <w:bookmarkStart w:id="71" w:name="_42"/>
            <w:bookmarkEnd w:id="71"/>
            <w:bookmarkStart w:id="72" w:name="_41"/>
            <w:bookmarkEnd w:id="72"/>
            <w:bookmarkStart w:id="73" w:name="_Hlt17709148"/>
            <w:r>
              <w:rPr>
                <w:rFonts w:hint="eastAsia" w:ascii="宋体" w:hAnsi="宋体" w:cs="宋体"/>
                <w:color w:val="auto"/>
                <w:szCs w:val="21"/>
                <w:highlight w:val="none"/>
              </w:rPr>
              <w:t>3</w:t>
            </w:r>
            <w:bookmarkEnd w:id="73"/>
            <w:r>
              <w:rPr>
                <w:rFonts w:hint="eastAsia" w:ascii="宋体" w:hAnsi="宋体" w:cs="宋体"/>
                <w:color w:val="auto"/>
                <w:szCs w:val="21"/>
                <w:highlight w:val="none"/>
              </w:rPr>
              <w:t>9.1</w:t>
            </w:r>
          </w:p>
        </w:tc>
        <w:tc>
          <w:tcPr>
            <w:tcW w:w="8175" w:type="dxa"/>
            <w:tcBorders>
              <w:top w:val="single" w:color="auto" w:sz="4" w:space="0"/>
              <w:left w:val="single" w:color="auto" w:sz="4" w:space="0"/>
              <w:bottom w:val="single" w:color="auto" w:sz="4" w:space="0"/>
              <w:right w:val="single" w:color="auto" w:sz="4" w:space="0"/>
            </w:tcBorders>
            <w:vAlign w:val="center"/>
          </w:tcPr>
          <w:p w14:paraId="0766AD3C">
            <w:pPr>
              <w:pStyle w:val="25"/>
              <w:snapToGrid w:val="0"/>
              <w:spacing w:line="360" w:lineRule="auto"/>
              <w:rPr>
                <w:rFonts w:hAnsi="宋体" w:cs="宋体"/>
                <w:color w:val="auto"/>
                <w:sz w:val="21"/>
                <w:highlight w:val="none"/>
              </w:rPr>
            </w:pPr>
            <w:r>
              <w:rPr>
                <w:rFonts w:hint="eastAsia" w:hAnsi="宋体" w:cs="宋体"/>
                <w:color w:val="auto"/>
                <w:sz w:val="21"/>
                <w:highlight w:val="none"/>
              </w:rPr>
              <w:t>1.采购代理费支付方式：</w:t>
            </w:r>
          </w:p>
          <w:p w14:paraId="006790AB">
            <w:pPr>
              <w:pStyle w:val="25"/>
              <w:snapToGrid w:val="0"/>
              <w:spacing w:line="360" w:lineRule="auto"/>
              <w:rPr>
                <w:rFonts w:hAnsi="宋体" w:cs="宋体"/>
                <w:color w:val="auto"/>
                <w:sz w:val="21"/>
                <w:highlight w:val="none"/>
              </w:rPr>
            </w:pPr>
            <w:r>
              <w:rPr>
                <w:rFonts w:hint="eastAsia" w:hAnsi="宋体" w:cs="宋体"/>
                <w:color w:val="auto"/>
                <w:sz w:val="21"/>
                <w:highlight w:val="none"/>
              </w:rPr>
              <w:t>☑本项目代理服务费由</w:t>
            </w:r>
            <w:r>
              <w:rPr>
                <w:rFonts w:hint="eastAsia" w:hAnsi="宋体" w:cs="宋体"/>
                <w:color w:val="auto"/>
                <w:sz w:val="21"/>
                <w:highlight w:val="none"/>
                <w:u w:val="single"/>
              </w:rPr>
              <w:t>中标人</w:t>
            </w:r>
            <w:r>
              <w:rPr>
                <w:rFonts w:hint="eastAsia" w:hAnsi="宋体" w:cs="宋体"/>
                <w:color w:val="auto"/>
                <w:sz w:val="21"/>
                <w:highlight w:val="none"/>
              </w:rPr>
              <w:t>在领取中标通知书前，一次性向采购代理机构支付。</w:t>
            </w:r>
          </w:p>
          <w:p w14:paraId="03FB6499">
            <w:pPr>
              <w:pStyle w:val="25"/>
              <w:snapToGrid w:val="0"/>
              <w:spacing w:line="360" w:lineRule="auto"/>
              <w:rPr>
                <w:rFonts w:hAnsi="宋体" w:cs="宋体"/>
                <w:color w:val="auto"/>
                <w:sz w:val="21"/>
                <w:highlight w:val="none"/>
              </w:rPr>
            </w:pPr>
            <w:r>
              <w:rPr>
                <w:rFonts w:hint="eastAsia" w:hAnsi="宋体" w:cs="宋体"/>
                <w:color w:val="auto"/>
                <w:sz w:val="21"/>
                <w:highlight w:val="none"/>
              </w:rPr>
              <w:t>□采购人支付。</w:t>
            </w:r>
          </w:p>
          <w:p w14:paraId="6854234A">
            <w:pPr>
              <w:pStyle w:val="25"/>
              <w:snapToGrid w:val="0"/>
              <w:spacing w:line="360" w:lineRule="auto"/>
              <w:rPr>
                <w:rFonts w:hAnsi="宋体" w:cs="宋体"/>
                <w:color w:val="auto"/>
                <w:sz w:val="21"/>
                <w:highlight w:val="none"/>
              </w:rPr>
            </w:pPr>
            <w:r>
              <w:rPr>
                <w:rFonts w:hint="eastAsia" w:hAnsi="宋体" w:cs="宋体"/>
                <w:color w:val="auto"/>
                <w:sz w:val="21"/>
                <w:highlight w:val="none"/>
              </w:rPr>
              <w:t>2.采购代理费收取标准：</w:t>
            </w:r>
          </w:p>
          <w:p w14:paraId="04AB9CDA">
            <w:pPr>
              <w:pStyle w:val="25"/>
              <w:snapToGrid w:val="0"/>
              <w:spacing w:line="360" w:lineRule="auto"/>
              <w:rPr>
                <w:rFonts w:hAnsi="宋体" w:cs="宋体"/>
                <w:color w:val="auto"/>
                <w:sz w:val="21"/>
                <w:highlight w:val="none"/>
              </w:rPr>
            </w:pPr>
            <w:r>
              <w:rPr>
                <w:rFonts w:hint="eastAsia" w:hAnsi="宋体" w:cs="宋体"/>
                <w:color w:val="auto"/>
                <w:sz w:val="21"/>
                <w:highlight w:val="none"/>
              </w:rPr>
              <w:t>☑以中标金额为计费额，按本须知正文第39.2条规定的收费计算标准货物招标采用差额定率累进法计算出收费基准价格，采购代理收费以收费基准价格收取。</w:t>
            </w:r>
          </w:p>
          <w:p w14:paraId="0DE2E4A6">
            <w:pPr>
              <w:pStyle w:val="25"/>
              <w:snapToGrid w:val="0"/>
              <w:spacing w:line="360" w:lineRule="auto"/>
              <w:rPr>
                <w:rFonts w:hAnsi="宋体" w:cs="宋体"/>
                <w:color w:val="auto"/>
                <w:highlight w:val="none"/>
                <w:u w:val="single"/>
              </w:rPr>
            </w:pPr>
            <w:r>
              <w:rPr>
                <w:rFonts w:hint="eastAsia" w:hAnsi="宋体" w:cs="宋体"/>
                <w:color w:val="auto"/>
                <w:sz w:val="21"/>
                <w:highlight w:val="none"/>
              </w:rPr>
              <w:t>□固定采购代理收费：</w:t>
            </w:r>
            <w:r>
              <w:rPr>
                <w:rFonts w:hint="eastAsia" w:hAnsi="宋体" w:cs="宋体"/>
                <w:color w:val="auto"/>
                <w:highlight w:val="none"/>
                <w:u w:val="single"/>
              </w:rPr>
              <w:t xml:space="preserve">             </w:t>
            </w:r>
          </w:p>
          <w:p w14:paraId="7C09FE4D">
            <w:pPr>
              <w:pStyle w:val="25"/>
              <w:snapToGrid w:val="0"/>
              <w:spacing w:line="360" w:lineRule="auto"/>
              <w:rPr>
                <w:rFonts w:hAnsi="宋体" w:cs="宋体"/>
                <w:color w:val="auto"/>
                <w:sz w:val="21"/>
                <w:highlight w:val="none"/>
              </w:rPr>
            </w:pPr>
            <w:r>
              <w:rPr>
                <w:rFonts w:hint="eastAsia" w:hAnsi="宋体" w:cs="宋体"/>
                <w:color w:val="auto"/>
                <w:sz w:val="21"/>
                <w:highlight w:val="none"/>
              </w:rPr>
              <w:t>3. 采购代理费收取银行账户</w:t>
            </w:r>
          </w:p>
          <w:p w14:paraId="0B227198">
            <w:pPr>
              <w:pStyle w:val="25"/>
              <w:snapToGrid w:val="0"/>
              <w:spacing w:line="360" w:lineRule="auto"/>
              <w:rPr>
                <w:rFonts w:hAnsi="宋体" w:cs="宋体"/>
                <w:color w:val="auto"/>
                <w:sz w:val="21"/>
                <w:highlight w:val="none"/>
              </w:rPr>
            </w:pPr>
            <w:r>
              <w:rPr>
                <w:rFonts w:hint="eastAsia" w:hAnsi="宋体" w:cs="宋体"/>
                <w:color w:val="auto"/>
                <w:sz w:val="21"/>
                <w:highlight w:val="none"/>
              </w:rPr>
              <w:t>户名：广西海川工程咨询有限公司</w:t>
            </w:r>
          </w:p>
          <w:p w14:paraId="0D515195">
            <w:pPr>
              <w:pStyle w:val="25"/>
              <w:snapToGrid w:val="0"/>
              <w:spacing w:line="360" w:lineRule="auto"/>
              <w:rPr>
                <w:rFonts w:hAnsi="宋体" w:cs="宋体"/>
                <w:color w:val="auto"/>
                <w:sz w:val="21"/>
                <w:highlight w:val="none"/>
              </w:rPr>
            </w:pPr>
            <w:r>
              <w:rPr>
                <w:rFonts w:hint="eastAsia" w:hAnsi="宋体" w:cs="宋体"/>
                <w:color w:val="auto"/>
                <w:sz w:val="21"/>
                <w:highlight w:val="none"/>
              </w:rPr>
              <w:t>账号：</w:t>
            </w:r>
            <w:r>
              <w:rPr>
                <w:rFonts w:hint="eastAsia" w:hAnsi="宋体" w:cs="宋体"/>
                <w:color w:val="auto"/>
                <w:highlight w:val="none"/>
              </w:rPr>
              <w:t>6600  0001  5038  8000  16</w:t>
            </w:r>
          </w:p>
          <w:p w14:paraId="7B7932DF">
            <w:pPr>
              <w:pStyle w:val="25"/>
              <w:snapToGrid w:val="0"/>
              <w:spacing w:line="360" w:lineRule="auto"/>
              <w:rPr>
                <w:rFonts w:hAnsi="宋体" w:cs="宋体"/>
                <w:color w:val="auto"/>
                <w:sz w:val="21"/>
                <w:highlight w:val="none"/>
              </w:rPr>
            </w:pPr>
            <w:r>
              <w:rPr>
                <w:rFonts w:hint="eastAsia" w:hAnsi="宋体" w:cs="宋体"/>
                <w:color w:val="auto"/>
                <w:sz w:val="21"/>
                <w:highlight w:val="none"/>
              </w:rPr>
              <w:t>开户行：桂林银行股份有限公司梧州灏景支行</w:t>
            </w:r>
          </w:p>
        </w:tc>
      </w:tr>
      <w:tr w14:paraId="1A6543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2BA8B133">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40.1</w:t>
            </w:r>
          </w:p>
        </w:tc>
        <w:tc>
          <w:tcPr>
            <w:tcW w:w="8175" w:type="dxa"/>
            <w:tcBorders>
              <w:top w:val="single" w:color="auto" w:sz="4" w:space="0"/>
              <w:left w:val="single" w:color="auto" w:sz="4" w:space="0"/>
              <w:bottom w:val="single" w:color="auto" w:sz="4" w:space="0"/>
              <w:right w:val="single" w:color="auto" w:sz="4" w:space="0"/>
            </w:tcBorders>
            <w:vAlign w:val="center"/>
          </w:tcPr>
          <w:p w14:paraId="2C28D58B">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14:paraId="2524EB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3CD6539C">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40.2</w:t>
            </w:r>
          </w:p>
        </w:tc>
        <w:tc>
          <w:tcPr>
            <w:tcW w:w="8175" w:type="dxa"/>
            <w:tcBorders>
              <w:top w:val="single" w:color="auto" w:sz="4" w:space="0"/>
              <w:left w:val="single" w:color="auto" w:sz="4" w:space="0"/>
              <w:bottom w:val="single" w:color="auto" w:sz="4" w:space="0"/>
              <w:right w:val="single" w:color="auto" w:sz="4" w:space="0"/>
            </w:tcBorders>
            <w:vAlign w:val="center"/>
          </w:tcPr>
          <w:p w14:paraId="4BCDFFC3">
            <w:pPr>
              <w:pStyle w:val="25"/>
              <w:snapToGrid w:val="0"/>
              <w:spacing w:line="360" w:lineRule="auto"/>
              <w:rPr>
                <w:rFonts w:hAnsi="宋体" w:cs="宋体"/>
                <w:bCs/>
                <w:color w:val="auto"/>
                <w:sz w:val="21"/>
                <w:highlight w:val="none"/>
              </w:rPr>
            </w:pPr>
            <w:r>
              <w:rPr>
                <w:rFonts w:hint="eastAsia" w:hAnsi="宋体" w:cs="宋体"/>
                <w:bCs/>
                <w:color w:val="auto"/>
                <w:sz w:val="21"/>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4A982155">
            <w:pPr>
              <w:pStyle w:val="25"/>
              <w:snapToGrid w:val="0"/>
              <w:spacing w:line="360" w:lineRule="auto"/>
              <w:rPr>
                <w:rFonts w:hAnsi="宋体" w:cs="宋体"/>
                <w:bCs/>
                <w:color w:val="auto"/>
                <w:sz w:val="21"/>
                <w:highlight w:val="none"/>
              </w:rPr>
            </w:pPr>
            <w:r>
              <w:rPr>
                <w:rFonts w:hint="eastAsia" w:hAnsi="宋体" w:cs="宋体"/>
                <w:bCs/>
                <w:color w:val="auto"/>
                <w:sz w:val="21"/>
                <w:highlight w:val="none"/>
              </w:rPr>
              <w:t>2.本招标文件所称的“</w:t>
            </w:r>
            <w:r>
              <w:rPr>
                <w:rFonts w:hint="eastAsia" w:hAnsi="宋体" w:cs="宋体"/>
                <w:color w:val="auto"/>
                <w:sz w:val="21"/>
                <w:highlight w:val="none"/>
              </w:rPr>
              <w:t>电子签章</w:t>
            </w:r>
            <w:r>
              <w:rPr>
                <w:rFonts w:hint="eastAsia" w:hAnsi="宋体" w:cs="宋体"/>
                <w:bCs/>
                <w:color w:val="auto"/>
                <w:sz w:val="21"/>
                <w:highlight w:val="none"/>
              </w:rPr>
              <w:t>”、“电子签名”</w:t>
            </w:r>
            <w:r>
              <w:rPr>
                <w:rFonts w:hint="eastAsia" w:hAnsi="宋体" w:cs="宋体"/>
                <w:color w:val="auto"/>
                <w:sz w:val="21"/>
                <w:highlight w:val="none"/>
              </w:rPr>
              <w:t>，是指经广西政府采购云平台认可的CA认证的电子签名数据为表现形式的印章，可用于签署电子投标文件，电子印章与实物印章具有同等法律效力，不因其采用电子化表现形式而否定其法律效力。</w:t>
            </w:r>
          </w:p>
          <w:p w14:paraId="79F3FD1D">
            <w:pPr>
              <w:pStyle w:val="25"/>
              <w:snapToGrid w:val="0"/>
              <w:spacing w:line="360" w:lineRule="auto"/>
              <w:rPr>
                <w:rFonts w:hAnsi="宋体" w:cs="宋体"/>
                <w:bCs/>
                <w:color w:val="auto"/>
                <w:sz w:val="21"/>
                <w:highlight w:val="none"/>
              </w:rPr>
            </w:pPr>
            <w:r>
              <w:rPr>
                <w:rFonts w:hint="eastAsia" w:hAnsi="宋体" w:cs="宋体"/>
                <w:bCs/>
                <w:color w:val="auto"/>
                <w:sz w:val="21"/>
                <w:highlight w:val="none"/>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38CE516E">
            <w:pPr>
              <w:pStyle w:val="25"/>
              <w:snapToGrid w:val="0"/>
              <w:spacing w:line="360" w:lineRule="auto"/>
              <w:rPr>
                <w:rFonts w:hAnsi="宋体" w:cs="宋体"/>
                <w:bCs/>
                <w:color w:val="auto"/>
                <w:sz w:val="21"/>
                <w:highlight w:val="none"/>
              </w:rPr>
            </w:pPr>
            <w:r>
              <w:rPr>
                <w:rFonts w:hint="eastAsia" w:hAnsi="宋体" w:cs="宋体"/>
                <w:bCs/>
                <w:color w:val="auto"/>
                <w:sz w:val="21"/>
                <w:highlight w:val="none"/>
              </w:rPr>
              <w:t>4.本招标文件中描述投标人的“签字”是指投标人的法定代表人或者委托代理人亲自在文件规定签字处亲笔写上个人的名字的行为，私章、签字章、印鉴、影印等其他形式均不能代替亲笔签字。</w:t>
            </w:r>
          </w:p>
          <w:p w14:paraId="1853E6B4">
            <w:pPr>
              <w:spacing w:line="360" w:lineRule="auto"/>
              <w:jc w:val="left"/>
              <w:rPr>
                <w:rFonts w:ascii="宋体" w:hAnsi="宋体" w:cs="宋体"/>
                <w:color w:val="auto"/>
                <w:szCs w:val="21"/>
                <w:highlight w:val="none"/>
              </w:rPr>
            </w:pPr>
            <w:r>
              <w:rPr>
                <w:rFonts w:hint="eastAsia" w:ascii="宋体" w:hAnsi="宋体" w:cs="宋体"/>
                <w:bCs/>
                <w:color w:val="auto"/>
                <w:highlight w:val="none"/>
              </w:rPr>
              <w:t>5.</w:t>
            </w:r>
            <w:r>
              <w:rPr>
                <w:rFonts w:hint="eastAsia" w:ascii="宋体" w:hAnsi="宋体" w:cs="宋体"/>
                <w:bCs/>
                <w:color w:val="auto"/>
                <w:kern w:val="0"/>
                <w:szCs w:val="21"/>
                <w:highlight w:val="none"/>
              </w:rPr>
              <w:t>本招标文件所称的“以上”“以下”“以内”“届满”，包括本数；所称的“不满”“超过”“以外”，不包括本数。</w:t>
            </w:r>
          </w:p>
        </w:tc>
      </w:tr>
    </w:tbl>
    <w:p w14:paraId="636C3634">
      <w:pPr>
        <w:pStyle w:val="4"/>
        <w:keepNext w:val="0"/>
        <w:keepLines w:val="0"/>
        <w:jc w:val="center"/>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投标人须知正文</w:t>
      </w:r>
    </w:p>
    <w:p w14:paraId="007CD182">
      <w:pPr>
        <w:pStyle w:val="4"/>
        <w:keepNext w:val="0"/>
        <w:keepLines w:val="0"/>
        <w:jc w:val="center"/>
        <w:rPr>
          <w:rFonts w:ascii="宋体" w:hAnsi="宋体" w:cs="宋体"/>
          <w:color w:val="auto"/>
          <w:highlight w:val="none"/>
        </w:rPr>
      </w:pPr>
      <w:r>
        <w:rPr>
          <w:rFonts w:hint="eastAsia" w:ascii="宋体" w:hAnsi="宋体" w:cs="宋体"/>
          <w:color w:val="auto"/>
          <w:highlight w:val="none"/>
        </w:rPr>
        <w:t>一、总  则</w:t>
      </w:r>
    </w:p>
    <w:p w14:paraId="0F5FFBD5">
      <w:pPr>
        <w:pStyle w:val="6"/>
        <w:keepNext w:val="0"/>
        <w:keepLines w:val="0"/>
        <w:spacing w:before="0" w:after="0" w:line="360" w:lineRule="auto"/>
        <w:ind w:left="420" w:leftChars="200"/>
        <w:rPr>
          <w:rFonts w:ascii="宋体" w:hAnsi="宋体" w:cs="宋体"/>
          <w:color w:val="auto"/>
          <w:sz w:val="24"/>
          <w:highlight w:val="none"/>
        </w:rPr>
      </w:pPr>
      <w:bookmarkStart w:id="74" w:name="_Toc254970527"/>
      <w:bookmarkStart w:id="75" w:name="_Toc254970668"/>
      <w:r>
        <w:rPr>
          <w:rFonts w:hint="eastAsia" w:ascii="宋体" w:hAnsi="宋体" w:cs="宋体"/>
          <w:color w:val="auto"/>
          <w:sz w:val="24"/>
          <w:highlight w:val="none"/>
        </w:rPr>
        <w:t>1.适用范围</w:t>
      </w:r>
      <w:bookmarkEnd w:id="74"/>
      <w:bookmarkEnd w:id="75"/>
    </w:p>
    <w:p w14:paraId="0819CB0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25935DF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63B5F4A2">
      <w:pPr>
        <w:pStyle w:val="6"/>
        <w:keepNext w:val="0"/>
        <w:keepLines w:val="0"/>
        <w:spacing w:before="0" w:after="0" w:line="360" w:lineRule="auto"/>
        <w:ind w:left="420" w:leftChars="200"/>
        <w:rPr>
          <w:rFonts w:ascii="宋体" w:hAnsi="宋体" w:cs="宋体"/>
          <w:color w:val="auto"/>
          <w:sz w:val="24"/>
          <w:highlight w:val="none"/>
        </w:rPr>
      </w:pPr>
      <w:bookmarkStart w:id="76" w:name="_Toc254970528"/>
      <w:bookmarkStart w:id="77" w:name="_Toc254970669"/>
      <w:r>
        <w:rPr>
          <w:rFonts w:hint="eastAsia" w:ascii="宋体" w:hAnsi="宋体" w:cs="宋体"/>
          <w:color w:val="auto"/>
          <w:sz w:val="24"/>
          <w:highlight w:val="none"/>
        </w:rPr>
        <w:t>2.定义</w:t>
      </w:r>
      <w:bookmarkEnd w:id="76"/>
      <w:bookmarkEnd w:id="77"/>
    </w:p>
    <w:p w14:paraId="34DD459F">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2.1“采购人”是指依法进行政府采购的国家机关、事业单位、团体组织。</w:t>
      </w:r>
    </w:p>
    <w:p w14:paraId="5C27DC20">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2.2“采购代理机构”是指政府采购集中采购机构和集中采购机构以外的采购代理机构。</w:t>
      </w:r>
    </w:p>
    <w:p w14:paraId="2D8E5107">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2.3“供应商”是指向采购人提供货物、工程或者服务的法人、其他组织或者自然人。</w:t>
      </w:r>
    </w:p>
    <w:p w14:paraId="7FC288D9">
      <w:pPr>
        <w:pStyle w:val="8"/>
        <w:spacing w:line="360" w:lineRule="auto"/>
        <w:rPr>
          <w:rFonts w:ascii="宋体" w:hAnsi="宋体" w:cs="宋体"/>
          <w:color w:val="auto"/>
          <w:szCs w:val="21"/>
          <w:highlight w:val="none"/>
        </w:rPr>
      </w:pPr>
      <w:r>
        <w:rPr>
          <w:rFonts w:hint="eastAsia" w:ascii="宋体" w:hAnsi="宋体" w:cs="宋体"/>
          <w:color w:val="auto"/>
          <w:szCs w:val="21"/>
          <w:highlight w:val="none"/>
        </w:rPr>
        <w:t>2.4“投标人”是指响应招标、参加投标竞争的法人、其他组织或者自然人。</w:t>
      </w:r>
    </w:p>
    <w:p w14:paraId="123FF247">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2.5“服务”是指除货物和工程以外的其他政府采购对象。</w:t>
      </w:r>
    </w:p>
    <w:p w14:paraId="1C07530E">
      <w:pPr>
        <w:pStyle w:val="6"/>
        <w:keepNext w:val="0"/>
        <w:keepLines w:val="0"/>
        <w:spacing w:before="0" w:after="0" w:line="360" w:lineRule="auto"/>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2.6“书面形式”是指合同书、信件和数据电文（包括电报、电传、传真、电子数据交换和电子邮件）等可以有形地表现所载内容的形式。</w:t>
      </w:r>
    </w:p>
    <w:p w14:paraId="20893DB4">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2.7“实质性要求”是指招标文件中已经指明不满足则投标无效的条款，或者不能负偏离的条款，或者采购需求中带“▲”的条款。</w:t>
      </w:r>
    </w:p>
    <w:p w14:paraId="5FB9567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2.8“正偏离”，是指投标文件对招标文件“采购需求”中有关条款作出的响应优于条款要求并有利于采购人的情形。</w:t>
      </w:r>
    </w:p>
    <w:p w14:paraId="32B0C3B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2.9“负偏离”，是指投标文件对招标文件“采购需求”中有关条款作出的响应不满足条款要求，导致采购人要求不能得到满足的情形。</w:t>
      </w:r>
    </w:p>
    <w:p w14:paraId="3E839497">
      <w:pPr>
        <w:pStyle w:val="6"/>
        <w:keepNext w:val="0"/>
        <w:keepLines w:val="0"/>
        <w:spacing w:before="0" w:after="0" w:line="360" w:lineRule="auto"/>
        <w:ind w:left="420" w:leftChars="200"/>
        <w:rPr>
          <w:rFonts w:ascii="宋体" w:hAnsi="宋体" w:cs="宋体"/>
          <w:color w:val="auto"/>
          <w:sz w:val="24"/>
          <w:highlight w:val="none"/>
        </w:rPr>
      </w:pPr>
      <w:bookmarkStart w:id="78" w:name="_Toc254970529"/>
      <w:bookmarkStart w:id="79" w:name="_Toc254970670"/>
      <w:r>
        <w:rPr>
          <w:rFonts w:hint="eastAsia" w:ascii="宋体" w:hAnsi="宋体" w:cs="宋体"/>
          <w:color w:val="auto"/>
          <w:sz w:val="24"/>
          <w:highlight w:val="none"/>
        </w:rPr>
        <w:t>3.</w:t>
      </w:r>
      <w:bookmarkEnd w:id="78"/>
      <w:bookmarkEnd w:id="79"/>
      <w:r>
        <w:rPr>
          <w:rFonts w:hint="eastAsia" w:ascii="宋体" w:hAnsi="宋体" w:cs="宋体"/>
          <w:color w:val="auto"/>
          <w:sz w:val="24"/>
          <w:highlight w:val="none"/>
        </w:rPr>
        <w:t>投标人的资格要求</w:t>
      </w:r>
    </w:p>
    <w:p w14:paraId="30E04DC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投标人的资格要求详见“投标人须知前附表”。</w:t>
      </w:r>
    </w:p>
    <w:p w14:paraId="5014C7AA">
      <w:pPr>
        <w:pStyle w:val="6"/>
        <w:keepNext w:val="0"/>
        <w:keepLines w:val="0"/>
        <w:spacing w:before="0" w:after="0" w:line="360" w:lineRule="auto"/>
        <w:ind w:left="420" w:leftChars="200"/>
        <w:rPr>
          <w:rFonts w:ascii="宋体" w:hAnsi="宋体" w:cs="宋体"/>
          <w:color w:val="auto"/>
          <w:sz w:val="24"/>
          <w:highlight w:val="none"/>
        </w:rPr>
      </w:pPr>
      <w:bookmarkStart w:id="80" w:name="_Toc254970671"/>
      <w:bookmarkStart w:id="81" w:name="_Toc254970530"/>
      <w:r>
        <w:rPr>
          <w:rFonts w:hint="eastAsia" w:ascii="宋体" w:hAnsi="宋体" w:cs="宋体"/>
          <w:color w:val="auto"/>
          <w:sz w:val="24"/>
          <w:highlight w:val="none"/>
        </w:rPr>
        <w:t>4.投标委托</w:t>
      </w:r>
      <w:bookmarkEnd w:id="80"/>
      <w:bookmarkEnd w:id="81"/>
    </w:p>
    <w:p w14:paraId="24E8D945">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投标人代表参加投标活动过程中必须携带个人有效身份证件。如投标人代表不是法定代表人，须持有授权委托书（正本用原件，副本用复印件，按第六章要求格式填写）。</w:t>
      </w:r>
    </w:p>
    <w:p w14:paraId="4F5746EB">
      <w:pPr>
        <w:pStyle w:val="6"/>
        <w:keepNext w:val="0"/>
        <w:keepLines w:val="0"/>
        <w:spacing w:before="0" w:after="0" w:line="360" w:lineRule="auto"/>
        <w:ind w:left="420" w:leftChars="200"/>
        <w:rPr>
          <w:rFonts w:ascii="宋体" w:hAnsi="宋体" w:cs="宋体"/>
          <w:color w:val="auto"/>
          <w:sz w:val="24"/>
          <w:highlight w:val="none"/>
        </w:rPr>
      </w:pPr>
      <w:bookmarkStart w:id="82" w:name="_5.投标费用"/>
      <w:bookmarkEnd w:id="82"/>
      <w:bookmarkStart w:id="83" w:name="_Toc254970531"/>
      <w:bookmarkStart w:id="84" w:name="_Toc254970672"/>
      <w:r>
        <w:rPr>
          <w:rFonts w:hint="eastAsia" w:ascii="宋体" w:hAnsi="宋体" w:cs="宋体"/>
          <w:color w:val="auto"/>
          <w:sz w:val="24"/>
          <w:highlight w:val="none"/>
        </w:rPr>
        <w:t>5.投标费用</w:t>
      </w:r>
      <w:bookmarkEnd w:id="83"/>
      <w:bookmarkEnd w:id="84"/>
    </w:p>
    <w:p w14:paraId="5B7BD3F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14:paraId="20109C2D">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6.联合体投标</w:t>
      </w:r>
    </w:p>
    <w:p w14:paraId="7D53379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6.1本项目是否接受联合体投标，详见“投标人须知前附表”。</w:t>
      </w:r>
    </w:p>
    <w:p w14:paraId="007FAB6B">
      <w:pPr>
        <w:snapToGrid w:val="0"/>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6.2如接受联合体投标，联合体投标要求详见“投标人须知前附表”。</w:t>
      </w:r>
    </w:p>
    <w:p w14:paraId="48EAC039">
      <w:pPr>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6.3</w:t>
      </w:r>
      <w:r>
        <w:rPr>
          <w:rFonts w:hint="eastAsia" w:ascii="宋体" w:hAnsi="宋体" w:cs="宋体"/>
          <w:color w:val="auto"/>
          <w:szCs w:val="21"/>
          <w:highlight w:val="none"/>
        </w:rPr>
        <w:t>根据《政府采购促进中小企业发展管理办法》（财库〔2020〕46号）第九条第二款及 《广西壮族自治区财政厅关于贯彻落实政府采购支持中小企业发展政策的通知》（桂财采〔2022〕31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p>
    <w:p w14:paraId="1615E14A">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 xml:space="preserve">7.转包与分包             </w:t>
      </w:r>
    </w:p>
    <w:p w14:paraId="21D759F6">
      <w:pPr>
        <w:pStyle w:val="6"/>
        <w:keepNext w:val="0"/>
        <w:keepLines w:val="0"/>
        <w:spacing w:before="0" w:after="0" w:line="360" w:lineRule="auto"/>
        <w:ind w:left="420" w:leftChars="200"/>
        <w:rPr>
          <w:rFonts w:ascii="宋体" w:hAnsi="宋体" w:cs="宋体"/>
          <w:b w:val="0"/>
          <w:color w:val="auto"/>
          <w:sz w:val="21"/>
          <w:szCs w:val="21"/>
          <w:highlight w:val="none"/>
        </w:rPr>
      </w:pPr>
      <w:bookmarkStart w:id="85" w:name="_Toc254970673"/>
      <w:bookmarkStart w:id="86" w:name="_Toc254970532"/>
      <w:r>
        <w:rPr>
          <w:rFonts w:hint="eastAsia" w:ascii="宋体" w:hAnsi="宋体" w:cs="宋体"/>
          <w:b w:val="0"/>
          <w:color w:val="auto"/>
          <w:sz w:val="21"/>
          <w:szCs w:val="21"/>
          <w:highlight w:val="none"/>
        </w:rPr>
        <w:t>7.1本项目不允许转包。</w:t>
      </w:r>
    </w:p>
    <w:p w14:paraId="2069C921">
      <w:pPr>
        <w:pStyle w:val="6"/>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0166F328">
      <w:pPr>
        <w:pStyle w:val="6"/>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2458A890">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8.特别说明</w:t>
      </w:r>
      <w:bookmarkEnd w:id="85"/>
      <w:bookmarkEnd w:id="86"/>
    </w:p>
    <w:p w14:paraId="56089B51">
      <w:pPr>
        <w:pStyle w:val="6"/>
        <w:keepNext w:val="0"/>
        <w:keepLines w:val="0"/>
        <w:spacing w:before="0" w:after="0" w:line="360" w:lineRule="auto"/>
        <w:ind w:firstLine="562" w:firstLineChars="200"/>
        <w:rPr>
          <w:rFonts w:ascii="宋体" w:hAnsi="宋体" w:cs="宋体"/>
          <w:b w:val="0"/>
          <w:color w:val="auto"/>
          <w:sz w:val="21"/>
          <w:szCs w:val="21"/>
          <w:highlight w:val="none"/>
        </w:rPr>
      </w:pPr>
      <w:r>
        <w:rPr>
          <w:color w:val="auto"/>
          <w:highlight w:val="none"/>
        </w:rPr>
        <w:fldChar w:fldCharType="begin"/>
      </w:r>
      <w:r>
        <w:rPr>
          <w:color w:val="auto"/>
          <w:highlight w:val="none"/>
        </w:rPr>
        <w:instrText xml:space="preserve"> HYPERLINK \l "_8.1" </w:instrText>
      </w:r>
      <w:r>
        <w:rPr>
          <w:color w:val="auto"/>
          <w:highlight w:val="none"/>
        </w:rPr>
        <w:fldChar w:fldCharType="separate"/>
      </w:r>
      <w:r>
        <w:rPr>
          <w:rFonts w:hint="eastAsia" w:ascii="宋体" w:hAnsi="宋体" w:cs="宋体"/>
          <w:b w:val="0"/>
          <w:color w:val="auto"/>
          <w:sz w:val="21"/>
          <w:szCs w:val="21"/>
          <w:highlight w:val="none"/>
        </w:rPr>
        <w:t>8.1</w:t>
      </w:r>
      <w:r>
        <w:rPr>
          <w:rFonts w:hint="eastAsia" w:ascii="宋体" w:hAnsi="宋体" w:cs="宋体"/>
          <w:b w:val="0"/>
          <w:color w:val="auto"/>
          <w:sz w:val="21"/>
          <w:szCs w:val="21"/>
          <w:highlight w:val="none"/>
        </w:rPr>
        <w:fldChar w:fldCharType="end"/>
      </w:r>
      <w:r>
        <w:rPr>
          <w:rFonts w:hint="eastAsia" w:ascii="宋体" w:hAnsi="宋体" w:cs="宋体"/>
          <w:b w:val="0"/>
          <w:color w:val="auto"/>
          <w:sz w:val="21"/>
          <w:szCs w:val="21"/>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Pr>
          <w:rFonts w:hint="eastAsia" w:ascii="宋体" w:hAnsi="宋体" w:cs="宋体"/>
          <w:color w:val="auto"/>
          <w:sz w:val="22"/>
          <w:szCs w:val="22"/>
          <w:highlight w:val="none"/>
        </w:rPr>
        <w:t>其他投标无效。</w:t>
      </w:r>
    </w:p>
    <w:p w14:paraId="087391CF">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14:paraId="20F9C136">
      <w:pPr>
        <w:pStyle w:val="25"/>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非单一产品采购项目，多家投标人提供的核心产品品牌相同的，</w:t>
      </w:r>
      <w:r>
        <w:rPr>
          <w:rFonts w:hint="eastAsia" w:hAnsi="宋体" w:cs="宋体"/>
          <w:color w:val="auto"/>
          <w:sz w:val="22"/>
          <w:szCs w:val="22"/>
          <w:highlight w:val="none"/>
        </w:rPr>
        <w:t>按前两款规定处理</w:t>
      </w:r>
      <w:r>
        <w:rPr>
          <w:rFonts w:hint="eastAsia" w:hAnsi="宋体" w:cs="宋体"/>
          <w:color w:val="auto"/>
          <w:kern w:val="2"/>
          <w:sz w:val="21"/>
          <w:highlight w:val="none"/>
        </w:rPr>
        <w:t>。</w:t>
      </w:r>
    </w:p>
    <w:p w14:paraId="5A8FC99C">
      <w:pPr>
        <w:pStyle w:val="6"/>
        <w:keepNext w:val="0"/>
        <w:keepLines w:val="0"/>
        <w:spacing w:before="0" w:after="0" w:line="360" w:lineRule="auto"/>
        <w:ind w:firstLine="367" w:firstLineChars="175"/>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8.2如果本招标文件要求提供投标人或制造商的资格、信誉、荣誉、业绩与企业认证等材料的，资格、信誉、荣誉、业绩与企业认证等必须为投标人或者制造商所拥有或自身获得 。</w:t>
      </w:r>
    </w:p>
    <w:p w14:paraId="2C97EBED">
      <w:pPr>
        <w:pStyle w:val="6"/>
        <w:keepNext w:val="0"/>
        <w:keepLines w:val="0"/>
        <w:spacing w:before="0" w:after="0" w:line="360" w:lineRule="auto"/>
        <w:ind w:firstLine="367" w:firstLineChars="175"/>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8.3投标人应仔细阅读招标文件的所有内容，按照招标文件的要求提交投标文件，并对所提供的全部资料的真实性承担法律责任。</w:t>
      </w:r>
    </w:p>
    <w:p w14:paraId="3CBDCD5A">
      <w:pPr>
        <w:pStyle w:val="6"/>
        <w:keepNext w:val="0"/>
        <w:keepLines w:val="0"/>
        <w:spacing w:before="0" w:after="0" w:line="360" w:lineRule="auto"/>
        <w:ind w:firstLine="367" w:firstLineChars="175"/>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8.4投标人在投标活动中提供任何虚假材料，将报监管部门查处；中标后发现的，中标人须依照《中华人民共和国消费者权益保护法》规定赔偿采购人，且民事赔偿并不免除违法投标人的行政与刑事责任。</w:t>
      </w:r>
    </w:p>
    <w:p w14:paraId="4AE268D6">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9.回避与串通投标</w:t>
      </w:r>
    </w:p>
    <w:p w14:paraId="0D185B75">
      <w:pPr>
        <w:pStyle w:val="6"/>
        <w:keepNext w:val="0"/>
        <w:keepLines w:val="0"/>
        <w:spacing w:before="0" w:after="0" w:line="360" w:lineRule="auto"/>
        <w:ind w:firstLine="367" w:firstLineChars="175"/>
        <w:rPr>
          <w:rFonts w:ascii="宋体" w:hAnsi="宋体" w:cs="宋体"/>
          <w:b w:val="0"/>
          <w:color w:val="auto"/>
          <w:sz w:val="21"/>
          <w:szCs w:val="21"/>
          <w:highlight w:val="none"/>
        </w:rPr>
      </w:pPr>
      <w:r>
        <w:rPr>
          <w:rFonts w:hint="eastAsia" w:ascii="宋体" w:hAnsi="宋体" w:cs="宋体"/>
          <w:b w:val="0"/>
          <w:color w:val="auto"/>
          <w:sz w:val="21"/>
          <w:szCs w:val="21"/>
          <w:highlight w:val="none"/>
        </w:rPr>
        <w:t>9.1在政府采购活动中，采购人员及相关人员与供应商有下列利害关系之一的，应当回避：</w:t>
      </w:r>
    </w:p>
    <w:p w14:paraId="43F76722">
      <w:pPr>
        <w:pStyle w:val="25"/>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（1）参加采购活动前3年内与供应商存在劳动关系；</w:t>
      </w:r>
    </w:p>
    <w:p w14:paraId="7E7B198C">
      <w:pPr>
        <w:pStyle w:val="25"/>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（2）参加采购活动前3年内担任供应商的董事、监事；</w:t>
      </w:r>
    </w:p>
    <w:p w14:paraId="5AC5257D">
      <w:pPr>
        <w:pStyle w:val="25"/>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（3）参加采购活动前3年内是供应商的控股股东或者实际控制人；</w:t>
      </w:r>
    </w:p>
    <w:p w14:paraId="6C39C157">
      <w:pPr>
        <w:pStyle w:val="25"/>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（4）与供应商的法定代表人或者负责人有夫妻、直系血亲、三代以内旁系血亲或者近姻亲关系；</w:t>
      </w:r>
    </w:p>
    <w:p w14:paraId="5A211659">
      <w:pPr>
        <w:pStyle w:val="25"/>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（5）与供应商有其他可能影响政府采购活动公平、公正进行的关系。</w:t>
      </w:r>
    </w:p>
    <w:p w14:paraId="54030123">
      <w:pPr>
        <w:pStyle w:val="25"/>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CC552DC">
      <w:pPr>
        <w:pStyle w:val="6"/>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9.2有下列情形之一的视为投标人相互串通投标，投标文件将被视为无效：</w:t>
      </w:r>
    </w:p>
    <w:p w14:paraId="608C064C">
      <w:pPr>
        <w:pStyle w:val="25"/>
        <w:snapToGrid w:val="0"/>
        <w:spacing w:line="360" w:lineRule="auto"/>
        <w:ind w:left="2" w:leftChars="1" w:firstLine="422" w:firstLineChars="200"/>
        <w:rPr>
          <w:rFonts w:hAnsi="宋体" w:cs="宋体"/>
          <w:b/>
          <w:color w:val="auto"/>
          <w:kern w:val="2"/>
          <w:sz w:val="21"/>
          <w:highlight w:val="none"/>
        </w:rPr>
      </w:pPr>
      <w:r>
        <w:rPr>
          <w:rFonts w:hint="eastAsia" w:hAnsi="宋体" w:cs="宋体"/>
          <w:b/>
          <w:color w:val="auto"/>
          <w:kern w:val="2"/>
          <w:sz w:val="21"/>
          <w:highlight w:val="none"/>
        </w:rPr>
        <w:t xml:space="preserve">（1）不同投标人的投标文件由同一单位或者个人编制； </w:t>
      </w:r>
    </w:p>
    <w:p w14:paraId="271C009A">
      <w:pPr>
        <w:pStyle w:val="25"/>
        <w:snapToGrid w:val="0"/>
        <w:spacing w:line="360" w:lineRule="auto"/>
        <w:ind w:left="2" w:leftChars="1" w:firstLine="422" w:firstLineChars="200"/>
        <w:rPr>
          <w:rFonts w:hAnsi="宋体" w:cs="宋体"/>
          <w:b/>
          <w:color w:val="auto"/>
          <w:kern w:val="2"/>
          <w:sz w:val="21"/>
          <w:highlight w:val="none"/>
        </w:rPr>
      </w:pPr>
      <w:r>
        <w:rPr>
          <w:rFonts w:hint="eastAsia" w:hAnsi="宋体" w:cs="宋体"/>
          <w:b/>
          <w:color w:val="auto"/>
          <w:kern w:val="2"/>
          <w:sz w:val="21"/>
          <w:highlight w:val="none"/>
        </w:rPr>
        <w:t>（2）不同投标人委托同一单位或者个人办理投标事宜；</w:t>
      </w:r>
    </w:p>
    <w:p w14:paraId="17695BB7">
      <w:pPr>
        <w:pStyle w:val="25"/>
        <w:snapToGrid w:val="0"/>
        <w:spacing w:line="360" w:lineRule="auto"/>
        <w:ind w:left="2" w:leftChars="1" w:firstLine="422" w:firstLineChars="200"/>
        <w:rPr>
          <w:rFonts w:hAnsi="宋体" w:cs="宋体"/>
          <w:b/>
          <w:color w:val="auto"/>
          <w:kern w:val="2"/>
          <w:sz w:val="21"/>
          <w:highlight w:val="none"/>
        </w:rPr>
      </w:pPr>
      <w:r>
        <w:rPr>
          <w:rFonts w:hint="eastAsia" w:hAnsi="宋体" w:cs="宋体"/>
          <w:b/>
          <w:color w:val="auto"/>
          <w:kern w:val="2"/>
          <w:sz w:val="21"/>
          <w:highlight w:val="none"/>
        </w:rPr>
        <w:t>（3）不同的投标人的投标文件载明的项目管理员为同一个人；</w:t>
      </w:r>
    </w:p>
    <w:p w14:paraId="4B62AFD9">
      <w:pPr>
        <w:pStyle w:val="25"/>
        <w:snapToGrid w:val="0"/>
        <w:spacing w:line="360" w:lineRule="auto"/>
        <w:ind w:left="2" w:leftChars="1" w:firstLine="422" w:firstLineChars="200"/>
        <w:rPr>
          <w:rFonts w:hAnsi="宋体" w:cs="宋体"/>
          <w:b/>
          <w:color w:val="auto"/>
          <w:kern w:val="2"/>
          <w:sz w:val="21"/>
          <w:highlight w:val="none"/>
        </w:rPr>
      </w:pPr>
      <w:r>
        <w:rPr>
          <w:rFonts w:hint="eastAsia" w:hAnsi="宋体" w:cs="宋体"/>
          <w:b/>
          <w:color w:val="auto"/>
          <w:kern w:val="2"/>
          <w:sz w:val="21"/>
          <w:highlight w:val="none"/>
        </w:rPr>
        <w:t>（4）不同投标人的投标文件异常一致或者投标报价呈规律性差异；</w:t>
      </w:r>
    </w:p>
    <w:p w14:paraId="0D89631F">
      <w:pPr>
        <w:pStyle w:val="25"/>
        <w:snapToGrid w:val="0"/>
        <w:spacing w:line="360" w:lineRule="auto"/>
        <w:ind w:left="2" w:leftChars="1" w:firstLine="422" w:firstLineChars="200"/>
        <w:rPr>
          <w:rFonts w:hAnsi="宋体" w:cs="宋体"/>
          <w:b/>
          <w:color w:val="auto"/>
          <w:kern w:val="2"/>
          <w:sz w:val="21"/>
          <w:highlight w:val="none"/>
        </w:rPr>
      </w:pPr>
      <w:r>
        <w:rPr>
          <w:rFonts w:hint="eastAsia" w:hAnsi="宋体" w:cs="宋体"/>
          <w:b/>
          <w:color w:val="auto"/>
          <w:kern w:val="2"/>
          <w:sz w:val="21"/>
          <w:highlight w:val="none"/>
        </w:rPr>
        <w:t>（5）不同投标人的投标文件相互混装；</w:t>
      </w:r>
    </w:p>
    <w:p w14:paraId="27A2E46E">
      <w:pPr>
        <w:pStyle w:val="25"/>
        <w:snapToGrid w:val="0"/>
        <w:spacing w:line="360" w:lineRule="auto"/>
        <w:ind w:left="2" w:leftChars="1" w:firstLine="422" w:firstLineChars="200"/>
        <w:rPr>
          <w:rFonts w:hAnsi="宋体" w:cs="宋体"/>
          <w:b/>
          <w:color w:val="auto"/>
          <w:kern w:val="2"/>
          <w:sz w:val="21"/>
          <w:highlight w:val="none"/>
        </w:rPr>
      </w:pPr>
      <w:r>
        <w:rPr>
          <w:rFonts w:hint="eastAsia" w:hAnsi="宋体" w:cs="宋体"/>
          <w:b/>
          <w:color w:val="auto"/>
          <w:kern w:val="2"/>
          <w:sz w:val="21"/>
          <w:highlight w:val="none"/>
        </w:rPr>
        <w:t>（6）不同投标人的投标保证金从同一单位或者个人账户转出。</w:t>
      </w:r>
    </w:p>
    <w:p w14:paraId="67D75E03">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9.3供应商有下列情形之一的，属于恶意串通行为，将报同级监督管理部门：</w:t>
      </w:r>
    </w:p>
    <w:p w14:paraId="35BEFDB9">
      <w:pPr>
        <w:pStyle w:val="25"/>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（1）供应商直接或者间接从采购人或者采购代理机构处获得其他供应商的相关信息并修改其投标文件或者响应文件；</w:t>
      </w:r>
    </w:p>
    <w:p w14:paraId="56E619E7">
      <w:pPr>
        <w:pStyle w:val="25"/>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（2）供应商按照采购人或者采购代理机构的授意撤换、修改投标文件或者响应文件；</w:t>
      </w:r>
    </w:p>
    <w:p w14:paraId="118E41B0">
      <w:pPr>
        <w:pStyle w:val="25"/>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（3）供应商之间协商报价、技术方案等投标文件或者响应文件的实质性内容；</w:t>
      </w:r>
    </w:p>
    <w:p w14:paraId="79FC9475">
      <w:pPr>
        <w:pStyle w:val="25"/>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（4）属于同一集团、协会、商会等组织成员的供应商按照该组织要求协同参加政府采购活动；</w:t>
      </w:r>
    </w:p>
    <w:p w14:paraId="0262FF76">
      <w:pPr>
        <w:pStyle w:val="25"/>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（5）供应商之间事先约定一致抬高或者压低投标报价，或者在招标项目中事先约定轮流以高价位或者低价位中标，或者事先约定由某一特定供应商中标，然后再参加投标；</w:t>
      </w:r>
    </w:p>
    <w:p w14:paraId="6EF29EB1">
      <w:pPr>
        <w:pStyle w:val="25"/>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（6）供应商之间商定部分供应商放弃参加政府采购活动或者放弃中标；</w:t>
      </w:r>
    </w:p>
    <w:p w14:paraId="5F227B61">
      <w:pPr>
        <w:pStyle w:val="25"/>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（7）供应商与采购人或者采购代理机构之间、供应商相互之间，为谋求特定供应商中标或者排斥其他供应商的其他串通行为。</w:t>
      </w:r>
    </w:p>
    <w:p w14:paraId="69771BAF">
      <w:pPr>
        <w:pStyle w:val="25"/>
        <w:snapToGrid w:val="0"/>
        <w:spacing w:line="360" w:lineRule="auto"/>
        <w:ind w:left="2" w:leftChars="1" w:firstLine="422" w:firstLineChars="200"/>
        <w:rPr>
          <w:rFonts w:hAnsi="宋体" w:cs="宋体"/>
          <w:b/>
          <w:color w:val="auto"/>
          <w:kern w:val="2"/>
          <w:sz w:val="21"/>
          <w:highlight w:val="none"/>
        </w:rPr>
      </w:pPr>
    </w:p>
    <w:p w14:paraId="6FAAA66C">
      <w:pPr>
        <w:pStyle w:val="4"/>
        <w:keepNext w:val="0"/>
        <w:keepLines w:val="0"/>
        <w:jc w:val="center"/>
        <w:rPr>
          <w:rFonts w:ascii="宋体" w:hAnsi="宋体" w:cs="宋体"/>
          <w:color w:val="auto"/>
          <w:highlight w:val="none"/>
        </w:rPr>
      </w:pPr>
      <w:bookmarkStart w:id="87" w:name="_Toc254970534"/>
      <w:bookmarkStart w:id="88" w:name="_Toc254970675"/>
      <w:r>
        <w:rPr>
          <w:rFonts w:hint="eastAsia" w:ascii="宋体" w:hAnsi="宋体" w:cs="宋体"/>
          <w:color w:val="auto"/>
          <w:highlight w:val="none"/>
        </w:rPr>
        <w:t>二、招标文件</w:t>
      </w:r>
      <w:bookmarkEnd w:id="87"/>
      <w:bookmarkEnd w:id="88"/>
    </w:p>
    <w:p w14:paraId="752D3209">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10.招标文件的组成</w:t>
      </w:r>
    </w:p>
    <w:p w14:paraId="1F964312">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（1）招标公告；</w:t>
      </w:r>
    </w:p>
    <w:p w14:paraId="4DA78BF8">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 xml:space="preserve">（2）采购需求； </w:t>
      </w:r>
    </w:p>
    <w:p w14:paraId="0C5F6AFF">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（3）投标人须知；</w:t>
      </w:r>
    </w:p>
    <w:p w14:paraId="1B84FAFC">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（4）评标方法及评标标准；</w:t>
      </w:r>
    </w:p>
    <w:p w14:paraId="7C63B92A">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（5）拟签订的合同文本；</w:t>
      </w:r>
    </w:p>
    <w:p w14:paraId="7DED5482">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（6）投标文件格式。</w:t>
      </w:r>
    </w:p>
    <w:p w14:paraId="4085D0A2">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11.招标文件的澄清、修改 、现场考察、答疑会、质疑和投诉</w:t>
      </w:r>
    </w:p>
    <w:p w14:paraId="348900EB">
      <w:pPr>
        <w:pStyle w:val="6"/>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04F5376F">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488080E3">
      <w:pPr>
        <w:pStyle w:val="25"/>
        <w:snapToGrid w:val="0"/>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11.2</w:t>
      </w:r>
      <w:bookmarkStart w:id="89" w:name="_Hlk53134511"/>
      <w:r>
        <w:rPr>
          <w:rFonts w:hint="eastAsia" w:hAnsi="宋体" w:cs="宋体"/>
          <w:color w:val="auto"/>
          <w:sz w:val="21"/>
          <w:highlight w:val="none"/>
        </w:rPr>
        <w:t>采购人或者采购代理机构可以在招标文件提供期限截止后，组织已获取招标文件的潜在投标人现场考察或者召开开标前答疑会，具体详见“投标人须知前附表”。</w:t>
      </w:r>
    </w:p>
    <w:p w14:paraId="134E9E50">
      <w:pPr>
        <w:pStyle w:val="25"/>
        <w:snapToGrid w:val="0"/>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11.3投标人认为招标文件、招标过程或中标结果使自己的合法权益受到损害的，应当在知道或者应知其权益受到损害之日起七个工作日内，以书面形式向采购人、采购代理机构提出质疑，但要求投标人在法定质疑期内一次性提出针对同一采购程序环节的质疑。投标人对招标采购单位的质疑答复不满意或者招标采购单位未在规定时间内作出答复的，可以在答复期满后十五个工作日内向同级采购监管部门投诉。</w:t>
      </w:r>
    </w:p>
    <w:p w14:paraId="080CD137">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11.4质疑、投诉应当采用书面形式，质疑书、投诉书均应明确阐述招标文件、招标过程或中标结果中使自己合法权益受到损害的实质性内容，提供相关事实、依据和证据及其来源或线索，便于有关单位调查、答复和处理。</w:t>
      </w:r>
    </w:p>
    <w:bookmarkEnd w:id="89"/>
    <w:p w14:paraId="537B6DCC">
      <w:pPr>
        <w:pStyle w:val="4"/>
        <w:keepNext w:val="0"/>
        <w:keepLines w:val="0"/>
        <w:jc w:val="center"/>
        <w:rPr>
          <w:rFonts w:ascii="宋体" w:hAnsi="宋体" w:cs="宋体"/>
          <w:color w:val="auto"/>
          <w:highlight w:val="none"/>
        </w:rPr>
      </w:pPr>
      <w:bookmarkStart w:id="90" w:name="_Toc254970535"/>
      <w:bookmarkStart w:id="91" w:name="_Toc254970676"/>
      <w:r>
        <w:rPr>
          <w:rFonts w:hint="eastAsia" w:ascii="宋体" w:hAnsi="宋体" w:cs="宋体"/>
          <w:color w:val="auto"/>
          <w:highlight w:val="none"/>
        </w:rPr>
        <w:t>三、投标文件的编制</w:t>
      </w:r>
      <w:bookmarkEnd w:id="90"/>
      <w:bookmarkEnd w:id="91"/>
    </w:p>
    <w:p w14:paraId="76A51E33">
      <w:pPr>
        <w:pStyle w:val="6"/>
        <w:keepNext w:val="0"/>
        <w:keepLines w:val="0"/>
        <w:spacing w:before="0" w:after="0" w:line="360" w:lineRule="auto"/>
        <w:ind w:left="420" w:leftChars="200"/>
        <w:rPr>
          <w:rFonts w:ascii="宋体" w:hAnsi="宋体" w:cs="宋体"/>
          <w:color w:val="auto"/>
          <w:sz w:val="24"/>
          <w:highlight w:val="none"/>
        </w:rPr>
      </w:pPr>
      <w:bookmarkStart w:id="92" w:name="_Toc254970536"/>
      <w:bookmarkStart w:id="93" w:name="_Toc254970677"/>
      <w:r>
        <w:rPr>
          <w:rFonts w:hint="eastAsia" w:ascii="宋体" w:hAnsi="宋体" w:cs="宋体"/>
          <w:color w:val="auto"/>
          <w:sz w:val="24"/>
          <w:highlight w:val="none"/>
        </w:rPr>
        <w:t>12.投标文件的编制原则</w:t>
      </w:r>
    </w:p>
    <w:p w14:paraId="6036AEB7">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投标人必须按照招标文件的要求编制投标文件。投标文件必须对招标文件提出的要求和条件作出明确响应。</w:t>
      </w:r>
    </w:p>
    <w:p w14:paraId="3BE78D51">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13.投标文件的组成</w:t>
      </w:r>
      <w:bookmarkEnd w:id="92"/>
      <w:bookmarkEnd w:id="93"/>
    </w:p>
    <w:p w14:paraId="315C673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投标文件由报价文件、资格证明文件、商务文件、技术文件四部分组成。</w:t>
      </w:r>
    </w:p>
    <w:p w14:paraId="0177108D">
      <w:pPr>
        <w:pStyle w:val="6"/>
        <w:keepNext w:val="0"/>
        <w:keepLines w:val="0"/>
        <w:spacing w:before="0" w:after="0" w:line="360" w:lineRule="auto"/>
        <w:ind w:left="420" w:leftChars="200"/>
        <w:rPr>
          <w:rFonts w:ascii="宋体" w:hAnsi="宋体" w:cs="宋体"/>
          <w:b w:val="0"/>
          <w:color w:val="auto"/>
          <w:sz w:val="21"/>
          <w:szCs w:val="21"/>
          <w:highlight w:val="none"/>
        </w:rPr>
      </w:pPr>
      <w:bookmarkStart w:id="94" w:name="_13.1报价文件:_具体材料见“投标人须知前附表”。"/>
      <w:bookmarkEnd w:id="94"/>
      <w:r>
        <w:rPr>
          <w:rFonts w:hint="eastAsia" w:ascii="宋体" w:hAnsi="宋体" w:cs="宋体"/>
          <w:b w:val="0"/>
          <w:color w:val="auto"/>
          <w:sz w:val="21"/>
          <w:szCs w:val="21"/>
          <w:highlight w:val="none"/>
        </w:rPr>
        <w:t>（1）报价文件： 具体材料见“投标人须知前附表”。</w:t>
      </w:r>
    </w:p>
    <w:p w14:paraId="5A1E8B36">
      <w:pPr>
        <w:pStyle w:val="6"/>
        <w:keepNext w:val="0"/>
        <w:keepLines w:val="0"/>
        <w:spacing w:before="0" w:after="0" w:line="360" w:lineRule="auto"/>
        <w:ind w:left="420" w:leftChars="200"/>
        <w:rPr>
          <w:rFonts w:ascii="宋体" w:hAnsi="宋体" w:cs="宋体"/>
          <w:b w:val="0"/>
          <w:color w:val="auto"/>
          <w:sz w:val="21"/>
          <w:szCs w:val="21"/>
          <w:highlight w:val="none"/>
        </w:rPr>
      </w:pPr>
      <w:bookmarkStart w:id="95" w:name="_13.2资格证明文件：具体材料见“投标人须知前附表”。"/>
      <w:bookmarkEnd w:id="95"/>
      <w:r>
        <w:rPr>
          <w:rFonts w:hint="eastAsia" w:ascii="宋体" w:hAnsi="宋体" w:cs="宋体"/>
          <w:b w:val="0"/>
          <w:color w:val="auto"/>
          <w:sz w:val="21"/>
          <w:szCs w:val="21"/>
          <w:highlight w:val="none"/>
        </w:rPr>
        <w:t>（2）资格证明文件：具体材料见“投标人须知前附表”。</w:t>
      </w:r>
    </w:p>
    <w:p w14:paraId="71C75BB4">
      <w:pPr>
        <w:pStyle w:val="6"/>
        <w:keepNext w:val="0"/>
        <w:keepLines w:val="0"/>
        <w:spacing w:before="0" w:after="0" w:line="360" w:lineRule="auto"/>
        <w:ind w:left="420" w:leftChars="200"/>
        <w:rPr>
          <w:rFonts w:ascii="宋体" w:hAnsi="宋体" w:cs="宋体"/>
          <w:b w:val="0"/>
          <w:color w:val="auto"/>
          <w:sz w:val="21"/>
          <w:szCs w:val="21"/>
          <w:highlight w:val="none"/>
        </w:rPr>
      </w:pPr>
      <w:bookmarkStart w:id="96" w:name="_13.3商务文件:_具体材料见“投标人须知前附表”。"/>
      <w:bookmarkEnd w:id="96"/>
      <w:r>
        <w:rPr>
          <w:rFonts w:hint="eastAsia" w:ascii="宋体" w:hAnsi="宋体" w:cs="宋体"/>
          <w:b w:val="0"/>
          <w:color w:val="auto"/>
          <w:sz w:val="21"/>
          <w:szCs w:val="21"/>
          <w:highlight w:val="none"/>
        </w:rPr>
        <w:t>（3）商务文件：具体材料见“投标人须知前附表”。</w:t>
      </w:r>
    </w:p>
    <w:p w14:paraId="7B1D889A">
      <w:pPr>
        <w:pStyle w:val="6"/>
        <w:keepNext w:val="0"/>
        <w:keepLines w:val="0"/>
        <w:spacing w:before="0" w:after="0" w:line="360" w:lineRule="auto"/>
        <w:ind w:left="420" w:leftChars="200"/>
        <w:rPr>
          <w:rFonts w:ascii="宋体" w:hAnsi="宋体" w:cs="宋体"/>
          <w:b w:val="0"/>
          <w:color w:val="auto"/>
          <w:sz w:val="21"/>
          <w:szCs w:val="21"/>
          <w:highlight w:val="none"/>
        </w:rPr>
      </w:pPr>
      <w:bookmarkStart w:id="97" w:name="_13.4技术文件：具体材料见“投标人须知前附表”。"/>
      <w:bookmarkEnd w:id="97"/>
      <w:r>
        <w:rPr>
          <w:rFonts w:hint="eastAsia" w:ascii="宋体" w:hAnsi="宋体" w:cs="宋体"/>
          <w:b w:val="0"/>
          <w:color w:val="auto"/>
          <w:sz w:val="21"/>
          <w:szCs w:val="21"/>
          <w:highlight w:val="none"/>
        </w:rPr>
        <w:t>（4）技术文件：具体材料见“投标人须知前附表”。</w:t>
      </w:r>
    </w:p>
    <w:p w14:paraId="36F2743F">
      <w:pPr>
        <w:pStyle w:val="6"/>
        <w:keepNext w:val="0"/>
        <w:keepLines w:val="0"/>
        <w:spacing w:before="0" w:after="0" w:line="360" w:lineRule="auto"/>
        <w:ind w:left="420" w:leftChars="200"/>
        <w:rPr>
          <w:rFonts w:ascii="宋体" w:hAnsi="宋体" w:cs="宋体"/>
          <w:color w:val="auto"/>
          <w:sz w:val="24"/>
          <w:highlight w:val="none"/>
        </w:rPr>
      </w:pPr>
      <w:bookmarkStart w:id="98" w:name="_13.5投标文件电子版：具体材料见“投标人须知前附表”。"/>
      <w:bookmarkEnd w:id="98"/>
      <w:bookmarkStart w:id="99" w:name="_Toc254970678"/>
      <w:bookmarkStart w:id="100" w:name="_Toc254970537"/>
      <w:r>
        <w:rPr>
          <w:rFonts w:hint="eastAsia" w:ascii="宋体" w:hAnsi="宋体" w:cs="宋体"/>
          <w:color w:val="auto"/>
          <w:sz w:val="24"/>
          <w:highlight w:val="none"/>
        </w:rPr>
        <w:t>14.投标文件的语言及计量</w:t>
      </w:r>
      <w:bookmarkEnd w:id="99"/>
      <w:bookmarkEnd w:id="100"/>
    </w:p>
    <w:p w14:paraId="3A730AFB">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14.1语言文字</w:t>
      </w:r>
    </w:p>
    <w:p w14:paraId="5D0B0E57">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698C2C88">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14.2投标计量单位</w:t>
      </w:r>
    </w:p>
    <w:p w14:paraId="613D7C6B">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招标文件已有明确规定的，使用招标文件规定的计量单位；招标文件没有规定的，应采用中华人民共和国法定计量单位，货币种类为人民币</w:t>
      </w:r>
      <w:r>
        <w:rPr>
          <w:rFonts w:hint="eastAsia" w:ascii="宋体" w:hAnsi="宋体" w:cs="宋体"/>
          <w:bCs/>
          <w:color w:val="auto"/>
          <w:sz w:val="21"/>
          <w:szCs w:val="21"/>
          <w:highlight w:val="none"/>
        </w:rPr>
        <w:t>，否则视同未响应。</w:t>
      </w:r>
    </w:p>
    <w:p w14:paraId="4E467119">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15.投标的风险</w:t>
      </w:r>
    </w:p>
    <w:p w14:paraId="56755668">
      <w:pPr>
        <w:pStyle w:val="25"/>
        <w:snapToGrid w:val="0"/>
        <w:spacing w:line="360" w:lineRule="auto"/>
        <w:ind w:firstLine="420" w:firstLineChars="200"/>
        <w:jc w:val="left"/>
        <w:rPr>
          <w:rFonts w:hAnsi="宋体" w:cs="宋体"/>
          <w:color w:val="auto"/>
          <w:sz w:val="21"/>
          <w:highlight w:val="none"/>
        </w:rPr>
      </w:pPr>
      <w:r>
        <w:rPr>
          <w:rFonts w:hint="eastAsia" w:hAnsi="宋体" w:cs="宋体"/>
          <w:color w:val="auto"/>
          <w:sz w:val="21"/>
          <w:highlight w:val="none"/>
        </w:rPr>
        <w:t>投标人没有按照招标文件要求提供全部资料，或者投标人没有对招标文件作出实质性响应是投标人的风险，并可能导致其投标被拒绝。</w:t>
      </w:r>
    </w:p>
    <w:p w14:paraId="40A4D301">
      <w:pPr>
        <w:pStyle w:val="6"/>
        <w:keepNext w:val="0"/>
        <w:keepLines w:val="0"/>
        <w:spacing w:before="0" w:after="0" w:line="360" w:lineRule="auto"/>
        <w:ind w:left="420" w:leftChars="200"/>
        <w:rPr>
          <w:rFonts w:ascii="宋体" w:hAnsi="宋体" w:cs="宋体"/>
          <w:color w:val="auto"/>
          <w:sz w:val="24"/>
          <w:highlight w:val="none"/>
        </w:rPr>
      </w:pPr>
      <w:bookmarkStart w:id="101" w:name="_Toc254970538"/>
      <w:bookmarkStart w:id="102" w:name="_Toc254970679"/>
      <w:r>
        <w:rPr>
          <w:rFonts w:hint="eastAsia" w:ascii="宋体" w:hAnsi="宋体" w:cs="宋体"/>
          <w:color w:val="auto"/>
          <w:sz w:val="24"/>
          <w:highlight w:val="none"/>
        </w:rPr>
        <w:t>16.投标报价</w:t>
      </w:r>
      <w:bookmarkEnd w:id="101"/>
      <w:bookmarkEnd w:id="102"/>
    </w:p>
    <w:p w14:paraId="1550E550">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16.1投标报价应按“第六章　投标文件格式”中“开标一览表”格式填写。</w:t>
      </w:r>
    </w:p>
    <w:p w14:paraId="30D20199">
      <w:pPr>
        <w:pStyle w:val="6"/>
        <w:keepNext w:val="0"/>
        <w:keepLines w:val="0"/>
        <w:spacing w:before="0" w:after="0" w:line="360" w:lineRule="auto"/>
        <w:ind w:left="420" w:leftChars="200"/>
        <w:rPr>
          <w:rFonts w:ascii="宋体" w:hAnsi="宋体" w:cs="宋体"/>
          <w:b w:val="0"/>
          <w:color w:val="auto"/>
          <w:sz w:val="21"/>
          <w:szCs w:val="21"/>
          <w:highlight w:val="none"/>
        </w:rPr>
      </w:pPr>
      <w:bookmarkStart w:id="103" w:name="_16.2投标报价具体定义见投标人须知前附表。"/>
      <w:bookmarkEnd w:id="103"/>
      <w:r>
        <w:rPr>
          <w:rFonts w:hint="eastAsia" w:ascii="宋体" w:hAnsi="宋体" w:cs="宋体"/>
          <w:b w:val="0"/>
          <w:color w:val="auto"/>
          <w:sz w:val="21"/>
          <w:szCs w:val="21"/>
          <w:highlight w:val="none"/>
        </w:rPr>
        <w:t>16.2投标报价具体包括内容详见“投标人须知前附表”。</w:t>
      </w:r>
    </w:p>
    <w:p w14:paraId="2DAF1CE3">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16.3投标人必须就所投标段的全部内容分别作完整唯一总价报价，不得存在漏项报价；投标人必须就所投标段的单项内容作唯一报价。</w:t>
      </w:r>
    </w:p>
    <w:p w14:paraId="7E377AA7">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17.投标有效期</w:t>
      </w:r>
    </w:p>
    <w:p w14:paraId="29684B28">
      <w:pPr>
        <w:pStyle w:val="6"/>
        <w:keepNext w:val="0"/>
        <w:keepLines w:val="0"/>
        <w:spacing w:before="0" w:after="0" w:line="360" w:lineRule="auto"/>
        <w:ind w:firstLine="420" w:firstLineChars="200"/>
        <w:rPr>
          <w:rFonts w:ascii="宋体" w:hAnsi="宋体" w:cs="宋体"/>
          <w:b w:val="0"/>
          <w:color w:val="auto"/>
          <w:sz w:val="21"/>
          <w:szCs w:val="21"/>
          <w:highlight w:val="none"/>
        </w:rPr>
      </w:pPr>
      <w:bookmarkStart w:id="104" w:name="_17.1投标有效期应按“投标人须知中的前附表”规定的期限。"/>
      <w:bookmarkEnd w:id="104"/>
      <w:r>
        <w:rPr>
          <w:rFonts w:hint="eastAsia" w:ascii="宋体" w:hAnsi="宋体" w:cs="宋体"/>
          <w:b w:val="0"/>
          <w:color w:val="auto"/>
          <w:sz w:val="21"/>
          <w:szCs w:val="21"/>
          <w:highlight w:val="none"/>
        </w:rPr>
        <w:t>17.1投标有效期是指为保证采购人有足够的时间在开标后完成评标、定标、合同签订等工作而要求投标人提交的投标文件在一定时间内保持有效的期限。</w:t>
      </w:r>
    </w:p>
    <w:p w14:paraId="22F4250D">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17.2</w:t>
      </w:r>
      <w:bookmarkStart w:id="105" w:name="_Toc254970681"/>
      <w:bookmarkStart w:id="106" w:name="_Toc254970540"/>
      <w:r>
        <w:rPr>
          <w:rFonts w:hint="eastAsia" w:ascii="宋体" w:hAnsi="宋体" w:cs="宋体"/>
          <w:b w:val="0"/>
          <w:color w:val="auto"/>
          <w:sz w:val="21"/>
          <w:szCs w:val="21"/>
          <w:highlight w:val="none"/>
        </w:rPr>
        <w:t xml:space="preserve"> 投标有效期应按规定的期限作出承诺，具体详见“投标人须知前附表”。</w:t>
      </w:r>
    </w:p>
    <w:p w14:paraId="42C3814E">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17.3投标人的投标文件在投标有效期内均保持有效。</w:t>
      </w:r>
      <w:bookmarkEnd w:id="105"/>
      <w:bookmarkEnd w:id="106"/>
    </w:p>
    <w:p w14:paraId="66C31FD4">
      <w:pPr>
        <w:pStyle w:val="6"/>
        <w:keepNext w:val="0"/>
        <w:keepLines w:val="0"/>
        <w:spacing w:before="0" w:after="0" w:line="360" w:lineRule="auto"/>
        <w:ind w:left="420" w:leftChars="200"/>
        <w:rPr>
          <w:rFonts w:ascii="宋体" w:hAnsi="宋体" w:cs="宋体"/>
          <w:color w:val="auto"/>
          <w:sz w:val="24"/>
          <w:highlight w:val="none"/>
        </w:rPr>
      </w:pPr>
      <w:bookmarkStart w:id="107" w:name="_18.投标保证金"/>
      <w:bookmarkEnd w:id="107"/>
      <w:bookmarkStart w:id="108" w:name="_Toc254970682"/>
      <w:bookmarkStart w:id="109" w:name="_Toc254970541"/>
      <w:r>
        <w:rPr>
          <w:rFonts w:hint="eastAsia" w:ascii="宋体" w:hAnsi="宋体" w:cs="宋体"/>
          <w:color w:val="auto"/>
          <w:sz w:val="24"/>
          <w:highlight w:val="none"/>
        </w:rPr>
        <w:t>18.投标保证金</w:t>
      </w:r>
      <w:bookmarkEnd w:id="108"/>
      <w:bookmarkEnd w:id="109"/>
    </w:p>
    <w:p w14:paraId="489B4561">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18.1投标人须按“投标人须知前附表” 的规定提交投标保证金。</w:t>
      </w:r>
    </w:p>
    <w:p w14:paraId="23A81908">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18.2投标保证金的退还</w:t>
      </w:r>
    </w:p>
    <w:p w14:paraId="2AA33DA0">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未中标人的投标保证金自中标通知书发出之日起4个工作日内退还；中标人的投标保证金自政府采购合同签订之日起4个工作日内退还。 </w:t>
      </w:r>
    </w:p>
    <w:p w14:paraId="62A1D569">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18.3除逾期退还投标保证金和终止招标的情形以外，投标保证金不计息。</w:t>
      </w:r>
    </w:p>
    <w:p w14:paraId="396BFC5A">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18.4投标人有下列情形之一的，投标保证金将不予退还： </w:t>
      </w:r>
    </w:p>
    <w:p w14:paraId="7ADDCA2A">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（1）投标人在投标有效期内撤销投标文件的；</w:t>
      </w:r>
    </w:p>
    <w:p w14:paraId="15D954C8">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（2）未按规定提交履约保证金的；</w:t>
      </w:r>
    </w:p>
    <w:p w14:paraId="0E123A86">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（3）投标人在投标过程中弄虚作假，提供虚假材料的；</w:t>
      </w:r>
    </w:p>
    <w:p w14:paraId="1201BFD8">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（4）中标人无正当理由不与采购人签订合同的；</w:t>
      </w:r>
    </w:p>
    <w:p w14:paraId="67E9BD81">
      <w:pPr>
        <w:snapToGrid w:val="0"/>
        <w:spacing w:line="360" w:lineRule="auto"/>
        <w:ind w:firstLine="420" w:firstLineChars="200"/>
        <w:rPr>
          <w:rFonts w:ascii="宋体" w:hAnsi="宋体" w:cs="宋体"/>
          <w:color w:val="auto"/>
          <w:szCs w:val="21"/>
          <w:highlight w:val="none"/>
        </w:rPr>
      </w:pPr>
      <w:bookmarkStart w:id="110" w:name="_Toc254970542"/>
      <w:bookmarkStart w:id="111" w:name="_Toc254970683"/>
      <w:r>
        <w:rPr>
          <w:rFonts w:hint="eastAsia" w:ascii="宋体" w:hAnsi="宋体" w:cs="宋体"/>
          <w:color w:val="auto"/>
          <w:szCs w:val="21"/>
          <w:highlight w:val="none"/>
        </w:rPr>
        <w:t>（5）投标人出现本章第9.2、9.3情形的；</w:t>
      </w:r>
    </w:p>
    <w:p w14:paraId="421C937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（6）法律法规规定的其他情形。</w:t>
      </w:r>
    </w:p>
    <w:bookmarkEnd w:id="110"/>
    <w:bookmarkEnd w:id="111"/>
    <w:p w14:paraId="2B4B51E6">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19.投标文件的编制</w:t>
      </w:r>
    </w:p>
    <w:p w14:paraId="02F2EFC3">
      <w:pPr>
        <w:pStyle w:val="6"/>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19.1投标人应先安装“政采云电子投标客户端”（请自行前往广西政府采购云平台进行下载），并按照本项目招标文件规定的格式和顺序和广西政府采购云平台的要求编制并加密。投标文件内容不完整、编排混乱导致投标文件被误读、漏读或者查找不到相关内容的，由此引发的后果由投标人承担。</w:t>
      </w:r>
    </w:p>
    <w:p w14:paraId="3D553DAF">
      <w:pPr>
        <w:pStyle w:val="6"/>
        <w:keepNext w:val="0"/>
        <w:keepLines w:val="0"/>
        <w:spacing w:before="0" w:after="0" w:line="360" w:lineRule="auto"/>
        <w:ind w:firstLine="315" w:firstLineChars="150"/>
        <w:rPr>
          <w:rFonts w:ascii="宋体" w:hAnsi="宋体" w:cs="宋体"/>
          <w:b w:val="0"/>
          <w:color w:val="auto"/>
          <w:sz w:val="21"/>
          <w:szCs w:val="21"/>
          <w:highlight w:val="none"/>
        </w:rPr>
      </w:pPr>
      <w:bookmarkStart w:id="112" w:name="_19.2投标文件应按报价文件、资格证明文件、商务文件、技术文件分别编制"/>
      <w:bookmarkEnd w:id="112"/>
      <w:r>
        <w:rPr>
          <w:rFonts w:hint="eastAsia" w:ascii="宋体" w:hAnsi="宋体" w:cs="宋体"/>
          <w:b w:val="0"/>
          <w:color w:val="auto"/>
          <w:sz w:val="21"/>
          <w:szCs w:val="21"/>
          <w:highlight w:val="none"/>
        </w:rPr>
        <w:t>19.2为确保网上操作合法、有效和安全，投标人应当在投标截止时间前完成在广西政府采购云平台的身份认证，确保在电子投标过程中能够对相关数据电文进行加密和使用电子签章。</w:t>
      </w:r>
    </w:p>
    <w:p w14:paraId="2A5037E5">
      <w:pPr>
        <w:pStyle w:val="6"/>
        <w:keepNext w:val="0"/>
        <w:keepLines w:val="0"/>
        <w:spacing w:before="0" w:after="0" w:line="360" w:lineRule="auto"/>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19.3投标文件须由投标人在规定位置签字（或者电子签名）、盖章（具体以投标人须知前附表或投标文件格式规定为准），</w:t>
      </w:r>
      <w:r>
        <w:rPr>
          <w:rFonts w:hint="eastAsia" w:ascii="宋体" w:hAnsi="宋体" w:cs="宋体"/>
          <w:bCs/>
          <w:color w:val="auto"/>
          <w:sz w:val="21"/>
          <w:szCs w:val="21"/>
          <w:highlight w:val="none"/>
        </w:rPr>
        <w:t>否则按无效投标处理</w:t>
      </w:r>
      <w:r>
        <w:rPr>
          <w:rFonts w:hint="eastAsia" w:ascii="宋体" w:hAnsi="宋体" w:cs="宋体"/>
          <w:b w:val="0"/>
          <w:color w:val="auto"/>
          <w:sz w:val="21"/>
          <w:szCs w:val="21"/>
          <w:highlight w:val="none"/>
        </w:rPr>
        <w:t>。</w:t>
      </w:r>
    </w:p>
    <w:p w14:paraId="6B5D4AFF">
      <w:pPr>
        <w:pStyle w:val="6"/>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19.4投标文件中标注的投标人名称应与主体资格证明（如营业执照或者事业单位法人证书或者执业许可证或者登记证书等）及公章一致，并与“政采云”中获取招标文件的投标人名称一致，投标人为自然人的，标注的投标人名称应与身份证姓名及签名一致，</w:t>
      </w:r>
      <w:r>
        <w:rPr>
          <w:rFonts w:hint="eastAsia" w:ascii="宋体" w:hAnsi="宋体" w:cs="宋体"/>
          <w:color w:val="auto"/>
          <w:sz w:val="21"/>
          <w:szCs w:val="21"/>
          <w:highlight w:val="none"/>
        </w:rPr>
        <w:t>否则按无效投标处理</w:t>
      </w:r>
      <w:r>
        <w:rPr>
          <w:rFonts w:hint="eastAsia" w:ascii="宋体" w:hAnsi="宋体" w:cs="宋体"/>
          <w:b w:val="0"/>
          <w:color w:val="auto"/>
          <w:sz w:val="21"/>
          <w:szCs w:val="21"/>
          <w:highlight w:val="none"/>
        </w:rPr>
        <w:t>。</w:t>
      </w:r>
    </w:p>
    <w:p w14:paraId="21822C20">
      <w:pPr>
        <w:pStyle w:val="6"/>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08F7B3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20.电子备份投标文件</w:t>
      </w:r>
    </w:p>
    <w:p w14:paraId="19D3D617">
      <w:pPr>
        <w:spacing w:line="360" w:lineRule="auto"/>
        <w:ind w:firstLine="420" w:firstLineChars="200"/>
        <w:rPr>
          <w:rFonts w:ascii="宋体" w:hAnsi="宋体" w:cs="宋体"/>
          <w:color w:val="auto"/>
          <w:sz w:val="24"/>
          <w:highlight w:val="none"/>
        </w:rPr>
      </w:pPr>
      <w:r>
        <w:rPr>
          <w:rFonts w:hint="eastAsia" w:ascii="宋体" w:hAnsi="宋体" w:cs="宋体"/>
          <w:color w:val="auto"/>
          <w:highlight w:val="none"/>
        </w:rPr>
        <w:t>电子备份投标文件是指通过“政采云电子投标客户端”在线编制生成且后缀名为“bfbs”的文件，是否接受电子备份投标文件</w:t>
      </w:r>
      <w:r>
        <w:rPr>
          <w:rFonts w:hint="eastAsia" w:ascii="宋体" w:hAnsi="宋体" w:cs="宋体"/>
          <w:bCs/>
          <w:color w:val="auto"/>
          <w:szCs w:val="21"/>
          <w:highlight w:val="none"/>
        </w:rPr>
        <w:t>详见在“投标人须知前附表”。</w:t>
      </w:r>
    </w:p>
    <w:p w14:paraId="315D0DA0">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21.投标文件的提交</w:t>
      </w:r>
    </w:p>
    <w:p w14:paraId="1C2F9A57">
      <w:pPr>
        <w:spacing w:line="360" w:lineRule="auto"/>
        <w:ind w:firstLine="420" w:firstLineChars="200"/>
        <w:rPr>
          <w:rFonts w:ascii="宋体" w:hAnsi="宋体" w:cs="宋体"/>
          <w:b/>
          <w:color w:val="auto"/>
          <w:highlight w:val="none"/>
        </w:rPr>
      </w:pPr>
      <w:bookmarkStart w:id="113" w:name="_21.1投标人必须在“投标人须知中的前附表”规定的投标文件接收时间和投"/>
      <w:bookmarkEnd w:id="113"/>
      <w:r>
        <w:rPr>
          <w:rFonts w:hint="eastAsia" w:ascii="宋体" w:hAnsi="宋体" w:cs="宋体"/>
          <w:bCs/>
          <w:color w:val="auto"/>
          <w:szCs w:val="21"/>
          <w:highlight w:val="none"/>
        </w:rPr>
        <w:t>21.1投标人必须在“投标人须知前附表”规定的</w:t>
      </w:r>
      <w:r>
        <w:rPr>
          <w:rFonts w:hint="eastAsia" w:ascii="宋体" w:hAnsi="宋体" w:cs="宋体"/>
          <w:color w:val="auto"/>
          <w:szCs w:val="21"/>
          <w:highlight w:val="none"/>
        </w:rPr>
        <w:t>投标文件提交截止时间前将</w:t>
      </w:r>
      <w:r>
        <w:rPr>
          <w:rFonts w:hint="eastAsia" w:ascii="宋体" w:hAnsi="宋体" w:cs="宋体"/>
          <w:bCs/>
          <w:color w:val="auto"/>
          <w:szCs w:val="21"/>
          <w:highlight w:val="none"/>
        </w:rPr>
        <w:t>电子投标文件提交至投标地点。电子投标文件应在制作完成后，在投标截止时间前通过有效数字证书（CA认证锁）进行电子签章、加密，然后通过网络将加密的电子投标文件递交至</w:t>
      </w:r>
      <w:r>
        <w:rPr>
          <w:rFonts w:hint="eastAsia" w:ascii="宋体" w:hAnsi="宋体" w:cs="宋体"/>
          <w:b/>
          <w:color w:val="auto"/>
          <w:szCs w:val="21"/>
          <w:highlight w:val="none"/>
        </w:rPr>
        <w:t>广西政府采购云平台</w:t>
      </w:r>
      <w:r>
        <w:rPr>
          <w:rFonts w:hint="eastAsia" w:ascii="宋体" w:hAnsi="宋体" w:cs="宋体"/>
          <w:bCs/>
          <w:color w:val="auto"/>
          <w:szCs w:val="21"/>
          <w:highlight w:val="none"/>
        </w:rPr>
        <w:t xml:space="preserve">。 </w:t>
      </w:r>
      <w:r>
        <w:rPr>
          <w:rFonts w:hint="eastAsia" w:ascii="宋体" w:hAnsi="宋体" w:cs="宋体"/>
          <w:b/>
          <w:color w:val="auto"/>
          <w:highlight w:val="none"/>
        </w:rPr>
        <w:t xml:space="preserve"> </w:t>
      </w:r>
    </w:p>
    <w:p w14:paraId="79576AC4">
      <w:pPr>
        <w:spacing w:line="360" w:lineRule="auto"/>
        <w:ind w:firstLine="422" w:firstLineChars="200"/>
        <w:rPr>
          <w:rFonts w:ascii="宋体" w:hAnsi="宋体" w:cs="宋体"/>
          <w:b/>
          <w:color w:val="auto"/>
          <w:szCs w:val="20"/>
          <w:highlight w:val="none"/>
        </w:rPr>
      </w:pPr>
      <w:r>
        <w:rPr>
          <w:rFonts w:hint="eastAsia" w:ascii="宋体" w:hAnsi="宋体" w:cs="宋体"/>
          <w:b/>
          <w:color w:val="auto"/>
          <w:szCs w:val="21"/>
          <w:highlight w:val="none"/>
        </w:rPr>
        <w:t>21.2未在规定时间内提交或者未按照招标文件要求加密的电子投标文件，广西政府采购云平台将拒收。</w:t>
      </w:r>
    </w:p>
    <w:p w14:paraId="73C72989">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22. 投标文件的补充、修改、撤回与退回</w:t>
      </w:r>
    </w:p>
    <w:p w14:paraId="67C28B10">
      <w:pPr>
        <w:snapToGrid w:val="0"/>
        <w:spacing w:line="360" w:lineRule="auto"/>
        <w:ind w:firstLine="420"/>
        <w:jc w:val="left"/>
        <w:rPr>
          <w:rFonts w:ascii="宋体" w:hAnsi="宋体" w:cs="宋体"/>
          <w:color w:val="auto"/>
          <w:szCs w:val="21"/>
          <w:highlight w:val="none"/>
        </w:rPr>
      </w:pPr>
      <w:bookmarkStart w:id="114" w:name="_Toc254970543"/>
      <w:bookmarkStart w:id="115" w:name="_Toc254970684"/>
      <w:r>
        <w:rPr>
          <w:rFonts w:hint="eastAsia" w:ascii="宋体" w:hAnsi="宋体" w:cs="宋体"/>
          <w:color w:val="auto"/>
          <w:szCs w:val="21"/>
          <w:highlight w:val="none"/>
        </w:rPr>
        <w:t>22.1</w:t>
      </w:r>
      <w:r>
        <w:rPr>
          <w:rFonts w:hint="eastAsia" w:ascii="宋体" w:hAnsi="宋体" w:cs="宋体"/>
          <w:bCs/>
          <w:color w:val="auto"/>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r>
        <w:rPr>
          <w:rFonts w:hint="eastAsia" w:ascii="宋体" w:hAnsi="宋体" w:cs="宋体"/>
          <w:color w:val="auto"/>
          <w:szCs w:val="21"/>
          <w:highlight w:val="none"/>
        </w:rPr>
        <w:t>（补充、修改或者撤回方式可登录</w:t>
      </w:r>
      <w:r>
        <w:rPr>
          <w:rFonts w:hint="eastAsia" w:ascii="宋体" w:hAnsi="宋体" w:cs="宋体"/>
          <w:color w:val="auto"/>
          <w:kern w:val="0"/>
          <w:szCs w:val="21"/>
          <w:highlight w:val="none"/>
        </w:rPr>
        <w:t>广西政府采购云平台，</w:t>
      </w:r>
      <w:r>
        <w:rPr>
          <w:rFonts w:hint="eastAsia" w:ascii="宋体" w:hAnsi="宋体" w:cs="宋体"/>
          <w:color w:val="auto"/>
          <w:szCs w:val="21"/>
          <w:highlight w:val="none"/>
        </w:rPr>
        <w:t>依次进入“服务中心”中查看 “电子投标文件制作与投送教程”）</w:t>
      </w:r>
    </w:p>
    <w:bookmarkEnd w:id="114"/>
    <w:bookmarkEnd w:id="115"/>
    <w:p w14:paraId="1D71449E">
      <w:pPr>
        <w:pStyle w:val="119"/>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22.2广西政府采购云平台收到投标文件后向供应商发出确认回执通知。在投标截止时间前，除供应商补充、修改或者撤回投标文件外，任何单位和个人不得解密或提取投标文件。</w:t>
      </w:r>
    </w:p>
    <w:p w14:paraId="70577C9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22.3在投标截止时间后，采购人和采购代理机构对已提交的投标文件概不退回。</w:t>
      </w:r>
    </w:p>
    <w:p w14:paraId="65DE84FB">
      <w:pPr>
        <w:pStyle w:val="4"/>
        <w:keepNext w:val="0"/>
        <w:keepLines w:val="0"/>
        <w:jc w:val="center"/>
        <w:rPr>
          <w:rFonts w:ascii="宋体" w:hAnsi="宋体" w:cs="宋体"/>
          <w:color w:val="auto"/>
          <w:highlight w:val="none"/>
        </w:rPr>
      </w:pPr>
      <w:bookmarkStart w:id="116" w:name="_Toc254970544"/>
      <w:bookmarkStart w:id="117" w:name="_Toc254970685"/>
      <w:r>
        <w:rPr>
          <w:rFonts w:hint="eastAsia" w:ascii="宋体" w:hAnsi="宋体" w:cs="宋体"/>
          <w:color w:val="auto"/>
          <w:highlight w:val="none"/>
        </w:rPr>
        <w:t>四、开    标</w:t>
      </w:r>
      <w:bookmarkEnd w:id="116"/>
      <w:bookmarkEnd w:id="117"/>
    </w:p>
    <w:p w14:paraId="0C650B47">
      <w:pPr>
        <w:pStyle w:val="6"/>
        <w:keepNext w:val="0"/>
        <w:keepLines w:val="0"/>
        <w:spacing w:before="0" w:after="0" w:line="360" w:lineRule="auto"/>
        <w:ind w:left="420" w:leftChars="200"/>
        <w:rPr>
          <w:rFonts w:ascii="宋体" w:hAnsi="宋体" w:cs="宋体"/>
          <w:color w:val="auto"/>
          <w:sz w:val="24"/>
          <w:highlight w:val="none"/>
        </w:rPr>
      </w:pPr>
      <w:bookmarkStart w:id="118" w:name="_23.开标时间和地点"/>
      <w:bookmarkEnd w:id="118"/>
      <w:r>
        <w:rPr>
          <w:rFonts w:hint="eastAsia" w:ascii="宋体" w:hAnsi="宋体" w:cs="宋体"/>
          <w:color w:val="auto"/>
          <w:sz w:val="24"/>
          <w:highlight w:val="none"/>
        </w:rPr>
        <w:t>23.开标时间和地点</w:t>
      </w:r>
    </w:p>
    <w:p w14:paraId="17D517DE">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开标时间及地点详见“投标人须知前附表”</w:t>
      </w:r>
    </w:p>
    <w:p w14:paraId="79FDC51F">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24.开标程序</w:t>
      </w:r>
    </w:p>
    <w:p w14:paraId="1A8950F6">
      <w:pPr>
        <w:pStyle w:val="8"/>
        <w:spacing w:line="360" w:lineRule="auto"/>
        <w:rPr>
          <w:rFonts w:ascii="宋体" w:hAnsi="宋体" w:cs="宋体"/>
          <w:color w:val="auto"/>
          <w:highlight w:val="none"/>
        </w:rPr>
      </w:pPr>
      <w:r>
        <w:rPr>
          <w:rFonts w:hint="eastAsia" w:ascii="宋体" w:hAnsi="宋体" w:cs="宋体"/>
          <w:color w:val="auto"/>
          <w:highlight w:val="none"/>
        </w:rPr>
        <w:t>24.1提交投标文件截止时间止，投标人不足3家的，不得开标。</w:t>
      </w:r>
    </w:p>
    <w:p w14:paraId="7D8B2FB8">
      <w:pPr>
        <w:pStyle w:val="8"/>
        <w:spacing w:line="360" w:lineRule="auto"/>
        <w:rPr>
          <w:rFonts w:ascii="宋体" w:hAnsi="宋体" w:cs="宋体"/>
          <w:color w:val="auto"/>
          <w:highlight w:val="none"/>
        </w:rPr>
      </w:pPr>
      <w:r>
        <w:rPr>
          <w:rFonts w:hint="eastAsia" w:ascii="宋体" w:hAnsi="宋体" w:cs="宋体"/>
          <w:color w:val="auto"/>
          <w:highlight w:val="none"/>
        </w:rPr>
        <w:t>24.2采购代理机构将按照招标文件规定的时间通过广西政府采购云平台组织线上开标活动，所有供应商均应当准时在线参加，投标人因未在线参加开标而导致投标文件无法按时解密等一切后果由投标人自己承担。</w:t>
      </w:r>
    </w:p>
    <w:p w14:paraId="63E4D8E2">
      <w:pPr>
        <w:pStyle w:val="8"/>
        <w:spacing w:line="360" w:lineRule="auto"/>
        <w:rPr>
          <w:rFonts w:ascii="宋体" w:hAnsi="宋体" w:cs="宋体"/>
          <w:color w:val="auto"/>
          <w:highlight w:val="none"/>
        </w:rPr>
      </w:pPr>
      <w:r>
        <w:rPr>
          <w:rFonts w:hint="eastAsia" w:ascii="宋体" w:hAnsi="宋体" w:cs="宋体"/>
          <w:color w:val="auto"/>
          <w:highlight w:val="none"/>
        </w:rPr>
        <w:t>24.3开标程序</w:t>
      </w:r>
    </w:p>
    <w:p w14:paraId="49D9D21F">
      <w:pPr>
        <w:pStyle w:val="8"/>
        <w:spacing w:line="360" w:lineRule="auto"/>
        <w:rPr>
          <w:rFonts w:ascii="宋体" w:hAnsi="宋体" w:cs="宋体"/>
          <w:color w:val="auto"/>
          <w:highlight w:val="none"/>
        </w:rPr>
      </w:pPr>
      <w:r>
        <w:rPr>
          <w:rFonts w:hint="eastAsia" w:ascii="宋体" w:hAnsi="宋体" w:cs="宋体"/>
          <w:color w:val="auto"/>
          <w:highlight w:val="none"/>
        </w:rPr>
        <w:t>（1）解密电子投标文件。广西政府采购云平台按开标时间自动提取所有投标文件。采购代理机构依托广西政府采购云平台向各投标人发出电子加密投标文件【开始解密】通知，由投标人按</w:t>
      </w:r>
      <w:r>
        <w:rPr>
          <w:rFonts w:hint="eastAsia" w:ascii="宋体" w:hAnsi="宋体" w:cs="宋体"/>
          <w:bCs/>
          <w:color w:val="auto"/>
          <w:szCs w:val="21"/>
          <w:highlight w:val="none"/>
        </w:rPr>
        <w:t>“投标人须知前附表”</w:t>
      </w:r>
      <w:r>
        <w:rPr>
          <w:rFonts w:hint="eastAsia" w:ascii="宋体" w:hAnsi="宋体" w:cs="宋体"/>
          <w:color w:val="auto"/>
          <w:highlight w:val="none"/>
        </w:rPr>
        <w:t>规定的时间内自行进行投标文件解密。投标人的法定代表人或其委托代理人须凭加密时所用的CA锁准时登录到广西政府采购云平台电子开标大厅签到并对电子投标文件解密。</w:t>
      </w:r>
      <w:r>
        <w:rPr>
          <w:rFonts w:hint="eastAsia" w:ascii="宋体" w:hAnsi="宋体" w:cs="宋体"/>
          <w:b/>
          <w:color w:val="auto"/>
          <w:highlight w:val="none"/>
        </w:rPr>
        <w:t>投标人未在规定的时间内解密投标文件或者解密失败的，</w:t>
      </w:r>
      <w:r>
        <w:rPr>
          <w:rFonts w:hint="eastAsia" w:ascii="宋体" w:hAnsi="宋体" w:cs="宋体"/>
          <w:b/>
          <w:color w:val="auto"/>
          <w:szCs w:val="21"/>
          <w:highlight w:val="none"/>
        </w:rPr>
        <w:t>投标人的投标文件作无效处理</w:t>
      </w:r>
      <w:r>
        <w:rPr>
          <w:rFonts w:hint="eastAsia" w:ascii="宋体" w:hAnsi="宋体" w:cs="宋体"/>
          <w:b/>
          <w:color w:val="auto"/>
          <w:highlight w:val="none"/>
        </w:rPr>
        <w:t>。</w:t>
      </w:r>
    </w:p>
    <w:p w14:paraId="69082630">
      <w:pPr>
        <w:pStyle w:val="8"/>
        <w:spacing w:line="360" w:lineRule="auto"/>
        <w:rPr>
          <w:rFonts w:ascii="宋体" w:hAnsi="宋体" w:cs="宋体"/>
          <w:color w:val="auto"/>
          <w:highlight w:val="none"/>
        </w:rPr>
      </w:pPr>
      <w:r>
        <w:rPr>
          <w:rFonts w:hint="eastAsia" w:ascii="宋体" w:hAnsi="宋体" w:cs="宋体"/>
          <w:color w:val="auto"/>
          <w:highlight w:val="none"/>
        </w:rPr>
        <w:t>（2）电子唱标。投标文件解密结束，宣布的内容均在广西政府采购云平台远程开标大厅展示；</w:t>
      </w:r>
    </w:p>
    <w:p w14:paraId="74415E89">
      <w:pPr>
        <w:pStyle w:val="8"/>
        <w:spacing w:line="360" w:lineRule="auto"/>
        <w:rPr>
          <w:rFonts w:ascii="宋体" w:hAnsi="宋体" w:cs="宋体"/>
          <w:color w:val="auto"/>
          <w:highlight w:val="none"/>
        </w:rPr>
      </w:pPr>
      <w:r>
        <w:rPr>
          <w:rFonts w:hint="eastAsia" w:ascii="宋体" w:hAnsi="宋体" w:cs="宋体"/>
          <w:color w:val="auto"/>
          <w:highlight w:val="none"/>
        </w:rPr>
        <w:t>（3）开标过程由采购代理机构如实记录，并电子留痕，由参加电子开标的各投标人代表对电子开标记录在开标记录公布后15分钟内进行当场校核及勘误，并线上确认是否有异议，未确认的视同认可开标结果。</w:t>
      </w:r>
    </w:p>
    <w:p w14:paraId="1F5A7174">
      <w:pPr>
        <w:pStyle w:val="8"/>
        <w:spacing w:line="360" w:lineRule="auto"/>
        <w:rPr>
          <w:rFonts w:ascii="宋体" w:hAnsi="宋体" w:cs="宋体"/>
          <w:color w:val="auto"/>
          <w:highlight w:val="none"/>
        </w:rPr>
      </w:pPr>
      <w:r>
        <w:rPr>
          <w:rFonts w:hint="eastAsia" w:ascii="宋体" w:hAnsi="宋体" w:cs="宋体"/>
          <w:color w:val="auto"/>
          <w:highlight w:val="none"/>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584EDFFB">
      <w:pPr>
        <w:pStyle w:val="8"/>
        <w:spacing w:line="360" w:lineRule="auto"/>
        <w:rPr>
          <w:rFonts w:ascii="宋体" w:hAnsi="宋体" w:cs="宋体"/>
          <w:color w:val="auto"/>
          <w:szCs w:val="21"/>
          <w:highlight w:val="none"/>
        </w:rPr>
      </w:pPr>
      <w:r>
        <w:rPr>
          <w:rFonts w:hint="eastAsia" w:ascii="宋体" w:hAnsi="宋体" w:cs="宋体"/>
          <w:color w:val="auto"/>
          <w:szCs w:val="21"/>
          <w:highlight w:val="none"/>
        </w:rPr>
        <w:t>（5）开标结束。</w:t>
      </w:r>
    </w:p>
    <w:p w14:paraId="6EEF69FA">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特别说明：如遇广西政府采购云平台电子化开标或评审程序调整的，按调整后执行。</w:t>
      </w:r>
    </w:p>
    <w:p w14:paraId="761D57CD">
      <w:pPr>
        <w:pStyle w:val="25"/>
        <w:snapToGrid w:val="0"/>
        <w:spacing w:line="360" w:lineRule="auto"/>
        <w:ind w:left="689" w:leftChars="228" w:hanging="210" w:hangingChars="100"/>
        <w:rPr>
          <w:rFonts w:hAnsi="宋体" w:cs="宋体"/>
          <w:color w:val="auto"/>
          <w:sz w:val="21"/>
          <w:highlight w:val="none"/>
        </w:rPr>
      </w:pPr>
    </w:p>
    <w:p w14:paraId="490BA349">
      <w:pPr>
        <w:pStyle w:val="4"/>
        <w:keepNext w:val="0"/>
        <w:keepLines w:val="0"/>
        <w:jc w:val="center"/>
        <w:rPr>
          <w:rFonts w:ascii="宋体" w:hAnsi="宋体" w:cs="宋体"/>
          <w:color w:val="auto"/>
          <w:highlight w:val="none"/>
        </w:rPr>
      </w:pPr>
      <w:r>
        <w:rPr>
          <w:rFonts w:hint="eastAsia" w:ascii="宋体" w:hAnsi="宋体" w:cs="宋体"/>
          <w:color w:val="auto"/>
          <w:highlight w:val="none"/>
        </w:rPr>
        <w:t>五、资格审查</w:t>
      </w:r>
    </w:p>
    <w:p w14:paraId="0D5FDB91">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25.资格审查</w:t>
      </w:r>
    </w:p>
    <w:p w14:paraId="295E4CC4">
      <w:pPr>
        <w:pStyle w:val="6"/>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25.1开标结束后，采购人或者采购代理机构通过电子开评标系统依据招标文件对电子投标文件进行线上资格审查。</w:t>
      </w:r>
    </w:p>
    <w:p w14:paraId="5F12719C">
      <w:pPr>
        <w:pStyle w:val="6"/>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25.2资格审查标准为本招标文件中载明对投标人资格要求的条件。本项目资格审查采用合格制，凡符合招标文件规定的投标人资格要求的投标人均通过资格审查。</w:t>
      </w:r>
    </w:p>
    <w:p w14:paraId="3E53C443">
      <w:pPr>
        <w:pStyle w:val="6"/>
        <w:keepNext w:val="0"/>
        <w:keepLines w:val="0"/>
        <w:numPr>
          <w:ilvl w:val="0"/>
          <w:numId w:val="0"/>
        </w:numPr>
        <w:spacing w:before="0" w:after="0" w:line="360" w:lineRule="auto"/>
        <w:ind w:firstLine="422" w:firstLineChars="200"/>
        <w:rPr>
          <w:rFonts w:ascii="宋体" w:hAnsi="宋体" w:cs="宋体"/>
          <w:color w:val="auto"/>
          <w:sz w:val="21"/>
          <w:szCs w:val="21"/>
          <w:highlight w:val="none"/>
        </w:rPr>
      </w:pPr>
      <w:bookmarkStart w:id="119" w:name="_25.3_投标人有下列情形之一的，资格审查不通过而导致其投标无效："/>
      <w:bookmarkEnd w:id="119"/>
      <w:r>
        <w:rPr>
          <w:rFonts w:hint="eastAsia" w:ascii="宋体" w:hAnsi="宋体" w:cs="宋体"/>
          <w:color w:val="auto"/>
          <w:sz w:val="21"/>
          <w:szCs w:val="21"/>
          <w:highlight w:val="none"/>
        </w:rPr>
        <w:t>25.3 投标人有下列情形之一的，资格审查不通过，作无效投标处理：</w:t>
      </w:r>
    </w:p>
    <w:p w14:paraId="497C7CAC">
      <w:pPr>
        <w:pStyle w:val="25"/>
        <w:snapToGrid w:val="0"/>
        <w:spacing w:line="360" w:lineRule="auto"/>
        <w:ind w:firstLine="422" w:firstLineChars="200"/>
        <w:rPr>
          <w:rFonts w:hAnsi="宋体" w:cs="宋体"/>
          <w:b/>
          <w:color w:val="auto"/>
          <w:sz w:val="21"/>
          <w:highlight w:val="none"/>
        </w:rPr>
      </w:pPr>
      <w:r>
        <w:rPr>
          <w:rFonts w:hint="eastAsia" w:hAnsi="宋体" w:cs="宋体"/>
          <w:b/>
          <w:color w:val="auto"/>
          <w:sz w:val="21"/>
          <w:highlight w:val="none"/>
        </w:rPr>
        <w:t>（1）不具备招标文件中规定的资格要求的；</w:t>
      </w:r>
    </w:p>
    <w:p w14:paraId="7A02A8E3">
      <w:pPr>
        <w:pStyle w:val="25"/>
        <w:snapToGrid w:val="0"/>
        <w:spacing w:line="360" w:lineRule="auto"/>
        <w:ind w:firstLine="422" w:firstLineChars="200"/>
        <w:rPr>
          <w:rFonts w:hAnsi="宋体" w:cs="宋体"/>
          <w:b/>
          <w:color w:val="auto"/>
          <w:sz w:val="21"/>
          <w:highlight w:val="none"/>
        </w:rPr>
      </w:pPr>
      <w:r>
        <w:rPr>
          <w:rFonts w:hint="eastAsia" w:hAnsi="宋体" w:cs="宋体"/>
          <w:b/>
          <w:color w:val="auto"/>
          <w:sz w:val="21"/>
          <w:highlight w:val="none"/>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w:t>
      </w:r>
    </w:p>
    <w:p w14:paraId="59A63EB5">
      <w:pPr>
        <w:pStyle w:val="25"/>
        <w:snapToGrid w:val="0"/>
        <w:spacing w:line="360" w:lineRule="auto"/>
        <w:ind w:firstLine="422" w:firstLineChars="200"/>
        <w:rPr>
          <w:rFonts w:hAnsi="宋体" w:cs="宋体"/>
          <w:b/>
          <w:color w:val="auto"/>
          <w:sz w:val="21"/>
          <w:highlight w:val="none"/>
        </w:rPr>
      </w:pPr>
      <w:r>
        <w:rPr>
          <w:rFonts w:hint="eastAsia" w:hAnsi="宋体" w:cs="宋体"/>
          <w:b/>
          <w:color w:val="auto"/>
          <w:sz w:val="21"/>
          <w:highlight w:val="none"/>
        </w:rPr>
        <w:t>（3）同一合同项下的不同投标人，单位负责人为同一人或者存在直接控股、管理关系的；为本项目提供过整体设计、规范编制或者项目管理、监理、检测等服务的供应商，再参加该采购项目的其他采购活动的；</w:t>
      </w:r>
    </w:p>
    <w:p w14:paraId="3AD0CE5E">
      <w:pPr>
        <w:pStyle w:val="25"/>
        <w:snapToGrid w:val="0"/>
        <w:spacing w:line="360" w:lineRule="auto"/>
        <w:ind w:firstLine="422" w:firstLineChars="200"/>
        <w:rPr>
          <w:rFonts w:hAnsi="宋体" w:cs="宋体"/>
          <w:b/>
          <w:color w:val="auto"/>
          <w:sz w:val="21"/>
          <w:highlight w:val="none"/>
        </w:rPr>
      </w:pPr>
      <w:r>
        <w:rPr>
          <w:rFonts w:hint="eastAsia" w:hAnsi="宋体" w:cs="宋体"/>
          <w:b/>
          <w:color w:val="auto"/>
          <w:sz w:val="21"/>
          <w:highlight w:val="none"/>
        </w:rPr>
        <w:t>（4）投标文件中的资格证明文件缺少任一项“投标人须知前附表”资格证明文件规定“必须提供”的文件资料的；</w:t>
      </w:r>
    </w:p>
    <w:p w14:paraId="279BAFCF">
      <w:pPr>
        <w:pStyle w:val="25"/>
        <w:snapToGrid w:val="0"/>
        <w:spacing w:line="360" w:lineRule="auto"/>
        <w:ind w:firstLine="422" w:firstLineChars="200"/>
        <w:rPr>
          <w:rFonts w:hAnsi="宋体" w:cs="宋体"/>
          <w:b/>
          <w:color w:val="auto"/>
          <w:sz w:val="21"/>
          <w:highlight w:val="none"/>
        </w:rPr>
      </w:pPr>
      <w:r>
        <w:rPr>
          <w:rFonts w:hint="eastAsia" w:hAnsi="宋体" w:cs="宋体"/>
          <w:b/>
          <w:color w:val="auto"/>
          <w:sz w:val="21"/>
          <w:highlight w:val="none"/>
        </w:rPr>
        <w:t>（5）投标文件中的资格证明文件出现任一项不符合“投标人须知前附表”资格证明文件规定“必须提供”的文件资料要求或者无效的。</w:t>
      </w:r>
    </w:p>
    <w:p w14:paraId="533FE96F">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color w:val="auto"/>
          <w:sz w:val="21"/>
          <w:szCs w:val="21"/>
          <w:highlight w:val="none"/>
        </w:rPr>
        <w:t>25.4合格投标人不足3家的，不得评标。</w:t>
      </w:r>
    </w:p>
    <w:p w14:paraId="5926504F">
      <w:pPr>
        <w:pStyle w:val="25"/>
        <w:snapToGrid w:val="0"/>
        <w:spacing w:line="360" w:lineRule="auto"/>
        <w:ind w:left="689" w:leftChars="228" w:hanging="210" w:hangingChars="100"/>
        <w:rPr>
          <w:rFonts w:hAnsi="宋体" w:cs="宋体"/>
          <w:color w:val="auto"/>
          <w:sz w:val="21"/>
          <w:highlight w:val="none"/>
        </w:rPr>
      </w:pPr>
    </w:p>
    <w:p w14:paraId="4DB7A81C">
      <w:pPr>
        <w:pStyle w:val="4"/>
        <w:keepNext w:val="0"/>
        <w:keepLines w:val="0"/>
        <w:jc w:val="center"/>
        <w:rPr>
          <w:rFonts w:ascii="宋体" w:hAnsi="宋体" w:cs="宋体"/>
          <w:color w:val="auto"/>
          <w:highlight w:val="none"/>
        </w:rPr>
      </w:pPr>
      <w:r>
        <w:rPr>
          <w:rFonts w:hint="eastAsia" w:ascii="宋体" w:hAnsi="宋体" w:cs="宋体"/>
          <w:color w:val="auto"/>
          <w:highlight w:val="none"/>
        </w:rPr>
        <w:t>六、评   标</w:t>
      </w:r>
    </w:p>
    <w:p w14:paraId="183737EC">
      <w:pPr>
        <w:pStyle w:val="6"/>
        <w:keepNext w:val="0"/>
        <w:keepLines w:val="0"/>
        <w:spacing w:before="0" w:after="0" w:line="360" w:lineRule="auto"/>
        <w:ind w:left="420" w:leftChars="200"/>
        <w:rPr>
          <w:rFonts w:ascii="宋体" w:hAnsi="宋体" w:cs="宋体"/>
          <w:color w:val="auto"/>
          <w:sz w:val="24"/>
          <w:highlight w:val="none"/>
        </w:rPr>
      </w:pPr>
      <w:bookmarkStart w:id="120" w:name="_26.组建评标委员会"/>
      <w:bookmarkEnd w:id="120"/>
      <w:r>
        <w:rPr>
          <w:rFonts w:hint="eastAsia" w:ascii="宋体" w:hAnsi="宋体" w:cs="宋体"/>
          <w:color w:val="auto"/>
          <w:sz w:val="24"/>
          <w:highlight w:val="none"/>
        </w:rPr>
        <w:t>26.组建评标委员会</w:t>
      </w:r>
    </w:p>
    <w:p w14:paraId="049EF3C6">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26.1评标委员会由采购人代表和评审专家组成，具体人数详见“投标人须知前附表”，其中评审专家不得少于成员总数的三分之二。</w:t>
      </w:r>
    </w:p>
    <w:p w14:paraId="581742AB">
      <w:pPr>
        <w:pStyle w:val="25"/>
        <w:snapToGrid w:val="0"/>
        <w:spacing w:line="360" w:lineRule="auto"/>
        <w:ind w:left="2" w:leftChars="1" w:firstLine="420" w:firstLineChars="200"/>
        <w:rPr>
          <w:rFonts w:hAnsi="宋体" w:cs="宋体"/>
          <w:color w:val="auto"/>
          <w:sz w:val="21"/>
          <w:highlight w:val="none"/>
        </w:rPr>
      </w:pPr>
      <w:r>
        <w:rPr>
          <w:rFonts w:hint="eastAsia" w:hAnsi="宋体" w:cs="宋体"/>
          <w:color w:val="auto"/>
          <w:sz w:val="21"/>
          <w:highlight w:val="none"/>
        </w:rPr>
        <w:t>26.2参加过采购项目前期咨询论证的专家，不得参加该采购项目的评审活动。</w:t>
      </w:r>
    </w:p>
    <w:p w14:paraId="5DDE1492">
      <w:pPr>
        <w:pStyle w:val="25"/>
        <w:snapToGrid w:val="0"/>
        <w:spacing w:line="360" w:lineRule="auto"/>
        <w:ind w:left="2" w:leftChars="1" w:firstLine="420" w:firstLineChars="200"/>
        <w:rPr>
          <w:rFonts w:hAnsi="宋体" w:cs="宋体"/>
          <w:color w:val="auto"/>
          <w:sz w:val="21"/>
          <w:highlight w:val="none"/>
        </w:rPr>
      </w:pPr>
      <w:r>
        <w:rPr>
          <w:rFonts w:hint="eastAsia" w:hAnsi="宋体" w:cs="宋体"/>
          <w:color w:val="auto"/>
          <w:sz w:val="21"/>
          <w:highlight w:val="none"/>
        </w:rPr>
        <w:t>26.3</w:t>
      </w:r>
      <w:r>
        <w:rPr>
          <w:rFonts w:hint="eastAsia" w:hAnsi="宋体" w:cs="宋体"/>
          <w:bCs/>
          <w:color w:val="auto"/>
          <w:sz w:val="21"/>
          <w:highlight w:val="none"/>
        </w:rPr>
        <w:t>采购代理机构应当基于广西政府采购云平台抽（选）取评审专家。</w:t>
      </w:r>
    </w:p>
    <w:p w14:paraId="11AD4614">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27.评标的依据</w:t>
      </w:r>
    </w:p>
    <w:p w14:paraId="3CEA0342">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评标委员会以“第四章 评标方法和评标标准”为依据对投标文件进行评审，没有规定的方法、评审因素和标准，不作为评标依据。</w:t>
      </w:r>
    </w:p>
    <w:p w14:paraId="52D9B4BE">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28.评标原则</w:t>
      </w:r>
    </w:p>
    <w:p w14:paraId="21955B55">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107A24B3">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28.2</w:t>
      </w:r>
      <w:bookmarkStart w:id="121" w:name="_28.3评标方法。本项目将按须知前附表规定的评标办法进行评标，具体评标"/>
      <w:bookmarkEnd w:id="121"/>
      <w:r>
        <w:rPr>
          <w:rFonts w:hint="eastAsia" w:hAnsi="宋体" w:cs="宋体"/>
          <w:color w:val="auto"/>
          <w:sz w:val="21"/>
          <w:highlight w:val="none"/>
        </w:rPr>
        <w:t>评委表决。评标委员会成员对需要共同认定的事项存在争议的，应当按照少数服从多数的原则作出结论。</w:t>
      </w:r>
    </w:p>
    <w:p w14:paraId="7A7F2E3C">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4F424806">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28.4评标过程的监控。本项目电子评标过程实行网上留痕、全程录音、录像监控，</w:t>
      </w:r>
      <w:r>
        <w:rPr>
          <w:rFonts w:hint="eastAsia" w:hAnsi="宋体" w:cs="宋体"/>
          <w:b/>
          <w:color w:val="auto"/>
          <w:sz w:val="21"/>
          <w:highlight w:val="none"/>
        </w:rPr>
        <w:t>投标人在评标过程中所进行的试图影响评标结果的不公正活动，可能导致其投标按无效处理。</w:t>
      </w:r>
    </w:p>
    <w:p w14:paraId="5DBA0F89">
      <w:pPr>
        <w:pStyle w:val="6"/>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29.评标方法及中标候选人推荐</w:t>
      </w:r>
    </w:p>
    <w:p w14:paraId="10888B97">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29.1本项目的评标方法详见“投标人须知前附表”。</w:t>
      </w:r>
    </w:p>
    <w:p w14:paraId="0674B8B7">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29.2 商务/技术要求允许负偏离的条款数详见“投标人须知前附表”。</w:t>
      </w:r>
    </w:p>
    <w:p w14:paraId="11AB0E22">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29.3 中标候选人推荐数量详见“投标人须知前附表”。</w:t>
      </w:r>
    </w:p>
    <w:p w14:paraId="76CA16CC">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29.4 电子交易活动的中止。采购过程中出现以下情形，导致</w:t>
      </w:r>
      <w:r>
        <w:rPr>
          <w:rFonts w:hint="eastAsia" w:ascii="宋体" w:hAnsi="宋体" w:cs="宋体"/>
          <w:color w:val="auto"/>
          <w:highlight w:val="none"/>
        </w:rPr>
        <w:t>电子交易平台无法正常运行，或者无法保证电子交易的公平、公正和安全时，采购代理机构可以中止电子交易活动：</w:t>
      </w:r>
    </w:p>
    <w:p w14:paraId="0347C8F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（1）电子交易平台发生故障而无法登录访问的； </w:t>
      </w:r>
    </w:p>
    <w:p w14:paraId="01E1352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57E3377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190B5DD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（4）病毒发作导致不能进行正常操作的； </w:t>
      </w:r>
    </w:p>
    <w:p w14:paraId="685BBAF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（5）其他无法保证电子交易的公平、公正和安全的情况。</w:t>
      </w:r>
    </w:p>
    <w:p w14:paraId="6F03D88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2DAA3631">
      <w:pPr>
        <w:pStyle w:val="25"/>
        <w:snapToGrid w:val="0"/>
        <w:spacing w:line="360" w:lineRule="auto"/>
        <w:rPr>
          <w:rFonts w:hAnsi="宋体" w:cs="宋体"/>
          <w:color w:val="auto"/>
          <w:sz w:val="21"/>
          <w:highlight w:val="none"/>
        </w:rPr>
      </w:pPr>
    </w:p>
    <w:p w14:paraId="21191C0B">
      <w:pPr>
        <w:pStyle w:val="4"/>
        <w:keepNext w:val="0"/>
        <w:keepLines w:val="0"/>
        <w:jc w:val="center"/>
        <w:rPr>
          <w:rFonts w:ascii="宋体" w:hAnsi="宋体" w:cs="宋体"/>
          <w:color w:val="auto"/>
          <w:highlight w:val="none"/>
        </w:rPr>
      </w:pPr>
      <w:bookmarkStart w:id="122" w:name="_Toc254970687"/>
      <w:bookmarkStart w:id="123" w:name="_Toc254970546"/>
      <w:r>
        <w:rPr>
          <w:rFonts w:hint="eastAsia" w:ascii="宋体" w:hAnsi="宋体" w:cs="宋体"/>
          <w:color w:val="auto"/>
          <w:highlight w:val="none"/>
        </w:rPr>
        <w:t>七、</w:t>
      </w:r>
      <w:bookmarkEnd w:id="122"/>
      <w:bookmarkEnd w:id="123"/>
      <w:r>
        <w:rPr>
          <w:rFonts w:hint="eastAsia" w:ascii="宋体" w:hAnsi="宋体" w:cs="宋体"/>
          <w:color w:val="auto"/>
          <w:highlight w:val="none"/>
        </w:rPr>
        <w:t>中标和合同</w:t>
      </w:r>
    </w:p>
    <w:p w14:paraId="5133C505">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30 确定中标人</w:t>
      </w:r>
    </w:p>
    <w:p w14:paraId="4DB8F91B">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4617113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30.2采购人在收到评标报告5个工作日内未按评标报告推荐的中标候选人顺序确定中标人，又不能说明合法理由的，视同按评标报告推荐的顺序确定排名第一的中标候选人为中标人。</w:t>
      </w:r>
    </w:p>
    <w:p w14:paraId="335C11B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30.3出现下列情形之一的，应予废标：</w:t>
      </w:r>
    </w:p>
    <w:p w14:paraId="65CEC6A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（1）符合专业条件的供应商或者对招标文件作实质响应的供应商不足三家的；</w:t>
      </w:r>
    </w:p>
    <w:p w14:paraId="51C3455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（2）出现影响采购公正的违法、违规行为的；</w:t>
      </w:r>
    </w:p>
    <w:p w14:paraId="0F0341E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（3）投标人的报价均超过了采购预算，采购人不能支付的；</w:t>
      </w:r>
    </w:p>
    <w:p w14:paraId="05B9B73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（4）因重大变故，采购任务取消的。</w:t>
      </w:r>
    </w:p>
    <w:p w14:paraId="5BDC741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废标后，采购人应当将废标理由通知所有投标人。</w:t>
      </w:r>
    </w:p>
    <w:p w14:paraId="4C497232">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31. 结果公告</w:t>
      </w:r>
    </w:p>
    <w:p w14:paraId="05BFF6D1">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31.1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5E71A59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以上信息查询记录及相关证据与采购文件一并保存。</w:t>
      </w:r>
    </w:p>
    <w:p w14:paraId="7CB8D3E6">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31.2中标供应商享受《政府采购促进中小企业发展管理办法》（财库〔2020〕46号）规定的中小企业扶持政策的，采购人、采购代理机构应当随中标结果公开中标供应商的《中小企业声明函》。</w:t>
      </w:r>
    </w:p>
    <w:p w14:paraId="2FA85367">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32.发出中标通知书</w:t>
      </w:r>
    </w:p>
    <w:p w14:paraId="253793DD">
      <w:pPr>
        <w:pStyle w:val="6"/>
        <w:keepNext w:val="0"/>
        <w:keepLines w:val="0"/>
        <w:spacing w:before="0" w:after="0" w:line="360" w:lineRule="auto"/>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在发布中标公告的同时，采购代理机构向中标人通过广西政府采购云平台发出电子中标通知书。对未通过资格审查的投标人，应当告知其未通过的原因；采用综合评分办法评审的，还应当告知未中标人本人的评审得分与排序。</w:t>
      </w:r>
    </w:p>
    <w:p w14:paraId="3E461978">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33. 无义务解释未中标原因</w:t>
      </w:r>
    </w:p>
    <w:p w14:paraId="02710AB4">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采购代理机构无义务向未中标的投标人解释未中标原因。</w:t>
      </w:r>
    </w:p>
    <w:p w14:paraId="3F6426C0">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34.合同授予标准</w:t>
      </w:r>
    </w:p>
    <w:p w14:paraId="37CB854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合同将授予被确定实质上响应招标文件要求，具备履行合同能力的中标人。</w:t>
      </w:r>
    </w:p>
    <w:p w14:paraId="0BE873CB">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35.履约保证金</w:t>
      </w:r>
    </w:p>
    <w:p w14:paraId="115E0252">
      <w:pPr>
        <w:pStyle w:val="6"/>
        <w:keepNext w:val="0"/>
        <w:keepLines w:val="0"/>
        <w:spacing w:before="0" w:after="0" w:line="360" w:lineRule="auto"/>
        <w:ind w:firstLine="315" w:firstLineChars="150"/>
        <w:rPr>
          <w:rFonts w:ascii="宋体" w:hAnsi="宋体" w:cs="宋体"/>
          <w:b w:val="0"/>
          <w:color w:val="auto"/>
          <w:sz w:val="21"/>
          <w:szCs w:val="21"/>
          <w:highlight w:val="none"/>
        </w:rPr>
      </w:pPr>
      <w:bookmarkStart w:id="124" w:name="_39.1中标人须于签订合同前按本须知前附表规定的金额转账或电汇到指定账"/>
      <w:bookmarkEnd w:id="124"/>
      <w:r>
        <w:rPr>
          <w:rFonts w:hint="eastAsia" w:ascii="宋体" w:hAnsi="宋体" w:cs="宋体"/>
          <w:b w:val="0"/>
          <w:color w:val="auto"/>
          <w:sz w:val="21"/>
          <w:szCs w:val="21"/>
          <w:highlight w:val="none"/>
        </w:rPr>
        <w:t xml:space="preserve"> 35.1 履约保证金的金额、提交方式、退付的时间和条件详见 “投标人须知前附表”。中标人未按规定提交履约保证金的，视为拒绝与采购人签订合同。</w:t>
      </w:r>
    </w:p>
    <w:p w14:paraId="73054AAD">
      <w:pPr>
        <w:pStyle w:val="6"/>
        <w:keepNext w:val="0"/>
        <w:keepLines w:val="0"/>
        <w:spacing w:before="0" w:after="0" w:line="360" w:lineRule="auto"/>
        <w:ind w:firstLine="316" w:firstLineChars="150"/>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b w:val="0"/>
          <w:bCs/>
          <w:color w:val="auto"/>
          <w:sz w:val="21"/>
          <w:szCs w:val="21"/>
          <w:highlight w:val="none"/>
        </w:rPr>
        <w:t>35.2在履约保证金退还日期前，若中标人的开户名称、开户银行、账号有变动的，请以书面形式通知履约保证金收取单位，否则由此产生的后果由中标人自行承担。</w:t>
      </w:r>
    </w:p>
    <w:p w14:paraId="24FA7F81">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36.签订合同</w:t>
      </w:r>
    </w:p>
    <w:p w14:paraId="06BAD43E">
      <w:pPr>
        <w:pStyle w:val="6"/>
        <w:keepNext w:val="0"/>
        <w:keepLines w:val="0"/>
        <w:spacing w:before="0" w:after="0" w:line="360" w:lineRule="auto"/>
        <w:ind w:firstLine="315" w:firstLineChars="150"/>
        <w:rPr>
          <w:rFonts w:ascii="宋体" w:hAnsi="宋体" w:cs="宋体"/>
          <w:b w:val="0"/>
          <w:color w:val="auto"/>
          <w:sz w:val="21"/>
          <w:szCs w:val="21"/>
          <w:highlight w:val="none"/>
        </w:rPr>
      </w:pPr>
      <w:bookmarkStart w:id="125" w:name="_40.1投标人接到中标通知书后，按须知前附表规定向采购人出示相关资格证"/>
      <w:bookmarkEnd w:id="125"/>
      <w:r>
        <w:rPr>
          <w:rFonts w:hint="eastAsia" w:ascii="宋体" w:hAnsi="宋体" w:cs="宋体"/>
          <w:b w:val="0"/>
          <w:color w:val="auto"/>
          <w:sz w:val="21"/>
          <w:szCs w:val="21"/>
          <w:highlight w:val="none"/>
        </w:rPr>
        <w:t xml:space="preserve"> </w:t>
      </w:r>
      <w:r>
        <w:rPr>
          <w:rFonts w:hint="eastAsia" w:ascii="宋体" w:hAnsi="宋体" w:cs="宋体"/>
          <w:color w:val="auto"/>
          <w:sz w:val="21"/>
          <w:szCs w:val="21"/>
          <w:highlight w:val="none"/>
        </w:rPr>
        <w:t>36.1签订电子采购合同：中标人领取电子中标通知书后，</w:t>
      </w:r>
      <w:r>
        <w:rPr>
          <w:rFonts w:hint="eastAsia" w:ascii="宋体" w:hAnsi="宋体" w:cs="宋体"/>
          <w:color w:val="auto"/>
          <w:kern w:val="0"/>
          <w:sz w:val="21"/>
          <w:szCs w:val="21"/>
          <w:highlight w:val="none"/>
        </w:rPr>
        <w:t>在</w:t>
      </w:r>
      <w:r>
        <w:rPr>
          <w:rFonts w:hint="eastAsia" w:ascii="宋体" w:hAnsi="宋体" w:cs="宋体"/>
          <w:color w:val="auto"/>
          <w:kern w:val="0"/>
          <w:sz w:val="21"/>
          <w:szCs w:val="21"/>
          <w:highlight w:val="none"/>
          <w:lang w:val="zh-CN"/>
        </w:rPr>
        <w:t>规定的日期、时间、地点，由法定代表人或其授权代表与采购人代表签订电子采购合同。如中标人为联合体的，由联合体成员各方法定代表人或其授权代表与采购人代表签订合同。</w:t>
      </w:r>
    </w:p>
    <w:p w14:paraId="10A0CC7A">
      <w:pPr>
        <w:pStyle w:val="6"/>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线下签订纸质合同：投标人领取中标通知书后，按“投标人须知前附表”规定向采购人出示相关证明材料，经采购人核验合格后方可签订合同。</w:t>
      </w:r>
    </w:p>
    <w:p w14:paraId="6921674E">
      <w:pPr>
        <w:pStyle w:val="6"/>
        <w:keepNext w:val="0"/>
        <w:keepLines w:val="0"/>
        <w:numPr>
          <w:ilvl w:val="0"/>
          <w:numId w:val="0"/>
        </w:numPr>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36.2签订合同时间：按中标通知书规定的时间与采购人签订合同。</w:t>
      </w:r>
    </w:p>
    <w:p w14:paraId="749A7E7C">
      <w:pPr>
        <w:pStyle w:val="6"/>
        <w:keepNext w:val="0"/>
        <w:keepLines w:val="0"/>
        <w:spacing w:before="0" w:after="0" w:line="360" w:lineRule="auto"/>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36.3中标人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628B251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51A4491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36.5采购人或中标供应商不得单方面向合同另一方提出任何招标文件没有约定的条件或不合理的要求，作为签订合同的条件；也不得协商另行订立背离招标文件和合同实质性内容的协议。</w:t>
      </w:r>
    </w:p>
    <w:p w14:paraId="0B53BEA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36.6如签订合同并生效后，供应商无故拒绝或延期，除按照合同条款处理外，将承担相应的法律责任。</w:t>
      </w:r>
    </w:p>
    <w:p w14:paraId="51D945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36.7政府采购合同履行中，采购人需追加与合同标的相同的货物、工程或者服务的，在不改变合同其他条款的前提下，可以与供应商协商签订补充合同，但所有补充合同的采购金额不得超过原合同采购金额的10%。</w:t>
      </w:r>
    </w:p>
    <w:p w14:paraId="53A5A77B">
      <w:pPr>
        <w:pStyle w:val="6"/>
        <w:keepNext w:val="0"/>
        <w:keepLines w:val="0"/>
        <w:spacing w:before="0" w:after="0" w:line="360" w:lineRule="auto"/>
        <w:ind w:left="420" w:leftChars="200"/>
        <w:rPr>
          <w:rFonts w:ascii="宋体" w:hAnsi="宋体" w:cs="宋体"/>
          <w:color w:val="auto"/>
          <w:sz w:val="24"/>
          <w:highlight w:val="none"/>
        </w:rPr>
      </w:pPr>
      <w:bookmarkStart w:id="126" w:name="_41.政府采购合同公告"/>
      <w:bookmarkEnd w:id="126"/>
      <w:r>
        <w:rPr>
          <w:rFonts w:hint="eastAsia" w:ascii="宋体" w:hAnsi="宋体" w:cs="宋体"/>
          <w:color w:val="auto"/>
          <w:sz w:val="24"/>
          <w:highlight w:val="none"/>
        </w:rPr>
        <w:t>37.政府采购合同公告</w:t>
      </w:r>
    </w:p>
    <w:p w14:paraId="2745719F">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采购人或者受托采购代理机构应当自政府采购合同签订之日起2个工作日内，将政府采购合同在省级以上人民政府财政部门指定的媒体上公告，但政府采购合同中涉及国家秘密、商业秘密的内容除外。</w:t>
      </w:r>
    </w:p>
    <w:p w14:paraId="2BD72233">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38. 询问、质疑和投诉</w:t>
      </w:r>
    </w:p>
    <w:p w14:paraId="67509A77">
      <w:pPr>
        <w:pStyle w:val="8"/>
        <w:spacing w:line="360" w:lineRule="auto"/>
        <w:rPr>
          <w:rFonts w:ascii="宋体" w:hAnsi="宋体" w:cs="宋体"/>
          <w:color w:val="auto"/>
          <w:szCs w:val="21"/>
          <w:highlight w:val="none"/>
        </w:rPr>
      </w:pPr>
      <w:r>
        <w:rPr>
          <w:rFonts w:hint="eastAsia" w:ascii="宋体" w:hAnsi="宋体" w:cs="宋体"/>
          <w:color w:val="auto"/>
          <w:szCs w:val="21"/>
          <w:highlight w:val="none"/>
        </w:rPr>
        <w:t>38.1供应商对政府采购活动事项有疑问的，可以向采购人提出询问，采购人或者采购代理机构应当在3个工作日内对供应商依法提出的询问作出答复，但答复的内容不得涉及商业秘密。</w:t>
      </w:r>
    </w:p>
    <w:p w14:paraId="6328C9DC">
      <w:pPr>
        <w:pStyle w:val="6"/>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38.2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592A0F77">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（1）对可以质疑的招标文件提出质疑的，为收到招标文件之日或者招标文件公告期限届满之日；</w:t>
      </w:r>
    </w:p>
    <w:p w14:paraId="4529EEDC">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（2）对采购过程提出质疑的，为各采购程序环节结束之日；</w:t>
      </w:r>
    </w:p>
    <w:p w14:paraId="198684C8">
      <w:pPr>
        <w:pStyle w:val="25"/>
        <w:snapToGrid w:val="0"/>
        <w:spacing w:line="360" w:lineRule="auto"/>
        <w:ind w:firstLine="420" w:firstLineChars="200"/>
        <w:rPr>
          <w:rFonts w:hAnsi="宋体" w:cs="宋体"/>
          <w:bCs/>
          <w:color w:val="auto"/>
          <w:sz w:val="21"/>
          <w:highlight w:val="none"/>
        </w:rPr>
      </w:pPr>
      <w:r>
        <w:rPr>
          <w:rFonts w:hint="eastAsia" w:hAnsi="宋体" w:cs="宋体"/>
          <w:color w:val="auto"/>
          <w:sz w:val="21"/>
          <w:highlight w:val="none"/>
        </w:rPr>
        <w:t>（3）对中标结果提出质疑的，为中标结果公告期限届满之日。</w:t>
      </w:r>
    </w:p>
    <w:p w14:paraId="208B72B0">
      <w:pPr>
        <w:pStyle w:val="6"/>
        <w:keepNext w:val="0"/>
        <w:keepLines w:val="0"/>
        <w:spacing w:before="0" w:after="0" w:line="360" w:lineRule="auto"/>
        <w:ind w:firstLine="315" w:firstLineChars="150"/>
        <w:rPr>
          <w:rFonts w:ascii="宋体" w:hAnsi="宋体" w:cs="宋体"/>
          <w:b w:val="0"/>
          <w:color w:val="auto"/>
          <w:sz w:val="21"/>
          <w:szCs w:val="21"/>
          <w:highlight w:val="none"/>
        </w:rPr>
      </w:pPr>
      <w:bookmarkStart w:id="127" w:name="_9.2质疑、投诉应当采用书面形式，质疑函、投诉书均应明确阐述招标文件、"/>
      <w:bookmarkEnd w:id="127"/>
      <w:r>
        <w:rPr>
          <w:rFonts w:hint="eastAsia" w:ascii="宋体" w:hAnsi="宋体" w:cs="宋体"/>
          <w:b w:val="0"/>
          <w:color w:val="auto"/>
          <w:sz w:val="21"/>
          <w:szCs w:val="21"/>
          <w:highlight w:val="none"/>
        </w:rPr>
        <w:t xml:space="preserve"> 38.3 </w:t>
      </w:r>
      <w:r>
        <w:rPr>
          <w:rFonts w:hint="eastAsia" w:ascii="宋体" w:hAnsi="宋体" w:cs="宋体"/>
          <w:b w:val="0"/>
          <w:bCs/>
          <w:color w:val="auto"/>
          <w:sz w:val="21"/>
          <w:highlight w:val="none"/>
        </w:rPr>
        <w:t>供应商提出质疑应当提交质疑函和必要的证明材料，针对同一采购程序环节的质疑必须在法定质疑期内一次性提出。质疑函应当包括下列内容（质疑函格式后附）：</w:t>
      </w:r>
    </w:p>
    <w:p w14:paraId="7DB1EB4D">
      <w:pPr>
        <w:pStyle w:val="25"/>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（1）供应商的姓名或者名称、地址、邮编、联系人及联系电话；</w:t>
      </w:r>
    </w:p>
    <w:p w14:paraId="17C72A6D">
      <w:pPr>
        <w:pStyle w:val="25"/>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（2）质疑项目的名称、编号；</w:t>
      </w:r>
    </w:p>
    <w:p w14:paraId="7BB85CBE">
      <w:pPr>
        <w:pStyle w:val="25"/>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（3）具体、明确的质疑事项和与质疑事项相关的请求；</w:t>
      </w:r>
    </w:p>
    <w:p w14:paraId="792DC4B6">
      <w:pPr>
        <w:pStyle w:val="25"/>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（4）事实依据；</w:t>
      </w:r>
    </w:p>
    <w:p w14:paraId="5B6BF7A8">
      <w:pPr>
        <w:pStyle w:val="25"/>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（5）必要的法律依据；</w:t>
      </w:r>
    </w:p>
    <w:p w14:paraId="41FC6089">
      <w:pPr>
        <w:pStyle w:val="25"/>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（6）提出质疑的日期。</w:t>
      </w:r>
    </w:p>
    <w:p w14:paraId="7C0F65E5">
      <w:pPr>
        <w:pStyle w:val="25"/>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供应商为自然人的，应当由本人签字；供应商为法人或者其他组织的，应当由法定代表人、主要负责人，或者其委托代理人签字或者盖章，并加盖公章。</w:t>
      </w:r>
    </w:p>
    <w:p w14:paraId="17D42195">
      <w:pPr>
        <w:pStyle w:val="6"/>
        <w:keepNext w:val="0"/>
        <w:keepLines w:val="0"/>
        <w:snapToGrid w:val="0"/>
        <w:spacing w:before="0" w:after="0" w:line="360" w:lineRule="auto"/>
        <w:ind w:firstLine="420" w:firstLineChars="200"/>
        <w:rPr>
          <w:rFonts w:ascii="宋体" w:hAnsi="宋体" w:cs="宋体"/>
          <w:b w:val="0"/>
          <w:bCs/>
          <w:color w:val="auto"/>
          <w:sz w:val="21"/>
          <w:szCs w:val="21"/>
          <w:highlight w:val="none"/>
        </w:rPr>
      </w:pPr>
      <w:r>
        <w:rPr>
          <w:rFonts w:hint="eastAsia" w:ascii="宋体" w:hAnsi="宋体" w:cs="宋体"/>
          <w:b w:val="0"/>
          <w:color w:val="auto"/>
          <w:sz w:val="21"/>
          <w:szCs w:val="21"/>
          <w:highlight w:val="none"/>
        </w:rPr>
        <w:t>3</w:t>
      </w:r>
      <w:r>
        <w:rPr>
          <w:rFonts w:hint="eastAsia" w:ascii="宋体" w:hAnsi="宋体" w:cs="宋体"/>
          <w:b w:val="0"/>
          <w:bCs/>
          <w:color w:val="auto"/>
          <w:sz w:val="21"/>
          <w:szCs w:val="21"/>
          <w:highlight w:val="none"/>
        </w:rPr>
        <w:t>8.4采购人、采购代理机构认为供应商质疑不成立，或者成立但未对中标结果构成影响的，继续开展采购活动；认为供应商质疑成立且影响或者可能影响中标结果的，按照下列情况处理：</w:t>
      </w:r>
    </w:p>
    <w:p w14:paraId="760A53B8">
      <w:pPr>
        <w:pStyle w:val="25"/>
        <w:snapToGrid w:val="0"/>
        <w:spacing w:line="360" w:lineRule="auto"/>
        <w:rPr>
          <w:rFonts w:hAnsi="宋体" w:cs="宋体"/>
          <w:bCs/>
          <w:color w:val="auto"/>
          <w:sz w:val="21"/>
          <w:highlight w:val="none"/>
        </w:rPr>
      </w:pPr>
      <w:r>
        <w:rPr>
          <w:rFonts w:hint="eastAsia" w:hAnsi="宋体" w:cs="宋体"/>
          <w:bCs/>
          <w:color w:val="auto"/>
          <w:sz w:val="21"/>
          <w:highlight w:val="none"/>
        </w:rPr>
        <w:t>　　（一）对招标文件提出的质疑，依法通过澄清或者修改可以继续开展采购活动的，澄清或者修改招标文件后继续开展采购活动；否则应当修改招标文件后重新开展采购活动。</w:t>
      </w:r>
    </w:p>
    <w:p w14:paraId="36B44C59">
      <w:pPr>
        <w:pStyle w:val="25"/>
        <w:snapToGrid w:val="0"/>
        <w:spacing w:line="360" w:lineRule="auto"/>
        <w:rPr>
          <w:rFonts w:hAnsi="宋体" w:cs="宋体"/>
          <w:bCs/>
          <w:color w:val="auto"/>
          <w:sz w:val="21"/>
          <w:highlight w:val="none"/>
        </w:rPr>
      </w:pPr>
      <w:r>
        <w:rPr>
          <w:rFonts w:hint="eastAsia" w:hAnsi="宋体" w:cs="宋体"/>
          <w:bCs/>
          <w:color w:val="auto"/>
          <w:sz w:val="21"/>
          <w:highlight w:val="none"/>
        </w:rPr>
        <w:t>　　（二）对采购过程、中标结果提出的质疑，合格供应商符合法定数量时，可以从合格的中标候选人中另行确定中标供应商的，应当依法另行确定中标供应商；否则应当重新开展采购活动。</w:t>
      </w:r>
    </w:p>
    <w:p w14:paraId="3E8942E9">
      <w:pPr>
        <w:pStyle w:val="25"/>
        <w:snapToGrid w:val="0"/>
        <w:spacing w:line="360" w:lineRule="auto"/>
        <w:ind w:firstLine="420"/>
        <w:rPr>
          <w:rFonts w:hAnsi="宋体" w:cs="宋体"/>
          <w:bCs/>
          <w:color w:val="auto"/>
          <w:sz w:val="21"/>
          <w:highlight w:val="none"/>
        </w:rPr>
      </w:pPr>
      <w:r>
        <w:rPr>
          <w:rFonts w:hint="eastAsia" w:hAnsi="宋体" w:cs="宋体"/>
          <w:bCs/>
          <w:color w:val="auto"/>
          <w:sz w:val="21"/>
          <w:highlight w:val="none"/>
        </w:rPr>
        <w:t>质疑答复导致中标结果改变的，采购人或者采购代理机构应当将有关情况书面报告本级财政部门。</w:t>
      </w:r>
    </w:p>
    <w:p w14:paraId="2A6D85B2">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38.5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0CBB89E4">
      <w:pPr>
        <w:pStyle w:val="4"/>
        <w:keepNext w:val="0"/>
        <w:keepLines w:val="0"/>
        <w:spacing w:before="240" w:after="240" w:line="415" w:lineRule="auto"/>
        <w:jc w:val="center"/>
        <w:rPr>
          <w:rFonts w:ascii="宋体" w:hAnsi="宋体" w:cs="宋体"/>
          <w:color w:val="auto"/>
          <w:highlight w:val="none"/>
        </w:rPr>
      </w:pPr>
      <w:bookmarkStart w:id="128" w:name="_八、其他事项"/>
      <w:bookmarkEnd w:id="128"/>
      <w:r>
        <w:rPr>
          <w:rFonts w:hint="eastAsia" w:ascii="宋体" w:hAnsi="宋体" w:cs="宋体"/>
          <w:color w:val="auto"/>
          <w:highlight w:val="none"/>
        </w:rPr>
        <w:t>八、其他事项</w:t>
      </w:r>
    </w:p>
    <w:p w14:paraId="28F74A21">
      <w:pPr>
        <w:pStyle w:val="6"/>
        <w:keepNext w:val="0"/>
        <w:keepLines w:val="0"/>
        <w:spacing w:before="0" w:after="0" w:line="360" w:lineRule="auto"/>
        <w:ind w:left="420" w:leftChars="200"/>
        <w:rPr>
          <w:rFonts w:ascii="宋体" w:hAnsi="宋体" w:cs="宋体"/>
          <w:color w:val="auto"/>
          <w:sz w:val="24"/>
          <w:highlight w:val="none"/>
        </w:rPr>
      </w:pPr>
      <w:bookmarkStart w:id="129" w:name="_42.代理服务费"/>
      <w:bookmarkEnd w:id="129"/>
      <w:r>
        <w:rPr>
          <w:rFonts w:hint="eastAsia" w:ascii="宋体" w:hAnsi="宋体" w:cs="宋体"/>
          <w:color w:val="auto"/>
          <w:sz w:val="24"/>
          <w:highlight w:val="none"/>
        </w:rPr>
        <w:t>39.代理服务费</w:t>
      </w:r>
    </w:p>
    <w:p w14:paraId="4B0FA2AF">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39.1代理服务收取标准及缴费账户详见“投标人须知前附表”，投标人为联合体的，可以由联合体中的一方或者多方共同交纳代理服务费。</w:t>
      </w:r>
    </w:p>
    <w:p w14:paraId="66D8864B">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39.2代理服务收费标准：</w:t>
      </w:r>
    </w:p>
    <w:p w14:paraId="79B971FC">
      <w:pPr>
        <w:spacing w:line="360" w:lineRule="auto"/>
        <w:rPr>
          <w:rFonts w:ascii="宋体" w:hAnsi="宋体" w:cs="宋体"/>
          <w:color w:val="auto"/>
          <w:szCs w:val="21"/>
          <w:highlight w:val="none"/>
        </w:rPr>
      </w:pPr>
    </w:p>
    <w:tbl>
      <w:tblPr>
        <w:tblStyle w:val="48"/>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27204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0EF6AAFF">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费率</w:t>
            </w:r>
          </w:p>
          <w:p w14:paraId="4F2235A0">
            <w:pPr>
              <w:spacing w:line="360" w:lineRule="auto"/>
              <w:rPr>
                <w:rFonts w:ascii="宋体" w:hAnsi="宋体" w:cs="宋体"/>
                <w:color w:val="auto"/>
                <w:szCs w:val="21"/>
                <w:highlight w:val="none"/>
              </w:rPr>
            </w:pPr>
            <w:r>
              <w:rPr>
                <w:rFonts w:hint="eastAsia" w:ascii="宋体" w:hAnsi="宋体" w:cs="宋体"/>
                <w:color w:val="auto"/>
                <w:szCs w:val="21"/>
                <w:highlight w:val="none"/>
              </w:rPr>
              <w:t>中标金额</w:t>
            </w:r>
          </w:p>
        </w:tc>
        <w:tc>
          <w:tcPr>
            <w:tcW w:w="1659" w:type="dxa"/>
            <w:vAlign w:val="center"/>
          </w:tcPr>
          <w:p w14:paraId="7E59DABD">
            <w:pP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货物招标</w:t>
            </w:r>
          </w:p>
        </w:tc>
        <w:tc>
          <w:tcPr>
            <w:tcW w:w="1687" w:type="dxa"/>
            <w:vAlign w:val="center"/>
          </w:tcPr>
          <w:p w14:paraId="51397FE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服务招标</w:t>
            </w:r>
          </w:p>
        </w:tc>
        <w:tc>
          <w:tcPr>
            <w:tcW w:w="1659" w:type="dxa"/>
            <w:vAlign w:val="center"/>
          </w:tcPr>
          <w:p w14:paraId="5C179E2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工程招标</w:t>
            </w:r>
          </w:p>
        </w:tc>
      </w:tr>
      <w:tr w14:paraId="73988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17CBE87">
            <w:pPr>
              <w:spacing w:line="360" w:lineRule="auto"/>
              <w:rPr>
                <w:rFonts w:ascii="宋体" w:hAnsi="宋体" w:cs="宋体"/>
                <w:color w:val="auto"/>
                <w:szCs w:val="21"/>
                <w:highlight w:val="none"/>
              </w:rPr>
            </w:pPr>
            <w:r>
              <w:rPr>
                <w:rFonts w:hint="eastAsia" w:ascii="宋体" w:hAnsi="宋体" w:cs="宋体"/>
                <w:color w:val="auto"/>
                <w:szCs w:val="21"/>
                <w:highlight w:val="none"/>
              </w:rPr>
              <w:t>100万元以下</w:t>
            </w:r>
          </w:p>
        </w:tc>
        <w:tc>
          <w:tcPr>
            <w:tcW w:w="1659" w:type="dxa"/>
          </w:tcPr>
          <w:p w14:paraId="7E3C29B9">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687" w:type="dxa"/>
          </w:tcPr>
          <w:p w14:paraId="1B1AA663">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1.5%</w:t>
            </w:r>
          </w:p>
        </w:tc>
        <w:tc>
          <w:tcPr>
            <w:tcW w:w="1659" w:type="dxa"/>
          </w:tcPr>
          <w:p w14:paraId="7EAE9369">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6F3B8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6F26259">
            <w:pPr>
              <w:spacing w:line="360" w:lineRule="auto"/>
              <w:rPr>
                <w:rFonts w:ascii="宋体" w:hAnsi="宋体" w:cs="宋体"/>
                <w:color w:val="auto"/>
                <w:szCs w:val="21"/>
                <w:highlight w:val="none"/>
              </w:rPr>
            </w:pPr>
            <w:r>
              <w:rPr>
                <w:rFonts w:hint="eastAsia" w:ascii="宋体" w:hAnsi="宋体" w:cs="宋体"/>
                <w:color w:val="auto"/>
                <w:szCs w:val="21"/>
                <w:highlight w:val="none"/>
              </w:rPr>
              <w:t>100～500万元</w:t>
            </w:r>
          </w:p>
        </w:tc>
        <w:tc>
          <w:tcPr>
            <w:tcW w:w="1659" w:type="dxa"/>
          </w:tcPr>
          <w:p w14:paraId="408E49E7">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687" w:type="dxa"/>
          </w:tcPr>
          <w:p w14:paraId="3A1064DE">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0.8%</w:t>
            </w:r>
          </w:p>
        </w:tc>
        <w:tc>
          <w:tcPr>
            <w:tcW w:w="1659" w:type="dxa"/>
          </w:tcPr>
          <w:p w14:paraId="67F0182E">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2936C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6CFEAE3">
            <w:pPr>
              <w:spacing w:line="360" w:lineRule="auto"/>
              <w:rPr>
                <w:rFonts w:ascii="宋体" w:hAnsi="宋体" w:cs="宋体"/>
                <w:color w:val="auto"/>
                <w:szCs w:val="21"/>
                <w:highlight w:val="none"/>
              </w:rPr>
            </w:pPr>
            <w:r>
              <w:rPr>
                <w:rFonts w:hint="eastAsia" w:ascii="宋体" w:hAnsi="宋体" w:cs="宋体"/>
                <w:color w:val="auto"/>
                <w:szCs w:val="21"/>
                <w:highlight w:val="none"/>
              </w:rPr>
              <w:t>500～1000万元</w:t>
            </w:r>
          </w:p>
        </w:tc>
        <w:tc>
          <w:tcPr>
            <w:tcW w:w="1659" w:type="dxa"/>
          </w:tcPr>
          <w:p w14:paraId="1E0A2AF3">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687" w:type="dxa"/>
          </w:tcPr>
          <w:p w14:paraId="6717AAB2">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0.45%</w:t>
            </w:r>
          </w:p>
        </w:tc>
        <w:tc>
          <w:tcPr>
            <w:tcW w:w="1659" w:type="dxa"/>
          </w:tcPr>
          <w:p w14:paraId="5BCF2306">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0.55%</w:t>
            </w:r>
          </w:p>
        </w:tc>
      </w:tr>
      <w:tr w14:paraId="2FF1F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5ACB864">
            <w:pPr>
              <w:spacing w:line="360" w:lineRule="auto"/>
              <w:rPr>
                <w:rFonts w:ascii="宋体" w:hAnsi="宋体" w:cs="宋体"/>
                <w:color w:val="auto"/>
                <w:szCs w:val="21"/>
                <w:highlight w:val="none"/>
              </w:rPr>
            </w:pPr>
            <w:r>
              <w:rPr>
                <w:rFonts w:hint="eastAsia" w:ascii="宋体" w:hAnsi="宋体" w:cs="宋体"/>
                <w:color w:val="auto"/>
                <w:szCs w:val="21"/>
                <w:highlight w:val="none"/>
              </w:rPr>
              <w:t>1000～5000万元</w:t>
            </w:r>
          </w:p>
        </w:tc>
        <w:tc>
          <w:tcPr>
            <w:tcW w:w="1659" w:type="dxa"/>
          </w:tcPr>
          <w:p w14:paraId="0435DF1F">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687" w:type="dxa"/>
          </w:tcPr>
          <w:p w14:paraId="35726DA8">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0.25%</w:t>
            </w:r>
          </w:p>
        </w:tc>
        <w:tc>
          <w:tcPr>
            <w:tcW w:w="1659" w:type="dxa"/>
          </w:tcPr>
          <w:p w14:paraId="4BF6E0D4">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5D87E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E378E6A">
            <w:pPr>
              <w:spacing w:line="360" w:lineRule="auto"/>
              <w:rPr>
                <w:rFonts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tcPr>
          <w:p w14:paraId="2DC70453">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687" w:type="dxa"/>
          </w:tcPr>
          <w:p w14:paraId="338DAEEB">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0.1%</w:t>
            </w:r>
          </w:p>
        </w:tc>
        <w:tc>
          <w:tcPr>
            <w:tcW w:w="1659" w:type="dxa"/>
          </w:tcPr>
          <w:p w14:paraId="7BD27F3F">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w:t>
            </w:r>
          </w:p>
        </w:tc>
      </w:tr>
      <w:tr w14:paraId="03F58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1B5C01E">
            <w:pPr>
              <w:spacing w:line="360" w:lineRule="auto"/>
              <w:rPr>
                <w:rFonts w:ascii="宋体" w:hAnsi="宋体" w:cs="宋体"/>
                <w:color w:val="auto"/>
                <w:szCs w:val="21"/>
                <w:highlight w:val="none"/>
              </w:rPr>
            </w:pPr>
            <w:r>
              <w:rPr>
                <w:rFonts w:hint="eastAsia" w:ascii="宋体" w:hAnsi="宋体" w:cs="宋体"/>
                <w:color w:val="auto"/>
                <w:szCs w:val="21"/>
                <w:highlight w:val="none"/>
              </w:rPr>
              <w:t>1～5亿元</w:t>
            </w:r>
          </w:p>
        </w:tc>
        <w:tc>
          <w:tcPr>
            <w:tcW w:w="1659" w:type="dxa"/>
          </w:tcPr>
          <w:p w14:paraId="14316477">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0.05%</w:t>
            </w:r>
          </w:p>
        </w:tc>
        <w:tc>
          <w:tcPr>
            <w:tcW w:w="1687" w:type="dxa"/>
          </w:tcPr>
          <w:p w14:paraId="447D868F">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c>
          <w:tcPr>
            <w:tcW w:w="1659" w:type="dxa"/>
          </w:tcPr>
          <w:p w14:paraId="4A97AB3C">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r>
      <w:tr w14:paraId="3DFD8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4E3216F">
            <w:pPr>
              <w:spacing w:line="360" w:lineRule="auto"/>
              <w:rPr>
                <w:rFonts w:ascii="宋体" w:hAnsi="宋体" w:cs="宋体"/>
                <w:color w:val="auto"/>
                <w:szCs w:val="21"/>
                <w:highlight w:val="none"/>
              </w:rPr>
            </w:pPr>
            <w:r>
              <w:rPr>
                <w:rFonts w:hint="eastAsia" w:ascii="宋体" w:hAnsi="宋体" w:cs="宋体"/>
                <w:color w:val="auto"/>
                <w:szCs w:val="21"/>
                <w:highlight w:val="none"/>
              </w:rPr>
              <w:t>5～10亿元</w:t>
            </w:r>
          </w:p>
        </w:tc>
        <w:tc>
          <w:tcPr>
            <w:tcW w:w="1659" w:type="dxa"/>
          </w:tcPr>
          <w:p w14:paraId="021D4487">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c>
          <w:tcPr>
            <w:tcW w:w="1687" w:type="dxa"/>
          </w:tcPr>
          <w:p w14:paraId="4481D1BB">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0.035%</w:t>
            </w:r>
          </w:p>
        </w:tc>
        <w:tc>
          <w:tcPr>
            <w:tcW w:w="1659" w:type="dxa"/>
          </w:tcPr>
          <w:p w14:paraId="30659212">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r>
      <w:tr w14:paraId="3CD4B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30900E6">
            <w:pPr>
              <w:spacing w:line="360" w:lineRule="auto"/>
              <w:rPr>
                <w:rFonts w:ascii="宋体" w:hAnsi="宋体" w:cs="宋体"/>
                <w:color w:val="auto"/>
                <w:szCs w:val="21"/>
                <w:highlight w:val="none"/>
              </w:rPr>
            </w:pPr>
            <w:r>
              <w:rPr>
                <w:rFonts w:hint="eastAsia" w:ascii="宋体" w:hAnsi="宋体" w:cs="宋体"/>
                <w:color w:val="auto"/>
                <w:szCs w:val="21"/>
                <w:highlight w:val="none"/>
              </w:rPr>
              <w:t>10～50亿元</w:t>
            </w:r>
          </w:p>
        </w:tc>
        <w:tc>
          <w:tcPr>
            <w:tcW w:w="1659" w:type="dxa"/>
          </w:tcPr>
          <w:p w14:paraId="5D0620D0">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c>
          <w:tcPr>
            <w:tcW w:w="1687" w:type="dxa"/>
          </w:tcPr>
          <w:p w14:paraId="7824CBC0">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0.008%</w:t>
            </w:r>
          </w:p>
        </w:tc>
        <w:tc>
          <w:tcPr>
            <w:tcW w:w="1659" w:type="dxa"/>
          </w:tcPr>
          <w:p w14:paraId="42DAA904">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r>
      <w:tr w14:paraId="4C1B4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475BF27">
            <w:pPr>
              <w:spacing w:line="360" w:lineRule="auto"/>
              <w:rPr>
                <w:rFonts w:ascii="宋体" w:hAnsi="宋体" w:cs="宋体"/>
                <w:color w:val="auto"/>
                <w:szCs w:val="21"/>
                <w:highlight w:val="none"/>
              </w:rPr>
            </w:pPr>
            <w:r>
              <w:rPr>
                <w:rFonts w:hint="eastAsia" w:ascii="宋体" w:hAnsi="宋体" w:cs="宋体"/>
                <w:color w:val="auto"/>
                <w:szCs w:val="21"/>
                <w:highlight w:val="none"/>
              </w:rPr>
              <w:t>50～100亿元</w:t>
            </w:r>
          </w:p>
        </w:tc>
        <w:tc>
          <w:tcPr>
            <w:tcW w:w="1659" w:type="dxa"/>
          </w:tcPr>
          <w:p w14:paraId="28A05439">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0.006%</w:t>
            </w:r>
          </w:p>
        </w:tc>
        <w:tc>
          <w:tcPr>
            <w:tcW w:w="1687" w:type="dxa"/>
          </w:tcPr>
          <w:p w14:paraId="600740B9">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0.006%</w:t>
            </w:r>
          </w:p>
        </w:tc>
        <w:tc>
          <w:tcPr>
            <w:tcW w:w="1659" w:type="dxa"/>
          </w:tcPr>
          <w:p w14:paraId="04B3AF2F">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0.006%</w:t>
            </w:r>
          </w:p>
        </w:tc>
      </w:tr>
      <w:tr w14:paraId="35FB0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5DB0B21">
            <w:pPr>
              <w:spacing w:line="360" w:lineRule="auto"/>
              <w:rPr>
                <w:rFonts w:ascii="宋体" w:hAnsi="宋体" w:cs="宋体"/>
                <w:color w:val="auto"/>
                <w:szCs w:val="21"/>
                <w:highlight w:val="none"/>
              </w:rPr>
            </w:pPr>
            <w:r>
              <w:rPr>
                <w:rFonts w:hint="eastAsia" w:ascii="宋体" w:hAnsi="宋体" w:cs="宋体"/>
                <w:color w:val="auto"/>
                <w:szCs w:val="21"/>
                <w:highlight w:val="none"/>
              </w:rPr>
              <w:t>100亿以上</w:t>
            </w:r>
          </w:p>
        </w:tc>
        <w:tc>
          <w:tcPr>
            <w:tcW w:w="1659" w:type="dxa"/>
          </w:tcPr>
          <w:p w14:paraId="4751FFCC">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0.004%</w:t>
            </w:r>
          </w:p>
        </w:tc>
        <w:tc>
          <w:tcPr>
            <w:tcW w:w="1687" w:type="dxa"/>
          </w:tcPr>
          <w:p w14:paraId="15470BFA">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0.004%</w:t>
            </w:r>
          </w:p>
        </w:tc>
        <w:tc>
          <w:tcPr>
            <w:tcW w:w="1659" w:type="dxa"/>
          </w:tcPr>
          <w:p w14:paraId="5BACBF5A">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0.004%</w:t>
            </w:r>
          </w:p>
        </w:tc>
      </w:tr>
    </w:tbl>
    <w:p w14:paraId="4FD184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注: </w:t>
      </w:r>
    </w:p>
    <w:p w14:paraId="0CB7F25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（1）按本表费率计算的收费为采购代理的收费基准价格；</w:t>
      </w:r>
    </w:p>
    <w:p w14:paraId="56EF42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（2）采购代理收费按差额定率累进法计算。</w:t>
      </w:r>
    </w:p>
    <w:p w14:paraId="14C6A9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例如：某服务采购代理业务中标金额或者暂定价为200万元，计算采购代理收费额如下：</w:t>
      </w:r>
    </w:p>
    <w:p w14:paraId="0A0C2B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100 万元×l.5 %＝ 1.5 万元</w:t>
      </w:r>
    </w:p>
    <w:p w14:paraId="45793B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200 － 100 ）万元 ×0.8%＝0.8万元</w:t>
      </w:r>
    </w:p>
    <w:p w14:paraId="0696067C">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合计收费＝ 1.5+0.8＝ 2.3（万元）</w:t>
      </w:r>
    </w:p>
    <w:p w14:paraId="2C4A94AA">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40. 需要补充的其他内容</w:t>
      </w:r>
    </w:p>
    <w:p w14:paraId="2F6A4916">
      <w:pPr>
        <w:pStyle w:val="25"/>
        <w:spacing w:line="360" w:lineRule="auto"/>
        <w:ind w:firstLine="420" w:firstLineChars="200"/>
        <w:rPr>
          <w:rFonts w:hAnsi="宋体" w:cs="宋体"/>
          <w:color w:val="auto"/>
          <w:sz w:val="21"/>
          <w:highlight w:val="none"/>
        </w:rPr>
      </w:pPr>
      <w:r>
        <w:rPr>
          <w:rFonts w:hint="eastAsia" w:hAnsi="宋体" w:cs="宋体"/>
          <w:color w:val="auto"/>
          <w:sz w:val="21"/>
          <w:highlight w:val="none"/>
        </w:rPr>
        <w:t>40.1本招标文件解释规则详见“投标人须知前附表”。</w:t>
      </w:r>
    </w:p>
    <w:p w14:paraId="1545EDE7">
      <w:pPr>
        <w:pStyle w:val="25"/>
        <w:spacing w:line="360" w:lineRule="auto"/>
        <w:ind w:firstLine="420" w:firstLineChars="200"/>
        <w:rPr>
          <w:rFonts w:hAnsi="宋体" w:cs="宋体"/>
          <w:color w:val="auto"/>
          <w:sz w:val="21"/>
          <w:highlight w:val="none"/>
        </w:rPr>
      </w:pPr>
      <w:r>
        <w:rPr>
          <w:rFonts w:hint="eastAsia" w:hAnsi="宋体" w:cs="宋体"/>
          <w:color w:val="auto"/>
          <w:sz w:val="21"/>
          <w:highlight w:val="none"/>
        </w:rPr>
        <w:t>40.2 其他事项详见“投标人须知前附表”。</w:t>
      </w:r>
    </w:p>
    <w:p w14:paraId="7F229636">
      <w:pPr>
        <w:pStyle w:val="25"/>
        <w:spacing w:line="360" w:lineRule="auto"/>
        <w:ind w:firstLine="420" w:firstLineChars="200"/>
        <w:rPr>
          <w:rFonts w:hAnsi="宋体" w:cs="宋体"/>
          <w:color w:val="auto"/>
          <w:sz w:val="21"/>
          <w:highlight w:val="none"/>
        </w:rPr>
      </w:pPr>
      <w:r>
        <w:rPr>
          <w:rFonts w:hint="eastAsia" w:hAnsi="宋体" w:cs="宋体"/>
          <w:color w:val="auto"/>
          <w:sz w:val="21"/>
          <w:highlight w:val="none"/>
        </w:rPr>
        <w:t>40.3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3ADDC0C6">
      <w:pPr>
        <w:pStyle w:val="25"/>
        <w:spacing w:line="360" w:lineRule="auto"/>
        <w:ind w:firstLine="420" w:firstLineChars="200"/>
        <w:rPr>
          <w:rFonts w:hAnsi="宋体" w:cs="宋体"/>
          <w:color w:val="auto"/>
          <w:sz w:val="21"/>
          <w:highlight w:val="none"/>
        </w:rPr>
      </w:pPr>
      <w:r>
        <w:rPr>
          <w:rFonts w:hint="eastAsia" w:hAnsi="宋体" w:cs="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4DB52BEA">
      <w:pPr>
        <w:pStyle w:val="25"/>
        <w:spacing w:line="360" w:lineRule="auto"/>
        <w:ind w:firstLine="420" w:firstLineChars="200"/>
        <w:rPr>
          <w:rFonts w:hAnsi="宋体" w:cs="宋体"/>
          <w:color w:val="auto"/>
          <w:sz w:val="21"/>
          <w:highlight w:val="none"/>
        </w:rPr>
      </w:pPr>
      <w:r>
        <w:rPr>
          <w:rFonts w:hint="eastAsia" w:hAnsi="宋体" w:cs="宋体"/>
          <w:color w:val="auto"/>
          <w:sz w:val="21"/>
          <w:highlight w:val="none"/>
        </w:rPr>
        <w:t>（2）在工程采购项目中，工程由中小企业承建，即工程施工单位为中小企业，不对其中涉及的货物的制造商和服务的承接商作出要求；</w:t>
      </w:r>
    </w:p>
    <w:p w14:paraId="56601267">
      <w:pPr>
        <w:pStyle w:val="25"/>
        <w:spacing w:line="360" w:lineRule="auto"/>
        <w:ind w:firstLine="420" w:firstLineChars="200"/>
        <w:rPr>
          <w:rFonts w:hAnsi="宋体" w:cs="宋体"/>
          <w:color w:val="auto"/>
          <w:sz w:val="21"/>
          <w:highlight w:val="none"/>
        </w:rPr>
      </w:pPr>
      <w:r>
        <w:rPr>
          <w:rFonts w:hint="eastAsia" w:hAnsi="宋体" w:cs="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6B10A00B">
      <w:pPr>
        <w:pStyle w:val="25"/>
        <w:spacing w:line="360" w:lineRule="auto"/>
        <w:ind w:firstLine="420" w:firstLineChars="200"/>
        <w:rPr>
          <w:rFonts w:hAnsi="宋体" w:cs="宋体"/>
          <w:color w:val="auto"/>
          <w:sz w:val="21"/>
          <w:highlight w:val="none"/>
        </w:rPr>
      </w:pPr>
      <w:r>
        <w:rPr>
          <w:rFonts w:hint="eastAsia" w:hAnsi="宋体" w:cs="宋体"/>
          <w:color w:val="auto"/>
          <w:sz w:val="21"/>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075BF98C">
      <w:pPr>
        <w:pStyle w:val="18"/>
        <w:ind w:left="449" w:leftChars="114" w:hanging="210" w:hangingChars="100"/>
        <w:rPr>
          <w:rFonts w:ascii="宋体" w:hAnsi="宋体" w:cs="宋体"/>
          <w:color w:val="auto"/>
          <w:highlight w:val="none"/>
        </w:rPr>
      </w:pPr>
      <w:r>
        <w:rPr>
          <w:rFonts w:hint="eastAsia" w:ascii="宋体" w:hAnsi="宋体" w:cs="宋体"/>
          <w:color w:val="auto"/>
          <w:sz w:val="21"/>
          <w:highlight w:val="none"/>
        </w:rPr>
        <w:t>依据本招标文件规定享受扶持政策获得政府采购合同的，小微企业不得将合同分包给大中型企业，中型企业不得将合同分包给大型企业。</w:t>
      </w:r>
      <w:r>
        <w:rPr>
          <w:rFonts w:hint="eastAsia" w:ascii="宋体" w:hAnsi="宋体" w:cs="宋体"/>
          <w:color w:val="auto"/>
          <w:highlight w:val="none"/>
        </w:rPr>
        <w:br w:type="page"/>
      </w:r>
    </w:p>
    <w:p w14:paraId="2FEF090D">
      <w:pPr>
        <w:pStyle w:val="25"/>
        <w:snapToGrid w:val="0"/>
        <w:spacing w:before="120" w:after="120"/>
        <w:rPr>
          <w:rFonts w:hAnsi="宋体" w:cs="宋体"/>
          <w:color w:val="auto"/>
          <w:highlight w:val="none"/>
        </w:rPr>
      </w:pPr>
    </w:p>
    <w:p w14:paraId="0733BA65">
      <w:pPr>
        <w:pStyle w:val="25"/>
        <w:snapToGrid w:val="0"/>
        <w:spacing w:before="120" w:after="120"/>
        <w:rPr>
          <w:rFonts w:hAnsi="宋体" w:cs="宋体"/>
          <w:color w:val="auto"/>
          <w:highlight w:val="none"/>
        </w:rPr>
      </w:pPr>
    </w:p>
    <w:p w14:paraId="32AFFDCD">
      <w:pPr>
        <w:pStyle w:val="25"/>
        <w:snapToGrid w:val="0"/>
        <w:spacing w:before="120" w:after="120"/>
        <w:rPr>
          <w:rFonts w:hAnsi="宋体" w:cs="宋体"/>
          <w:color w:val="auto"/>
          <w:highlight w:val="none"/>
        </w:rPr>
      </w:pPr>
    </w:p>
    <w:p w14:paraId="600E5468">
      <w:pPr>
        <w:pStyle w:val="25"/>
        <w:snapToGrid w:val="0"/>
        <w:spacing w:before="120" w:after="120"/>
        <w:rPr>
          <w:rFonts w:hAnsi="宋体" w:cs="宋体"/>
          <w:color w:val="auto"/>
          <w:highlight w:val="none"/>
        </w:rPr>
      </w:pPr>
    </w:p>
    <w:p w14:paraId="2D6E54A1">
      <w:pPr>
        <w:pStyle w:val="25"/>
        <w:snapToGrid w:val="0"/>
        <w:spacing w:before="120" w:after="120"/>
        <w:rPr>
          <w:rFonts w:hAnsi="宋体" w:cs="宋体"/>
          <w:color w:val="auto"/>
          <w:highlight w:val="none"/>
        </w:rPr>
      </w:pPr>
    </w:p>
    <w:p w14:paraId="5B0A5D6E">
      <w:pPr>
        <w:pStyle w:val="25"/>
        <w:snapToGrid w:val="0"/>
        <w:spacing w:before="120" w:after="120"/>
        <w:rPr>
          <w:rFonts w:hAnsi="宋体" w:cs="宋体"/>
          <w:color w:val="auto"/>
          <w:highlight w:val="none"/>
        </w:rPr>
      </w:pPr>
    </w:p>
    <w:p w14:paraId="69360CF8">
      <w:pPr>
        <w:pStyle w:val="25"/>
        <w:snapToGrid w:val="0"/>
        <w:spacing w:before="120" w:after="120"/>
        <w:rPr>
          <w:rFonts w:hAnsi="宋体" w:cs="宋体"/>
          <w:color w:val="auto"/>
          <w:highlight w:val="none"/>
        </w:rPr>
      </w:pPr>
    </w:p>
    <w:p w14:paraId="776F4FDB">
      <w:pPr>
        <w:pStyle w:val="25"/>
        <w:snapToGrid w:val="0"/>
        <w:spacing w:before="120" w:after="120"/>
        <w:rPr>
          <w:rFonts w:hAnsi="宋体" w:cs="宋体"/>
          <w:color w:val="auto"/>
          <w:highlight w:val="none"/>
        </w:rPr>
      </w:pPr>
    </w:p>
    <w:p w14:paraId="1F65372B">
      <w:pPr>
        <w:pStyle w:val="25"/>
        <w:snapToGrid w:val="0"/>
        <w:spacing w:before="120" w:after="120"/>
        <w:rPr>
          <w:rFonts w:hAnsi="宋体" w:cs="宋体"/>
          <w:color w:val="auto"/>
          <w:highlight w:val="none"/>
        </w:rPr>
      </w:pPr>
    </w:p>
    <w:p w14:paraId="2A745A77">
      <w:pPr>
        <w:pStyle w:val="25"/>
        <w:snapToGrid w:val="0"/>
        <w:spacing w:before="120" w:after="120"/>
        <w:rPr>
          <w:rFonts w:hAnsi="宋体" w:cs="宋体"/>
          <w:color w:val="auto"/>
          <w:highlight w:val="none"/>
        </w:rPr>
      </w:pPr>
    </w:p>
    <w:p w14:paraId="77BBE897">
      <w:pPr>
        <w:pStyle w:val="25"/>
        <w:snapToGrid w:val="0"/>
        <w:spacing w:before="120" w:after="120"/>
        <w:rPr>
          <w:rFonts w:hAnsi="宋体" w:cs="宋体"/>
          <w:color w:val="auto"/>
          <w:highlight w:val="none"/>
        </w:rPr>
      </w:pPr>
    </w:p>
    <w:p w14:paraId="3062D781">
      <w:pPr>
        <w:pStyle w:val="25"/>
        <w:snapToGrid w:val="0"/>
        <w:spacing w:before="120" w:after="120"/>
        <w:rPr>
          <w:rFonts w:hAnsi="宋体" w:cs="宋体"/>
          <w:color w:val="auto"/>
          <w:highlight w:val="none"/>
        </w:rPr>
      </w:pPr>
    </w:p>
    <w:p w14:paraId="73C41C0F">
      <w:pPr>
        <w:pStyle w:val="25"/>
        <w:snapToGrid w:val="0"/>
        <w:spacing w:before="120" w:after="120"/>
        <w:rPr>
          <w:rFonts w:hAnsi="宋体" w:cs="宋体"/>
          <w:color w:val="auto"/>
          <w:highlight w:val="none"/>
        </w:rPr>
      </w:pPr>
    </w:p>
    <w:p w14:paraId="26F1EF33">
      <w:pPr>
        <w:pStyle w:val="2"/>
        <w:jc w:val="center"/>
        <w:rPr>
          <w:rFonts w:ascii="宋体" w:hAnsi="宋体" w:cs="宋体"/>
          <w:color w:val="auto"/>
          <w:highlight w:val="none"/>
        </w:rPr>
      </w:pPr>
      <w:bookmarkStart w:id="130" w:name="_Toc15687"/>
      <w:bookmarkStart w:id="131" w:name="_Toc330456896"/>
      <w:bookmarkStart w:id="132" w:name="_Toc254970689"/>
      <w:bookmarkStart w:id="133" w:name="_Toc254970548"/>
      <w:r>
        <w:rPr>
          <w:rFonts w:hint="eastAsia" w:ascii="宋体" w:hAnsi="宋体" w:cs="宋体"/>
          <w:color w:val="auto"/>
          <w:highlight w:val="none"/>
        </w:rPr>
        <w:t>第四章  评标方法及评标标准</w:t>
      </w:r>
      <w:bookmarkEnd w:id="130"/>
      <w:bookmarkEnd w:id="131"/>
      <w:bookmarkEnd w:id="132"/>
      <w:bookmarkEnd w:id="133"/>
    </w:p>
    <w:p w14:paraId="76968D83">
      <w:pPr>
        <w:rPr>
          <w:rFonts w:ascii="宋体" w:hAnsi="宋体" w:cs="宋体"/>
          <w:color w:val="auto"/>
          <w:highlight w:val="none"/>
        </w:rPr>
      </w:pPr>
      <w:bookmarkStart w:id="134" w:name="_Toc254970549"/>
      <w:bookmarkStart w:id="135" w:name="_Toc254970690"/>
    </w:p>
    <w:bookmarkEnd w:id="134"/>
    <w:bookmarkEnd w:id="135"/>
    <w:p w14:paraId="5F63C8AE">
      <w:pPr>
        <w:rPr>
          <w:rFonts w:ascii="宋体" w:hAnsi="宋体" w:cs="宋体"/>
          <w:color w:val="auto"/>
          <w:highlight w:val="none"/>
        </w:rPr>
      </w:pPr>
    </w:p>
    <w:p w14:paraId="0325EC22">
      <w:pPr>
        <w:rPr>
          <w:rFonts w:ascii="宋体" w:hAnsi="宋体" w:cs="宋体"/>
          <w:color w:val="auto"/>
          <w:highlight w:val="none"/>
        </w:rPr>
      </w:pPr>
    </w:p>
    <w:p w14:paraId="2E7804FC">
      <w:pPr>
        <w:rPr>
          <w:rFonts w:ascii="宋体" w:hAnsi="宋体" w:cs="宋体"/>
          <w:color w:val="auto"/>
          <w:highlight w:val="none"/>
        </w:rPr>
      </w:pPr>
    </w:p>
    <w:p w14:paraId="38FC7996">
      <w:pPr>
        <w:rPr>
          <w:rFonts w:ascii="宋体" w:hAnsi="宋体" w:cs="宋体"/>
          <w:color w:val="auto"/>
          <w:highlight w:val="none"/>
        </w:rPr>
      </w:pPr>
    </w:p>
    <w:p w14:paraId="30FDB962">
      <w:pPr>
        <w:rPr>
          <w:rFonts w:ascii="宋体" w:hAnsi="宋体" w:cs="宋体"/>
          <w:color w:val="auto"/>
          <w:highlight w:val="none"/>
        </w:rPr>
      </w:pPr>
    </w:p>
    <w:p w14:paraId="44884A9D">
      <w:pPr>
        <w:rPr>
          <w:rFonts w:ascii="宋体" w:hAnsi="宋体" w:cs="宋体"/>
          <w:color w:val="auto"/>
          <w:highlight w:val="none"/>
        </w:rPr>
      </w:pPr>
    </w:p>
    <w:p w14:paraId="42847935">
      <w:pPr>
        <w:rPr>
          <w:rFonts w:ascii="宋体" w:hAnsi="宋体" w:cs="宋体"/>
          <w:color w:val="auto"/>
          <w:highlight w:val="none"/>
        </w:rPr>
      </w:pPr>
    </w:p>
    <w:p w14:paraId="7563061D">
      <w:pPr>
        <w:rPr>
          <w:rFonts w:ascii="宋体" w:hAnsi="宋体" w:cs="宋体"/>
          <w:color w:val="auto"/>
          <w:highlight w:val="none"/>
        </w:rPr>
      </w:pPr>
    </w:p>
    <w:p w14:paraId="3963B19F">
      <w:pPr>
        <w:spacing w:beforeLines="50" w:afterLines="50" w:line="400" w:lineRule="exact"/>
        <w:rPr>
          <w:rFonts w:ascii="宋体" w:hAnsi="宋体" w:cs="宋体"/>
          <w:b/>
          <w:color w:val="auto"/>
          <w:sz w:val="24"/>
          <w:highlight w:val="none"/>
        </w:rPr>
      </w:pPr>
    </w:p>
    <w:p w14:paraId="1F3E43CC">
      <w:pPr>
        <w:spacing w:beforeLines="50" w:afterLines="50" w:line="400" w:lineRule="exact"/>
        <w:rPr>
          <w:rFonts w:ascii="宋体" w:hAnsi="宋体" w:cs="宋体"/>
          <w:b/>
          <w:color w:val="auto"/>
          <w:sz w:val="24"/>
          <w:highlight w:val="none"/>
        </w:rPr>
      </w:pPr>
    </w:p>
    <w:p w14:paraId="03056A5C">
      <w:pPr>
        <w:pStyle w:val="25"/>
        <w:spacing w:line="360" w:lineRule="exact"/>
        <w:rPr>
          <w:rFonts w:hAnsi="宋体" w:cs="宋体"/>
          <w:b/>
          <w:color w:val="auto"/>
          <w:sz w:val="24"/>
          <w:highlight w:val="none"/>
        </w:rPr>
      </w:pPr>
    </w:p>
    <w:p w14:paraId="77B90F19">
      <w:pPr>
        <w:pStyle w:val="25"/>
        <w:spacing w:line="360" w:lineRule="exact"/>
        <w:rPr>
          <w:rFonts w:hAnsi="宋体" w:cs="宋体"/>
          <w:b/>
          <w:color w:val="auto"/>
          <w:sz w:val="24"/>
          <w:highlight w:val="none"/>
        </w:rPr>
      </w:pPr>
    </w:p>
    <w:p w14:paraId="39818744">
      <w:pPr>
        <w:pStyle w:val="25"/>
        <w:spacing w:line="360" w:lineRule="exact"/>
        <w:rPr>
          <w:rFonts w:hAnsi="宋体" w:cs="宋体"/>
          <w:b/>
          <w:color w:val="auto"/>
          <w:sz w:val="24"/>
          <w:highlight w:val="none"/>
        </w:rPr>
      </w:pPr>
    </w:p>
    <w:p w14:paraId="121DB563">
      <w:pPr>
        <w:pStyle w:val="25"/>
        <w:spacing w:line="360" w:lineRule="exact"/>
        <w:rPr>
          <w:rFonts w:hAnsi="宋体" w:cs="宋体"/>
          <w:b/>
          <w:color w:val="auto"/>
          <w:sz w:val="24"/>
          <w:highlight w:val="none"/>
        </w:rPr>
      </w:pPr>
    </w:p>
    <w:p w14:paraId="5EF82AA5">
      <w:pPr>
        <w:pStyle w:val="25"/>
        <w:spacing w:line="360" w:lineRule="exact"/>
        <w:rPr>
          <w:rFonts w:hAnsi="宋体" w:cs="宋体"/>
          <w:b/>
          <w:color w:val="auto"/>
          <w:sz w:val="24"/>
          <w:highlight w:val="none"/>
        </w:rPr>
      </w:pPr>
    </w:p>
    <w:p w14:paraId="5B831A87">
      <w:pPr>
        <w:pStyle w:val="25"/>
        <w:spacing w:line="360" w:lineRule="exact"/>
        <w:rPr>
          <w:rFonts w:hAnsi="宋体" w:cs="宋体"/>
          <w:b/>
          <w:color w:val="auto"/>
          <w:sz w:val="24"/>
          <w:highlight w:val="none"/>
        </w:rPr>
      </w:pPr>
    </w:p>
    <w:p w14:paraId="629568AB">
      <w:pPr>
        <w:pStyle w:val="25"/>
        <w:spacing w:line="360" w:lineRule="exact"/>
        <w:rPr>
          <w:rFonts w:hAnsi="宋体" w:cs="宋体"/>
          <w:bCs/>
          <w:color w:val="auto"/>
          <w:highlight w:val="none"/>
        </w:rPr>
      </w:pPr>
      <w:r>
        <w:rPr>
          <w:rFonts w:hint="eastAsia" w:hAnsi="宋体" w:cs="宋体"/>
          <w:bCs/>
          <w:color w:val="auto"/>
          <w:highlight w:val="none"/>
        </w:rPr>
        <w:t xml:space="preserve"> </w:t>
      </w:r>
    </w:p>
    <w:p w14:paraId="0FFC6721">
      <w:pPr>
        <w:pStyle w:val="4"/>
        <w:keepNext w:val="0"/>
        <w:keepLines w:val="0"/>
        <w:jc w:val="center"/>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一、评标方法</w:t>
      </w:r>
    </w:p>
    <w:p w14:paraId="6E7143F9">
      <w:pPr>
        <w:pStyle w:val="25"/>
        <w:spacing w:line="360" w:lineRule="auto"/>
        <w:ind w:firstLine="420"/>
        <w:rPr>
          <w:rFonts w:hAnsi="宋体" w:cs="宋体"/>
          <w:color w:val="auto"/>
          <w:sz w:val="21"/>
          <w:highlight w:val="none"/>
        </w:rPr>
      </w:pPr>
      <w:r>
        <w:rPr>
          <w:rFonts w:hint="eastAsia" w:hAnsi="宋体" w:cs="宋体"/>
          <w:color w:val="auto"/>
          <w:sz w:val="21"/>
          <w:highlight w:val="none"/>
        </w:rPr>
        <w:t>综合评分法，是指投标文件满足招标文件全部实质性要求，且按照评审因素的量化指标评审得分最高的投标人为中标候选人的评标方法。</w:t>
      </w:r>
    </w:p>
    <w:p w14:paraId="0E589401">
      <w:pPr>
        <w:pStyle w:val="4"/>
        <w:keepNext w:val="0"/>
        <w:keepLines w:val="0"/>
        <w:jc w:val="center"/>
        <w:rPr>
          <w:rFonts w:ascii="宋体" w:hAnsi="宋体" w:cs="宋体"/>
          <w:color w:val="auto"/>
          <w:highlight w:val="none"/>
        </w:rPr>
      </w:pPr>
      <w:r>
        <w:rPr>
          <w:rFonts w:hint="eastAsia" w:ascii="宋体" w:hAnsi="宋体" w:cs="宋体"/>
          <w:color w:val="auto"/>
          <w:highlight w:val="none"/>
        </w:rPr>
        <w:t>二、评标程序</w:t>
      </w:r>
    </w:p>
    <w:p w14:paraId="14331BE0">
      <w:pPr>
        <w:pStyle w:val="6"/>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1.符合性审查</w:t>
      </w:r>
    </w:p>
    <w:p w14:paraId="6CC0BFD3">
      <w:pPr>
        <w:pStyle w:val="25"/>
        <w:snapToGrid w:val="0"/>
        <w:spacing w:line="360" w:lineRule="auto"/>
        <w:ind w:left="1" w:firstLine="420"/>
        <w:rPr>
          <w:rFonts w:hAnsi="宋体" w:cs="宋体"/>
          <w:b/>
          <w:color w:val="auto"/>
          <w:kern w:val="2"/>
          <w:sz w:val="21"/>
          <w:highlight w:val="none"/>
        </w:rPr>
      </w:pPr>
      <w:r>
        <w:rPr>
          <w:rFonts w:hint="eastAsia" w:hAnsi="宋体" w:cs="宋体"/>
          <w:b/>
          <w:color w:val="auto"/>
          <w:kern w:val="2"/>
          <w:sz w:val="21"/>
          <w:highlight w:val="none"/>
        </w:rPr>
        <w:t>评标委员会应当对符合资格的投标人的投标文件进行投标报价、商务、技术等实质性内容符合性审查，以确定其是否满足招标文件的实质性要求。</w:t>
      </w:r>
    </w:p>
    <w:p w14:paraId="204B623C">
      <w:pPr>
        <w:pStyle w:val="6"/>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2.符合性审查不通过而导致投标无效的情形</w:t>
      </w:r>
    </w:p>
    <w:p w14:paraId="38FE105F">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投标人的投标文件中存在对招标文件的任何实质性要求和条件的负偏离，将被视为投标无效。</w:t>
      </w:r>
    </w:p>
    <w:p w14:paraId="5B532B5B">
      <w:pPr>
        <w:pStyle w:val="6"/>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2.1在报价评审时，如发现下列情形之一的，将被视为投标无效：</w:t>
      </w:r>
    </w:p>
    <w:p w14:paraId="1A1A857A">
      <w:pPr>
        <w:pStyle w:val="8"/>
        <w:numPr>
          <w:ilvl w:val="0"/>
          <w:numId w:val="3"/>
        </w:numPr>
        <w:spacing w:line="360" w:lineRule="auto"/>
        <w:ind w:firstLine="398" w:firstLineChars="200"/>
        <w:rPr>
          <w:rFonts w:ascii="宋体" w:hAnsi="宋体" w:cs="宋体"/>
          <w:b/>
          <w:color w:val="auto"/>
          <w:spacing w:val="-6"/>
          <w:szCs w:val="21"/>
          <w:highlight w:val="none"/>
        </w:rPr>
      </w:pPr>
      <w:r>
        <w:rPr>
          <w:rFonts w:hint="eastAsia" w:ascii="宋体" w:hAnsi="宋体" w:cs="宋体"/>
          <w:b/>
          <w:color w:val="auto"/>
          <w:spacing w:val="-6"/>
          <w:szCs w:val="21"/>
          <w:highlight w:val="none"/>
        </w:rPr>
        <w:t>报价文件未提供“投标人须知前附表”第13条“报价文件”规定中“必须提供”的文件资料的；</w:t>
      </w:r>
    </w:p>
    <w:p w14:paraId="577C3371">
      <w:pPr>
        <w:pStyle w:val="8"/>
        <w:numPr>
          <w:ilvl w:val="0"/>
          <w:numId w:val="3"/>
        </w:num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未采用人民币报价或者未按照招标文件标明的币种报价的；</w:t>
      </w:r>
    </w:p>
    <w:p w14:paraId="6321BA54">
      <w:pPr>
        <w:pStyle w:val="8"/>
        <w:numPr>
          <w:ilvl w:val="0"/>
          <w:numId w:val="3"/>
        </w:numPr>
        <w:spacing w:line="360" w:lineRule="auto"/>
        <w:ind w:left="-2" w:firstLine="422"/>
        <w:rPr>
          <w:rFonts w:ascii="宋体" w:hAnsi="宋体" w:cs="宋体"/>
          <w:b/>
          <w:color w:val="auto"/>
          <w:spacing w:val="-6"/>
          <w:szCs w:val="21"/>
          <w:highlight w:val="none"/>
        </w:rPr>
      </w:pPr>
      <w:r>
        <w:rPr>
          <w:rFonts w:hint="eastAsia" w:ascii="宋体" w:hAnsi="宋体" w:cs="宋体"/>
          <w:b/>
          <w:color w:val="auto"/>
          <w:spacing w:val="-6"/>
          <w:szCs w:val="21"/>
          <w:highlight w:val="none"/>
        </w:rPr>
        <w:t>报价超出招标文件相应规定最高限价，或者超出相应采购预算金额的；</w:t>
      </w:r>
    </w:p>
    <w:p w14:paraId="36C41100">
      <w:pPr>
        <w:pStyle w:val="8"/>
        <w:numPr>
          <w:ilvl w:val="0"/>
          <w:numId w:val="3"/>
        </w:num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人未就所投标段进行报价或者存在漏项报价；投标人未就所投标段的单项内容作唯一报价；投标人未就所投标段的全部内容作完整唯一总价报价；存在有选择、有条件报价的（招标文件允许有备选方案或者其他约定的除外）；</w:t>
      </w:r>
    </w:p>
    <w:p w14:paraId="4F02C994">
      <w:pPr>
        <w:pStyle w:val="8"/>
        <w:numPr>
          <w:ilvl w:val="0"/>
          <w:numId w:val="3"/>
        </w:num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修正后的报价，投标人不确认的；</w:t>
      </w:r>
    </w:p>
    <w:p w14:paraId="7FDC0868">
      <w:pPr>
        <w:pStyle w:val="8"/>
        <w:numPr>
          <w:ilvl w:val="0"/>
          <w:numId w:val="3"/>
        </w:num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投标人属于本章第5.1条（2）或者第5.2条（2）项情形的。</w:t>
      </w:r>
    </w:p>
    <w:p w14:paraId="6618DB11">
      <w:pPr>
        <w:pStyle w:val="8"/>
        <w:numPr>
          <w:ilvl w:val="0"/>
          <w:numId w:val="3"/>
        </w:numPr>
        <w:spacing w:line="360" w:lineRule="auto"/>
        <w:ind w:firstLine="398" w:firstLineChars="200"/>
        <w:rPr>
          <w:rFonts w:ascii="宋体" w:hAnsi="宋体" w:cs="宋体"/>
          <w:b/>
          <w:color w:val="auto"/>
          <w:szCs w:val="21"/>
          <w:highlight w:val="none"/>
        </w:rPr>
      </w:pPr>
      <w:r>
        <w:rPr>
          <w:rFonts w:hint="eastAsia" w:ascii="宋体" w:hAnsi="宋体" w:cs="宋体"/>
          <w:b/>
          <w:color w:val="auto"/>
          <w:spacing w:val="-6"/>
          <w:szCs w:val="21"/>
          <w:highlight w:val="none"/>
        </w:rPr>
        <w:t>报价文件</w:t>
      </w:r>
      <w:r>
        <w:rPr>
          <w:rFonts w:hint="eastAsia" w:ascii="宋体" w:hAnsi="宋体" w:cs="宋体"/>
          <w:b/>
          <w:color w:val="auto"/>
          <w:szCs w:val="21"/>
          <w:highlight w:val="none"/>
        </w:rPr>
        <w:t>响应的标的数量及单位与招标文件要求实质性不一致的。</w:t>
      </w:r>
    </w:p>
    <w:p w14:paraId="7BCE0F21">
      <w:pPr>
        <w:pStyle w:val="6"/>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2.2在商务评审时，如发现下列情形之一的，将被视为投标无效：</w:t>
      </w:r>
    </w:p>
    <w:p w14:paraId="5149F9D0">
      <w:pPr>
        <w:numPr>
          <w:ilvl w:val="0"/>
          <w:numId w:val="4"/>
        </w:numPr>
        <w:snapToGrid w:val="0"/>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投标文件未按招标文件要求签署、盖章的；</w:t>
      </w:r>
    </w:p>
    <w:p w14:paraId="74AD0D86">
      <w:pPr>
        <w:numPr>
          <w:ilvl w:val="0"/>
          <w:numId w:val="4"/>
        </w:numPr>
        <w:snapToGrid w:val="0"/>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 xml:space="preserve">委托代理人未能出具有效身份证或者出具的身份证与授权委托书中的信息不符的； </w:t>
      </w:r>
    </w:p>
    <w:p w14:paraId="624662FD">
      <w:pPr>
        <w:numPr>
          <w:ilvl w:val="0"/>
          <w:numId w:val="4"/>
        </w:numPr>
        <w:snapToGrid w:val="0"/>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为无效投标保证金的或者未按照招标文件的规定提交投标保证金的；</w:t>
      </w:r>
    </w:p>
    <w:p w14:paraId="442F0292">
      <w:pPr>
        <w:numPr>
          <w:ilvl w:val="0"/>
          <w:numId w:val="4"/>
        </w:numPr>
        <w:snapToGrid w:val="0"/>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投标文件未提供“投标人须知前附表”第13.1条规定中“必须提供”或者“委托时必须提供”的文件资料的；</w:t>
      </w:r>
    </w:p>
    <w:p w14:paraId="2068DEE8">
      <w:pPr>
        <w:numPr>
          <w:ilvl w:val="0"/>
          <w:numId w:val="4"/>
        </w:numPr>
        <w:snapToGrid w:val="0"/>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商务要求评审允许负偏离的条款数超过“投标人须知前附表”规定项数的；</w:t>
      </w:r>
    </w:p>
    <w:p w14:paraId="5BABA051">
      <w:pPr>
        <w:numPr>
          <w:ilvl w:val="0"/>
          <w:numId w:val="4"/>
        </w:numPr>
        <w:snapToGrid w:val="0"/>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投标文件的实质性内容未使用中文表述、使用计量单位不符合招标文件要求的；</w:t>
      </w:r>
    </w:p>
    <w:p w14:paraId="5B491388">
      <w:pPr>
        <w:numPr>
          <w:ilvl w:val="0"/>
          <w:numId w:val="4"/>
        </w:numPr>
        <w:snapToGrid w:val="0"/>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投标文件中的文件资料因填写不齐全或者内容虚假或者出现其他情形而导致被评标委员会认定无效的；</w:t>
      </w:r>
    </w:p>
    <w:p w14:paraId="6AAD2342">
      <w:pPr>
        <w:numPr>
          <w:ilvl w:val="0"/>
          <w:numId w:val="4"/>
        </w:numPr>
        <w:snapToGrid w:val="0"/>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投标文件含有采购人不能接受的附加条件的；</w:t>
      </w:r>
    </w:p>
    <w:p w14:paraId="0384FE62">
      <w:pPr>
        <w:numPr>
          <w:ilvl w:val="0"/>
          <w:numId w:val="4"/>
        </w:numPr>
        <w:snapToGrid w:val="0"/>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属于投标人须知正文第9.2条情形的；</w:t>
      </w:r>
    </w:p>
    <w:p w14:paraId="3FD08DE6">
      <w:pPr>
        <w:numPr>
          <w:ilvl w:val="0"/>
          <w:numId w:val="4"/>
        </w:numPr>
        <w:snapToGrid w:val="0"/>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投标文件标注的项目名称或者项目编号与招标文件标注的项目名称或者项目编号不一致的；</w:t>
      </w:r>
    </w:p>
    <w:p w14:paraId="6B6FCAAA">
      <w:pPr>
        <w:numPr>
          <w:ilvl w:val="0"/>
          <w:numId w:val="4"/>
        </w:numPr>
        <w:snapToGrid w:val="0"/>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招标文件明确不允许分包，投标文件拟分包的；</w:t>
      </w:r>
    </w:p>
    <w:p w14:paraId="6DF8DD9A">
      <w:pPr>
        <w:numPr>
          <w:ilvl w:val="0"/>
          <w:numId w:val="4"/>
        </w:numPr>
        <w:snapToGrid w:val="0"/>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未响应招标文件实质性要求的；</w:t>
      </w:r>
    </w:p>
    <w:p w14:paraId="4F8B85FE">
      <w:pPr>
        <w:numPr>
          <w:ilvl w:val="0"/>
          <w:numId w:val="4"/>
        </w:numPr>
        <w:snapToGrid w:val="0"/>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法律、法规和招标文件规定的其他无效情形。</w:t>
      </w:r>
    </w:p>
    <w:p w14:paraId="35BB06AC">
      <w:pPr>
        <w:pStyle w:val="6"/>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2.3在技术评审时，如发现下列情形之一的，将被视为投标无效：</w:t>
      </w:r>
    </w:p>
    <w:p w14:paraId="53662970">
      <w:pPr>
        <w:pStyle w:val="19"/>
        <w:snapToGrid w:val="0"/>
        <w:spacing w:line="360" w:lineRule="auto"/>
        <w:ind w:firstLine="413" w:firstLineChars="196"/>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（1）技术要求评审允许负偏离的条款数超过“投标人须知前附表”规定项数的；</w:t>
      </w:r>
    </w:p>
    <w:p w14:paraId="0E71CA00">
      <w:pPr>
        <w:pStyle w:val="19"/>
        <w:snapToGrid w:val="0"/>
        <w:spacing w:line="360" w:lineRule="auto"/>
        <w:ind w:firstLine="413" w:firstLineChars="196"/>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（2）投标文件未提供“投标人须知前附表”第13.1条规定中“必须提供”的文件资料的；</w:t>
      </w:r>
    </w:p>
    <w:p w14:paraId="1F8909EB">
      <w:pPr>
        <w:pStyle w:val="19"/>
        <w:snapToGrid w:val="0"/>
        <w:spacing w:line="360" w:lineRule="auto"/>
        <w:ind w:firstLine="413" w:firstLineChars="196"/>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（3）虚假投标，或者出现其他情形而导致被评标委员会认定无效的；</w:t>
      </w:r>
    </w:p>
    <w:p w14:paraId="53968728">
      <w:pPr>
        <w:pStyle w:val="19"/>
        <w:snapToGrid w:val="0"/>
        <w:spacing w:line="360" w:lineRule="auto"/>
        <w:ind w:firstLine="413" w:firstLineChars="196"/>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（4）</w:t>
      </w:r>
      <w:bookmarkStart w:id="136" w:name="_Hlk71706244"/>
      <w:r>
        <w:rPr>
          <w:rFonts w:hint="eastAsia" w:ascii="宋体" w:hAnsi="宋体" w:eastAsia="宋体" w:cs="宋体"/>
          <w:b/>
          <w:color w:val="auto"/>
          <w:kern w:val="2"/>
          <w:sz w:val="21"/>
          <w:szCs w:val="21"/>
          <w:highlight w:val="none"/>
        </w:rPr>
        <w:t>招标文件未载明允许提供备选（替代）投标方案或明确不允许提供备选（替代）投标方案时，投标人提供了备选（替代）投标方案的；</w:t>
      </w:r>
      <w:bookmarkEnd w:id="136"/>
    </w:p>
    <w:p w14:paraId="19EDE9A1">
      <w:pPr>
        <w:pStyle w:val="19"/>
        <w:snapToGrid w:val="0"/>
        <w:spacing w:line="360" w:lineRule="auto"/>
        <w:ind w:firstLine="413" w:firstLineChars="196"/>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（5）未响应招标文件实质性要求的。</w:t>
      </w:r>
    </w:p>
    <w:p w14:paraId="7854C70B">
      <w:pPr>
        <w:pStyle w:val="6"/>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3.澄清补正</w:t>
      </w:r>
    </w:p>
    <w:p w14:paraId="41969839">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单位公章后在线上传至评标委员会。投标人的澄清、说明或者补正不得超出投标文件的范围或者改变投标文件的实质性内容。</w:t>
      </w:r>
    </w:p>
    <w:p w14:paraId="1554108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35F90C8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未按评标委员会的要求作出明确澄清、说明或者更正的投标人的投标文件将按照有利于采购人的原则由评标委员会进行判定。</w:t>
      </w:r>
    </w:p>
    <w:p w14:paraId="5AE0049F">
      <w:pPr>
        <w:pStyle w:val="6"/>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4.投标文件修正</w:t>
      </w:r>
    </w:p>
    <w:p w14:paraId="6D06D148">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4.1投标文件报价出现前后不一致的，按照下列规定修正： </w:t>
      </w:r>
    </w:p>
    <w:p w14:paraId="06F0A8AB">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（1）投标文件中开标一览表（报价表）内容与投标文件中相应内容不一致的，以开标一览表（报价表）为准；</w:t>
      </w:r>
    </w:p>
    <w:p w14:paraId="27928BD1">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（2）大写金额和小写金额不一致的，以大写金额为准；</w:t>
      </w:r>
    </w:p>
    <w:p w14:paraId="18F3AC1C">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（3）单价金额小数点或者百分比有明显错位的，以开标一览表的总价为准，并修改单价；</w:t>
      </w:r>
    </w:p>
    <w:p w14:paraId="124CD517">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（4）总价金额与按单价汇总金额不一致的，以单价金额计算结果为准。</w:t>
      </w:r>
    </w:p>
    <w:p w14:paraId="7E010E62">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同时出现两种以上不一致的，按照以上（1）-（4）规定的顺序修正。修正后的报价经投标人确认后产生约束力，投标人不确认的，</w:t>
      </w:r>
      <w:r>
        <w:rPr>
          <w:rFonts w:hint="eastAsia" w:hAnsi="宋体" w:cs="宋体"/>
          <w:b/>
          <w:color w:val="auto"/>
          <w:kern w:val="2"/>
          <w:sz w:val="21"/>
          <w:highlight w:val="none"/>
        </w:rPr>
        <w:t>其投标无效</w:t>
      </w:r>
      <w:r>
        <w:rPr>
          <w:rFonts w:hint="eastAsia" w:hAnsi="宋体" w:cs="宋体"/>
          <w:color w:val="auto"/>
          <w:sz w:val="21"/>
          <w:highlight w:val="none"/>
        </w:rPr>
        <w:t>。</w:t>
      </w:r>
    </w:p>
    <w:p w14:paraId="1FD78BC1">
      <w:pPr>
        <w:pStyle w:val="6"/>
        <w:keepNext w:val="0"/>
        <w:keepLines w:val="0"/>
        <w:spacing w:before="0" w:after="0" w:line="360" w:lineRule="auto"/>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4.2经投标人确认修正后的报价若超过采购预算金额或者最高限价，</w:t>
      </w:r>
      <w:r>
        <w:rPr>
          <w:rFonts w:hint="eastAsia" w:ascii="宋体" w:hAnsi="宋体" w:cs="宋体"/>
          <w:color w:val="auto"/>
          <w:sz w:val="21"/>
          <w:szCs w:val="21"/>
          <w:highlight w:val="none"/>
        </w:rPr>
        <w:t>投标人的投标文件作无效投标处理</w:t>
      </w:r>
      <w:r>
        <w:rPr>
          <w:rFonts w:hint="eastAsia" w:ascii="宋体" w:hAnsi="宋体" w:cs="宋体"/>
          <w:b w:val="0"/>
          <w:color w:val="auto"/>
          <w:sz w:val="21"/>
          <w:szCs w:val="21"/>
          <w:highlight w:val="none"/>
        </w:rPr>
        <w:t>。</w:t>
      </w:r>
    </w:p>
    <w:p w14:paraId="7B65E03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4.3经投标人确认修正后的报价作为签订合同的依据，并以此报价计算价格分。</w:t>
      </w:r>
    </w:p>
    <w:p w14:paraId="134FE24F">
      <w:pPr>
        <w:pStyle w:val="6"/>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5.比较与评价</w:t>
      </w:r>
    </w:p>
    <w:p w14:paraId="050206C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5.1采用综合评分法的</w:t>
      </w:r>
    </w:p>
    <w:p w14:paraId="18FF495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（1）评标委员会按照招标文件中规定的评标方法及评标标准，对符合性审查合格的投标文件进行商务和技术评估，综合比较与评价。</w:t>
      </w:r>
    </w:p>
    <w:p w14:paraId="15DCD8F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（2）评标委员会独立对每个投标人的投标文件进行评价，并汇总每个投标人的得分。</w:t>
      </w:r>
    </w:p>
    <w:p w14:paraId="43E22C70">
      <w:pPr>
        <w:snapToGrid w:val="0"/>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cs="宋体"/>
          <w:b/>
          <w:color w:val="auto"/>
          <w:szCs w:val="21"/>
          <w:highlight w:val="none"/>
        </w:rPr>
        <w:t>投标人不能证明其报价合理性的，评标委员会将其作为无效投标处理。</w:t>
      </w:r>
    </w:p>
    <w:p w14:paraId="5D4D99C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（3）评标委员会按照招标文件中规定的评标方法和标准计算各投标人的报价得分。在计算过程中，不得去掉最高报价或者最低报价。</w:t>
      </w:r>
    </w:p>
    <w:p w14:paraId="335DB95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（4）各投标人的得分为所有评委的有效评分的算术平均数。</w:t>
      </w:r>
    </w:p>
    <w:p w14:paraId="052C430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（5）评标委员会按照招标文件中的规定推荐中标候选人。</w:t>
      </w:r>
    </w:p>
    <w:p w14:paraId="1F8470A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638C655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5.2采用</w:t>
      </w:r>
      <w:r>
        <w:rPr>
          <w:rFonts w:hint="eastAsia" w:ascii="宋体" w:hAnsi="宋体" w:cs="宋体"/>
          <w:color w:val="auto"/>
          <w:highlight w:val="none"/>
        </w:rPr>
        <w:t>最低评标报法</w:t>
      </w:r>
      <w:r>
        <w:rPr>
          <w:rFonts w:hint="eastAsia" w:ascii="宋体" w:hAnsi="宋体" w:cs="宋体"/>
          <w:color w:val="auto"/>
          <w:szCs w:val="21"/>
          <w:highlight w:val="none"/>
        </w:rPr>
        <w:t>的</w:t>
      </w:r>
    </w:p>
    <w:p w14:paraId="0510ECBA">
      <w:pPr>
        <w:snapToGrid w:val="0"/>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（1）评标委员会按照招标文件中规定的评标方法及评标标准，对符合性审查合格的投标文件报价进行比较。</w:t>
      </w:r>
    </w:p>
    <w:p w14:paraId="7E73BB3E">
      <w:pPr>
        <w:snapToGrid w:val="0"/>
        <w:spacing w:line="360" w:lineRule="auto"/>
        <w:ind w:firstLine="424" w:firstLineChars="202"/>
        <w:jc w:val="left"/>
        <w:rPr>
          <w:rFonts w:ascii="宋体" w:hAnsi="宋体" w:cs="宋体"/>
          <w:b/>
          <w:color w:val="auto"/>
          <w:szCs w:val="21"/>
          <w:highlight w:val="none"/>
        </w:rPr>
      </w:pPr>
      <w:r>
        <w:rPr>
          <w:rFonts w:hint="eastAsia" w:ascii="宋体" w:hAnsi="宋体" w:cs="宋体"/>
          <w:color w:val="auto"/>
          <w:szCs w:val="21"/>
          <w:highlight w:val="none"/>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cs="宋体"/>
          <w:b/>
          <w:color w:val="auto"/>
          <w:szCs w:val="21"/>
          <w:highlight w:val="none"/>
        </w:rPr>
        <w:t>投标人不能证明其报价合理性的，评标委员会将其作为无效投标处理。</w:t>
      </w:r>
    </w:p>
    <w:p w14:paraId="2DACBB8B">
      <w:pPr>
        <w:snapToGrid w:val="0"/>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（3）评标委员会按照招标文件中的规定推荐中标候选人。</w:t>
      </w:r>
    </w:p>
    <w:p w14:paraId="0C386CE7">
      <w:pPr>
        <w:snapToGrid w:val="0"/>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3805DEAC">
      <w:pPr>
        <w:snapToGrid w:val="0"/>
        <w:spacing w:line="360" w:lineRule="auto"/>
        <w:ind w:firstLine="424" w:firstLineChars="202"/>
        <w:jc w:val="center"/>
        <w:rPr>
          <w:rFonts w:ascii="宋体" w:hAnsi="宋体" w:cs="宋体"/>
          <w:color w:val="auto"/>
          <w:highlight w:val="none"/>
        </w:rPr>
      </w:pPr>
      <w:r>
        <w:rPr>
          <w:rFonts w:hint="eastAsia" w:ascii="宋体" w:hAnsi="宋体" w:cs="宋体"/>
          <w:color w:val="auto"/>
          <w:highlight w:val="none"/>
        </w:rPr>
        <w:br w:type="page"/>
      </w:r>
      <w:bookmarkStart w:id="137" w:name="_Hlk71707917"/>
      <w:r>
        <w:rPr>
          <w:rFonts w:hint="eastAsia" w:ascii="宋体" w:hAnsi="宋体" w:cs="宋体"/>
          <w:b/>
          <w:bCs/>
          <w:color w:val="auto"/>
          <w:sz w:val="32"/>
          <w:szCs w:val="32"/>
          <w:highlight w:val="none"/>
        </w:rPr>
        <w:t>三、评标标准</w:t>
      </w:r>
    </w:p>
    <w:bookmarkEnd w:id="137"/>
    <w:p w14:paraId="0DCB6976">
      <w:pPr>
        <w:pStyle w:val="4"/>
        <w:keepNext w:val="0"/>
        <w:keepLines w:val="0"/>
        <w:jc w:val="center"/>
        <w:rPr>
          <w:rFonts w:ascii="宋体" w:hAnsi="宋体" w:cs="宋体"/>
          <w:color w:val="auto"/>
          <w:sz w:val="28"/>
          <w:szCs w:val="28"/>
          <w:highlight w:val="none"/>
        </w:rPr>
      </w:pPr>
      <w:r>
        <w:rPr>
          <w:rFonts w:hint="eastAsia" w:ascii="宋体" w:hAnsi="宋体" w:cs="宋体"/>
          <w:color w:val="auto"/>
          <w:sz w:val="28"/>
          <w:szCs w:val="28"/>
          <w:highlight w:val="none"/>
        </w:rPr>
        <w:t>综合评分法</w:t>
      </w:r>
    </w:p>
    <w:tbl>
      <w:tblPr>
        <w:tblStyle w:val="48"/>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470"/>
        <w:gridCol w:w="7089"/>
      </w:tblGrid>
      <w:tr w14:paraId="35BAF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6" w:type="dxa"/>
            <w:vAlign w:val="center"/>
          </w:tcPr>
          <w:p w14:paraId="6537E1C2">
            <w:pPr>
              <w:adjustRightInd w:val="0"/>
              <w:spacing w:line="360" w:lineRule="auto"/>
              <w:jc w:val="center"/>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470" w:type="dxa"/>
            <w:vAlign w:val="center"/>
          </w:tcPr>
          <w:p w14:paraId="0BB47702">
            <w:pPr>
              <w:adjustRightInd w:val="0"/>
              <w:spacing w:line="360" w:lineRule="auto"/>
              <w:jc w:val="center"/>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评审因素</w:t>
            </w:r>
          </w:p>
        </w:tc>
        <w:tc>
          <w:tcPr>
            <w:tcW w:w="7089" w:type="dxa"/>
            <w:vAlign w:val="center"/>
          </w:tcPr>
          <w:p w14:paraId="72D9DDF2">
            <w:pPr>
              <w:adjustRightInd w:val="0"/>
              <w:spacing w:line="360" w:lineRule="auto"/>
              <w:jc w:val="center"/>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评标标准</w:t>
            </w:r>
          </w:p>
        </w:tc>
      </w:tr>
      <w:tr w14:paraId="099FD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center"/>
          </w:tcPr>
          <w:p w14:paraId="5AFE0DBF">
            <w:pPr>
              <w:adjustRightInd w:val="0"/>
              <w:spacing w:line="360" w:lineRule="auto"/>
              <w:jc w:val="left"/>
              <w:textAlignment w:val="baseline"/>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1</w:t>
            </w:r>
          </w:p>
        </w:tc>
        <w:tc>
          <w:tcPr>
            <w:tcW w:w="1470" w:type="dxa"/>
            <w:vAlign w:val="center"/>
          </w:tcPr>
          <w:p w14:paraId="65D12971">
            <w:pPr>
              <w:adjustRightInd w:val="0"/>
              <w:spacing w:line="360" w:lineRule="auto"/>
              <w:jc w:val="center"/>
              <w:textAlignment w:val="baseline"/>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投标报价（满分</w:t>
            </w:r>
            <w:r>
              <w:rPr>
                <w:rFonts w:hint="eastAsia" w:ascii="宋体" w:hAnsi="宋体" w:eastAsia="宋体" w:cs="宋体"/>
                <w:b/>
                <w:bCs/>
                <w:color w:val="auto"/>
                <w:szCs w:val="21"/>
                <w:highlight w:val="none"/>
                <w:u w:val="single"/>
              </w:rPr>
              <w:t>30</w:t>
            </w:r>
            <w:r>
              <w:rPr>
                <w:rFonts w:hint="eastAsia" w:ascii="宋体" w:hAnsi="宋体" w:eastAsia="宋体" w:cs="宋体"/>
                <w:b/>
                <w:bCs/>
                <w:color w:val="auto"/>
                <w:szCs w:val="21"/>
                <w:highlight w:val="none"/>
              </w:rPr>
              <w:t>分）</w:t>
            </w:r>
          </w:p>
          <w:p w14:paraId="550DC739">
            <w:pPr>
              <w:adjustRightInd w:val="0"/>
              <w:spacing w:line="360" w:lineRule="auto"/>
              <w:jc w:val="center"/>
              <w:textAlignment w:val="baseline"/>
              <w:rPr>
                <w:rFonts w:hint="eastAsia" w:ascii="宋体" w:hAnsi="宋体" w:eastAsia="宋体" w:cs="宋体"/>
                <w:b/>
                <w:bCs/>
                <w:color w:val="auto"/>
                <w:szCs w:val="21"/>
                <w:highlight w:val="none"/>
              </w:rPr>
            </w:pPr>
          </w:p>
        </w:tc>
        <w:tc>
          <w:tcPr>
            <w:tcW w:w="7089" w:type="dxa"/>
            <w:vAlign w:val="center"/>
          </w:tcPr>
          <w:p w14:paraId="5DA5F4B7">
            <w:pPr>
              <w:snapToGrid w:val="0"/>
              <w:spacing w:line="360" w:lineRule="auto"/>
              <w:ind w:firstLine="233" w:firstLineChars="11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（1）评标报价为投标人的投标报价进行政策性扣除后的价格，评标报价只是作为评标时使用。最终中标人的中标金额等于投标报价。</w:t>
            </w:r>
          </w:p>
          <w:p w14:paraId="778F28B2">
            <w:pPr>
              <w:snapToGrid w:val="0"/>
              <w:spacing w:line="360" w:lineRule="auto"/>
              <w:ind w:firstLine="233" w:firstLineChars="11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（2）政策性扣除计算方法。</w:t>
            </w:r>
          </w:p>
          <w:p w14:paraId="644D29E9">
            <w:pPr>
              <w:snapToGrid w:val="0"/>
              <w:spacing w:line="360" w:lineRule="auto"/>
              <w:ind w:firstLine="443" w:firstLineChars="211"/>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根据《政府采购促进中小企业发展管理办法》（财库〔2020〕46号）</w:t>
            </w:r>
            <w:r>
              <w:rPr>
                <w:rFonts w:hint="eastAsia" w:ascii="宋体" w:hAnsi="宋体" w:eastAsia="宋体" w:cs="宋体"/>
                <w:color w:val="auto"/>
                <w:szCs w:val="21"/>
                <w:highlight w:val="none"/>
              </w:rPr>
              <w:t>及《广西壮族自治区财政厅关于贯彻落实政府采购支持中小企业发展政策的通知》（桂财采〔2022〕31号）</w:t>
            </w:r>
            <w:r>
              <w:rPr>
                <w:rFonts w:hint="eastAsia" w:ascii="宋体" w:hAnsi="宋体" w:eastAsia="宋体" w:cs="宋体"/>
                <w:bCs/>
                <w:color w:val="auto"/>
                <w:szCs w:val="21"/>
                <w:highlight w:val="none"/>
              </w:rPr>
              <w:t>的规定，投标人在其投标文件中提供《中小企业声明函》，且货物全部由小微企业承接，对其投标报价给予20%的扣除，扣除后的价格为评标报价，即评标报价=投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eastAsia="宋体" w:cs="宋体"/>
                <w:bCs/>
                <w:color w:val="auto"/>
                <w:szCs w:val="21"/>
                <w:highlight w:val="none"/>
                <w:u w:val="single"/>
              </w:rPr>
              <w:t>4%</w:t>
            </w:r>
            <w:r>
              <w:rPr>
                <w:rFonts w:hint="eastAsia" w:ascii="宋体" w:hAnsi="宋体" w:eastAsia="宋体" w:cs="宋体"/>
                <w:bCs/>
                <w:color w:val="auto"/>
                <w:szCs w:val="21"/>
                <w:highlight w:val="none"/>
              </w:rPr>
              <w:t>的扣除，用扣除后的价格参加评审，扣除后的价格为评标报价，即评标报价=投标报价×（1-</w:t>
            </w:r>
            <w:r>
              <w:rPr>
                <w:rFonts w:hint="eastAsia" w:ascii="宋体" w:hAnsi="宋体" w:eastAsia="宋体" w:cs="宋体"/>
                <w:bCs/>
                <w:color w:val="auto"/>
                <w:szCs w:val="21"/>
                <w:highlight w:val="none"/>
                <w:u w:val="single"/>
              </w:rPr>
              <w:t>4</w:t>
            </w:r>
            <w:r>
              <w:rPr>
                <w:rFonts w:hint="eastAsia" w:ascii="宋体" w:hAnsi="宋体" w:eastAsia="宋体" w:cs="宋体"/>
                <w:bCs/>
                <w:color w:val="auto"/>
                <w:szCs w:val="21"/>
                <w:highlight w:val="none"/>
              </w:rPr>
              <w:t>%）。除上述情况外，评标报价=投标报价。</w:t>
            </w:r>
          </w:p>
          <w:p w14:paraId="32976F53">
            <w:pPr>
              <w:snapToGrid w:val="0"/>
              <w:spacing w:line="360" w:lineRule="auto"/>
              <w:ind w:firstLine="233" w:firstLineChars="11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eastAsia="宋体" w:cs="宋体"/>
                <w:color w:val="auto"/>
                <w:szCs w:val="21"/>
                <w:highlight w:val="none"/>
              </w:rPr>
              <w:t>监狱企业参加政府采购活动时，应当提供由省级以上监狱管理局、戒毒管理局（含新疆生产建设兵团）出具的属于监狱企业的证明文件。</w:t>
            </w:r>
            <w:r>
              <w:rPr>
                <w:rFonts w:hint="eastAsia" w:ascii="宋体" w:hAnsi="宋体" w:eastAsia="宋体" w:cs="宋体"/>
                <w:bCs/>
                <w:color w:val="auto"/>
                <w:szCs w:val="21"/>
                <w:highlight w:val="none"/>
              </w:rPr>
              <w:t>监狱企业属于小型、微型企业的，不重复享受政策。</w:t>
            </w:r>
          </w:p>
          <w:p w14:paraId="35CD79F6">
            <w:pPr>
              <w:snapToGrid w:val="0"/>
              <w:spacing w:line="360" w:lineRule="auto"/>
              <w:ind w:firstLine="233" w:firstLineChars="111"/>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（4）按照</w:t>
            </w:r>
            <w:r>
              <w:rPr>
                <w:rFonts w:hint="eastAsia" w:ascii="宋体" w:hAnsi="宋体" w:eastAsia="宋体" w:cs="宋体"/>
                <w:bCs/>
                <w:color w:val="auto"/>
                <w:szCs w:val="21"/>
                <w:highlight w:val="none"/>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eastAsia="宋体" w:cs="宋体"/>
                <w:color w:val="auto"/>
                <w:szCs w:val="21"/>
                <w:highlight w:val="none"/>
              </w:rPr>
              <w:t>残疾人福利性单位参加政府采购活动时，应当提供该通知规定的《残疾人福利性单位声明函》，并对声明的真实性负责。</w:t>
            </w:r>
            <w:r>
              <w:rPr>
                <w:rFonts w:hint="eastAsia" w:ascii="宋体" w:hAnsi="宋体" w:eastAsia="宋体" w:cs="宋体"/>
                <w:bCs/>
                <w:color w:val="auto"/>
                <w:szCs w:val="21"/>
                <w:highlight w:val="none"/>
              </w:rPr>
              <w:t>残疾人福利性单位属于小型、微型企业的，不重复享受政策。</w:t>
            </w:r>
          </w:p>
          <w:p w14:paraId="59311185">
            <w:pPr>
              <w:snapToGrid w:val="0"/>
              <w:spacing w:line="360" w:lineRule="auto"/>
              <w:ind w:firstLine="233" w:firstLineChars="11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（5）满足招标文件要求且评标报价最低的评标报价为评标基准价，其价格分为满分。</w:t>
            </w:r>
          </w:p>
          <w:p w14:paraId="2FAAB96D">
            <w:pPr>
              <w:spacing w:line="360" w:lineRule="auto"/>
              <w:ind w:firstLine="233" w:firstLineChars="11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（6）价格分计算公式：        </w:t>
            </w:r>
          </w:p>
          <w:p w14:paraId="2D281D65">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价格分=（评标基准价／评标报价）×</w:t>
            </w:r>
            <w:r>
              <w:rPr>
                <w:rFonts w:hint="eastAsia" w:ascii="宋体" w:hAnsi="宋体" w:eastAsia="宋体" w:cs="宋体"/>
                <w:bCs/>
                <w:color w:val="auto"/>
                <w:szCs w:val="21"/>
                <w:highlight w:val="none"/>
                <w:u w:val="single"/>
              </w:rPr>
              <w:t>30</w:t>
            </w:r>
            <w:r>
              <w:rPr>
                <w:rFonts w:hint="eastAsia" w:ascii="宋体" w:hAnsi="宋体" w:eastAsia="宋体" w:cs="宋体"/>
                <w:bCs/>
                <w:color w:val="auto"/>
                <w:szCs w:val="21"/>
                <w:highlight w:val="none"/>
              </w:rPr>
              <w:t>分</w:t>
            </w:r>
          </w:p>
        </w:tc>
      </w:tr>
      <w:tr w14:paraId="6B679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896" w:type="dxa"/>
            <w:vAlign w:val="center"/>
          </w:tcPr>
          <w:p w14:paraId="702EEE62">
            <w:pPr>
              <w:adjustRightInd w:val="0"/>
              <w:snapToGrid w:val="0"/>
              <w:spacing w:line="360" w:lineRule="auto"/>
              <w:ind w:left="-105" w:leftChars="-50" w:right="-105" w:rightChars="-50"/>
              <w:jc w:val="center"/>
              <w:textAlignment w:val="baseline"/>
              <w:rPr>
                <w:rFonts w:hint="eastAsia" w:ascii="宋体" w:hAnsi="宋体" w:eastAsia="宋体" w:cs="宋体"/>
                <w:color w:val="auto"/>
                <w:spacing w:val="-18"/>
                <w:szCs w:val="21"/>
                <w:highlight w:val="none"/>
              </w:rPr>
            </w:pPr>
            <w:r>
              <w:rPr>
                <w:rFonts w:hint="eastAsia" w:ascii="宋体" w:hAnsi="宋体" w:eastAsia="宋体" w:cs="宋体"/>
                <w:color w:val="auto"/>
                <w:szCs w:val="21"/>
                <w:highlight w:val="none"/>
              </w:rPr>
              <w:t>2</w:t>
            </w:r>
          </w:p>
        </w:tc>
        <w:tc>
          <w:tcPr>
            <w:tcW w:w="1470" w:type="dxa"/>
            <w:vAlign w:val="center"/>
          </w:tcPr>
          <w:p w14:paraId="60BC5051">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设备性能分</w:t>
            </w:r>
          </w:p>
          <w:p w14:paraId="3EB0F3D9">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（满分</w:t>
            </w:r>
            <w:r>
              <w:rPr>
                <w:rFonts w:hint="eastAsia" w:ascii="宋体" w:hAnsi="宋体" w:cs="宋体"/>
                <w:b/>
                <w:color w:val="auto"/>
                <w:szCs w:val="21"/>
                <w:highlight w:val="none"/>
                <w:lang w:val="en-US" w:eastAsia="zh-CN"/>
              </w:rPr>
              <w:t>30</w:t>
            </w:r>
            <w:r>
              <w:rPr>
                <w:rFonts w:hint="eastAsia" w:ascii="宋体" w:hAnsi="宋体" w:eastAsia="宋体" w:cs="宋体"/>
                <w:b/>
                <w:color w:val="auto"/>
                <w:szCs w:val="21"/>
                <w:highlight w:val="none"/>
              </w:rPr>
              <w:t>分）</w:t>
            </w:r>
          </w:p>
        </w:tc>
        <w:tc>
          <w:tcPr>
            <w:tcW w:w="7089" w:type="dxa"/>
            <w:vAlign w:val="center"/>
          </w:tcPr>
          <w:p w14:paraId="076AE43C">
            <w:pPr>
              <w:pStyle w:val="91"/>
              <w:autoSpaceDE/>
              <w:autoSpaceDN/>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（1）通过资格审查与符合性审查的投标人得基本分 6分</w:t>
            </w:r>
          </w:p>
          <w:p w14:paraId="1F64F6C6">
            <w:pPr>
              <w:pStyle w:val="91"/>
              <w:autoSpaceDE/>
              <w:autoSpaceDN/>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（2）投标人对标注▲的技术参数有优于招标文件要求且评标时被评标委员会接受的，每优于一项加3分。（满分12分）</w:t>
            </w:r>
          </w:p>
          <w:p w14:paraId="3164C83C">
            <w:pPr>
              <w:pStyle w:val="91"/>
              <w:autoSpaceDE/>
              <w:autoSpaceDN/>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（3）投标人对未标注▲的技术参数有优于招标文件要求且评标时被评标委员会接受的，每优于一项加2分。（满分12分）</w:t>
            </w:r>
          </w:p>
          <w:p w14:paraId="2699EAFF">
            <w:pPr>
              <w:pStyle w:val="91"/>
              <w:autoSpaceDE/>
              <w:autoSpaceDN/>
              <w:spacing w:line="360" w:lineRule="auto"/>
              <w:rPr>
                <w:rFonts w:hint="eastAsia" w:hAnsi="宋体"/>
                <w:color w:val="auto"/>
                <w:highlight w:val="none"/>
              </w:rPr>
            </w:pPr>
            <w:r>
              <w:rPr>
                <w:rFonts w:hint="eastAsia" w:ascii="宋体" w:hAnsi="宋体" w:cs="宋体"/>
                <w:color w:val="auto"/>
                <w:sz w:val="21"/>
                <w:szCs w:val="21"/>
                <w:highlight w:val="none"/>
                <w:lang w:val="en-US" w:eastAsia="zh-CN"/>
              </w:rPr>
              <w:t>注：投标参数及功能有优于的，投标人须在投标文件中提供投标产品的彩页或第三方检测报告复印件或产品生产厂家出具的技术白皮等证明材料作为佐证，以上材料均需加盖公章，否则评标委员会有权不接受其优于。</w:t>
            </w:r>
          </w:p>
        </w:tc>
      </w:tr>
      <w:tr w14:paraId="28CFB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0" w:hRule="atLeast"/>
          <w:jc w:val="center"/>
        </w:trPr>
        <w:tc>
          <w:tcPr>
            <w:tcW w:w="896" w:type="dxa"/>
            <w:vMerge w:val="restart"/>
            <w:vAlign w:val="center"/>
          </w:tcPr>
          <w:p w14:paraId="5076DFF1">
            <w:pPr>
              <w:adjustRightInd w:val="0"/>
              <w:snapToGrid w:val="0"/>
              <w:spacing w:line="360" w:lineRule="auto"/>
              <w:jc w:val="center"/>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470" w:type="dxa"/>
            <w:vAlign w:val="center"/>
          </w:tcPr>
          <w:p w14:paraId="5D4047E7">
            <w:pPr>
              <w:widowControl/>
              <w:snapToGrid w:val="0"/>
              <w:spacing w:line="360" w:lineRule="auto"/>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技术及实施方案</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20分</w:t>
            </w:r>
            <w:r>
              <w:rPr>
                <w:rFonts w:hint="eastAsia" w:ascii="宋体" w:hAnsi="宋体" w:cs="宋体"/>
                <w:b/>
                <w:bCs/>
                <w:color w:val="auto"/>
                <w:szCs w:val="21"/>
                <w:highlight w:val="none"/>
                <w:lang w:eastAsia="zh-CN"/>
              </w:rPr>
              <w:t>）</w:t>
            </w:r>
          </w:p>
        </w:tc>
        <w:tc>
          <w:tcPr>
            <w:tcW w:w="7089" w:type="dxa"/>
            <w:vAlign w:val="center"/>
          </w:tcPr>
          <w:p w14:paraId="7D5F2FAC">
            <w:pPr>
              <w:pStyle w:val="91"/>
              <w:autoSpaceDE/>
              <w:autoSpaceDN/>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一档（满分</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分）：投标人能简单阐述清楚该项目的技术及实施方案,提供</w:t>
            </w:r>
            <w:r>
              <w:rPr>
                <w:rFonts w:hint="eastAsia" w:ascii="宋体" w:hAnsi="宋体" w:cs="宋体"/>
                <w:color w:val="auto"/>
                <w:sz w:val="21"/>
                <w:szCs w:val="21"/>
                <w:highlight w:val="none"/>
                <w:lang w:eastAsia="zh-CN"/>
              </w:rPr>
              <w:t>有</w:t>
            </w:r>
            <w:r>
              <w:rPr>
                <w:rFonts w:hint="eastAsia" w:ascii="宋体" w:hAnsi="宋体" w:eastAsia="宋体" w:cs="宋体"/>
                <w:color w:val="auto"/>
                <w:sz w:val="21"/>
                <w:szCs w:val="21"/>
                <w:highlight w:val="none"/>
              </w:rPr>
              <w:t>项目组织管理及项目实施方案，</w:t>
            </w:r>
            <w:r>
              <w:rPr>
                <w:rFonts w:hint="eastAsia" w:ascii="宋体" w:hAnsi="宋体" w:cs="宋体"/>
                <w:color w:val="auto"/>
                <w:sz w:val="21"/>
                <w:szCs w:val="21"/>
                <w:highlight w:val="none"/>
                <w:lang w:eastAsia="zh-CN"/>
              </w:rPr>
              <w:t>但方案简单的</w:t>
            </w:r>
            <w:r>
              <w:rPr>
                <w:rFonts w:hint="eastAsia" w:ascii="宋体" w:hAnsi="宋体" w:eastAsia="宋体" w:cs="宋体"/>
                <w:color w:val="auto"/>
                <w:sz w:val="21"/>
                <w:szCs w:val="21"/>
                <w:highlight w:val="none"/>
              </w:rPr>
              <w:t>。</w:t>
            </w:r>
          </w:p>
          <w:p w14:paraId="61F78408">
            <w:pPr>
              <w:pStyle w:val="91"/>
              <w:autoSpaceDE/>
              <w:autoSpaceDN/>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rPr>
              <w:t>档（满分</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分）：投标人能</w:t>
            </w:r>
            <w:r>
              <w:rPr>
                <w:rFonts w:hint="eastAsia" w:ascii="宋体" w:hAnsi="宋体" w:cs="宋体"/>
                <w:color w:val="auto"/>
                <w:sz w:val="21"/>
                <w:szCs w:val="21"/>
                <w:highlight w:val="none"/>
                <w:lang w:eastAsia="zh-CN"/>
              </w:rPr>
              <w:t>根据项目实际情况</w:t>
            </w:r>
            <w:r>
              <w:rPr>
                <w:rFonts w:hint="eastAsia" w:ascii="宋体" w:hAnsi="宋体" w:eastAsia="宋体" w:cs="宋体"/>
                <w:color w:val="auto"/>
                <w:sz w:val="21"/>
                <w:szCs w:val="21"/>
                <w:highlight w:val="none"/>
              </w:rPr>
              <w:t>阐述清楚该项目的技术及实施方案,提供</w:t>
            </w:r>
            <w:r>
              <w:rPr>
                <w:rFonts w:hint="eastAsia" w:ascii="宋体" w:hAnsi="宋体" w:cs="宋体"/>
                <w:color w:val="auto"/>
                <w:sz w:val="21"/>
                <w:szCs w:val="21"/>
                <w:highlight w:val="none"/>
                <w:lang w:eastAsia="zh-CN"/>
              </w:rPr>
              <w:t>有</w:t>
            </w:r>
            <w:r>
              <w:rPr>
                <w:rFonts w:hint="eastAsia" w:ascii="宋体" w:hAnsi="宋体" w:eastAsia="宋体" w:cs="宋体"/>
                <w:color w:val="auto"/>
                <w:sz w:val="21"/>
                <w:szCs w:val="21"/>
                <w:highlight w:val="none"/>
              </w:rPr>
              <w:t>项目组织管理及项目实施方案，</w:t>
            </w:r>
            <w:r>
              <w:rPr>
                <w:rFonts w:hint="eastAsia" w:ascii="宋体" w:hAnsi="宋体" w:cs="宋体"/>
                <w:color w:val="auto"/>
                <w:sz w:val="21"/>
                <w:szCs w:val="21"/>
                <w:highlight w:val="none"/>
                <w:lang w:eastAsia="zh-CN"/>
              </w:rPr>
              <w:t>仅能满足项目要求的</w:t>
            </w:r>
            <w:r>
              <w:rPr>
                <w:rFonts w:hint="eastAsia" w:ascii="宋体" w:hAnsi="宋体" w:eastAsia="宋体" w:cs="宋体"/>
                <w:color w:val="auto"/>
                <w:sz w:val="21"/>
                <w:szCs w:val="21"/>
                <w:highlight w:val="none"/>
              </w:rPr>
              <w:t>。</w:t>
            </w:r>
          </w:p>
          <w:p w14:paraId="640A8866">
            <w:pPr>
              <w:pStyle w:val="91"/>
              <w:autoSpaceDE/>
              <w:autoSpaceDN/>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rPr>
              <w:t>档（满分</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分）：投标人所提供该项目技术及实施方案, 对实施计划、质量和进度保障措施等有描述</w:t>
            </w:r>
            <w:r>
              <w:rPr>
                <w:rFonts w:hint="eastAsia" w:ascii="宋体" w:hAnsi="宋体" w:cs="宋体"/>
                <w:color w:val="auto"/>
                <w:sz w:val="21"/>
                <w:szCs w:val="21"/>
                <w:highlight w:val="none"/>
                <w:lang w:eastAsia="zh-CN"/>
              </w:rPr>
              <w:t>，有设备使用培训方案</w:t>
            </w:r>
            <w:r>
              <w:rPr>
                <w:rFonts w:hint="eastAsia" w:ascii="宋体" w:hAnsi="宋体" w:eastAsia="宋体" w:cs="宋体"/>
                <w:color w:val="auto"/>
                <w:sz w:val="21"/>
                <w:szCs w:val="21"/>
                <w:highlight w:val="none"/>
              </w:rPr>
              <w:t>，描述</w:t>
            </w:r>
            <w:r>
              <w:rPr>
                <w:rFonts w:hint="eastAsia" w:ascii="宋体" w:hAnsi="宋体" w:cs="宋体"/>
                <w:color w:val="auto"/>
                <w:sz w:val="21"/>
                <w:szCs w:val="21"/>
                <w:highlight w:val="none"/>
                <w:lang w:eastAsia="zh-CN"/>
              </w:rPr>
              <w:t>有</w:t>
            </w:r>
            <w:r>
              <w:rPr>
                <w:rFonts w:hint="eastAsia" w:ascii="宋体" w:hAnsi="宋体" w:eastAsia="宋体" w:cs="宋体"/>
                <w:color w:val="auto"/>
                <w:sz w:val="21"/>
                <w:szCs w:val="21"/>
                <w:highlight w:val="none"/>
              </w:rPr>
              <w:t>各部署</w:t>
            </w:r>
            <w:r>
              <w:rPr>
                <w:rFonts w:hint="eastAsia" w:ascii="宋体" w:hAnsi="宋体" w:cs="宋体"/>
                <w:color w:val="auto"/>
                <w:sz w:val="21"/>
                <w:szCs w:val="21"/>
                <w:highlight w:val="none"/>
                <w:lang w:eastAsia="zh-CN"/>
              </w:rPr>
              <w:t>安装</w:t>
            </w:r>
            <w:r>
              <w:rPr>
                <w:rFonts w:hint="eastAsia" w:ascii="宋体" w:hAnsi="宋体" w:eastAsia="宋体" w:cs="宋体"/>
                <w:color w:val="auto"/>
                <w:sz w:val="21"/>
                <w:szCs w:val="21"/>
                <w:highlight w:val="none"/>
              </w:rPr>
              <w:t>实施方案</w:t>
            </w:r>
            <w:r>
              <w:rPr>
                <w:rFonts w:hint="eastAsia" w:ascii="宋体" w:hAnsi="宋体" w:cs="宋体"/>
                <w:color w:val="auto"/>
                <w:sz w:val="21"/>
                <w:szCs w:val="21"/>
                <w:highlight w:val="none"/>
                <w:lang w:eastAsia="zh-CN"/>
              </w:rPr>
              <w:t>，具有可操作性</w:t>
            </w:r>
            <w:r>
              <w:rPr>
                <w:rFonts w:hint="eastAsia" w:ascii="宋体" w:hAnsi="宋体" w:eastAsia="宋体" w:cs="宋体"/>
                <w:color w:val="auto"/>
                <w:sz w:val="21"/>
                <w:szCs w:val="21"/>
                <w:highlight w:val="none"/>
              </w:rPr>
              <w:t>。</w:t>
            </w:r>
          </w:p>
          <w:p w14:paraId="7C7686DC">
            <w:pPr>
              <w:pStyle w:val="91"/>
              <w:autoSpaceDE/>
              <w:autoSpaceDN/>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四</w:t>
            </w:r>
            <w:r>
              <w:rPr>
                <w:rFonts w:hint="eastAsia" w:ascii="宋体" w:hAnsi="宋体" w:eastAsia="宋体" w:cs="宋体"/>
                <w:color w:val="auto"/>
                <w:sz w:val="21"/>
                <w:szCs w:val="21"/>
                <w:highlight w:val="none"/>
              </w:rPr>
              <w:t>档（满分</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分）：投标人所提供该项目技术及实施方案</w:t>
            </w:r>
            <w:r>
              <w:rPr>
                <w:rFonts w:hint="eastAsia" w:ascii="宋体" w:hAnsi="宋体" w:eastAsia="宋体" w:cs="宋体"/>
                <w:color w:val="auto"/>
                <w:sz w:val="21"/>
                <w:szCs w:val="21"/>
                <w:highlight w:val="none"/>
                <w:lang w:eastAsia="zh-CN"/>
              </w:rPr>
              <w:t>科学详细</w:t>
            </w:r>
            <w:r>
              <w:rPr>
                <w:rFonts w:hint="eastAsia" w:ascii="宋体" w:hAnsi="宋体" w:eastAsia="宋体" w:cs="宋体"/>
                <w:color w:val="auto"/>
                <w:sz w:val="21"/>
                <w:szCs w:val="21"/>
                <w:highlight w:val="none"/>
              </w:rPr>
              <w:t>, 对实施计划、质量和进度保障措施等有</w:t>
            </w:r>
            <w:r>
              <w:rPr>
                <w:rFonts w:hint="eastAsia" w:ascii="宋体" w:hAnsi="宋体" w:eastAsia="宋体" w:cs="宋体"/>
                <w:color w:val="auto"/>
                <w:sz w:val="21"/>
                <w:szCs w:val="21"/>
                <w:highlight w:val="none"/>
                <w:lang w:eastAsia="zh-CN"/>
              </w:rPr>
              <w:t>详细</w:t>
            </w:r>
            <w:r>
              <w:rPr>
                <w:rFonts w:hint="eastAsia" w:ascii="宋体" w:hAnsi="宋体" w:eastAsia="宋体" w:cs="宋体"/>
                <w:color w:val="auto"/>
                <w:sz w:val="21"/>
                <w:szCs w:val="21"/>
                <w:highlight w:val="none"/>
              </w:rPr>
              <w:t>描述，</w:t>
            </w:r>
            <w:r>
              <w:rPr>
                <w:rFonts w:hint="eastAsia" w:ascii="宋体" w:hAnsi="宋体" w:eastAsia="宋体" w:cs="宋体"/>
                <w:color w:val="auto"/>
                <w:sz w:val="21"/>
                <w:szCs w:val="21"/>
                <w:highlight w:val="none"/>
                <w:lang w:eastAsia="zh-CN"/>
              </w:rPr>
              <w:t>有具体详细的设备使用培训方案，</w:t>
            </w:r>
            <w:r>
              <w:rPr>
                <w:rFonts w:hint="eastAsia" w:ascii="宋体" w:hAnsi="宋体" w:eastAsia="宋体" w:cs="宋体"/>
                <w:color w:val="auto"/>
                <w:sz w:val="21"/>
                <w:szCs w:val="21"/>
                <w:highlight w:val="none"/>
              </w:rPr>
              <w:t>清晰描述各部署</w:t>
            </w:r>
            <w:r>
              <w:rPr>
                <w:rFonts w:hint="eastAsia" w:ascii="宋体" w:hAnsi="宋体" w:eastAsia="宋体" w:cs="宋体"/>
                <w:color w:val="auto"/>
                <w:sz w:val="21"/>
                <w:szCs w:val="21"/>
                <w:highlight w:val="none"/>
                <w:lang w:eastAsia="zh-CN"/>
              </w:rPr>
              <w:t>安装</w:t>
            </w:r>
            <w:r>
              <w:rPr>
                <w:rFonts w:hint="eastAsia" w:ascii="宋体" w:hAnsi="宋体" w:eastAsia="宋体" w:cs="宋体"/>
                <w:color w:val="auto"/>
                <w:sz w:val="21"/>
                <w:szCs w:val="21"/>
                <w:highlight w:val="none"/>
              </w:rPr>
              <w:t>实施方案</w:t>
            </w:r>
            <w:r>
              <w:rPr>
                <w:rFonts w:hint="eastAsia" w:ascii="宋体" w:hAnsi="宋体" w:cs="宋体"/>
                <w:color w:val="auto"/>
                <w:sz w:val="21"/>
                <w:szCs w:val="21"/>
                <w:highlight w:val="none"/>
                <w:lang w:eastAsia="zh-CN"/>
              </w:rPr>
              <w:t>，针对性强可操作性强。</w:t>
            </w:r>
          </w:p>
        </w:tc>
      </w:tr>
      <w:tr w14:paraId="184EF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9" w:hRule="atLeast"/>
          <w:jc w:val="center"/>
        </w:trPr>
        <w:tc>
          <w:tcPr>
            <w:tcW w:w="896" w:type="dxa"/>
            <w:vMerge w:val="continue"/>
            <w:vAlign w:val="center"/>
          </w:tcPr>
          <w:p w14:paraId="0AEF7308">
            <w:pPr>
              <w:adjustRightInd w:val="0"/>
              <w:snapToGrid w:val="0"/>
              <w:spacing w:line="360" w:lineRule="auto"/>
              <w:jc w:val="center"/>
              <w:textAlignment w:val="baseline"/>
              <w:rPr>
                <w:rFonts w:hint="eastAsia" w:ascii="宋体" w:hAnsi="宋体" w:eastAsia="宋体" w:cs="宋体"/>
                <w:b/>
                <w:color w:val="auto"/>
                <w:szCs w:val="21"/>
                <w:highlight w:val="none"/>
              </w:rPr>
            </w:pPr>
          </w:p>
        </w:tc>
        <w:tc>
          <w:tcPr>
            <w:tcW w:w="1470" w:type="dxa"/>
            <w:vAlign w:val="center"/>
          </w:tcPr>
          <w:p w14:paraId="2248DB9C">
            <w:pPr>
              <w:widowControl/>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售后服务方案（满分</w:t>
            </w:r>
            <w:r>
              <w:rPr>
                <w:rFonts w:hint="eastAsia" w:ascii="宋体" w:hAnsi="宋体" w:cs="宋体"/>
                <w:b/>
                <w:bCs/>
                <w:color w:val="auto"/>
                <w:szCs w:val="21"/>
                <w:highlight w:val="none"/>
                <w:lang w:val="en-US" w:eastAsia="zh-CN"/>
              </w:rPr>
              <w:t>16</w:t>
            </w:r>
            <w:r>
              <w:rPr>
                <w:rFonts w:hint="eastAsia" w:ascii="宋体" w:hAnsi="宋体" w:eastAsia="宋体" w:cs="宋体"/>
                <w:b/>
                <w:bCs/>
                <w:color w:val="auto"/>
                <w:szCs w:val="21"/>
                <w:highlight w:val="none"/>
              </w:rPr>
              <w:t>分）</w:t>
            </w:r>
          </w:p>
        </w:tc>
        <w:tc>
          <w:tcPr>
            <w:tcW w:w="7089" w:type="dxa"/>
            <w:vAlign w:val="center"/>
          </w:tcPr>
          <w:p w14:paraId="6E99D3E3">
            <w:pPr>
              <w:pStyle w:val="91"/>
              <w:autoSpaceDE/>
              <w:autoSpaceDN/>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一档（</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提供有售后服务方案，但方案简单</w:t>
            </w:r>
            <w:r>
              <w:rPr>
                <w:rFonts w:hint="eastAsia" w:ascii="宋体" w:hAnsi="宋体" w:cs="宋体"/>
                <w:color w:val="auto"/>
                <w:sz w:val="21"/>
                <w:szCs w:val="21"/>
                <w:highlight w:val="none"/>
                <w:lang w:eastAsia="zh-CN"/>
              </w:rPr>
              <w:t>，不能满足项目需求</w:t>
            </w:r>
            <w:r>
              <w:rPr>
                <w:rFonts w:hint="eastAsia" w:ascii="宋体" w:hAnsi="宋体" w:eastAsia="宋体" w:cs="宋体"/>
                <w:color w:val="auto"/>
                <w:sz w:val="21"/>
                <w:szCs w:val="21"/>
                <w:highlight w:val="none"/>
                <w:lang w:eastAsia="zh-CN"/>
              </w:rPr>
              <w:t>。</w:t>
            </w:r>
          </w:p>
          <w:p w14:paraId="6931D128">
            <w:pPr>
              <w:pStyle w:val="91"/>
              <w:autoSpaceDE/>
              <w:autoSpaceDN/>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提供的售后服务方案包含有</w:t>
            </w:r>
            <w:r>
              <w:rPr>
                <w:rFonts w:hint="eastAsia" w:ascii="宋体" w:hAnsi="宋体" w:eastAsia="宋体" w:cs="宋体"/>
                <w:color w:val="auto"/>
                <w:sz w:val="21"/>
                <w:szCs w:val="21"/>
                <w:highlight w:val="none"/>
              </w:rPr>
              <w:t>应急响应方案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维保方案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排除故障响应时间</w:t>
            </w:r>
            <w:r>
              <w:rPr>
                <w:rFonts w:hint="eastAsia" w:ascii="宋体" w:hAnsi="宋体" w:eastAsia="宋体" w:cs="宋体"/>
                <w:color w:val="auto"/>
                <w:sz w:val="21"/>
                <w:szCs w:val="21"/>
                <w:highlight w:val="none"/>
                <w:lang w:eastAsia="zh-CN"/>
              </w:rPr>
              <w:t>等，且方案详细，</w:t>
            </w:r>
            <w:r>
              <w:rPr>
                <w:rFonts w:hint="eastAsia" w:ascii="宋体" w:hAnsi="宋体" w:cs="宋体"/>
                <w:color w:val="auto"/>
                <w:sz w:val="21"/>
                <w:szCs w:val="21"/>
                <w:highlight w:val="none"/>
                <w:lang w:eastAsia="zh-CN"/>
              </w:rPr>
              <w:t>能满足项目的需求，</w:t>
            </w:r>
            <w:r>
              <w:rPr>
                <w:rFonts w:hint="eastAsia" w:ascii="宋体" w:hAnsi="宋体" w:eastAsia="宋体" w:cs="宋体"/>
                <w:color w:val="auto"/>
                <w:sz w:val="21"/>
                <w:szCs w:val="21"/>
                <w:highlight w:val="none"/>
                <w:lang w:eastAsia="zh-CN"/>
              </w:rPr>
              <w:t>具有可操作性</w:t>
            </w:r>
            <w:r>
              <w:rPr>
                <w:rFonts w:hint="eastAsia" w:ascii="宋体" w:hAnsi="宋体" w:eastAsia="宋体" w:cs="宋体"/>
                <w:color w:val="auto"/>
                <w:sz w:val="21"/>
                <w:szCs w:val="21"/>
                <w:highlight w:val="none"/>
              </w:rPr>
              <w:t>。</w:t>
            </w:r>
          </w:p>
          <w:p w14:paraId="1A829968">
            <w:pPr>
              <w:pStyle w:val="91"/>
              <w:autoSpaceDE/>
              <w:autoSpaceDN/>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cs="宋体"/>
                <w:color w:val="auto"/>
                <w:sz w:val="21"/>
                <w:szCs w:val="21"/>
                <w:highlight w:val="none"/>
                <w:lang w:val="en-US" w:eastAsia="zh-CN"/>
              </w:rPr>
              <w:t>16</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提供的售后服务方案包含有</w:t>
            </w:r>
            <w:r>
              <w:rPr>
                <w:rFonts w:hint="eastAsia" w:ascii="宋体" w:hAnsi="宋体" w:eastAsia="宋体" w:cs="宋体"/>
                <w:color w:val="auto"/>
                <w:sz w:val="21"/>
                <w:szCs w:val="21"/>
                <w:highlight w:val="none"/>
              </w:rPr>
              <w:t>应急响应方案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维保方案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排除故障响应时间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运维期内的保养方案</w:t>
            </w:r>
            <w:r>
              <w:rPr>
                <w:rFonts w:hint="eastAsia" w:ascii="宋体" w:hAnsi="宋体" w:cs="宋体"/>
                <w:color w:val="auto"/>
                <w:sz w:val="21"/>
                <w:szCs w:val="21"/>
                <w:highlight w:val="none"/>
                <w:lang w:eastAsia="zh-CN"/>
              </w:rPr>
              <w:t>且</w:t>
            </w:r>
            <w:r>
              <w:rPr>
                <w:rFonts w:hint="eastAsia" w:ascii="宋体" w:hAnsi="宋体" w:eastAsia="宋体" w:cs="宋体"/>
                <w:color w:val="auto"/>
                <w:sz w:val="21"/>
                <w:szCs w:val="21"/>
                <w:highlight w:val="none"/>
              </w:rPr>
              <w:t>内容科学合理完整</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完全满足项目的需求，</w:t>
            </w:r>
            <w:r>
              <w:rPr>
                <w:rFonts w:hint="eastAsia" w:ascii="宋体" w:hAnsi="宋体" w:eastAsia="宋体" w:cs="宋体"/>
                <w:color w:val="auto"/>
                <w:sz w:val="21"/>
                <w:szCs w:val="21"/>
                <w:highlight w:val="none"/>
                <w:lang w:eastAsia="zh-CN"/>
              </w:rPr>
              <w:t>针对性强可操作性强</w:t>
            </w:r>
            <w:r>
              <w:rPr>
                <w:rFonts w:hint="eastAsia" w:ascii="宋体" w:hAnsi="宋体" w:eastAsia="宋体" w:cs="宋体"/>
                <w:color w:val="auto"/>
                <w:sz w:val="21"/>
                <w:szCs w:val="21"/>
                <w:highlight w:val="none"/>
              </w:rPr>
              <w:t>。</w:t>
            </w:r>
          </w:p>
        </w:tc>
      </w:tr>
      <w:tr w14:paraId="42A14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96" w:type="dxa"/>
            <w:vMerge w:val="continue"/>
            <w:vAlign w:val="center"/>
          </w:tcPr>
          <w:p w14:paraId="78D15E3F">
            <w:pPr>
              <w:adjustRightInd w:val="0"/>
              <w:snapToGrid w:val="0"/>
              <w:spacing w:line="360" w:lineRule="auto"/>
              <w:jc w:val="center"/>
              <w:textAlignment w:val="baseline"/>
              <w:rPr>
                <w:rFonts w:hint="eastAsia" w:ascii="宋体" w:hAnsi="宋体" w:eastAsia="宋体" w:cs="宋体"/>
                <w:b/>
                <w:color w:val="auto"/>
                <w:szCs w:val="21"/>
                <w:highlight w:val="none"/>
              </w:rPr>
            </w:pPr>
          </w:p>
        </w:tc>
        <w:tc>
          <w:tcPr>
            <w:tcW w:w="1470" w:type="dxa"/>
            <w:vAlign w:val="center"/>
          </w:tcPr>
          <w:p w14:paraId="1AA5BC03">
            <w:pPr>
              <w:widowControl/>
              <w:snapToGrid w:val="0"/>
              <w:spacing w:line="360" w:lineRule="auto"/>
              <w:jc w:val="center"/>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业绩分</w:t>
            </w:r>
          </w:p>
          <w:p w14:paraId="0481B232">
            <w:pPr>
              <w:widowControl/>
              <w:snapToGrid w:val="0"/>
              <w:spacing w:line="360" w:lineRule="auto"/>
              <w:jc w:val="center"/>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(2分)</w:t>
            </w:r>
          </w:p>
        </w:tc>
        <w:tc>
          <w:tcPr>
            <w:tcW w:w="7089" w:type="dxa"/>
            <w:vAlign w:val="center"/>
          </w:tcPr>
          <w:p w14:paraId="6F0301A6">
            <w:pPr>
              <w:pStyle w:val="91"/>
              <w:autoSpaceDE/>
              <w:autoSpaceDN/>
              <w:spacing w:line="360" w:lineRule="auto"/>
              <w:rPr>
                <w:rFonts w:hint="eastAsia" w:ascii="宋体" w:hAnsi="宋体" w:eastAsia="宋体" w:cs="Times New Roman"/>
                <w:color w:val="auto"/>
                <w:kern w:val="0"/>
                <w:sz w:val="20"/>
                <w:szCs w:val="21"/>
                <w:highlight w:val="none"/>
                <w:lang w:val="en-US" w:eastAsia="zh-CN" w:bidi="ar-SA"/>
              </w:rPr>
            </w:pPr>
            <w:r>
              <w:rPr>
                <w:rFonts w:hint="eastAsia" w:ascii="宋体" w:hAnsi="宋体" w:eastAsia="宋体" w:cs="宋体"/>
                <w:color w:val="auto"/>
                <w:sz w:val="21"/>
                <w:szCs w:val="21"/>
                <w:highlight w:val="none"/>
                <w:lang w:val="en-US" w:eastAsia="zh-CN"/>
              </w:rPr>
              <w:t>投标人或</w:t>
            </w:r>
            <w:r>
              <w:rPr>
                <w:rFonts w:hint="eastAsia" w:ascii="宋体" w:hAnsi="宋体" w:eastAsia="宋体" w:cs="宋体"/>
                <w:color w:val="auto"/>
                <w:sz w:val="21"/>
                <w:szCs w:val="21"/>
                <w:highlight w:val="none"/>
                <w:lang w:eastAsia="zh-CN"/>
              </w:rPr>
              <w:t>生产厂家能</w:t>
            </w: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eastAsia="zh-CN"/>
              </w:rPr>
              <w:t>医疗</w:t>
            </w:r>
            <w:r>
              <w:rPr>
                <w:rFonts w:hint="eastAsia" w:ascii="宋体" w:hAnsi="宋体" w:eastAsia="宋体" w:cs="宋体"/>
                <w:color w:val="auto"/>
                <w:sz w:val="21"/>
                <w:szCs w:val="21"/>
                <w:highlight w:val="none"/>
              </w:rPr>
              <w:t>设备</w:t>
            </w:r>
            <w:r>
              <w:rPr>
                <w:rFonts w:hint="eastAsia" w:ascii="宋体" w:hAnsi="宋体" w:eastAsia="宋体" w:cs="宋体"/>
                <w:color w:val="auto"/>
                <w:sz w:val="21"/>
                <w:szCs w:val="21"/>
                <w:highlight w:val="none"/>
                <w:lang w:eastAsia="zh-CN"/>
              </w:rPr>
              <w:t>类项目</w:t>
            </w:r>
            <w:r>
              <w:rPr>
                <w:rFonts w:hint="eastAsia" w:ascii="宋体" w:hAnsi="宋体" w:eastAsia="宋体" w:cs="宋体"/>
                <w:color w:val="auto"/>
                <w:sz w:val="21"/>
                <w:szCs w:val="21"/>
                <w:highlight w:val="none"/>
              </w:rPr>
              <w:t>业绩</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，每提供</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个得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分，最高得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分。【提供合同或者中标通知书复印件，不提供不予计分】</w:t>
            </w:r>
          </w:p>
        </w:tc>
      </w:tr>
      <w:tr w14:paraId="25275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Merge w:val="continue"/>
            <w:vAlign w:val="center"/>
          </w:tcPr>
          <w:p w14:paraId="1191BC93">
            <w:pPr>
              <w:adjustRightInd w:val="0"/>
              <w:snapToGrid w:val="0"/>
              <w:spacing w:line="360" w:lineRule="auto"/>
              <w:jc w:val="center"/>
              <w:textAlignment w:val="baseline"/>
              <w:rPr>
                <w:rFonts w:hint="eastAsia" w:ascii="宋体" w:hAnsi="宋体" w:eastAsia="宋体" w:cs="宋体"/>
                <w:color w:val="auto"/>
                <w:szCs w:val="21"/>
                <w:highlight w:val="none"/>
              </w:rPr>
            </w:pPr>
          </w:p>
        </w:tc>
        <w:tc>
          <w:tcPr>
            <w:tcW w:w="1470" w:type="dxa"/>
            <w:vAlign w:val="center"/>
          </w:tcPr>
          <w:p w14:paraId="0D48ACC6">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政策分</w:t>
            </w:r>
          </w:p>
          <w:p w14:paraId="1FE324A2">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（满分</w:t>
            </w:r>
            <w:r>
              <w:rPr>
                <w:rFonts w:hint="eastAsia" w:ascii="宋体" w:hAnsi="宋体" w:eastAsia="宋体" w:cs="宋体"/>
                <w:b/>
                <w:bCs/>
                <w:color w:val="auto"/>
                <w:szCs w:val="21"/>
                <w:highlight w:val="none"/>
                <w:u w:val="single"/>
              </w:rPr>
              <w:t>2</w:t>
            </w:r>
            <w:r>
              <w:rPr>
                <w:rFonts w:hint="eastAsia" w:ascii="宋体" w:hAnsi="宋体" w:eastAsia="宋体" w:cs="宋体"/>
                <w:b/>
                <w:bCs/>
                <w:color w:val="auto"/>
                <w:szCs w:val="21"/>
                <w:highlight w:val="none"/>
              </w:rPr>
              <w:t>分）</w:t>
            </w:r>
          </w:p>
          <w:p w14:paraId="4290ABD4">
            <w:pPr>
              <w:spacing w:line="360" w:lineRule="auto"/>
              <w:jc w:val="center"/>
              <w:rPr>
                <w:rFonts w:hint="eastAsia" w:ascii="宋体" w:hAnsi="宋体" w:eastAsia="宋体" w:cs="宋体"/>
                <w:b/>
                <w:bCs/>
                <w:color w:val="auto"/>
                <w:szCs w:val="21"/>
                <w:highlight w:val="none"/>
              </w:rPr>
            </w:pPr>
          </w:p>
        </w:tc>
        <w:tc>
          <w:tcPr>
            <w:tcW w:w="7089" w:type="dxa"/>
            <w:vAlign w:val="center"/>
          </w:tcPr>
          <w:p w14:paraId="6E68BE4E">
            <w:pPr>
              <w:pStyle w:val="25"/>
              <w:spacing w:line="360" w:lineRule="auto"/>
              <w:rPr>
                <w:rFonts w:hint="eastAsia" w:ascii="宋体" w:hAnsi="宋体" w:eastAsia="宋体" w:cs="宋体"/>
                <w:bCs/>
                <w:color w:val="auto"/>
                <w:kern w:val="2"/>
                <w:sz w:val="21"/>
                <w:highlight w:val="none"/>
              </w:rPr>
            </w:pPr>
            <w:r>
              <w:rPr>
                <w:rFonts w:hint="eastAsia" w:ascii="宋体" w:hAnsi="宋体" w:eastAsia="宋体" w:cs="宋体"/>
                <w:bCs/>
                <w:color w:val="auto"/>
                <w:kern w:val="2"/>
                <w:sz w:val="21"/>
                <w:highlight w:val="none"/>
              </w:rPr>
              <w:t>（1）属于财政部《节能产品政府采购品目清单》内优先采购（清单内未标注“★”的品目）的产品[投标文件中提供有效的认证证书复印件及品目清单（标注出投标产品在品目清单中所属的品目），并加盖投标人公章]，根据其所占项目（或者标段）预算金额比例得</w:t>
            </w:r>
            <w:r>
              <w:rPr>
                <w:rFonts w:hint="eastAsia" w:ascii="宋体" w:hAnsi="宋体" w:eastAsia="宋体" w:cs="宋体"/>
                <w:bCs/>
                <w:color w:val="auto"/>
                <w:kern w:val="2"/>
                <w:sz w:val="21"/>
                <w:highlight w:val="none"/>
                <w:u w:val="single"/>
              </w:rPr>
              <w:t>0</w:t>
            </w:r>
            <w:r>
              <w:rPr>
                <w:rFonts w:hint="eastAsia" w:ascii="宋体" w:hAnsi="宋体" w:eastAsia="宋体" w:cs="宋体"/>
                <w:bCs/>
                <w:color w:val="auto"/>
                <w:kern w:val="2"/>
                <w:sz w:val="21"/>
                <w:highlight w:val="none"/>
              </w:rPr>
              <w:t>至</w:t>
            </w:r>
            <w:r>
              <w:rPr>
                <w:rFonts w:hint="eastAsia" w:ascii="宋体" w:hAnsi="宋体" w:eastAsia="宋体" w:cs="宋体"/>
                <w:bCs/>
                <w:color w:val="auto"/>
                <w:kern w:val="2"/>
                <w:sz w:val="21"/>
                <w:highlight w:val="none"/>
                <w:u w:val="single"/>
              </w:rPr>
              <w:t>1</w:t>
            </w:r>
            <w:r>
              <w:rPr>
                <w:rFonts w:hint="eastAsia" w:ascii="宋体" w:hAnsi="宋体" w:eastAsia="宋体" w:cs="宋体"/>
                <w:bCs/>
                <w:color w:val="auto"/>
                <w:kern w:val="2"/>
                <w:sz w:val="21"/>
                <w:highlight w:val="none"/>
              </w:rPr>
              <w:t>分，满分</w:t>
            </w:r>
            <w:r>
              <w:rPr>
                <w:rFonts w:hint="eastAsia" w:ascii="宋体" w:hAnsi="宋体" w:eastAsia="宋体" w:cs="宋体"/>
                <w:bCs/>
                <w:color w:val="auto"/>
                <w:kern w:val="2"/>
                <w:sz w:val="21"/>
                <w:highlight w:val="none"/>
                <w:u w:val="single"/>
              </w:rPr>
              <w:t>1</w:t>
            </w:r>
            <w:r>
              <w:rPr>
                <w:rFonts w:hint="eastAsia" w:ascii="宋体" w:hAnsi="宋体" w:eastAsia="宋体" w:cs="宋体"/>
                <w:bCs/>
                <w:color w:val="auto"/>
                <w:kern w:val="2"/>
                <w:sz w:val="21"/>
                <w:highlight w:val="none"/>
              </w:rPr>
              <w:t>分。</w:t>
            </w:r>
          </w:p>
          <w:p w14:paraId="629B2E5C">
            <w:pPr>
              <w:pStyle w:val="25"/>
              <w:spacing w:line="360" w:lineRule="auto"/>
              <w:rPr>
                <w:rFonts w:hint="eastAsia" w:ascii="宋体" w:hAnsi="宋体" w:eastAsia="宋体" w:cs="宋体"/>
                <w:bCs/>
                <w:color w:val="auto"/>
                <w:kern w:val="2"/>
                <w:sz w:val="21"/>
                <w:highlight w:val="none"/>
              </w:rPr>
            </w:pPr>
            <w:r>
              <w:rPr>
                <w:rFonts w:hint="eastAsia" w:ascii="宋体" w:hAnsi="宋体" w:eastAsia="宋体" w:cs="宋体"/>
                <w:bCs/>
                <w:color w:val="auto"/>
                <w:kern w:val="2"/>
                <w:sz w:val="21"/>
                <w:highlight w:val="none"/>
              </w:rPr>
              <w:t>（2）属于财政部《环境标志产品政府采购品目清单》内的产品[投标文件中提供有效的认证证书复印件及品目清单（标注出投标产品在品目清单中所属的品目），并加盖投标人公章]，根据其所占项目（或者标段）预算金额比例得</w:t>
            </w:r>
            <w:r>
              <w:rPr>
                <w:rFonts w:hint="eastAsia" w:ascii="宋体" w:hAnsi="宋体" w:eastAsia="宋体" w:cs="宋体"/>
                <w:bCs/>
                <w:color w:val="auto"/>
                <w:kern w:val="2"/>
                <w:sz w:val="21"/>
                <w:highlight w:val="none"/>
                <w:u w:val="single"/>
              </w:rPr>
              <w:t>0</w:t>
            </w:r>
            <w:r>
              <w:rPr>
                <w:rFonts w:hint="eastAsia" w:ascii="宋体" w:hAnsi="宋体" w:eastAsia="宋体" w:cs="宋体"/>
                <w:bCs/>
                <w:color w:val="auto"/>
                <w:kern w:val="2"/>
                <w:sz w:val="21"/>
                <w:highlight w:val="none"/>
              </w:rPr>
              <w:t>至</w:t>
            </w:r>
            <w:r>
              <w:rPr>
                <w:rFonts w:hint="eastAsia" w:ascii="宋体" w:hAnsi="宋体" w:eastAsia="宋体" w:cs="宋体"/>
                <w:bCs/>
                <w:color w:val="auto"/>
                <w:kern w:val="2"/>
                <w:sz w:val="21"/>
                <w:highlight w:val="none"/>
                <w:u w:val="single"/>
              </w:rPr>
              <w:t>1</w:t>
            </w:r>
            <w:r>
              <w:rPr>
                <w:rFonts w:hint="eastAsia" w:ascii="宋体" w:hAnsi="宋体" w:eastAsia="宋体" w:cs="宋体"/>
                <w:bCs/>
                <w:color w:val="auto"/>
                <w:kern w:val="2"/>
                <w:sz w:val="21"/>
                <w:highlight w:val="none"/>
              </w:rPr>
              <w:t>分，满分</w:t>
            </w:r>
            <w:r>
              <w:rPr>
                <w:rFonts w:hint="eastAsia" w:ascii="宋体" w:hAnsi="宋体" w:eastAsia="宋体" w:cs="宋体"/>
                <w:bCs/>
                <w:color w:val="auto"/>
                <w:kern w:val="2"/>
                <w:sz w:val="21"/>
                <w:highlight w:val="none"/>
                <w:u w:val="single"/>
              </w:rPr>
              <w:t>1</w:t>
            </w:r>
            <w:r>
              <w:rPr>
                <w:rFonts w:hint="eastAsia" w:ascii="宋体" w:hAnsi="宋体" w:eastAsia="宋体" w:cs="宋体"/>
                <w:bCs/>
                <w:color w:val="auto"/>
                <w:kern w:val="2"/>
                <w:sz w:val="21"/>
                <w:highlight w:val="none"/>
              </w:rPr>
              <w:t>分；</w:t>
            </w:r>
          </w:p>
          <w:p w14:paraId="14319679">
            <w:pPr>
              <w:pStyle w:val="25"/>
              <w:spacing w:line="360" w:lineRule="auto"/>
              <w:rPr>
                <w:rFonts w:hint="eastAsia" w:ascii="宋体" w:hAnsi="宋体" w:eastAsia="宋体" w:cs="宋体"/>
                <w:bCs/>
                <w:color w:val="auto"/>
                <w:kern w:val="2"/>
                <w:sz w:val="21"/>
                <w:highlight w:val="none"/>
              </w:rPr>
            </w:pPr>
            <w:r>
              <w:rPr>
                <w:rFonts w:hint="eastAsia" w:ascii="宋体" w:hAnsi="宋体" w:eastAsia="宋体" w:cs="宋体"/>
                <w:b/>
                <w:bCs/>
                <w:color w:val="auto"/>
                <w:sz w:val="21"/>
                <w:highlight w:val="none"/>
              </w:rPr>
              <w:t>备注：</w:t>
            </w:r>
            <w:r>
              <w:rPr>
                <w:rFonts w:hint="eastAsia" w:ascii="宋体" w:hAnsi="宋体" w:eastAsia="宋体" w:cs="宋体"/>
                <w:bCs/>
                <w:color w:val="auto"/>
                <w:sz w:val="21"/>
                <w:highlight w:val="none"/>
              </w:rPr>
              <w:t>以上（1）、（2）分值计算公式列举说明，如某投标人属于优先采购环境标志产品总值占本投标报价的比例为35.6%，那该项得分为1×0.356=0.356分；</w:t>
            </w:r>
          </w:p>
          <w:p w14:paraId="42E863FE">
            <w:pPr>
              <w:pStyle w:val="25"/>
              <w:spacing w:line="360" w:lineRule="auto"/>
              <w:rPr>
                <w:rFonts w:hint="eastAsia" w:ascii="宋体" w:hAnsi="宋体" w:eastAsia="宋体" w:cs="宋体"/>
                <w:color w:val="auto"/>
                <w:sz w:val="21"/>
                <w:highlight w:val="none"/>
              </w:rPr>
            </w:pPr>
            <w:r>
              <w:rPr>
                <w:rFonts w:hint="eastAsia" w:ascii="宋体" w:hAnsi="宋体" w:eastAsia="宋体" w:cs="宋体"/>
                <w:bCs/>
                <w:color w:val="auto"/>
                <w:kern w:val="2"/>
                <w:sz w:val="21"/>
                <w:highlight w:val="none"/>
              </w:rPr>
              <w:t>（3）非节能、环境标志产品的不得分。</w:t>
            </w:r>
          </w:p>
        </w:tc>
      </w:tr>
      <w:tr w14:paraId="296D5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9455" w:type="dxa"/>
            <w:gridSpan w:val="3"/>
            <w:vAlign w:val="center"/>
          </w:tcPr>
          <w:p w14:paraId="2A7ACB46">
            <w:pPr>
              <w:pStyle w:val="25"/>
              <w:snapToGrid w:val="0"/>
              <w:spacing w:line="360" w:lineRule="auto"/>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总得分=1+2+3</w:t>
            </w:r>
          </w:p>
        </w:tc>
      </w:tr>
    </w:tbl>
    <w:p w14:paraId="60973947">
      <w:pPr>
        <w:pStyle w:val="25"/>
        <w:spacing w:line="360" w:lineRule="auto"/>
        <w:rPr>
          <w:rFonts w:hAnsi="宋体" w:cs="宋体"/>
          <w:color w:val="auto"/>
          <w:sz w:val="30"/>
          <w:szCs w:val="30"/>
          <w:highlight w:val="none"/>
        </w:rPr>
      </w:pPr>
    </w:p>
    <w:p w14:paraId="66E892D1">
      <w:pPr>
        <w:pStyle w:val="25"/>
        <w:spacing w:line="360" w:lineRule="auto"/>
        <w:rPr>
          <w:rFonts w:hAnsi="宋体" w:cs="宋体"/>
          <w:color w:val="auto"/>
          <w:sz w:val="30"/>
          <w:szCs w:val="30"/>
          <w:highlight w:val="none"/>
        </w:rPr>
      </w:pPr>
      <w:r>
        <w:rPr>
          <w:rFonts w:hint="eastAsia" w:hAnsi="宋体" w:cs="宋体"/>
          <w:color w:val="auto"/>
          <w:sz w:val="30"/>
          <w:szCs w:val="30"/>
          <w:highlight w:val="none"/>
        </w:rPr>
        <w:t>四、中标候选人推荐原则</w:t>
      </w:r>
    </w:p>
    <w:p w14:paraId="1008C4A8">
      <w:pPr>
        <w:pStyle w:val="25"/>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1.评标委员会根据原始评标记录和评标结果编写评标报告，并通过电子交易平台向采购人、采购代理机构提交。</w:t>
      </w:r>
    </w:p>
    <w:p w14:paraId="5101A97E">
      <w:pPr>
        <w:pStyle w:val="25"/>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2.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p w14:paraId="6F5A66B8">
      <w:pPr>
        <w:pStyle w:val="4"/>
        <w:keepNext w:val="0"/>
        <w:keepLines w:val="0"/>
        <w:jc w:val="center"/>
        <w:rPr>
          <w:rFonts w:ascii="宋体" w:hAnsi="宋体" w:cs="宋体"/>
          <w:color w:val="auto"/>
          <w:sz w:val="21"/>
          <w:highlight w:val="none"/>
        </w:rPr>
      </w:pPr>
      <w:r>
        <w:rPr>
          <w:rFonts w:hint="eastAsia" w:ascii="宋体" w:hAnsi="宋体" w:cs="宋体"/>
          <w:b w:val="0"/>
          <w:color w:val="auto"/>
          <w:sz w:val="24"/>
          <w:highlight w:val="none"/>
        </w:rPr>
        <w:br w:type="page"/>
      </w:r>
    </w:p>
    <w:p w14:paraId="187E4D49">
      <w:pPr>
        <w:spacing w:beforeLines="50" w:afterLines="50" w:line="400" w:lineRule="exact"/>
        <w:rPr>
          <w:rFonts w:ascii="宋体" w:hAnsi="宋体" w:cs="宋体"/>
          <w:b/>
          <w:color w:val="auto"/>
          <w:sz w:val="24"/>
          <w:highlight w:val="none"/>
        </w:rPr>
      </w:pPr>
    </w:p>
    <w:p w14:paraId="7E748BE4">
      <w:pPr>
        <w:spacing w:beforeLines="50" w:afterLines="50" w:line="400" w:lineRule="exact"/>
        <w:rPr>
          <w:rFonts w:ascii="宋体" w:hAnsi="宋体" w:cs="宋体"/>
          <w:b/>
          <w:color w:val="auto"/>
          <w:sz w:val="24"/>
          <w:highlight w:val="none"/>
        </w:rPr>
      </w:pPr>
    </w:p>
    <w:p w14:paraId="1EA4C60B">
      <w:pPr>
        <w:spacing w:beforeLines="50" w:afterLines="50" w:line="400" w:lineRule="exact"/>
        <w:rPr>
          <w:rFonts w:ascii="宋体" w:hAnsi="宋体" w:cs="宋体"/>
          <w:b/>
          <w:color w:val="auto"/>
          <w:sz w:val="24"/>
          <w:highlight w:val="none"/>
        </w:rPr>
      </w:pPr>
    </w:p>
    <w:p w14:paraId="44E8DDE4">
      <w:pPr>
        <w:spacing w:beforeLines="50" w:afterLines="50" w:line="400" w:lineRule="exact"/>
        <w:rPr>
          <w:rFonts w:ascii="宋体" w:hAnsi="宋体" w:cs="宋体"/>
          <w:b/>
          <w:color w:val="auto"/>
          <w:sz w:val="24"/>
          <w:highlight w:val="none"/>
        </w:rPr>
      </w:pPr>
    </w:p>
    <w:p w14:paraId="75A5A609">
      <w:pPr>
        <w:spacing w:beforeLines="50" w:afterLines="50" w:line="400" w:lineRule="exact"/>
        <w:rPr>
          <w:rFonts w:ascii="宋体" w:hAnsi="宋体" w:cs="宋体"/>
          <w:b/>
          <w:color w:val="auto"/>
          <w:sz w:val="24"/>
          <w:highlight w:val="none"/>
        </w:rPr>
      </w:pPr>
    </w:p>
    <w:p w14:paraId="4E5FFED7">
      <w:pPr>
        <w:spacing w:beforeLines="50" w:afterLines="50" w:line="400" w:lineRule="exact"/>
        <w:rPr>
          <w:rFonts w:ascii="宋体" w:hAnsi="宋体" w:cs="宋体"/>
          <w:b/>
          <w:color w:val="auto"/>
          <w:sz w:val="24"/>
          <w:highlight w:val="none"/>
        </w:rPr>
      </w:pPr>
    </w:p>
    <w:p w14:paraId="16533BFB">
      <w:pPr>
        <w:spacing w:beforeLines="50" w:afterLines="50" w:line="400" w:lineRule="exact"/>
        <w:rPr>
          <w:rFonts w:ascii="宋体" w:hAnsi="宋体" w:cs="宋体"/>
          <w:b/>
          <w:color w:val="auto"/>
          <w:sz w:val="24"/>
          <w:highlight w:val="none"/>
        </w:rPr>
      </w:pPr>
    </w:p>
    <w:p w14:paraId="40B3BE51">
      <w:pPr>
        <w:spacing w:beforeLines="50" w:afterLines="50" w:line="400" w:lineRule="exact"/>
        <w:rPr>
          <w:rFonts w:ascii="宋体" w:hAnsi="宋体" w:cs="宋体"/>
          <w:b/>
          <w:color w:val="auto"/>
          <w:sz w:val="24"/>
          <w:highlight w:val="none"/>
        </w:rPr>
      </w:pPr>
    </w:p>
    <w:p w14:paraId="409A6636">
      <w:pPr>
        <w:spacing w:beforeLines="50" w:afterLines="50" w:line="400" w:lineRule="exact"/>
        <w:rPr>
          <w:rFonts w:ascii="宋体" w:hAnsi="宋体" w:cs="宋体"/>
          <w:b/>
          <w:color w:val="auto"/>
          <w:sz w:val="24"/>
          <w:highlight w:val="none"/>
        </w:rPr>
      </w:pPr>
    </w:p>
    <w:p w14:paraId="3A939C89">
      <w:pPr>
        <w:spacing w:beforeLines="50" w:afterLines="50" w:line="400" w:lineRule="exact"/>
        <w:rPr>
          <w:rFonts w:ascii="宋体" w:hAnsi="宋体" w:cs="宋体"/>
          <w:b/>
          <w:color w:val="auto"/>
          <w:sz w:val="24"/>
          <w:highlight w:val="none"/>
        </w:rPr>
      </w:pPr>
    </w:p>
    <w:p w14:paraId="184D3359">
      <w:pPr>
        <w:spacing w:beforeLines="50" w:afterLines="50" w:line="400" w:lineRule="exact"/>
        <w:rPr>
          <w:rFonts w:ascii="宋体" w:hAnsi="宋体" w:cs="宋体"/>
          <w:b/>
          <w:color w:val="auto"/>
          <w:sz w:val="24"/>
          <w:highlight w:val="none"/>
        </w:rPr>
      </w:pPr>
    </w:p>
    <w:p w14:paraId="62C97395">
      <w:pPr>
        <w:pStyle w:val="2"/>
        <w:jc w:val="center"/>
        <w:rPr>
          <w:rFonts w:ascii="宋体" w:hAnsi="宋体" w:cs="宋体"/>
          <w:color w:val="auto"/>
          <w:highlight w:val="none"/>
        </w:rPr>
      </w:pPr>
      <w:bookmarkStart w:id="138" w:name="_Toc25250"/>
      <w:r>
        <w:rPr>
          <w:rFonts w:hint="eastAsia" w:ascii="宋体" w:hAnsi="宋体" w:cs="宋体"/>
          <w:color w:val="auto"/>
          <w:highlight w:val="none"/>
        </w:rPr>
        <w:t>第五章  拟签订的合同文本</w:t>
      </w:r>
      <w:bookmarkEnd w:id="138"/>
    </w:p>
    <w:p w14:paraId="2AE93170">
      <w:pPr>
        <w:snapToGrid w:val="0"/>
        <w:jc w:val="center"/>
        <w:rPr>
          <w:rFonts w:ascii="宋体" w:hAnsi="宋体" w:cs="宋体"/>
          <w:bCs/>
          <w:color w:val="auto"/>
          <w:sz w:val="32"/>
          <w:szCs w:val="32"/>
          <w:highlight w:val="none"/>
        </w:rPr>
      </w:pPr>
    </w:p>
    <w:p w14:paraId="443F3FA7">
      <w:pPr>
        <w:snapToGrid w:val="0"/>
        <w:jc w:val="center"/>
        <w:rPr>
          <w:rFonts w:ascii="宋体" w:hAnsi="宋体" w:cs="宋体"/>
          <w:bCs/>
          <w:color w:val="auto"/>
          <w:sz w:val="32"/>
          <w:szCs w:val="32"/>
          <w:highlight w:val="none"/>
        </w:rPr>
      </w:pPr>
    </w:p>
    <w:p w14:paraId="4FF60BD6">
      <w:pPr>
        <w:snapToGrid w:val="0"/>
        <w:jc w:val="center"/>
        <w:rPr>
          <w:rFonts w:ascii="宋体" w:hAnsi="宋体" w:cs="宋体"/>
          <w:bCs/>
          <w:color w:val="auto"/>
          <w:sz w:val="32"/>
          <w:szCs w:val="32"/>
          <w:highlight w:val="none"/>
        </w:rPr>
      </w:pPr>
    </w:p>
    <w:p w14:paraId="5C821FD2">
      <w:pPr>
        <w:snapToGrid w:val="0"/>
        <w:jc w:val="center"/>
        <w:rPr>
          <w:rFonts w:ascii="宋体" w:hAnsi="宋体" w:cs="宋体"/>
          <w:bCs/>
          <w:color w:val="auto"/>
          <w:sz w:val="32"/>
          <w:szCs w:val="32"/>
          <w:highlight w:val="none"/>
        </w:rPr>
      </w:pPr>
    </w:p>
    <w:p w14:paraId="382AB69E">
      <w:pPr>
        <w:snapToGrid w:val="0"/>
        <w:jc w:val="center"/>
        <w:rPr>
          <w:rFonts w:ascii="宋体" w:hAnsi="宋体" w:cs="宋体"/>
          <w:bCs/>
          <w:color w:val="auto"/>
          <w:sz w:val="32"/>
          <w:szCs w:val="32"/>
          <w:highlight w:val="none"/>
        </w:rPr>
      </w:pPr>
    </w:p>
    <w:p w14:paraId="7CD2EFE1">
      <w:pPr>
        <w:snapToGrid w:val="0"/>
        <w:jc w:val="center"/>
        <w:rPr>
          <w:rFonts w:ascii="宋体" w:hAnsi="宋体" w:cs="宋体"/>
          <w:bCs/>
          <w:color w:val="auto"/>
          <w:sz w:val="32"/>
          <w:szCs w:val="32"/>
          <w:highlight w:val="none"/>
        </w:rPr>
      </w:pPr>
    </w:p>
    <w:p w14:paraId="1AF45265">
      <w:pPr>
        <w:snapToGrid w:val="0"/>
        <w:jc w:val="center"/>
        <w:rPr>
          <w:rFonts w:ascii="宋体" w:hAnsi="宋体" w:cs="宋体"/>
          <w:bCs/>
          <w:color w:val="auto"/>
          <w:sz w:val="32"/>
          <w:szCs w:val="32"/>
          <w:highlight w:val="none"/>
        </w:rPr>
      </w:pPr>
    </w:p>
    <w:p w14:paraId="0E5EF3B0">
      <w:pPr>
        <w:snapToGrid w:val="0"/>
        <w:jc w:val="center"/>
        <w:rPr>
          <w:rFonts w:ascii="宋体" w:hAnsi="宋体" w:cs="宋体"/>
          <w:bCs/>
          <w:color w:val="auto"/>
          <w:sz w:val="32"/>
          <w:szCs w:val="32"/>
          <w:highlight w:val="none"/>
        </w:rPr>
      </w:pPr>
    </w:p>
    <w:p w14:paraId="7D74D29F">
      <w:pPr>
        <w:snapToGrid w:val="0"/>
        <w:jc w:val="center"/>
        <w:rPr>
          <w:rFonts w:ascii="宋体" w:hAnsi="宋体" w:cs="宋体"/>
          <w:bCs/>
          <w:color w:val="auto"/>
          <w:sz w:val="32"/>
          <w:szCs w:val="32"/>
          <w:highlight w:val="none"/>
        </w:rPr>
      </w:pPr>
    </w:p>
    <w:p w14:paraId="3F3C449F">
      <w:pPr>
        <w:snapToGrid w:val="0"/>
        <w:jc w:val="center"/>
        <w:rPr>
          <w:rFonts w:ascii="宋体" w:hAnsi="宋体" w:cs="宋体"/>
          <w:bCs/>
          <w:color w:val="auto"/>
          <w:sz w:val="32"/>
          <w:szCs w:val="32"/>
          <w:highlight w:val="none"/>
        </w:rPr>
      </w:pPr>
    </w:p>
    <w:p w14:paraId="0C657514">
      <w:pPr>
        <w:snapToGrid w:val="0"/>
        <w:jc w:val="center"/>
        <w:rPr>
          <w:rFonts w:ascii="宋体" w:hAnsi="宋体" w:cs="宋体"/>
          <w:bCs/>
          <w:color w:val="auto"/>
          <w:sz w:val="32"/>
          <w:szCs w:val="32"/>
          <w:highlight w:val="none"/>
        </w:rPr>
      </w:pPr>
    </w:p>
    <w:p w14:paraId="0A090EAC">
      <w:pPr>
        <w:jc w:val="center"/>
        <w:rPr>
          <w:rFonts w:ascii="宋体" w:hAnsi="宋体" w:cs="宋体"/>
          <w:b/>
          <w:color w:val="auto"/>
          <w:sz w:val="32"/>
          <w:szCs w:val="32"/>
          <w:highlight w:val="none"/>
        </w:rPr>
      </w:pPr>
      <w:r>
        <w:rPr>
          <w:rFonts w:hint="eastAsia" w:ascii="宋体" w:hAnsi="宋体" w:cs="宋体"/>
          <w:bCs/>
          <w:color w:val="auto"/>
          <w:highlight w:val="none"/>
        </w:rPr>
        <w:br w:type="page"/>
      </w:r>
    </w:p>
    <w:p w14:paraId="73DFEB14">
      <w:pPr>
        <w:snapToGrid w:val="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政府采购合同</w:t>
      </w:r>
    </w:p>
    <w:p w14:paraId="0CC30E6F">
      <w:pPr>
        <w:snapToGrid w:val="0"/>
        <w:spacing w:before="120" w:after="120"/>
        <w:jc w:val="left"/>
        <w:outlineLvl w:val="0"/>
        <w:rPr>
          <w:rFonts w:ascii="宋体" w:hAnsi="宋体" w:cs="宋体"/>
          <w:b/>
          <w:bCs/>
          <w:color w:val="auto"/>
          <w:szCs w:val="21"/>
          <w:highlight w:val="none"/>
        </w:rPr>
      </w:pPr>
      <w:r>
        <w:rPr>
          <w:rFonts w:hint="eastAsia" w:ascii="宋体" w:hAnsi="宋体" w:cs="宋体"/>
          <w:b/>
          <w:bCs/>
          <w:color w:val="auto"/>
          <w:szCs w:val="21"/>
          <w:highlight w:val="none"/>
        </w:rPr>
        <w:t>项目编号：</w:t>
      </w:r>
    </w:p>
    <w:p w14:paraId="37C16255">
      <w:pPr>
        <w:wordWrap w:val="0"/>
        <w:spacing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项目名称：</w:t>
      </w:r>
    </w:p>
    <w:p w14:paraId="3FE037EC">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合同签订地点：广西梧州市 </w:t>
      </w:r>
    </w:p>
    <w:p w14:paraId="7FF902FF">
      <w:pPr>
        <w:spacing w:line="360" w:lineRule="auto"/>
        <w:rPr>
          <w:rFonts w:ascii="宋体" w:hAnsi="宋体" w:cs="宋体"/>
          <w:color w:val="auto"/>
          <w:szCs w:val="21"/>
          <w:highlight w:val="none"/>
        </w:rPr>
      </w:pPr>
      <w:r>
        <w:rPr>
          <w:rFonts w:hint="eastAsia" w:ascii="宋体" w:hAnsi="宋体" w:cs="宋体"/>
          <w:color w:val="auto"/>
          <w:szCs w:val="21"/>
          <w:highlight w:val="none"/>
        </w:rPr>
        <w:t>合同签订日期：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7B52C1AC">
      <w:pPr>
        <w:spacing w:line="360" w:lineRule="auto"/>
        <w:rPr>
          <w:rFonts w:ascii="宋体" w:hAnsi="宋体" w:cs="宋体"/>
          <w:color w:val="auto"/>
          <w:szCs w:val="21"/>
          <w:highlight w:val="none"/>
        </w:rPr>
      </w:pPr>
    </w:p>
    <w:p w14:paraId="64E91585">
      <w:pPr>
        <w:spacing w:line="360" w:lineRule="auto"/>
        <w:rPr>
          <w:rFonts w:ascii="宋体" w:hAnsi="宋体" w:cs="宋体"/>
          <w:color w:val="auto"/>
          <w:szCs w:val="21"/>
          <w:highlight w:val="none"/>
        </w:rPr>
      </w:pPr>
      <w:r>
        <w:rPr>
          <w:rFonts w:hint="eastAsia" w:ascii="宋体" w:hAnsi="宋体" w:cs="宋体"/>
          <w:color w:val="auto"/>
          <w:szCs w:val="21"/>
          <w:highlight w:val="none"/>
        </w:rPr>
        <w:t>甲方（采购人）：</w:t>
      </w:r>
      <w:r>
        <w:rPr>
          <w:rFonts w:hint="eastAsia" w:ascii="宋体" w:hAnsi="宋体" w:cs="宋体"/>
          <w:color w:val="auto"/>
          <w:szCs w:val="21"/>
          <w:highlight w:val="none"/>
          <w:u w:val="single"/>
        </w:rPr>
        <w:t xml:space="preserve"> 苍梧县人民医院   </w:t>
      </w:r>
    </w:p>
    <w:p w14:paraId="390F6C26">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乙方（中标供应商）：</w:t>
      </w:r>
      <w:r>
        <w:rPr>
          <w:rFonts w:hint="eastAsia" w:ascii="宋体" w:hAnsi="宋体" w:cs="宋体"/>
          <w:color w:val="auto"/>
          <w:szCs w:val="21"/>
          <w:highlight w:val="none"/>
          <w:u w:val="single"/>
        </w:rPr>
        <w:t xml:space="preserve">                   </w:t>
      </w:r>
    </w:p>
    <w:p w14:paraId="5DE98D9A">
      <w:pPr>
        <w:spacing w:line="360" w:lineRule="auto"/>
        <w:ind w:firstLine="360"/>
        <w:rPr>
          <w:rFonts w:ascii="宋体" w:hAnsi="宋体" w:cs="宋体"/>
          <w:color w:val="auto"/>
          <w:szCs w:val="21"/>
          <w:highlight w:val="none"/>
        </w:rPr>
      </w:pPr>
      <w:r>
        <w:rPr>
          <w:rFonts w:hint="eastAsia" w:ascii="宋体" w:hAnsi="宋体" w:cs="宋体"/>
          <w:color w:val="auto"/>
          <w:szCs w:val="21"/>
          <w:highlight w:val="none"/>
        </w:rPr>
        <w:t>根据</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日广西海川工程咨询有限公司签发的（</w:t>
      </w:r>
      <w:r>
        <w:rPr>
          <w:rFonts w:hint="eastAsia" w:ascii="宋体" w:hAnsi="宋体" w:cs="宋体"/>
          <w:color w:val="auto"/>
          <w:szCs w:val="21"/>
          <w:highlight w:val="none"/>
          <w:u w:val="single"/>
        </w:rPr>
        <w:t>项目名称及项目编号</w:t>
      </w:r>
      <w:r>
        <w:rPr>
          <w:rFonts w:hint="eastAsia" w:ascii="宋体" w:hAnsi="宋体" w:cs="宋体"/>
          <w:color w:val="auto"/>
          <w:szCs w:val="21"/>
          <w:highlight w:val="none"/>
        </w:rPr>
        <w:t>）中标通知书，甲方接受乙方对本项目的投标，甲、乙双方同意签署本合同（以下简称合同），中标通知书、招标文件及补充、投标文件及澄清为本合同不可分割的部分并与本合同具有同等效力。</w:t>
      </w:r>
    </w:p>
    <w:p w14:paraId="55E26F68">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1.  采购内容</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1726"/>
        <w:gridCol w:w="1725"/>
        <w:gridCol w:w="1692"/>
        <w:gridCol w:w="1692"/>
      </w:tblGrid>
      <w:tr w14:paraId="0621D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Align w:val="center"/>
          </w:tcPr>
          <w:p w14:paraId="25537F8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货物名称</w:t>
            </w:r>
          </w:p>
        </w:tc>
        <w:tc>
          <w:tcPr>
            <w:tcW w:w="1927" w:type="dxa"/>
            <w:vAlign w:val="center"/>
          </w:tcPr>
          <w:p w14:paraId="4BA2066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数量（单位）</w:t>
            </w:r>
          </w:p>
        </w:tc>
        <w:tc>
          <w:tcPr>
            <w:tcW w:w="1925" w:type="dxa"/>
            <w:vAlign w:val="center"/>
          </w:tcPr>
          <w:p w14:paraId="5DABEDBD">
            <w:pPr>
              <w:jc w:val="center"/>
              <w:rPr>
                <w:rFonts w:ascii="宋体" w:hAnsi="宋体" w:cs="宋体"/>
                <w:color w:val="auto"/>
                <w:szCs w:val="21"/>
                <w:highlight w:val="none"/>
              </w:rPr>
            </w:pPr>
            <w:r>
              <w:rPr>
                <w:rFonts w:hint="eastAsia" w:ascii="宋体" w:hAnsi="宋体" w:cs="宋体"/>
                <w:color w:val="auto"/>
                <w:szCs w:val="21"/>
                <w:highlight w:val="none"/>
              </w:rPr>
              <w:t>品牌、厂家、型号、规格</w:t>
            </w:r>
          </w:p>
        </w:tc>
        <w:tc>
          <w:tcPr>
            <w:tcW w:w="1925" w:type="dxa"/>
            <w:vAlign w:val="center"/>
          </w:tcPr>
          <w:p w14:paraId="715E732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技术参数</w:t>
            </w:r>
          </w:p>
        </w:tc>
        <w:tc>
          <w:tcPr>
            <w:tcW w:w="1925" w:type="dxa"/>
            <w:vAlign w:val="center"/>
          </w:tcPr>
          <w:p w14:paraId="4ECB1E9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金额</w:t>
            </w:r>
          </w:p>
        </w:tc>
      </w:tr>
      <w:tr w14:paraId="1F4E6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Align w:val="center"/>
          </w:tcPr>
          <w:p w14:paraId="03D37802">
            <w:pPr>
              <w:spacing w:line="360" w:lineRule="auto"/>
              <w:ind w:firstLine="480"/>
              <w:jc w:val="center"/>
              <w:rPr>
                <w:rFonts w:ascii="宋体" w:hAnsi="宋体" w:cs="宋体"/>
                <w:color w:val="auto"/>
                <w:szCs w:val="21"/>
                <w:highlight w:val="none"/>
              </w:rPr>
            </w:pPr>
          </w:p>
        </w:tc>
        <w:tc>
          <w:tcPr>
            <w:tcW w:w="1927" w:type="dxa"/>
            <w:vAlign w:val="center"/>
          </w:tcPr>
          <w:p w14:paraId="017CD2E9">
            <w:pPr>
              <w:spacing w:line="360" w:lineRule="auto"/>
              <w:jc w:val="center"/>
              <w:rPr>
                <w:rFonts w:ascii="宋体" w:hAnsi="宋体" w:cs="宋体"/>
                <w:color w:val="auto"/>
                <w:szCs w:val="21"/>
                <w:highlight w:val="none"/>
              </w:rPr>
            </w:pPr>
          </w:p>
        </w:tc>
        <w:tc>
          <w:tcPr>
            <w:tcW w:w="1925" w:type="dxa"/>
            <w:vAlign w:val="center"/>
          </w:tcPr>
          <w:p w14:paraId="4662380B">
            <w:pPr>
              <w:spacing w:line="360" w:lineRule="auto"/>
              <w:jc w:val="center"/>
              <w:rPr>
                <w:rFonts w:ascii="宋体" w:hAnsi="宋体" w:cs="宋体"/>
                <w:color w:val="auto"/>
                <w:szCs w:val="21"/>
                <w:highlight w:val="none"/>
              </w:rPr>
            </w:pPr>
          </w:p>
        </w:tc>
        <w:tc>
          <w:tcPr>
            <w:tcW w:w="1925" w:type="dxa"/>
            <w:vAlign w:val="center"/>
          </w:tcPr>
          <w:p w14:paraId="1DE04B66">
            <w:pPr>
              <w:spacing w:line="360" w:lineRule="auto"/>
              <w:jc w:val="center"/>
              <w:rPr>
                <w:rFonts w:ascii="宋体" w:hAnsi="宋体" w:cs="宋体"/>
                <w:color w:val="auto"/>
                <w:szCs w:val="21"/>
                <w:highlight w:val="none"/>
              </w:rPr>
            </w:pPr>
          </w:p>
        </w:tc>
        <w:tc>
          <w:tcPr>
            <w:tcW w:w="1925" w:type="dxa"/>
            <w:vAlign w:val="center"/>
          </w:tcPr>
          <w:p w14:paraId="2D770293">
            <w:pPr>
              <w:spacing w:line="360" w:lineRule="auto"/>
              <w:ind w:firstLine="480"/>
              <w:jc w:val="center"/>
              <w:rPr>
                <w:rFonts w:ascii="宋体" w:hAnsi="宋体" w:cs="宋体"/>
                <w:color w:val="auto"/>
                <w:szCs w:val="21"/>
                <w:highlight w:val="none"/>
              </w:rPr>
            </w:pPr>
          </w:p>
        </w:tc>
      </w:tr>
    </w:tbl>
    <w:p w14:paraId="692A8725">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2.  合同金额</w:t>
      </w:r>
    </w:p>
    <w:p w14:paraId="2BC56C1A">
      <w:pPr>
        <w:spacing w:line="360" w:lineRule="auto"/>
        <w:ind w:left="2" w:firstLine="359" w:firstLineChars="171"/>
        <w:rPr>
          <w:rFonts w:ascii="宋体" w:hAnsi="宋体" w:cs="宋体"/>
          <w:color w:val="auto"/>
          <w:szCs w:val="21"/>
          <w:highlight w:val="none"/>
        </w:rPr>
      </w:pPr>
      <w:r>
        <w:rPr>
          <w:rFonts w:hint="eastAsia" w:ascii="宋体" w:hAnsi="宋体" w:cs="宋体"/>
          <w:bCs/>
          <w:color w:val="auto"/>
          <w:szCs w:val="21"/>
          <w:highlight w:val="none"/>
        </w:rPr>
        <w:t>2.1 本合同金额</w:t>
      </w:r>
      <w:r>
        <w:rPr>
          <w:rFonts w:hint="eastAsia" w:ascii="宋体" w:hAnsi="宋体" w:cs="宋体"/>
          <w:color w:val="auto"/>
          <w:szCs w:val="21"/>
          <w:highlight w:val="none"/>
        </w:rPr>
        <w:t>为人民币（大写）：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u w:val="single"/>
        </w:rPr>
        <w:t>　　　　　　</w:t>
      </w:r>
      <w:r>
        <w:rPr>
          <w:rFonts w:hint="eastAsia" w:ascii="宋体" w:hAnsi="宋体" w:cs="宋体"/>
          <w:color w:val="auto"/>
          <w:szCs w:val="21"/>
          <w:highlight w:val="none"/>
        </w:rPr>
        <w:t>）。包含货物采购、制造、改造、包装、运输、劳务、管理、利润、税金、保险、协调、装卸、调试、培训、医院现有信息平台接口费用（如有）、第三方检测验收费用（如有）、承诺售后服务期限内售后服务费用以及相关文件规定及合同包含的所有风险、责任等各项应有费用。</w:t>
      </w:r>
    </w:p>
    <w:p w14:paraId="7FB6E14D">
      <w:pPr>
        <w:tabs>
          <w:tab w:val="left" w:pos="5940"/>
        </w:tabs>
        <w:spacing w:line="360" w:lineRule="auto"/>
        <w:rPr>
          <w:rFonts w:ascii="宋体" w:hAnsi="宋体" w:cs="宋体"/>
          <w:b/>
          <w:bCs/>
          <w:color w:val="auto"/>
          <w:szCs w:val="21"/>
          <w:highlight w:val="none"/>
        </w:rPr>
      </w:pPr>
      <w:r>
        <w:rPr>
          <w:rFonts w:hint="eastAsia" w:ascii="宋体" w:hAnsi="宋体" w:cs="宋体"/>
          <w:b/>
          <w:bCs/>
          <w:color w:val="auto"/>
          <w:szCs w:val="21"/>
          <w:highlight w:val="none"/>
        </w:rPr>
        <w:t>3.  交货要求</w:t>
      </w:r>
    </w:p>
    <w:p w14:paraId="436E2FC8">
      <w:pPr>
        <w:tabs>
          <w:tab w:val="left" w:pos="5220"/>
        </w:tabs>
        <w:spacing w:line="360" w:lineRule="auto"/>
        <w:ind w:firstLine="420"/>
        <w:rPr>
          <w:rFonts w:ascii="宋体" w:hAnsi="宋体" w:cs="宋体"/>
          <w:bCs/>
          <w:color w:val="auto"/>
          <w:szCs w:val="21"/>
          <w:highlight w:val="none"/>
        </w:rPr>
      </w:pPr>
      <w:r>
        <w:rPr>
          <w:rFonts w:hint="eastAsia" w:ascii="宋体" w:hAnsi="宋体" w:cs="宋体"/>
          <w:bCs/>
          <w:color w:val="auto"/>
          <w:szCs w:val="21"/>
          <w:highlight w:val="none"/>
        </w:rPr>
        <w:t>3.1 交货时间：</w:t>
      </w:r>
      <w:r>
        <w:rPr>
          <w:rFonts w:hint="eastAsia" w:ascii="宋体" w:hAnsi="宋体" w:cs="宋体"/>
          <w:color w:val="auto"/>
          <w:szCs w:val="21"/>
          <w:highlight w:val="none"/>
        </w:rPr>
        <w:t>签订合同即日起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日内完成安装、调试、培训工作</w:t>
      </w:r>
    </w:p>
    <w:p w14:paraId="2F7806F5">
      <w:pPr>
        <w:spacing w:line="360" w:lineRule="auto"/>
        <w:ind w:firstLine="420"/>
        <w:rPr>
          <w:rFonts w:ascii="宋体" w:hAnsi="宋体" w:cs="宋体"/>
          <w:bCs/>
          <w:color w:val="auto"/>
          <w:szCs w:val="21"/>
          <w:highlight w:val="none"/>
        </w:rPr>
      </w:pPr>
      <w:r>
        <w:rPr>
          <w:rFonts w:hint="eastAsia" w:ascii="宋体" w:hAnsi="宋体" w:cs="宋体"/>
          <w:bCs/>
          <w:color w:val="auto"/>
          <w:szCs w:val="21"/>
          <w:highlight w:val="none"/>
        </w:rPr>
        <w:t>3.2 交货地点：</w:t>
      </w:r>
      <w:r>
        <w:rPr>
          <w:rFonts w:hint="eastAsia" w:ascii="宋体" w:hAnsi="宋体" w:cs="宋体"/>
          <w:color w:val="auto"/>
          <w:szCs w:val="21"/>
          <w:highlight w:val="none"/>
        </w:rPr>
        <w:t>采购人指定地点</w:t>
      </w:r>
    </w:p>
    <w:p w14:paraId="00C9B705">
      <w:pPr>
        <w:tabs>
          <w:tab w:val="left" w:pos="5220"/>
          <w:tab w:val="left" w:pos="6120"/>
        </w:tabs>
        <w:spacing w:line="360" w:lineRule="auto"/>
        <w:ind w:firstLine="420"/>
        <w:rPr>
          <w:rFonts w:ascii="宋体" w:hAnsi="宋体" w:cs="宋体"/>
          <w:bCs/>
          <w:color w:val="auto"/>
          <w:szCs w:val="21"/>
          <w:highlight w:val="none"/>
        </w:rPr>
      </w:pPr>
      <w:r>
        <w:rPr>
          <w:rFonts w:hint="eastAsia" w:ascii="宋体" w:hAnsi="宋体" w:cs="宋体"/>
          <w:bCs/>
          <w:color w:val="auto"/>
          <w:szCs w:val="21"/>
          <w:highlight w:val="none"/>
        </w:rPr>
        <w:t>3.3 交货方式：</w:t>
      </w:r>
      <w:r>
        <w:rPr>
          <w:rFonts w:hint="eastAsia" w:ascii="宋体" w:hAnsi="宋体" w:cs="宋体"/>
          <w:color w:val="auto"/>
          <w:szCs w:val="21"/>
          <w:highlight w:val="none"/>
        </w:rPr>
        <w:t>现场安装调试</w:t>
      </w:r>
    </w:p>
    <w:p w14:paraId="241B6D3D">
      <w:pPr>
        <w:spacing w:line="360" w:lineRule="auto"/>
        <w:ind w:firstLine="420"/>
        <w:rPr>
          <w:rFonts w:ascii="宋体" w:hAnsi="宋体" w:cs="宋体"/>
          <w:b/>
          <w:color w:val="auto"/>
          <w:szCs w:val="21"/>
          <w:highlight w:val="none"/>
        </w:rPr>
      </w:pPr>
      <w:r>
        <w:rPr>
          <w:rFonts w:hint="eastAsia" w:ascii="宋体" w:hAnsi="宋体" w:cs="宋体"/>
          <w:bCs/>
          <w:color w:val="auto"/>
          <w:szCs w:val="21"/>
          <w:highlight w:val="none"/>
        </w:rPr>
        <w:t xml:space="preserve">3.4 </w:t>
      </w:r>
      <w:r>
        <w:rPr>
          <w:rFonts w:hint="eastAsia" w:ascii="宋体" w:hAnsi="宋体" w:cs="宋体"/>
          <w:color w:val="auto"/>
          <w:szCs w:val="21"/>
          <w:highlight w:val="none"/>
        </w:rPr>
        <w:t>乙方必须按投标文件承诺的技术参数、性能要求、质量标准等向甲方提供全新、完整、未经使用的货物。</w:t>
      </w:r>
    </w:p>
    <w:p w14:paraId="207EB5A3">
      <w:pPr>
        <w:spacing w:line="360" w:lineRule="auto"/>
        <w:ind w:left="358" w:hanging="358" w:hangingChars="170"/>
        <w:rPr>
          <w:rFonts w:ascii="宋体" w:hAnsi="宋体" w:cs="宋体"/>
          <w:b/>
          <w:color w:val="auto"/>
          <w:szCs w:val="21"/>
          <w:highlight w:val="none"/>
        </w:rPr>
      </w:pPr>
      <w:r>
        <w:rPr>
          <w:rFonts w:hint="eastAsia" w:ascii="宋体" w:hAnsi="宋体" w:cs="宋体"/>
          <w:b/>
          <w:bCs/>
          <w:color w:val="auto"/>
          <w:szCs w:val="21"/>
          <w:highlight w:val="none"/>
        </w:rPr>
        <w:t>4.  履约保证金（不设定）</w:t>
      </w:r>
    </w:p>
    <w:p w14:paraId="10DF1B6F">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5.  质量保证及售后服务</w:t>
      </w:r>
    </w:p>
    <w:p w14:paraId="4F7EA40E">
      <w:pPr>
        <w:spacing w:line="360" w:lineRule="auto"/>
        <w:ind w:left="2" w:firstLine="359" w:firstLineChars="171"/>
        <w:rPr>
          <w:rFonts w:ascii="宋体" w:hAnsi="宋体" w:cs="宋体"/>
          <w:color w:val="auto"/>
          <w:szCs w:val="21"/>
          <w:highlight w:val="none"/>
        </w:rPr>
      </w:pPr>
      <w:r>
        <w:rPr>
          <w:rFonts w:hint="eastAsia" w:ascii="宋体" w:hAnsi="宋体" w:cs="宋体"/>
          <w:color w:val="auto"/>
          <w:szCs w:val="21"/>
          <w:highlight w:val="none"/>
        </w:rPr>
        <w:t>5.1 质保期：自设备验收合格之日起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p>
    <w:p w14:paraId="5FF8145A">
      <w:pPr>
        <w:spacing w:line="360" w:lineRule="auto"/>
        <w:ind w:left="19" w:leftChars="9" w:firstLine="340" w:firstLineChars="162"/>
        <w:rPr>
          <w:rFonts w:ascii="宋体" w:hAnsi="宋体" w:cs="宋体"/>
          <w:color w:val="auto"/>
          <w:szCs w:val="21"/>
          <w:highlight w:val="none"/>
        </w:rPr>
      </w:pPr>
      <w:r>
        <w:rPr>
          <w:rFonts w:hint="eastAsia" w:ascii="宋体" w:hAnsi="宋体" w:cs="宋体"/>
          <w:color w:val="auto"/>
          <w:szCs w:val="21"/>
          <w:highlight w:val="none"/>
        </w:rPr>
        <w:t>5.2 如乙方提供的货物在使用过程中发生质量问题，乙方接到甲方故障通知后应在</w:t>
      </w:r>
      <w:r>
        <w:rPr>
          <w:rFonts w:hint="eastAsia" w:ascii="宋体" w:hAnsi="宋体" w:cs="宋体"/>
          <w:color w:val="auto"/>
          <w:szCs w:val="21"/>
          <w:highlight w:val="none"/>
          <w:u w:val="single"/>
        </w:rPr>
        <w:t xml:space="preserve"> 24 </w:t>
      </w:r>
      <w:r>
        <w:rPr>
          <w:rFonts w:hint="eastAsia" w:ascii="宋体" w:hAnsi="宋体" w:cs="宋体"/>
          <w:color w:val="auto"/>
          <w:szCs w:val="21"/>
          <w:highlight w:val="none"/>
        </w:rPr>
        <w:t>小时内到达甲方指定现场，按国家及行业标准对故障进行及时处理。</w:t>
      </w:r>
    </w:p>
    <w:p w14:paraId="5F17B48D">
      <w:pPr>
        <w:spacing w:line="360" w:lineRule="auto"/>
        <w:ind w:firstLine="359" w:firstLineChars="171"/>
        <w:rPr>
          <w:rFonts w:ascii="宋体" w:hAnsi="宋体" w:cs="宋体"/>
          <w:color w:val="auto"/>
          <w:szCs w:val="21"/>
          <w:highlight w:val="none"/>
        </w:rPr>
      </w:pPr>
      <w:r>
        <w:rPr>
          <w:rFonts w:hint="eastAsia" w:ascii="宋体" w:hAnsi="宋体" w:cs="宋体"/>
          <w:color w:val="auto"/>
          <w:szCs w:val="21"/>
          <w:highlight w:val="none"/>
        </w:rPr>
        <w:t>5.3 乙方提供的货物在质量保证期内因货物本身的质量问题发生故障，乙方应负责免费更换。对达不到技术要求者，根据实际情况，经双方协商，可按以下办法处理：</w:t>
      </w:r>
    </w:p>
    <w:p w14:paraId="73A8E694">
      <w:pPr>
        <w:spacing w:line="360" w:lineRule="auto"/>
        <w:ind w:firstLine="359" w:firstLineChars="171"/>
        <w:rPr>
          <w:rFonts w:ascii="宋体" w:hAnsi="宋体" w:cs="宋体"/>
          <w:color w:val="auto"/>
          <w:szCs w:val="21"/>
          <w:highlight w:val="none"/>
        </w:rPr>
      </w:pPr>
      <w:r>
        <w:rPr>
          <w:rFonts w:hint="eastAsia" w:ascii="宋体" w:hAnsi="宋体" w:cs="宋体"/>
          <w:color w:val="auto"/>
          <w:szCs w:val="21"/>
          <w:highlight w:val="none"/>
        </w:rPr>
        <w:t>（1）更换：由乙方承担所发生的全部费用；</w:t>
      </w:r>
    </w:p>
    <w:p w14:paraId="3FF04392">
      <w:pPr>
        <w:spacing w:line="360" w:lineRule="auto"/>
        <w:ind w:firstLine="359" w:firstLineChars="171"/>
        <w:rPr>
          <w:rFonts w:ascii="宋体" w:hAnsi="宋体" w:cs="宋体"/>
          <w:color w:val="auto"/>
          <w:szCs w:val="21"/>
          <w:highlight w:val="none"/>
        </w:rPr>
      </w:pPr>
      <w:r>
        <w:rPr>
          <w:rFonts w:hint="eastAsia" w:ascii="宋体" w:hAnsi="宋体" w:cs="宋体"/>
          <w:color w:val="auto"/>
          <w:szCs w:val="21"/>
          <w:highlight w:val="none"/>
        </w:rPr>
        <w:t>（2）贬值处理：由甲乙双方合议定价；</w:t>
      </w:r>
    </w:p>
    <w:p w14:paraId="431430BC">
      <w:pPr>
        <w:spacing w:line="360" w:lineRule="auto"/>
        <w:ind w:firstLine="359" w:firstLineChars="171"/>
        <w:rPr>
          <w:rFonts w:ascii="宋体" w:hAnsi="宋体" w:cs="宋体"/>
          <w:color w:val="auto"/>
          <w:szCs w:val="21"/>
          <w:highlight w:val="none"/>
        </w:rPr>
      </w:pPr>
      <w:r>
        <w:rPr>
          <w:rFonts w:hint="eastAsia" w:ascii="宋体" w:hAnsi="宋体" w:cs="宋体"/>
          <w:color w:val="auto"/>
          <w:szCs w:val="21"/>
          <w:highlight w:val="none"/>
        </w:rPr>
        <w:t>（3）退货处理：乙方应退还甲方支付的合同款，同时应承担与该货物相关的直接费用（运输、保险、检验、合同款利息及银行手续费等）。</w:t>
      </w:r>
    </w:p>
    <w:p w14:paraId="6C4F2F4F">
      <w:pPr>
        <w:spacing w:line="360" w:lineRule="auto"/>
        <w:ind w:firstLine="418"/>
        <w:rPr>
          <w:rFonts w:ascii="宋体" w:hAnsi="宋体" w:cs="宋体"/>
          <w:color w:val="auto"/>
          <w:szCs w:val="21"/>
          <w:highlight w:val="none"/>
        </w:rPr>
      </w:pPr>
      <w:r>
        <w:rPr>
          <w:rFonts w:hint="eastAsia" w:ascii="宋体" w:hAnsi="宋体" w:cs="宋体"/>
          <w:color w:val="auto"/>
          <w:szCs w:val="21"/>
          <w:highlight w:val="none"/>
        </w:rPr>
        <w:t>5.4 在质量保证期内，乙方负责处理解决货物出现的质量及安全问题并承担一切费用，所有非故意性损坏以及正常使用范围内造成的损坏均要免费维修，因人为因素出现的故障不在免费保修范围内，但乙方也要积极帮助采购人修理，并提供优惠价格的配件和服务。</w:t>
      </w:r>
    </w:p>
    <w:p w14:paraId="4D4DD816">
      <w:pPr>
        <w:spacing w:line="360" w:lineRule="auto"/>
        <w:ind w:firstLine="418"/>
        <w:rPr>
          <w:rFonts w:ascii="宋体" w:hAnsi="宋体" w:cs="宋体"/>
          <w:color w:val="auto"/>
          <w:szCs w:val="21"/>
          <w:highlight w:val="none"/>
        </w:rPr>
      </w:pPr>
      <w:r>
        <w:rPr>
          <w:rFonts w:hint="eastAsia" w:ascii="宋体" w:hAnsi="宋体" w:cs="宋体"/>
          <w:color w:val="auto"/>
          <w:szCs w:val="21"/>
          <w:highlight w:val="none"/>
        </w:rPr>
        <w:t>5.5 超过质量保证期的货物，乙方提供终生维修、保养服务，维修时只收部件成本费。</w:t>
      </w:r>
    </w:p>
    <w:p w14:paraId="05C4969D">
      <w:pPr>
        <w:spacing w:line="360" w:lineRule="auto"/>
        <w:ind w:firstLine="418"/>
        <w:rPr>
          <w:rFonts w:ascii="宋体" w:hAnsi="宋体" w:cs="宋体"/>
          <w:color w:val="auto"/>
          <w:szCs w:val="21"/>
          <w:highlight w:val="none"/>
        </w:rPr>
      </w:pPr>
      <w:r>
        <w:rPr>
          <w:rFonts w:hint="eastAsia" w:ascii="宋体" w:hAnsi="宋体" w:cs="宋体"/>
          <w:color w:val="auto"/>
          <w:szCs w:val="21"/>
          <w:highlight w:val="none"/>
        </w:rPr>
        <w:t>5.6 乙方随时优惠提供备品备件，优惠提供产品更新、改造服务。</w:t>
      </w:r>
    </w:p>
    <w:p w14:paraId="341C21F1">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6.  合同款支付</w:t>
      </w:r>
    </w:p>
    <w:p w14:paraId="183838DC">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6.1付款方式：</w:t>
      </w:r>
    </w:p>
    <w:p w14:paraId="2760C332">
      <w:pPr>
        <w:spacing w:line="360" w:lineRule="auto"/>
        <w:ind w:firstLine="418"/>
        <w:rPr>
          <w:rFonts w:hint="eastAsia" w:ascii="宋体" w:hAnsi="宋体" w:cs="宋体"/>
          <w:color w:val="auto"/>
          <w:szCs w:val="21"/>
          <w:highlight w:val="none"/>
        </w:rPr>
      </w:pPr>
      <w:r>
        <w:rPr>
          <w:rFonts w:hint="eastAsia" w:ascii="宋体" w:hAnsi="宋体" w:cs="宋体"/>
          <w:color w:val="auto"/>
          <w:szCs w:val="21"/>
          <w:highlight w:val="none"/>
        </w:rPr>
        <w:t>1.若是中央财政补助市县医疗服务与保障能力提升（公立医院综合改革）补助资金，分两期付款方式结算。第一期：收到项目货物并经采购人验收合格入库后，提供符合税法规定的全额增值税发票。采购人收到发票及预付款申请单后，15个工作日内支付合同总额的95%作为货款。第二期：余下5%合同款项在验收合格3个月内，采购人收到请款函后30日内支付完毕。</w:t>
      </w:r>
    </w:p>
    <w:p w14:paraId="1771D863">
      <w:pPr>
        <w:spacing w:line="360" w:lineRule="auto"/>
        <w:ind w:firstLine="418"/>
        <w:rPr>
          <w:rFonts w:hint="eastAsia" w:ascii="宋体" w:hAnsi="宋体" w:cs="宋体"/>
          <w:color w:val="auto"/>
          <w:szCs w:val="21"/>
          <w:highlight w:val="none"/>
        </w:rPr>
      </w:pPr>
      <w:r>
        <w:rPr>
          <w:rFonts w:hint="eastAsia" w:ascii="宋体" w:hAnsi="宋体" w:cs="宋体"/>
          <w:color w:val="auto"/>
          <w:szCs w:val="21"/>
          <w:highlight w:val="none"/>
        </w:rPr>
        <w:t>2.若是医院自筹性资金，分三期付款方式结算。第一期：收到项目货物并经采购人验收合格入库后，并经医院审核确认后，15个工作日内支付至</w:t>
      </w:r>
      <w:r>
        <w:rPr>
          <w:rFonts w:hint="eastAsia" w:ascii="宋体" w:hAnsi="宋体" w:cs="宋体"/>
          <w:color w:val="auto"/>
          <w:szCs w:val="21"/>
          <w:highlight w:val="none"/>
          <w:lang w:val="en-US" w:eastAsia="zh-CN"/>
        </w:rPr>
        <w:t>合</w:t>
      </w:r>
      <w:r>
        <w:rPr>
          <w:rFonts w:hint="eastAsia" w:ascii="宋体" w:hAnsi="宋体" w:cs="宋体"/>
          <w:color w:val="auto"/>
          <w:szCs w:val="21"/>
          <w:highlight w:val="none"/>
        </w:rPr>
        <w:t>同总额的60％。第二期：项目货物验收合格6个月后，中标人向采购人请款，采购人收到请款函后30日内支付至</w:t>
      </w:r>
      <w:r>
        <w:rPr>
          <w:rFonts w:hint="eastAsia" w:ascii="宋体" w:hAnsi="宋体" w:cs="宋体"/>
          <w:color w:val="auto"/>
          <w:szCs w:val="21"/>
          <w:highlight w:val="none"/>
          <w:lang w:val="en-US" w:eastAsia="zh-CN"/>
        </w:rPr>
        <w:t>合</w:t>
      </w:r>
      <w:r>
        <w:rPr>
          <w:rFonts w:hint="eastAsia" w:ascii="宋体" w:hAnsi="宋体" w:cs="宋体"/>
          <w:color w:val="auto"/>
          <w:szCs w:val="21"/>
          <w:highlight w:val="none"/>
        </w:rPr>
        <w:t>同总额的</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0％。第三期：余下</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合同款项在验收合格12个月后，采购人收到请款函后30日内支付完毕。（不计利息）。合同签署的中标人名称及发票开具单位与收款单位必须一致，在合同执行过程中，中标人不得以其他不正当理由要求调整发票开具单位或收款单位，否则视为中标人违约。</w:t>
      </w:r>
    </w:p>
    <w:p w14:paraId="540D2268">
      <w:pPr>
        <w:spacing w:line="360" w:lineRule="auto"/>
        <w:rPr>
          <w:rFonts w:ascii="宋体" w:hAnsi="宋体" w:cs="宋体"/>
          <w:b/>
          <w:color w:val="auto"/>
          <w:szCs w:val="21"/>
          <w:highlight w:val="none"/>
        </w:rPr>
      </w:pPr>
      <w:r>
        <w:rPr>
          <w:rFonts w:hint="eastAsia" w:ascii="宋体" w:hAnsi="宋体" w:cs="宋体"/>
          <w:b/>
          <w:bCs/>
          <w:color w:val="auto"/>
          <w:szCs w:val="21"/>
          <w:highlight w:val="none"/>
        </w:rPr>
        <w:t>7.  产权</w:t>
      </w:r>
    </w:p>
    <w:p w14:paraId="46E0A55E">
      <w:pPr>
        <w:spacing w:line="360" w:lineRule="auto"/>
        <w:ind w:left="2" w:firstLine="359" w:firstLineChars="171"/>
        <w:rPr>
          <w:rFonts w:ascii="宋体" w:hAnsi="宋体" w:cs="宋体"/>
          <w:bCs/>
          <w:color w:val="auto"/>
          <w:szCs w:val="21"/>
          <w:highlight w:val="none"/>
        </w:rPr>
      </w:pPr>
      <w:r>
        <w:rPr>
          <w:rFonts w:hint="eastAsia" w:ascii="宋体" w:hAnsi="宋体" w:cs="宋体"/>
          <w:color w:val="auto"/>
          <w:szCs w:val="21"/>
          <w:highlight w:val="none"/>
        </w:rPr>
        <w:t>7.1 乙方保证所提供的货物或其任何一部分均不会侵犯任何第三方的专利权、商标权或著作权</w:t>
      </w:r>
      <w:r>
        <w:rPr>
          <w:rFonts w:hint="eastAsia" w:ascii="宋体" w:hAnsi="宋体" w:cs="宋体"/>
          <w:bCs/>
          <w:color w:val="auto"/>
          <w:szCs w:val="21"/>
          <w:highlight w:val="none"/>
        </w:rPr>
        <w:t>。</w:t>
      </w:r>
    </w:p>
    <w:p w14:paraId="6DBE0915">
      <w:pPr>
        <w:spacing w:line="360" w:lineRule="auto"/>
        <w:ind w:left="2" w:firstLine="359" w:firstLineChars="171"/>
        <w:rPr>
          <w:rFonts w:ascii="宋体" w:hAnsi="宋体" w:cs="宋体"/>
          <w:b/>
          <w:bCs/>
          <w:color w:val="auto"/>
          <w:szCs w:val="21"/>
          <w:highlight w:val="none"/>
        </w:rPr>
      </w:pPr>
      <w:r>
        <w:rPr>
          <w:rFonts w:hint="eastAsia" w:ascii="宋体" w:hAnsi="宋体" w:cs="宋体"/>
          <w:color w:val="auto"/>
          <w:szCs w:val="21"/>
          <w:highlight w:val="none"/>
        </w:rPr>
        <w:t>7.2 乙方保证所交付货物的所有权完全属于乙方且无任何抵押、查封等产权瑕疵。如乙方所交付货物有产权瑕疵的，视为乙方违约，按照本合同第11.3项的约定处理。但在已经全部支付完合同款后才发现有产权瑕疵的，乙方除了支付违约金还应负担甲方由此产生的一切损失。</w:t>
      </w:r>
    </w:p>
    <w:p w14:paraId="438FC9EF">
      <w:pPr>
        <w:spacing w:line="360" w:lineRule="auto"/>
        <w:rPr>
          <w:rFonts w:ascii="宋体" w:hAnsi="宋体" w:cs="宋体"/>
          <w:b/>
          <w:color w:val="auto"/>
          <w:szCs w:val="21"/>
          <w:highlight w:val="none"/>
        </w:rPr>
      </w:pPr>
      <w:r>
        <w:rPr>
          <w:rFonts w:hint="eastAsia" w:ascii="宋体" w:hAnsi="宋体" w:cs="宋体"/>
          <w:b/>
          <w:bCs/>
          <w:color w:val="auto"/>
          <w:szCs w:val="21"/>
          <w:highlight w:val="none"/>
        </w:rPr>
        <w:t>8.  技术资料</w:t>
      </w:r>
    </w:p>
    <w:p w14:paraId="3593FE88">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8.1 甲方向乙方提供货物的有关技术资料。</w:t>
      </w:r>
    </w:p>
    <w:p w14:paraId="0D91A635">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8.2 乙方应在采购文件规定的时间向甲方提供使用货物的有关技术资料。</w:t>
      </w:r>
    </w:p>
    <w:p w14:paraId="3C7D98AD">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8.3 没有甲方事先书面同意，乙方不得将甲方提供的有关合同或任何合同条文、规格、计划、图纸、样品或资料提供给与履行本合同无关的第三方。即使向与履行本合同有关的人员提供，也应注意保密并限于履行合同的必需范围。</w:t>
      </w:r>
    </w:p>
    <w:p w14:paraId="4E8CB8FA">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9.  货物包装、发运及运输</w:t>
      </w:r>
    </w:p>
    <w:p w14:paraId="6963B129">
      <w:pPr>
        <w:tabs>
          <w:tab w:val="left" w:pos="0"/>
        </w:tabs>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9.1 乙方应在货物发运前对其进行满足运输距离、防潮、防震、防锈和防破损装卸等要求包装，以保证货物安全运达甲方指定地点。</w:t>
      </w:r>
    </w:p>
    <w:p w14:paraId="2BBAF6C7">
      <w:pPr>
        <w:tabs>
          <w:tab w:val="left" w:pos="0"/>
        </w:tabs>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9.2 使用说明书、质量检验证明书、保修单据、随配附件和工具以及清单一并附于货物内。</w:t>
      </w:r>
    </w:p>
    <w:p w14:paraId="3C190BB7">
      <w:pPr>
        <w:tabs>
          <w:tab w:val="left" w:pos="0"/>
        </w:tabs>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9.3 乙方在货物发运手续办理完毕后24小时内或货到甲方48小时前通知甲方，以准备接货。</w:t>
      </w:r>
    </w:p>
    <w:p w14:paraId="49F112DB">
      <w:pPr>
        <w:tabs>
          <w:tab w:val="left" w:pos="0"/>
        </w:tabs>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9.4 货物在交付甲方前发生的风险均由乙方负责。</w:t>
      </w:r>
    </w:p>
    <w:p w14:paraId="389DE655">
      <w:pPr>
        <w:tabs>
          <w:tab w:val="left" w:pos="0"/>
        </w:tabs>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9.5 货物在规定的交付期限内由乙方送达甲方指定的地点视为交付，乙方同时需通知甲方货物已送达。</w:t>
      </w:r>
    </w:p>
    <w:p w14:paraId="7D627521">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10.  调试和验收</w:t>
      </w:r>
    </w:p>
    <w:p w14:paraId="48182228">
      <w:pPr>
        <w:spacing w:line="360" w:lineRule="auto"/>
        <w:ind w:firstLine="359" w:firstLineChars="171"/>
        <w:rPr>
          <w:rFonts w:ascii="宋体" w:hAnsi="宋体" w:cs="宋体"/>
          <w:color w:val="auto"/>
          <w:szCs w:val="21"/>
          <w:highlight w:val="none"/>
        </w:rPr>
      </w:pPr>
      <w:r>
        <w:rPr>
          <w:rFonts w:hint="eastAsia" w:ascii="宋体" w:hAnsi="宋体" w:cs="宋体"/>
          <w:color w:val="auto"/>
          <w:szCs w:val="21"/>
          <w:highlight w:val="none"/>
        </w:rPr>
        <w:t>10.1 乙方将货物运达约定的交货地点后，甲乙双方应在五个工作日内对乙方提交的货物依据招标文件、投标文件要求和国家标准或行业标准进行现场初步验收。对外观、说明书符合要求的，给予签收；对不符合要求或有质量问题的货物不予签收，可立即要求退换，乙方不得拒绝和延误。</w:t>
      </w:r>
    </w:p>
    <w:p w14:paraId="38582989">
      <w:pPr>
        <w:spacing w:line="360" w:lineRule="auto"/>
        <w:ind w:firstLine="359" w:firstLineChars="171"/>
        <w:rPr>
          <w:rFonts w:ascii="宋体" w:hAnsi="宋体" w:cs="宋体"/>
          <w:color w:val="auto"/>
          <w:szCs w:val="21"/>
          <w:highlight w:val="none"/>
        </w:rPr>
      </w:pPr>
      <w:r>
        <w:rPr>
          <w:rFonts w:hint="eastAsia" w:ascii="宋体" w:hAnsi="宋体" w:cs="宋体"/>
          <w:color w:val="auto"/>
          <w:szCs w:val="21"/>
          <w:highlight w:val="none"/>
        </w:rPr>
        <w:t>10.2 乙方交货前应对产品作出全面检查和对验收文件进行整理，并列出清单，作为甲方收货验收和使用的技术条件依据，检验的结果应随货物交甲方。</w:t>
      </w:r>
    </w:p>
    <w:p w14:paraId="530D1470">
      <w:pPr>
        <w:spacing w:line="360" w:lineRule="auto"/>
        <w:ind w:firstLine="359" w:firstLineChars="171"/>
        <w:rPr>
          <w:rFonts w:ascii="宋体" w:hAnsi="宋体" w:cs="宋体"/>
          <w:color w:val="auto"/>
          <w:szCs w:val="21"/>
          <w:highlight w:val="none"/>
        </w:rPr>
      </w:pPr>
      <w:r>
        <w:rPr>
          <w:rFonts w:hint="eastAsia" w:ascii="宋体" w:hAnsi="宋体" w:cs="宋体"/>
          <w:color w:val="auto"/>
          <w:szCs w:val="21"/>
          <w:highlight w:val="none"/>
        </w:rPr>
        <w:t>10.3 甲方对乙方提供的货物在使用前进行调试时，乙方需负责安装并培训甲方的使用操作人员，并协助甲方一起调试，直到符合技术要求，甲方才做最终验收。</w:t>
      </w:r>
    </w:p>
    <w:p w14:paraId="302C6B75">
      <w:pPr>
        <w:spacing w:line="360" w:lineRule="auto"/>
        <w:ind w:firstLine="359" w:firstLineChars="171"/>
        <w:rPr>
          <w:rFonts w:ascii="宋体" w:hAnsi="宋体" w:cs="宋体"/>
          <w:color w:val="auto"/>
          <w:szCs w:val="21"/>
          <w:highlight w:val="none"/>
        </w:rPr>
      </w:pPr>
      <w:r>
        <w:rPr>
          <w:rFonts w:hint="eastAsia" w:ascii="宋体" w:hAnsi="宋体" w:cs="宋体"/>
          <w:color w:val="auto"/>
          <w:szCs w:val="21"/>
          <w:highlight w:val="none"/>
        </w:rPr>
        <w:t>10.4 验收时乙方必须在现场，验收完毕后作出验收结果报告。</w:t>
      </w:r>
    </w:p>
    <w:p w14:paraId="45A33936">
      <w:pPr>
        <w:spacing w:line="360" w:lineRule="auto"/>
        <w:ind w:firstLine="359" w:firstLineChars="171"/>
        <w:rPr>
          <w:rFonts w:ascii="宋体" w:hAnsi="宋体" w:cs="宋体"/>
          <w:color w:val="auto"/>
          <w:szCs w:val="21"/>
          <w:highlight w:val="none"/>
        </w:rPr>
      </w:pPr>
      <w:r>
        <w:rPr>
          <w:rFonts w:hint="eastAsia" w:ascii="宋体" w:hAnsi="宋体" w:cs="宋体"/>
          <w:color w:val="auto"/>
          <w:szCs w:val="21"/>
          <w:highlight w:val="none"/>
        </w:rPr>
        <w:t>10.5 对技术复杂的货物，甲方可请国家认可的专业检测机构参与验收，并由其出具质量检测报告，相关费用由乙方承担。</w:t>
      </w:r>
    </w:p>
    <w:p w14:paraId="12D825CC">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11.  违约责任</w:t>
      </w:r>
    </w:p>
    <w:p w14:paraId="14FC9E0D">
      <w:pPr>
        <w:spacing w:line="360" w:lineRule="auto"/>
        <w:ind w:firstLine="418"/>
        <w:rPr>
          <w:rFonts w:ascii="宋体" w:hAnsi="宋体" w:cs="宋体"/>
          <w:color w:val="auto"/>
          <w:szCs w:val="21"/>
          <w:highlight w:val="none"/>
        </w:rPr>
      </w:pPr>
      <w:r>
        <w:rPr>
          <w:rFonts w:hint="eastAsia" w:ascii="宋体" w:hAnsi="宋体" w:cs="宋体"/>
          <w:color w:val="auto"/>
          <w:szCs w:val="21"/>
          <w:highlight w:val="none"/>
        </w:rPr>
        <w:t>11.1 甲方无正当理由拒收货物的，甲方向乙方偿付合同款总值的百分之五违约金。</w:t>
      </w:r>
    </w:p>
    <w:p w14:paraId="3C897E6C">
      <w:pPr>
        <w:spacing w:line="360" w:lineRule="auto"/>
        <w:ind w:firstLine="418"/>
        <w:rPr>
          <w:rFonts w:ascii="宋体" w:hAnsi="宋体" w:cs="宋体"/>
          <w:color w:val="auto"/>
          <w:szCs w:val="21"/>
          <w:highlight w:val="none"/>
        </w:rPr>
      </w:pPr>
      <w:r>
        <w:rPr>
          <w:rFonts w:hint="eastAsia" w:ascii="宋体" w:hAnsi="宋体" w:cs="宋体"/>
          <w:color w:val="auto"/>
          <w:szCs w:val="21"/>
          <w:highlight w:val="none"/>
        </w:rPr>
        <w:t>11.2 甲方无故逾期验收或办理合同款支付手续的，甲方应按逾期付款总额每日万分之五向乙方支付违约金。</w:t>
      </w:r>
    </w:p>
    <w:p w14:paraId="0B98A67E">
      <w:pPr>
        <w:spacing w:line="360" w:lineRule="auto"/>
        <w:ind w:firstLine="418"/>
        <w:rPr>
          <w:rFonts w:ascii="宋体" w:hAnsi="宋体" w:cs="宋体"/>
          <w:color w:val="auto"/>
          <w:szCs w:val="21"/>
          <w:highlight w:val="none"/>
        </w:rPr>
      </w:pPr>
      <w:r>
        <w:rPr>
          <w:rFonts w:hint="eastAsia" w:ascii="宋体" w:hAnsi="宋体" w:cs="宋体"/>
          <w:color w:val="auto"/>
          <w:szCs w:val="21"/>
          <w:highlight w:val="none"/>
        </w:rPr>
        <w:t>11.3 乙方逾期交付货物的，乙方应按逾期交货总额每日万分之五向甲方支付违约金，由甲方从待付合同款中扣除。乙方逾期超过本合同约定交货日期十个工作日不能交货的，甲方可单方面解除本合同。乙方因逾期交货或因其他违约行为导致甲方解除合同的，乙方应向甲方支付合同总值百分之五的违约金，如造成甲方损失超过违约金的，超出部分由乙方继续承担赔偿责任。</w:t>
      </w:r>
    </w:p>
    <w:p w14:paraId="6A88E09E">
      <w:pPr>
        <w:spacing w:line="360" w:lineRule="auto"/>
        <w:ind w:firstLine="418"/>
        <w:rPr>
          <w:rFonts w:ascii="宋体" w:hAnsi="宋体" w:cs="宋体"/>
          <w:color w:val="auto"/>
          <w:szCs w:val="21"/>
          <w:highlight w:val="none"/>
        </w:rPr>
      </w:pPr>
      <w:r>
        <w:rPr>
          <w:rFonts w:hint="eastAsia" w:ascii="宋体" w:hAnsi="宋体" w:cs="宋体"/>
          <w:color w:val="auto"/>
          <w:szCs w:val="21"/>
          <w:highlight w:val="none"/>
        </w:rPr>
        <w:t>11.4 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0DA994B0">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12.  不可抗力事件处理</w:t>
      </w:r>
    </w:p>
    <w:p w14:paraId="4446F396">
      <w:pPr>
        <w:spacing w:line="360" w:lineRule="auto"/>
        <w:ind w:firstLine="359" w:firstLineChars="171"/>
        <w:rPr>
          <w:rFonts w:ascii="宋体" w:hAnsi="宋体" w:cs="宋体"/>
          <w:color w:val="auto"/>
          <w:szCs w:val="21"/>
          <w:highlight w:val="none"/>
        </w:rPr>
      </w:pPr>
      <w:r>
        <w:rPr>
          <w:rFonts w:hint="eastAsia" w:ascii="宋体" w:hAnsi="宋体" w:cs="宋体"/>
          <w:color w:val="auto"/>
          <w:szCs w:val="21"/>
          <w:highlight w:val="none"/>
        </w:rPr>
        <w:t>12.1 在合同有效期内，任何一方因不可抗力事件导致不能履行合同，则合同履行期可延长，其延长期与不可抗力影响期相同。</w:t>
      </w:r>
    </w:p>
    <w:p w14:paraId="26BDEE17">
      <w:pPr>
        <w:spacing w:line="360" w:lineRule="auto"/>
        <w:ind w:firstLine="359" w:firstLineChars="171"/>
        <w:rPr>
          <w:rFonts w:ascii="宋体" w:hAnsi="宋体" w:cs="宋体"/>
          <w:color w:val="auto"/>
          <w:szCs w:val="21"/>
          <w:highlight w:val="none"/>
        </w:rPr>
      </w:pPr>
      <w:r>
        <w:rPr>
          <w:rFonts w:hint="eastAsia" w:ascii="宋体" w:hAnsi="宋体" w:cs="宋体"/>
          <w:color w:val="auto"/>
          <w:szCs w:val="21"/>
          <w:highlight w:val="none"/>
        </w:rPr>
        <w:t>12.2 不可抗力事件发生后，应立即通知对方，并寄送有关权威机构出具的证明。</w:t>
      </w:r>
    </w:p>
    <w:p w14:paraId="24868996">
      <w:pPr>
        <w:spacing w:line="360" w:lineRule="auto"/>
        <w:ind w:firstLine="359" w:firstLineChars="171"/>
        <w:rPr>
          <w:rFonts w:ascii="宋体" w:hAnsi="宋体" w:cs="宋体"/>
          <w:color w:val="auto"/>
          <w:szCs w:val="21"/>
          <w:highlight w:val="none"/>
        </w:rPr>
      </w:pPr>
      <w:r>
        <w:rPr>
          <w:rFonts w:hint="eastAsia" w:ascii="宋体" w:hAnsi="宋体" w:cs="宋体"/>
          <w:color w:val="auto"/>
          <w:szCs w:val="21"/>
          <w:highlight w:val="none"/>
        </w:rPr>
        <w:t>12.3 不可抗力事件延续60天以上，双方应通过友好协商，确定是否继续履行合同。</w:t>
      </w:r>
    </w:p>
    <w:p w14:paraId="0079BE29">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13.  诉讼</w:t>
      </w:r>
    </w:p>
    <w:p w14:paraId="35109B1D">
      <w:pPr>
        <w:tabs>
          <w:tab w:val="left" w:pos="0"/>
        </w:tabs>
        <w:spacing w:line="360" w:lineRule="auto"/>
        <w:ind w:firstLine="359" w:firstLineChars="171"/>
        <w:rPr>
          <w:rFonts w:ascii="宋体" w:hAnsi="宋体" w:cs="宋体"/>
          <w:color w:val="auto"/>
          <w:szCs w:val="21"/>
          <w:highlight w:val="none"/>
        </w:rPr>
      </w:pPr>
      <w:r>
        <w:rPr>
          <w:rFonts w:hint="eastAsia" w:ascii="宋体" w:hAnsi="宋体" w:cs="宋体"/>
          <w:color w:val="auto"/>
          <w:szCs w:val="21"/>
          <w:highlight w:val="none"/>
        </w:rPr>
        <w:t>13.1 双方在执行合同中所发生的一切争议，应通过协商解决。如协商不成，可向合同签订地法院起诉，合同签订地在此约定为广西梧州市。</w:t>
      </w:r>
    </w:p>
    <w:p w14:paraId="4D51EE54">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14.  合同生效及其它</w:t>
      </w:r>
    </w:p>
    <w:p w14:paraId="12B3BDB7">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14.1 合同经双方法定代表人或授权委托代理人签字并加盖单位公章后生效。</w:t>
      </w:r>
    </w:p>
    <w:p w14:paraId="5B98C9E3">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14.2 合同执行中涉及采购资金和采购内容修改或补充的，须经市财政部门审批，并签书面补充协议报梧州市政府采购监督管理部门备案，方可作为主合同不可分割的一部分。</w:t>
      </w:r>
    </w:p>
    <w:p w14:paraId="76D04684">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14.3 本合同未尽事宜，遵照《中华人民共和国民法典》有关条文执行。</w:t>
      </w:r>
    </w:p>
    <w:p w14:paraId="179EE84F">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14.4 本合同正本一式伍份，具有同等法律效力，甲方执三份，乙方执一份，采购代理机构执一份，采购人自合同签订之日起七个工作日内报梧州市政府采购监督管理部门备案。</w:t>
      </w:r>
    </w:p>
    <w:p w14:paraId="66DC9B69">
      <w:pPr>
        <w:spacing w:line="440" w:lineRule="exact"/>
        <w:rPr>
          <w:rFonts w:ascii="宋体" w:hAnsi="宋体" w:cs="宋体"/>
          <w:color w:val="auto"/>
          <w:szCs w:val="21"/>
          <w:highlight w:val="none"/>
          <w:u w:val="single"/>
        </w:rPr>
      </w:pPr>
      <w:r>
        <w:rPr>
          <w:rFonts w:hint="eastAsia" w:ascii="宋体" w:hAnsi="宋体" w:cs="宋体"/>
          <w:color w:val="auto"/>
          <w:szCs w:val="21"/>
          <w:highlight w:val="none"/>
        </w:rPr>
        <w:t>甲方：苍梧县人民医院               乙方：</w:t>
      </w:r>
    </w:p>
    <w:p w14:paraId="0289CD5D">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地址：                                地址：  </w:t>
      </w:r>
    </w:p>
    <w:p w14:paraId="11FF35C6">
      <w:pPr>
        <w:spacing w:line="440" w:lineRule="exact"/>
        <w:rPr>
          <w:rFonts w:ascii="宋体" w:hAnsi="宋体" w:cs="宋体"/>
          <w:color w:val="auto"/>
          <w:szCs w:val="21"/>
          <w:highlight w:val="none"/>
        </w:rPr>
      </w:pPr>
      <w:r>
        <w:rPr>
          <w:rFonts w:hint="eastAsia" w:ascii="宋体" w:hAnsi="宋体" w:cs="宋体"/>
          <w:color w:val="auto"/>
          <w:szCs w:val="21"/>
          <w:highlight w:val="none"/>
        </w:rPr>
        <w:t>法定代表人：                          法定代表人：</w:t>
      </w:r>
    </w:p>
    <w:p w14:paraId="269A8863">
      <w:pPr>
        <w:spacing w:line="440" w:lineRule="exact"/>
        <w:rPr>
          <w:rFonts w:ascii="宋体" w:hAnsi="宋体" w:cs="宋体"/>
          <w:color w:val="auto"/>
          <w:szCs w:val="21"/>
          <w:highlight w:val="none"/>
        </w:rPr>
      </w:pPr>
      <w:r>
        <w:rPr>
          <w:rFonts w:hint="eastAsia" w:ascii="宋体" w:hAnsi="宋体" w:cs="宋体"/>
          <w:color w:val="auto"/>
          <w:szCs w:val="21"/>
          <w:highlight w:val="none"/>
        </w:rPr>
        <w:t>委托代理人：                          委托代理人：</w:t>
      </w:r>
    </w:p>
    <w:p w14:paraId="1D719EF7">
      <w:pPr>
        <w:spacing w:line="440" w:lineRule="exact"/>
        <w:rPr>
          <w:rFonts w:ascii="宋体" w:hAnsi="宋体" w:cs="宋体"/>
          <w:color w:val="auto"/>
          <w:szCs w:val="21"/>
          <w:highlight w:val="none"/>
        </w:rPr>
      </w:pPr>
      <w:r>
        <w:rPr>
          <w:rFonts w:hint="eastAsia" w:ascii="宋体" w:hAnsi="宋体" w:cs="宋体"/>
          <w:color w:val="auto"/>
          <w:szCs w:val="21"/>
          <w:highlight w:val="none"/>
        </w:rPr>
        <w:t>电话：                                电话：</w:t>
      </w:r>
    </w:p>
    <w:p w14:paraId="36DCB542">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传真：                                传真：    </w:t>
      </w:r>
    </w:p>
    <w:p w14:paraId="19A0CD52">
      <w:pPr>
        <w:spacing w:line="440" w:lineRule="exact"/>
        <w:rPr>
          <w:rFonts w:ascii="宋体" w:hAnsi="宋体" w:cs="宋体"/>
          <w:color w:val="auto"/>
          <w:szCs w:val="21"/>
          <w:highlight w:val="none"/>
          <w:u w:val="single"/>
        </w:rPr>
      </w:pPr>
      <w:r>
        <w:rPr>
          <w:rFonts w:hint="eastAsia" w:ascii="宋体" w:hAnsi="宋体" w:cs="宋体"/>
          <w:color w:val="auto"/>
          <w:szCs w:val="21"/>
          <w:highlight w:val="none"/>
        </w:rPr>
        <w:t xml:space="preserve">                                      开户银行：</w:t>
      </w:r>
    </w:p>
    <w:p w14:paraId="7B4A782A">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开户名称：                                </w:t>
      </w:r>
    </w:p>
    <w:p w14:paraId="7819094A">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银行账号：</w:t>
      </w:r>
    </w:p>
    <w:p w14:paraId="6D4E17E3">
      <w:pPr>
        <w:snapToGrid w:val="0"/>
        <w:spacing w:line="360" w:lineRule="auto"/>
        <w:jc w:val="center"/>
        <w:rPr>
          <w:rFonts w:ascii="宋体" w:hAnsi="宋体" w:cs="宋体"/>
          <w:b/>
          <w:color w:val="auto"/>
          <w:szCs w:val="21"/>
          <w:highlight w:val="none"/>
        </w:rPr>
      </w:pPr>
      <w:r>
        <w:rPr>
          <w:rFonts w:hint="eastAsia" w:ascii="宋体" w:hAnsi="宋体" w:cs="宋体"/>
          <w:color w:val="auto"/>
          <w:szCs w:val="21"/>
          <w:highlight w:val="none"/>
        </w:rPr>
        <w:br w:type="page"/>
      </w:r>
      <w:r>
        <w:rPr>
          <w:rFonts w:hint="eastAsia" w:ascii="宋体" w:hAnsi="宋体" w:cs="宋体"/>
          <w:b/>
          <w:color w:val="auto"/>
          <w:szCs w:val="21"/>
          <w:highlight w:val="none"/>
        </w:rPr>
        <w:t>合 同 附 件</w:t>
      </w:r>
    </w:p>
    <w:tbl>
      <w:tblPr>
        <w:tblStyle w:val="48"/>
        <w:tblW w:w="0" w:type="auto"/>
        <w:tblInd w:w="0" w:type="dxa"/>
        <w:tblLayout w:type="autofit"/>
        <w:tblCellMar>
          <w:top w:w="0" w:type="dxa"/>
          <w:left w:w="108" w:type="dxa"/>
          <w:bottom w:w="0" w:type="dxa"/>
          <w:right w:w="108" w:type="dxa"/>
        </w:tblCellMar>
      </w:tblPr>
      <w:tblGrid>
        <w:gridCol w:w="4251"/>
        <w:gridCol w:w="4277"/>
      </w:tblGrid>
      <w:tr w14:paraId="3520A235">
        <w:trPr>
          <w:trHeight w:val="1207" w:hRule="atLeast"/>
        </w:trPr>
        <w:tc>
          <w:tcPr>
            <w:tcW w:w="9628" w:type="dxa"/>
            <w:gridSpan w:val="2"/>
            <w:tcBorders>
              <w:top w:val="single" w:color="auto" w:sz="4" w:space="0"/>
              <w:left w:val="single" w:color="auto" w:sz="4" w:space="0"/>
              <w:right w:val="single" w:color="auto" w:sz="4" w:space="0"/>
            </w:tcBorders>
          </w:tcPr>
          <w:p w14:paraId="0F757A7B">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1.供应商承诺具体事项：</w:t>
            </w:r>
          </w:p>
          <w:p w14:paraId="31722B46">
            <w:pPr>
              <w:snapToGrid w:val="0"/>
              <w:spacing w:line="360" w:lineRule="auto"/>
              <w:ind w:firstLine="422"/>
              <w:rPr>
                <w:rFonts w:ascii="宋体" w:hAnsi="宋体" w:cs="宋体"/>
                <w:b/>
                <w:color w:val="auto"/>
                <w:szCs w:val="21"/>
                <w:highlight w:val="none"/>
              </w:rPr>
            </w:pPr>
          </w:p>
          <w:p w14:paraId="02E4C9B2">
            <w:pPr>
              <w:snapToGrid w:val="0"/>
              <w:spacing w:line="360" w:lineRule="auto"/>
              <w:ind w:firstLine="422"/>
              <w:rPr>
                <w:rFonts w:ascii="宋体" w:hAnsi="宋体" w:cs="宋体"/>
                <w:b/>
                <w:color w:val="auto"/>
                <w:szCs w:val="21"/>
                <w:highlight w:val="none"/>
              </w:rPr>
            </w:pPr>
          </w:p>
        </w:tc>
      </w:tr>
      <w:tr w14:paraId="0D53AB1B">
        <w:tblPrEx>
          <w:tblCellMar>
            <w:top w:w="0" w:type="dxa"/>
            <w:left w:w="108" w:type="dxa"/>
            <w:bottom w:w="0" w:type="dxa"/>
            <w:right w:w="108" w:type="dxa"/>
          </w:tblCellMar>
        </w:tblPrEx>
        <w:trPr>
          <w:trHeight w:val="1207" w:hRule="atLeast"/>
        </w:trPr>
        <w:tc>
          <w:tcPr>
            <w:tcW w:w="9628" w:type="dxa"/>
            <w:gridSpan w:val="2"/>
            <w:tcBorders>
              <w:top w:val="single" w:color="auto" w:sz="4" w:space="0"/>
              <w:left w:val="single" w:color="auto" w:sz="4" w:space="0"/>
              <w:right w:val="single" w:color="auto" w:sz="4" w:space="0"/>
            </w:tcBorders>
          </w:tcPr>
          <w:p w14:paraId="1C31471F">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2.其他具体事项：</w:t>
            </w:r>
          </w:p>
          <w:p w14:paraId="284D2373">
            <w:pPr>
              <w:snapToGrid w:val="0"/>
              <w:spacing w:line="360" w:lineRule="auto"/>
              <w:ind w:firstLine="422"/>
              <w:rPr>
                <w:rFonts w:ascii="宋体" w:hAnsi="宋体" w:cs="宋体"/>
                <w:b/>
                <w:color w:val="auto"/>
                <w:szCs w:val="21"/>
                <w:highlight w:val="none"/>
              </w:rPr>
            </w:pPr>
          </w:p>
          <w:p w14:paraId="791E1EC1">
            <w:pPr>
              <w:snapToGrid w:val="0"/>
              <w:spacing w:line="360" w:lineRule="auto"/>
              <w:ind w:firstLine="422"/>
              <w:rPr>
                <w:rFonts w:ascii="宋体" w:hAnsi="宋体" w:cs="宋体"/>
                <w:b/>
                <w:color w:val="auto"/>
                <w:szCs w:val="21"/>
                <w:highlight w:val="none"/>
              </w:rPr>
            </w:pPr>
          </w:p>
        </w:tc>
      </w:tr>
      <w:tr w14:paraId="721D8F50">
        <w:tblPrEx>
          <w:tblCellMar>
            <w:top w:w="0" w:type="dxa"/>
            <w:left w:w="108" w:type="dxa"/>
            <w:bottom w:w="0" w:type="dxa"/>
            <w:right w:w="108" w:type="dxa"/>
          </w:tblCellMar>
        </w:tblPrEx>
        <w:trPr>
          <w:trHeight w:val="1703" w:hRule="atLeast"/>
        </w:trPr>
        <w:tc>
          <w:tcPr>
            <w:tcW w:w="4799" w:type="dxa"/>
            <w:tcBorders>
              <w:top w:val="single" w:color="auto" w:sz="4" w:space="0"/>
              <w:left w:val="single" w:color="auto" w:sz="4" w:space="0"/>
              <w:bottom w:val="single" w:color="auto" w:sz="4" w:space="0"/>
              <w:right w:val="single" w:color="auto" w:sz="4" w:space="0"/>
            </w:tcBorders>
            <w:vAlign w:val="center"/>
          </w:tcPr>
          <w:p w14:paraId="058B058F">
            <w:pPr>
              <w:snapToGrid w:val="0"/>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甲方（章）</w:t>
            </w:r>
          </w:p>
          <w:p w14:paraId="56752D0F">
            <w:pPr>
              <w:snapToGrid w:val="0"/>
              <w:spacing w:line="360" w:lineRule="auto"/>
              <w:ind w:firstLine="422"/>
              <w:rPr>
                <w:rFonts w:ascii="宋体" w:hAnsi="宋体" w:cs="宋体"/>
                <w:b/>
                <w:color w:val="auto"/>
                <w:szCs w:val="21"/>
                <w:highlight w:val="none"/>
              </w:rPr>
            </w:pPr>
          </w:p>
          <w:p w14:paraId="0B09F29B">
            <w:pPr>
              <w:snapToGrid w:val="0"/>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 xml:space="preserve">                </w:t>
            </w:r>
          </w:p>
          <w:p w14:paraId="53A86C28">
            <w:pPr>
              <w:snapToGrid w:val="0"/>
              <w:spacing w:line="360" w:lineRule="auto"/>
              <w:ind w:firstLine="422"/>
              <w:jc w:val="right"/>
              <w:rPr>
                <w:rFonts w:ascii="宋体" w:hAnsi="宋体" w:cs="宋体"/>
                <w:b/>
                <w:color w:val="auto"/>
                <w:szCs w:val="21"/>
                <w:highlight w:val="none"/>
              </w:rPr>
            </w:pPr>
            <w:r>
              <w:rPr>
                <w:rFonts w:hint="eastAsia" w:ascii="宋体" w:hAnsi="宋体" w:cs="宋体"/>
                <w:b/>
                <w:color w:val="auto"/>
                <w:szCs w:val="21"/>
                <w:highlight w:val="none"/>
              </w:rPr>
              <w:t xml:space="preserve"> 年   月   日 </w:t>
            </w:r>
          </w:p>
        </w:tc>
        <w:tc>
          <w:tcPr>
            <w:tcW w:w="4829" w:type="dxa"/>
            <w:tcBorders>
              <w:top w:val="single" w:color="auto" w:sz="4" w:space="0"/>
              <w:left w:val="single" w:color="auto" w:sz="4" w:space="0"/>
              <w:bottom w:val="single" w:color="auto" w:sz="4" w:space="0"/>
              <w:right w:val="single" w:color="auto" w:sz="4" w:space="0"/>
            </w:tcBorders>
            <w:vAlign w:val="center"/>
          </w:tcPr>
          <w:p w14:paraId="258EDC18">
            <w:pPr>
              <w:snapToGrid w:val="0"/>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乙方（章）</w:t>
            </w:r>
          </w:p>
          <w:p w14:paraId="4DB1FF65">
            <w:pPr>
              <w:snapToGrid w:val="0"/>
              <w:spacing w:line="360" w:lineRule="auto"/>
              <w:ind w:firstLine="422"/>
              <w:rPr>
                <w:rFonts w:ascii="宋体" w:hAnsi="宋体" w:cs="宋体"/>
                <w:b/>
                <w:color w:val="auto"/>
                <w:szCs w:val="21"/>
                <w:highlight w:val="none"/>
              </w:rPr>
            </w:pPr>
          </w:p>
          <w:p w14:paraId="0B07DB59">
            <w:pPr>
              <w:snapToGrid w:val="0"/>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 xml:space="preserve">                </w:t>
            </w:r>
          </w:p>
          <w:p w14:paraId="588B9D22">
            <w:pPr>
              <w:snapToGrid w:val="0"/>
              <w:spacing w:line="360" w:lineRule="auto"/>
              <w:ind w:firstLine="422"/>
              <w:jc w:val="right"/>
              <w:rPr>
                <w:rFonts w:ascii="宋体" w:hAnsi="宋体" w:cs="宋体"/>
                <w:b/>
                <w:color w:val="auto"/>
                <w:szCs w:val="21"/>
                <w:highlight w:val="none"/>
              </w:rPr>
            </w:pPr>
            <w:r>
              <w:rPr>
                <w:rFonts w:hint="eastAsia" w:ascii="宋体" w:hAnsi="宋体" w:cs="宋体"/>
                <w:b/>
                <w:color w:val="auto"/>
                <w:szCs w:val="21"/>
                <w:highlight w:val="none"/>
              </w:rPr>
              <w:t>年   月   日</w:t>
            </w:r>
          </w:p>
        </w:tc>
      </w:tr>
    </w:tbl>
    <w:p w14:paraId="23BBDC62">
      <w:pPr>
        <w:snapToGrid w:val="0"/>
        <w:spacing w:line="360" w:lineRule="auto"/>
        <w:jc w:val="left"/>
        <w:rPr>
          <w:rFonts w:ascii="宋体" w:hAnsi="宋体" w:cs="宋体"/>
          <w:color w:val="auto"/>
          <w:sz w:val="24"/>
          <w:highlight w:val="none"/>
        </w:rPr>
      </w:pPr>
      <w:r>
        <w:rPr>
          <w:rFonts w:hint="eastAsia" w:ascii="宋体" w:hAnsi="宋体" w:cs="宋体"/>
          <w:color w:val="auto"/>
          <w:szCs w:val="21"/>
          <w:highlight w:val="none"/>
        </w:rPr>
        <w:t xml:space="preserve">   注：售后服务事项填不下时可另加附页</w:t>
      </w:r>
    </w:p>
    <w:p w14:paraId="214F0A86">
      <w:pPr>
        <w:snapToGrid w:val="0"/>
        <w:jc w:val="center"/>
        <w:rPr>
          <w:rFonts w:ascii="宋体" w:hAnsi="宋体" w:cs="宋体"/>
          <w:b/>
          <w:bCs/>
          <w:color w:val="auto"/>
          <w:szCs w:val="21"/>
          <w:highlight w:val="none"/>
        </w:rPr>
      </w:pPr>
    </w:p>
    <w:p w14:paraId="226443DC">
      <w:pPr>
        <w:snapToGrid w:val="0"/>
        <w:spacing w:line="360" w:lineRule="auto"/>
        <w:ind w:left="420" w:hanging="420" w:hangingChars="200"/>
        <w:rPr>
          <w:rFonts w:ascii="宋体" w:hAnsi="宋体" w:cs="宋体"/>
          <w:color w:val="auto"/>
          <w:szCs w:val="21"/>
          <w:highlight w:val="none"/>
        </w:rPr>
      </w:pPr>
    </w:p>
    <w:p w14:paraId="375CD6CD">
      <w:pPr>
        <w:snapToGrid w:val="0"/>
        <w:jc w:val="center"/>
        <w:rPr>
          <w:rFonts w:ascii="宋体" w:hAnsi="宋体" w:cs="宋体"/>
          <w:bCs/>
          <w:color w:val="auto"/>
          <w:sz w:val="32"/>
          <w:szCs w:val="32"/>
          <w:highlight w:val="none"/>
        </w:rPr>
      </w:pPr>
    </w:p>
    <w:p w14:paraId="5FACC5EF">
      <w:pPr>
        <w:snapToGrid w:val="0"/>
        <w:spacing w:line="480" w:lineRule="auto"/>
        <w:rPr>
          <w:rFonts w:ascii="宋体" w:hAnsi="宋体" w:cs="宋体"/>
          <w:bCs/>
          <w:color w:val="auto"/>
          <w:sz w:val="32"/>
          <w:szCs w:val="32"/>
          <w:highlight w:val="none"/>
        </w:rPr>
      </w:pPr>
    </w:p>
    <w:p w14:paraId="0464611E">
      <w:pPr>
        <w:snapToGrid w:val="0"/>
        <w:jc w:val="center"/>
        <w:rPr>
          <w:rFonts w:ascii="宋体" w:hAnsi="宋体" w:cs="宋体"/>
          <w:bCs/>
          <w:color w:val="auto"/>
          <w:sz w:val="32"/>
          <w:szCs w:val="32"/>
          <w:highlight w:val="none"/>
        </w:rPr>
      </w:pPr>
    </w:p>
    <w:p w14:paraId="07182D9E">
      <w:pPr>
        <w:snapToGrid w:val="0"/>
        <w:jc w:val="center"/>
        <w:rPr>
          <w:rFonts w:ascii="宋体" w:hAnsi="宋体" w:cs="宋体"/>
          <w:bCs/>
          <w:color w:val="auto"/>
          <w:sz w:val="32"/>
          <w:szCs w:val="32"/>
          <w:highlight w:val="none"/>
        </w:rPr>
      </w:pPr>
    </w:p>
    <w:p w14:paraId="6ADCDD45">
      <w:pPr>
        <w:snapToGrid w:val="0"/>
        <w:jc w:val="center"/>
        <w:rPr>
          <w:rFonts w:ascii="宋体" w:hAnsi="宋体" w:cs="宋体"/>
          <w:bCs/>
          <w:color w:val="auto"/>
          <w:sz w:val="32"/>
          <w:szCs w:val="32"/>
          <w:highlight w:val="none"/>
        </w:rPr>
      </w:pPr>
    </w:p>
    <w:p w14:paraId="39C5E8FC">
      <w:pPr>
        <w:snapToGrid w:val="0"/>
        <w:jc w:val="center"/>
        <w:rPr>
          <w:rFonts w:ascii="宋体" w:hAnsi="宋体" w:cs="宋体"/>
          <w:bCs/>
          <w:color w:val="auto"/>
          <w:sz w:val="32"/>
          <w:szCs w:val="32"/>
          <w:highlight w:val="none"/>
        </w:rPr>
      </w:pPr>
    </w:p>
    <w:p w14:paraId="0DC3FDFD">
      <w:pPr>
        <w:rPr>
          <w:rFonts w:ascii="宋体" w:hAnsi="宋体" w:cs="宋体"/>
          <w:bCs/>
          <w:color w:val="auto"/>
          <w:sz w:val="32"/>
          <w:szCs w:val="32"/>
          <w:highlight w:val="none"/>
        </w:rPr>
      </w:pPr>
    </w:p>
    <w:p w14:paraId="233344A8">
      <w:pPr>
        <w:pStyle w:val="33"/>
        <w:ind w:firstLine="321"/>
        <w:rPr>
          <w:rFonts w:cs="宋体"/>
          <w:bCs w:val="0"/>
          <w:color w:val="auto"/>
          <w:sz w:val="32"/>
          <w:szCs w:val="32"/>
          <w:highlight w:val="none"/>
        </w:rPr>
      </w:pPr>
    </w:p>
    <w:p w14:paraId="6B409CD0">
      <w:pPr>
        <w:rPr>
          <w:rFonts w:ascii="宋体" w:hAnsi="宋体" w:cs="宋体"/>
          <w:bCs/>
          <w:color w:val="auto"/>
          <w:sz w:val="32"/>
          <w:szCs w:val="32"/>
          <w:highlight w:val="none"/>
        </w:rPr>
      </w:pPr>
    </w:p>
    <w:p w14:paraId="33C4F346">
      <w:pPr>
        <w:pStyle w:val="33"/>
        <w:ind w:firstLine="321"/>
        <w:rPr>
          <w:rFonts w:cs="宋体"/>
          <w:bCs w:val="0"/>
          <w:color w:val="auto"/>
          <w:sz w:val="32"/>
          <w:szCs w:val="32"/>
          <w:highlight w:val="none"/>
        </w:rPr>
      </w:pPr>
    </w:p>
    <w:p w14:paraId="49493A68">
      <w:pPr>
        <w:rPr>
          <w:rFonts w:ascii="宋体" w:hAnsi="宋体" w:cs="宋体"/>
          <w:bCs/>
          <w:color w:val="auto"/>
          <w:sz w:val="32"/>
          <w:szCs w:val="32"/>
          <w:highlight w:val="none"/>
        </w:rPr>
      </w:pPr>
    </w:p>
    <w:p w14:paraId="7996BA22">
      <w:pPr>
        <w:pStyle w:val="33"/>
        <w:ind w:firstLine="321"/>
        <w:rPr>
          <w:rFonts w:cs="宋体"/>
          <w:bCs w:val="0"/>
          <w:color w:val="auto"/>
          <w:sz w:val="32"/>
          <w:szCs w:val="32"/>
          <w:highlight w:val="none"/>
        </w:rPr>
      </w:pPr>
    </w:p>
    <w:p w14:paraId="65671D0C">
      <w:pPr>
        <w:rPr>
          <w:rFonts w:ascii="宋体" w:hAnsi="宋体" w:cs="宋体"/>
          <w:bCs/>
          <w:color w:val="auto"/>
          <w:sz w:val="32"/>
          <w:szCs w:val="32"/>
          <w:highlight w:val="none"/>
        </w:rPr>
      </w:pPr>
    </w:p>
    <w:p w14:paraId="4240487D">
      <w:pPr>
        <w:pStyle w:val="33"/>
        <w:ind w:firstLine="321"/>
        <w:rPr>
          <w:rFonts w:cs="宋体"/>
          <w:bCs w:val="0"/>
          <w:color w:val="auto"/>
          <w:sz w:val="32"/>
          <w:szCs w:val="32"/>
          <w:highlight w:val="none"/>
        </w:rPr>
      </w:pPr>
    </w:p>
    <w:p w14:paraId="0040B59A">
      <w:pPr>
        <w:rPr>
          <w:rFonts w:ascii="宋体" w:hAnsi="宋体" w:cs="宋体"/>
          <w:bCs/>
          <w:color w:val="auto"/>
          <w:sz w:val="32"/>
          <w:szCs w:val="32"/>
          <w:highlight w:val="none"/>
        </w:rPr>
      </w:pPr>
    </w:p>
    <w:p w14:paraId="57E15370">
      <w:pPr>
        <w:pStyle w:val="33"/>
        <w:ind w:firstLine="321"/>
        <w:rPr>
          <w:rFonts w:cs="宋体"/>
          <w:bCs w:val="0"/>
          <w:color w:val="auto"/>
          <w:sz w:val="32"/>
          <w:szCs w:val="32"/>
          <w:highlight w:val="none"/>
        </w:rPr>
      </w:pPr>
    </w:p>
    <w:p w14:paraId="77C217F1">
      <w:pPr>
        <w:rPr>
          <w:rFonts w:ascii="宋体" w:hAnsi="宋体" w:cs="宋体"/>
          <w:bCs/>
          <w:color w:val="auto"/>
          <w:sz w:val="32"/>
          <w:szCs w:val="32"/>
          <w:highlight w:val="none"/>
        </w:rPr>
      </w:pPr>
    </w:p>
    <w:p w14:paraId="3A009D3B">
      <w:pPr>
        <w:pStyle w:val="33"/>
        <w:ind w:firstLine="321"/>
        <w:rPr>
          <w:rFonts w:cs="宋体"/>
          <w:bCs w:val="0"/>
          <w:color w:val="auto"/>
          <w:sz w:val="32"/>
          <w:szCs w:val="32"/>
          <w:highlight w:val="none"/>
        </w:rPr>
      </w:pPr>
    </w:p>
    <w:p w14:paraId="3B769D3C">
      <w:pPr>
        <w:pStyle w:val="33"/>
        <w:ind w:left="0" w:leftChars="0" w:firstLine="0" w:firstLineChars="0"/>
        <w:rPr>
          <w:rFonts w:cs="宋体"/>
          <w:bCs w:val="0"/>
          <w:color w:val="auto"/>
          <w:sz w:val="32"/>
          <w:szCs w:val="32"/>
          <w:highlight w:val="none"/>
        </w:rPr>
      </w:pPr>
    </w:p>
    <w:p w14:paraId="3C658D10">
      <w:pPr>
        <w:rPr>
          <w:rFonts w:ascii="宋体" w:hAnsi="宋体" w:cs="宋体"/>
          <w:color w:val="auto"/>
          <w:highlight w:val="none"/>
        </w:rPr>
      </w:pPr>
    </w:p>
    <w:p w14:paraId="77A6DE46">
      <w:pPr>
        <w:snapToGrid w:val="0"/>
        <w:jc w:val="center"/>
        <w:rPr>
          <w:rFonts w:ascii="宋体" w:hAnsi="宋体" w:cs="宋体"/>
          <w:bCs/>
          <w:color w:val="auto"/>
          <w:sz w:val="32"/>
          <w:szCs w:val="32"/>
          <w:highlight w:val="none"/>
        </w:rPr>
      </w:pPr>
    </w:p>
    <w:p w14:paraId="77E76643">
      <w:pPr>
        <w:snapToGrid w:val="0"/>
        <w:jc w:val="center"/>
        <w:rPr>
          <w:rFonts w:ascii="宋体" w:hAnsi="宋体" w:cs="宋体"/>
          <w:bCs/>
          <w:color w:val="auto"/>
          <w:sz w:val="32"/>
          <w:szCs w:val="32"/>
          <w:highlight w:val="none"/>
        </w:rPr>
      </w:pPr>
    </w:p>
    <w:p w14:paraId="72D29EDD">
      <w:pPr>
        <w:pStyle w:val="2"/>
        <w:jc w:val="center"/>
        <w:rPr>
          <w:rFonts w:ascii="宋体" w:hAnsi="宋体" w:cs="宋体"/>
          <w:color w:val="auto"/>
          <w:highlight w:val="none"/>
        </w:rPr>
      </w:pPr>
      <w:bookmarkStart w:id="139" w:name="_Toc25289"/>
      <w:r>
        <w:rPr>
          <w:rFonts w:hint="eastAsia" w:ascii="宋体" w:hAnsi="宋体" w:cs="宋体"/>
          <w:color w:val="auto"/>
          <w:highlight w:val="none"/>
        </w:rPr>
        <w:t>第六章　投标文件格式</w:t>
      </w:r>
      <w:bookmarkEnd w:id="139"/>
    </w:p>
    <w:p w14:paraId="493EFD9F">
      <w:pPr>
        <w:snapToGrid w:val="0"/>
        <w:spacing w:before="50" w:after="50"/>
        <w:outlineLvl w:val="1"/>
        <w:rPr>
          <w:rFonts w:ascii="宋体" w:hAnsi="宋体" w:cs="宋体"/>
          <w:color w:val="auto"/>
          <w:sz w:val="32"/>
          <w:szCs w:val="20"/>
          <w:highlight w:val="none"/>
        </w:rPr>
      </w:pPr>
    </w:p>
    <w:p w14:paraId="2661FC65">
      <w:pPr>
        <w:snapToGrid w:val="0"/>
        <w:spacing w:before="50" w:after="50"/>
        <w:outlineLvl w:val="1"/>
        <w:rPr>
          <w:rFonts w:ascii="宋体" w:hAnsi="宋体" w:cs="宋体"/>
          <w:color w:val="auto"/>
          <w:sz w:val="32"/>
          <w:szCs w:val="20"/>
          <w:highlight w:val="none"/>
        </w:rPr>
      </w:pPr>
    </w:p>
    <w:p w14:paraId="599EC649">
      <w:pPr>
        <w:snapToGrid w:val="0"/>
        <w:spacing w:before="50" w:after="50"/>
        <w:outlineLvl w:val="1"/>
        <w:rPr>
          <w:rFonts w:ascii="宋体" w:hAnsi="宋体" w:cs="宋体"/>
          <w:color w:val="auto"/>
          <w:sz w:val="32"/>
          <w:szCs w:val="20"/>
          <w:highlight w:val="none"/>
        </w:rPr>
      </w:pPr>
    </w:p>
    <w:p w14:paraId="4610E189">
      <w:pPr>
        <w:snapToGrid w:val="0"/>
        <w:spacing w:before="50" w:after="50"/>
        <w:outlineLvl w:val="1"/>
        <w:rPr>
          <w:rFonts w:ascii="宋体" w:hAnsi="宋体" w:cs="宋体"/>
          <w:color w:val="auto"/>
          <w:sz w:val="32"/>
          <w:szCs w:val="20"/>
          <w:highlight w:val="none"/>
        </w:rPr>
      </w:pPr>
    </w:p>
    <w:p w14:paraId="628E9891">
      <w:pPr>
        <w:snapToGrid w:val="0"/>
        <w:spacing w:before="50" w:after="50"/>
        <w:outlineLvl w:val="1"/>
        <w:rPr>
          <w:rFonts w:ascii="宋体" w:hAnsi="宋体" w:cs="宋体"/>
          <w:color w:val="auto"/>
          <w:sz w:val="32"/>
          <w:szCs w:val="20"/>
          <w:highlight w:val="none"/>
        </w:rPr>
      </w:pPr>
    </w:p>
    <w:p w14:paraId="32DCFF61">
      <w:pPr>
        <w:snapToGrid w:val="0"/>
        <w:spacing w:before="50" w:after="50"/>
        <w:outlineLvl w:val="1"/>
        <w:rPr>
          <w:rFonts w:ascii="宋体" w:hAnsi="宋体" w:cs="宋体"/>
          <w:color w:val="auto"/>
          <w:sz w:val="32"/>
          <w:szCs w:val="20"/>
          <w:highlight w:val="none"/>
        </w:rPr>
      </w:pPr>
    </w:p>
    <w:p w14:paraId="1C0FBCF4">
      <w:pPr>
        <w:snapToGrid w:val="0"/>
        <w:spacing w:before="50" w:after="50"/>
        <w:outlineLvl w:val="1"/>
        <w:rPr>
          <w:rFonts w:ascii="宋体" w:hAnsi="宋体" w:cs="宋体"/>
          <w:color w:val="auto"/>
          <w:sz w:val="32"/>
          <w:szCs w:val="20"/>
          <w:highlight w:val="none"/>
        </w:rPr>
      </w:pPr>
    </w:p>
    <w:p w14:paraId="4B64D311">
      <w:pPr>
        <w:snapToGrid w:val="0"/>
        <w:spacing w:before="50" w:after="50"/>
        <w:outlineLvl w:val="1"/>
        <w:rPr>
          <w:rFonts w:ascii="宋体" w:hAnsi="宋体" w:cs="宋体"/>
          <w:color w:val="auto"/>
          <w:sz w:val="32"/>
          <w:szCs w:val="20"/>
          <w:highlight w:val="none"/>
        </w:rPr>
      </w:pPr>
    </w:p>
    <w:p w14:paraId="66E33EB6">
      <w:pPr>
        <w:snapToGrid w:val="0"/>
        <w:spacing w:before="50" w:after="50"/>
        <w:outlineLvl w:val="1"/>
        <w:rPr>
          <w:rFonts w:ascii="宋体" w:hAnsi="宋体" w:cs="宋体"/>
          <w:color w:val="auto"/>
          <w:sz w:val="32"/>
          <w:szCs w:val="20"/>
          <w:highlight w:val="none"/>
        </w:rPr>
      </w:pPr>
    </w:p>
    <w:p w14:paraId="45D9C978">
      <w:pPr>
        <w:snapToGrid w:val="0"/>
        <w:spacing w:before="50" w:after="50"/>
        <w:outlineLvl w:val="1"/>
        <w:rPr>
          <w:rFonts w:ascii="宋体" w:hAnsi="宋体" w:cs="宋体"/>
          <w:color w:val="auto"/>
          <w:sz w:val="32"/>
          <w:szCs w:val="20"/>
          <w:highlight w:val="none"/>
        </w:rPr>
      </w:pPr>
    </w:p>
    <w:p w14:paraId="7361425F">
      <w:pPr>
        <w:snapToGrid w:val="0"/>
        <w:spacing w:before="50" w:after="50"/>
        <w:outlineLvl w:val="1"/>
        <w:rPr>
          <w:rFonts w:ascii="宋体" w:hAnsi="宋体" w:cs="宋体"/>
          <w:color w:val="auto"/>
          <w:sz w:val="32"/>
          <w:szCs w:val="20"/>
          <w:highlight w:val="none"/>
        </w:rPr>
      </w:pPr>
    </w:p>
    <w:p w14:paraId="3BA7550D">
      <w:pPr>
        <w:snapToGrid w:val="0"/>
        <w:spacing w:before="50" w:after="50"/>
        <w:outlineLvl w:val="1"/>
        <w:rPr>
          <w:rFonts w:ascii="宋体" w:hAnsi="宋体" w:cs="宋体"/>
          <w:color w:val="auto"/>
          <w:sz w:val="32"/>
          <w:szCs w:val="20"/>
          <w:highlight w:val="none"/>
        </w:rPr>
      </w:pPr>
    </w:p>
    <w:p w14:paraId="242D0F87">
      <w:pPr>
        <w:snapToGrid w:val="0"/>
        <w:spacing w:before="50" w:after="50"/>
        <w:outlineLvl w:val="1"/>
        <w:rPr>
          <w:rFonts w:ascii="宋体" w:hAnsi="宋体" w:cs="宋体"/>
          <w:color w:val="auto"/>
          <w:sz w:val="32"/>
          <w:szCs w:val="20"/>
          <w:highlight w:val="none"/>
        </w:rPr>
      </w:pPr>
    </w:p>
    <w:p w14:paraId="68EB3E8E">
      <w:pPr>
        <w:snapToGrid w:val="0"/>
        <w:spacing w:before="50" w:after="50"/>
        <w:outlineLvl w:val="1"/>
        <w:rPr>
          <w:rFonts w:ascii="宋体" w:hAnsi="宋体" w:cs="宋体"/>
          <w:color w:val="auto"/>
          <w:sz w:val="32"/>
          <w:szCs w:val="20"/>
          <w:highlight w:val="none"/>
        </w:rPr>
      </w:pPr>
    </w:p>
    <w:p w14:paraId="69C4006B">
      <w:pPr>
        <w:snapToGrid w:val="0"/>
        <w:spacing w:before="50" w:after="50"/>
        <w:outlineLvl w:val="1"/>
        <w:rPr>
          <w:rFonts w:ascii="宋体" w:hAnsi="宋体" w:cs="宋体"/>
          <w:color w:val="auto"/>
          <w:sz w:val="32"/>
          <w:szCs w:val="20"/>
          <w:highlight w:val="none"/>
        </w:rPr>
      </w:pPr>
    </w:p>
    <w:p w14:paraId="63106F06">
      <w:pPr>
        <w:snapToGrid w:val="0"/>
        <w:spacing w:before="50" w:after="50"/>
        <w:outlineLvl w:val="1"/>
        <w:rPr>
          <w:rFonts w:ascii="宋体" w:hAnsi="宋体" w:cs="宋体"/>
          <w:color w:val="auto"/>
          <w:sz w:val="32"/>
          <w:szCs w:val="20"/>
          <w:highlight w:val="none"/>
        </w:rPr>
      </w:pPr>
    </w:p>
    <w:p w14:paraId="60E2F6D2">
      <w:pPr>
        <w:snapToGrid w:val="0"/>
        <w:spacing w:before="50" w:after="50"/>
        <w:outlineLvl w:val="1"/>
        <w:rPr>
          <w:rFonts w:ascii="宋体" w:hAnsi="宋体" w:cs="宋体"/>
          <w:color w:val="auto"/>
          <w:sz w:val="32"/>
          <w:szCs w:val="20"/>
          <w:highlight w:val="none"/>
        </w:rPr>
      </w:pPr>
    </w:p>
    <w:p w14:paraId="6474FAE4">
      <w:pPr>
        <w:snapToGrid w:val="0"/>
        <w:spacing w:before="50" w:after="50"/>
        <w:outlineLvl w:val="1"/>
        <w:rPr>
          <w:rFonts w:ascii="宋体" w:hAnsi="宋体" w:cs="宋体"/>
          <w:color w:val="auto"/>
          <w:sz w:val="32"/>
          <w:szCs w:val="20"/>
          <w:highlight w:val="none"/>
        </w:rPr>
      </w:pPr>
    </w:p>
    <w:p w14:paraId="1F0E20D1">
      <w:pPr>
        <w:snapToGrid w:val="0"/>
        <w:spacing w:before="50" w:after="50"/>
        <w:outlineLvl w:val="1"/>
        <w:rPr>
          <w:rFonts w:ascii="宋体" w:hAnsi="宋体" w:cs="宋体"/>
          <w:color w:val="auto"/>
          <w:sz w:val="32"/>
          <w:szCs w:val="20"/>
          <w:highlight w:val="none"/>
        </w:rPr>
      </w:pPr>
    </w:p>
    <w:p w14:paraId="1489A1B2">
      <w:pPr>
        <w:snapToGrid w:val="0"/>
        <w:spacing w:before="50" w:after="50"/>
        <w:outlineLvl w:val="1"/>
        <w:rPr>
          <w:rFonts w:ascii="宋体" w:hAnsi="宋体" w:cs="宋体"/>
          <w:color w:val="auto"/>
          <w:sz w:val="32"/>
          <w:szCs w:val="20"/>
          <w:highlight w:val="none"/>
        </w:rPr>
      </w:pPr>
    </w:p>
    <w:p w14:paraId="6DCCB7EB">
      <w:pPr>
        <w:rPr>
          <w:rFonts w:ascii="宋体" w:hAnsi="宋体" w:cs="宋体"/>
          <w:b/>
          <w:color w:val="auto"/>
          <w:sz w:val="28"/>
          <w:szCs w:val="28"/>
          <w:highlight w:val="none"/>
        </w:rPr>
      </w:pPr>
      <w:bookmarkStart w:id="140" w:name="_Toc19686836"/>
      <w:bookmarkStart w:id="141" w:name="_Toc254970557"/>
      <w:bookmarkStart w:id="142" w:name="_Toc254970698"/>
      <w:r>
        <w:rPr>
          <w:rFonts w:hint="eastAsia" w:ascii="宋体" w:hAnsi="宋体" w:cs="宋体"/>
          <w:b/>
          <w:color w:val="auto"/>
          <w:sz w:val="28"/>
          <w:szCs w:val="28"/>
          <w:highlight w:val="none"/>
        </w:rPr>
        <w:t>一、报价文件格式</w:t>
      </w:r>
      <w:bookmarkEnd w:id="140"/>
    </w:p>
    <w:p w14:paraId="2E447320">
      <w:pPr>
        <w:snapToGrid w:val="0"/>
        <w:spacing w:beforeLines="50" w:after="50" w:line="360" w:lineRule="auto"/>
        <w:ind w:left="142"/>
        <w:jc w:val="left"/>
        <w:rPr>
          <w:rFonts w:ascii="宋体" w:hAnsi="宋体" w:cs="宋体"/>
          <w:color w:val="auto"/>
          <w:sz w:val="24"/>
          <w:szCs w:val="20"/>
          <w:highlight w:val="none"/>
        </w:rPr>
      </w:pPr>
      <w:r>
        <w:rPr>
          <w:rFonts w:hint="eastAsia" w:ascii="宋体" w:hAnsi="宋体" w:cs="宋体"/>
          <w:b/>
          <w:color w:val="auto"/>
          <w:sz w:val="24"/>
          <w:highlight w:val="none"/>
        </w:rPr>
        <w:t xml:space="preserve">1. 报价文件封面格式： </w:t>
      </w:r>
    </w:p>
    <w:p w14:paraId="50768DC1">
      <w:pPr>
        <w:snapToGrid w:val="0"/>
        <w:spacing w:beforeLines="50" w:after="50" w:line="360" w:lineRule="auto"/>
        <w:ind w:left="142"/>
        <w:jc w:val="center"/>
        <w:rPr>
          <w:rFonts w:ascii="宋体" w:hAnsi="宋体" w:cs="宋体"/>
          <w:bCs/>
          <w:color w:val="auto"/>
          <w:sz w:val="48"/>
          <w:szCs w:val="48"/>
          <w:highlight w:val="none"/>
        </w:rPr>
      </w:pPr>
      <w:r>
        <w:rPr>
          <w:rFonts w:hint="eastAsia" w:ascii="宋体" w:hAnsi="宋体" w:cs="宋体"/>
          <w:bCs/>
          <w:color w:val="auto"/>
          <w:sz w:val="48"/>
          <w:szCs w:val="48"/>
          <w:highlight w:val="none"/>
        </w:rPr>
        <w:t>电子投标文件</w:t>
      </w:r>
    </w:p>
    <w:p w14:paraId="022685DC">
      <w:pPr>
        <w:snapToGrid w:val="0"/>
        <w:spacing w:beforeLines="50" w:after="50" w:line="400" w:lineRule="exact"/>
        <w:rPr>
          <w:rFonts w:ascii="宋体" w:hAnsi="宋体" w:cs="宋体"/>
          <w:bCs/>
          <w:color w:val="auto"/>
          <w:sz w:val="32"/>
          <w:szCs w:val="20"/>
          <w:highlight w:val="none"/>
        </w:rPr>
      </w:pPr>
      <w:r>
        <w:rPr>
          <w:rFonts w:hint="eastAsia" w:ascii="宋体" w:hAnsi="宋体" w:cs="宋体"/>
          <w:color w:val="auto"/>
          <w:sz w:val="24"/>
          <w:highlight w:val="none"/>
        </w:rPr>
        <w:t xml:space="preserve">                 </w:t>
      </w:r>
    </w:p>
    <w:p w14:paraId="4920C565">
      <w:pPr>
        <w:snapToGrid w:val="0"/>
        <w:spacing w:beforeLines="50" w:after="50" w:line="400" w:lineRule="exact"/>
        <w:jc w:val="center"/>
        <w:rPr>
          <w:rFonts w:ascii="宋体" w:hAnsi="宋体" w:cs="宋体"/>
          <w:bCs/>
          <w:color w:val="auto"/>
          <w:sz w:val="24"/>
          <w:szCs w:val="20"/>
          <w:highlight w:val="none"/>
        </w:rPr>
      </w:pPr>
    </w:p>
    <w:p w14:paraId="54C2A3A2">
      <w:pPr>
        <w:snapToGrid w:val="0"/>
        <w:spacing w:beforeLines="50" w:after="50" w:line="40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报价文件</w:t>
      </w:r>
    </w:p>
    <w:p w14:paraId="7B3E6365">
      <w:pPr>
        <w:snapToGrid w:val="0"/>
        <w:spacing w:beforeLines="50" w:after="50" w:line="400" w:lineRule="exact"/>
        <w:rPr>
          <w:rFonts w:ascii="宋体" w:hAnsi="宋体" w:cs="宋体"/>
          <w:bCs/>
          <w:color w:val="auto"/>
          <w:sz w:val="24"/>
          <w:szCs w:val="20"/>
          <w:highlight w:val="none"/>
        </w:rPr>
      </w:pPr>
    </w:p>
    <w:p w14:paraId="30C927B8">
      <w:pPr>
        <w:snapToGrid w:val="0"/>
        <w:spacing w:beforeLines="50" w:after="50" w:line="400" w:lineRule="exact"/>
        <w:rPr>
          <w:rFonts w:ascii="宋体" w:hAnsi="宋体" w:cs="宋体"/>
          <w:bCs/>
          <w:color w:val="auto"/>
          <w:sz w:val="24"/>
          <w:szCs w:val="20"/>
          <w:highlight w:val="none"/>
        </w:rPr>
      </w:pPr>
    </w:p>
    <w:p w14:paraId="1FBB36CB">
      <w:pPr>
        <w:snapToGrid w:val="0"/>
        <w:spacing w:beforeLines="50" w:after="50" w:line="400" w:lineRule="exact"/>
        <w:rPr>
          <w:rFonts w:hint="eastAsia" w:ascii="宋体" w:hAnsi="宋体" w:eastAsia="宋体" w:cs="宋体"/>
          <w:bCs/>
          <w:color w:val="auto"/>
          <w:sz w:val="24"/>
          <w:szCs w:val="20"/>
          <w:highlight w:val="none"/>
          <w:lang w:val="en-US" w:eastAsia="zh-CN"/>
        </w:rPr>
      </w:pPr>
      <w:r>
        <w:rPr>
          <w:rFonts w:hint="eastAsia" w:ascii="宋体" w:hAnsi="宋体" w:cs="宋体"/>
          <w:bCs/>
          <w:color w:val="auto"/>
          <w:sz w:val="24"/>
          <w:szCs w:val="20"/>
          <w:highlight w:val="none"/>
          <w:lang w:val="en-US" w:eastAsia="zh-CN"/>
        </w:rPr>
        <w:t xml:space="preserve">   </w:t>
      </w:r>
      <w:r>
        <w:rPr>
          <w:rFonts w:hint="eastAsia" w:ascii="宋体" w:hAnsi="宋体" w:cs="宋体"/>
          <w:bCs/>
          <w:color w:val="auto"/>
          <w:sz w:val="24"/>
          <w:highlight w:val="none"/>
          <w:lang w:val="en-US" w:eastAsia="zh-CN"/>
        </w:rPr>
        <w:t>所投</w:t>
      </w:r>
      <w:r>
        <w:rPr>
          <w:rFonts w:hint="eastAsia" w:ascii="宋体" w:hAnsi="宋体" w:cs="宋体"/>
          <w:bCs/>
          <w:color w:val="auto"/>
          <w:sz w:val="24"/>
          <w:highlight w:val="none"/>
        </w:rPr>
        <w:t>标项</w:t>
      </w:r>
      <w:r>
        <w:rPr>
          <w:rFonts w:hint="eastAsia" w:ascii="宋体" w:hAnsi="宋体" w:cs="宋体"/>
          <w:bCs/>
          <w:color w:val="auto"/>
          <w:sz w:val="24"/>
          <w:highlight w:val="none"/>
          <w:lang w:eastAsia="zh-CN"/>
        </w:rPr>
        <w:t>：</w:t>
      </w:r>
    </w:p>
    <w:p w14:paraId="503C5941">
      <w:pPr>
        <w:snapToGrid w:val="0"/>
        <w:spacing w:beforeLines="50" w:after="50" w:line="400" w:lineRule="exact"/>
        <w:rPr>
          <w:rFonts w:ascii="宋体" w:hAnsi="宋体" w:cs="宋体"/>
          <w:bCs/>
          <w:color w:val="auto"/>
          <w:sz w:val="24"/>
          <w:szCs w:val="20"/>
          <w:highlight w:val="none"/>
        </w:rPr>
      </w:pPr>
    </w:p>
    <w:p w14:paraId="329EB68C">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161CE542">
      <w:pPr>
        <w:snapToGrid w:val="0"/>
        <w:spacing w:beforeLines="50" w:after="50" w:line="400" w:lineRule="exact"/>
        <w:ind w:firstLine="360" w:firstLineChars="150"/>
        <w:rPr>
          <w:rFonts w:ascii="宋体" w:hAnsi="宋体" w:cs="宋体"/>
          <w:bCs/>
          <w:color w:val="auto"/>
          <w:sz w:val="24"/>
          <w:highlight w:val="none"/>
        </w:rPr>
      </w:pPr>
    </w:p>
    <w:p w14:paraId="00022944">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项目编号： </w:t>
      </w:r>
    </w:p>
    <w:p w14:paraId="6FD8D08E">
      <w:pPr>
        <w:snapToGrid w:val="0"/>
        <w:spacing w:beforeLines="50" w:after="50" w:line="400" w:lineRule="exact"/>
        <w:ind w:firstLine="360" w:firstLineChars="150"/>
        <w:rPr>
          <w:rFonts w:ascii="宋体" w:hAnsi="宋体" w:cs="宋体"/>
          <w:bCs/>
          <w:color w:val="auto"/>
          <w:sz w:val="24"/>
          <w:highlight w:val="none"/>
        </w:rPr>
      </w:pPr>
    </w:p>
    <w:p w14:paraId="580D49D8">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14:paraId="5148227D">
      <w:pPr>
        <w:snapToGrid w:val="0"/>
        <w:spacing w:beforeLines="50" w:after="50" w:line="400" w:lineRule="exact"/>
        <w:ind w:firstLine="360" w:firstLineChars="150"/>
        <w:rPr>
          <w:rFonts w:ascii="宋体" w:hAnsi="宋体" w:cs="宋体"/>
          <w:bCs/>
          <w:color w:val="auto"/>
          <w:sz w:val="24"/>
          <w:highlight w:val="none"/>
        </w:rPr>
      </w:pPr>
    </w:p>
    <w:p w14:paraId="2F8E4557">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投标人地址：</w:t>
      </w:r>
    </w:p>
    <w:p w14:paraId="6EE06791">
      <w:pPr>
        <w:pStyle w:val="8"/>
        <w:snapToGrid w:val="0"/>
        <w:spacing w:before="50" w:after="50" w:line="400" w:lineRule="exact"/>
        <w:ind w:firstLine="960" w:firstLineChars="400"/>
        <w:rPr>
          <w:rFonts w:ascii="宋体" w:hAnsi="宋体" w:cs="宋体"/>
          <w:bCs/>
          <w:color w:val="auto"/>
          <w:sz w:val="24"/>
          <w:szCs w:val="24"/>
          <w:highlight w:val="none"/>
        </w:rPr>
      </w:pPr>
    </w:p>
    <w:p w14:paraId="436ADE30">
      <w:pPr>
        <w:snapToGrid w:val="0"/>
        <w:spacing w:beforeLines="50" w:after="50" w:line="400" w:lineRule="exact"/>
        <w:rPr>
          <w:rFonts w:ascii="宋体" w:hAnsi="宋体" w:cs="宋体"/>
          <w:color w:val="auto"/>
          <w:sz w:val="30"/>
          <w:szCs w:val="20"/>
          <w:highlight w:val="none"/>
        </w:rPr>
      </w:pPr>
      <w:r>
        <w:rPr>
          <w:rFonts w:hint="eastAsia" w:ascii="宋体" w:hAnsi="宋体" w:cs="宋体"/>
          <w:color w:val="auto"/>
          <w:sz w:val="24"/>
          <w:highlight w:val="none"/>
        </w:rPr>
        <w:t xml:space="preserve">                                   年  月  日</w:t>
      </w:r>
    </w:p>
    <w:p w14:paraId="291484A8">
      <w:pPr>
        <w:snapToGrid w:val="0"/>
        <w:spacing w:beforeLines="50" w:after="50" w:line="360" w:lineRule="auto"/>
        <w:jc w:val="left"/>
        <w:rPr>
          <w:rFonts w:ascii="宋体" w:hAnsi="宋体" w:cs="宋体"/>
          <w:color w:val="auto"/>
          <w:sz w:val="24"/>
          <w:szCs w:val="20"/>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2.</w:t>
      </w:r>
      <w:r>
        <w:rPr>
          <w:rFonts w:hint="eastAsia" w:ascii="宋体" w:hAnsi="宋体" w:cs="宋体"/>
          <w:b/>
          <w:bCs/>
          <w:color w:val="auto"/>
          <w:sz w:val="24"/>
          <w:highlight w:val="none"/>
        </w:rPr>
        <w:t>报价文件目录</w:t>
      </w:r>
    </w:p>
    <w:p w14:paraId="56DF283C">
      <w:pPr>
        <w:snapToGrid w:val="0"/>
        <w:spacing w:before="50" w:afterLines="50" w:line="360" w:lineRule="auto"/>
        <w:jc w:val="left"/>
        <w:rPr>
          <w:rFonts w:ascii="宋体" w:hAnsi="宋体" w:cs="宋体"/>
          <w:b/>
          <w:color w:val="auto"/>
          <w:sz w:val="24"/>
          <w:highlight w:val="none"/>
        </w:rPr>
      </w:pPr>
      <w:r>
        <w:rPr>
          <w:rFonts w:hint="eastAsia" w:ascii="宋体" w:hAnsi="宋体" w:cs="宋体"/>
          <w:color w:val="auto"/>
          <w:szCs w:val="21"/>
          <w:highlight w:val="none"/>
        </w:rPr>
        <w:t>根据招标文件规定及投标人提供的材料自行编写目录。</w:t>
      </w:r>
    </w:p>
    <w:p w14:paraId="2AD2660B">
      <w:pPr>
        <w:snapToGrid w:val="0"/>
        <w:spacing w:beforeLines="50" w:after="50"/>
        <w:rPr>
          <w:rFonts w:ascii="宋体" w:hAnsi="宋体" w:cs="宋体"/>
          <w:b/>
          <w:color w:val="auto"/>
          <w:sz w:val="24"/>
          <w:highlight w:val="none"/>
        </w:rPr>
      </w:pPr>
    </w:p>
    <w:p w14:paraId="5DE69DE7">
      <w:pPr>
        <w:snapToGrid w:val="0"/>
        <w:spacing w:beforeLines="50" w:after="50"/>
        <w:rPr>
          <w:rFonts w:ascii="宋体" w:hAnsi="宋体" w:cs="宋体"/>
          <w:b/>
          <w:color w:val="auto"/>
          <w:sz w:val="24"/>
          <w:highlight w:val="none"/>
        </w:rPr>
      </w:pPr>
    </w:p>
    <w:p w14:paraId="27D24924">
      <w:pPr>
        <w:snapToGrid w:val="0"/>
        <w:spacing w:beforeLines="50" w:after="50"/>
        <w:rPr>
          <w:rFonts w:ascii="宋体" w:hAnsi="宋体" w:cs="宋体"/>
          <w:b/>
          <w:color w:val="auto"/>
          <w:sz w:val="24"/>
          <w:highlight w:val="none"/>
        </w:rPr>
      </w:pPr>
    </w:p>
    <w:p w14:paraId="6B6DE45D">
      <w:pPr>
        <w:snapToGrid w:val="0"/>
        <w:spacing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3. 投标函格式：</w:t>
      </w:r>
    </w:p>
    <w:p w14:paraId="0AFC16AD">
      <w:pPr>
        <w:snapToGrid w:val="0"/>
        <w:spacing w:beforeLines="50" w:after="50" w:line="3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投 标 函</w:t>
      </w:r>
    </w:p>
    <w:p w14:paraId="3702F39E">
      <w:pPr>
        <w:snapToGrid w:val="0"/>
        <w:spacing w:beforeLines="50" w:after="50" w:line="320" w:lineRule="exact"/>
        <w:jc w:val="center"/>
        <w:rPr>
          <w:rFonts w:ascii="宋体" w:hAnsi="宋体" w:cs="宋体"/>
          <w:b/>
          <w:color w:val="auto"/>
          <w:sz w:val="24"/>
          <w:szCs w:val="20"/>
          <w:highlight w:val="none"/>
        </w:rPr>
      </w:pPr>
    </w:p>
    <w:p w14:paraId="33C587DB">
      <w:pPr>
        <w:snapToGrid w:val="0"/>
        <w:spacing w:beforeLines="50" w:after="50" w:line="320" w:lineRule="exact"/>
        <w:jc w:val="center"/>
        <w:rPr>
          <w:rFonts w:ascii="宋体" w:hAnsi="宋体" w:cs="宋体"/>
          <w:b/>
          <w:color w:val="auto"/>
          <w:sz w:val="24"/>
          <w:szCs w:val="20"/>
          <w:highlight w:val="none"/>
        </w:rPr>
      </w:pPr>
    </w:p>
    <w:p w14:paraId="4A7344EB">
      <w:pPr>
        <w:snapToGrid w:val="0"/>
        <w:spacing w:beforeLines="50" w:after="50" w:line="320" w:lineRule="exact"/>
        <w:jc w:val="center"/>
        <w:rPr>
          <w:rFonts w:ascii="宋体" w:hAnsi="宋体" w:cs="宋体"/>
          <w:b/>
          <w:color w:val="auto"/>
          <w:sz w:val="24"/>
          <w:szCs w:val="20"/>
          <w:highlight w:val="none"/>
        </w:rPr>
      </w:pPr>
    </w:p>
    <w:p w14:paraId="22E7202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3E9163C8">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根据贵方</w:t>
      </w:r>
      <w:r>
        <w:rPr>
          <w:rFonts w:hint="eastAsia" w:ascii="宋体" w:hAnsi="宋体" w:cs="宋体"/>
          <w:color w:val="auto"/>
          <w:sz w:val="24"/>
          <w:highlight w:val="none"/>
          <w:u w:val="single"/>
        </w:rPr>
        <w:t xml:space="preserve"> 项目名称</w:t>
      </w: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）的招标公告，签字代表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（姓名）经正式授权并代表投标人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（投标人名称）提交投标文件。</w:t>
      </w:r>
    </w:p>
    <w:p w14:paraId="0B8873D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据此函，我方宣布同意如下：</w:t>
      </w:r>
    </w:p>
    <w:p w14:paraId="3E4CF02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4902AC4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2.我方在投标之前已经完全理解并接受招标文件的各项规定和要求，对招标文件的合理性、合法性不再有异议。</w:t>
      </w:r>
    </w:p>
    <w:p w14:paraId="45F8565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3.本投标有效期自投标截止之日起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C85C98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4.如中标，本投标文件至本项目合同履行完毕止均保持有效，我方将按“招标文件”及政府采购法律、法规的规定履行合同责任和义务。</w:t>
      </w:r>
    </w:p>
    <w:p w14:paraId="7B92202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5.我方同意按照贵方要求提供与投标有关的一切数据或者资料。</w:t>
      </w:r>
    </w:p>
    <w:p w14:paraId="7D652FD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6.我方向贵方提交的所有投标文件、资料都是准确的和真实的。</w:t>
      </w:r>
    </w:p>
    <w:p w14:paraId="17C80D7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7.以上事项如有虚假或者隐瞒，我方愿意承担一切后果，并不再寻求任何旨在减轻或者免除法律责任的辩解。</w:t>
      </w:r>
    </w:p>
    <w:p w14:paraId="3D426EB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根据《中华人民共和国政府采购法实施条例》第五十条要求对政府采购合同进行公告，但政府采购合同中涉及国家秘密、商业秘密的内容除外。我方就对本次投标文件进行注明如下：（两项内容中必须选择一项）</w:t>
      </w:r>
    </w:p>
    <w:p w14:paraId="1C1437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□我方本次投标文件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7B458CD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□我方本次投标文件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9DDC01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9.与本投标有关的一切正式往来信函请寄：</w:t>
      </w:r>
    </w:p>
    <w:p w14:paraId="10E4C6ED">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single"/>
        </w:rPr>
        <w:t xml:space="preserve">            </w:t>
      </w:r>
    </w:p>
    <w:p w14:paraId="2002687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传真：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电子邮箱：</w:t>
      </w:r>
      <w:r>
        <w:rPr>
          <w:rFonts w:hint="eastAsia" w:ascii="宋体" w:hAnsi="宋体" w:cs="宋体"/>
          <w:color w:val="auto"/>
          <w:sz w:val="24"/>
          <w:highlight w:val="none"/>
          <w:u w:val="single"/>
        </w:rPr>
        <w:t xml:space="preserve">         </w:t>
      </w:r>
    </w:p>
    <w:p w14:paraId="75E672F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投标人名称:</w:t>
      </w:r>
      <w:r>
        <w:rPr>
          <w:rFonts w:hint="eastAsia" w:ascii="宋体" w:hAnsi="宋体" w:cs="宋体"/>
          <w:color w:val="auto"/>
          <w:sz w:val="24"/>
          <w:highlight w:val="none"/>
          <w:u w:val="single"/>
        </w:rPr>
        <w:t xml:space="preserve">                </w:t>
      </w:r>
    </w:p>
    <w:p w14:paraId="6D3CBE0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银行账号：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39656004">
      <w:pPr>
        <w:snapToGrid w:val="0"/>
        <w:spacing w:line="360" w:lineRule="auto"/>
        <w:ind w:firstLine="480" w:firstLineChars="200"/>
        <w:jc w:val="left"/>
        <w:rPr>
          <w:rFonts w:ascii="宋体" w:hAnsi="宋体" w:cs="宋体"/>
          <w:color w:val="auto"/>
          <w:sz w:val="24"/>
          <w:highlight w:val="none"/>
        </w:rPr>
      </w:pPr>
    </w:p>
    <w:p w14:paraId="79F6924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                法定代表人或者委托代理人（签字或者电子签名）:_______ </w:t>
      </w:r>
    </w:p>
    <w:p w14:paraId="79EDB46B">
      <w:pPr>
        <w:pStyle w:val="25"/>
        <w:snapToGrid w:val="0"/>
        <w:spacing w:before="295" w:after="295" w:line="360" w:lineRule="auto"/>
        <w:jc w:val="center"/>
        <w:rPr>
          <w:rFonts w:hAnsi="宋体" w:cs="宋体"/>
          <w:color w:val="auto"/>
          <w:sz w:val="24"/>
          <w:szCs w:val="24"/>
          <w:highlight w:val="none"/>
          <w:u w:val="single"/>
        </w:rPr>
      </w:pPr>
      <w:r>
        <w:rPr>
          <w:rFonts w:hint="eastAsia" w:hAnsi="宋体" w:cs="宋体"/>
          <w:color w:val="auto"/>
          <w:sz w:val="24"/>
          <w:highlight w:val="none"/>
        </w:rPr>
        <w:t xml:space="preserve">                                     投标人名称（电子签章）：</w:t>
      </w:r>
    </w:p>
    <w:p w14:paraId="3245D12D">
      <w:pPr>
        <w:pStyle w:val="25"/>
        <w:snapToGrid w:val="0"/>
        <w:spacing w:before="295" w:after="295" w:line="360" w:lineRule="auto"/>
        <w:rPr>
          <w:rFonts w:hAnsi="宋体" w:cs="宋体"/>
          <w:color w:val="auto"/>
          <w:sz w:val="24"/>
          <w:highlight w:val="none"/>
        </w:rPr>
      </w:pPr>
      <w:r>
        <w:rPr>
          <w:rFonts w:hint="eastAsia" w:hAnsi="宋体" w:cs="宋体"/>
          <w:color w:val="auto"/>
          <w:sz w:val="24"/>
          <w:szCs w:val="24"/>
          <w:highlight w:val="none"/>
        </w:rPr>
        <w:t xml:space="preserve">                                                </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w:t>
      </w:r>
    </w:p>
    <w:p w14:paraId="4E24AB2C">
      <w:pPr>
        <w:snapToGrid w:val="0"/>
        <w:spacing w:beforeLines="50" w:after="50"/>
        <w:jc w:val="left"/>
        <w:rPr>
          <w:rFonts w:ascii="宋体" w:hAnsi="宋体" w:cs="宋体"/>
          <w:b/>
          <w:color w:val="auto"/>
          <w:sz w:val="24"/>
          <w:szCs w:val="20"/>
          <w:highlight w:val="none"/>
        </w:rPr>
      </w:pPr>
      <w:r>
        <w:rPr>
          <w:rFonts w:hint="eastAsia" w:ascii="宋体" w:hAnsi="宋体" w:cs="宋体"/>
          <w:color w:val="auto"/>
          <w:highlight w:val="none"/>
          <w:u w:val="single"/>
        </w:rPr>
        <w:br w:type="page"/>
      </w:r>
      <w:r>
        <w:rPr>
          <w:rFonts w:hint="eastAsia" w:ascii="宋体" w:hAnsi="宋体" w:cs="宋体"/>
          <w:b/>
          <w:color w:val="auto"/>
          <w:sz w:val="24"/>
          <w:highlight w:val="none"/>
        </w:rPr>
        <w:t>4. 开标一览表</w:t>
      </w:r>
    </w:p>
    <w:p w14:paraId="2A7E7112">
      <w:pPr>
        <w:snapToGrid w:val="0"/>
        <w:spacing w:before="50" w:after="50"/>
        <w:jc w:val="center"/>
        <w:rPr>
          <w:rFonts w:ascii="宋体" w:hAnsi="宋体" w:cs="宋体"/>
          <w:b/>
          <w:color w:val="auto"/>
          <w:sz w:val="30"/>
          <w:highlight w:val="none"/>
        </w:rPr>
      </w:pPr>
      <w:r>
        <w:rPr>
          <w:rFonts w:hint="eastAsia" w:ascii="宋体" w:hAnsi="宋体" w:cs="宋体"/>
          <w:b/>
          <w:color w:val="auto"/>
          <w:sz w:val="30"/>
          <w:highlight w:val="none"/>
        </w:rPr>
        <w:t>开标一览表</w:t>
      </w:r>
    </w:p>
    <w:p w14:paraId="76958EEB">
      <w:pPr>
        <w:snapToGrid w:val="0"/>
        <w:spacing w:before="50" w:after="50"/>
        <w:jc w:val="center"/>
        <w:rPr>
          <w:rFonts w:ascii="宋体" w:hAnsi="宋体" w:cs="宋体"/>
          <w:b/>
          <w:color w:val="auto"/>
          <w:sz w:val="30"/>
          <w:szCs w:val="20"/>
          <w:highlight w:val="none"/>
        </w:rPr>
      </w:pPr>
    </w:p>
    <w:p w14:paraId="1728477A">
      <w:pPr>
        <w:snapToGrid w:val="0"/>
        <w:spacing w:before="50" w:after="50" w:line="360" w:lineRule="auto"/>
        <w:rPr>
          <w:rFonts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7DA796B5">
      <w:pPr>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投标人名称：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单位：元</w:t>
      </w:r>
    </w:p>
    <w:p w14:paraId="66EB4ADD">
      <w:pPr>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 xml:space="preserve">                                           </w:t>
      </w:r>
    </w:p>
    <w:tbl>
      <w:tblPr>
        <w:tblStyle w:val="48"/>
        <w:tblpPr w:leftFromText="180" w:rightFromText="180" w:vertAnchor="text" w:horzAnchor="page" w:tblpX="422" w:tblpY="533"/>
        <w:tblOverlap w:val="never"/>
        <w:tblW w:w="101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617"/>
        <w:gridCol w:w="2186"/>
        <w:gridCol w:w="1179"/>
        <w:gridCol w:w="1401"/>
        <w:gridCol w:w="1967"/>
        <w:gridCol w:w="799"/>
      </w:tblGrid>
      <w:tr w14:paraId="2ED83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1012" w:type="dxa"/>
            <w:tcBorders>
              <w:top w:val="single" w:color="auto" w:sz="4" w:space="0"/>
              <w:left w:val="single" w:color="auto" w:sz="4" w:space="0"/>
              <w:bottom w:val="single" w:color="auto" w:sz="4" w:space="0"/>
              <w:right w:val="single" w:color="auto" w:sz="4" w:space="0"/>
            </w:tcBorders>
            <w:vAlign w:val="center"/>
          </w:tcPr>
          <w:p w14:paraId="3848C87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1617" w:type="dxa"/>
            <w:tcBorders>
              <w:top w:val="single" w:color="auto" w:sz="4" w:space="0"/>
              <w:left w:val="single" w:color="auto" w:sz="4" w:space="0"/>
              <w:bottom w:val="single" w:color="auto" w:sz="4" w:space="0"/>
              <w:right w:val="single" w:color="auto" w:sz="4" w:space="0"/>
            </w:tcBorders>
            <w:vAlign w:val="center"/>
          </w:tcPr>
          <w:p w14:paraId="206E66A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标的的名称</w:t>
            </w:r>
          </w:p>
        </w:tc>
        <w:tc>
          <w:tcPr>
            <w:tcW w:w="2186" w:type="dxa"/>
            <w:tcBorders>
              <w:top w:val="single" w:color="auto" w:sz="4" w:space="0"/>
              <w:left w:val="single" w:color="auto" w:sz="4" w:space="0"/>
              <w:bottom w:val="single" w:color="auto" w:sz="4" w:space="0"/>
              <w:right w:val="single" w:color="auto" w:sz="4" w:space="0"/>
            </w:tcBorders>
            <w:vAlign w:val="center"/>
          </w:tcPr>
          <w:p w14:paraId="243E1B5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规格型号和品牌</w:t>
            </w:r>
          </w:p>
        </w:tc>
        <w:tc>
          <w:tcPr>
            <w:tcW w:w="1179" w:type="dxa"/>
            <w:tcBorders>
              <w:top w:val="single" w:color="auto" w:sz="4" w:space="0"/>
              <w:left w:val="single" w:color="auto" w:sz="4" w:space="0"/>
              <w:bottom w:val="single" w:color="auto" w:sz="4" w:space="0"/>
              <w:right w:val="single" w:color="auto" w:sz="4" w:space="0"/>
            </w:tcBorders>
            <w:vAlign w:val="center"/>
          </w:tcPr>
          <w:p w14:paraId="65A7C2A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数量</w:t>
            </w:r>
          </w:p>
        </w:tc>
        <w:tc>
          <w:tcPr>
            <w:tcW w:w="1401" w:type="dxa"/>
            <w:tcBorders>
              <w:top w:val="single" w:color="auto" w:sz="4" w:space="0"/>
              <w:left w:val="single" w:color="auto" w:sz="4" w:space="0"/>
              <w:bottom w:val="single" w:color="auto" w:sz="4" w:space="0"/>
              <w:right w:val="single" w:color="auto" w:sz="4" w:space="0"/>
            </w:tcBorders>
            <w:vAlign w:val="center"/>
          </w:tcPr>
          <w:p w14:paraId="13FC579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单位</w:t>
            </w:r>
          </w:p>
        </w:tc>
        <w:tc>
          <w:tcPr>
            <w:tcW w:w="1967" w:type="dxa"/>
            <w:tcBorders>
              <w:top w:val="single" w:color="auto" w:sz="4" w:space="0"/>
              <w:left w:val="single" w:color="auto" w:sz="4" w:space="0"/>
              <w:bottom w:val="single" w:color="auto" w:sz="4" w:space="0"/>
              <w:right w:val="single" w:color="auto" w:sz="4" w:space="0"/>
            </w:tcBorders>
            <w:vAlign w:val="center"/>
          </w:tcPr>
          <w:p w14:paraId="274C959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单价</w:t>
            </w:r>
          </w:p>
        </w:tc>
        <w:tc>
          <w:tcPr>
            <w:tcW w:w="799" w:type="dxa"/>
            <w:tcBorders>
              <w:top w:val="single" w:color="auto" w:sz="4" w:space="0"/>
              <w:left w:val="single" w:color="auto" w:sz="4" w:space="0"/>
              <w:bottom w:val="single" w:color="auto" w:sz="4" w:space="0"/>
              <w:right w:val="single" w:color="auto" w:sz="4" w:space="0"/>
            </w:tcBorders>
            <w:vAlign w:val="center"/>
          </w:tcPr>
          <w:p w14:paraId="2346441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总价</w:t>
            </w:r>
          </w:p>
        </w:tc>
      </w:tr>
      <w:tr w14:paraId="05700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012" w:type="dxa"/>
            <w:tcBorders>
              <w:top w:val="single" w:color="auto" w:sz="4" w:space="0"/>
              <w:left w:val="single" w:color="auto" w:sz="4" w:space="0"/>
              <w:bottom w:val="single" w:color="auto" w:sz="4" w:space="0"/>
              <w:right w:val="single" w:color="auto" w:sz="4" w:space="0"/>
            </w:tcBorders>
            <w:vAlign w:val="center"/>
          </w:tcPr>
          <w:p w14:paraId="5A02858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17" w:type="dxa"/>
            <w:tcBorders>
              <w:top w:val="single" w:color="auto" w:sz="4" w:space="0"/>
              <w:left w:val="single" w:color="auto" w:sz="4" w:space="0"/>
              <w:bottom w:val="single" w:color="auto" w:sz="4" w:space="0"/>
              <w:right w:val="single" w:color="auto" w:sz="4" w:space="0"/>
            </w:tcBorders>
            <w:vAlign w:val="center"/>
          </w:tcPr>
          <w:p w14:paraId="2985E4ED">
            <w:pPr>
              <w:spacing w:line="360" w:lineRule="auto"/>
              <w:jc w:val="center"/>
              <w:rPr>
                <w:rFonts w:ascii="宋体" w:hAnsi="宋体" w:cs="宋体"/>
                <w:color w:val="auto"/>
                <w:sz w:val="24"/>
                <w:highlight w:val="none"/>
              </w:rPr>
            </w:pPr>
          </w:p>
        </w:tc>
        <w:tc>
          <w:tcPr>
            <w:tcW w:w="2186" w:type="dxa"/>
            <w:tcBorders>
              <w:top w:val="single" w:color="auto" w:sz="4" w:space="0"/>
              <w:left w:val="single" w:color="auto" w:sz="4" w:space="0"/>
              <w:bottom w:val="single" w:color="auto" w:sz="4" w:space="0"/>
              <w:right w:val="single" w:color="auto" w:sz="4" w:space="0"/>
            </w:tcBorders>
            <w:vAlign w:val="center"/>
          </w:tcPr>
          <w:p w14:paraId="1C045F67">
            <w:pPr>
              <w:spacing w:line="360" w:lineRule="auto"/>
              <w:jc w:val="center"/>
              <w:rPr>
                <w:rFonts w:ascii="宋体" w:hAnsi="宋体" w:cs="宋体"/>
                <w:color w:val="auto"/>
                <w:sz w:val="24"/>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14:paraId="725BE47F">
            <w:pPr>
              <w:spacing w:line="360" w:lineRule="auto"/>
              <w:rPr>
                <w:rFonts w:ascii="宋体" w:hAnsi="宋体" w:cs="宋体"/>
                <w:color w:val="auto"/>
                <w:sz w:val="24"/>
                <w:highlight w:val="none"/>
              </w:rPr>
            </w:pPr>
          </w:p>
        </w:tc>
        <w:tc>
          <w:tcPr>
            <w:tcW w:w="1401" w:type="dxa"/>
            <w:tcBorders>
              <w:top w:val="single" w:color="auto" w:sz="4" w:space="0"/>
              <w:left w:val="single" w:color="auto" w:sz="4" w:space="0"/>
              <w:bottom w:val="single" w:color="auto" w:sz="4" w:space="0"/>
              <w:right w:val="single" w:color="auto" w:sz="4" w:space="0"/>
            </w:tcBorders>
          </w:tcPr>
          <w:p w14:paraId="0D50F288">
            <w:pPr>
              <w:spacing w:line="360" w:lineRule="auto"/>
              <w:rPr>
                <w:rFonts w:ascii="宋体" w:hAnsi="宋体" w:cs="宋体"/>
                <w:color w:val="auto"/>
                <w:sz w:val="24"/>
                <w:highlight w:val="none"/>
              </w:rPr>
            </w:pPr>
          </w:p>
        </w:tc>
        <w:tc>
          <w:tcPr>
            <w:tcW w:w="1967" w:type="dxa"/>
            <w:tcBorders>
              <w:top w:val="single" w:color="auto" w:sz="4" w:space="0"/>
              <w:left w:val="single" w:color="auto" w:sz="4" w:space="0"/>
              <w:bottom w:val="single" w:color="auto" w:sz="4" w:space="0"/>
              <w:right w:val="single" w:color="auto" w:sz="4" w:space="0"/>
            </w:tcBorders>
          </w:tcPr>
          <w:p w14:paraId="38E6AB15">
            <w:pPr>
              <w:spacing w:line="360" w:lineRule="auto"/>
              <w:rPr>
                <w:rFonts w:ascii="宋体" w:hAnsi="宋体" w:cs="宋体"/>
                <w:color w:val="auto"/>
                <w:sz w:val="24"/>
                <w:highlight w:val="none"/>
              </w:rPr>
            </w:pPr>
          </w:p>
        </w:tc>
        <w:tc>
          <w:tcPr>
            <w:tcW w:w="799" w:type="dxa"/>
            <w:tcBorders>
              <w:top w:val="single" w:color="auto" w:sz="4" w:space="0"/>
              <w:left w:val="single" w:color="auto" w:sz="4" w:space="0"/>
              <w:bottom w:val="single" w:color="auto" w:sz="4" w:space="0"/>
              <w:right w:val="single" w:color="auto" w:sz="4" w:space="0"/>
            </w:tcBorders>
            <w:vAlign w:val="center"/>
          </w:tcPr>
          <w:p w14:paraId="165303B9">
            <w:pPr>
              <w:spacing w:line="360" w:lineRule="auto"/>
              <w:rPr>
                <w:rFonts w:ascii="宋体" w:hAnsi="宋体" w:cs="宋体"/>
                <w:color w:val="auto"/>
                <w:sz w:val="24"/>
                <w:highlight w:val="none"/>
              </w:rPr>
            </w:pPr>
          </w:p>
        </w:tc>
      </w:tr>
      <w:tr w14:paraId="33A16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1012" w:type="dxa"/>
            <w:tcBorders>
              <w:top w:val="single" w:color="auto" w:sz="4" w:space="0"/>
              <w:left w:val="single" w:color="auto" w:sz="4" w:space="0"/>
              <w:bottom w:val="single" w:color="auto" w:sz="4" w:space="0"/>
              <w:right w:val="single" w:color="auto" w:sz="4" w:space="0"/>
            </w:tcBorders>
            <w:vAlign w:val="center"/>
          </w:tcPr>
          <w:p w14:paraId="1158391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17" w:type="dxa"/>
            <w:tcBorders>
              <w:top w:val="single" w:color="auto" w:sz="4" w:space="0"/>
              <w:left w:val="single" w:color="auto" w:sz="4" w:space="0"/>
              <w:bottom w:val="single" w:color="auto" w:sz="4" w:space="0"/>
              <w:right w:val="single" w:color="auto" w:sz="4" w:space="0"/>
            </w:tcBorders>
            <w:vAlign w:val="center"/>
          </w:tcPr>
          <w:p w14:paraId="6BED08B2">
            <w:pPr>
              <w:spacing w:line="360" w:lineRule="auto"/>
              <w:jc w:val="center"/>
              <w:rPr>
                <w:rFonts w:ascii="宋体" w:hAnsi="宋体" w:cs="宋体"/>
                <w:color w:val="auto"/>
                <w:sz w:val="24"/>
                <w:highlight w:val="none"/>
              </w:rPr>
            </w:pPr>
          </w:p>
        </w:tc>
        <w:tc>
          <w:tcPr>
            <w:tcW w:w="2186" w:type="dxa"/>
            <w:tcBorders>
              <w:top w:val="single" w:color="auto" w:sz="4" w:space="0"/>
              <w:left w:val="single" w:color="auto" w:sz="4" w:space="0"/>
              <w:bottom w:val="single" w:color="auto" w:sz="4" w:space="0"/>
              <w:right w:val="single" w:color="auto" w:sz="4" w:space="0"/>
            </w:tcBorders>
            <w:vAlign w:val="center"/>
          </w:tcPr>
          <w:p w14:paraId="14BFD6EF">
            <w:pPr>
              <w:spacing w:line="360" w:lineRule="auto"/>
              <w:jc w:val="center"/>
              <w:rPr>
                <w:rFonts w:ascii="宋体" w:hAnsi="宋体" w:cs="宋体"/>
                <w:color w:val="auto"/>
                <w:sz w:val="24"/>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14:paraId="63021FAD">
            <w:pPr>
              <w:spacing w:line="360" w:lineRule="auto"/>
              <w:rPr>
                <w:rFonts w:ascii="宋体" w:hAnsi="宋体" w:cs="宋体"/>
                <w:color w:val="auto"/>
                <w:sz w:val="24"/>
                <w:highlight w:val="none"/>
              </w:rPr>
            </w:pPr>
          </w:p>
        </w:tc>
        <w:tc>
          <w:tcPr>
            <w:tcW w:w="1401" w:type="dxa"/>
            <w:tcBorders>
              <w:top w:val="single" w:color="auto" w:sz="4" w:space="0"/>
              <w:left w:val="single" w:color="auto" w:sz="4" w:space="0"/>
              <w:bottom w:val="single" w:color="auto" w:sz="4" w:space="0"/>
              <w:right w:val="single" w:color="auto" w:sz="4" w:space="0"/>
            </w:tcBorders>
          </w:tcPr>
          <w:p w14:paraId="51D8FEAB">
            <w:pPr>
              <w:spacing w:line="360" w:lineRule="auto"/>
              <w:rPr>
                <w:rFonts w:ascii="宋体" w:hAnsi="宋体" w:cs="宋体"/>
                <w:color w:val="auto"/>
                <w:sz w:val="24"/>
                <w:highlight w:val="none"/>
              </w:rPr>
            </w:pPr>
          </w:p>
        </w:tc>
        <w:tc>
          <w:tcPr>
            <w:tcW w:w="1967" w:type="dxa"/>
            <w:tcBorders>
              <w:top w:val="single" w:color="auto" w:sz="4" w:space="0"/>
              <w:left w:val="single" w:color="auto" w:sz="4" w:space="0"/>
              <w:bottom w:val="single" w:color="auto" w:sz="4" w:space="0"/>
              <w:right w:val="single" w:color="auto" w:sz="4" w:space="0"/>
            </w:tcBorders>
          </w:tcPr>
          <w:p w14:paraId="1DEBD518">
            <w:pPr>
              <w:spacing w:line="360" w:lineRule="auto"/>
              <w:rPr>
                <w:rFonts w:ascii="宋体" w:hAnsi="宋体" w:cs="宋体"/>
                <w:color w:val="auto"/>
                <w:sz w:val="24"/>
                <w:highlight w:val="none"/>
              </w:rPr>
            </w:pPr>
          </w:p>
        </w:tc>
        <w:tc>
          <w:tcPr>
            <w:tcW w:w="799" w:type="dxa"/>
            <w:tcBorders>
              <w:top w:val="single" w:color="auto" w:sz="4" w:space="0"/>
              <w:left w:val="single" w:color="auto" w:sz="4" w:space="0"/>
              <w:bottom w:val="single" w:color="auto" w:sz="4" w:space="0"/>
              <w:right w:val="single" w:color="auto" w:sz="4" w:space="0"/>
            </w:tcBorders>
            <w:vAlign w:val="center"/>
          </w:tcPr>
          <w:p w14:paraId="23525273">
            <w:pPr>
              <w:spacing w:line="360" w:lineRule="auto"/>
              <w:rPr>
                <w:rFonts w:ascii="宋体" w:hAnsi="宋体" w:cs="宋体"/>
                <w:color w:val="auto"/>
                <w:sz w:val="24"/>
                <w:highlight w:val="none"/>
              </w:rPr>
            </w:pPr>
          </w:p>
        </w:tc>
      </w:tr>
      <w:tr w14:paraId="28A66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1012" w:type="dxa"/>
            <w:tcBorders>
              <w:top w:val="single" w:color="auto" w:sz="4" w:space="0"/>
              <w:left w:val="single" w:color="auto" w:sz="4" w:space="0"/>
              <w:bottom w:val="single" w:color="auto" w:sz="4" w:space="0"/>
              <w:right w:val="single" w:color="auto" w:sz="4" w:space="0"/>
            </w:tcBorders>
            <w:vAlign w:val="center"/>
          </w:tcPr>
          <w:p w14:paraId="5DC5B976">
            <w:pPr>
              <w:spacing w:line="360" w:lineRule="auto"/>
              <w:jc w:val="center"/>
              <w:rPr>
                <w:rFonts w:ascii="宋体" w:hAnsi="宋体" w:cs="宋体"/>
                <w:color w:val="auto"/>
                <w:sz w:val="24"/>
                <w:highlight w:val="none"/>
              </w:rPr>
            </w:pPr>
            <w:r>
              <w:rPr>
                <w:rFonts w:hint="eastAsia" w:ascii="宋体" w:hAnsi="宋体" w:cs="宋体"/>
                <w:b/>
                <w:color w:val="auto"/>
                <w:sz w:val="24"/>
                <w:highlight w:val="none"/>
              </w:rPr>
              <w:t>……</w:t>
            </w:r>
          </w:p>
        </w:tc>
        <w:tc>
          <w:tcPr>
            <w:tcW w:w="1617" w:type="dxa"/>
            <w:tcBorders>
              <w:top w:val="single" w:color="auto" w:sz="4" w:space="0"/>
              <w:left w:val="single" w:color="auto" w:sz="4" w:space="0"/>
              <w:bottom w:val="single" w:color="auto" w:sz="4" w:space="0"/>
              <w:right w:val="single" w:color="auto" w:sz="4" w:space="0"/>
            </w:tcBorders>
            <w:vAlign w:val="center"/>
          </w:tcPr>
          <w:p w14:paraId="10690E28">
            <w:pPr>
              <w:spacing w:line="360" w:lineRule="auto"/>
              <w:jc w:val="center"/>
              <w:rPr>
                <w:rFonts w:ascii="宋体" w:hAnsi="宋体" w:cs="宋体"/>
                <w:color w:val="auto"/>
                <w:sz w:val="24"/>
                <w:highlight w:val="none"/>
              </w:rPr>
            </w:pPr>
            <w:r>
              <w:rPr>
                <w:rFonts w:hint="eastAsia" w:ascii="宋体" w:hAnsi="宋体" w:cs="宋体"/>
                <w:b/>
                <w:color w:val="auto"/>
                <w:sz w:val="24"/>
                <w:highlight w:val="none"/>
              </w:rPr>
              <w:t>……</w:t>
            </w:r>
          </w:p>
        </w:tc>
        <w:tc>
          <w:tcPr>
            <w:tcW w:w="2186" w:type="dxa"/>
            <w:tcBorders>
              <w:top w:val="single" w:color="auto" w:sz="4" w:space="0"/>
              <w:left w:val="single" w:color="auto" w:sz="4" w:space="0"/>
              <w:bottom w:val="single" w:color="auto" w:sz="4" w:space="0"/>
              <w:right w:val="single" w:color="auto" w:sz="4" w:space="0"/>
            </w:tcBorders>
            <w:vAlign w:val="center"/>
          </w:tcPr>
          <w:p w14:paraId="49F63C05">
            <w:pPr>
              <w:spacing w:line="360" w:lineRule="auto"/>
              <w:jc w:val="center"/>
              <w:rPr>
                <w:rFonts w:ascii="宋体" w:hAnsi="宋体" w:cs="宋体"/>
                <w:b/>
                <w:color w:val="auto"/>
                <w:sz w:val="24"/>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14:paraId="1F30BA8D">
            <w:pPr>
              <w:spacing w:line="360" w:lineRule="auto"/>
              <w:rPr>
                <w:rFonts w:ascii="宋体" w:hAnsi="宋体" w:cs="宋体"/>
                <w:color w:val="auto"/>
                <w:sz w:val="24"/>
                <w:highlight w:val="none"/>
              </w:rPr>
            </w:pPr>
          </w:p>
        </w:tc>
        <w:tc>
          <w:tcPr>
            <w:tcW w:w="1401" w:type="dxa"/>
            <w:tcBorders>
              <w:top w:val="single" w:color="auto" w:sz="4" w:space="0"/>
              <w:left w:val="single" w:color="auto" w:sz="4" w:space="0"/>
              <w:bottom w:val="single" w:color="auto" w:sz="4" w:space="0"/>
              <w:right w:val="single" w:color="auto" w:sz="4" w:space="0"/>
            </w:tcBorders>
          </w:tcPr>
          <w:p w14:paraId="57CF1D6A">
            <w:pPr>
              <w:spacing w:line="360" w:lineRule="auto"/>
              <w:rPr>
                <w:rFonts w:ascii="宋体" w:hAnsi="宋体" w:cs="宋体"/>
                <w:color w:val="auto"/>
                <w:sz w:val="24"/>
                <w:highlight w:val="none"/>
              </w:rPr>
            </w:pPr>
          </w:p>
        </w:tc>
        <w:tc>
          <w:tcPr>
            <w:tcW w:w="1967" w:type="dxa"/>
            <w:tcBorders>
              <w:top w:val="single" w:color="auto" w:sz="4" w:space="0"/>
              <w:left w:val="single" w:color="auto" w:sz="4" w:space="0"/>
              <w:bottom w:val="single" w:color="auto" w:sz="4" w:space="0"/>
              <w:right w:val="single" w:color="auto" w:sz="4" w:space="0"/>
            </w:tcBorders>
          </w:tcPr>
          <w:p w14:paraId="4B43DC4F">
            <w:pPr>
              <w:spacing w:line="360" w:lineRule="auto"/>
              <w:rPr>
                <w:rFonts w:ascii="宋体" w:hAnsi="宋体" w:cs="宋体"/>
                <w:color w:val="auto"/>
                <w:sz w:val="24"/>
                <w:highlight w:val="none"/>
              </w:rPr>
            </w:pPr>
          </w:p>
        </w:tc>
        <w:tc>
          <w:tcPr>
            <w:tcW w:w="799" w:type="dxa"/>
            <w:tcBorders>
              <w:top w:val="single" w:color="auto" w:sz="4" w:space="0"/>
              <w:left w:val="single" w:color="auto" w:sz="4" w:space="0"/>
              <w:bottom w:val="single" w:color="auto" w:sz="4" w:space="0"/>
              <w:right w:val="single" w:color="auto" w:sz="4" w:space="0"/>
            </w:tcBorders>
            <w:vAlign w:val="center"/>
          </w:tcPr>
          <w:p w14:paraId="51A27F03">
            <w:pPr>
              <w:spacing w:line="360" w:lineRule="auto"/>
              <w:rPr>
                <w:rFonts w:ascii="宋体" w:hAnsi="宋体" w:cs="宋体"/>
                <w:color w:val="auto"/>
                <w:sz w:val="24"/>
                <w:highlight w:val="none"/>
              </w:rPr>
            </w:pPr>
          </w:p>
        </w:tc>
      </w:tr>
      <w:tr w14:paraId="5878D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10161" w:type="dxa"/>
            <w:gridSpan w:val="7"/>
            <w:tcBorders>
              <w:top w:val="single" w:color="auto" w:sz="4" w:space="0"/>
              <w:left w:val="single" w:color="auto" w:sz="4" w:space="0"/>
              <w:bottom w:val="single" w:color="auto" w:sz="4" w:space="0"/>
              <w:right w:val="single" w:color="auto" w:sz="4" w:space="0"/>
            </w:tcBorders>
            <w:vAlign w:val="center"/>
          </w:tcPr>
          <w:p w14:paraId="7F2134DB">
            <w:pPr>
              <w:snapToGrid w:val="0"/>
              <w:spacing w:before="50" w:after="50" w:line="440" w:lineRule="exact"/>
              <w:rPr>
                <w:rFonts w:ascii="宋体" w:hAnsi="宋体" w:cs="宋体"/>
                <w:color w:val="auto"/>
                <w:sz w:val="24"/>
                <w:highlight w:val="none"/>
              </w:rPr>
            </w:pPr>
            <w:r>
              <w:rPr>
                <w:rFonts w:hint="eastAsia" w:ascii="宋体" w:hAnsi="宋体" w:cs="宋体"/>
                <w:color w:val="auto"/>
                <w:sz w:val="24"/>
                <w:highlight w:val="none"/>
              </w:rPr>
              <w:t>合计金额大写：</w:t>
            </w:r>
            <w:r>
              <w:rPr>
                <w:rFonts w:hint="eastAsia" w:ascii="宋体" w:hAnsi="宋体" w:cs="宋体"/>
                <w:color w:val="auto"/>
                <w:sz w:val="24"/>
                <w:highlight w:val="none"/>
                <w:u w:val="single"/>
              </w:rPr>
              <w:t>人民币              （¥                ）</w:t>
            </w:r>
          </w:p>
          <w:p w14:paraId="3C794C03">
            <w:pPr>
              <w:pStyle w:val="16"/>
              <w:spacing w:line="440" w:lineRule="exact"/>
              <w:rPr>
                <w:rFonts w:ascii="宋体" w:hAnsi="宋体" w:cs="宋体"/>
                <w:color w:val="auto"/>
                <w:sz w:val="24"/>
                <w:highlight w:val="none"/>
                <w:u w:val="single"/>
              </w:rPr>
            </w:pPr>
            <w:r>
              <w:rPr>
                <w:rFonts w:hint="eastAsia" w:ascii="宋体" w:hAnsi="宋体" w:cs="宋体"/>
                <w:color w:val="auto"/>
                <w:sz w:val="24"/>
                <w:highlight w:val="none"/>
                <w:u w:val="single"/>
              </w:rPr>
              <w:t>投标货物中，属于优先采购节能产品总值为￥               （具体明细详见附表，附表格式自拟），占本投标报价的比例为  %；属于优先采购环境标志产品总值为￥              （具体明细详见附表，附表格式自拟），占本投标报价的比例为  %。</w:t>
            </w:r>
          </w:p>
        </w:tc>
      </w:tr>
    </w:tbl>
    <w:p w14:paraId="3743E76C">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注: </w:t>
      </w:r>
    </w:p>
    <w:p w14:paraId="21E3CAF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1.投标人的开标一览表必须加盖投标人电子签章并由法定代表人或者委托代理人签字或者电子签名，</w:t>
      </w:r>
      <w:r>
        <w:rPr>
          <w:rFonts w:hint="eastAsia" w:ascii="宋体" w:hAnsi="宋体" w:cs="宋体"/>
          <w:b/>
          <w:color w:val="auto"/>
          <w:sz w:val="24"/>
          <w:highlight w:val="none"/>
        </w:rPr>
        <w:t>否则其投标作无效标处理</w:t>
      </w:r>
      <w:r>
        <w:rPr>
          <w:rFonts w:hint="eastAsia" w:ascii="宋体" w:hAnsi="宋体" w:cs="宋体"/>
          <w:color w:val="auto"/>
          <w:sz w:val="24"/>
          <w:highlight w:val="none"/>
        </w:rPr>
        <w:t>。</w:t>
      </w:r>
    </w:p>
    <w:p w14:paraId="1BA758A3">
      <w:pPr>
        <w:snapToGrid w:val="0"/>
        <w:spacing w:line="360" w:lineRule="auto"/>
        <w:ind w:firstLine="480" w:firstLineChars="200"/>
        <w:jc w:val="left"/>
        <w:rPr>
          <w:rFonts w:ascii="宋体" w:hAnsi="宋体" w:cs="宋体"/>
          <w:b/>
          <w:color w:val="auto"/>
          <w:sz w:val="24"/>
          <w:highlight w:val="none"/>
        </w:rPr>
      </w:pPr>
      <w:r>
        <w:rPr>
          <w:rFonts w:hint="eastAsia" w:ascii="宋体" w:hAnsi="宋体" w:cs="宋体"/>
          <w:bCs/>
          <w:color w:val="auto"/>
          <w:sz w:val="24"/>
          <w:highlight w:val="none"/>
        </w:rPr>
        <w:t>2.</w:t>
      </w:r>
      <w:r>
        <w:rPr>
          <w:rFonts w:hint="eastAsia" w:ascii="宋体" w:hAnsi="宋体" w:cs="宋体"/>
          <w:color w:val="auto"/>
          <w:sz w:val="24"/>
          <w:highlight w:val="none"/>
        </w:rPr>
        <w:t>报价一经涂改，应在涂改处加盖投标人公章或者加盖电子签章或者由法定代表人或者委托代理人签字（或者电子签名）</w:t>
      </w:r>
      <w:r>
        <w:rPr>
          <w:rFonts w:hint="eastAsia" w:ascii="宋体" w:hAnsi="宋体" w:cs="宋体"/>
          <w:b/>
          <w:color w:val="auto"/>
          <w:sz w:val="24"/>
          <w:highlight w:val="none"/>
        </w:rPr>
        <w:t>，否则其投标作无效标处理。</w:t>
      </w:r>
    </w:p>
    <w:p w14:paraId="1FC953F4">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3.招标文件中列明采购专用耗材的，应按招标文件规定的耗材量或者按耗材的常规试用量提供报价。</w:t>
      </w:r>
    </w:p>
    <w:p w14:paraId="373D3E99">
      <w:pPr>
        <w:snapToGrid w:val="0"/>
        <w:spacing w:line="360" w:lineRule="auto"/>
        <w:ind w:left="-2" w:leftChars="-1" w:right="-817" w:rightChars="-389"/>
        <w:rPr>
          <w:rFonts w:ascii="宋体" w:hAnsi="宋体" w:cs="宋体"/>
          <w:color w:val="auto"/>
          <w:sz w:val="24"/>
          <w:highlight w:val="none"/>
        </w:rPr>
      </w:pPr>
    </w:p>
    <w:p w14:paraId="04FF88AE">
      <w:pPr>
        <w:snapToGrid w:val="0"/>
        <w:spacing w:line="360" w:lineRule="auto"/>
        <w:ind w:left="-2" w:leftChars="-1" w:right="-817" w:rightChars="-389"/>
        <w:rPr>
          <w:rFonts w:ascii="宋体" w:hAnsi="宋体" w:cs="宋体"/>
          <w:color w:val="auto"/>
          <w:sz w:val="24"/>
          <w:highlight w:val="none"/>
        </w:rPr>
      </w:pPr>
      <w:r>
        <w:rPr>
          <w:rFonts w:hint="eastAsia" w:ascii="宋体" w:hAnsi="宋体" w:cs="宋体"/>
          <w:color w:val="auto"/>
          <w:sz w:val="24"/>
          <w:highlight w:val="none"/>
        </w:rPr>
        <w:t xml:space="preserve">                           法定代表人或者委托代理人（签字或者电子签名）： </w:t>
      </w:r>
    </w:p>
    <w:p w14:paraId="05B29A1F">
      <w:pPr>
        <w:snapToGrid w:val="0"/>
        <w:spacing w:line="360" w:lineRule="auto"/>
        <w:ind w:left="-3" w:leftChars="-15" w:right="-817" w:rightChars="-389" w:hanging="28" w:hangingChars="12"/>
        <w:rPr>
          <w:rFonts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41AA0E92">
      <w:pPr>
        <w:snapToGrid w:val="0"/>
        <w:spacing w:line="360" w:lineRule="auto"/>
        <w:ind w:left="-3" w:leftChars="-15" w:right="-817" w:rightChars="-389" w:hanging="28" w:hangingChars="12"/>
        <w:rPr>
          <w:rFonts w:ascii="宋体" w:hAnsi="宋体" w:cs="宋体"/>
          <w:color w:val="auto"/>
          <w:szCs w:val="21"/>
          <w:highlight w:val="none"/>
        </w:rPr>
      </w:pPr>
      <w:r>
        <w:rPr>
          <w:rFonts w:hint="eastAsia" w:ascii="宋体" w:hAnsi="宋体" w:cs="宋体"/>
          <w:color w:val="auto"/>
          <w:sz w:val="24"/>
          <w:highlight w:val="none"/>
        </w:rPr>
        <w:t xml:space="preserve">                                  日期：    年   月   日</w:t>
      </w:r>
    </w:p>
    <w:p w14:paraId="66D96C89">
      <w:pPr>
        <w:snapToGrid w:val="0"/>
        <w:spacing w:before="50" w:after="50" w:line="360" w:lineRule="auto"/>
        <w:ind w:left="-6" w:leftChars="-15" w:right="-817" w:rightChars="-389" w:hanging="25" w:hangingChars="12"/>
        <w:rPr>
          <w:rFonts w:ascii="宋体" w:hAnsi="宋体" w:cs="宋体"/>
          <w:color w:val="auto"/>
          <w:szCs w:val="21"/>
          <w:highlight w:val="none"/>
        </w:rPr>
      </w:pPr>
    </w:p>
    <w:p w14:paraId="69D484EE">
      <w:pPr>
        <w:rPr>
          <w:rFonts w:ascii="宋体" w:hAnsi="宋体" w:cs="宋体"/>
          <w:b/>
          <w:color w:val="auto"/>
          <w:sz w:val="28"/>
          <w:szCs w:val="28"/>
          <w:highlight w:val="none"/>
        </w:rPr>
      </w:pPr>
      <w:r>
        <w:rPr>
          <w:rFonts w:hint="eastAsia" w:ascii="宋体" w:hAnsi="宋体" w:cs="宋体"/>
          <w:b/>
          <w:bCs/>
          <w:color w:val="auto"/>
          <w:sz w:val="24"/>
          <w:highlight w:val="none"/>
        </w:rPr>
        <w:br w:type="page"/>
      </w:r>
      <w:bookmarkStart w:id="143" w:name="_Toc19686837"/>
      <w:r>
        <w:rPr>
          <w:rFonts w:hint="eastAsia" w:ascii="宋体" w:hAnsi="宋体" w:cs="宋体"/>
          <w:b/>
          <w:color w:val="auto"/>
          <w:sz w:val="28"/>
          <w:szCs w:val="28"/>
          <w:highlight w:val="none"/>
        </w:rPr>
        <w:t>二、资格证明文件格式</w:t>
      </w:r>
      <w:bookmarkEnd w:id="141"/>
      <w:bookmarkEnd w:id="142"/>
      <w:bookmarkEnd w:id="143"/>
    </w:p>
    <w:p w14:paraId="2560FE6D">
      <w:pPr>
        <w:numPr>
          <w:ilvl w:val="2"/>
          <w:numId w:val="5"/>
        </w:numPr>
        <w:snapToGrid w:val="0"/>
        <w:spacing w:beforeLines="50" w:after="50" w:line="360" w:lineRule="auto"/>
        <w:ind w:left="0" w:firstLine="0"/>
        <w:jc w:val="left"/>
        <w:rPr>
          <w:rFonts w:ascii="宋体" w:hAnsi="宋体" w:cs="宋体"/>
          <w:b/>
          <w:color w:val="auto"/>
          <w:sz w:val="24"/>
          <w:highlight w:val="none"/>
        </w:rPr>
      </w:pPr>
      <w:r>
        <w:rPr>
          <w:rFonts w:hint="eastAsia" w:ascii="宋体" w:hAnsi="宋体" w:cs="宋体"/>
          <w:b/>
          <w:color w:val="auto"/>
          <w:sz w:val="24"/>
          <w:highlight w:val="none"/>
        </w:rPr>
        <w:t xml:space="preserve">资格证明文件封面格式： </w:t>
      </w:r>
    </w:p>
    <w:p w14:paraId="7BD1CD03">
      <w:pPr>
        <w:snapToGrid w:val="0"/>
        <w:spacing w:beforeLines="50" w:after="50"/>
        <w:jc w:val="center"/>
        <w:rPr>
          <w:rFonts w:ascii="宋体" w:hAnsi="宋体" w:cs="宋体"/>
          <w:bCs/>
          <w:color w:val="auto"/>
          <w:sz w:val="48"/>
          <w:szCs w:val="48"/>
          <w:highlight w:val="none"/>
        </w:rPr>
      </w:pPr>
      <w:r>
        <w:rPr>
          <w:rFonts w:hint="eastAsia" w:ascii="宋体" w:hAnsi="宋体" w:cs="宋体"/>
          <w:bCs/>
          <w:color w:val="auto"/>
          <w:sz w:val="48"/>
          <w:szCs w:val="48"/>
          <w:highlight w:val="none"/>
        </w:rPr>
        <w:t>电子投标文件</w:t>
      </w:r>
    </w:p>
    <w:p w14:paraId="486C297D">
      <w:pPr>
        <w:snapToGrid w:val="0"/>
        <w:spacing w:beforeLines="50" w:after="50"/>
        <w:rPr>
          <w:rFonts w:ascii="宋体" w:hAnsi="宋体" w:cs="宋体"/>
          <w:color w:val="auto"/>
          <w:sz w:val="24"/>
          <w:szCs w:val="20"/>
          <w:highlight w:val="none"/>
        </w:rPr>
      </w:pPr>
      <w:r>
        <w:rPr>
          <w:rFonts w:hint="eastAsia" w:ascii="宋体" w:hAnsi="宋体" w:cs="宋体"/>
          <w:color w:val="auto"/>
          <w:sz w:val="24"/>
          <w:highlight w:val="none"/>
        </w:rPr>
        <w:t xml:space="preserve">                 </w:t>
      </w:r>
    </w:p>
    <w:p w14:paraId="2C0B974B">
      <w:pPr>
        <w:snapToGrid w:val="0"/>
        <w:spacing w:beforeLines="50" w:after="50"/>
        <w:jc w:val="center"/>
        <w:rPr>
          <w:rFonts w:ascii="宋体" w:hAnsi="宋体" w:cs="宋体"/>
          <w:b/>
          <w:color w:val="auto"/>
          <w:sz w:val="24"/>
          <w:szCs w:val="20"/>
          <w:highlight w:val="none"/>
        </w:rPr>
      </w:pPr>
      <w:r>
        <w:rPr>
          <w:rFonts w:hint="eastAsia" w:ascii="宋体" w:hAnsi="宋体" w:cs="宋体"/>
          <w:b/>
          <w:color w:val="auto"/>
          <w:sz w:val="32"/>
          <w:szCs w:val="32"/>
          <w:highlight w:val="none"/>
        </w:rPr>
        <w:t>资格证明文件</w:t>
      </w:r>
    </w:p>
    <w:p w14:paraId="05BDA70A">
      <w:pPr>
        <w:snapToGrid w:val="0"/>
        <w:spacing w:beforeLines="50" w:after="50"/>
        <w:rPr>
          <w:rFonts w:ascii="宋体" w:hAnsi="宋体" w:cs="宋体"/>
          <w:bCs/>
          <w:color w:val="auto"/>
          <w:sz w:val="24"/>
          <w:szCs w:val="20"/>
          <w:highlight w:val="none"/>
        </w:rPr>
      </w:pPr>
    </w:p>
    <w:p w14:paraId="792EC551">
      <w:pPr>
        <w:snapToGrid w:val="0"/>
        <w:spacing w:beforeLines="50" w:after="50"/>
        <w:rPr>
          <w:rFonts w:ascii="宋体" w:hAnsi="宋体" w:cs="宋体"/>
          <w:bCs/>
          <w:color w:val="auto"/>
          <w:sz w:val="24"/>
          <w:szCs w:val="20"/>
          <w:highlight w:val="none"/>
        </w:rPr>
      </w:pPr>
    </w:p>
    <w:p w14:paraId="714FF353">
      <w:pPr>
        <w:snapToGrid w:val="0"/>
        <w:spacing w:beforeLines="50" w:after="50"/>
        <w:rPr>
          <w:rFonts w:ascii="宋体" w:hAnsi="宋体" w:cs="宋体"/>
          <w:bCs/>
          <w:color w:val="auto"/>
          <w:sz w:val="24"/>
          <w:szCs w:val="20"/>
          <w:highlight w:val="none"/>
        </w:rPr>
      </w:pPr>
    </w:p>
    <w:p w14:paraId="456E9872">
      <w:pPr>
        <w:snapToGrid w:val="0"/>
        <w:spacing w:beforeLines="50" w:after="50"/>
        <w:rPr>
          <w:rFonts w:ascii="宋体" w:hAnsi="宋体" w:cs="宋体"/>
          <w:bCs/>
          <w:color w:val="auto"/>
          <w:sz w:val="24"/>
          <w:szCs w:val="20"/>
          <w:highlight w:val="none"/>
        </w:rPr>
      </w:pPr>
    </w:p>
    <w:p w14:paraId="1EB52424">
      <w:pPr>
        <w:snapToGrid w:val="0"/>
        <w:spacing w:beforeLines="50" w:after="50"/>
        <w:rPr>
          <w:rFonts w:hint="eastAsia" w:ascii="宋体" w:hAnsi="宋体"/>
          <w:bCs/>
          <w:color w:val="auto"/>
          <w:sz w:val="24"/>
          <w:highlight w:val="none"/>
        </w:rPr>
      </w:pPr>
    </w:p>
    <w:p w14:paraId="46C0695B">
      <w:pPr>
        <w:snapToGrid w:val="0"/>
        <w:spacing w:beforeLines="50" w:after="50"/>
        <w:ind w:firstLine="480" w:firstLineChars="200"/>
        <w:rPr>
          <w:rFonts w:hint="eastAsia" w:ascii="宋体" w:hAnsi="宋体" w:eastAsia="宋体" w:cs="宋体"/>
          <w:bCs/>
          <w:color w:val="auto"/>
          <w:sz w:val="24"/>
          <w:szCs w:val="20"/>
          <w:highlight w:val="none"/>
          <w:lang w:eastAsia="zh-CN"/>
        </w:rPr>
      </w:pPr>
      <w:r>
        <w:rPr>
          <w:rFonts w:hint="eastAsia" w:ascii="宋体" w:hAnsi="宋体"/>
          <w:bCs/>
          <w:color w:val="auto"/>
          <w:sz w:val="24"/>
          <w:highlight w:val="none"/>
        </w:rPr>
        <w:t>所投</w:t>
      </w:r>
      <w:r>
        <w:rPr>
          <w:rFonts w:hint="eastAsia" w:ascii="宋体" w:hAnsi="宋体" w:cs="宋体"/>
          <w:bCs/>
          <w:color w:val="auto"/>
          <w:sz w:val="24"/>
          <w:highlight w:val="none"/>
        </w:rPr>
        <w:t>标项</w:t>
      </w:r>
      <w:r>
        <w:rPr>
          <w:rFonts w:hint="eastAsia" w:ascii="宋体" w:hAnsi="宋体"/>
          <w:bCs/>
          <w:color w:val="auto"/>
          <w:sz w:val="24"/>
          <w:highlight w:val="none"/>
          <w:lang w:eastAsia="zh-CN"/>
        </w:rPr>
        <w:t>：</w:t>
      </w:r>
    </w:p>
    <w:p w14:paraId="04A2CD1C">
      <w:pPr>
        <w:snapToGrid w:val="0"/>
        <w:spacing w:beforeLines="50" w:after="50"/>
        <w:ind w:firstLine="480" w:firstLineChars="200"/>
        <w:rPr>
          <w:rFonts w:hint="eastAsia" w:ascii="宋体" w:hAnsi="宋体" w:cs="宋体"/>
          <w:bCs/>
          <w:color w:val="auto"/>
          <w:sz w:val="24"/>
          <w:highlight w:val="none"/>
        </w:rPr>
      </w:pPr>
    </w:p>
    <w:p w14:paraId="6EC434EA">
      <w:pPr>
        <w:snapToGrid w:val="0"/>
        <w:spacing w:beforeLines="50" w:after="50"/>
        <w:ind w:firstLine="480" w:firstLineChars="200"/>
        <w:rPr>
          <w:rFonts w:ascii="宋体" w:hAnsi="宋体" w:cs="宋体"/>
          <w:bCs/>
          <w:color w:val="auto"/>
          <w:sz w:val="24"/>
          <w:highlight w:val="none"/>
        </w:rPr>
      </w:pPr>
      <w:r>
        <w:rPr>
          <w:rFonts w:hint="eastAsia" w:ascii="宋体" w:hAnsi="宋体" w:cs="宋体"/>
          <w:bCs/>
          <w:color w:val="auto"/>
          <w:sz w:val="24"/>
          <w:highlight w:val="none"/>
        </w:rPr>
        <w:t>项目名称：</w:t>
      </w:r>
    </w:p>
    <w:p w14:paraId="782FAEC6">
      <w:pPr>
        <w:snapToGrid w:val="0"/>
        <w:spacing w:beforeLines="50" w:after="50"/>
        <w:ind w:firstLine="540" w:firstLineChars="225"/>
        <w:rPr>
          <w:rFonts w:ascii="宋体" w:hAnsi="宋体" w:cs="宋体"/>
          <w:bCs/>
          <w:color w:val="auto"/>
          <w:sz w:val="24"/>
          <w:szCs w:val="20"/>
          <w:highlight w:val="none"/>
        </w:rPr>
      </w:pPr>
    </w:p>
    <w:p w14:paraId="10EC2CC5">
      <w:pPr>
        <w:snapToGrid w:val="0"/>
        <w:spacing w:beforeLines="50" w:after="50"/>
        <w:ind w:firstLine="480" w:firstLineChars="200"/>
        <w:rPr>
          <w:rFonts w:ascii="宋体" w:hAnsi="宋体" w:cs="宋体"/>
          <w:bCs/>
          <w:color w:val="auto"/>
          <w:sz w:val="24"/>
          <w:highlight w:val="none"/>
        </w:rPr>
      </w:pPr>
      <w:r>
        <w:rPr>
          <w:rFonts w:hint="eastAsia" w:ascii="宋体" w:hAnsi="宋体" w:cs="宋体"/>
          <w:bCs/>
          <w:color w:val="auto"/>
          <w:sz w:val="24"/>
          <w:highlight w:val="none"/>
        </w:rPr>
        <w:t>项目编号：</w:t>
      </w:r>
    </w:p>
    <w:p w14:paraId="5BECC5D5">
      <w:pPr>
        <w:snapToGrid w:val="0"/>
        <w:spacing w:beforeLines="50" w:after="50"/>
        <w:ind w:firstLine="540" w:firstLineChars="225"/>
        <w:rPr>
          <w:rFonts w:ascii="宋体" w:hAnsi="宋体" w:cs="宋体"/>
          <w:bCs/>
          <w:color w:val="auto"/>
          <w:sz w:val="24"/>
          <w:szCs w:val="20"/>
          <w:highlight w:val="none"/>
        </w:rPr>
      </w:pPr>
      <w:r>
        <w:rPr>
          <w:rFonts w:hint="eastAsia" w:ascii="宋体" w:hAnsi="宋体" w:cs="宋体"/>
          <w:bCs/>
          <w:color w:val="auto"/>
          <w:sz w:val="24"/>
          <w:highlight w:val="none"/>
        </w:rPr>
        <w:t xml:space="preserve"> </w:t>
      </w:r>
    </w:p>
    <w:p w14:paraId="7B49DB3A">
      <w:pPr>
        <w:pStyle w:val="8"/>
        <w:snapToGrid w:val="0"/>
        <w:spacing w:before="50" w:after="50"/>
        <w:ind w:left="0" w:leftChars="0"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64114820">
      <w:pPr>
        <w:pStyle w:val="8"/>
        <w:snapToGrid w:val="0"/>
        <w:spacing w:before="50" w:after="50"/>
        <w:ind w:firstLine="540" w:firstLineChars="225"/>
        <w:rPr>
          <w:rFonts w:ascii="宋体" w:hAnsi="宋体" w:cs="宋体"/>
          <w:bCs/>
          <w:color w:val="auto"/>
          <w:sz w:val="24"/>
          <w:szCs w:val="24"/>
          <w:highlight w:val="none"/>
        </w:rPr>
      </w:pPr>
    </w:p>
    <w:p w14:paraId="3F290F36">
      <w:pPr>
        <w:pStyle w:val="8"/>
        <w:snapToGrid w:val="0"/>
        <w:spacing w:before="50" w:after="50"/>
        <w:ind w:firstLine="960" w:firstLineChars="400"/>
        <w:rPr>
          <w:rFonts w:ascii="宋体" w:hAnsi="宋体" w:cs="宋体"/>
          <w:bCs/>
          <w:color w:val="auto"/>
          <w:sz w:val="24"/>
          <w:szCs w:val="24"/>
          <w:highlight w:val="none"/>
        </w:rPr>
      </w:pPr>
    </w:p>
    <w:p w14:paraId="35AE7829">
      <w:pPr>
        <w:snapToGrid w:val="0"/>
        <w:spacing w:beforeLines="50" w:after="50"/>
        <w:ind w:firstLine="645"/>
        <w:jc w:val="center"/>
        <w:rPr>
          <w:rFonts w:ascii="宋体" w:hAnsi="宋体" w:cs="宋体"/>
          <w:color w:val="auto"/>
          <w:sz w:val="24"/>
          <w:highlight w:val="none"/>
        </w:rPr>
      </w:pPr>
      <w:r>
        <w:rPr>
          <w:rFonts w:hint="eastAsia" w:ascii="宋体" w:hAnsi="宋体" w:cs="宋体"/>
          <w:color w:val="auto"/>
          <w:sz w:val="24"/>
          <w:highlight w:val="none"/>
        </w:rPr>
        <w:t>年  月  日</w:t>
      </w:r>
    </w:p>
    <w:p w14:paraId="60D6C154">
      <w:pPr>
        <w:snapToGrid w:val="0"/>
        <w:spacing w:beforeLines="50" w:after="50"/>
        <w:rPr>
          <w:rFonts w:ascii="宋体" w:hAnsi="宋体" w:cs="宋体"/>
          <w:color w:val="auto"/>
          <w:sz w:val="24"/>
          <w:szCs w:val="20"/>
          <w:highlight w:val="none"/>
        </w:rPr>
      </w:pPr>
      <w:r>
        <w:rPr>
          <w:rFonts w:hint="eastAsia" w:ascii="宋体" w:hAnsi="宋体" w:cs="宋体"/>
          <w:color w:val="auto"/>
          <w:sz w:val="24"/>
          <w:szCs w:val="20"/>
          <w:highlight w:val="none"/>
        </w:rPr>
        <w:t xml:space="preserve"> </w:t>
      </w:r>
    </w:p>
    <w:p w14:paraId="081B7A28">
      <w:pPr>
        <w:snapToGrid w:val="0"/>
        <w:spacing w:beforeLines="50" w:after="50"/>
        <w:rPr>
          <w:rFonts w:ascii="宋体" w:hAnsi="宋体" w:cs="宋体"/>
          <w:color w:val="auto"/>
          <w:sz w:val="24"/>
          <w:szCs w:val="20"/>
          <w:highlight w:val="none"/>
        </w:rPr>
      </w:pPr>
    </w:p>
    <w:p w14:paraId="1B4A677F">
      <w:pPr>
        <w:numPr>
          <w:ilvl w:val="2"/>
          <w:numId w:val="5"/>
        </w:numPr>
        <w:snapToGrid w:val="0"/>
        <w:spacing w:beforeLines="50" w:after="50" w:line="360" w:lineRule="auto"/>
        <w:ind w:left="0" w:firstLine="0"/>
        <w:jc w:val="left"/>
        <w:rPr>
          <w:rFonts w:ascii="宋体" w:hAnsi="宋体" w:cs="宋体"/>
          <w:color w:val="auto"/>
          <w:sz w:val="24"/>
          <w:szCs w:val="20"/>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资格证明文件目录</w:t>
      </w:r>
    </w:p>
    <w:p w14:paraId="5857C9C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根据招标文件规定及投标人提供的材料自行编写目录。</w:t>
      </w:r>
    </w:p>
    <w:p w14:paraId="1649D252">
      <w:pPr>
        <w:snapToGrid w:val="0"/>
        <w:spacing w:before="50" w:afterLines="50"/>
        <w:jc w:val="left"/>
        <w:rPr>
          <w:rFonts w:ascii="宋体" w:hAnsi="宋体" w:cs="宋体"/>
          <w:color w:val="auto"/>
          <w:sz w:val="24"/>
          <w:highlight w:val="none"/>
        </w:rPr>
      </w:pPr>
    </w:p>
    <w:p w14:paraId="5E2B6AB9">
      <w:pPr>
        <w:snapToGrid w:val="0"/>
        <w:spacing w:before="50" w:afterLines="50"/>
        <w:jc w:val="left"/>
        <w:rPr>
          <w:rFonts w:ascii="宋体" w:hAnsi="宋体" w:cs="宋体"/>
          <w:color w:val="auto"/>
          <w:sz w:val="24"/>
          <w:highlight w:val="none"/>
        </w:rPr>
      </w:pPr>
    </w:p>
    <w:p w14:paraId="245E960D">
      <w:pPr>
        <w:numPr>
          <w:ilvl w:val="2"/>
          <w:numId w:val="5"/>
        </w:numPr>
        <w:snapToGrid w:val="0"/>
        <w:spacing w:beforeLines="50" w:after="50"/>
        <w:ind w:left="0" w:firstLine="0"/>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8"/>
          <w:szCs w:val="28"/>
          <w:highlight w:val="none"/>
        </w:rPr>
        <w:t>投标人直接控股、管理关系信息表</w:t>
      </w:r>
    </w:p>
    <w:p w14:paraId="28502ACA">
      <w:pPr>
        <w:snapToGrid w:val="0"/>
        <w:spacing w:before="50" w:afterLines="50"/>
        <w:jc w:val="center"/>
        <w:rPr>
          <w:rFonts w:ascii="宋体" w:hAnsi="宋体" w:cs="宋体"/>
          <w:b/>
          <w:color w:val="auto"/>
          <w:sz w:val="28"/>
          <w:szCs w:val="28"/>
          <w:highlight w:val="none"/>
        </w:rPr>
      </w:pPr>
    </w:p>
    <w:p w14:paraId="709C03CC">
      <w:pPr>
        <w:snapToGrid w:val="0"/>
        <w:spacing w:before="50" w:afterLines="5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投标人直接控股股东信息表</w:t>
      </w:r>
    </w:p>
    <w:tbl>
      <w:tblPr>
        <w:tblStyle w:val="48"/>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48DFD035">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99FC972">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ADB3657">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6E16C11">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C4D8C26">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F229C78">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2D3B14F4">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834B00">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9295D0">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F0FA167">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671BBA7">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A16BBFF">
            <w:pPr>
              <w:spacing w:line="360" w:lineRule="auto"/>
              <w:jc w:val="center"/>
              <w:rPr>
                <w:rFonts w:ascii="宋体" w:hAnsi="宋体" w:cs="宋体"/>
                <w:color w:val="auto"/>
                <w:kern w:val="0"/>
                <w:sz w:val="24"/>
                <w:highlight w:val="none"/>
              </w:rPr>
            </w:pPr>
          </w:p>
        </w:tc>
      </w:tr>
      <w:tr w14:paraId="331974DF">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D53215F">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A8CEB1">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23EEF0F">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C30A355">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CAC5D9E">
            <w:pPr>
              <w:spacing w:line="360" w:lineRule="auto"/>
              <w:jc w:val="center"/>
              <w:rPr>
                <w:rFonts w:ascii="宋体" w:hAnsi="宋体" w:cs="宋体"/>
                <w:color w:val="auto"/>
                <w:kern w:val="0"/>
                <w:sz w:val="24"/>
                <w:highlight w:val="none"/>
              </w:rPr>
            </w:pPr>
          </w:p>
        </w:tc>
      </w:tr>
      <w:tr w14:paraId="3BC58518">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8D832E0">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3574FEF">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3504AB">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DAEAE73">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099E5C">
            <w:pPr>
              <w:spacing w:line="360" w:lineRule="auto"/>
              <w:jc w:val="center"/>
              <w:rPr>
                <w:rFonts w:ascii="宋体" w:hAnsi="宋体" w:cs="宋体"/>
                <w:color w:val="auto"/>
                <w:kern w:val="0"/>
                <w:sz w:val="24"/>
                <w:highlight w:val="none"/>
              </w:rPr>
            </w:pPr>
          </w:p>
        </w:tc>
      </w:tr>
      <w:tr w14:paraId="719837E1">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0666B46">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57EFFF">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542CA5E">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C4692D8">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3890C84">
            <w:pPr>
              <w:spacing w:line="360" w:lineRule="auto"/>
              <w:jc w:val="center"/>
              <w:rPr>
                <w:rFonts w:ascii="宋体" w:hAnsi="宋体" w:cs="宋体"/>
                <w:color w:val="auto"/>
                <w:kern w:val="0"/>
                <w:sz w:val="24"/>
                <w:highlight w:val="none"/>
              </w:rPr>
            </w:pPr>
          </w:p>
        </w:tc>
      </w:tr>
    </w:tbl>
    <w:p w14:paraId="17F76708">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41C53BC7">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8A5E777">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5F3C2516">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3.供应商不存在直接控股股东的，则在“</w:t>
      </w:r>
      <w:r>
        <w:rPr>
          <w:rFonts w:hint="eastAsia" w:ascii="宋体" w:hAnsi="宋体" w:cs="宋体"/>
          <w:b/>
          <w:bCs/>
          <w:color w:val="auto"/>
          <w:kern w:val="0"/>
          <w:sz w:val="24"/>
          <w:highlight w:val="none"/>
        </w:rPr>
        <w:t>直接控股股东名称</w:t>
      </w:r>
      <w:r>
        <w:rPr>
          <w:rFonts w:hint="eastAsia" w:ascii="宋体" w:hAnsi="宋体" w:cs="宋体"/>
          <w:color w:val="auto"/>
          <w:sz w:val="24"/>
          <w:highlight w:val="none"/>
        </w:rPr>
        <w:t>”中填“无”。</w:t>
      </w:r>
    </w:p>
    <w:p w14:paraId="4C902AC2">
      <w:pPr>
        <w:snapToGrid w:val="0"/>
        <w:spacing w:line="360" w:lineRule="auto"/>
        <w:jc w:val="left"/>
        <w:rPr>
          <w:rFonts w:ascii="宋体" w:hAnsi="宋体" w:cs="宋体"/>
          <w:color w:val="auto"/>
          <w:sz w:val="24"/>
          <w:highlight w:val="none"/>
        </w:rPr>
      </w:pPr>
    </w:p>
    <w:p w14:paraId="2C039B30">
      <w:pPr>
        <w:snapToGrid w:val="0"/>
        <w:spacing w:line="360" w:lineRule="auto"/>
        <w:jc w:val="left"/>
        <w:rPr>
          <w:rFonts w:ascii="宋体" w:hAnsi="宋体" w:cs="宋体"/>
          <w:color w:val="auto"/>
          <w:sz w:val="24"/>
          <w:highlight w:val="none"/>
        </w:rPr>
      </w:pPr>
    </w:p>
    <w:p w14:paraId="38728DBF">
      <w:pPr>
        <w:snapToGrid w:val="0"/>
        <w:spacing w:line="360" w:lineRule="auto"/>
        <w:jc w:val="left"/>
        <w:rPr>
          <w:rFonts w:ascii="宋体" w:hAnsi="宋体" w:cs="宋体"/>
          <w:color w:val="auto"/>
          <w:sz w:val="24"/>
          <w:highlight w:val="none"/>
        </w:rPr>
      </w:pPr>
    </w:p>
    <w:p w14:paraId="41F894AF">
      <w:pPr>
        <w:snapToGrid w:val="0"/>
        <w:spacing w:line="360" w:lineRule="auto"/>
        <w:jc w:val="left"/>
        <w:rPr>
          <w:rFonts w:ascii="宋体" w:hAnsi="宋体" w:cs="宋体"/>
          <w:color w:val="auto"/>
          <w:sz w:val="24"/>
          <w:highlight w:val="none"/>
        </w:rPr>
      </w:pPr>
    </w:p>
    <w:p w14:paraId="6F65A44D">
      <w:pPr>
        <w:snapToGrid w:val="0"/>
        <w:spacing w:line="360" w:lineRule="auto"/>
        <w:jc w:val="left"/>
        <w:rPr>
          <w:rFonts w:ascii="宋体" w:hAnsi="宋体" w:cs="宋体"/>
          <w:color w:val="auto"/>
          <w:sz w:val="24"/>
          <w:highlight w:val="none"/>
        </w:rPr>
      </w:pPr>
    </w:p>
    <w:p w14:paraId="2C53769A">
      <w:pPr>
        <w:snapToGrid w:val="0"/>
        <w:spacing w:line="360" w:lineRule="auto"/>
        <w:ind w:left="-2" w:leftChars="-1" w:right="-817" w:rightChars="-389" w:firstLine="1920" w:firstLineChars="800"/>
        <w:rPr>
          <w:rFonts w:ascii="宋体" w:hAnsi="宋体" w:cs="宋体"/>
          <w:color w:val="auto"/>
          <w:sz w:val="24"/>
          <w:highlight w:val="none"/>
        </w:rPr>
      </w:pPr>
      <w:r>
        <w:rPr>
          <w:rFonts w:hint="eastAsia" w:ascii="宋体" w:hAnsi="宋体" w:cs="宋体"/>
          <w:color w:val="auto"/>
          <w:sz w:val="24"/>
          <w:highlight w:val="none"/>
        </w:rPr>
        <w:t xml:space="preserve">法定代表人或者委托代理人（签字或者电子签名）： </w:t>
      </w:r>
    </w:p>
    <w:p w14:paraId="349238BA">
      <w:pPr>
        <w:snapToGrid w:val="0"/>
        <w:spacing w:line="360" w:lineRule="auto"/>
        <w:ind w:left="-3" w:leftChars="-15" w:right="-817" w:rightChars="-389" w:hanging="28" w:hangingChars="12"/>
        <w:rPr>
          <w:rFonts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6250DE7F">
      <w:pPr>
        <w:snapToGrid w:val="0"/>
        <w:spacing w:line="360" w:lineRule="auto"/>
        <w:jc w:val="left"/>
        <w:rPr>
          <w:rFonts w:ascii="宋体" w:hAnsi="宋体" w:cs="宋体"/>
          <w:color w:val="auto"/>
          <w:szCs w:val="21"/>
          <w:highlight w:val="none"/>
        </w:rPr>
      </w:pPr>
      <w:r>
        <w:rPr>
          <w:rFonts w:hint="eastAsia" w:ascii="宋体" w:hAnsi="宋体" w:cs="宋体"/>
          <w:color w:val="auto"/>
          <w:sz w:val="24"/>
          <w:highlight w:val="none"/>
        </w:rPr>
        <w:t xml:space="preserve">                                    日期：    年   月   日</w:t>
      </w:r>
    </w:p>
    <w:p w14:paraId="1B9C2B62">
      <w:pPr>
        <w:snapToGrid w:val="0"/>
        <w:spacing w:beforeLines="50" w:after="50" w:line="360" w:lineRule="auto"/>
        <w:ind w:right="480" w:firstLine="6465" w:firstLineChars="2300"/>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1BB8EE9F">
      <w:pPr>
        <w:snapToGrid w:val="0"/>
        <w:spacing w:line="360" w:lineRule="auto"/>
        <w:jc w:val="center"/>
        <w:rPr>
          <w:rFonts w:ascii="宋体" w:hAnsi="宋体" w:cs="宋体"/>
          <w:color w:val="auto"/>
          <w:sz w:val="32"/>
          <w:szCs w:val="32"/>
          <w:highlight w:val="none"/>
        </w:rPr>
      </w:pPr>
      <w:r>
        <w:rPr>
          <w:rFonts w:hint="eastAsia" w:ascii="宋体" w:hAnsi="宋体" w:cs="宋体"/>
          <w:b/>
          <w:color w:val="auto"/>
          <w:sz w:val="32"/>
          <w:szCs w:val="32"/>
          <w:highlight w:val="none"/>
        </w:rPr>
        <w:t>投标人直接管理关系信息表</w:t>
      </w:r>
    </w:p>
    <w:tbl>
      <w:tblPr>
        <w:tblStyle w:val="48"/>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755E4DAC">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941F4C1">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EAE6EF6">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D85648E">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E19B340">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5DF241F5">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32208A0">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28E93E">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AEF8AB9">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291746">
            <w:pPr>
              <w:spacing w:line="360" w:lineRule="auto"/>
              <w:jc w:val="center"/>
              <w:rPr>
                <w:rFonts w:ascii="宋体" w:hAnsi="宋体" w:cs="宋体"/>
                <w:color w:val="auto"/>
                <w:kern w:val="0"/>
                <w:sz w:val="24"/>
                <w:highlight w:val="none"/>
              </w:rPr>
            </w:pPr>
          </w:p>
        </w:tc>
      </w:tr>
      <w:tr w14:paraId="35FCEAEF">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9350FBC">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BB49AFB">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9698C5">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980CB4B">
            <w:pPr>
              <w:spacing w:line="360" w:lineRule="auto"/>
              <w:jc w:val="center"/>
              <w:rPr>
                <w:rFonts w:ascii="宋体" w:hAnsi="宋体" w:cs="宋体"/>
                <w:color w:val="auto"/>
                <w:kern w:val="0"/>
                <w:sz w:val="24"/>
                <w:highlight w:val="none"/>
              </w:rPr>
            </w:pPr>
          </w:p>
        </w:tc>
      </w:tr>
      <w:tr w14:paraId="5DD53856">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F10B18F">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4B61293">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2215CD">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4E31ABE">
            <w:pPr>
              <w:spacing w:line="360" w:lineRule="auto"/>
              <w:jc w:val="center"/>
              <w:rPr>
                <w:rFonts w:ascii="宋体" w:hAnsi="宋体" w:cs="宋体"/>
                <w:color w:val="auto"/>
                <w:kern w:val="0"/>
                <w:sz w:val="24"/>
                <w:highlight w:val="none"/>
              </w:rPr>
            </w:pPr>
          </w:p>
        </w:tc>
      </w:tr>
      <w:tr w14:paraId="6EED8737">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4C6E360">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F365E93">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4CA33C5">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496E95">
            <w:pPr>
              <w:spacing w:line="360" w:lineRule="auto"/>
              <w:jc w:val="center"/>
              <w:rPr>
                <w:rFonts w:ascii="宋体" w:hAnsi="宋体" w:cs="宋体"/>
                <w:color w:val="auto"/>
                <w:kern w:val="0"/>
                <w:sz w:val="24"/>
                <w:highlight w:val="none"/>
              </w:rPr>
            </w:pPr>
          </w:p>
        </w:tc>
      </w:tr>
    </w:tbl>
    <w:p w14:paraId="564A0A4D">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19DAF31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1C9F167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3DEBFD1C">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3.供应商不存在直接管理关系的，则在“</w:t>
      </w:r>
      <w:r>
        <w:rPr>
          <w:rFonts w:hint="eastAsia" w:ascii="宋体" w:hAnsi="宋体" w:cs="宋体"/>
          <w:b/>
          <w:bCs/>
          <w:color w:val="auto"/>
          <w:kern w:val="0"/>
          <w:sz w:val="24"/>
          <w:highlight w:val="none"/>
        </w:rPr>
        <w:t>直接管理关系单位名称</w:t>
      </w:r>
      <w:r>
        <w:rPr>
          <w:rFonts w:hint="eastAsia" w:ascii="宋体" w:hAnsi="宋体" w:cs="宋体"/>
          <w:color w:val="auto"/>
          <w:sz w:val="24"/>
          <w:highlight w:val="none"/>
        </w:rPr>
        <w:t>”中填“无”。</w:t>
      </w:r>
    </w:p>
    <w:p w14:paraId="6572E50C">
      <w:pPr>
        <w:snapToGrid w:val="0"/>
        <w:spacing w:line="360" w:lineRule="auto"/>
        <w:ind w:firstLine="480" w:firstLineChars="200"/>
        <w:jc w:val="left"/>
        <w:rPr>
          <w:rFonts w:ascii="宋体" w:hAnsi="宋体" w:cs="宋体"/>
          <w:color w:val="auto"/>
          <w:sz w:val="24"/>
          <w:highlight w:val="none"/>
        </w:rPr>
      </w:pPr>
    </w:p>
    <w:p w14:paraId="7D061BAD">
      <w:pPr>
        <w:snapToGrid w:val="0"/>
        <w:spacing w:line="360" w:lineRule="auto"/>
        <w:jc w:val="left"/>
        <w:rPr>
          <w:rFonts w:ascii="宋体" w:hAnsi="宋体" w:cs="宋体"/>
          <w:color w:val="auto"/>
          <w:sz w:val="24"/>
          <w:highlight w:val="none"/>
        </w:rPr>
      </w:pPr>
    </w:p>
    <w:p w14:paraId="2E4699B1">
      <w:pPr>
        <w:snapToGrid w:val="0"/>
        <w:spacing w:line="360" w:lineRule="auto"/>
        <w:jc w:val="left"/>
        <w:rPr>
          <w:rFonts w:ascii="宋体" w:hAnsi="宋体" w:cs="宋体"/>
          <w:color w:val="auto"/>
          <w:sz w:val="24"/>
          <w:highlight w:val="none"/>
        </w:rPr>
      </w:pPr>
    </w:p>
    <w:p w14:paraId="5AAD6A65">
      <w:pPr>
        <w:snapToGrid w:val="0"/>
        <w:spacing w:line="360" w:lineRule="auto"/>
        <w:jc w:val="left"/>
        <w:rPr>
          <w:rFonts w:ascii="宋体" w:hAnsi="宋体" w:cs="宋体"/>
          <w:color w:val="auto"/>
          <w:sz w:val="24"/>
          <w:highlight w:val="none"/>
        </w:rPr>
      </w:pPr>
    </w:p>
    <w:p w14:paraId="18B6F106">
      <w:pPr>
        <w:snapToGrid w:val="0"/>
        <w:spacing w:line="360" w:lineRule="auto"/>
        <w:jc w:val="left"/>
        <w:rPr>
          <w:rFonts w:ascii="宋体" w:hAnsi="宋体" w:cs="宋体"/>
          <w:color w:val="auto"/>
          <w:sz w:val="24"/>
          <w:highlight w:val="none"/>
        </w:rPr>
      </w:pPr>
    </w:p>
    <w:p w14:paraId="5200E99E">
      <w:pPr>
        <w:snapToGrid w:val="0"/>
        <w:spacing w:line="360" w:lineRule="auto"/>
        <w:jc w:val="left"/>
        <w:rPr>
          <w:rFonts w:ascii="宋体" w:hAnsi="宋体" w:cs="宋体"/>
          <w:color w:val="auto"/>
          <w:sz w:val="24"/>
          <w:highlight w:val="none"/>
        </w:rPr>
      </w:pPr>
    </w:p>
    <w:p w14:paraId="742A6BE7">
      <w:pPr>
        <w:snapToGrid w:val="0"/>
        <w:spacing w:line="360" w:lineRule="auto"/>
        <w:jc w:val="left"/>
        <w:rPr>
          <w:rFonts w:ascii="宋体" w:hAnsi="宋体" w:cs="宋体"/>
          <w:color w:val="auto"/>
          <w:sz w:val="24"/>
          <w:highlight w:val="none"/>
        </w:rPr>
      </w:pPr>
    </w:p>
    <w:p w14:paraId="6F223F48">
      <w:pPr>
        <w:snapToGrid w:val="0"/>
        <w:spacing w:line="360" w:lineRule="auto"/>
        <w:jc w:val="left"/>
        <w:rPr>
          <w:rFonts w:ascii="宋体" w:hAnsi="宋体" w:cs="宋体"/>
          <w:color w:val="auto"/>
          <w:sz w:val="24"/>
          <w:highlight w:val="none"/>
        </w:rPr>
      </w:pPr>
    </w:p>
    <w:p w14:paraId="73C5F7BC">
      <w:pPr>
        <w:snapToGrid w:val="0"/>
        <w:spacing w:line="360" w:lineRule="auto"/>
        <w:ind w:left="-2" w:leftChars="-1" w:right="-817" w:rightChars="-389" w:firstLine="1920" w:firstLineChars="800"/>
        <w:rPr>
          <w:rFonts w:ascii="宋体" w:hAnsi="宋体" w:cs="宋体"/>
          <w:color w:val="auto"/>
          <w:sz w:val="24"/>
          <w:highlight w:val="none"/>
        </w:rPr>
      </w:pPr>
      <w:r>
        <w:rPr>
          <w:rFonts w:hint="eastAsia" w:ascii="宋体" w:hAnsi="宋体" w:cs="宋体"/>
          <w:color w:val="auto"/>
          <w:sz w:val="24"/>
          <w:highlight w:val="none"/>
        </w:rPr>
        <w:t xml:space="preserve">法定代表人或者委托代理人（签字或者电子签名）： </w:t>
      </w:r>
    </w:p>
    <w:p w14:paraId="32CBBF15">
      <w:pPr>
        <w:snapToGrid w:val="0"/>
        <w:spacing w:line="360" w:lineRule="auto"/>
        <w:ind w:left="-3" w:leftChars="-15" w:right="-817" w:rightChars="-389" w:hanging="28" w:hangingChars="12"/>
        <w:rPr>
          <w:rFonts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4D5FA25C">
      <w:pPr>
        <w:snapToGrid w:val="0"/>
        <w:spacing w:line="360" w:lineRule="auto"/>
        <w:ind w:right="480" w:firstLine="240" w:firstLineChars="100"/>
        <w:jc w:val="left"/>
        <w:rPr>
          <w:rFonts w:ascii="宋体" w:hAnsi="宋体" w:cs="宋体"/>
          <w:color w:val="auto"/>
          <w:szCs w:val="21"/>
          <w:highlight w:val="none"/>
        </w:rPr>
      </w:pPr>
      <w:r>
        <w:rPr>
          <w:rFonts w:hint="eastAsia" w:ascii="宋体" w:hAnsi="宋体" w:cs="宋体"/>
          <w:color w:val="auto"/>
          <w:sz w:val="24"/>
          <w:highlight w:val="none"/>
        </w:rPr>
        <w:t xml:space="preserve">                                日期：    年   月   日</w:t>
      </w:r>
    </w:p>
    <w:p w14:paraId="197DEFF2">
      <w:pPr>
        <w:snapToGrid w:val="0"/>
        <w:spacing w:beforeLines="50" w:after="50" w:line="360" w:lineRule="auto"/>
        <w:ind w:right="480" w:firstLine="240" w:firstLineChars="100"/>
        <w:jc w:val="right"/>
        <w:rPr>
          <w:rFonts w:ascii="宋体" w:hAnsi="宋体" w:cs="宋体"/>
          <w:color w:val="auto"/>
          <w:sz w:val="24"/>
          <w:highlight w:val="none"/>
        </w:rPr>
      </w:pPr>
    </w:p>
    <w:p w14:paraId="24645495">
      <w:pPr>
        <w:snapToGrid w:val="0"/>
        <w:spacing w:before="50" w:afterLines="50"/>
        <w:jc w:val="left"/>
        <w:rPr>
          <w:rFonts w:ascii="宋体" w:hAnsi="宋体" w:cs="宋体"/>
          <w:color w:val="auto"/>
          <w:szCs w:val="21"/>
          <w:highlight w:val="none"/>
        </w:rPr>
      </w:pPr>
    </w:p>
    <w:p w14:paraId="5A9BDED6">
      <w:pPr>
        <w:widowControl/>
        <w:jc w:val="left"/>
        <w:rPr>
          <w:rFonts w:ascii="宋体" w:hAnsi="宋体" w:cs="宋体"/>
          <w:b/>
          <w:color w:val="auto"/>
          <w:sz w:val="24"/>
          <w:szCs w:val="20"/>
          <w:highlight w:val="none"/>
        </w:rPr>
      </w:pPr>
      <w:r>
        <w:rPr>
          <w:rFonts w:hint="eastAsia" w:ascii="宋体" w:hAnsi="宋体" w:cs="宋体"/>
          <w:b/>
          <w:color w:val="auto"/>
          <w:sz w:val="24"/>
          <w:szCs w:val="20"/>
          <w:highlight w:val="none"/>
        </w:rPr>
        <w:br w:type="page"/>
      </w:r>
    </w:p>
    <w:p w14:paraId="00C8A63B">
      <w:pPr>
        <w:snapToGrid w:val="0"/>
        <w:spacing w:beforeLines="50" w:after="50"/>
        <w:jc w:val="left"/>
        <w:rPr>
          <w:rFonts w:ascii="宋体" w:hAnsi="宋体" w:cs="宋体"/>
          <w:b/>
          <w:color w:val="auto"/>
          <w:sz w:val="24"/>
          <w:szCs w:val="20"/>
          <w:highlight w:val="none"/>
        </w:rPr>
      </w:pPr>
    </w:p>
    <w:p w14:paraId="734BEEAD">
      <w:pPr>
        <w:numPr>
          <w:ilvl w:val="2"/>
          <w:numId w:val="5"/>
        </w:numPr>
        <w:snapToGrid w:val="0"/>
        <w:spacing w:beforeLines="50" w:after="50"/>
        <w:ind w:left="0" w:firstLine="0"/>
        <w:jc w:val="left"/>
        <w:rPr>
          <w:rFonts w:ascii="宋体" w:hAnsi="宋体" w:cs="宋体"/>
          <w:b/>
          <w:color w:val="auto"/>
          <w:sz w:val="24"/>
          <w:szCs w:val="20"/>
          <w:highlight w:val="none"/>
        </w:rPr>
      </w:pPr>
      <w:r>
        <w:rPr>
          <w:rFonts w:hint="eastAsia" w:ascii="宋体" w:hAnsi="宋体" w:cs="宋体"/>
          <w:b/>
          <w:color w:val="auto"/>
          <w:sz w:val="24"/>
          <w:highlight w:val="none"/>
        </w:rPr>
        <w:t>投标声明</w:t>
      </w:r>
    </w:p>
    <w:p w14:paraId="76080CED">
      <w:pPr>
        <w:snapToGrid w:val="0"/>
        <w:spacing w:before="50" w:afterLines="50"/>
        <w:jc w:val="left"/>
        <w:rPr>
          <w:rFonts w:ascii="宋体" w:hAnsi="宋体" w:cs="宋体"/>
          <w:color w:val="auto"/>
          <w:highlight w:val="none"/>
        </w:rPr>
      </w:pPr>
    </w:p>
    <w:p w14:paraId="348B7CAE">
      <w:pPr>
        <w:snapToGrid w:val="0"/>
        <w:spacing w:before="50" w:afterLines="50"/>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投标声明</w:t>
      </w:r>
    </w:p>
    <w:p w14:paraId="5A7AEEC2">
      <w:pPr>
        <w:spacing w:line="400" w:lineRule="exact"/>
        <w:contextualSpacing/>
        <w:jc w:val="left"/>
        <w:rPr>
          <w:rFonts w:ascii="宋体" w:hAnsi="宋体" w:cs="宋体"/>
          <w:color w:val="auto"/>
          <w:sz w:val="24"/>
          <w:highlight w:val="none"/>
        </w:rPr>
      </w:pPr>
      <w:r>
        <w:rPr>
          <w:rFonts w:hint="eastAsia" w:ascii="宋体" w:hAnsi="宋体" w:cs="宋体"/>
          <w:color w:val="auto"/>
          <w:sz w:val="24"/>
          <w:highlight w:val="none"/>
        </w:rPr>
        <w:t>（采购人名称）：</w:t>
      </w:r>
    </w:p>
    <w:p w14:paraId="676E22F7">
      <w:pPr>
        <w:spacing w:line="400" w:lineRule="exact"/>
        <w:ind w:firstLine="523" w:firstLineChars="218"/>
        <w:contextualSpacing/>
        <w:jc w:val="left"/>
        <w:rPr>
          <w:rFonts w:ascii="宋体" w:hAnsi="宋体" w:cs="宋体"/>
          <w:color w:val="auto"/>
          <w:sz w:val="24"/>
          <w:highlight w:val="none"/>
        </w:rPr>
      </w:pPr>
      <w:r>
        <w:rPr>
          <w:rFonts w:hint="eastAsia" w:ascii="宋体" w:hAnsi="宋体" w:cs="宋体"/>
          <w:color w:val="auto"/>
          <w:sz w:val="24"/>
          <w:highlight w:val="none"/>
        </w:rPr>
        <w:t>我方参加贵单位组织</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）的政府采购活动。我方在此郑重声明：</w:t>
      </w:r>
    </w:p>
    <w:p w14:paraId="761EFEC7">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5C5DBCC2">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2.我方不是为本次采购项目提供整体设计、规范编制或者项目管理、监理、检测等服务的供应商。</w:t>
      </w:r>
    </w:p>
    <w:p w14:paraId="2E19ACE3">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3. 我方承诺符合《中华人民共和国政府采购法》第二十二条规定：</w:t>
      </w:r>
    </w:p>
    <w:p w14:paraId="75AEFDFD">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（一）具有独立承担民事责任的能力；</w:t>
      </w:r>
    </w:p>
    <w:p w14:paraId="22CF7E14">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（二）具有良好的商业信誉和健全的财务会计制度；</w:t>
      </w:r>
    </w:p>
    <w:p w14:paraId="4DB8E829">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（三）具有履行合同所必需的设备和专业技术能力；</w:t>
      </w:r>
    </w:p>
    <w:p w14:paraId="3BC8A713">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（四）有依法缴纳税收和社会保障资金的良好记录；</w:t>
      </w:r>
    </w:p>
    <w:p w14:paraId="1C004D6E">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（五）参加政府采购活动前三年内，在经营活动中没有重大违法记录；</w:t>
      </w:r>
    </w:p>
    <w:p w14:paraId="79FBB817">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（六）法律、行政法规规定的其他条件。</w:t>
      </w:r>
    </w:p>
    <w:p w14:paraId="745D6305">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4.以上事项如有虚假或者隐瞒，我方愿意承担一切后果，并不再寻求任何旨在减轻或者免除法律责任的辩解。</w:t>
      </w:r>
    </w:p>
    <w:p w14:paraId="541529B4">
      <w:pPr>
        <w:spacing w:line="400" w:lineRule="exact"/>
        <w:contextualSpacing/>
        <w:jc w:val="left"/>
        <w:rPr>
          <w:rFonts w:ascii="宋体" w:hAnsi="宋体" w:cs="宋体"/>
          <w:color w:val="auto"/>
          <w:sz w:val="24"/>
          <w:highlight w:val="none"/>
        </w:rPr>
      </w:pPr>
      <w:r>
        <w:rPr>
          <w:rFonts w:hint="eastAsia" w:ascii="宋体" w:hAnsi="宋体" w:cs="宋体"/>
          <w:color w:val="auto"/>
          <w:sz w:val="24"/>
          <w:highlight w:val="none"/>
        </w:rPr>
        <w:t xml:space="preserve">    特此承诺。</w:t>
      </w:r>
    </w:p>
    <w:p w14:paraId="3DE988D3">
      <w:pPr>
        <w:spacing w:line="400" w:lineRule="exact"/>
        <w:contextualSpacing/>
        <w:jc w:val="left"/>
        <w:rPr>
          <w:rFonts w:ascii="宋体" w:hAnsi="宋体" w:cs="宋体"/>
          <w:color w:val="auto"/>
          <w:sz w:val="24"/>
          <w:highlight w:val="none"/>
        </w:rPr>
      </w:pPr>
      <w:r>
        <w:rPr>
          <w:rFonts w:hint="eastAsia" w:ascii="宋体" w:hAnsi="宋体" w:cs="宋体"/>
          <w:b/>
          <w:color w:val="auto"/>
          <w:sz w:val="24"/>
          <w:highlight w:val="none"/>
        </w:rPr>
        <w:t xml:space="preserve">                  </w:t>
      </w:r>
      <w:r>
        <w:rPr>
          <w:rFonts w:hint="eastAsia" w:ascii="宋体" w:hAnsi="宋体" w:cs="宋体"/>
          <w:color w:val="auto"/>
          <w:sz w:val="24"/>
          <w:highlight w:val="none"/>
        </w:rPr>
        <w:t>法定代表人（签字或者盖章或者电子签名）：</w:t>
      </w:r>
      <w:r>
        <w:rPr>
          <w:rFonts w:hint="eastAsia" w:ascii="宋体" w:hAnsi="宋体" w:cs="宋体"/>
          <w:color w:val="auto"/>
          <w:sz w:val="24"/>
          <w:highlight w:val="none"/>
          <w:u w:val="single"/>
        </w:rPr>
        <w:t xml:space="preserve">             </w:t>
      </w:r>
    </w:p>
    <w:p w14:paraId="4712DC57">
      <w:pPr>
        <w:spacing w:line="400" w:lineRule="exact"/>
        <w:contextualSpacing/>
        <w:jc w:val="left"/>
        <w:rPr>
          <w:rFonts w:ascii="宋体" w:hAnsi="宋体" w:cs="宋体"/>
          <w:color w:val="auto"/>
          <w:sz w:val="24"/>
          <w:highlight w:val="none"/>
        </w:rPr>
      </w:pPr>
      <w:r>
        <w:rPr>
          <w:rFonts w:hint="eastAsia" w:ascii="宋体" w:hAnsi="宋体" w:cs="宋体"/>
          <w:color w:val="auto"/>
          <w:sz w:val="24"/>
          <w:highlight w:val="none"/>
        </w:rPr>
        <w:t xml:space="preserve">                             投标人名称（电子签章）：</w:t>
      </w:r>
      <w:r>
        <w:rPr>
          <w:rFonts w:hint="eastAsia" w:ascii="宋体" w:hAnsi="宋体" w:cs="宋体"/>
          <w:color w:val="auto"/>
          <w:sz w:val="24"/>
          <w:highlight w:val="none"/>
          <w:u w:val="single"/>
        </w:rPr>
        <w:t xml:space="preserve">                 </w:t>
      </w:r>
    </w:p>
    <w:p w14:paraId="681DE50B">
      <w:pPr>
        <w:spacing w:line="400" w:lineRule="exact"/>
        <w:contextualSpacing/>
        <w:jc w:val="left"/>
        <w:rPr>
          <w:rFonts w:ascii="宋体" w:hAnsi="宋体" w:cs="宋体"/>
          <w:color w:val="auto"/>
          <w:highlight w:val="none"/>
        </w:rPr>
      </w:pPr>
      <w:r>
        <w:rPr>
          <w:rFonts w:hint="eastAsia" w:ascii="宋体" w:hAnsi="宋体" w:cs="宋体"/>
          <w:color w:val="auto"/>
          <w:sz w:val="24"/>
          <w:highlight w:val="none"/>
        </w:rPr>
        <w:t xml:space="preserve">                                                  年    月    日</w:t>
      </w:r>
    </w:p>
    <w:p w14:paraId="1B7F818F">
      <w:pPr>
        <w:spacing w:line="400" w:lineRule="exact"/>
        <w:contextualSpacing/>
        <w:jc w:val="left"/>
        <w:rPr>
          <w:rFonts w:ascii="宋体" w:hAnsi="宋体" w:cs="宋体"/>
          <w:color w:val="auto"/>
          <w:sz w:val="24"/>
          <w:highlight w:val="none"/>
        </w:rPr>
      </w:pPr>
    </w:p>
    <w:p w14:paraId="3EFBD810">
      <w:pPr>
        <w:spacing w:line="400" w:lineRule="exact"/>
        <w:contextualSpacing/>
        <w:jc w:val="left"/>
        <w:rPr>
          <w:rFonts w:ascii="宋体" w:hAnsi="宋体" w:cs="宋体"/>
          <w:color w:val="auto"/>
          <w:sz w:val="24"/>
          <w:highlight w:val="none"/>
        </w:rPr>
      </w:pPr>
    </w:p>
    <w:p w14:paraId="5DF8E7BE">
      <w:pPr>
        <w:spacing w:line="400" w:lineRule="exact"/>
        <w:contextualSpacing/>
        <w:jc w:val="left"/>
        <w:rPr>
          <w:rFonts w:ascii="宋体" w:hAnsi="宋体" w:cs="宋体"/>
          <w:color w:val="auto"/>
          <w:sz w:val="24"/>
          <w:highlight w:val="none"/>
        </w:rPr>
      </w:pPr>
    </w:p>
    <w:p w14:paraId="5255857A">
      <w:pPr>
        <w:rPr>
          <w:rFonts w:ascii="宋体" w:hAnsi="宋体" w:cs="宋体"/>
          <w:b/>
          <w:color w:val="auto"/>
          <w:sz w:val="28"/>
          <w:szCs w:val="28"/>
          <w:highlight w:val="none"/>
        </w:rPr>
      </w:pPr>
      <w:bookmarkStart w:id="144" w:name="_Toc19686838"/>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rPr>
        <w:t>三、商务文件格式</w:t>
      </w:r>
      <w:bookmarkEnd w:id="144"/>
    </w:p>
    <w:p w14:paraId="5003D700">
      <w:pPr>
        <w:snapToGrid w:val="0"/>
        <w:spacing w:beforeLines="50" w:after="50" w:line="360" w:lineRule="auto"/>
        <w:jc w:val="left"/>
        <w:rPr>
          <w:rFonts w:ascii="宋体" w:hAnsi="宋体" w:cs="宋体"/>
          <w:b/>
          <w:color w:val="auto"/>
          <w:sz w:val="24"/>
          <w:highlight w:val="none"/>
        </w:rPr>
      </w:pPr>
      <w:r>
        <w:rPr>
          <w:rFonts w:hint="eastAsia" w:ascii="宋体" w:hAnsi="宋体" w:cs="宋体"/>
          <w:b/>
          <w:color w:val="auto"/>
          <w:sz w:val="24"/>
          <w:highlight w:val="none"/>
        </w:rPr>
        <w:t xml:space="preserve">1.商务文件封面格式： </w:t>
      </w:r>
    </w:p>
    <w:p w14:paraId="1845844A">
      <w:pPr>
        <w:snapToGrid w:val="0"/>
        <w:spacing w:beforeLines="50" w:after="50"/>
        <w:jc w:val="center"/>
        <w:rPr>
          <w:rFonts w:ascii="宋体" w:hAnsi="宋体" w:cs="宋体"/>
          <w:color w:val="auto"/>
          <w:sz w:val="24"/>
          <w:highlight w:val="none"/>
        </w:rPr>
      </w:pPr>
      <w:r>
        <w:rPr>
          <w:rFonts w:hint="eastAsia" w:ascii="宋体" w:hAnsi="宋体" w:cs="宋体"/>
          <w:bCs/>
          <w:color w:val="auto"/>
          <w:sz w:val="48"/>
          <w:szCs w:val="48"/>
          <w:highlight w:val="none"/>
        </w:rPr>
        <w:t>电子投标文件</w:t>
      </w:r>
    </w:p>
    <w:p w14:paraId="7055B4B0">
      <w:pPr>
        <w:snapToGrid w:val="0"/>
        <w:spacing w:beforeLines="50" w:after="50"/>
        <w:rPr>
          <w:rFonts w:ascii="宋体" w:hAnsi="宋体" w:cs="宋体"/>
          <w:color w:val="auto"/>
          <w:sz w:val="24"/>
          <w:szCs w:val="20"/>
          <w:highlight w:val="none"/>
        </w:rPr>
      </w:pPr>
      <w:r>
        <w:rPr>
          <w:rFonts w:hint="eastAsia" w:ascii="宋体" w:hAnsi="宋体" w:cs="宋体"/>
          <w:color w:val="auto"/>
          <w:sz w:val="24"/>
          <w:highlight w:val="none"/>
        </w:rPr>
        <w:t xml:space="preserve">                </w:t>
      </w:r>
    </w:p>
    <w:p w14:paraId="341DA7E6">
      <w:pPr>
        <w:snapToGrid w:val="0"/>
        <w:spacing w:beforeLines="50" w:after="50"/>
        <w:jc w:val="center"/>
        <w:rPr>
          <w:rFonts w:ascii="宋体" w:hAnsi="宋体" w:cs="宋体"/>
          <w:b/>
          <w:color w:val="auto"/>
          <w:sz w:val="24"/>
          <w:szCs w:val="20"/>
          <w:highlight w:val="none"/>
        </w:rPr>
      </w:pPr>
      <w:r>
        <w:rPr>
          <w:rFonts w:hint="eastAsia" w:ascii="宋体" w:hAnsi="宋体" w:cs="宋体"/>
          <w:b/>
          <w:color w:val="auto"/>
          <w:sz w:val="32"/>
          <w:szCs w:val="32"/>
          <w:highlight w:val="none"/>
        </w:rPr>
        <w:t>商务文件</w:t>
      </w:r>
    </w:p>
    <w:p w14:paraId="14133ADD">
      <w:pPr>
        <w:snapToGrid w:val="0"/>
        <w:spacing w:beforeLines="50" w:after="50"/>
        <w:rPr>
          <w:rFonts w:ascii="宋体" w:hAnsi="宋体" w:cs="宋体"/>
          <w:bCs/>
          <w:color w:val="auto"/>
          <w:sz w:val="24"/>
          <w:szCs w:val="20"/>
          <w:highlight w:val="none"/>
        </w:rPr>
      </w:pPr>
    </w:p>
    <w:p w14:paraId="568A8160">
      <w:pPr>
        <w:snapToGrid w:val="0"/>
        <w:spacing w:beforeLines="50" w:after="50"/>
        <w:ind w:firstLine="540" w:firstLineChars="225"/>
        <w:rPr>
          <w:rFonts w:hint="eastAsia" w:ascii="宋体" w:hAnsi="宋体" w:cs="宋体"/>
          <w:bCs/>
          <w:color w:val="auto"/>
          <w:sz w:val="24"/>
          <w:highlight w:val="none"/>
        </w:rPr>
      </w:pPr>
    </w:p>
    <w:p w14:paraId="6F43A0C6">
      <w:pPr>
        <w:snapToGrid w:val="0"/>
        <w:spacing w:beforeLines="50" w:after="50"/>
        <w:ind w:firstLine="540" w:firstLineChars="225"/>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eastAsia="zh-CN"/>
        </w:rPr>
        <w:t>所投</w:t>
      </w:r>
      <w:r>
        <w:rPr>
          <w:rFonts w:hint="eastAsia" w:ascii="宋体" w:hAnsi="宋体" w:cs="宋体"/>
          <w:bCs/>
          <w:color w:val="auto"/>
          <w:sz w:val="24"/>
          <w:highlight w:val="none"/>
        </w:rPr>
        <w:t>标项</w:t>
      </w:r>
      <w:r>
        <w:rPr>
          <w:rFonts w:hint="eastAsia" w:ascii="宋体" w:hAnsi="宋体" w:cs="宋体"/>
          <w:bCs/>
          <w:color w:val="auto"/>
          <w:sz w:val="24"/>
          <w:highlight w:val="none"/>
          <w:lang w:eastAsia="zh-CN"/>
        </w:rPr>
        <w:t>：</w:t>
      </w:r>
    </w:p>
    <w:p w14:paraId="14FEF56F">
      <w:pPr>
        <w:snapToGrid w:val="0"/>
        <w:spacing w:beforeLines="50" w:after="50"/>
        <w:ind w:firstLine="540" w:firstLineChars="225"/>
        <w:rPr>
          <w:rFonts w:hint="eastAsia" w:ascii="宋体" w:hAnsi="宋体" w:cs="宋体"/>
          <w:bCs/>
          <w:color w:val="auto"/>
          <w:sz w:val="24"/>
          <w:highlight w:val="none"/>
        </w:rPr>
      </w:pPr>
    </w:p>
    <w:p w14:paraId="1E896CF6">
      <w:pPr>
        <w:snapToGrid w:val="0"/>
        <w:spacing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项目名称：</w:t>
      </w:r>
    </w:p>
    <w:p w14:paraId="15F43E5F">
      <w:pPr>
        <w:snapToGrid w:val="0"/>
        <w:spacing w:beforeLines="50" w:after="50"/>
        <w:ind w:firstLine="540" w:firstLineChars="225"/>
        <w:rPr>
          <w:rFonts w:ascii="宋体" w:hAnsi="宋体" w:cs="宋体"/>
          <w:bCs/>
          <w:color w:val="auto"/>
          <w:sz w:val="24"/>
          <w:szCs w:val="20"/>
          <w:highlight w:val="none"/>
        </w:rPr>
      </w:pPr>
    </w:p>
    <w:p w14:paraId="7B51447B">
      <w:pPr>
        <w:snapToGrid w:val="0"/>
        <w:spacing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项目编号：</w:t>
      </w:r>
    </w:p>
    <w:p w14:paraId="3D6D961A">
      <w:pPr>
        <w:snapToGrid w:val="0"/>
        <w:spacing w:beforeLines="50" w:after="50"/>
        <w:ind w:firstLine="540" w:firstLineChars="225"/>
        <w:rPr>
          <w:rFonts w:ascii="宋体" w:hAnsi="宋体" w:cs="宋体"/>
          <w:bCs/>
          <w:color w:val="auto"/>
          <w:sz w:val="24"/>
          <w:szCs w:val="20"/>
          <w:highlight w:val="none"/>
        </w:rPr>
      </w:pPr>
      <w:r>
        <w:rPr>
          <w:rFonts w:hint="eastAsia" w:ascii="宋体" w:hAnsi="宋体" w:cs="宋体"/>
          <w:bCs/>
          <w:color w:val="auto"/>
          <w:sz w:val="24"/>
          <w:highlight w:val="none"/>
        </w:rPr>
        <w:t xml:space="preserve"> </w:t>
      </w:r>
    </w:p>
    <w:p w14:paraId="3A36F3E2">
      <w:pPr>
        <w:pStyle w:val="8"/>
        <w:snapToGrid w:val="0"/>
        <w:spacing w:before="50" w:after="50"/>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4181EDA7">
      <w:pPr>
        <w:pStyle w:val="8"/>
        <w:snapToGrid w:val="0"/>
        <w:spacing w:before="50" w:after="50"/>
        <w:ind w:firstLine="540" w:firstLineChars="225"/>
        <w:rPr>
          <w:rFonts w:ascii="宋体" w:hAnsi="宋体" w:cs="宋体"/>
          <w:bCs/>
          <w:color w:val="auto"/>
          <w:sz w:val="24"/>
          <w:szCs w:val="24"/>
          <w:highlight w:val="none"/>
        </w:rPr>
      </w:pPr>
    </w:p>
    <w:p w14:paraId="11DC92A2">
      <w:pPr>
        <w:pStyle w:val="8"/>
        <w:snapToGrid w:val="0"/>
        <w:spacing w:before="50" w:after="50"/>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投标人地址：</w:t>
      </w:r>
    </w:p>
    <w:p w14:paraId="1A058CF1">
      <w:pPr>
        <w:pStyle w:val="8"/>
        <w:snapToGrid w:val="0"/>
        <w:spacing w:before="50" w:after="50"/>
        <w:ind w:firstLine="960" w:firstLineChars="400"/>
        <w:rPr>
          <w:rFonts w:ascii="宋体" w:hAnsi="宋体" w:cs="宋体"/>
          <w:bCs/>
          <w:color w:val="auto"/>
          <w:sz w:val="24"/>
          <w:szCs w:val="24"/>
          <w:highlight w:val="none"/>
        </w:rPr>
      </w:pPr>
    </w:p>
    <w:p w14:paraId="0E9148DD">
      <w:pPr>
        <w:snapToGrid w:val="0"/>
        <w:spacing w:beforeLines="50" w:after="50"/>
        <w:ind w:firstLine="645"/>
        <w:rPr>
          <w:rFonts w:ascii="宋体" w:hAnsi="宋体" w:cs="宋体"/>
          <w:color w:val="auto"/>
          <w:sz w:val="24"/>
          <w:highlight w:val="none"/>
        </w:rPr>
      </w:pPr>
      <w:r>
        <w:rPr>
          <w:rFonts w:hint="eastAsia" w:ascii="宋体" w:hAnsi="宋体" w:cs="宋体"/>
          <w:color w:val="auto"/>
          <w:sz w:val="24"/>
          <w:highlight w:val="none"/>
        </w:rPr>
        <w:t xml:space="preserve">                        年  月  日</w:t>
      </w:r>
    </w:p>
    <w:p w14:paraId="3B7D150D">
      <w:pPr>
        <w:snapToGrid w:val="0"/>
        <w:spacing w:beforeLines="50" w:after="50"/>
        <w:rPr>
          <w:rFonts w:ascii="宋体" w:hAnsi="宋体" w:cs="宋体"/>
          <w:color w:val="auto"/>
          <w:sz w:val="24"/>
          <w:szCs w:val="20"/>
          <w:highlight w:val="none"/>
        </w:rPr>
      </w:pPr>
      <w:r>
        <w:rPr>
          <w:rFonts w:hint="eastAsia" w:ascii="宋体" w:hAnsi="宋体" w:cs="宋体"/>
          <w:color w:val="auto"/>
          <w:sz w:val="24"/>
          <w:szCs w:val="20"/>
          <w:highlight w:val="none"/>
        </w:rPr>
        <w:t xml:space="preserve"> </w:t>
      </w:r>
    </w:p>
    <w:p w14:paraId="4E6CA2B9">
      <w:pPr>
        <w:snapToGrid w:val="0"/>
        <w:spacing w:line="360" w:lineRule="auto"/>
        <w:jc w:val="left"/>
        <w:rPr>
          <w:rFonts w:ascii="宋体" w:hAnsi="宋体" w:cs="宋体"/>
          <w:b/>
          <w:bCs/>
          <w:color w:val="auto"/>
          <w:sz w:val="28"/>
          <w:szCs w:val="28"/>
          <w:highlight w:val="none"/>
        </w:rPr>
      </w:pPr>
      <w:r>
        <w:rPr>
          <w:rFonts w:hint="eastAsia" w:ascii="宋体" w:hAnsi="宋体" w:cs="宋体"/>
          <w:color w:val="auto"/>
          <w:sz w:val="24"/>
          <w:szCs w:val="20"/>
          <w:highlight w:val="none"/>
        </w:rPr>
        <w:br w:type="page"/>
      </w:r>
      <w:r>
        <w:rPr>
          <w:rFonts w:hint="eastAsia" w:ascii="宋体" w:hAnsi="宋体" w:cs="宋体"/>
          <w:b/>
          <w:bCs/>
          <w:color w:val="auto"/>
          <w:sz w:val="28"/>
          <w:szCs w:val="28"/>
          <w:highlight w:val="none"/>
        </w:rPr>
        <w:t>2.商务文件目录</w:t>
      </w:r>
    </w:p>
    <w:p w14:paraId="3438B582">
      <w:pPr>
        <w:snapToGrid w:val="0"/>
        <w:spacing w:before="50" w:afterLines="50" w:line="360" w:lineRule="auto"/>
        <w:jc w:val="left"/>
        <w:rPr>
          <w:rFonts w:ascii="宋体" w:hAnsi="宋体" w:cs="宋体"/>
          <w:b/>
          <w:bCs/>
          <w:color w:val="auto"/>
          <w:sz w:val="24"/>
          <w:highlight w:val="none"/>
        </w:rPr>
      </w:pPr>
      <w:r>
        <w:rPr>
          <w:rFonts w:hint="eastAsia" w:ascii="宋体" w:hAnsi="宋体" w:cs="宋体"/>
          <w:color w:val="auto"/>
          <w:szCs w:val="21"/>
          <w:highlight w:val="none"/>
        </w:rPr>
        <w:t>根据招标文件规定及投标人提供的材料自行编写目录。</w:t>
      </w:r>
    </w:p>
    <w:p w14:paraId="4C0FE091">
      <w:pPr>
        <w:snapToGrid w:val="0"/>
        <w:spacing w:before="50" w:afterLines="50"/>
        <w:jc w:val="left"/>
        <w:rPr>
          <w:rFonts w:ascii="宋体" w:hAnsi="宋体" w:cs="宋体"/>
          <w:color w:val="auto"/>
          <w:highlight w:val="none"/>
        </w:rPr>
      </w:pPr>
    </w:p>
    <w:p w14:paraId="202B86E5">
      <w:pPr>
        <w:snapToGrid w:val="0"/>
        <w:spacing w:beforeLines="50" w:after="50"/>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3.投标人参加本项目无围标串标行为的承诺</w:t>
      </w:r>
    </w:p>
    <w:p w14:paraId="4EC06F0A">
      <w:pPr>
        <w:snapToGrid w:val="0"/>
        <w:spacing w:beforeLines="50" w:after="50"/>
        <w:jc w:val="left"/>
        <w:rPr>
          <w:rFonts w:ascii="宋体" w:hAnsi="宋体" w:cs="宋体"/>
          <w:b/>
          <w:color w:val="auto"/>
          <w:sz w:val="24"/>
          <w:highlight w:val="none"/>
        </w:rPr>
      </w:pPr>
    </w:p>
    <w:p w14:paraId="43A35C33">
      <w:pPr>
        <w:snapToGrid w:val="0"/>
        <w:spacing w:beforeLines="50" w:after="50"/>
        <w:ind w:left="420"/>
        <w:jc w:val="center"/>
        <w:rPr>
          <w:rFonts w:ascii="宋体" w:hAnsi="宋体" w:cs="宋体"/>
          <w:b/>
          <w:color w:val="auto"/>
          <w:spacing w:val="-17"/>
          <w:sz w:val="32"/>
          <w:szCs w:val="32"/>
          <w:highlight w:val="none"/>
        </w:rPr>
      </w:pPr>
      <w:r>
        <w:rPr>
          <w:rFonts w:hint="eastAsia" w:ascii="宋体" w:hAnsi="宋体" w:cs="宋体"/>
          <w:bCs/>
          <w:color w:val="auto"/>
          <w:spacing w:val="-17"/>
          <w:sz w:val="44"/>
          <w:szCs w:val="44"/>
          <w:highlight w:val="none"/>
        </w:rPr>
        <w:t>投标人参加本项目无围标串标行为的承诺函</w:t>
      </w:r>
    </w:p>
    <w:p w14:paraId="6C3FB7F3">
      <w:pPr>
        <w:snapToGrid w:val="0"/>
        <w:spacing w:beforeLines="50" w:after="50"/>
        <w:rPr>
          <w:rFonts w:ascii="宋体" w:hAnsi="宋体" w:cs="宋体"/>
          <w:b/>
          <w:color w:val="auto"/>
          <w:sz w:val="24"/>
          <w:highlight w:val="none"/>
        </w:rPr>
      </w:pPr>
    </w:p>
    <w:p w14:paraId="2E044F18">
      <w:pPr>
        <w:spacing w:line="400" w:lineRule="exact"/>
        <w:contextualSpacing/>
        <w:jc w:val="left"/>
        <w:rPr>
          <w:rFonts w:ascii="宋体" w:hAnsi="宋体" w:cs="宋体"/>
          <w:b/>
          <w:color w:val="auto"/>
          <w:sz w:val="24"/>
          <w:highlight w:val="none"/>
        </w:rPr>
      </w:pPr>
      <w:r>
        <w:rPr>
          <w:rFonts w:hint="eastAsia" w:ascii="宋体" w:hAnsi="宋体" w:cs="宋体"/>
          <w:b/>
          <w:color w:val="auto"/>
          <w:sz w:val="24"/>
          <w:highlight w:val="none"/>
        </w:rPr>
        <w:t>一、我方承诺无下列相互串通投标的情形：</w:t>
      </w:r>
    </w:p>
    <w:p w14:paraId="10F690D8">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 xml:space="preserve">1.不同投标人的投标文件由同一单位或者个人编制； </w:t>
      </w:r>
    </w:p>
    <w:p w14:paraId="2658F2EA">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2.不同投标人委托同一单位或者个人办理投标事宜；</w:t>
      </w:r>
    </w:p>
    <w:p w14:paraId="2799C47D">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3.不同的投标人的投标文件载明的项目管理员为同一个人；</w:t>
      </w:r>
    </w:p>
    <w:p w14:paraId="2D2879BC">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4.不同投标人的投标文件异常一致或者投标报价呈规律性差异；</w:t>
      </w:r>
    </w:p>
    <w:p w14:paraId="4927BCEA">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5.不同投标人的投标文件相互混装；</w:t>
      </w:r>
    </w:p>
    <w:p w14:paraId="0C7DD345">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6.不同投标人的投标保证金从同一单位或者个人账户转出。</w:t>
      </w:r>
    </w:p>
    <w:p w14:paraId="47D0C854">
      <w:pPr>
        <w:spacing w:line="400" w:lineRule="exact"/>
        <w:contextualSpacing/>
        <w:jc w:val="left"/>
        <w:rPr>
          <w:rFonts w:ascii="宋体" w:hAnsi="宋体" w:cs="宋体"/>
          <w:color w:val="auto"/>
          <w:sz w:val="24"/>
          <w:highlight w:val="none"/>
        </w:rPr>
      </w:pPr>
      <w:r>
        <w:rPr>
          <w:rFonts w:hint="eastAsia" w:ascii="宋体" w:hAnsi="宋体" w:cs="宋体"/>
          <w:b/>
          <w:color w:val="auto"/>
          <w:sz w:val="24"/>
          <w:highlight w:val="none"/>
        </w:rPr>
        <w:t>二、我方承诺无下列恶意串通的情形：</w:t>
      </w:r>
    </w:p>
    <w:p w14:paraId="70BDF845">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1.投标人直接或者间接从采购人或者采购代理机构处获得其他投标人的相关信息并修改其投标文件或者响应文件；</w:t>
      </w:r>
    </w:p>
    <w:p w14:paraId="7DBECFD4">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2.投标人按照采购人或者采购代理机构的授意撤换、修改投标文件或者响应文件；</w:t>
      </w:r>
    </w:p>
    <w:p w14:paraId="47100765">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3.投标人之间协商报价、技术方案等投标文件或者响应文件的实质性内容；</w:t>
      </w:r>
    </w:p>
    <w:p w14:paraId="531E1EBE">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4.属于同一集团、协会、商会等组织成员的投标人按照该组织要求协同参加政府采购活动；</w:t>
      </w:r>
    </w:p>
    <w:p w14:paraId="6C9DCF4B">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5.投标人之间事先约定一致抬高或者压低投标报价，或者在招标项目中事先约定轮流以高价位或者低价位中标，或者事先约定由某一特定投标人中标，然后再参加投标；</w:t>
      </w:r>
    </w:p>
    <w:p w14:paraId="616DBB5D">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6.投标人之间商定部分投标人放弃参加政府采购活动或者放弃中标；</w:t>
      </w:r>
    </w:p>
    <w:p w14:paraId="18A85FE5">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7.投标人与采购人或者采购代理机构之间、投标人相互之间，为谋求特定投标人中标或者排斥其他投标人的其他串通行为。</w:t>
      </w:r>
    </w:p>
    <w:p w14:paraId="1C08B8DC">
      <w:pPr>
        <w:spacing w:line="400" w:lineRule="exact"/>
        <w:ind w:firstLine="472" w:firstLineChars="196"/>
        <w:contextualSpacing/>
        <w:jc w:val="left"/>
        <w:rPr>
          <w:rFonts w:ascii="宋体" w:hAnsi="宋体" w:cs="宋体"/>
          <w:b/>
          <w:color w:val="auto"/>
          <w:sz w:val="24"/>
          <w:highlight w:val="none"/>
        </w:rPr>
      </w:pPr>
      <w:r>
        <w:rPr>
          <w:rFonts w:hint="eastAsia" w:ascii="宋体" w:hAnsi="宋体" w:cs="宋体"/>
          <w:b/>
          <w:color w:val="auto"/>
          <w:sz w:val="24"/>
          <w:highlight w:val="none"/>
        </w:rPr>
        <w:t>以上情形一经核查属实，我方愿意承担一切后果，并不再寻求任何旨在减轻或者免除法律责任的辩解。</w:t>
      </w:r>
    </w:p>
    <w:p w14:paraId="0753EDEE">
      <w:pPr>
        <w:pStyle w:val="25"/>
        <w:spacing w:line="400" w:lineRule="exact"/>
        <w:ind w:firstLine="6840" w:firstLineChars="2850"/>
        <w:contextualSpacing/>
        <w:rPr>
          <w:rFonts w:hAnsi="宋体" w:cs="宋体"/>
          <w:color w:val="auto"/>
          <w:sz w:val="24"/>
          <w:szCs w:val="24"/>
          <w:highlight w:val="none"/>
        </w:rPr>
      </w:pPr>
    </w:p>
    <w:p w14:paraId="77357A77">
      <w:pPr>
        <w:pStyle w:val="25"/>
        <w:spacing w:line="400" w:lineRule="exact"/>
        <w:contextualSpacing/>
        <w:jc w:val="center"/>
        <w:rPr>
          <w:rFonts w:hAnsi="宋体" w:cs="宋体"/>
          <w:color w:val="auto"/>
          <w:sz w:val="24"/>
          <w:szCs w:val="24"/>
          <w:highlight w:val="none"/>
        </w:rPr>
      </w:pPr>
      <w:r>
        <w:rPr>
          <w:rFonts w:hint="eastAsia" w:hAnsi="宋体" w:cs="宋体"/>
          <w:color w:val="auto"/>
          <w:sz w:val="24"/>
          <w:szCs w:val="24"/>
          <w:highlight w:val="none"/>
        </w:rPr>
        <w:t xml:space="preserve">                                    投标人名称（电子签章）</w:t>
      </w:r>
    </w:p>
    <w:p w14:paraId="76DF26C2">
      <w:pPr>
        <w:pStyle w:val="25"/>
        <w:spacing w:line="400" w:lineRule="exact"/>
        <w:contextualSpacing/>
        <w:rPr>
          <w:rFonts w:hAnsi="宋体" w:cs="宋体"/>
          <w:color w:val="auto"/>
          <w:sz w:val="24"/>
          <w:highlight w:val="none"/>
        </w:rPr>
      </w:pPr>
      <w:r>
        <w:rPr>
          <w:rFonts w:hint="eastAsia" w:hAnsi="宋体" w:cs="宋体"/>
          <w:color w:val="auto"/>
          <w:sz w:val="24"/>
          <w:highlight w:val="none"/>
        </w:rPr>
        <w:t xml:space="preserve">                                                </w:t>
      </w:r>
      <w:r>
        <w:rPr>
          <w:rFonts w:hint="eastAsia" w:hAnsi="宋体" w:cs="宋体"/>
          <w:color w:val="auto"/>
          <w:sz w:val="24"/>
          <w:highlight w:val="none"/>
          <w:u w:val="single"/>
        </w:rPr>
        <w:t xml:space="preserve">      </w:t>
      </w:r>
      <w:r>
        <w:rPr>
          <w:rFonts w:hint="eastAsia" w:hAnsi="宋体" w:cs="宋体"/>
          <w:color w:val="auto"/>
          <w:sz w:val="24"/>
          <w:highlight w:val="none"/>
        </w:rPr>
        <w:t>年</w:t>
      </w:r>
      <w:r>
        <w:rPr>
          <w:rFonts w:hint="eastAsia" w:hAnsi="宋体" w:cs="宋体"/>
          <w:color w:val="auto"/>
          <w:sz w:val="24"/>
          <w:highlight w:val="none"/>
          <w:u w:val="single"/>
        </w:rPr>
        <w:t xml:space="preserve">    </w:t>
      </w:r>
      <w:r>
        <w:rPr>
          <w:rFonts w:hint="eastAsia" w:hAnsi="宋体" w:cs="宋体"/>
          <w:color w:val="auto"/>
          <w:sz w:val="24"/>
          <w:highlight w:val="none"/>
        </w:rPr>
        <w:t>月</w:t>
      </w:r>
      <w:r>
        <w:rPr>
          <w:rFonts w:hint="eastAsia" w:hAnsi="宋体" w:cs="宋体"/>
          <w:color w:val="auto"/>
          <w:sz w:val="24"/>
          <w:highlight w:val="none"/>
          <w:u w:val="single"/>
        </w:rPr>
        <w:t xml:space="preserve">     </w:t>
      </w:r>
      <w:r>
        <w:rPr>
          <w:rFonts w:hint="eastAsia" w:hAnsi="宋体" w:cs="宋体"/>
          <w:color w:val="auto"/>
          <w:sz w:val="24"/>
          <w:highlight w:val="none"/>
        </w:rPr>
        <w:t>日</w:t>
      </w:r>
    </w:p>
    <w:p w14:paraId="3E633BC5">
      <w:pPr>
        <w:snapToGrid w:val="0"/>
        <w:spacing w:beforeLines="50" w:after="50"/>
        <w:ind w:firstLine="472" w:firstLineChars="196"/>
        <w:jc w:val="left"/>
        <w:rPr>
          <w:rFonts w:ascii="宋体" w:hAnsi="宋体" w:cs="宋体"/>
          <w:b/>
          <w:color w:val="auto"/>
          <w:sz w:val="24"/>
          <w:szCs w:val="20"/>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4.法定代表人身份证明</w:t>
      </w:r>
    </w:p>
    <w:p w14:paraId="4FD226D3">
      <w:pPr>
        <w:spacing w:beforeLines="100" w:afterLines="50"/>
        <w:ind w:left="540"/>
        <w:jc w:val="center"/>
        <w:rPr>
          <w:rFonts w:ascii="宋体" w:hAnsi="宋体" w:cs="宋体"/>
          <w:b/>
          <w:color w:val="auto"/>
          <w:sz w:val="32"/>
          <w:szCs w:val="32"/>
          <w:highlight w:val="none"/>
        </w:rPr>
      </w:pPr>
    </w:p>
    <w:p w14:paraId="503DE66E">
      <w:pPr>
        <w:spacing w:beforeLines="100" w:afterLines="50"/>
        <w:ind w:left="540"/>
        <w:jc w:val="center"/>
        <w:rPr>
          <w:rFonts w:ascii="宋体" w:hAnsi="宋体" w:cs="宋体"/>
          <w:bCs/>
          <w:color w:val="auto"/>
          <w:sz w:val="44"/>
          <w:szCs w:val="44"/>
          <w:highlight w:val="none"/>
        </w:rPr>
      </w:pPr>
      <w:r>
        <w:rPr>
          <w:rFonts w:hint="eastAsia" w:ascii="宋体" w:hAnsi="宋体" w:cs="宋体"/>
          <w:bCs/>
          <w:color w:val="auto"/>
          <w:sz w:val="44"/>
          <w:szCs w:val="44"/>
          <w:highlight w:val="none"/>
        </w:rPr>
        <w:t>法定代表人身份证明</w:t>
      </w:r>
    </w:p>
    <w:p w14:paraId="73EB0C9F">
      <w:pPr>
        <w:spacing w:line="500" w:lineRule="exact"/>
        <w:ind w:left="540"/>
        <w:rPr>
          <w:rFonts w:ascii="宋体" w:hAnsi="宋体" w:cs="宋体"/>
          <w:color w:val="auto"/>
          <w:sz w:val="24"/>
          <w:highlight w:val="none"/>
        </w:rPr>
      </w:pPr>
      <w:r>
        <w:rPr>
          <w:rFonts w:hint="eastAsia" w:ascii="宋体" w:hAnsi="宋体" w:cs="宋体"/>
          <w:color w:val="auto"/>
          <w:sz w:val="24"/>
          <w:highlight w:val="none"/>
        </w:rPr>
        <w:t>投 标 人：</w:t>
      </w:r>
      <w:r>
        <w:rPr>
          <w:rFonts w:hint="eastAsia" w:ascii="宋体" w:hAnsi="宋体" w:cs="宋体"/>
          <w:color w:val="auto"/>
          <w:sz w:val="24"/>
          <w:highlight w:val="none"/>
          <w:u w:val="single"/>
        </w:rPr>
        <w:t xml:space="preserve">                                                        </w:t>
      </w:r>
    </w:p>
    <w:p w14:paraId="779D15FD">
      <w:pPr>
        <w:spacing w:line="500" w:lineRule="exact"/>
        <w:ind w:left="54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565529A2">
      <w:pPr>
        <w:spacing w:line="500" w:lineRule="exact"/>
        <w:ind w:left="540"/>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14:paraId="252218F5">
      <w:pPr>
        <w:spacing w:line="500" w:lineRule="exact"/>
        <w:ind w:left="540"/>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77DF6630">
      <w:pPr>
        <w:spacing w:line="500" w:lineRule="exact"/>
        <w:ind w:left="540"/>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346D9936">
      <w:pPr>
        <w:spacing w:line="500" w:lineRule="exact"/>
        <w:ind w:left="54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（投标人名称）              </w:t>
      </w:r>
      <w:r>
        <w:rPr>
          <w:rFonts w:hint="eastAsia" w:ascii="宋体" w:hAnsi="宋体" w:cs="宋体"/>
          <w:color w:val="auto"/>
          <w:sz w:val="24"/>
          <w:highlight w:val="none"/>
        </w:rPr>
        <w:t>的法定代表人。</w:t>
      </w:r>
    </w:p>
    <w:p w14:paraId="5F21431C">
      <w:pPr>
        <w:spacing w:line="500" w:lineRule="exact"/>
        <w:ind w:left="540"/>
        <w:rPr>
          <w:rFonts w:ascii="宋体" w:hAnsi="宋体" w:cs="宋体"/>
          <w:color w:val="auto"/>
          <w:sz w:val="24"/>
          <w:highlight w:val="none"/>
        </w:rPr>
      </w:pPr>
      <w:r>
        <w:rPr>
          <w:rFonts w:hint="eastAsia" w:ascii="宋体" w:hAnsi="宋体" w:cs="宋体"/>
          <w:color w:val="auto"/>
          <w:sz w:val="24"/>
          <w:highlight w:val="none"/>
        </w:rPr>
        <w:t>特此证明。</w:t>
      </w:r>
    </w:p>
    <w:p w14:paraId="404879AF">
      <w:pPr>
        <w:spacing w:line="500" w:lineRule="exact"/>
        <w:ind w:left="540"/>
        <w:rPr>
          <w:rFonts w:ascii="宋体" w:hAnsi="宋体" w:cs="宋体"/>
          <w:color w:val="auto"/>
          <w:sz w:val="24"/>
          <w:highlight w:val="none"/>
        </w:rPr>
      </w:pPr>
    </w:p>
    <w:p w14:paraId="54304604">
      <w:pPr>
        <w:spacing w:line="500" w:lineRule="exact"/>
        <w:ind w:left="540"/>
        <w:rPr>
          <w:rFonts w:ascii="宋体" w:hAnsi="宋体" w:cs="宋体"/>
          <w:color w:val="auto"/>
          <w:sz w:val="24"/>
          <w:highlight w:val="none"/>
        </w:rPr>
      </w:pPr>
    </w:p>
    <w:p w14:paraId="6E936350">
      <w:pPr>
        <w:spacing w:line="500" w:lineRule="exact"/>
        <w:ind w:left="540"/>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7FFC13AA">
      <w:pPr>
        <w:spacing w:line="500" w:lineRule="exact"/>
        <w:ind w:left="540"/>
        <w:rPr>
          <w:rFonts w:ascii="宋体" w:hAnsi="宋体" w:cs="宋体"/>
          <w:color w:val="auto"/>
          <w:sz w:val="24"/>
          <w:highlight w:val="none"/>
        </w:rPr>
      </w:pPr>
    </w:p>
    <w:p w14:paraId="3152EFD9">
      <w:pPr>
        <w:spacing w:line="500" w:lineRule="exact"/>
        <w:ind w:left="540"/>
        <w:jc w:val="right"/>
        <w:rPr>
          <w:rFonts w:ascii="宋体" w:hAnsi="宋体" w:cs="宋体"/>
          <w:color w:val="auto"/>
          <w:sz w:val="24"/>
          <w:highlight w:val="none"/>
        </w:rPr>
      </w:pPr>
      <w:r>
        <w:rPr>
          <w:rFonts w:hint="eastAsia" w:ascii="宋体" w:hAnsi="宋体" w:cs="宋体"/>
          <w:color w:val="auto"/>
          <w:sz w:val="24"/>
          <w:highlight w:val="none"/>
        </w:rPr>
        <w:t>投标人名称（电子签章）</w:t>
      </w:r>
    </w:p>
    <w:p w14:paraId="15EBC677">
      <w:pPr>
        <w:snapToGrid w:val="0"/>
        <w:spacing w:beforeLines="50" w:after="50"/>
        <w:ind w:left="540"/>
        <w:jc w:val="right"/>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12D627A1">
      <w:pPr>
        <w:snapToGrid w:val="0"/>
        <w:spacing w:beforeLines="50" w:after="50"/>
        <w:jc w:val="center"/>
        <w:rPr>
          <w:rFonts w:ascii="宋体" w:hAnsi="宋体" w:cs="宋体"/>
          <w:b/>
          <w:color w:val="auto"/>
          <w:sz w:val="24"/>
          <w:highlight w:val="none"/>
        </w:rPr>
      </w:pPr>
    </w:p>
    <w:p w14:paraId="206182A8">
      <w:pPr>
        <w:snapToGrid w:val="0"/>
        <w:spacing w:beforeLines="50" w:after="50"/>
        <w:jc w:val="left"/>
        <w:rPr>
          <w:rFonts w:ascii="宋体" w:hAnsi="宋体" w:cs="宋体"/>
          <w:b/>
          <w:color w:val="auto"/>
          <w:sz w:val="24"/>
          <w:szCs w:val="20"/>
          <w:highlight w:val="none"/>
        </w:rPr>
      </w:pPr>
      <w:r>
        <w:rPr>
          <w:rFonts w:hint="eastAsia" w:ascii="宋体" w:hAnsi="宋体" w:cs="宋体"/>
          <w:color w:val="auto"/>
          <w:sz w:val="24"/>
          <w:highlight w:val="none"/>
        </w:rPr>
        <w:t>注：自然人投标的无需提供</w:t>
      </w:r>
    </w:p>
    <w:p w14:paraId="2A816677">
      <w:pPr>
        <w:snapToGrid w:val="0"/>
        <w:spacing w:beforeLines="50" w:after="50"/>
        <w:jc w:val="left"/>
        <w:rPr>
          <w:rFonts w:ascii="宋体" w:hAnsi="宋体" w:cs="宋体"/>
          <w:b/>
          <w:color w:val="auto"/>
          <w:sz w:val="24"/>
          <w:szCs w:val="20"/>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5.授权委托书格式</w:t>
      </w:r>
    </w:p>
    <w:p w14:paraId="172B34FC">
      <w:pPr>
        <w:snapToGrid w:val="0"/>
        <w:spacing w:beforeLines="50" w:after="50"/>
        <w:jc w:val="center"/>
        <w:rPr>
          <w:rFonts w:ascii="宋体" w:hAnsi="宋体" w:cs="宋体"/>
          <w:b/>
          <w:color w:val="auto"/>
          <w:sz w:val="44"/>
          <w:szCs w:val="44"/>
          <w:highlight w:val="none"/>
        </w:rPr>
      </w:pPr>
    </w:p>
    <w:p w14:paraId="3EF42D90">
      <w:pPr>
        <w:snapToGrid w:val="0"/>
        <w:spacing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授权委托书</w:t>
      </w:r>
    </w:p>
    <w:p w14:paraId="1BD2226F">
      <w:pPr>
        <w:snapToGrid w:val="0"/>
        <w:spacing w:beforeLines="50" w:after="50"/>
        <w:jc w:val="center"/>
        <w:rPr>
          <w:rFonts w:ascii="宋体" w:hAnsi="宋体" w:cs="宋体"/>
          <w:b/>
          <w:color w:val="auto"/>
          <w:sz w:val="24"/>
          <w:highlight w:val="none"/>
        </w:rPr>
      </w:pPr>
      <w:r>
        <w:rPr>
          <w:rFonts w:hint="eastAsia" w:ascii="宋体" w:hAnsi="宋体" w:cs="宋体"/>
          <w:b/>
          <w:color w:val="auto"/>
          <w:sz w:val="32"/>
          <w:szCs w:val="32"/>
          <w:highlight w:val="none"/>
        </w:rPr>
        <w:t>（如有委托时）</w:t>
      </w:r>
    </w:p>
    <w:p w14:paraId="314B4542">
      <w:pPr>
        <w:snapToGrid w:val="0"/>
        <w:spacing w:beforeLines="50" w:after="50"/>
        <w:jc w:val="center"/>
        <w:rPr>
          <w:rFonts w:ascii="宋体" w:hAnsi="宋体" w:cs="宋体"/>
          <w:b/>
          <w:color w:val="auto"/>
          <w:sz w:val="24"/>
          <w:highlight w:val="none"/>
        </w:rPr>
      </w:pPr>
    </w:p>
    <w:p w14:paraId="2BE796EF">
      <w:pPr>
        <w:spacing w:line="360" w:lineRule="auto"/>
        <w:contextualSpacing/>
        <w:rPr>
          <w:rFonts w:ascii="宋体" w:hAnsi="宋体" w:cs="宋体"/>
          <w:b/>
          <w:bCs/>
          <w:color w:val="auto"/>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37BB587C">
      <w:pPr>
        <w:spacing w:line="360" w:lineRule="auto"/>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（投标人名称）的法定代表人，现授权委托</w:t>
      </w:r>
      <w:r>
        <w:rPr>
          <w:rFonts w:hint="eastAsia" w:ascii="宋体" w:hAnsi="宋体" w:cs="宋体"/>
          <w:color w:val="auto"/>
          <w:sz w:val="24"/>
          <w:highlight w:val="none"/>
          <w:u w:val="single"/>
        </w:rPr>
        <w:t xml:space="preserve">              （姓名）</w:t>
      </w:r>
      <w:r>
        <w:rPr>
          <w:rFonts w:hint="eastAsia" w:ascii="宋体" w:hAnsi="宋体" w:cs="宋体"/>
          <w:color w:val="auto"/>
          <w:sz w:val="24"/>
          <w:highlight w:val="none"/>
        </w:rPr>
        <w:t>以我方的名义参加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项目的投标活动，并代表我方全权办理针对上述项目的所有采购程序和环节的具体事务和签署相关文件。</w:t>
      </w:r>
    </w:p>
    <w:p w14:paraId="454CD6D0">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 xml:space="preserve">    我方对委托代理人的签字或者电子签名事项负全部责任。</w:t>
      </w:r>
    </w:p>
    <w:p w14:paraId="2E3DD515">
      <w:pPr>
        <w:spacing w:line="360" w:lineRule="auto"/>
        <w:ind w:firstLine="480"/>
        <w:contextualSpacing/>
        <w:rPr>
          <w:rFonts w:ascii="宋体" w:hAnsi="宋体" w:cs="宋体"/>
          <w:color w:val="auto"/>
          <w:sz w:val="24"/>
          <w:highlight w:val="none"/>
        </w:rPr>
      </w:pPr>
      <w:r>
        <w:rPr>
          <w:rFonts w:hint="eastAsia" w:ascii="宋体" w:hAnsi="宋体" w:cs="宋体"/>
          <w:color w:val="auto"/>
          <w:sz w:val="24"/>
          <w:highlight w:val="none"/>
          <w:u w:val="single"/>
        </w:rPr>
        <w:t>本授权书自签署之日起生效，在撤销授权的书面通知以前，本授权书一直有效。委托代理人在授权书有效期内签署的所有文件不因授权的撤销而失效。</w:t>
      </w:r>
    </w:p>
    <w:p w14:paraId="2EFA9435">
      <w:pPr>
        <w:spacing w:line="360" w:lineRule="auto"/>
        <w:ind w:firstLine="480"/>
        <w:contextualSpacing/>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715B0FFB">
      <w:pPr>
        <w:spacing w:line="360" w:lineRule="auto"/>
        <w:ind w:firstLine="480"/>
        <w:contextualSpacing/>
        <w:rPr>
          <w:rFonts w:ascii="宋体" w:hAnsi="宋体" w:cs="宋体"/>
          <w:color w:val="auto"/>
          <w:sz w:val="24"/>
          <w:highlight w:val="none"/>
        </w:rPr>
      </w:pPr>
      <w:r>
        <w:rPr>
          <w:rFonts w:hint="eastAsia" w:ascii="宋体" w:hAnsi="宋体" w:cs="宋体"/>
          <w:color w:val="auto"/>
          <w:sz w:val="24"/>
          <w:highlight w:val="none"/>
        </w:rPr>
        <w:t>附：法定代表人身份证明及委托代理人有效身份证正反面复印件</w:t>
      </w:r>
    </w:p>
    <w:p w14:paraId="69A62F09">
      <w:pPr>
        <w:spacing w:line="360" w:lineRule="auto"/>
        <w:contextualSpacing/>
        <w:rPr>
          <w:rFonts w:ascii="宋体" w:hAnsi="宋体" w:cs="宋体"/>
          <w:color w:val="auto"/>
          <w:sz w:val="24"/>
          <w:highlight w:val="none"/>
        </w:rPr>
      </w:pPr>
    </w:p>
    <w:p w14:paraId="3A7BC20B">
      <w:pPr>
        <w:spacing w:line="440" w:lineRule="exact"/>
        <w:contextualSpacing/>
        <w:rPr>
          <w:rFonts w:ascii="宋体" w:hAnsi="宋体" w:cs="宋体"/>
          <w:color w:val="auto"/>
          <w:sz w:val="24"/>
          <w:highlight w:val="none"/>
        </w:rPr>
      </w:pPr>
      <w:r>
        <w:rPr>
          <w:rFonts w:hint="eastAsia" w:ascii="宋体" w:hAnsi="宋体" w:cs="宋体"/>
          <w:color w:val="auto"/>
          <w:sz w:val="24"/>
          <w:highlight w:val="none"/>
        </w:rPr>
        <w:t>委托代理人（签字或者电子签名）：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07EF53F9">
      <w:pPr>
        <w:spacing w:line="440" w:lineRule="exact"/>
        <w:contextualSpacing/>
        <w:rPr>
          <w:rFonts w:ascii="宋体" w:hAnsi="宋体" w:cs="宋体"/>
          <w:color w:val="auto"/>
          <w:sz w:val="24"/>
          <w:highlight w:val="none"/>
          <w:u w:val="single"/>
        </w:rPr>
      </w:pPr>
      <w:r>
        <w:rPr>
          <w:rFonts w:hint="eastAsia" w:ascii="宋体" w:hAnsi="宋体" w:cs="宋体"/>
          <w:color w:val="auto"/>
          <w:sz w:val="24"/>
          <w:highlight w:val="none"/>
        </w:rPr>
        <w:t>委托代理人身份证号码：</w:t>
      </w:r>
      <w:r>
        <w:rPr>
          <w:rFonts w:hint="eastAsia" w:ascii="宋体" w:hAnsi="宋体" w:cs="宋体"/>
          <w:color w:val="auto"/>
          <w:sz w:val="24"/>
          <w:highlight w:val="none"/>
          <w:u w:val="single"/>
        </w:rPr>
        <w:t xml:space="preserve">                             </w:t>
      </w:r>
    </w:p>
    <w:p w14:paraId="1A1281B5">
      <w:pPr>
        <w:spacing w:line="440" w:lineRule="exact"/>
        <w:contextualSpacing/>
        <w:rPr>
          <w:rFonts w:ascii="宋体" w:hAnsi="宋体" w:cs="宋体"/>
          <w:color w:val="auto"/>
          <w:sz w:val="24"/>
          <w:highlight w:val="none"/>
          <w:u w:val="single"/>
        </w:rPr>
      </w:pPr>
      <w:r>
        <w:rPr>
          <w:rFonts w:hint="eastAsia" w:ascii="宋体" w:hAnsi="宋体" w:cs="宋体"/>
          <w:color w:val="auto"/>
          <w:sz w:val="24"/>
          <w:highlight w:val="none"/>
        </w:rPr>
        <w:t>法定代表人（签字或者盖章或者电子签名）：</w:t>
      </w:r>
      <w:r>
        <w:rPr>
          <w:rFonts w:hint="eastAsia" w:ascii="宋体" w:hAnsi="宋体" w:cs="宋体"/>
          <w:color w:val="auto"/>
          <w:sz w:val="24"/>
          <w:highlight w:val="none"/>
          <w:u w:val="single"/>
        </w:rPr>
        <w:t xml:space="preserve">              </w:t>
      </w:r>
    </w:p>
    <w:p w14:paraId="20ACDEF8">
      <w:pPr>
        <w:spacing w:line="440" w:lineRule="exact"/>
        <w:contextualSpacing/>
        <w:rPr>
          <w:rFonts w:ascii="宋体" w:hAnsi="宋体" w:cs="宋体"/>
          <w:color w:val="auto"/>
          <w:sz w:val="24"/>
          <w:highlight w:val="none"/>
        </w:rPr>
      </w:pPr>
      <w:r>
        <w:rPr>
          <w:rFonts w:hint="eastAsia" w:ascii="宋体" w:hAnsi="宋体" w:cs="宋体"/>
          <w:color w:val="auto"/>
          <w:sz w:val="24"/>
          <w:highlight w:val="none"/>
        </w:rPr>
        <w:t xml:space="preserve"> </w:t>
      </w:r>
    </w:p>
    <w:p w14:paraId="6325C400">
      <w:pPr>
        <w:spacing w:line="440" w:lineRule="exact"/>
        <w:contextualSpacing/>
        <w:jc w:val="center"/>
        <w:rPr>
          <w:rFonts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31DE53AB">
      <w:pPr>
        <w:spacing w:line="440" w:lineRule="exact"/>
        <w:contextualSpacing/>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07BE3DDB">
      <w:pPr>
        <w:spacing w:line="440" w:lineRule="exact"/>
        <w:contextualSpacing/>
        <w:rPr>
          <w:rFonts w:ascii="宋体" w:hAnsi="宋体" w:cs="宋体"/>
          <w:color w:val="auto"/>
          <w:sz w:val="24"/>
          <w:highlight w:val="none"/>
        </w:rPr>
      </w:pPr>
      <w:r>
        <w:rPr>
          <w:rFonts w:hint="eastAsia" w:ascii="宋体" w:hAnsi="宋体" w:cs="宋体"/>
          <w:color w:val="auto"/>
          <w:sz w:val="24"/>
          <w:highlight w:val="none"/>
        </w:rPr>
        <w:t>注：1.</w:t>
      </w:r>
      <w:bookmarkStart w:id="145" w:name="_Hlk65851555"/>
      <w:bookmarkStart w:id="146" w:name="_Hlk65851620"/>
      <w:r>
        <w:rPr>
          <w:rFonts w:hint="eastAsia" w:ascii="宋体" w:hAnsi="宋体" w:cs="宋体"/>
          <w:color w:val="auto"/>
          <w:sz w:val="24"/>
          <w:highlight w:val="none"/>
        </w:rPr>
        <w:t>法定代表人必须在授权委托书上签字或者盖章或者电子签名，</w:t>
      </w:r>
      <w:bookmarkEnd w:id="145"/>
      <w:r>
        <w:rPr>
          <w:rFonts w:hint="eastAsia" w:ascii="宋体" w:hAnsi="宋体" w:cs="宋体"/>
          <w:color w:val="auto"/>
          <w:sz w:val="24"/>
          <w:highlight w:val="none"/>
        </w:rPr>
        <w:t>委托代理人必须在授权委托书上签字或者电子签名，</w:t>
      </w:r>
      <w:r>
        <w:rPr>
          <w:rFonts w:hint="eastAsia" w:ascii="宋体" w:hAnsi="宋体" w:cs="宋体"/>
          <w:b/>
          <w:bCs/>
          <w:color w:val="auto"/>
          <w:sz w:val="24"/>
          <w:highlight w:val="none"/>
        </w:rPr>
        <w:t>否则按无效投标处理</w:t>
      </w:r>
      <w:r>
        <w:rPr>
          <w:rFonts w:hint="eastAsia" w:ascii="宋体" w:hAnsi="宋体" w:cs="宋体"/>
          <w:color w:val="auto"/>
          <w:sz w:val="24"/>
          <w:highlight w:val="none"/>
        </w:rPr>
        <w:t>；</w:t>
      </w:r>
      <w:bookmarkEnd w:id="146"/>
    </w:p>
    <w:p w14:paraId="6F842313">
      <w:pPr>
        <w:spacing w:line="44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2.法人、其他组织投标时“我方”是指“我单位”，自然人投标时“我方”是指“本人”。</w:t>
      </w:r>
    </w:p>
    <w:p w14:paraId="28CA882A">
      <w:pPr>
        <w:rPr>
          <w:rFonts w:ascii="宋体" w:hAnsi="宋体" w:cs="宋体"/>
          <w:color w:val="auto"/>
          <w:sz w:val="24"/>
          <w:highlight w:val="none"/>
        </w:rPr>
      </w:pPr>
      <w:r>
        <w:rPr>
          <w:rFonts w:hint="eastAsia" w:ascii="宋体" w:hAnsi="宋体" w:cs="宋体"/>
          <w:color w:val="auto"/>
          <w:sz w:val="24"/>
          <w:highlight w:val="none"/>
        </w:rPr>
        <w:br w:type="page"/>
      </w:r>
    </w:p>
    <w:p w14:paraId="3DA0C80F">
      <w:pPr>
        <w:rPr>
          <w:rFonts w:ascii="宋体" w:hAnsi="宋体" w:cs="宋体"/>
          <w:b/>
          <w:color w:val="auto"/>
          <w:sz w:val="24"/>
          <w:szCs w:val="20"/>
          <w:highlight w:val="none"/>
        </w:rPr>
      </w:pPr>
      <w:r>
        <w:rPr>
          <w:rFonts w:hint="eastAsia" w:ascii="宋体" w:hAnsi="宋体" w:cs="宋体"/>
          <w:b/>
          <w:color w:val="auto"/>
          <w:sz w:val="24"/>
          <w:highlight w:val="none"/>
        </w:rPr>
        <w:t>6.商务要求偏离表格式</w:t>
      </w:r>
    </w:p>
    <w:p w14:paraId="5DACDBFA">
      <w:pPr>
        <w:snapToGrid w:val="0"/>
        <w:spacing w:before="50"/>
        <w:jc w:val="left"/>
        <w:rPr>
          <w:rFonts w:ascii="宋体" w:hAnsi="宋体" w:cs="宋体"/>
          <w:color w:val="auto"/>
          <w:sz w:val="24"/>
          <w:highlight w:val="none"/>
        </w:rPr>
      </w:pPr>
    </w:p>
    <w:p w14:paraId="06487985">
      <w:pPr>
        <w:snapToGrid w:val="0"/>
        <w:spacing w:before="50"/>
        <w:jc w:val="left"/>
        <w:rPr>
          <w:rFonts w:ascii="宋体" w:hAnsi="宋体" w:cs="宋体"/>
          <w:color w:val="auto"/>
          <w:sz w:val="24"/>
          <w:highlight w:val="none"/>
          <w:u w:val="single"/>
        </w:rPr>
      </w:pPr>
    </w:p>
    <w:tbl>
      <w:tblPr>
        <w:tblStyle w:val="48"/>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74"/>
        <w:gridCol w:w="3172"/>
        <w:gridCol w:w="1760"/>
        <w:gridCol w:w="2035"/>
      </w:tblGrid>
      <w:tr w14:paraId="4272ED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674" w:type="dxa"/>
            <w:tcBorders>
              <w:top w:val="single" w:color="auto" w:sz="4" w:space="0"/>
              <w:left w:val="single" w:color="auto" w:sz="4" w:space="0"/>
              <w:bottom w:val="single" w:color="auto" w:sz="4" w:space="0"/>
              <w:right w:val="single" w:color="auto" w:sz="4" w:space="0"/>
            </w:tcBorders>
          </w:tcPr>
          <w:p w14:paraId="6C99FEA6">
            <w:pPr>
              <w:snapToGrid w:val="0"/>
              <w:spacing w:beforeLines="50"/>
              <w:jc w:val="center"/>
              <w:rPr>
                <w:rFonts w:ascii="宋体" w:hAnsi="宋体" w:cs="宋体"/>
                <w:color w:val="auto"/>
                <w:sz w:val="24"/>
                <w:highlight w:val="none"/>
              </w:rPr>
            </w:pPr>
            <w:r>
              <w:rPr>
                <w:rFonts w:hint="eastAsia" w:ascii="宋体" w:hAnsi="宋体" w:cs="宋体"/>
                <w:color w:val="auto"/>
                <w:sz w:val="24"/>
                <w:highlight w:val="none"/>
              </w:rPr>
              <w:t>项目</w:t>
            </w:r>
          </w:p>
        </w:tc>
        <w:tc>
          <w:tcPr>
            <w:tcW w:w="3172" w:type="dxa"/>
            <w:tcBorders>
              <w:top w:val="single" w:color="auto" w:sz="4" w:space="0"/>
              <w:left w:val="single" w:color="auto" w:sz="4" w:space="0"/>
              <w:bottom w:val="single" w:color="auto" w:sz="4" w:space="0"/>
              <w:right w:val="single" w:color="auto" w:sz="4" w:space="0"/>
            </w:tcBorders>
          </w:tcPr>
          <w:p w14:paraId="584B9CE1">
            <w:pPr>
              <w:snapToGrid w:val="0"/>
              <w:spacing w:beforeLines="50"/>
              <w:jc w:val="center"/>
              <w:rPr>
                <w:rFonts w:ascii="宋体" w:hAnsi="宋体" w:cs="宋体"/>
                <w:color w:val="auto"/>
                <w:sz w:val="24"/>
                <w:highlight w:val="none"/>
              </w:rPr>
            </w:pPr>
            <w:r>
              <w:rPr>
                <w:rFonts w:hint="eastAsia" w:ascii="宋体" w:hAnsi="宋体" w:cs="宋体"/>
                <w:color w:val="auto"/>
                <w:sz w:val="24"/>
                <w:highlight w:val="none"/>
              </w:rPr>
              <w:t>招标文件商务要求</w:t>
            </w:r>
          </w:p>
        </w:tc>
        <w:tc>
          <w:tcPr>
            <w:tcW w:w="1760" w:type="dxa"/>
            <w:tcBorders>
              <w:top w:val="single" w:color="auto" w:sz="4" w:space="0"/>
              <w:left w:val="single" w:color="auto" w:sz="4" w:space="0"/>
              <w:bottom w:val="single" w:color="auto" w:sz="4" w:space="0"/>
              <w:right w:val="single" w:color="auto" w:sz="4" w:space="0"/>
            </w:tcBorders>
          </w:tcPr>
          <w:p w14:paraId="6766AB4F">
            <w:pPr>
              <w:snapToGrid w:val="0"/>
              <w:spacing w:beforeLines="50"/>
              <w:jc w:val="center"/>
              <w:rPr>
                <w:rFonts w:ascii="宋体" w:hAnsi="宋体" w:cs="宋体"/>
                <w:color w:val="auto"/>
                <w:sz w:val="24"/>
                <w:highlight w:val="none"/>
              </w:rPr>
            </w:pPr>
            <w:r>
              <w:rPr>
                <w:rFonts w:hint="eastAsia" w:ascii="宋体" w:hAnsi="宋体" w:cs="宋体"/>
                <w:color w:val="auto"/>
                <w:sz w:val="24"/>
                <w:highlight w:val="none"/>
              </w:rPr>
              <w:t>投标人的承诺</w:t>
            </w:r>
          </w:p>
        </w:tc>
        <w:tc>
          <w:tcPr>
            <w:tcW w:w="2035" w:type="dxa"/>
            <w:tcBorders>
              <w:top w:val="single" w:color="auto" w:sz="4" w:space="0"/>
              <w:left w:val="single" w:color="auto" w:sz="4" w:space="0"/>
              <w:bottom w:val="single" w:color="auto" w:sz="4" w:space="0"/>
              <w:right w:val="single" w:color="auto" w:sz="4" w:space="0"/>
            </w:tcBorders>
          </w:tcPr>
          <w:p w14:paraId="63816BEB">
            <w:pPr>
              <w:snapToGrid w:val="0"/>
              <w:spacing w:beforeLines="50"/>
              <w:jc w:val="center"/>
              <w:rPr>
                <w:rFonts w:ascii="宋体" w:hAnsi="宋体" w:cs="宋体"/>
                <w:color w:val="auto"/>
                <w:sz w:val="24"/>
                <w:highlight w:val="none"/>
              </w:rPr>
            </w:pPr>
            <w:r>
              <w:rPr>
                <w:rFonts w:hint="eastAsia" w:ascii="宋体" w:hAnsi="宋体" w:cs="宋体"/>
                <w:color w:val="auto"/>
                <w:sz w:val="24"/>
                <w:highlight w:val="none"/>
              </w:rPr>
              <w:t>偏离说明</w:t>
            </w:r>
          </w:p>
        </w:tc>
      </w:tr>
      <w:tr w14:paraId="2711FE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674" w:type="dxa"/>
            <w:tcBorders>
              <w:top w:val="single" w:color="auto" w:sz="4" w:space="0"/>
              <w:left w:val="single" w:color="auto" w:sz="4" w:space="0"/>
              <w:bottom w:val="single" w:color="auto" w:sz="4" w:space="0"/>
              <w:right w:val="single" w:color="auto" w:sz="4" w:space="0"/>
            </w:tcBorders>
            <w:vAlign w:val="center"/>
          </w:tcPr>
          <w:p w14:paraId="2FC49C84">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rPr>
              <w:t>交付的时间和地点</w:t>
            </w:r>
          </w:p>
        </w:tc>
        <w:tc>
          <w:tcPr>
            <w:tcW w:w="3172" w:type="dxa"/>
            <w:tcBorders>
              <w:top w:val="single" w:color="auto" w:sz="4" w:space="0"/>
              <w:left w:val="single" w:color="auto" w:sz="4" w:space="0"/>
              <w:bottom w:val="single" w:color="auto" w:sz="4" w:space="0"/>
              <w:right w:val="single" w:color="auto" w:sz="4" w:space="0"/>
            </w:tcBorders>
            <w:vAlign w:val="center"/>
          </w:tcPr>
          <w:p w14:paraId="50220061">
            <w:pPr>
              <w:jc w:val="left"/>
              <w:rPr>
                <w:rFonts w:ascii="宋体" w:hAnsi="宋体" w:cs="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tcPr>
          <w:p w14:paraId="3CBB16A7">
            <w:pPr>
              <w:snapToGrid w:val="0"/>
              <w:spacing w:beforeLines="50"/>
              <w:jc w:val="center"/>
              <w:rPr>
                <w:rFonts w:ascii="宋体" w:hAnsi="宋体" w:cs="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0BAA4F33">
            <w:pPr>
              <w:snapToGrid w:val="0"/>
              <w:spacing w:beforeLines="50"/>
              <w:jc w:val="center"/>
              <w:rPr>
                <w:rFonts w:ascii="宋体" w:hAnsi="宋体" w:cs="宋体"/>
                <w:color w:val="auto"/>
                <w:sz w:val="24"/>
                <w:highlight w:val="none"/>
              </w:rPr>
            </w:pPr>
          </w:p>
        </w:tc>
      </w:tr>
      <w:tr w14:paraId="575E8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674" w:type="dxa"/>
            <w:tcBorders>
              <w:top w:val="single" w:color="auto" w:sz="4" w:space="0"/>
              <w:left w:val="single" w:color="auto" w:sz="4" w:space="0"/>
              <w:bottom w:val="single" w:color="auto" w:sz="4" w:space="0"/>
              <w:right w:val="single" w:color="auto" w:sz="4" w:space="0"/>
            </w:tcBorders>
            <w:vAlign w:val="center"/>
          </w:tcPr>
          <w:p w14:paraId="725A5980">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rPr>
              <w:t>合同签订时间</w:t>
            </w:r>
          </w:p>
        </w:tc>
        <w:tc>
          <w:tcPr>
            <w:tcW w:w="3172" w:type="dxa"/>
            <w:tcBorders>
              <w:top w:val="single" w:color="auto" w:sz="4" w:space="0"/>
              <w:left w:val="single" w:color="auto" w:sz="4" w:space="0"/>
              <w:bottom w:val="single" w:color="auto" w:sz="4" w:space="0"/>
              <w:right w:val="single" w:color="auto" w:sz="4" w:space="0"/>
            </w:tcBorders>
            <w:vAlign w:val="center"/>
          </w:tcPr>
          <w:p w14:paraId="0ADB9520">
            <w:pPr>
              <w:jc w:val="left"/>
              <w:rPr>
                <w:rFonts w:ascii="宋体" w:hAnsi="宋体" w:cs="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tcPr>
          <w:p w14:paraId="1A229E06">
            <w:pPr>
              <w:snapToGrid w:val="0"/>
              <w:spacing w:beforeLines="50"/>
              <w:ind w:left="43"/>
              <w:jc w:val="center"/>
              <w:rPr>
                <w:rFonts w:ascii="宋体" w:hAnsi="宋体" w:cs="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547D4516">
            <w:pPr>
              <w:snapToGrid w:val="0"/>
              <w:spacing w:beforeLines="50"/>
              <w:ind w:left="43"/>
              <w:jc w:val="center"/>
              <w:rPr>
                <w:rFonts w:ascii="宋体" w:hAnsi="宋体" w:cs="宋体"/>
                <w:color w:val="auto"/>
                <w:sz w:val="24"/>
                <w:highlight w:val="none"/>
              </w:rPr>
            </w:pPr>
          </w:p>
        </w:tc>
      </w:tr>
      <w:tr w14:paraId="649B6C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74" w:type="dxa"/>
            <w:tcBorders>
              <w:top w:val="single" w:color="auto" w:sz="4" w:space="0"/>
              <w:left w:val="single" w:color="auto" w:sz="4" w:space="0"/>
              <w:bottom w:val="single" w:color="auto" w:sz="4" w:space="0"/>
              <w:right w:val="single" w:color="auto" w:sz="4" w:space="0"/>
            </w:tcBorders>
            <w:vAlign w:val="center"/>
          </w:tcPr>
          <w:p w14:paraId="6DF2F907">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rPr>
              <w:t>付款方式</w:t>
            </w:r>
          </w:p>
        </w:tc>
        <w:tc>
          <w:tcPr>
            <w:tcW w:w="3172" w:type="dxa"/>
            <w:tcBorders>
              <w:top w:val="single" w:color="auto" w:sz="4" w:space="0"/>
              <w:left w:val="single" w:color="auto" w:sz="4" w:space="0"/>
              <w:bottom w:val="single" w:color="auto" w:sz="4" w:space="0"/>
              <w:right w:val="single" w:color="auto" w:sz="4" w:space="0"/>
            </w:tcBorders>
          </w:tcPr>
          <w:p w14:paraId="5F56E29E">
            <w:pPr>
              <w:snapToGrid w:val="0"/>
              <w:spacing w:beforeLines="50"/>
              <w:jc w:val="center"/>
              <w:rPr>
                <w:rFonts w:ascii="宋体" w:hAnsi="宋体" w:cs="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tcPr>
          <w:p w14:paraId="3D4B8904">
            <w:pPr>
              <w:snapToGrid w:val="0"/>
              <w:spacing w:beforeLines="50"/>
              <w:jc w:val="center"/>
              <w:rPr>
                <w:rFonts w:ascii="宋体" w:hAnsi="宋体" w:cs="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5CDA99D5">
            <w:pPr>
              <w:snapToGrid w:val="0"/>
              <w:spacing w:beforeLines="50"/>
              <w:jc w:val="center"/>
              <w:rPr>
                <w:rFonts w:ascii="宋体" w:hAnsi="宋体" w:cs="宋体"/>
                <w:color w:val="auto"/>
                <w:sz w:val="24"/>
                <w:highlight w:val="none"/>
              </w:rPr>
            </w:pPr>
          </w:p>
        </w:tc>
      </w:tr>
      <w:tr w14:paraId="5DA91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74" w:type="dxa"/>
            <w:tcBorders>
              <w:top w:val="single" w:color="auto" w:sz="4" w:space="0"/>
              <w:left w:val="single" w:color="auto" w:sz="4" w:space="0"/>
              <w:bottom w:val="single" w:color="auto" w:sz="4" w:space="0"/>
              <w:right w:val="single" w:color="auto" w:sz="4" w:space="0"/>
            </w:tcBorders>
            <w:vAlign w:val="center"/>
          </w:tcPr>
          <w:p w14:paraId="45987F76">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rPr>
              <w:t>质保期</w:t>
            </w:r>
          </w:p>
        </w:tc>
        <w:tc>
          <w:tcPr>
            <w:tcW w:w="3172" w:type="dxa"/>
            <w:tcBorders>
              <w:top w:val="single" w:color="auto" w:sz="4" w:space="0"/>
              <w:left w:val="single" w:color="auto" w:sz="4" w:space="0"/>
              <w:bottom w:val="single" w:color="auto" w:sz="4" w:space="0"/>
              <w:right w:val="single" w:color="auto" w:sz="4" w:space="0"/>
            </w:tcBorders>
          </w:tcPr>
          <w:p w14:paraId="26BB1E11">
            <w:pPr>
              <w:snapToGrid w:val="0"/>
              <w:spacing w:beforeLines="50"/>
              <w:jc w:val="center"/>
              <w:rPr>
                <w:rFonts w:ascii="宋体" w:hAnsi="宋体" w:cs="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tcPr>
          <w:p w14:paraId="6C552509">
            <w:pPr>
              <w:snapToGrid w:val="0"/>
              <w:spacing w:beforeLines="50"/>
              <w:jc w:val="center"/>
              <w:rPr>
                <w:rFonts w:ascii="宋体" w:hAnsi="宋体" w:cs="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26E92072">
            <w:pPr>
              <w:snapToGrid w:val="0"/>
              <w:spacing w:beforeLines="50"/>
              <w:jc w:val="center"/>
              <w:rPr>
                <w:rFonts w:ascii="宋体" w:hAnsi="宋体" w:cs="宋体"/>
                <w:color w:val="auto"/>
                <w:sz w:val="24"/>
                <w:highlight w:val="none"/>
              </w:rPr>
            </w:pPr>
          </w:p>
        </w:tc>
      </w:tr>
      <w:tr w14:paraId="188C70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74" w:type="dxa"/>
            <w:tcBorders>
              <w:top w:val="single" w:color="auto" w:sz="4" w:space="0"/>
              <w:left w:val="single" w:color="auto" w:sz="4" w:space="0"/>
              <w:bottom w:val="single" w:color="auto" w:sz="4" w:space="0"/>
              <w:right w:val="single" w:color="auto" w:sz="4" w:space="0"/>
            </w:tcBorders>
            <w:vAlign w:val="center"/>
          </w:tcPr>
          <w:p w14:paraId="2CB9AFF3">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rPr>
              <w:t>售后服务及培训要求</w:t>
            </w:r>
          </w:p>
        </w:tc>
        <w:tc>
          <w:tcPr>
            <w:tcW w:w="3172" w:type="dxa"/>
            <w:tcBorders>
              <w:top w:val="single" w:color="auto" w:sz="4" w:space="0"/>
              <w:left w:val="single" w:color="auto" w:sz="4" w:space="0"/>
              <w:bottom w:val="single" w:color="auto" w:sz="4" w:space="0"/>
              <w:right w:val="single" w:color="auto" w:sz="4" w:space="0"/>
            </w:tcBorders>
          </w:tcPr>
          <w:p w14:paraId="2D9286D7">
            <w:pPr>
              <w:snapToGrid w:val="0"/>
              <w:spacing w:beforeLines="50"/>
              <w:jc w:val="center"/>
              <w:rPr>
                <w:rFonts w:ascii="宋体" w:hAnsi="宋体" w:cs="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tcPr>
          <w:p w14:paraId="75C5D086">
            <w:pPr>
              <w:snapToGrid w:val="0"/>
              <w:spacing w:beforeLines="50"/>
              <w:jc w:val="center"/>
              <w:rPr>
                <w:rFonts w:ascii="宋体" w:hAnsi="宋体" w:cs="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2187D679">
            <w:pPr>
              <w:snapToGrid w:val="0"/>
              <w:spacing w:beforeLines="50"/>
              <w:jc w:val="center"/>
              <w:rPr>
                <w:rFonts w:ascii="宋体" w:hAnsi="宋体" w:cs="宋体"/>
                <w:color w:val="auto"/>
                <w:sz w:val="24"/>
                <w:highlight w:val="none"/>
              </w:rPr>
            </w:pPr>
          </w:p>
        </w:tc>
      </w:tr>
      <w:tr w14:paraId="7AF3C1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74" w:type="dxa"/>
            <w:tcBorders>
              <w:top w:val="single" w:color="auto" w:sz="4" w:space="0"/>
              <w:left w:val="single" w:color="auto" w:sz="4" w:space="0"/>
              <w:bottom w:val="single" w:color="auto" w:sz="4" w:space="0"/>
              <w:right w:val="single" w:color="auto" w:sz="4" w:space="0"/>
            </w:tcBorders>
            <w:vAlign w:val="center"/>
          </w:tcPr>
          <w:p w14:paraId="4CD0757B">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rPr>
              <w:t>投标报价要求</w:t>
            </w:r>
          </w:p>
        </w:tc>
        <w:tc>
          <w:tcPr>
            <w:tcW w:w="3172" w:type="dxa"/>
            <w:tcBorders>
              <w:top w:val="single" w:color="auto" w:sz="4" w:space="0"/>
              <w:left w:val="single" w:color="auto" w:sz="4" w:space="0"/>
              <w:bottom w:val="single" w:color="auto" w:sz="4" w:space="0"/>
              <w:right w:val="single" w:color="auto" w:sz="4" w:space="0"/>
            </w:tcBorders>
          </w:tcPr>
          <w:p w14:paraId="37C22CF6">
            <w:pPr>
              <w:snapToGrid w:val="0"/>
              <w:spacing w:beforeLines="50"/>
              <w:jc w:val="center"/>
              <w:rPr>
                <w:rFonts w:ascii="宋体" w:hAnsi="宋体" w:cs="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tcPr>
          <w:p w14:paraId="0680CE34">
            <w:pPr>
              <w:snapToGrid w:val="0"/>
              <w:spacing w:beforeLines="50"/>
              <w:jc w:val="center"/>
              <w:rPr>
                <w:rFonts w:ascii="宋体" w:hAnsi="宋体" w:cs="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5A69E1A5">
            <w:pPr>
              <w:snapToGrid w:val="0"/>
              <w:spacing w:beforeLines="50"/>
              <w:jc w:val="center"/>
              <w:rPr>
                <w:rFonts w:ascii="宋体" w:hAnsi="宋体" w:cs="宋体"/>
                <w:color w:val="auto"/>
                <w:sz w:val="24"/>
                <w:highlight w:val="none"/>
              </w:rPr>
            </w:pPr>
          </w:p>
        </w:tc>
      </w:tr>
    </w:tbl>
    <w:p w14:paraId="28C4B064">
      <w:pPr>
        <w:pStyle w:val="17"/>
        <w:rPr>
          <w:rFonts w:ascii="宋体" w:hAnsi="宋体" w:cs="宋体"/>
          <w:color w:val="auto"/>
          <w:highlight w:val="none"/>
        </w:rPr>
      </w:pPr>
      <w:r>
        <w:rPr>
          <w:rFonts w:hint="eastAsia" w:ascii="宋体" w:hAnsi="宋体" w:cs="宋体"/>
          <w:color w:val="auto"/>
          <w:highlight w:val="none"/>
        </w:rPr>
        <w:t>注：</w:t>
      </w:r>
    </w:p>
    <w:p w14:paraId="381CF68C">
      <w:pPr>
        <w:pStyle w:val="19"/>
        <w:spacing w:line="520" w:lineRule="exact"/>
        <w:ind w:firstLine="0" w:firstLineChars="0"/>
        <w:rPr>
          <w:rFonts w:ascii="宋体" w:hAnsi="宋体" w:eastAsia="宋体" w:cs="宋体"/>
          <w:color w:val="auto"/>
          <w:szCs w:val="32"/>
          <w:highlight w:val="none"/>
        </w:rPr>
      </w:pPr>
      <w:r>
        <w:rPr>
          <w:rFonts w:hint="eastAsia" w:ascii="宋体" w:hAnsi="宋体" w:eastAsia="宋体" w:cs="宋体"/>
          <w:color w:val="auto"/>
          <w:sz w:val="24"/>
          <w:szCs w:val="24"/>
          <w:highlight w:val="none"/>
        </w:rPr>
        <w:t>1. 说明：应对照招标文件“第二章 采购需求”中的商务要求逐条作明确的投标响应，并作出偏离说明。</w:t>
      </w:r>
    </w:p>
    <w:p w14:paraId="715656E0">
      <w:pPr>
        <w:pStyle w:val="17"/>
        <w:rPr>
          <w:rFonts w:ascii="宋体" w:hAnsi="宋体" w:cs="宋体"/>
          <w:b w:val="0"/>
          <w:bCs w:val="0"/>
          <w:color w:val="auto"/>
          <w:highlight w:val="none"/>
        </w:rPr>
      </w:pPr>
      <w:r>
        <w:rPr>
          <w:rFonts w:hint="eastAsia" w:ascii="宋体" w:hAnsi="宋体" w:cs="宋体"/>
          <w:b w:val="0"/>
          <w:bCs w:val="0"/>
          <w:color w:val="auto"/>
          <w:highlight w:val="none"/>
        </w:rPr>
        <w:t>2.投标人应根据自身的承诺，对照招标文件要求在“偏离说明”中注明“</w:t>
      </w:r>
      <w:r>
        <w:rPr>
          <w:rFonts w:hint="eastAsia" w:ascii="宋体" w:hAnsi="宋体" w:cs="宋体"/>
          <w:color w:val="auto"/>
          <w:highlight w:val="none"/>
        </w:rPr>
        <w:t>正偏离</w:t>
      </w:r>
      <w:r>
        <w:rPr>
          <w:rFonts w:hint="eastAsia" w:ascii="宋体" w:hAnsi="宋体" w:cs="宋体"/>
          <w:b w:val="0"/>
          <w:bCs w:val="0"/>
          <w:color w:val="auto"/>
          <w:highlight w:val="none"/>
        </w:rPr>
        <w:t>”、“</w:t>
      </w:r>
      <w:r>
        <w:rPr>
          <w:rFonts w:hint="eastAsia" w:ascii="宋体" w:hAnsi="宋体" w:cs="宋体"/>
          <w:color w:val="auto"/>
          <w:highlight w:val="none"/>
        </w:rPr>
        <w:t>负偏离</w:t>
      </w:r>
      <w:r>
        <w:rPr>
          <w:rFonts w:hint="eastAsia" w:ascii="宋体" w:hAnsi="宋体" w:cs="宋体"/>
          <w:b w:val="0"/>
          <w:bCs w:val="0"/>
          <w:color w:val="auto"/>
          <w:highlight w:val="none"/>
        </w:rPr>
        <w:t>”或者“</w:t>
      </w:r>
      <w:r>
        <w:rPr>
          <w:rFonts w:hint="eastAsia" w:ascii="宋体" w:hAnsi="宋体" w:cs="宋体"/>
          <w:color w:val="auto"/>
          <w:highlight w:val="none"/>
        </w:rPr>
        <w:t>无偏离</w:t>
      </w:r>
      <w:r>
        <w:rPr>
          <w:rFonts w:hint="eastAsia" w:ascii="宋体" w:hAnsi="宋体" w:cs="宋体"/>
          <w:b w:val="0"/>
          <w:bCs w:val="0"/>
          <w:color w:val="auto"/>
          <w:highlight w:val="none"/>
        </w:rPr>
        <w:t>”。既不属于“</w:t>
      </w:r>
      <w:r>
        <w:rPr>
          <w:rFonts w:hint="eastAsia" w:ascii="宋体" w:hAnsi="宋体" w:cs="宋体"/>
          <w:color w:val="auto"/>
          <w:highlight w:val="none"/>
        </w:rPr>
        <w:t>正偏离</w:t>
      </w:r>
      <w:r>
        <w:rPr>
          <w:rFonts w:hint="eastAsia" w:ascii="宋体" w:hAnsi="宋体" w:cs="宋体"/>
          <w:b w:val="0"/>
          <w:bCs w:val="0"/>
          <w:color w:val="auto"/>
          <w:highlight w:val="none"/>
        </w:rPr>
        <w:t>”也不属于“</w:t>
      </w:r>
      <w:r>
        <w:rPr>
          <w:rFonts w:hint="eastAsia" w:ascii="宋体" w:hAnsi="宋体" w:cs="宋体"/>
          <w:color w:val="auto"/>
          <w:highlight w:val="none"/>
        </w:rPr>
        <w:t>负偏离</w:t>
      </w:r>
      <w:r>
        <w:rPr>
          <w:rFonts w:hint="eastAsia" w:ascii="宋体" w:hAnsi="宋体" w:cs="宋体"/>
          <w:b w:val="0"/>
          <w:bCs w:val="0"/>
          <w:color w:val="auto"/>
          <w:highlight w:val="none"/>
        </w:rPr>
        <w:t>”即为“</w:t>
      </w:r>
      <w:r>
        <w:rPr>
          <w:rFonts w:hint="eastAsia" w:ascii="宋体" w:hAnsi="宋体" w:cs="宋体"/>
          <w:color w:val="auto"/>
          <w:highlight w:val="none"/>
        </w:rPr>
        <w:t>无偏离</w:t>
      </w:r>
      <w:r>
        <w:rPr>
          <w:rFonts w:hint="eastAsia" w:ascii="宋体" w:hAnsi="宋体" w:cs="宋体"/>
          <w:b w:val="0"/>
          <w:bCs w:val="0"/>
          <w:color w:val="auto"/>
          <w:highlight w:val="none"/>
        </w:rPr>
        <w:t>”。</w:t>
      </w:r>
    </w:p>
    <w:p w14:paraId="39988EA6">
      <w:pPr>
        <w:snapToGrid w:val="0"/>
        <w:spacing w:before="50" w:after="50"/>
        <w:rPr>
          <w:rFonts w:ascii="宋体" w:hAnsi="宋体" w:cs="宋体"/>
          <w:color w:val="auto"/>
          <w:sz w:val="24"/>
          <w:highlight w:val="none"/>
        </w:rPr>
      </w:pPr>
    </w:p>
    <w:p w14:paraId="5B27355C">
      <w:pPr>
        <w:snapToGrid w:val="0"/>
        <w:spacing w:before="50" w:after="50"/>
        <w:rPr>
          <w:rFonts w:ascii="宋体" w:hAnsi="宋体" w:cs="宋体"/>
          <w:color w:val="auto"/>
          <w:sz w:val="24"/>
          <w:highlight w:val="none"/>
        </w:rPr>
      </w:pPr>
    </w:p>
    <w:p w14:paraId="4255B417">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法定代表人或者委托代理人</w:t>
      </w:r>
      <w:r>
        <w:rPr>
          <w:rFonts w:hint="eastAsia" w:ascii="宋体" w:hAnsi="宋体" w:cs="宋体"/>
          <w:color w:val="auto"/>
          <w:spacing w:val="20"/>
          <w:sz w:val="24"/>
          <w:highlight w:val="none"/>
        </w:rPr>
        <w:t>（签字或者电子签名）：</w:t>
      </w:r>
      <w:r>
        <w:rPr>
          <w:rFonts w:hint="eastAsia" w:ascii="宋体" w:hAnsi="宋体" w:cs="宋体"/>
          <w:color w:val="auto"/>
          <w:spacing w:val="20"/>
          <w:sz w:val="24"/>
          <w:highlight w:val="none"/>
          <w:u w:val="single"/>
        </w:rPr>
        <w:t xml:space="preserve">        </w:t>
      </w:r>
    </w:p>
    <w:p w14:paraId="44C92189">
      <w:pPr>
        <w:snapToGrid w:val="0"/>
        <w:spacing w:beforeLines="50"/>
        <w:rPr>
          <w:rFonts w:ascii="宋体" w:hAnsi="宋体" w:cs="宋体"/>
          <w:color w:val="auto"/>
          <w:spacing w:val="20"/>
          <w:sz w:val="24"/>
          <w:highlight w:val="none"/>
        </w:rPr>
      </w:pPr>
      <w:r>
        <w:rPr>
          <w:rFonts w:hint="eastAsia" w:ascii="宋体" w:hAnsi="宋体" w:cs="宋体"/>
          <w:color w:val="auto"/>
          <w:spacing w:val="20"/>
          <w:sz w:val="24"/>
          <w:highlight w:val="none"/>
        </w:rPr>
        <w:t>投标人名称（电子签章）：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w:t>
      </w:r>
    </w:p>
    <w:p w14:paraId="18B2100A">
      <w:pPr>
        <w:snapToGrid w:val="0"/>
        <w:spacing w:beforeLines="50"/>
        <w:rPr>
          <w:rFonts w:ascii="宋体" w:hAnsi="宋体" w:cs="宋体"/>
          <w:color w:val="auto"/>
          <w:sz w:val="24"/>
          <w:szCs w:val="20"/>
          <w:highlight w:val="none"/>
        </w:rPr>
      </w:pPr>
      <w:r>
        <w:rPr>
          <w:rFonts w:hint="eastAsia" w:ascii="宋体" w:hAnsi="宋体" w:cs="宋体"/>
          <w:color w:val="auto"/>
          <w:spacing w:val="20"/>
          <w:sz w:val="24"/>
          <w:highlight w:val="none"/>
        </w:rPr>
        <w:t>日  期：</w:t>
      </w:r>
      <w:r>
        <w:rPr>
          <w:rFonts w:hint="eastAsia" w:ascii="宋体" w:hAnsi="宋体" w:cs="宋体"/>
          <w:color w:val="auto"/>
          <w:spacing w:val="20"/>
          <w:sz w:val="24"/>
          <w:highlight w:val="none"/>
          <w:u w:val="single"/>
        </w:rPr>
        <w:t xml:space="preserve">         </w:t>
      </w:r>
    </w:p>
    <w:p w14:paraId="6DEF5275">
      <w:pPr>
        <w:snapToGrid w:val="0"/>
        <w:spacing w:beforeLines="50"/>
        <w:rPr>
          <w:rFonts w:ascii="宋体" w:hAnsi="宋体" w:cs="宋体"/>
          <w:color w:val="auto"/>
          <w:sz w:val="24"/>
          <w:szCs w:val="20"/>
          <w:highlight w:val="none"/>
        </w:rPr>
      </w:pPr>
    </w:p>
    <w:p w14:paraId="53E636A6">
      <w:pPr>
        <w:snapToGrid w:val="0"/>
        <w:spacing w:beforeLines="50" w:after="50"/>
        <w:jc w:val="left"/>
        <w:rPr>
          <w:rFonts w:ascii="宋体" w:hAnsi="宋体" w:cs="宋体"/>
          <w:color w:val="auto"/>
          <w:sz w:val="24"/>
          <w:szCs w:val="20"/>
          <w:highlight w:val="none"/>
        </w:rPr>
        <w:sectPr>
          <w:footerReference r:id="rId6" w:type="first"/>
          <w:headerReference r:id="rId3" w:type="default"/>
          <w:footerReference r:id="rId4" w:type="default"/>
          <w:footerReference r:id="rId5" w:type="even"/>
          <w:pgSz w:w="11906" w:h="16838"/>
          <w:pgMar w:top="1440" w:right="1797" w:bottom="1440" w:left="1797" w:header="851" w:footer="992" w:gutter="0"/>
          <w:pgNumType w:start="0"/>
          <w:cols w:space="720" w:num="1"/>
          <w:titlePg/>
          <w:docGrid w:linePitch="312" w:charSpace="0"/>
        </w:sectPr>
      </w:pPr>
    </w:p>
    <w:p w14:paraId="16F34260">
      <w:pPr>
        <w:snapToGrid w:val="0"/>
        <w:spacing w:beforeLines="50" w:after="50"/>
        <w:jc w:val="left"/>
        <w:rPr>
          <w:rFonts w:ascii="宋体" w:hAnsi="宋体" w:cs="宋体"/>
          <w:b/>
          <w:color w:val="auto"/>
          <w:sz w:val="24"/>
          <w:highlight w:val="none"/>
        </w:rPr>
      </w:pPr>
      <w:r>
        <w:rPr>
          <w:rFonts w:hint="eastAsia" w:ascii="宋体" w:hAnsi="宋体" w:cs="宋体"/>
          <w:b/>
          <w:color w:val="auto"/>
          <w:sz w:val="24"/>
          <w:highlight w:val="none"/>
        </w:rPr>
        <w:t>7.投标人业绩证明材料</w:t>
      </w:r>
    </w:p>
    <w:p w14:paraId="3E144AB0">
      <w:pPr>
        <w:pStyle w:val="35"/>
        <w:snapToGrid w:val="0"/>
        <w:ind w:left="480" w:hanging="480"/>
        <w:rPr>
          <w:rFonts w:ascii="宋体" w:hAnsi="宋体" w:cs="宋体"/>
          <w:color w:val="auto"/>
          <w:sz w:val="24"/>
          <w:highlight w:val="none"/>
        </w:rPr>
      </w:pPr>
    </w:p>
    <w:p w14:paraId="3915DF8E">
      <w:pPr>
        <w:pStyle w:val="35"/>
        <w:snapToGrid w:val="0"/>
        <w:ind w:left="480" w:hanging="480"/>
        <w:rPr>
          <w:rFonts w:ascii="宋体" w:hAnsi="宋体" w:cs="宋体"/>
          <w:color w:val="auto"/>
          <w:sz w:val="24"/>
          <w:highlight w:val="none"/>
        </w:rPr>
      </w:pPr>
      <w:r>
        <w:rPr>
          <w:rFonts w:hint="eastAsia" w:ascii="宋体" w:hAnsi="宋体" w:cs="宋体"/>
          <w:color w:val="auto"/>
          <w:sz w:val="24"/>
          <w:highlight w:val="none"/>
        </w:rPr>
        <w:t xml:space="preserve">投标人业绩情况一览表格式： </w:t>
      </w:r>
    </w:p>
    <w:tbl>
      <w:tblPr>
        <w:tblStyle w:val="48"/>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32"/>
        <w:gridCol w:w="1770"/>
        <w:gridCol w:w="1770"/>
        <w:gridCol w:w="2856"/>
      </w:tblGrid>
      <w:tr w14:paraId="5277DD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250" w:type="pct"/>
            <w:vMerge w:val="restart"/>
            <w:tcBorders>
              <w:top w:val="single" w:color="auto" w:sz="4" w:space="0"/>
              <w:left w:val="single" w:color="auto" w:sz="4" w:space="0"/>
              <w:bottom w:val="single" w:color="auto" w:sz="4" w:space="0"/>
              <w:right w:val="single" w:color="auto" w:sz="4" w:space="0"/>
            </w:tcBorders>
            <w:vAlign w:val="center"/>
          </w:tcPr>
          <w:p w14:paraId="4E75F77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采购人名称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14:paraId="26D911F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14:paraId="3FF9219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合同金额</w:t>
            </w:r>
          </w:p>
          <w:p w14:paraId="02712B8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（万元）</w:t>
            </w:r>
          </w:p>
        </w:tc>
        <w:tc>
          <w:tcPr>
            <w:tcW w:w="1674" w:type="pct"/>
            <w:vMerge w:val="restart"/>
            <w:tcBorders>
              <w:top w:val="single" w:color="auto" w:sz="4" w:space="0"/>
              <w:left w:val="single" w:color="auto" w:sz="4" w:space="0"/>
              <w:bottom w:val="single" w:color="auto" w:sz="4" w:space="0"/>
              <w:right w:val="single" w:color="auto" w:sz="4" w:space="0"/>
            </w:tcBorders>
            <w:vAlign w:val="center"/>
          </w:tcPr>
          <w:p w14:paraId="4C27990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采购人联系人及</w:t>
            </w:r>
          </w:p>
          <w:p w14:paraId="111F15F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联系电话</w:t>
            </w:r>
          </w:p>
        </w:tc>
      </w:tr>
      <w:tr w14:paraId="5268BD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250" w:type="pct"/>
            <w:vMerge w:val="continue"/>
            <w:tcBorders>
              <w:top w:val="single" w:color="auto" w:sz="4" w:space="0"/>
              <w:left w:val="single" w:color="auto" w:sz="4" w:space="0"/>
              <w:bottom w:val="single" w:color="auto" w:sz="4" w:space="0"/>
              <w:right w:val="single" w:color="auto" w:sz="4" w:space="0"/>
            </w:tcBorders>
            <w:vAlign w:val="center"/>
          </w:tcPr>
          <w:p w14:paraId="244D376A">
            <w:pPr>
              <w:jc w:val="left"/>
              <w:rPr>
                <w:rFonts w:ascii="宋体" w:hAnsi="宋体" w:cs="宋体"/>
                <w:color w:val="auto"/>
                <w:sz w:val="24"/>
                <w:highlight w:val="none"/>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14:paraId="3A4754AE">
            <w:pPr>
              <w:jc w:val="left"/>
              <w:rPr>
                <w:rFonts w:ascii="宋体" w:hAnsi="宋体" w:cs="宋体"/>
                <w:color w:val="auto"/>
                <w:sz w:val="24"/>
                <w:highlight w:val="none"/>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14:paraId="337335FB">
            <w:pPr>
              <w:jc w:val="left"/>
              <w:rPr>
                <w:rFonts w:ascii="宋体" w:hAnsi="宋体" w:cs="宋体"/>
                <w:color w:val="auto"/>
                <w:sz w:val="24"/>
                <w:highlight w:val="none"/>
              </w:rPr>
            </w:pPr>
          </w:p>
        </w:tc>
        <w:tc>
          <w:tcPr>
            <w:tcW w:w="1674" w:type="pct"/>
            <w:vMerge w:val="continue"/>
            <w:tcBorders>
              <w:top w:val="single" w:color="auto" w:sz="4" w:space="0"/>
              <w:left w:val="single" w:color="auto" w:sz="4" w:space="0"/>
              <w:bottom w:val="single" w:color="auto" w:sz="4" w:space="0"/>
              <w:right w:val="single" w:color="auto" w:sz="4" w:space="0"/>
            </w:tcBorders>
            <w:vAlign w:val="center"/>
          </w:tcPr>
          <w:p w14:paraId="37C04099">
            <w:pPr>
              <w:jc w:val="left"/>
              <w:rPr>
                <w:rFonts w:ascii="宋体" w:hAnsi="宋体" w:cs="宋体"/>
                <w:color w:val="auto"/>
                <w:sz w:val="24"/>
                <w:highlight w:val="none"/>
              </w:rPr>
            </w:pPr>
          </w:p>
        </w:tc>
      </w:tr>
      <w:tr w14:paraId="374262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50" w:type="pct"/>
            <w:tcBorders>
              <w:top w:val="single" w:color="auto" w:sz="4" w:space="0"/>
              <w:left w:val="single" w:color="auto" w:sz="4" w:space="0"/>
              <w:bottom w:val="single" w:color="auto" w:sz="4" w:space="0"/>
              <w:right w:val="single" w:color="auto" w:sz="4" w:space="0"/>
            </w:tcBorders>
          </w:tcPr>
          <w:p w14:paraId="3DBCE02E">
            <w:pPr>
              <w:snapToGrid w:val="0"/>
              <w:spacing w:line="24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28B5891B">
            <w:pPr>
              <w:snapToGrid w:val="0"/>
              <w:spacing w:line="24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1EB17298">
            <w:pPr>
              <w:snapToGrid w:val="0"/>
              <w:spacing w:line="240" w:lineRule="exact"/>
              <w:jc w:val="left"/>
              <w:rPr>
                <w:rFonts w:ascii="宋体" w:hAnsi="宋体" w:cs="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4A26175C">
            <w:pPr>
              <w:snapToGrid w:val="0"/>
              <w:spacing w:line="240" w:lineRule="exact"/>
              <w:jc w:val="left"/>
              <w:rPr>
                <w:rFonts w:ascii="宋体" w:hAnsi="宋体" w:cs="宋体"/>
                <w:color w:val="auto"/>
                <w:sz w:val="24"/>
                <w:highlight w:val="none"/>
              </w:rPr>
            </w:pPr>
          </w:p>
        </w:tc>
      </w:tr>
      <w:tr w14:paraId="56C55F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2B304A09">
            <w:pPr>
              <w:snapToGrid w:val="0"/>
              <w:spacing w:before="50" w:afterLines="50" w:line="40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6C25FB4A">
            <w:pPr>
              <w:snapToGrid w:val="0"/>
              <w:spacing w:before="50" w:afterLines="50" w:line="40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7D4242C8">
            <w:pPr>
              <w:snapToGrid w:val="0"/>
              <w:spacing w:before="50" w:afterLines="50" w:line="400" w:lineRule="exact"/>
              <w:jc w:val="left"/>
              <w:rPr>
                <w:rFonts w:ascii="宋体" w:hAnsi="宋体" w:cs="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3E5C730D">
            <w:pPr>
              <w:snapToGrid w:val="0"/>
              <w:spacing w:before="50" w:afterLines="50" w:line="400" w:lineRule="exact"/>
              <w:jc w:val="left"/>
              <w:rPr>
                <w:rFonts w:ascii="宋体" w:hAnsi="宋体" w:cs="宋体"/>
                <w:color w:val="auto"/>
                <w:sz w:val="24"/>
                <w:highlight w:val="none"/>
              </w:rPr>
            </w:pPr>
          </w:p>
        </w:tc>
      </w:tr>
      <w:tr w14:paraId="7B2117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250" w:type="pct"/>
            <w:tcBorders>
              <w:top w:val="single" w:color="auto" w:sz="4" w:space="0"/>
              <w:left w:val="single" w:color="auto" w:sz="4" w:space="0"/>
              <w:bottom w:val="single" w:color="auto" w:sz="4" w:space="0"/>
              <w:right w:val="single" w:color="auto" w:sz="4" w:space="0"/>
            </w:tcBorders>
          </w:tcPr>
          <w:p w14:paraId="406453AC">
            <w:pPr>
              <w:snapToGrid w:val="0"/>
              <w:spacing w:before="50" w:afterLines="50" w:line="40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7F6DE7F5">
            <w:pPr>
              <w:snapToGrid w:val="0"/>
              <w:spacing w:before="50" w:afterLines="50" w:line="40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503CAE14">
            <w:pPr>
              <w:snapToGrid w:val="0"/>
              <w:spacing w:before="50" w:afterLines="50" w:line="400" w:lineRule="exact"/>
              <w:jc w:val="left"/>
              <w:rPr>
                <w:rFonts w:ascii="宋体" w:hAnsi="宋体" w:cs="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24A3B957">
            <w:pPr>
              <w:snapToGrid w:val="0"/>
              <w:spacing w:before="50" w:afterLines="50" w:line="400" w:lineRule="exact"/>
              <w:jc w:val="left"/>
              <w:rPr>
                <w:rFonts w:ascii="宋体" w:hAnsi="宋体" w:cs="宋体"/>
                <w:color w:val="auto"/>
                <w:sz w:val="24"/>
                <w:highlight w:val="none"/>
              </w:rPr>
            </w:pPr>
          </w:p>
        </w:tc>
      </w:tr>
      <w:tr w14:paraId="23E142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54E7747E">
            <w:pPr>
              <w:snapToGrid w:val="0"/>
              <w:spacing w:before="50" w:afterLines="50" w:line="40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79B0B34D">
            <w:pPr>
              <w:snapToGrid w:val="0"/>
              <w:spacing w:before="50" w:afterLines="50" w:line="40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3246336B">
            <w:pPr>
              <w:snapToGrid w:val="0"/>
              <w:spacing w:before="50" w:afterLines="50" w:line="400" w:lineRule="exact"/>
              <w:jc w:val="left"/>
              <w:rPr>
                <w:rFonts w:ascii="宋体" w:hAnsi="宋体" w:cs="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20930B11">
            <w:pPr>
              <w:snapToGrid w:val="0"/>
              <w:spacing w:before="50" w:afterLines="50" w:line="400" w:lineRule="exact"/>
              <w:jc w:val="left"/>
              <w:rPr>
                <w:rFonts w:ascii="宋体" w:hAnsi="宋体" w:cs="宋体"/>
                <w:color w:val="auto"/>
                <w:sz w:val="24"/>
                <w:highlight w:val="none"/>
              </w:rPr>
            </w:pPr>
          </w:p>
        </w:tc>
      </w:tr>
      <w:tr w14:paraId="34BD07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30AA04E8">
            <w:pPr>
              <w:snapToGrid w:val="0"/>
              <w:spacing w:before="50" w:afterLines="50" w:line="40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138C34FF">
            <w:pPr>
              <w:snapToGrid w:val="0"/>
              <w:spacing w:before="50" w:afterLines="50" w:line="40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3A5BC5D7">
            <w:pPr>
              <w:snapToGrid w:val="0"/>
              <w:spacing w:before="50" w:afterLines="50" w:line="400" w:lineRule="exact"/>
              <w:jc w:val="left"/>
              <w:rPr>
                <w:rFonts w:ascii="宋体" w:hAnsi="宋体" w:cs="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68027F66">
            <w:pPr>
              <w:snapToGrid w:val="0"/>
              <w:spacing w:before="50" w:afterLines="50" w:line="400" w:lineRule="exact"/>
              <w:jc w:val="left"/>
              <w:rPr>
                <w:rFonts w:ascii="宋体" w:hAnsi="宋体" w:cs="宋体"/>
                <w:color w:val="auto"/>
                <w:sz w:val="24"/>
                <w:highlight w:val="none"/>
              </w:rPr>
            </w:pPr>
          </w:p>
        </w:tc>
      </w:tr>
    </w:tbl>
    <w:p w14:paraId="7C0D959F">
      <w:pPr>
        <w:pStyle w:val="15"/>
        <w:spacing w:before="0" w:after="0" w:line="360" w:lineRule="auto"/>
        <w:contextualSpacing/>
        <w:rPr>
          <w:rFonts w:ascii="宋体" w:hAnsi="宋体" w:eastAsia="宋体" w:cs="宋体"/>
          <w:color w:val="auto"/>
          <w:sz w:val="24"/>
          <w:szCs w:val="24"/>
          <w:highlight w:val="none"/>
        </w:rPr>
      </w:pPr>
    </w:p>
    <w:p w14:paraId="002DF6BF">
      <w:pPr>
        <w:pStyle w:val="15"/>
        <w:spacing w:before="0" w:after="0" w:line="360" w:lineRule="auto"/>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highlight w:val="none"/>
        </w:rPr>
        <w:t>投标人根据评标标准具体要求附业绩证明材料。</w:t>
      </w:r>
    </w:p>
    <w:p w14:paraId="04507326">
      <w:pPr>
        <w:pStyle w:val="15"/>
        <w:spacing w:before="0" w:after="0" w:line="360" w:lineRule="auto"/>
        <w:contextualSpacing/>
        <w:jc w:val="left"/>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法定代表人或者委托代理人（签字或者电子签名）：</w:t>
      </w:r>
      <w:r>
        <w:rPr>
          <w:rFonts w:hint="eastAsia" w:ascii="宋体" w:hAnsi="宋体" w:eastAsia="宋体" w:cs="宋体"/>
          <w:color w:val="auto"/>
          <w:sz w:val="24"/>
          <w:szCs w:val="24"/>
          <w:highlight w:val="none"/>
          <w:u w:val="single"/>
        </w:rPr>
        <w:t>　　　　　</w:t>
      </w:r>
    </w:p>
    <w:p w14:paraId="61C19B0C">
      <w:pPr>
        <w:spacing w:line="360" w:lineRule="auto"/>
        <w:ind w:right="480"/>
        <w:contextualSpacing/>
        <w:jc w:val="left"/>
        <w:rPr>
          <w:rFonts w:ascii="宋体" w:hAnsi="宋体" w:cs="宋体"/>
          <w:color w:val="auto"/>
          <w:sz w:val="24"/>
          <w:highlight w:val="none"/>
        </w:rPr>
      </w:pPr>
      <w:r>
        <w:rPr>
          <w:rFonts w:hint="eastAsia" w:ascii="宋体" w:hAnsi="宋体" w:cs="宋体"/>
          <w:color w:val="auto"/>
          <w:sz w:val="24"/>
          <w:highlight w:val="none"/>
        </w:rPr>
        <w:t xml:space="preserve">投标人名称（电子签章）：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年    月    日</w:t>
      </w:r>
    </w:p>
    <w:p w14:paraId="3A17780A">
      <w:pPr>
        <w:snapToGrid w:val="0"/>
        <w:spacing w:beforeLines="50" w:after="50"/>
        <w:ind w:left="142"/>
        <w:jc w:val="left"/>
        <w:rPr>
          <w:rFonts w:ascii="宋体" w:hAnsi="宋体" w:cs="宋体"/>
          <w:b/>
          <w:color w:val="auto"/>
          <w:sz w:val="24"/>
          <w:highlight w:val="none"/>
        </w:rPr>
      </w:pPr>
      <w:r>
        <w:rPr>
          <w:rFonts w:hint="eastAsia" w:ascii="宋体" w:hAnsi="宋体" w:cs="宋体"/>
          <w:color w:val="auto"/>
          <w:highlight w:val="none"/>
        </w:rPr>
        <w:br w:type="page"/>
      </w:r>
      <w:r>
        <w:rPr>
          <w:rFonts w:hint="eastAsia" w:ascii="宋体" w:hAnsi="宋体" w:cs="宋体"/>
          <w:b/>
          <w:color w:val="auto"/>
          <w:sz w:val="24"/>
          <w:highlight w:val="none"/>
        </w:rPr>
        <w:t>8. 货物配置清单格式</w:t>
      </w:r>
    </w:p>
    <w:p w14:paraId="0DC7F745">
      <w:pPr>
        <w:snapToGrid w:val="0"/>
        <w:spacing w:beforeLines="50" w:after="50"/>
        <w:ind w:left="142"/>
        <w:jc w:val="left"/>
        <w:rPr>
          <w:rFonts w:ascii="宋体" w:hAnsi="宋体" w:cs="宋体"/>
          <w:b/>
          <w:color w:val="auto"/>
          <w:sz w:val="24"/>
          <w:highlight w:val="none"/>
        </w:rPr>
      </w:pPr>
    </w:p>
    <w:p w14:paraId="3CA9D330">
      <w:pPr>
        <w:snapToGrid w:val="0"/>
        <w:spacing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货物配置清单</w:t>
      </w:r>
    </w:p>
    <w:tbl>
      <w:tblPr>
        <w:tblStyle w:val="48"/>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03"/>
        <w:gridCol w:w="1186"/>
        <w:gridCol w:w="766"/>
        <w:gridCol w:w="853"/>
        <w:gridCol w:w="1701"/>
        <w:gridCol w:w="1186"/>
        <w:gridCol w:w="2133"/>
      </w:tblGrid>
      <w:tr w14:paraId="0FBFAC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2D9E231D">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序号</w:t>
            </w:r>
          </w:p>
        </w:tc>
        <w:tc>
          <w:tcPr>
            <w:tcW w:w="695" w:type="pct"/>
            <w:tcBorders>
              <w:top w:val="single" w:color="auto" w:sz="4" w:space="0"/>
              <w:left w:val="single" w:color="auto" w:sz="4" w:space="0"/>
              <w:bottom w:val="single" w:color="auto" w:sz="4" w:space="0"/>
              <w:right w:val="single" w:color="auto" w:sz="4" w:space="0"/>
            </w:tcBorders>
            <w:vAlign w:val="center"/>
          </w:tcPr>
          <w:p w14:paraId="6C1618BC">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标的的名称</w:t>
            </w:r>
          </w:p>
        </w:tc>
        <w:tc>
          <w:tcPr>
            <w:tcW w:w="449" w:type="pct"/>
            <w:tcBorders>
              <w:top w:val="single" w:color="auto" w:sz="4" w:space="0"/>
              <w:left w:val="single" w:color="auto" w:sz="4" w:space="0"/>
              <w:bottom w:val="single" w:color="auto" w:sz="4" w:space="0"/>
              <w:right w:val="single" w:color="auto" w:sz="4" w:space="0"/>
            </w:tcBorders>
            <w:vAlign w:val="center"/>
          </w:tcPr>
          <w:p w14:paraId="342BF91F">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数量及单位</w:t>
            </w:r>
          </w:p>
        </w:tc>
        <w:tc>
          <w:tcPr>
            <w:tcW w:w="500" w:type="pct"/>
            <w:tcBorders>
              <w:top w:val="single" w:color="auto" w:sz="4" w:space="0"/>
              <w:left w:val="single" w:color="auto" w:sz="4" w:space="0"/>
              <w:bottom w:val="single" w:color="auto" w:sz="4" w:space="0"/>
              <w:right w:val="single" w:color="auto" w:sz="4" w:space="0"/>
            </w:tcBorders>
            <w:vAlign w:val="center"/>
          </w:tcPr>
          <w:p w14:paraId="7A0A2AED">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品牌</w:t>
            </w:r>
          </w:p>
        </w:tc>
        <w:tc>
          <w:tcPr>
            <w:tcW w:w="997" w:type="pct"/>
            <w:tcBorders>
              <w:top w:val="single" w:color="auto" w:sz="4" w:space="0"/>
              <w:left w:val="single" w:color="auto" w:sz="4" w:space="0"/>
              <w:bottom w:val="single" w:color="auto" w:sz="4" w:space="0"/>
              <w:right w:val="single" w:color="auto" w:sz="4" w:space="0"/>
            </w:tcBorders>
          </w:tcPr>
          <w:p w14:paraId="0602A58B">
            <w:pPr>
              <w:snapToGrid w:val="0"/>
              <w:spacing w:before="50" w:after="50"/>
              <w:jc w:val="center"/>
              <w:rPr>
                <w:rFonts w:ascii="宋体" w:hAnsi="宋体" w:cs="宋体"/>
                <w:color w:val="auto"/>
                <w:sz w:val="24"/>
                <w:highlight w:val="none"/>
              </w:rPr>
            </w:pPr>
          </w:p>
          <w:p w14:paraId="30590250">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规格型号</w:t>
            </w:r>
          </w:p>
        </w:tc>
        <w:tc>
          <w:tcPr>
            <w:tcW w:w="695" w:type="pct"/>
            <w:tcBorders>
              <w:top w:val="single" w:color="auto" w:sz="4" w:space="0"/>
              <w:left w:val="single" w:color="auto" w:sz="4" w:space="0"/>
              <w:bottom w:val="single" w:color="auto" w:sz="4" w:space="0"/>
              <w:right w:val="single" w:color="auto" w:sz="4" w:space="0"/>
            </w:tcBorders>
            <w:vAlign w:val="center"/>
          </w:tcPr>
          <w:p w14:paraId="4E7FBB88">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制造商</w:t>
            </w:r>
          </w:p>
        </w:tc>
        <w:tc>
          <w:tcPr>
            <w:tcW w:w="1250" w:type="pct"/>
            <w:tcBorders>
              <w:top w:val="single" w:color="auto" w:sz="4" w:space="0"/>
              <w:left w:val="single" w:color="auto" w:sz="4" w:space="0"/>
              <w:bottom w:val="single" w:color="auto" w:sz="4" w:space="0"/>
              <w:right w:val="single" w:color="auto" w:sz="4" w:space="0"/>
            </w:tcBorders>
            <w:vAlign w:val="center"/>
          </w:tcPr>
          <w:p w14:paraId="0A9C15F6">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参数性能、指标及配置</w:t>
            </w:r>
          </w:p>
        </w:tc>
      </w:tr>
      <w:tr w14:paraId="7B2FC9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0D6A2D6A">
            <w:pPr>
              <w:snapToGrid w:val="0"/>
              <w:spacing w:before="50" w:after="50"/>
              <w:jc w:val="center"/>
              <w:rPr>
                <w:rFonts w:ascii="宋体" w:hAnsi="宋体" w:cs="宋体"/>
                <w:color w:val="auto"/>
                <w:sz w:val="24"/>
                <w:highlight w:val="none"/>
              </w:rPr>
            </w:pPr>
          </w:p>
        </w:tc>
        <w:tc>
          <w:tcPr>
            <w:tcW w:w="695" w:type="pct"/>
            <w:tcBorders>
              <w:top w:val="single" w:color="auto" w:sz="4" w:space="0"/>
              <w:left w:val="single" w:color="auto" w:sz="4" w:space="0"/>
              <w:bottom w:val="single" w:color="auto" w:sz="4" w:space="0"/>
              <w:right w:val="single" w:color="auto" w:sz="4" w:space="0"/>
            </w:tcBorders>
            <w:vAlign w:val="center"/>
          </w:tcPr>
          <w:p w14:paraId="55792CEB">
            <w:pPr>
              <w:snapToGrid w:val="0"/>
              <w:spacing w:before="50" w:after="50"/>
              <w:jc w:val="center"/>
              <w:rPr>
                <w:rFonts w:ascii="宋体" w:hAnsi="宋体" w:cs="宋体"/>
                <w:color w:val="auto"/>
                <w:sz w:val="24"/>
                <w:highlight w:val="none"/>
              </w:rPr>
            </w:pPr>
          </w:p>
        </w:tc>
        <w:tc>
          <w:tcPr>
            <w:tcW w:w="449" w:type="pct"/>
            <w:tcBorders>
              <w:top w:val="single" w:color="auto" w:sz="4" w:space="0"/>
              <w:left w:val="single" w:color="auto" w:sz="4" w:space="0"/>
              <w:bottom w:val="single" w:color="auto" w:sz="4" w:space="0"/>
              <w:right w:val="single" w:color="auto" w:sz="4" w:space="0"/>
            </w:tcBorders>
            <w:vAlign w:val="center"/>
          </w:tcPr>
          <w:p w14:paraId="65DBC880">
            <w:pPr>
              <w:snapToGrid w:val="0"/>
              <w:spacing w:before="50" w:after="50"/>
              <w:jc w:val="center"/>
              <w:rPr>
                <w:rFonts w:ascii="宋体" w:hAnsi="宋体" w:cs="宋体"/>
                <w:color w:val="auto"/>
                <w:sz w:val="24"/>
                <w:highlight w:val="none"/>
              </w:rPr>
            </w:pPr>
          </w:p>
        </w:tc>
        <w:tc>
          <w:tcPr>
            <w:tcW w:w="500" w:type="pct"/>
            <w:tcBorders>
              <w:top w:val="single" w:color="auto" w:sz="4" w:space="0"/>
              <w:left w:val="single" w:color="auto" w:sz="4" w:space="0"/>
              <w:bottom w:val="single" w:color="auto" w:sz="4" w:space="0"/>
              <w:right w:val="single" w:color="auto" w:sz="4" w:space="0"/>
            </w:tcBorders>
            <w:vAlign w:val="center"/>
          </w:tcPr>
          <w:p w14:paraId="7882B41F">
            <w:pPr>
              <w:snapToGrid w:val="0"/>
              <w:spacing w:before="50" w:after="50"/>
              <w:jc w:val="center"/>
              <w:rPr>
                <w:rFonts w:ascii="宋体" w:hAnsi="宋体" w:cs="宋体"/>
                <w:color w:val="auto"/>
                <w:sz w:val="24"/>
                <w:highlight w:val="none"/>
              </w:rPr>
            </w:pPr>
          </w:p>
        </w:tc>
        <w:tc>
          <w:tcPr>
            <w:tcW w:w="997" w:type="pct"/>
            <w:tcBorders>
              <w:top w:val="single" w:color="auto" w:sz="4" w:space="0"/>
              <w:left w:val="single" w:color="auto" w:sz="4" w:space="0"/>
              <w:bottom w:val="single" w:color="auto" w:sz="4" w:space="0"/>
              <w:right w:val="single" w:color="auto" w:sz="4" w:space="0"/>
            </w:tcBorders>
          </w:tcPr>
          <w:p w14:paraId="04F21DB9">
            <w:pPr>
              <w:snapToGrid w:val="0"/>
              <w:spacing w:before="50" w:after="50"/>
              <w:jc w:val="center"/>
              <w:rPr>
                <w:rFonts w:ascii="宋体" w:hAnsi="宋体" w:cs="宋体"/>
                <w:color w:val="auto"/>
                <w:sz w:val="24"/>
                <w:highlight w:val="none"/>
              </w:rPr>
            </w:pPr>
          </w:p>
        </w:tc>
        <w:tc>
          <w:tcPr>
            <w:tcW w:w="695" w:type="pct"/>
            <w:tcBorders>
              <w:top w:val="single" w:color="auto" w:sz="4" w:space="0"/>
              <w:left w:val="single" w:color="auto" w:sz="4" w:space="0"/>
              <w:bottom w:val="single" w:color="auto" w:sz="4" w:space="0"/>
              <w:right w:val="single" w:color="auto" w:sz="4" w:space="0"/>
            </w:tcBorders>
            <w:vAlign w:val="center"/>
          </w:tcPr>
          <w:p w14:paraId="71089CFE">
            <w:pPr>
              <w:snapToGrid w:val="0"/>
              <w:spacing w:before="50" w:after="50"/>
              <w:jc w:val="center"/>
              <w:rPr>
                <w:rFonts w:ascii="宋体" w:hAnsi="宋体" w:cs="宋体"/>
                <w:color w:val="auto"/>
                <w:sz w:val="24"/>
                <w:highlight w:val="none"/>
              </w:rPr>
            </w:pPr>
          </w:p>
        </w:tc>
        <w:tc>
          <w:tcPr>
            <w:tcW w:w="1250" w:type="pct"/>
            <w:tcBorders>
              <w:top w:val="single" w:color="auto" w:sz="4" w:space="0"/>
              <w:left w:val="single" w:color="auto" w:sz="4" w:space="0"/>
              <w:bottom w:val="single" w:color="auto" w:sz="4" w:space="0"/>
              <w:right w:val="single" w:color="auto" w:sz="4" w:space="0"/>
            </w:tcBorders>
            <w:vAlign w:val="center"/>
          </w:tcPr>
          <w:p w14:paraId="2DF841CE">
            <w:pPr>
              <w:snapToGrid w:val="0"/>
              <w:spacing w:before="50" w:after="50"/>
              <w:jc w:val="center"/>
              <w:rPr>
                <w:rFonts w:ascii="宋体" w:hAnsi="宋体" w:cs="宋体"/>
                <w:color w:val="auto"/>
                <w:sz w:val="24"/>
                <w:highlight w:val="none"/>
              </w:rPr>
            </w:pPr>
          </w:p>
        </w:tc>
      </w:tr>
      <w:tr w14:paraId="4ECDC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688FCF24">
            <w:pPr>
              <w:snapToGrid w:val="0"/>
              <w:spacing w:before="50" w:after="50"/>
              <w:jc w:val="center"/>
              <w:rPr>
                <w:rFonts w:ascii="宋体" w:hAnsi="宋体" w:cs="宋体"/>
                <w:color w:val="auto"/>
                <w:sz w:val="24"/>
                <w:highlight w:val="none"/>
              </w:rPr>
            </w:pPr>
          </w:p>
        </w:tc>
        <w:tc>
          <w:tcPr>
            <w:tcW w:w="695" w:type="pct"/>
            <w:tcBorders>
              <w:top w:val="single" w:color="auto" w:sz="4" w:space="0"/>
              <w:left w:val="single" w:color="auto" w:sz="4" w:space="0"/>
              <w:bottom w:val="single" w:color="auto" w:sz="4" w:space="0"/>
              <w:right w:val="single" w:color="auto" w:sz="4" w:space="0"/>
            </w:tcBorders>
            <w:vAlign w:val="center"/>
          </w:tcPr>
          <w:p w14:paraId="1125BE29">
            <w:pPr>
              <w:snapToGrid w:val="0"/>
              <w:spacing w:before="50" w:after="50"/>
              <w:jc w:val="center"/>
              <w:rPr>
                <w:rFonts w:ascii="宋体" w:hAnsi="宋体" w:cs="宋体"/>
                <w:color w:val="auto"/>
                <w:sz w:val="24"/>
                <w:highlight w:val="none"/>
              </w:rPr>
            </w:pPr>
          </w:p>
        </w:tc>
        <w:tc>
          <w:tcPr>
            <w:tcW w:w="449" w:type="pct"/>
            <w:tcBorders>
              <w:top w:val="single" w:color="auto" w:sz="4" w:space="0"/>
              <w:left w:val="single" w:color="auto" w:sz="4" w:space="0"/>
              <w:bottom w:val="single" w:color="auto" w:sz="4" w:space="0"/>
              <w:right w:val="single" w:color="auto" w:sz="4" w:space="0"/>
            </w:tcBorders>
            <w:vAlign w:val="center"/>
          </w:tcPr>
          <w:p w14:paraId="7E862F9F">
            <w:pPr>
              <w:snapToGrid w:val="0"/>
              <w:spacing w:before="50" w:after="50"/>
              <w:jc w:val="center"/>
              <w:rPr>
                <w:rFonts w:ascii="宋体" w:hAnsi="宋体" w:cs="宋体"/>
                <w:color w:val="auto"/>
                <w:sz w:val="24"/>
                <w:highlight w:val="none"/>
              </w:rPr>
            </w:pPr>
          </w:p>
        </w:tc>
        <w:tc>
          <w:tcPr>
            <w:tcW w:w="500" w:type="pct"/>
            <w:tcBorders>
              <w:top w:val="single" w:color="auto" w:sz="4" w:space="0"/>
              <w:left w:val="single" w:color="auto" w:sz="4" w:space="0"/>
              <w:bottom w:val="single" w:color="auto" w:sz="4" w:space="0"/>
              <w:right w:val="single" w:color="auto" w:sz="4" w:space="0"/>
            </w:tcBorders>
            <w:vAlign w:val="center"/>
          </w:tcPr>
          <w:p w14:paraId="04DD36EE">
            <w:pPr>
              <w:snapToGrid w:val="0"/>
              <w:spacing w:before="50" w:after="50"/>
              <w:jc w:val="center"/>
              <w:rPr>
                <w:rFonts w:ascii="宋体" w:hAnsi="宋体" w:cs="宋体"/>
                <w:color w:val="auto"/>
                <w:sz w:val="24"/>
                <w:highlight w:val="none"/>
              </w:rPr>
            </w:pPr>
          </w:p>
        </w:tc>
        <w:tc>
          <w:tcPr>
            <w:tcW w:w="997" w:type="pct"/>
            <w:tcBorders>
              <w:top w:val="single" w:color="auto" w:sz="4" w:space="0"/>
              <w:left w:val="single" w:color="auto" w:sz="4" w:space="0"/>
              <w:bottom w:val="single" w:color="auto" w:sz="4" w:space="0"/>
              <w:right w:val="single" w:color="auto" w:sz="4" w:space="0"/>
            </w:tcBorders>
          </w:tcPr>
          <w:p w14:paraId="5214A134">
            <w:pPr>
              <w:snapToGrid w:val="0"/>
              <w:spacing w:before="50" w:after="50"/>
              <w:jc w:val="center"/>
              <w:rPr>
                <w:rFonts w:ascii="宋体" w:hAnsi="宋体" w:cs="宋体"/>
                <w:color w:val="auto"/>
                <w:sz w:val="24"/>
                <w:highlight w:val="none"/>
              </w:rPr>
            </w:pPr>
          </w:p>
        </w:tc>
        <w:tc>
          <w:tcPr>
            <w:tcW w:w="695" w:type="pct"/>
            <w:tcBorders>
              <w:top w:val="single" w:color="auto" w:sz="4" w:space="0"/>
              <w:left w:val="single" w:color="auto" w:sz="4" w:space="0"/>
              <w:bottom w:val="single" w:color="auto" w:sz="4" w:space="0"/>
              <w:right w:val="single" w:color="auto" w:sz="4" w:space="0"/>
            </w:tcBorders>
            <w:vAlign w:val="center"/>
          </w:tcPr>
          <w:p w14:paraId="169FE70B">
            <w:pPr>
              <w:snapToGrid w:val="0"/>
              <w:spacing w:before="50" w:after="50"/>
              <w:jc w:val="center"/>
              <w:rPr>
                <w:rFonts w:ascii="宋体" w:hAnsi="宋体" w:cs="宋体"/>
                <w:color w:val="auto"/>
                <w:sz w:val="24"/>
                <w:highlight w:val="none"/>
              </w:rPr>
            </w:pPr>
          </w:p>
        </w:tc>
        <w:tc>
          <w:tcPr>
            <w:tcW w:w="1250" w:type="pct"/>
            <w:tcBorders>
              <w:top w:val="single" w:color="auto" w:sz="4" w:space="0"/>
              <w:left w:val="single" w:color="auto" w:sz="4" w:space="0"/>
              <w:bottom w:val="single" w:color="auto" w:sz="4" w:space="0"/>
              <w:right w:val="single" w:color="auto" w:sz="4" w:space="0"/>
            </w:tcBorders>
            <w:vAlign w:val="center"/>
          </w:tcPr>
          <w:p w14:paraId="6D1BCA86">
            <w:pPr>
              <w:snapToGrid w:val="0"/>
              <w:spacing w:before="50" w:after="50"/>
              <w:jc w:val="center"/>
              <w:rPr>
                <w:rFonts w:ascii="宋体" w:hAnsi="宋体" w:cs="宋体"/>
                <w:color w:val="auto"/>
                <w:sz w:val="24"/>
                <w:highlight w:val="none"/>
              </w:rPr>
            </w:pPr>
          </w:p>
        </w:tc>
      </w:tr>
      <w:tr w14:paraId="2E8F85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40C581E0">
            <w:pPr>
              <w:snapToGrid w:val="0"/>
              <w:spacing w:before="50" w:after="50"/>
              <w:jc w:val="center"/>
              <w:rPr>
                <w:rFonts w:ascii="宋体" w:hAnsi="宋体" w:cs="宋体"/>
                <w:color w:val="auto"/>
                <w:sz w:val="24"/>
                <w:highlight w:val="none"/>
              </w:rPr>
            </w:pPr>
          </w:p>
        </w:tc>
        <w:tc>
          <w:tcPr>
            <w:tcW w:w="695" w:type="pct"/>
            <w:tcBorders>
              <w:top w:val="single" w:color="auto" w:sz="4" w:space="0"/>
              <w:left w:val="single" w:color="auto" w:sz="4" w:space="0"/>
              <w:bottom w:val="single" w:color="auto" w:sz="4" w:space="0"/>
              <w:right w:val="single" w:color="auto" w:sz="4" w:space="0"/>
            </w:tcBorders>
            <w:vAlign w:val="center"/>
          </w:tcPr>
          <w:p w14:paraId="3FA8D294">
            <w:pPr>
              <w:snapToGrid w:val="0"/>
              <w:spacing w:before="50" w:after="50"/>
              <w:jc w:val="center"/>
              <w:rPr>
                <w:rFonts w:ascii="宋体" w:hAnsi="宋体" w:cs="宋体"/>
                <w:color w:val="auto"/>
                <w:sz w:val="24"/>
                <w:highlight w:val="none"/>
              </w:rPr>
            </w:pPr>
          </w:p>
        </w:tc>
        <w:tc>
          <w:tcPr>
            <w:tcW w:w="449" w:type="pct"/>
            <w:tcBorders>
              <w:top w:val="single" w:color="auto" w:sz="4" w:space="0"/>
              <w:left w:val="single" w:color="auto" w:sz="4" w:space="0"/>
              <w:bottom w:val="single" w:color="auto" w:sz="4" w:space="0"/>
              <w:right w:val="single" w:color="auto" w:sz="4" w:space="0"/>
            </w:tcBorders>
            <w:vAlign w:val="center"/>
          </w:tcPr>
          <w:p w14:paraId="760A3E94">
            <w:pPr>
              <w:snapToGrid w:val="0"/>
              <w:spacing w:before="50" w:after="50"/>
              <w:jc w:val="center"/>
              <w:rPr>
                <w:rFonts w:ascii="宋体" w:hAnsi="宋体" w:cs="宋体"/>
                <w:color w:val="auto"/>
                <w:sz w:val="24"/>
                <w:highlight w:val="none"/>
              </w:rPr>
            </w:pPr>
          </w:p>
        </w:tc>
        <w:tc>
          <w:tcPr>
            <w:tcW w:w="500" w:type="pct"/>
            <w:tcBorders>
              <w:top w:val="single" w:color="auto" w:sz="4" w:space="0"/>
              <w:left w:val="single" w:color="auto" w:sz="4" w:space="0"/>
              <w:bottom w:val="single" w:color="auto" w:sz="4" w:space="0"/>
              <w:right w:val="single" w:color="auto" w:sz="4" w:space="0"/>
            </w:tcBorders>
            <w:vAlign w:val="center"/>
          </w:tcPr>
          <w:p w14:paraId="16F738E5">
            <w:pPr>
              <w:snapToGrid w:val="0"/>
              <w:spacing w:before="50" w:after="50"/>
              <w:jc w:val="center"/>
              <w:rPr>
                <w:rFonts w:ascii="宋体" w:hAnsi="宋体" w:cs="宋体"/>
                <w:color w:val="auto"/>
                <w:sz w:val="24"/>
                <w:highlight w:val="none"/>
              </w:rPr>
            </w:pPr>
          </w:p>
        </w:tc>
        <w:tc>
          <w:tcPr>
            <w:tcW w:w="997" w:type="pct"/>
            <w:tcBorders>
              <w:top w:val="single" w:color="auto" w:sz="4" w:space="0"/>
              <w:left w:val="single" w:color="auto" w:sz="4" w:space="0"/>
              <w:bottom w:val="single" w:color="auto" w:sz="4" w:space="0"/>
              <w:right w:val="single" w:color="auto" w:sz="4" w:space="0"/>
            </w:tcBorders>
          </w:tcPr>
          <w:p w14:paraId="070FD3D0">
            <w:pPr>
              <w:snapToGrid w:val="0"/>
              <w:spacing w:before="50" w:after="50"/>
              <w:jc w:val="center"/>
              <w:rPr>
                <w:rFonts w:ascii="宋体" w:hAnsi="宋体" w:cs="宋体"/>
                <w:color w:val="auto"/>
                <w:sz w:val="24"/>
                <w:highlight w:val="none"/>
              </w:rPr>
            </w:pPr>
          </w:p>
        </w:tc>
        <w:tc>
          <w:tcPr>
            <w:tcW w:w="695" w:type="pct"/>
            <w:tcBorders>
              <w:top w:val="single" w:color="auto" w:sz="4" w:space="0"/>
              <w:left w:val="single" w:color="auto" w:sz="4" w:space="0"/>
              <w:bottom w:val="single" w:color="auto" w:sz="4" w:space="0"/>
              <w:right w:val="single" w:color="auto" w:sz="4" w:space="0"/>
            </w:tcBorders>
            <w:vAlign w:val="center"/>
          </w:tcPr>
          <w:p w14:paraId="0D98F174">
            <w:pPr>
              <w:snapToGrid w:val="0"/>
              <w:spacing w:before="50" w:after="50"/>
              <w:jc w:val="center"/>
              <w:rPr>
                <w:rFonts w:ascii="宋体" w:hAnsi="宋体" w:cs="宋体"/>
                <w:color w:val="auto"/>
                <w:sz w:val="24"/>
                <w:highlight w:val="none"/>
              </w:rPr>
            </w:pPr>
          </w:p>
        </w:tc>
        <w:tc>
          <w:tcPr>
            <w:tcW w:w="1250" w:type="pct"/>
            <w:tcBorders>
              <w:top w:val="single" w:color="auto" w:sz="4" w:space="0"/>
              <w:left w:val="single" w:color="auto" w:sz="4" w:space="0"/>
              <w:bottom w:val="single" w:color="auto" w:sz="4" w:space="0"/>
              <w:right w:val="single" w:color="auto" w:sz="4" w:space="0"/>
            </w:tcBorders>
            <w:vAlign w:val="center"/>
          </w:tcPr>
          <w:p w14:paraId="35FF7D2F">
            <w:pPr>
              <w:snapToGrid w:val="0"/>
              <w:spacing w:before="50" w:after="50"/>
              <w:jc w:val="center"/>
              <w:rPr>
                <w:rFonts w:ascii="宋体" w:hAnsi="宋体" w:cs="宋体"/>
                <w:color w:val="auto"/>
                <w:sz w:val="24"/>
                <w:highlight w:val="none"/>
              </w:rPr>
            </w:pPr>
          </w:p>
        </w:tc>
      </w:tr>
    </w:tbl>
    <w:p w14:paraId="1FC6FF49">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备注：</w:t>
      </w:r>
    </w:p>
    <w:p w14:paraId="47CA0D78">
      <w:pPr>
        <w:spacing w:line="360" w:lineRule="auto"/>
        <w:ind w:firstLine="480" w:firstLineChars="200"/>
        <w:contextualSpacing/>
        <w:rPr>
          <w:rFonts w:ascii="宋体" w:hAnsi="宋体" w:cs="宋体"/>
          <w:b/>
          <w:color w:val="auto"/>
          <w:sz w:val="24"/>
          <w:highlight w:val="none"/>
        </w:rPr>
      </w:pPr>
      <w:r>
        <w:rPr>
          <w:rFonts w:hint="eastAsia" w:ascii="宋体" w:hAnsi="宋体" w:cs="宋体"/>
          <w:color w:val="auto"/>
          <w:sz w:val="24"/>
          <w:highlight w:val="none"/>
        </w:rPr>
        <w:t>以上货物配置清单中“标的的名称、数量及单位、品牌、规格型号、制造商、参数性能、指标及配置”必须如实填写完整，品牌、规格型号没有则填无，填写有缺漏</w:t>
      </w:r>
      <w:r>
        <w:rPr>
          <w:rFonts w:hint="eastAsia" w:ascii="宋体" w:hAnsi="宋体" w:cs="宋体"/>
          <w:bCs/>
          <w:color w:val="auto"/>
          <w:sz w:val="24"/>
          <w:highlight w:val="none"/>
        </w:rPr>
        <w:t>的，</w:t>
      </w:r>
      <w:r>
        <w:rPr>
          <w:rFonts w:hint="eastAsia" w:ascii="宋体" w:hAnsi="宋体" w:cs="宋体"/>
          <w:b/>
          <w:color w:val="auto"/>
          <w:sz w:val="24"/>
          <w:highlight w:val="none"/>
        </w:rPr>
        <w:t>按无效投标处理。</w:t>
      </w:r>
      <w:r>
        <w:rPr>
          <w:rFonts w:hint="eastAsia" w:ascii="宋体" w:hAnsi="宋体" w:cs="宋体"/>
          <w:color w:val="auto"/>
          <w:sz w:val="24"/>
          <w:highlight w:val="none"/>
        </w:rPr>
        <w:t>标的的名称、数量及单位、品牌必须与“开标一览表”一致，</w:t>
      </w:r>
      <w:r>
        <w:rPr>
          <w:rFonts w:hint="eastAsia" w:ascii="宋体" w:hAnsi="宋体" w:cs="宋体"/>
          <w:b/>
          <w:color w:val="auto"/>
          <w:sz w:val="24"/>
          <w:highlight w:val="none"/>
        </w:rPr>
        <w:t>否则按无效投标处理。</w:t>
      </w:r>
    </w:p>
    <w:p w14:paraId="4FFEE4AF">
      <w:pPr>
        <w:spacing w:line="360" w:lineRule="auto"/>
        <w:ind w:firstLine="480" w:firstLineChars="200"/>
        <w:contextualSpacing/>
        <w:rPr>
          <w:rFonts w:ascii="宋体" w:hAnsi="宋体" w:cs="宋体"/>
          <w:color w:val="auto"/>
          <w:sz w:val="24"/>
          <w:highlight w:val="none"/>
        </w:rPr>
      </w:pPr>
    </w:p>
    <w:p w14:paraId="31857DA1">
      <w:pPr>
        <w:spacing w:line="360" w:lineRule="auto"/>
        <w:contextualSpacing/>
        <w:rPr>
          <w:rFonts w:ascii="宋体" w:hAnsi="宋体" w:cs="宋体"/>
          <w:color w:val="auto"/>
          <w:spacing w:val="20"/>
          <w:sz w:val="24"/>
          <w:highlight w:val="none"/>
          <w:u w:val="single"/>
        </w:rPr>
      </w:pPr>
      <w:r>
        <w:rPr>
          <w:rFonts w:hint="eastAsia" w:ascii="宋体" w:hAnsi="宋体" w:cs="宋体"/>
          <w:color w:val="auto"/>
          <w:sz w:val="24"/>
          <w:highlight w:val="none"/>
        </w:rPr>
        <w:t>法定代表人或者委托代理人</w:t>
      </w:r>
      <w:r>
        <w:rPr>
          <w:rFonts w:hint="eastAsia" w:ascii="宋体" w:hAnsi="宋体" w:cs="宋体"/>
          <w:color w:val="auto"/>
          <w:spacing w:val="20"/>
          <w:sz w:val="24"/>
          <w:highlight w:val="none"/>
        </w:rPr>
        <w:t>（签字或者电子签名）：</w:t>
      </w:r>
      <w:r>
        <w:rPr>
          <w:rFonts w:hint="eastAsia" w:ascii="宋体" w:hAnsi="宋体" w:cs="宋体"/>
          <w:color w:val="auto"/>
          <w:spacing w:val="20"/>
          <w:sz w:val="24"/>
          <w:highlight w:val="none"/>
          <w:u w:val="single"/>
        </w:rPr>
        <w:t xml:space="preserve">        </w:t>
      </w:r>
    </w:p>
    <w:p w14:paraId="3643998A">
      <w:pPr>
        <w:spacing w:line="360" w:lineRule="auto"/>
        <w:contextualSpacing/>
        <w:rPr>
          <w:rFonts w:ascii="宋体" w:hAnsi="宋体" w:cs="宋体"/>
          <w:color w:val="auto"/>
          <w:spacing w:val="20"/>
          <w:sz w:val="24"/>
          <w:highlight w:val="none"/>
        </w:rPr>
      </w:pPr>
      <w:r>
        <w:rPr>
          <w:rFonts w:hint="eastAsia" w:ascii="宋体" w:hAnsi="宋体" w:cs="宋体"/>
          <w:color w:val="auto"/>
          <w:spacing w:val="20"/>
          <w:sz w:val="24"/>
          <w:highlight w:val="none"/>
        </w:rPr>
        <w:t>投标人名称（电子签章）：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w:t>
      </w:r>
    </w:p>
    <w:p w14:paraId="6D796CE4">
      <w:pPr>
        <w:spacing w:line="360" w:lineRule="auto"/>
        <w:contextualSpacing/>
        <w:rPr>
          <w:rFonts w:ascii="宋体" w:hAnsi="宋体" w:cs="宋体"/>
          <w:color w:val="auto"/>
          <w:sz w:val="24"/>
          <w:szCs w:val="20"/>
          <w:highlight w:val="none"/>
        </w:rPr>
      </w:pPr>
      <w:r>
        <w:rPr>
          <w:rFonts w:hint="eastAsia" w:ascii="宋体" w:hAnsi="宋体" w:cs="宋体"/>
          <w:color w:val="auto"/>
          <w:spacing w:val="20"/>
          <w:sz w:val="24"/>
          <w:highlight w:val="none"/>
        </w:rPr>
        <w:t>日  期：</w:t>
      </w:r>
      <w:r>
        <w:rPr>
          <w:rFonts w:hint="eastAsia" w:ascii="宋体" w:hAnsi="宋体" w:cs="宋体"/>
          <w:color w:val="auto"/>
          <w:spacing w:val="20"/>
          <w:sz w:val="24"/>
          <w:highlight w:val="none"/>
          <w:u w:val="single"/>
        </w:rPr>
        <w:t xml:space="preserve">          </w:t>
      </w:r>
    </w:p>
    <w:p w14:paraId="79F92BEA">
      <w:pPr>
        <w:pStyle w:val="33"/>
        <w:ind w:firstLine="241"/>
        <w:rPr>
          <w:rFonts w:cs="宋体"/>
          <w:color w:val="auto"/>
          <w:highlight w:val="none"/>
        </w:rPr>
      </w:pPr>
    </w:p>
    <w:p w14:paraId="70369D29">
      <w:pPr>
        <w:snapToGrid w:val="0"/>
        <w:spacing w:before="50"/>
        <w:ind w:firstLine="480" w:firstLineChars="200"/>
        <w:jc w:val="left"/>
        <w:rPr>
          <w:rFonts w:ascii="宋体" w:hAnsi="宋体" w:cs="宋体"/>
          <w:color w:val="auto"/>
          <w:sz w:val="24"/>
          <w:szCs w:val="20"/>
          <w:highlight w:val="none"/>
        </w:rPr>
      </w:pPr>
    </w:p>
    <w:p w14:paraId="717DC560">
      <w:pPr>
        <w:snapToGrid w:val="0"/>
        <w:spacing w:before="50"/>
        <w:jc w:val="left"/>
        <w:rPr>
          <w:rFonts w:ascii="宋体" w:hAnsi="宋体" w:cs="宋体"/>
          <w:color w:val="auto"/>
          <w:sz w:val="24"/>
          <w:highlight w:val="none"/>
        </w:rPr>
      </w:pPr>
    </w:p>
    <w:p w14:paraId="7E093FEE">
      <w:pPr>
        <w:snapToGrid w:val="0"/>
        <w:spacing w:beforeLines="50"/>
        <w:rPr>
          <w:rFonts w:ascii="宋体" w:hAnsi="宋体" w:cs="宋体"/>
          <w:color w:val="auto"/>
          <w:sz w:val="24"/>
          <w:szCs w:val="20"/>
          <w:highlight w:val="none"/>
        </w:rPr>
        <w:sectPr>
          <w:pgSz w:w="11906" w:h="16838"/>
          <w:pgMar w:top="1440" w:right="1797" w:bottom="1440" w:left="1797" w:header="851" w:footer="992" w:gutter="0"/>
          <w:cols w:space="720" w:num="1"/>
          <w:docGrid w:linePitch="312" w:charSpace="0"/>
        </w:sectPr>
      </w:pPr>
    </w:p>
    <w:p w14:paraId="4B480618">
      <w:pPr>
        <w:rPr>
          <w:rFonts w:ascii="宋体" w:hAnsi="宋体" w:cs="宋体"/>
          <w:b/>
          <w:color w:val="auto"/>
          <w:sz w:val="28"/>
          <w:szCs w:val="28"/>
          <w:highlight w:val="none"/>
        </w:rPr>
      </w:pPr>
      <w:bookmarkStart w:id="147" w:name="_Toc19686839"/>
      <w:r>
        <w:rPr>
          <w:rFonts w:hint="eastAsia" w:ascii="宋体" w:hAnsi="宋体" w:cs="宋体"/>
          <w:b/>
          <w:color w:val="auto"/>
          <w:sz w:val="28"/>
          <w:szCs w:val="28"/>
          <w:highlight w:val="none"/>
        </w:rPr>
        <w:t>四、技术文件格式</w:t>
      </w:r>
      <w:bookmarkEnd w:id="147"/>
    </w:p>
    <w:p w14:paraId="5D3397CA">
      <w:pPr>
        <w:snapToGrid w:val="0"/>
        <w:spacing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t xml:space="preserve">1. 技术文件封面格式： </w:t>
      </w:r>
    </w:p>
    <w:p w14:paraId="2A6108D1">
      <w:pPr>
        <w:snapToGrid w:val="0"/>
        <w:spacing w:beforeLines="50" w:after="50" w:line="360" w:lineRule="auto"/>
        <w:ind w:left="142"/>
        <w:jc w:val="center"/>
        <w:rPr>
          <w:rFonts w:ascii="宋体" w:hAnsi="宋体" w:cs="宋体"/>
          <w:bCs/>
          <w:color w:val="auto"/>
          <w:sz w:val="48"/>
          <w:szCs w:val="48"/>
          <w:highlight w:val="none"/>
        </w:rPr>
      </w:pPr>
      <w:r>
        <w:rPr>
          <w:rFonts w:hint="eastAsia" w:ascii="宋体" w:hAnsi="宋体" w:cs="宋体"/>
          <w:bCs/>
          <w:color w:val="auto"/>
          <w:sz w:val="48"/>
          <w:szCs w:val="48"/>
          <w:highlight w:val="none"/>
        </w:rPr>
        <w:t>电子投标文件</w:t>
      </w:r>
    </w:p>
    <w:p w14:paraId="1EF8A1B0">
      <w:pPr>
        <w:snapToGrid w:val="0"/>
        <w:spacing w:beforeLines="50" w:after="5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技术文件</w:t>
      </w:r>
    </w:p>
    <w:p w14:paraId="530FBBB2">
      <w:pPr>
        <w:snapToGrid w:val="0"/>
        <w:spacing w:beforeLines="50" w:after="50"/>
        <w:rPr>
          <w:rFonts w:ascii="宋体" w:hAnsi="宋体" w:cs="宋体"/>
          <w:bCs/>
          <w:color w:val="auto"/>
          <w:sz w:val="24"/>
          <w:szCs w:val="20"/>
          <w:highlight w:val="none"/>
        </w:rPr>
      </w:pPr>
    </w:p>
    <w:p w14:paraId="4A0DACE9">
      <w:pPr>
        <w:snapToGrid w:val="0"/>
        <w:spacing w:beforeLines="50" w:after="50" w:line="400" w:lineRule="exact"/>
        <w:ind w:firstLine="360" w:firstLineChars="150"/>
        <w:rPr>
          <w:rFonts w:hint="eastAsia" w:ascii="宋体" w:hAnsi="宋体" w:cs="宋体"/>
          <w:bCs/>
          <w:color w:val="auto"/>
          <w:sz w:val="24"/>
          <w:highlight w:val="none"/>
        </w:rPr>
      </w:pPr>
    </w:p>
    <w:p w14:paraId="3B80555F">
      <w:pPr>
        <w:snapToGrid w:val="0"/>
        <w:spacing w:beforeLines="50" w:after="50" w:line="400" w:lineRule="exact"/>
        <w:ind w:firstLine="360" w:firstLineChars="150"/>
        <w:rPr>
          <w:rFonts w:hint="eastAsia" w:ascii="宋体" w:hAnsi="宋体" w:cs="宋体"/>
          <w:bCs/>
          <w:color w:val="auto"/>
          <w:sz w:val="24"/>
          <w:highlight w:val="none"/>
        </w:rPr>
      </w:pPr>
    </w:p>
    <w:p w14:paraId="5731A6D9">
      <w:pPr>
        <w:snapToGrid w:val="0"/>
        <w:spacing w:beforeLines="50" w:after="50" w:line="400" w:lineRule="exact"/>
        <w:ind w:firstLine="360" w:firstLineChars="150"/>
        <w:rPr>
          <w:rFonts w:hint="eastAsia" w:ascii="宋体" w:hAnsi="宋体" w:cs="宋体"/>
          <w:bCs/>
          <w:color w:val="auto"/>
          <w:sz w:val="24"/>
          <w:highlight w:val="none"/>
        </w:rPr>
      </w:pPr>
      <w:r>
        <w:rPr>
          <w:rFonts w:hint="eastAsia" w:ascii="宋体" w:hAnsi="宋体" w:cs="宋体"/>
          <w:bCs/>
          <w:color w:val="auto"/>
          <w:sz w:val="24"/>
          <w:highlight w:val="none"/>
          <w:lang w:eastAsia="zh-CN"/>
        </w:rPr>
        <w:t>所投</w:t>
      </w:r>
      <w:r>
        <w:rPr>
          <w:rFonts w:hint="eastAsia" w:ascii="宋体" w:hAnsi="宋体" w:cs="宋体"/>
          <w:bCs/>
          <w:color w:val="auto"/>
          <w:sz w:val="24"/>
          <w:highlight w:val="none"/>
        </w:rPr>
        <w:t>标项</w:t>
      </w:r>
      <w:r>
        <w:rPr>
          <w:rFonts w:hint="eastAsia" w:ascii="宋体" w:hAnsi="宋体" w:cs="宋体"/>
          <w:bCs/>
          <w:color w:val="auto"/>
          <w:sz w:val="24"/>
          <w:highlight w:val="none"/>
          <w:lang w:eastAsia="zh-CN"/>
        </w:rPr>
        <w:t>：</w:t>
      </w:r>
    </w:p>
    <w:p w14:paraId="215BBCE1">
      <w:pPr>
        <w:snapToGrid w:val="0"/>
        <w:spacing w:beforeLines="50" w:after="50" w:line="400" w:lineRule="exact"/>
        <w:ind w:firstLine="360" w:firstLineChars="150"/>
        <w:rPr>
          <w:rFonts w:ascii="宋体" w:hAnsi="宋体" w:cs="宋体"/>
          <w:bCs/>
          <w:color w:val="auto"/>
          <w:sz w:val="24"/>
          <w:szCs w:val="20"/>
          <w:highlight w:val="none"/>
        </w:rPr>
      </w:pPr>
      <w:r>
        <w:rPr>
          <w:rFonts w:hint="eastAsia" w:ascii="宋体" w:hAnsi="宋体" w:cs="宋体"/>
          <w:bCs/>
          <w:color w:val="auto"/>
          <w:sz w:val="24"/>
          <w:highlight w:val="none"/>
        </w:rPr>
        <w:t xml:space="preserve">项目名称： </w:t>
      </w:r>
    </w:p>
    <w:p w14:paraId="39AB5A65">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项目编号： </w:t>
      </w:r>
    </w:p>
    <w:p w14:paraId="61E9C10F">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14:paraId="56FA5693">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投标人地址：</w:t>
      </w:r>
    </w:p>
    <w:p w14:paraId="3AC8310F">
      <w:pPr>
        <w:snapToGrid w:val="0"/>
        <w:spacing w:beforeLines="50" w:after="50"/>
        <w:ind w:firstLine="645"/>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44AA80FD">
      <w:pPr>
        <w:snapToGrid w:val="0"/>
        <w:spacing w:beforeLines="50" w:after="50"/>
        <w:ind w:firstLine="645"/>
        <w:jc w:val="center"/>
        <w:rPr>
          <w:rFonts w:ascii="宋体" w:hAnsi="宋体" w:cs="宋体"/>
          <w:color w:val="auto"/>
          <w:sz w:val="24"/>
          <w:szCs w:val="20"/>
          <w:highlight w:val="none"/>
        </w:rPr>
      </w:pPr>
    </w:p>
    <w:p w14:paraId="6D9BF564">
      <w:pPr>
        <w:snapToGrid w:val="0"/>
        <w:spacing w:beforeLines="50" w:after="50"/>
        <w:ind w:left="142"/>
        <w:jc w:val="left"/>
        <w:rPr>
          <w:rFonts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2.技术文件目录</w:t>
      </w:r>
    </w:p>
    <w:p w14:paraId="230439A3">
      <w:pPr>
        <w:snapToGrid w:val="0"/>
        <w:spacing w:before="50" w:afterLines="50" w:line="280" w:lineRule="exact"/>
        <w:ind w:left="283" w:leftChars="135"/>
        <w:jc w:val="left"/>
        <w:rPr>
          <w:rFonts w:ascii="宋体" w:hAnsi="宋体" w:cs="宋体"/>
          <w:color w:val="auto"/>
          <w:sz w:val="24"/>
          <w:szCs w:val="20"/>
          <w:highlight w:val="none"/>
        </w:rPr>
      </w:pPr>
      <w:r>
        <w:rPr>
          <w:rFonts w:hint="eastAsia" w:ascii="宋体" w:hAnsi="宋体" w:cs="宋体"/>
          <w:color w:val="auto"/>
          <w:szCs w:val="21"/>
          <w:highlight w:val="none"/>
        </w:rPr>
        <w:t>根据招标文件规定及投标人提供的材料自行编写目录。</w:t>
      </w:r>
    </w:p>
    <w:p w14:paraId="2B996F22">
      <w:pPr>
        <w:snapToGrid w:val="0"/>
        <w:spacing w:beforeLines="50" w:after="50"/>
        <w:jc w:val="left"/>
        <w:rPr>
          <w:rFonts w:ascii="宋体" w:hAnsi="宋体" w:cs="宋体"/>
          <w:b/>
          <w:color w:val="auto"/>
          <w:sz w:val="24"/>
          <w:highlight w:val="none"/>
        </w:rPr>
      </w:pPr>
    </w:p>
    <w:p w14:paraId="58B85519">
      <w:pPr>
        <w:snapToGrid w:val="0"/>
        <w:spacing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3.技术要求偏离表格式</w:t>
      </w:r>
    </w:p>
    <w:p w14:paraId="3B42C30E">
      <w:pPr>
        <w:snapToGrid w:val="0"/>
        <w:spacing w:beforeLines="50" w:after="50"/>
        <w:ind w:left="142"/>
        <w:jc w:val="left"/>
        <w:rPr>
          <w:rFonts w:ascii="宋体" w:hAnsi="宋体" w:cs="宋体"/>
          <w:b/>
          <w:color w:val="auto"/>
          <w:sz w:val="24"/>
          <w:highlight w:val="none"/>
        </w:rPr>
      </w:pPr>
    </w:p>
    <w:p w14:paraId="6B1815CD">
      <w:pPr>
        <w:snapToGrid w:val="0"/>
        <w:spacing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技术要求偏离表</w:t>
      </w:r>
    </w:p>
    <w:tbl>
      <w:tblPr>
        <w:tblStyle w:val="48"/>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2B2B7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14:paraId="6EC1C55B">
            <w:pPr>
              <w:pStyle w:val="25"/>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项号</w:t>
            </w:r>
          </w:p>
        </w:tc>
        <w:tc>
          <w:tcPr>
            <w:tcW w:w="2143" w:type="dxa"/>
            <w:vAlign w:val="center"/>
          </w:tcPr>
          <w:p w14:paraId="2F1B6057">
            <w:pPr>
              <w:pStyle w:val="25"/>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标的的名称</w:t>
            </w:r>
          </w:p>
        </w:tc>
        <w:tc>
          <w:tcPr>
            <w:tcW w:w="1834" w:type="dxa"/>
            <w:vAlign w:val="center"/>
          </w:tcPr>
          <w:p w14:paraId="12E526B3">
            <w:pPr>
              <w:pStyle w:val="25"/>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招标文件技术要求</w:t>
            </w:r>
          </w:p>
        </w:tc>
        <w:tc>
          <w:tcPr>
            <w:tcW w:w="2181" w:type="dxa"/>
            <w:vAlign w:val="center"/>
          </w:tcPr>
          <w:p w14:paraId="3CD1CC39">
            <w:pPr>
              <w:pStyle w:val="25"/>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投标响应</w:t>
            </w:r>
          </w:p>
        </w:tc>
        <w:tc>
          <w:tcPr>
            <w:tcW w:w="1934" w:type="dxa"/>
            <w:vAlign w:val="center"/>
          </w:tcPr>
          <w:p w14:paraId="3368F5E4">
            <w:pPr>
              <w:pStyle w:val="25"/>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偏离说明</w:t>
            </w:r>
          </w:p>
        </w:tc>
      </w:tr>
      <w:tr w14:paraId="5EC11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756C1776">
            <w:pPr>
              <w:pStyle w:val="25"/>
              <w:spacing w:line="600" w:lineRule="exact"/>
              <w:jc w:val="center"/>
              <w:rPr>
                <w:rFonts w:hAnsi="宋体" w:cs="宋体"/>
                <w:color w:val="auto"/>
                <w:kern w:val="2"/>
                <w:sz w:val="24"/>
                <w:szCs w:val="24"/>
                <w:highlight w:val="none"/>
              </w:rPr>
            </w:pPr>
          </w:p>
        </w:tc>
        <w:tc>
          <w:tcPr>
            <w:tcW w:w="2143" w:type="dxa"/>
            <w:vAlign w:val="center"/>
          </w:tcPr>
          <w:p w14:paraId="71B3494C">
            <w:pPr>
              <w:pStyle w:val="25"/>
              <w:spacing w:line="600" w:lineRule="exact"/>
              <w:jc w:val="center"/>
              <w:rPr>
                <w:rFonts w:hAnsi="宋体" w:cs="宋体"/>
                <w:color w:val="auto"/>
                <w:kern w:val="2"/>
                <w:sz w:val="24"/>
                <w:szCs w:val="24"/>
                <w:highlight w:val="none"/>
              </w:rPr>
            </w:pPr>
          </w:p>
        </w:tc>
        <w:tc>
          <w:tcPr>
            <w:tcW w:w="1834" w:type="dxa"/>
            <w:vAlign w:val="center"/>
          </w:tcPr>
          <w:p w14:paraId="0D02C0AF">
            <w:pPr>
              <w:pStyle w:val="25"/>
              <w:spacing w:line="600" w:lineRule="exact"/>
              <w:jc w:val="center"/>
              <w:rPr>
                <w:rFonts w:hAnsi="宋体" w:cs="宋体"/>
                <w:color w:val="auto"/>
                <w:kern w:val="2"/>
                <w:sz w:val="24"/>
                <w:szCs w:val="24"/>
                <w:highlight w:val="none"/>
              </w:rPr>
            </w:pPr>
          </w:p>
        </w:tc>
        <w:tc>
          <w:tcPr>
            <w:tcW w:w="2181" w:type="dxa"/>
            <w:vAlign w:val="center"/>
          </w:tcPr>
          <w:p w14:paraId="4E77C611">
            <w:pPr>
              <w:pStyle w:val="25"/>
              <w:spacing w:line="600" w:lineRule="exact"/>
              <w:jc w:val="center"/>
              <w:rPr>
                <w:rFonts w:hAnsi="宋体" w:cs="宋体"/>
                <w:color w:val="auto"/>
                <w:kern w:val="2"/>
                <w:sz w:val="24"/>
                <w:szCs w:val="24"/>
                <w:highlight w:val="none"/>
              </w:rPr>
            </w:pPr>
          </w:p>
        </w:tc>
        <w:tc>
          <w:tcPr>
            <w:tcW w:w="1934" w:type="dxa"/>
            <w:vAlign w:val="center"/>
          </w:tcPr>
          <w:p w14:paraId="3BE0A5AA">
            <w:pPr>
              <w:pStyle w:val="25"/>
              <w:spacing w:line="600" w:lineRule="exact"/>
              <w:jc w:val="center"/>
              <w:rPr>
                <w:rFonts w:hAnsi="宋体" w:cs="宋体"/>
                <w:color w:val="auto"/>
                <w:kern w:val="2"/>
                <w:sz w:val="24"/>
                <w:szCs w:val="24"/>
                <w:highlight w:val="none"/>
              </w:rPr>
            </w:pPr>
          </w:p>
        </w:tc>
      </w:tr>
      <w:tr w14:paraId="407DE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60C23EAB">
            <w:pPr>
              <w:pStyle w:val="25"/>
              <w:spacing w:line="600" w:lineRule="exact"/>
              <w:rPr>
                <w:rFonts w:hAnsi="宋体" w:cs="宋体"/>
                <w:color w:val="auto"/>
                <w:kern w:val="2"/>
                <w:sz w:val="24"/>
                <w:szCs w:val="24"/>
                <w:highlight w:val="none"/>
              </w:rPr>
            </w:pPr>
          </w:p>
        </w:tc>
        <w:tc>
          <w:tcPr>
            <w:tcW w:w="2143" w:type="dxa"/>
          </w:tcPr>
          <w:p w14:paraId="3ECF58C5">
            <w:pPr>
              <w:pStyle w:val="25"/>
              <w:spacing w:line="600" w:lineRule="exact"/>
              <w:rPr>
                <w:rFonts w:hAnsi="宋体" w:cs="宋体"/>
                <w:color w:val="auto"/>
                <w:kern w:val="2"/>
                <w:sz w:val="24"/>
                <w:szCs w:val="24"/>
                <w:highlight w:val="none"/>
              </w:rPr>
            </w:pPr>
          </w:p>
        </w:tc>
        <w:tc>
          <w:tcPr>
            <w:tcW w:w="1834" w:type="dxa"/>
          </w:tcPr>
          <w:p w14:paraId="1A71DD33">
            <w:pPr>
              <w:pStyle w:val="25"/>
              <w:spacing w:line="600" w:lineRule="exact"/>
              <w:rPr>
                <w:rFonts w:hAnsi="宋体" w:cs="宋体"/>
                <w:color w:val="auto"/>
                <w:kern w:val="2"/>
                <w:sz w:val="24"/>
                <w:szCs w:val="24"/>
                <w:highlight w:val="none"/>
              </w:rPr>
            </w:pPr>
          </w:p>
        </w:tc>
        <w:tc>
          <w:tcPr>
            <w:tcW w:w="2181" w:type="dxa"/>
          </w:tcPr>
          <w:p w14:paraId="05F9CEE3">
            <w:pPr>
              <w:pStyle w:val="25"/>
              <w:spacing w:line="600" w:lineRule="exact"/>
              <w:rPr>
                <w:rFonts w:hAnsi="宋体" w:cs="宋体"/>
                <w:color w:val="auto"/>
                <w:kern w:val="2"/>
                <w:sz w:val="24"/>
                <w:szCs w:val="24"/>
                <w:highlight w:val="none"/>
              </w:rPr>
            </w:pPr>
          </w:p>
        </w:tc>
        <w:tc>
          <w:tcPr>
            <w:tcW w:w="1934" w:type="dxa"/>
          </w:tcPr>
          <w:p w14:paraId="128C8DB6">
            <w:pPr>
              <w:pStyle w:val="25"/>
              <w:spacing w:line="600" w:lineRule="exact"/>
              <w:rPr>
                <w:rFonts w:hAnsi="宋体" w:cs="宋体"/>
                <w:color w:val="auto"/>
                <w:kern w:val="2"/>
                <w:sz w:val="24"/>
                <w:szCs w:val="24"/>
                <w:highlight w:val="none"/>
              </w:rPr>
            </w:pPr>
          </w:p>
        </w:tc>
      </w:tr>
      <w:tr w14:paraId="5C0F3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363CE48D">
            <w:pPr>
              <w:pStyle w:val="25"/>
              <w:spacing w:line="600" w:lineRule="exact"/>
              <w:rPr>
                <w:rFonts w:hAnsi="宋体" w:cs="宋体"/>
                <w:color w:val="auto"/>
                <w:kern w:val="2"/>
                <w:sz w:val="24"/>
                <w:szCs w:val="24"/>
                <w:highlight w:val="none"/>
              </w:rPr>
            </w:pPr>
          </w:p>
        </w:tc>
        <w:tc>
          <w:tcPr>
            <w:tcW w:w="2143" w:type="dxa"/>
          </w:tcPr>
          <w:p w14:paraId="1EAEF0A9">
            <w:pPr>
              <w:pStyle w:val="25"/>
              <w:spacing w:line="600" w:lineRule="exact"/>
              <w:rPr>
                <w:rFonts w:hAnsi="宋体" w:cs="宋体"/>
                <w:color w:val="auto"/>
                <w:kern w:val="2"/>
                <w:sz w:val="24"/>
                <w:szCs w:val="24"/>
                <w:highlight w:val="none"/>
              </w:rPr>
            </w:pPr>
          </w:p>
        </w:tc>
        <w:tc>
          <w:tcPr>
            <w:tcW w:w="1834" w:type="dxa"/>
          </w:tcPr>
          <w:p w14:paraId="43F3208E">
            <w:pPr>
              <w:pStyle w:val="25"/>
              <w:spacing w:line="600" w:lineRule="exact"/>
              <w:rPr>
                <w:rFonts w:hAnsi="宋体" w:cs="宋体"/>
                <w:color w:val="auto"/>
                <w:kern w:val="2"/>
                <w:sz w:val="24"/>
                <w:szCs w:val="24"/>
                <w:highlight w:val="none"/>
              </w:rPr>
            </w:pPr>
          </w:p>
        </w:tc>
        <w:tc>
          <w:tcPr>
            <w:tcW w:w="2181" w:type="dxa"/>
          </w:tcPr>
          <w:p w14:paraId="15A28D34">
            <w:pPr>
              <w:pStyle w:val="25"/>
              <w:spacing w:line="600" w:lineRule="exact"/>
              <w:rPr>
                <w:rFonts w:hAnsi="宋体" w:cs="宋体"/>
                <w:color w:val="auto"/>
                <w:kern w:val="2"/>
                <w:sz w:val="24"/>
                <w:szCs w:val="24"/>
                <w:highlight w:val="none"/>
              </w:rPr>
            </w:pPr>
          </w:p>
        </w:tc>
        <w:tc>
          <w:tcPr>
            <w:tcW w:w="1934" w:type="dxa"/>
          </w:tcPr>
          <w:p w14:paraId="3EC225B5">
            <w:pPr>
              <w:pStyle w:val="25"/>
              <w:spacing w:line="600" w:lineRule="exact"/>
              <w:rPr>
                <w:rFonts w:hAnsi="宋体" w:cs="宋体"/>
                <w:color w:val="auto"/>
                <w:kern w:val="2"/>
                <w:sz w:val="24"/>
                <w:szCs w:val="24"/>
                <w:highlight w:val="none"/>
              </w:rPr>
            </w:pPr>
          </w:p>
        </w:tc>
      </w:tr>
      <w:tr w14:paraId="66DDA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4D23291D">
            <w:pPr>
              <w:pStyle w:val="25"/>
              <w:spacing w:line="600" w:lineRule="exact"/>
              <w:rPr>
                <w:rFonts w:hAnsi="宋体" w:cs="宋体"/>
                <w:color w:val="auto"/>
                <w:kern w:val="2"/>
                <w:sz w:val="24"/>
                <w:szCs w:val="24"/>
                <w:highlight w:val="none"/>
              </w:rPr>
            </w:pPr>
          </w:p>
        </w:tc>
        <w:tc>
          <w:tcPr>
            <w:tcW w:w="2143" w:type="dxa"/>
          </w:tcPr>
          <w:p w14:paraId="2C450675">
            <w:pPr>
              <w:pStyle w:val="25"/>
              <w:spacing w:line="600" w:lineRule="exact"/>
              <w:rPr>
                <w:rFonts w:hAnsi="宋体" w:cs="宋体"/>
                <w:color w:val="auto"/>
                <w:kern w:val="2"/>
                <w:sz w:val="24"/>
                <w:szCs w:val="24"/>
                <w:highlight w:val="none"/>
              </w:rPr>
            </w:pPr>
          </w:p>
        </w:tc>
        <w:tc>
          <w:tcPr>
            <w:tcW w:w="1834" w:type="dxa"/>
          </w:tcPr>
          <w:p w14:paraId="3389F213">
            <w:pPr>
              <w:pStyle w:val="25"/>
              <w:spacing w:line="600" w:lineRule="exact"/>
              <w:rPr>
                <w:rFonts w:hAnsi="宋体" w:cs="宋体"/>
                <w:color w:val="auto"/>
                <w:kern w:val="2"/>
                <w:sz w:val="24"/>
                <w:szCs w:val="24"/>
                <w:highlight w:val="none"/>
              </w:rPr>
            </w:pPr>
          </w:p>
        </w:tc>
        <w:tc>
          <w:tcPr>
            <w:tcW w:w="2181" w:type="dxa"/>
          </w:tcPr>
          <w:p w14:paraId="395B5552">
            <w:pPr>
              <w:pStyle w:val="25"/>
              <w:spacing w:line="600" w:lineRule="exact"/>
              <w:rPr>
                <w:rFonts w:hAnsi="宋体" w:cs="宋体"/>
                <w:color w:val="auto"/>
                <w:kern w:val="2"/>
                <w:sz w:val="24"/>
                <w:szCs w:val="24"/>
                <w:highlight w:val="none"/>
              </w:rPr>
            </w:pPr>
          </w:p>
        </w:tc>
        <w:tc>
          <w:tcPr>
            <w:tcW w:w="1934" w:type="dxa"/>
          </w:tcPr>
          <w:p w14:paraId="239EE32B">
            <w:pPr>
              <w:pStyle w:val="25"/>
              <w:spacing w:line="600" w:lineRule="exact"/>
              <w:rPr>
                <w:rFonts w:hAnsi="宋体" w:cs="宋体"/>
                <w:color w:val="auto"/>
                <w:kern w:val="2"/>
                <w:sz w:val="24"/>
                <w:szCs w:val="24"/>
                <w:highlight w:val="none"/>
              </w:rPr>
            </w:pPr>
          </w:p>
        </w:tc>
      </w:tr>
      <w:tr w14:paraId="3E00B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27F68733">
            <w:pPr>
              <w:pStyle w:val="25"/>
              <w:spacing w:line="600" w:lineRule="exact"/>
              <w:rPr>
                <w:rFonts w:hAnsi="宋体" w:cs="宋体"/>
                <w:color w:val="auto"/>
                <w:kern w:val="2"/>
                <w:sz w:val="24"/>
                <w:szCs w:val="24"/>
                <w:highlight w:val="none"/>
              </w:rPr>
            </w:pPr>
          </w:p>
        </w:tc>
        <w:tc>
          <w:tcPr>
            <w:tcW w:w="2143" w:type="dxa"/>
          </w:tcPr>
          <w:p w14:paraId="1D839455">
            <w:pPr>
              <w:pStyle w:val="25"/>
              <w:spacing w:line="600" w:lineRule="exact"/>
              <w:rPr>
                <w:rFonts w:hAnsi="宋体" w:cs="宋体"/>
                <w:color w:val="auto"/>
                <w:kern w:val="2"/>
                <w:sz w:val="24"/>
                <w:szCs w:val="24"/>
                <w:highlight w:val="none"/>
              </w:rPr>
            </w:pPr>
          </w:p>
        </w:tc>
        <w:tc>
          <w:tcPr>
            <w:tcW w:w="1834" w:type="dxa"/>
          </w:tcPr>
          <w:p w14:paraId="74A0804D">
            <w:pPr>
              <w:pStyle w:val="25"/>
              <w:spacing w:line="600" w:lineRule="exact"/>
              <w:rPr>
                <w:rFonts w:hAnsi="宋体" w:cs="宋体"/>
                <w:color w:val="auto"/>
                <w:kern w:val="2"/>
                <w:sz w:val="24"/>
                <w:szCs w:val="24"/>
                <w:highlight w:val="none"/>
              </w:rPr>
            </w:pPr>
          </w:p>
        </w:tc>
        <w:tc>
          <w:tcPr>
            <w:tcW w:w="2181" w:type="dxa"/>
          </w:tcPr>
          <w:p w14:paraId="2B83F5E6">
            <w:pPr>
              <w:pStyle w:val="25"/>
              <w:spacing w:line="600" w:lineRule="exact"/>
              <w:rPr>
                <w:rFonts w:hAnsi="宋体" w:cs="宋体"/>
                <w:color w:val="auto"/>
                <w:kern w:val="2"/>
                <w:sz w:val="24"/>
                <w:szCs w:val="24"/>
                <w:highlight w:val="none"/>
              </w:rPr>
            </w:pPr>
          </w:p>
        </w:tc>
        <w:tc>
          <w:tcPr>
            <w:tcW w:w="1934" w:type="dxa"/>
          </w:tcPr>
          <w:p w14:paraId="63DD9EDB">
            <w:pPr>
              <w:pStyle w:val="25"/>
              <w:spacing w:line="600" w:lineRule="exact"/>
              <w:rPr>
                <w:rFonts w:hAnsi="宋体" w:cs="宋体"/>
                <w:color w:val="auto"/>
                <w:kern w:val="2"/>
                <w:sz w:val="24"/>
                <w:szCs w:val="24"/>
                <w:highlight w:val="none"/>
              </w:rPr>
            </w:pPr>
          </w:p>
        </w:tc>
      </w:tr>
      <w:tr w14:paraId="7F892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4EB583D3">
            <w:pPr>
              <w:pStyle w:val="25"/>
              <w:spacing w:line="600" w:lineRule="exact"/>
              <w:rPr>
                <w:rFonts w:hAnsi="宋体" w:cs="宋体"/>
                <w:color w:val="auto"/>
                <w:kern w:val="2"/>
                <w:sz w:val="24"/>
                <w:szCs w:val="24"/>
                <w:highlight w:val="none"/>
              </w:rPr>
            </w:pPr>
          </w:p>
        </w:tc>
        <w:tc>
          <w:tcPr>
            <w:tcW w:w="2143" w:type="dxa"/>
          </w:tcPr>
          <w:p w14:paraId="0FAB62B8">
            <w:pPr>
              <w:pStyle w:val="25"/>
              <w:spacing w:line="600" w:lineRule="exact"/>
              <w:rPr>
                <w:rFonts w:hAnsi="宋体" w:cs="宋体"/>
                <w:color w:val="auto"/>
                <w:kern w:val="2"/>
                <w:sz w:val="24"/>
                <w:szCs w:val="24"/>
                <w:highlight w:val="none"/>
              </w:rPr>
            </w:pPr>
          </w:p>
        </w:tc>
        <w:tc>
          <w:tcPr>
            <w:tcW w:w="1834" w:type="dxa"/>
          </w:tcPr>
          <w:p w14:paraId="0FE0BFF2">
            <w:pPr>
              <w:pStyle w:val="25"/>
              <w:spacing w:line="600" w:lineRule="exact"/>
              <w:rPr>
                <w:rFonts w:hAnsi="宋体" w:cs="宋体"/>
                <w:color w:val="auto"/>
                <w:kern w:val="2"/>
                <w:sz w:val="24"/>
                <w:szCs w:val="24"/>
                <w:highlight w:val="none"/>
              </w:rPr>
            </w:pPr>
          </w:p>
        </w:tc>
        <w:tc>
          <w:tcPr>
            <w:tcW w:w="2181" w:type="dxa"/>
          </w:tcPr>
          <w:p w14:paraId="284233BA">
            <w:pPr>
              <w:pStyle w:val="25"/>
              <w:spacing w:line="600" w:lineRule="exact"/>
              <w:rPr>
                <w:rFonts w:hAnsi="宋体" w:cs="宋体"/>
                <w:color w:val="auto"/>
                <w:kern w:val="2"/>
                <w:sz w:val="24"/>
                <w:szCs w:val="24"/>
                <w:highlight w:val="none"/>
              </w:rPr>
            </w:pPr>
          </w:p>
        </w:tc>
        <w:tc>
          <w:tcPr>
            <w:tcW w:w="1934" w:type="dxa"/>
          </w:tcPr>
          <w:p w14:paraId="7A454798">
            <w:pPr>
              <w:pStyle w:val="25"/>
              <w:spacing w:line="600" w:lineRule="exact"/>
              <w:rPr>
                <w:rFonts w:hAnsi="宋体" w:cs="宋体"/>
                <w:color w:val="auto"/>
                <w:kern w:val="2"/>
                <w:sz w:val="24"/>
                <w:szCs w:val="24"/>
                <w:highlight w:val="none"/>
              </w:rPr>
            </w:pPr>
          </w:p>
        </w:tc>
      </w:tr>
      <w:tr w14:paraId="49073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5E1652C1">
            <w:pPr>
              <w:pStyle w:val="25"/>
              <w:spacing w:line="600" w:lineRule="exact"/>
              <w:rPr>
                <w:rFonts w:hAnsi="宋体" w:cs="宋体"/>
                <w:color w:val="auto"/>
                <w:kern w:val="2"/>
                <w:sz w:val="24"/>
                <w:szCs w:val="24"/>
                <w:highlight w:val="none"/>
              </w:rPr>
            </w:pPr>
          </w:p>
        </w:tc>
        <w:tc>
          <w:tcPr>
            <w:tcW w:w="2143" w:type="dxa"/>
          </w:tcPr>
          <w:p w14:paraId="302E3161">
            <w:pPr>
              <w:pStyle w:val="25"/>
              <w:spacing w:line="600" w:lineRule="exact"/>
              <w:rPr>
                <w:rFonts w:hAnsi="宋体" w:cs="宋体"/>
                <w:color w:val="auto"/>
                <w:kern w:val="2"/>
                <w:sz w:val="24"/>
                <w:szCs w:val="24"/>
                <w:highlight w:val="none"/>
              </w:rPr>
            </w:pPr>
          </w:p>
        </w:tc>
        <w:tc>
          <w:tcPr>
            <w:tcW w:w="1834" w:type="dxa"/>
          </w:tcPr>
          <w:p w14:paraId="244DCBB5">
            <w:pPr>
              <w:pStyle w:val="25"/>
              <w:spacing w:line="600" w:lineRule="exact"/>
              <w:rPr>
                <w:rFonts w:hAnsi="宋体" w:cs="宋体"/>
                <w:color w:val="auto"/>
                <w:kern w:val="2"/>
                <w:sz w:val="24"/>
                <w:szCs w:val="24"/>
                <w:highlight w:val="none"/>
              </w:rPr>
            </w:pPr>
          </w:p>
        </w:tc>
        <w:tc>
          <w:tcPr>
            <w:tcW w:w="2181" w:type="dxa"/>
          </w:tcPr>
          <w:p w14:paraId="48EB93CC">
            <w:pPr>
              <w:pStyle w:val="25"/>
              <w:spacing w:line="600" w:lineRule="exact"/>
              <w:rPr>
                <w:rFonts w:hAnsi="宋体" w:cs="宋体"/>
                <w:color w:val="auto"/>
                <w:kern w:val="2"/>
                <w:sz w:val="24"/>
                <w:szCs w:val="24"/>
                <w:highlight w:val="none"/>
              </w:rPr>
            </w:pPr>
          </w:p>
        </w:tc>
        <w:tc>
          <w:tcPr>
            <w:tcW w:w="1934" w:type="dxa"/>
          </w:tcPr>
          <w:p w14:paraId="19116F9D">
            <w:pPr>
              <w:pStyle w:val="25"/>
              <w:spacing w:line="600" w:lineRule="exact"/>
              <w:rPr>
                <w:rFonts w:hAnsi="宋体" w:cs="宋体"/>
                <w:color w:val="auto"/>
                <w:kern w:val="2"/>
                <w:sz w:val="24"/>
                <w:szCs w:val="24"/>
                <w:highlight w:val="none"/>
              </w:rPr>
            </w:pPr>
          </w:p>
        </w:tc>
      </w:tr>
    </w:tbl>
    <w:p w14:paraId="69D3E089">
      <w:pPr>
        <w:pStyle w:val="17"/>
        <w:spacing w:line="360" w:lineRule="auto"/>
        <w:contextualSpacing/>
        <w:rPr>
          <w:rFonts w:ascii="宋体" w:hAnsi="宋体" w:cs="宋体"/>
          <w:color w:val="auto"/>
          <w:highlight w:val="none"/>
        </w:rPr>
      </w:pPr>
      <w:r>
        <w:rPr>
          <w:rFonts w:hint="eastAsia" w:ascii="宋体" w:hAnsi="宋体" w:cs="宋体"/>
          <w:color w:val="auto"/>
          <w:highlight w:val="none"/>
        </w:rPr>
        <w:t>注：</w:t>
      </w:r>
    </w:p>
    <w:p w14:paraId="6DD66274">
      <w:pPr>
        <w:pStyle w:val="19"/>
        <w:spacing w:line="360" w:lineRule="auto"/>
        <w:ind w:firstLine="0" w:firstLineChars="0"/>
        <w:contextualSpacing/>
        <w:rPr>
          <w:rFonts w:ascii="宋体" w:hAnsi="宋体" w:eastAsia="宋体" w:cs="宋体"/>
          <w:color w:val="auto"/>
          <w:szCs w:val="32"/>
          <w:highlight w:val="none"/>
        </w:rPr>
      </w:pPr>
      <w:r>
        <w:rPr>
          <w:rFonts w:hint="eastAsia" w:ascii="宋体" w:hAnsi="宋体" w:eastAsia="宋体" w:cs="宋体"/>
          <w:color w:val="auto"/>
          <w:sz w:val="24"/>
          <w:szCs w:val="24"/>
          <w:highlight w:val="none"/>
        </w:rPr>
        <w:t>1. 说明：应对照招标文件“第二章 采购需求”中的技术要求逐条作明确的投标响应，并作出偏离说明。</w:t>
      </w:r>
    </w:p>
    <w:p w14:paraId="79AF88C7">
      <w:pPr>
        <w:pStyle w:val="17"/>
        <w:spacing w:line="360" w:lineRule="auto"/>
        <w:contextualSpacing/>
        <w:rPr>
          <w:rFonts w:ascii="宋体" w:hAnsi="宋体" w:cs="宋体"/>
          <w:color w:val="auto"/>
          <w:highlight w:val="none"/>
        </w:rPr>
      </w:pPr>
      <w:r>
        <w:rPr>
          <w:rFonts w:hint="eastAsia" w:ascii="宋体" w:hAnsi="宋体" w:cs="宋体"/>
          <w:b w:val="0"/>
          <w:bCs w:val="0"/>
          <w:color w:val="auto"/>
          <w:highlight w:val="none"/>
        </w:rPr>
        <w:t>2.投标人应根据自身的承诺，对照招标文件要求，在“偏离说明”中注明“</w:t>
      </w:r>
      <w:r>
        <w:rPr>
          <w:rFonts w:hint="eastAsia" w:ascii="宋体" w:hAnsi="宋体" w:cs="宋体"/>
          <w:color w:val="auto"/>
          <w:highlight w:val="none"/>
        </w:rPr>
        <w:t>正偏离</w:t>
      </w:r>
      <w:r>
        <w:rPr>
          <w:rFonts w:hint="eastAsia" w:ascii="宋体" w:hAnsi="宋体" w:cs="宋体"/>
          <w:b w:val="0"/>
          <w:bCs w:val="0"/>
          <w:color w:val="auto"/>
          <w:highlight w:val="none"/>
        </w:rPr>
        <w:t>”、“</w:t>
      </w:r>
      <w:r>
        <w:rPr>
          <w:rFonts w:hint="eastAsia" w:ascii="宋体" w:hAnsi="宋体" w:cs="宋体"/>
          <w:color w:val="auto"/>
          <w:highlight w:val="none"/>
        </w:rPr>
        <w:t>负偏离</w:t>
      </w:r>
      <w:r>
        <w:rPr>
          <w:rFonts w:hint="eastAsia" w:ascii="宋体" w:hAnsi="宋体" w:cs="宋体"/>
          <w:b w:val="0"/>
          <w:bCs w:val="0"/>
          <w:color w:val="auto"/>
          <w:highlight w:val="none"/>
        </w:rPr>
        <w:t>”或者“</w:t>
      </w:r>
      <w:r>
        <w:rPr>
          <w:rFonts w:hint="eastAsia" w:ascii="宋体" w:hAnsi="宋体" w:cs="宋体"/>
          <w:color w:val="auto"/>
          <w:highlight w:val="none"/>
        </w:rPr>
        <w:t>无偏离</w:t>
      </w:r>
      <w:r>
        <w:rPr>
          <w:rFonts w:hint="eastAsia" w:ascii="宋体" w:hAnsi="宋体" w:cs="宋体"/>
          <w:b w:val="0"/>
          <w:bCs w:val="0"/>
          <w:color w:val="auto"/>
          <w:highlight w:val="none"/>
        </w:rPr>
        <w:t>”。既不属于“</w:t>
      </w:r>
      <w:r>
        <w:rPr>
          <w:rFonts w:hint="eastAsia" w:ascii="宋体" w:hAnsi="宋体" w:cs="宋体"/>
          <w:color w:val="auto"/>
          <w:highlight w:val="none"/>
        </w:rPr>
        <w:t>正偏离</w:t>
      </w:r>
      <w:r>
        <w:rPr>
          <w:rFonts w:hint="eastAsia" w:ascii="宋体" w:hAnsi="宋体" w:cs="宋体"/>
          <w:b w:val="0"/>
          <w:bCs w:val="0"/>
          <w:color w:val="auto"/>
          <w:highlight w:val="none"/>
        </w:rPr>
        <w:t>”也不属于“</w:t>
      </w:r>
      <w:r>
        <w:rPr>
          <w:rFonts w:hint="eastAsia" w:ascii="宋体" w:hAnsi="宋体" w:cs="宋体"/>
          <w:color w:val="auto"/>
          <w:highlight w:val="none"/>
        </w:rPr>
        <w:t>负偏离</w:t>
      </w:r>
      <w:r>
        <w:rPr>
          <w:rFonts w:hint="eastAsia" w:ascii="宋体" w:hAnsi="宋体" w:cs="宋体"/>
          <w:b w:val="0"/>
          <w:bCs w:val="0"/>
          <w:color w:val="auto"/>
          <w:highlight w:val="none"/>
        </w:rPr>
        <w:t>”即为“</w:t>
      </w:r>
      <w:r>
        <w:rPr>
          <w:rFonts w:hint="eastAsia" w:ascii="宋体" w:hAnsi="宋体" w:cs="宋体"/>
          <w:color w:val="auto"/>
          <w:highlight w:val="none"/>
        </w:rPr>
        <w:t>无偏离</w:t>
      </w:r>
      <w:r>
        <w:rPr>
          <w:rFonts w:hint="eastAsia" w:ascii="宋体" w:hAnsi="宋体" w:cs="宋体"/>
          <w:b w:val="0"/>
          <w:bCs w:val="0"/>
          <w:color w:val="auto"/>
          <w:highlight w:val="none"/>
        </w:rPr>
        <w:t>”。</w:t>
      </w:r>
    </w:p>
    <w:p w14:paraId="4DB3E410">
      <w:pPr>
        <w:pStyle w:val="17"/>
        <w:spacing w:line="360" w:lineRule="auto"/>
        <w:contextualSpacing/>
        <w:rPr>
          <w:rFonts w:ascii="宋体" w:hAnsi="宋体" w:cs="宋体"/>
          <w:color w:val="auto"/>
          <w:spacing w:val="20"/>
          <w:highlight w:val="none"/>
        </w:rPr>
      </w:pPr>
    </w:p>
    <w:p w14:paraId="118CED0A">
      <w:pPr>
        <w:spacing w:line="360" w:lineRule="auto"/>
        <w:contextualSpacing/>
        <w:rPr>
          <w:rFonts w:ascii="宋体" w:hAnsi="宋体" w:cs="宋体"/>
          <w:color w:val="auto"/>
          <w:spacing w:val="20"/>
          <w:sz w:val="24"/>
          <w:highlight w:val="none"/>
          <w:u w:val="single"/>
        </w:rPr>
      </w:pPr>
      <w:r>
        <w:rPr>
          <w:rFonts w:hint="eastAsia" w:ascii="宋体" w:hAnsi="宋体" w:cs="宋体"/>
          <w:color w:val="auto"/>
          <w:sz w:val="24"/>
          <w:highlight w:val="none"/>
        </w:rPr>
        <w:t>法定代表人或者委托代理人</w:t>
      </w:r>
      <w:r>
        <w:rPr>
          <w:rFonts w:hint="eastAsia" w:ascii="宋体" w:hAnsi="宋体" w:cs="宋体"/>
          <w:color w:val="auto"/>
          <w:spacing w:val="20"/>
          <w:sz w:val="24"/>
          <w:highlight w:val="none"/>
        </w:rPr>
        <w:t>（签字或者电子签名）：</w:t>
      </w:r>
      <w:r>
        <w:rPr>
          <w:rFonts w:hint="eastAsia" w:ascii="宋体" w:hAnsi="宋体" w:cs="宋体"/>
          <w:color w:val="auto"/>
          <w:spacing w:val="20"/>
          <w:sz w:val="24"/>
          <w:highlight w:val="none"/>
          <w:u w:val="single"/>
        </w:rPr>
        <w:t xml:space="preserve">        </w:t>
      </w:r>
    </w:p>
    <w:p w14:paraId="26AC1104">
      <w:pPr>
        <w:spacing w:line="360" w:lineRule="auto"/>
        <w:contextualSpacing/>
        <w:rPr>
          <w:rFonts w:ascii="宋体" w:hAnsi="宋体" w:cs="宋体"/>
          <w:color w:val="auto"/>
          <w:spacing w:val="20"/>
          <w:sz w:val="24"/>
          <w:highlight w:val="none"/>
        </w:rPr>
      </w:pPr>
      <w:r>
        <w:rPr>
          <w:rFonts w:hint="eastAsia" w:ascii="宋体" w:hAnsi="宋体" w:cs="宋体"/>
          <w:color w:val="auto"/>
          <w:spacing w:val="20"/>
          <w:sz w:val="24"/>
          <w:highlight w:val="none"/>
        </w:rPr>
        <w:t>投标人名称（电子签章）：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w:t>
      </w:r>
    </w:p>
    <w:p w14:paraId="467CC1CE">
      <w:pPr>
        <w:spacing w:line="360" w:lineRule="auto"/>
        <w:contextualSpacing/>
        <w:rPr>
          <w:rFonts w:ascii="宋体" w:hAnsi="宋体" w:cs="宋体"/>
          <w:color w:val="auto"/>
          <w:sz w:val="24"/>
          <w:szCs w:val="20"/>
          <w:highlight w:val="none"/>
        </w:rPr>
      </w:pPr>
      <w:r>
        <w:rPr>
          <w:rFonts w:hint="eastAsia" w:ascii="宋体" w:hAnsi="宋体" w:cs="宋体"/>
          <w:color w:val="auto"/>
          <w:spacing w:val="20"/>
          <w:sz w:val="24"/>
          <w:highlight w:val="none"/>
        </w:rPr>
        <w:t>日  期：</w:t>
      </w:r>
      <w:r>
        <w:rPr>
          <w:rFonts w:hint="eastAsia" w:ascii="宋体" w:hAnsi="宋体" w:cs="宋体"/>
          <w:color w:val="auto"/>
          <w:spacing w:val="20"/>
          <w:sz w:val="24"/>
          <w:highlight w:val="none"/>
          <w:u w:val="single"/>
        </w:rPr>
        <w:t xml:space="preserve">          </w:t>
      </w:r>
    </w:p>
    <w:p w14:paraId="35A18F0C">
      <w:pPr>
        <w:spacing w:line="360" w:lineRule="auto"/>
        <w:contextualSpacing/>
        <w:rPr>
          <w:rFonts w:ascii="宋体" w:hAnsi="宋体" w:cs="宋体"/>
          <w:color w:val="auto"/>
          <w:spacing w:val="20"/>
          <w:sz w:val="24"/>
          <w:highlight w:val="none"/>
          <w:u w:val="single"/>
        </w:rPr>
      </w:pPr>
    </w:p>
    <w:p w14:paraId="777712CB">
      <w:pPr>
        <w:spacing w:line="360" w:lineRule="auto"/>
        <w:contextualSpacing/>
        <w:rPr>
          <w:rFonts w:ascii="宋体" w:hAnsi="宋体" w:cs="宋体"/>
          <w:color w:val="auto"/>
          <w:sz w:val="24"/>
          <w:szCs w:val="20"/>
          <w:highlight w:val="none"/>
        </w:rPr>
      </w:pPr>
    </w:p>
    <w:p w14:paraId="51F24EC3">
      <w:pPr>
        <w:snapToGrid w:val="0"/>
        <w:spacing w:beforeLines="50" w:after="50"/>
        <w:ind w:left="142"/>
        <w:jc w:val="left"/>
        <w:rPr>
          <w:rFonts w:ascii="宋体" w:hAnsi="宋体" w:cs="宋体"/>
          <w:b/>
          <w:color w:val="auto"/>
          <w:sz w:val="28"/>
          <w:szCs w:val="28"/>
          <w:highlight w:val="none"/>
        </w:rPr>
      </w:pPr>
      <w:r>
        <w:rPr>
          <w:rFonts w:hint="eastAsia" w:ascii="宋体" w:hAnsi="宋体" w:cs="宋体"/>
          <w:b/>
          <w:color w:val="auto"/>
          <w:sz w:val="24"/>
          <w:highlight w:val="none"/>
        </w:rPr>
        <w:br w:type="page"/>
      </w:r>
      <w:bookmarkStart w:id="148" w:name="_Toc19686840"/>
    </w:p>
    <w:p w14:paraId="41BF5308">
      <w:pPr>
        <w:rPr>
          <w:rFonts w:ascii="宋体" w:hAnsi="宋体" w:cs="宋体"/>
          <w:b/>
          <w:color w:val="auto"/>
          <w:sz w:val="28"/>
          <w:szCs w:val="28"/>
          <w:highlight w:val="none"/>
        </w:rPr>
      </w:pPr>
      <w:r>
        <w:rPr>
          <w:rFonts w:hint="eastAsia" w:ascii="宋体" w:hAnsi="宋体" w:cs="宋体"/>
          <w:b/>
          <w:color w:val="auto"/>
          <w:sz w:val="28"/>
          <w:szCs w:val="28"/>
          <w:highlight w:val="none"/>
        </w:rPr>
        <w:t>五、其他文书、文件格式</w:t>
      </w:r>
      <w:bookmarkEnd w:id="148"/>
    </w:p>
    <w:p w14:paraId="3C28B7AF">
      <w:pPr>
        <w:spacing w:beforeLines="50" w:afterLines="50" w:line="400" w:lineRule="exact"/>
        <w:rPr>
          <w:rFonts w:ascii="宋体" w:hAnsi="宋体" w:cs="宋体"/>
          <w:color w:val="auto"/>
          <w:sz w:val="24"/>
          <w:highlight w:val="none"/>
        </w:rPr>
      </w:pPr>
    </w:p>
    <w:p w14:paraId="524843A7">
      <w:pPr>
        <w:pStyle w:val="8"/>
        <w:overflowPunct w:val="0"/>
        <w:spacing w:line="360" w:lineRule="auto"/>
        <w:ind w:firstLine="422" w:firstLineChars="175"/>
        <w:contextualSpacing/>
        <w:jc w:val="right"/>
        <w:rPr>
          <w:rFonts w:ascii="宋体" w:hAnsi="宋体" w:cs="宋体"/>
          <w:b/>
          <w:color w:val="auto"/>
          <w:sz w:val="24"/>
          <w:highlight w:val="none"/>
        </w:rPr>
      </w:pPr>
    </w:p>
    <w:p w14:paraId="1114F6EA">
      <w:pPr>
        <w:snapToGrid w:val="0"/>
        <w:spacing w:beforeLines="50" w:after="50"/>
        <w:jc w:val="left"/>
        <w:rPr>
          <w:rFonts w:ascii="宋体" w:hAnsi="宋体" w:cs="宋体"/>
          <w:color w:val="auto"/>
          <w:highlight w:val="none"/>
        </w:rPr>
      </w:pPr>
      <w:r>
        <w:rPr>
          <w:rFonts w:hint="eastAsia" w:ascii="宋体" w:hAnsi="宋体" w:cs="宋体"/>
          <w:b/>
          <w:color w:val="auto"/>
          <w:sz w:val="24"/>
          <w:highlight w:val="none"/>
        </w:rPr>
        <w:t xml:space="preserve"> 1.中小企业声明函格式</w:t>
      </w:r>
    </w:p>
    <w:p w14:paraId="0385BAD5">
      <w:pPr>
        <w:rPr>
          <w:rFonts w:ascii="宋体" w:hAnsi="宋体" w:cs="宋体"/>
          <w:color w:val="auto"/>
          <w:highlight w:val="none"/>
        </w:rPr>
      </w:pPr>
    </w:p>
    <w:p w14:paraId="24913DDF">
      <w:pPr>
        <w:jc w:val="center"/>
        <w:rPr>
          <w:rFonts w:ascii="宋体" w:hAnsi="宋体" w:cs="宋体"/>
          <w:color w:val="auto"/>
          <w:sz w:val="44"/>
          <w:szCs w:val="44"/>
          <w:highlight w:val="none"/>
        </w:rPr>
      </w:pPr>
      <w:r>
        <w:rPr>
          <w:rFonts w:hint="eastAsia" w:ascii="宋体" w:hAnsi="宋体" w:cs="宋体"/>
          <w:color w:val="auto"/>
          <w:sz w:val="44"/>
          <w:szCs w:val="44"/>
          <w:highlight w:val="none"/>
        </w:rPr>
        <w:t>中小企业声明函（货物）</w:t>
      </w:r>
    </w:p>
    <w:p w14:paraId="7BFC6CD3">
      <w:pPr>
        <w:spacing w:before="2" w:line="500" w:lineRule="exact"/>
        <w:rPr>
          <w:rFonts w:ascii="宋体" w:hAnsi="宋体" w:cs="宋体"/>
          <w:b/>
          <w:bCs/>
          <w:color w:val="auto"/>
          <w:sz w:val="27"/>
          <w:szCs w:val="27"/>
          <w:highlight w:val="none"/>
        </w:rPr>
      </w:pPr>
    </w:p>
    <w:p w14:paraId="6928A1A7">
      <w:pPr>
        <w:pStyle w:val="18"/>
        <w:spacing w:line="360" w:lineRule="auto"/>
        <w:ind w:left="-426" w:leftChars="-203" w:right="142" w:firstLine="480" w:firstLineChars="200"/>
        <w:contextualSpacing/>
        <w:rPr>
          <w:rFonts w:ascii="宋体" w:hAnsi="宋体" w:cs="宋体"/>
          <w:color w:val="auto"/>
          <w:kern w:val="24"/>
          <w:highlight w:val="none"/>
        </w:rPr>
      </w:pPr>
      <w:r>
        <w:rPr>
          <w:rFonts w:hint="eastAsia" w:ascii="宋体" w:hAnsi="宋体" w:cs="宋体"/>
          <w:color w:val="auto"/>
          <w:kern w:val="24"/>
          <w:highlight w:val="none"/>
        </w:rPr>
        <w:t>本公司（联合体）郑重声明，根据《政府采购促进中小企业发展管理办法》（财库﹝2020﹞46号）的规定，本公司（联合体）参加</w:t>
      </w:r>
      <w:r>
        <w:rPr>
          <w:rFonts w:hint="eastAsia" w:ascii="宋体" w:hAnsi="宋体" w:cs="宋体"/>
          <w:color w:val="auto"/>
          <w:kern w:val="24"/>
          <w:highlight w:val="none"/>
          <w:u w:val="single"/>
        </w:rPr>
        <w:t>（单位名称）</w:t>
      </w:r>
      <w:r>
        <w:rPr>
          <w:rFonts w:hint="eastAsia" w:ascii="宋体" w:hAnsi="宋体" w:cs="宋体"/>
          <w:color w:val="auto"/>
          <w:kern w:val="24"/>
          <w:highlight w:val="none"/>
        </w:rPr>
        <w:t>的</w:t>
      </w:r>
      <w:r>
        <w:rPr>
          <w:rFonts w:hint="eastAsia" w:ascii="宋体" w:hAnsi="宋体" w:cs="宋体"/>
          <w:color w:val="auto"/>
          <w:kern w:val="24"/>
          <w:highlight w:val="none"/>
          <w:u w:val="single"/>
        </w:rPr>
        <w:t>（项目名称）</w:t>
      </w:r>
      <w:r>
        <w:rPr>
          <w:rFonts w:hint="eastAsia" w:ascii="宋体" w:hAnsi="宋体" w:cs="宋体"/>
          <w:color w:val="auto"/>
          <w:kern w:val="24"/>
          <w:highlight w:val="none"/>
        </w:rPr>
        <w:t>采购活动，提供的货物全部由符合政策要求的中小企业制造。相关企业（含联合体中的中小企业、签订分包意向协议的中小企业）的具体情况如下：</w:t>
      </w:r>
    </w:p>
    <w:p w14:paraId="108E9F6D">
      <w:pPr>
        <w:tabs>
          <w:tab w:val="left" w:pos="1384"/>
          <w:tab w:val="left" w:pos="4562"/>
          <w:tab w:val="left" w:pos="6803"/>
        </w:tabs>
        <w:spacing w:line="360" w:lineRule="auto"/>
        <w:ind w:left="-426" w:right="-58" w:firstLine="655"/>
        <w:contextualSpacing/>
        <w:rPr>
          <w:rFonts w:ascii="宋体" w:hAnsi="宋体" w:cs="宋体"/>
          <w:color w:val="auto"/>
          <w:kern w:val="24"/>
          <w:sz w:val="24"/>
          <w:highlight w:val="none"/>
        </w:rPr>
      </w:pPr>
      <w:r>
        <w:rPr>
          <w:rFonts w:hint="eastAsia" w:ascii="宋体" w:hAnsi="宋体" w:cs="宋体"/>
          <w:color w:val="auto"/>
          <w:kern w:val="24"/>
          <w:sz w:val="24"/>
          <w:highlight w:val="none"/>
        </w:rPr>
        <w:t>1.</w:t>
      </w:r>
      <w:r>
        <w:rPr>
          <w:rFonts w:hint="eastAsia" w:ascii="宋体" w:hAnsi="宋体" w:cs="宋体"/>
          <w:color w:val="auto"/>
          <w:kern w:val="24"/>
          <w:sz w:val="24"/>
          <w:highlight w:val="none"/>
          <w:u w:val="single"/>
        </w:rPr>
        <w:t>（标的名称）</w:t>
      </w:r>
      <w:r>
        <w:rPr>
          <w:rFonts w:hint="eastAsia" w:ascii="宋体" w:hAnsi="宋体" w:cs="宋体"/>
          <w:color w:val="auto"/>
          <w:kern w:val="24"/>
          <w:sz w:val="24"/>
          <w:highlight w:val="none"/>
        </w:rPr>
        <w:t>，属于</w:t>
      </w:r>
      <w:r>
        <w:rPr>
          <w:rFonts w:hint="eastAsia" w:ascii="宋体" w:hAnsi="宋体" w:cs="宋体"/>
          <w:color w:val="auto"/>
          <w:kern w:val="24"/>
          <w:sz w:val="24"/>
          <w:highlight w:val="none"/>
          <w:u w:val="single"/>
        </w:rPr>
        <w:t>（采购文件中明确的所属行业）</w:t>
      </w:r>
      <w:r>
        <w:rPr>
          <w:rFonts w:hint="eastAsia" w:ascii="宋体" w:hAnsi="宋体" w:cs="宋体"/>
          <w:color w:val="auto"/>
          <w:kern w:val="24"/>
          <w:sz w:val="24"/>
          <w:highlight w:val="none"/>
        </w:rPr>
        <w:t>行业；制造商为</w:t>
      </w:r>
      <w:r>
        <w:rPr>
          <w:rFonts w:hint="eastAsia" w:ascii="宋体" w:hAnsi="宋体" w:cs="宋体"/>
          <w:color w:val="auto"/>
          <w:kern w:val="24"/>
          <w:sz w:val="24"/>
          <w:highlight w:val="none"/>
          <w:u w:val="single"/>
        </w:rPr>
        <w:t>（企业名称）</w:t>
      </w:r>
      <w:r>
        <w:rPr>
          <w:rFonts w:hint="eastAsia" w:ascii="宋体" w:hAnsi="宋体" w:cs="宋体"/>
          <w:color w:val="auto"/>
          <w:kern w:val="24"/>
          <w:sz w:val="24"/>
          <w:highlight w:val="none"/>
        </w:rPr>
        <w:t>，从业人员</w:t>
      </w:r>
      <w:r>
        <w:rPr>
          <w:rFonts w:hint="eastAsia" w:ascii="宋体" w:hAnsi="宋体" w:cs="宋体"/>
          <w:color w:val="auto"/>
          <w:kern w:val="24"/>
          <w:sz w:val="24"/>
          <w:highlight w:val="none"/>
          <w:u w:val="single"/>
        </w:rPr>
        <w:t xml:space="preserve">      </w:t>
      </w:r>
      <w:r>
        <w:rPr>
          <w:rFonts w:hint="eastAsia" w:ascii="宋体" w:hAnsi="宋体" w:cs="宋体"/>
          <w:color w:val="auto"/>
          <w:kern w:val="24"/>
          <w:sz w:val="24"/>
          <w:highlight w:val="none"/>
        </w:rPr>
        <w:t>人，营业收入为</w:t>
      </w:r>
      <w:r>
        <w:rPr>
          <w:rFonts w:hint="eastAsia" w:ascii="宋体" w:hAnsi="宋体" w:cs="宋体"/>
          <w:color w:val="auto"/>
          <w:kern w:val="24"/>
          <w:sz w:val="24"/>
          <w:highlight w:val="none"/>
          <w:u w:val="single"/>
        </w:rPr>
        <w:t xml:space="preserve">      </w:t>
      </w:r>
      <w:r>
        <w:rPr>
          <w:rFonts w:hint="eastAsia" w:ascii="宋体" w:hAnsi="宋体" w:cs="宋体"/>
          <w:color w:val="auto"/>
          <w:kern w:val="24"/>
          <w:sz w:val="24"/>
          <w:highlight w:val="none"/>
        </w:rPr>
        <w:t>万元，资产总额为</w:t>
      </w:r>
      <w:r>
        <w:rPr>
          <w:rFonts w:hint="eastAsia" w:ascii="宋体" w:hAnsi="宋体" w:cs="宋体"/>
          <w:color w:val="auto"/>
          <w:kern w:val="24"/>
          <w:sz w:val="24"/>
          <w:highlight w:val="none"/>
          <w:u w:val="single"/>
        </w:rPr>
        <w:t xml:space="preserve">      </w:t>
      </w:r>
      <w:r>
        <w:rPr>
          <w:rFonts w:hint="eastAsia" w:ascii="宋体" w:hAnsi="宋体" w:cs="宋体"/>
          <w:color w:val="auto"/>
          <w:kern w:val="24"/>
          <w:sz w:val="24"/>
          <w:highlight w:val="none"/>
        </w:rPr>
        <w:t>万元，属于</w:t>
      </w:r>
      <w:r>
        <w:rPr>
          <w:rFonts w:hint="eastAsia" w:ascii="宋体" w:hAnsi="宋体" w:cs="宋体"/>
          <w:color w:val="auto"/>
          <w:kern w:val="24"/>
          <w:sz w:val="24"/>
          <w:highlight w:val="none"/>
          <w:u w:val="single"/>
        </w:rPr>
        <w:t>（中型企业、小型企业、微型企业）</w:t>
      </w:r>
      <w:r>
        <w:rPr>
          <w:rFonts w:hint="eastAsia" w:ascii="宋体" w:hAnsi="宋体" w:cs="宋体"/>
          <w:color w:val="auto"/>
          <w:kern w:val="24"/>
          <w:sz w:val="24"/>
          <w:highlight w:val="none"/>
        </w:rPr>
        <w:t>；</w:t>
      </w:r>
    </w:p>
    <w:p w14:paraId="6A4DAE71">
      <w:pPr>
        <w:tabs>
          <w:tab w:val="left" w:pos="1065"/>
          <w:tab w:val="left" w:pos="6477"/>
        </w:tabs>
        <w:spacing w:line="360" w:lineRule="auto"/>
        <w:ind w:left="-426" w:right="-58" w:firstLine="655"/>
        <w:contextualSpacing/>
        <w:rPr>
          <w:rFonts w:ascii="宋体" w:hAnsi="宋体" w:cs="宋体"/>
          <w:color w:val="auto"/>
          <w:kern w:val="24"/>
          <w:sz w:val="24"/>
          <w:highlight w:val="none"/>
        </w:rPr>
      </w:pPr>
      <w:r>
        <w:rPr>
          <w:rFonts w:hint="eastAsia" w:ascii="宋体" w:hAnsi="宋体" w:cs="宋体"/>
          <w:color w:val="auto"/>
          <w:kern w:val="24"/>
          <w:sz w:val="24"/>
          <w:highlight w:val="none"/>
        </w:rPr>
        <w:t>2.</w:t>
      </w:r>
      <w:r>
        <w:rPr>
          <w:rFonts w:hint="eastAsia" w:ascii="宋体" w:hAnsi="宋体" w:cs="宋体"/>
          <w:color w:val="auto"/>
          <w:kern w:val="24"/>
          <w:sz w:val="24"/>
          <w:highlight w:val="none"/>
          <w:u w:val="single"/>
        </w:rPr>
        <w:t>（标的名称）</w:t>
      </w:r>
      <w:r>
        <w:rPr>
          <w:rFonts w:hint="eastAsia" w:ascii="宋体" w:hAnsi="宋体" w:cs="宋体"/>
          <w:color w:val="auto"/>
          <w:kern w:val="24"/>
          <w:sz w:val="24"/>
          <w:highlight w:val="none"/>
        </w:rPr>
        <w:t>，属于</w:t>
      </w:r>
      <w:r>
        <w:rPr>
          <w:rFonts w:hint="eastAsia" w:ascii="宋体" w:hAnsi="宋体" w:cs="宋体"/>
          <w:color w:val="auto"/>
          <w:kern w:val="24"/>
          <w:sz w:val="24"/>
          <w:highlight w:val="none"/>
          <w:u w:val="single"/>
        </w:rPr>
        <w:t>（采购文件中明确的所属行业）</w:t>
      </w:r>
      <w:r>
        <w:rPr>
          <w:rFonts w:hint="eastAsia" w:ascii="宋体" w:hAnsi="宋体" w:cs="宋体"/>
          <w:color w:val="auto"/>
          <w:kern w:val="24"/>
          <w:sz w:val="24"/>
          <w:highlight w:val="none"/>
        </w:rPr>
        <w:t>行业；制造商为</w:t>
      </w:r>
      <w:r>
        <w:rPr>
          <w:rFonts w:hint="eastAsia" w:ascii="宋体" w:hAnsi="宋体" w:cs="宋体"/>
          <w:color w:val="auto"/>
          <w:kern w:val="24"/>
          <w:sz w:val="24"/>
          <w:highlight w:val="none"/>
          <w:u w:val="single"/>
        </w:rPr>
        <w:t>（企业名称）</w:t>
      </w:r>
      <w:r>
        <w:rPr>
          <w:rFonts w:hint="eastAsia" w:ascii="宋体" w:hAnsi="宋体" w:cs="宋体"/>
          <w:color w:val="auto"/>
          <w:kern w:val="24"/>
          <w:sz w:val="24"/>
          <w:highlight w:val="none"/>
        </w:rPr>
        <w:t>，从业人员</w:t>
      </w:r>
      <w:r>
        <w:rPr>
          <w:rFonts w:hint="eastAsia" w:ascii="宋体" w:hAnsi="宋体" w:cs="宋体"/>
          <w:color w:val="auto"/>
          <w:kern w:val="24"/>
          <w:sz w:val="24"/>
          <w:highlight w:val="none"/>
          <w:u w:val="single"/>
        </w:rPr>
        <w:t xml:space="preserve">      </w:t>
      </w:r>
      <w:r>
        <w:rPr>
          <w:rFonts w:hint="eastAsia" w:ascii="宋体" w:hAnsi="宋体" w:cs="宋体"/>
          <w:color w:val="auto"/>
          <w:kern w:val="24"/>
          <w:sz w:val="24"/>
          <w:highlight w:val="none"/>
        </w:rPr>
        <w:t>人，营业收入为</w:t>
      </w:r>
      <w:r>
        <w:rPr>
          <w:rFonts w:hint="eastAsia" w:ascii="宋体" w:hAnsi="宋体" w:cs="宋体"/>
          <w:color w:val="auto"/>
          <w:kern w:val="24"/>
          <w:sz w:val="24"/>
          <w:highlight w:val="none"/>
          <w:u w:val="single"/>
        </w:rPr>
        <w:t xml:space="preserve">      </w:t>
      </w:r>
      <w:r>
        <w:rPr>
          <w:rFonts w:hint="eastAsia" w:ascii="宋体" w:hAnsi="宋体" w:cs="宋体"/>
          <w:color w:val="auto"/>
          <w:kern w:val="24"/>
          <w:sz w:val="24"/>
          <w:highlight w:val="none"/>
        </w:rPr>
        <w:t>万元，资产总额为</w:t>
      </w:r>
      <w:r>
        <w:rPr>
          <w:rFonts w:hint="eastAsia" w:ascii="宋体" w:hAnsi="宋体" w:cs="宋体"/>
          <w:color w:val="auto"/>
          <w:kern w:val="24"/>
          <w:sz w:val="24"/>
          <w:highlight w:val="none"/>
          <w:u w:val="single"/>
        </w:rPr>
        <w:t xml:space="preserve">      </w:t>
      </w:r>
      <w:r>
        <w:rPr>
          <w:rFonts w:hint="eastAsia" w:ascii="宋体" w:hAnsi="宋体" w:cs="宋体"/>
          <w:color w:val="auto"/>
          <w:kern w:val="24"/>
          <w:sz w:val="24"/>
          <w:highlight w:val="none"/>
        </w:rPr>
        <w:t>万元，属于</w:t>
      </w:r>
      <w:r>
        <w:rPr>
          <w:rFonts w:hint="eastAsia" w:ascii="宋体" w:hAnsi="宋体" w:cs="宋体"/>
          <w:color w:val="auto"/>
          <w:kern w:val="24"/>
          <w:sz w:val="24"/>
          <w:highlight w:val="none"/>
          <w:u w:val="single"/>
        </w:rPr>
        <w:t>（中型企业、小型企业、微型企业）</w:t>
      </w:r>
      <w:r>
        <w:rPr>
          <w:rFonts w:hint="eastAsia" w:ascii="宋体" w:hAnsi="宋体" w:cs="宋体"/>
          <w:color w:val="auto"/>
          <w:kern w:val="24"/>
          <w:sz w:val="24"/>
          <w:highlight w:val="none"/>
        </w:rPr>
        <w:t>；</w:t>
      </w:r>
    </w:p>
    <w:p w14:paraId="53265743">
      <w:pPr>
        <w:pStyle w:val="18"/>
        <w:spacing w:line="360" w:lineRule="auto"/>
        <w:ind w:left="142" w:right="142"/>
        <w:contextualSpacing/>
        <w:rPr>
          <w:rFonts w:ascii="宋体" w:hAnsi="宋体" w:cs="宋体"/>
          <w:color w:val="auto"/>
          <w:kern w:val="24"/>
          <w:highlight w:val="none"/>
        </w:rPr>
      </w:pPr>
      <w:r>
        <w:rPr>
          <w:rFonts w:hint="eastAsia" w:ascii="宋体" w:hAnsi="宋体" w:cs="宋体"/>
          <w:color w:val="auto"/>
          <w:kern w:val="24"/>
          <w:highlight w:val="none"/>
        </w:rPr>
        <w:t xml:space="preserve">…… </w:t>
      </w:r>
    </w:p>
    <w:p w14:paraId="14799151">
      <w:pPr>
        <w:pStyle w:val="18"/>
        <w:spacing w:line="360" w:lineRule="auto"/>
        <w:ind w:left="-405" w:leftChars="-193" w:right="142" w:firstLine="453" w:firstLineChars="189"/>
        <w:contextualSpacing/>
        <w:rPr>
          <w:rFonts w:ascii="宋体" w:hAnsi="宋体" w:cs="宋体"/>
          <w:color w:val="auto"/>
          <w:kern w:val="24"/>
          <w:highlight w:val="none"/>
        </w:rPr>
      </w:pPr>
      <w:r>
        <w:rPr>
          <w:rFonts w:hint="eastAsia" w:ascii="宋体" w:hAnsi="宋体" w:cs="宋体"/>
          <w:color w:val="auto"/>
          <w:kern w:val="24"/>
          <w:highlight w:val="none"/>
        </w:rPr>
        <w:t>以上企业，不属于大企业的分支机构，不存在控股股东为大企业的情形，也不存在与大企业的负责人为同一人的情形。</w:t>
      </w:r>
    </w:p>
    <w:p w14:paraId="3DE6A543">
      <w:pPr>
        <w:pStyle w:val="18"/>
        <w:spacing w:line="360" w:lineRule="auto"/>
        <w:ind w:left="-426" w:right="142" w:firstLine="567"/>
        <w:contextualSpacing/>
        <w:rPr>
          <w:rFonts w:ascii="宋体" w:hAnsi="宋体" w:cs="宋体"/>
          <w:color w:val="auto"/>
          <w:kern w:val="24"/>
          <w:highlight w:val="none"/>
        </w:rPr>
      </w:pPr>
      <w:r>
        <w:rPr>
          <w:rFonts w:hint="eastAsia" w:ascii="宋体" w:hAnsi="宋体" w:cs="宋体"/>
          <w:color w:val="auto"/>
          <w:kern w:val="24"/>
          <w:highlight w:val="none"/>
        </w:rPr>
        <w:t>本企业对上述声明内容的真实性负责。如有虚假，将依法承担相应责任。</w:t>
      </w:r>
    </w:p>
    <w:p w14:paraId="29056A8F">
      <w:pPr>
        <w:pStyle w:val="18"/>
        <w:spacing w:line="360" w:lineRule="auto"/>
        <w:ind w:left="3960" w:right="1808"/>
        <w:contextualSpacing/>
        <w:rPr>
          <w:rFonts w:ascii="宋体" w:hAnsi="宋体" w:cs="宋体"/>
          <w:color w:val="auto"/>
          <w:kern w:val="24"/>
          <w:highlight w:val="none"/>
        </w:rPr>
      </w:pPr>
    </w:p>
    <w:p w14:paraId="2E84636E">
      <w:pPr>
        <w:pStyle w:val="18"/>
        <w:spacing w:line="360" w:lineRule="auto"/>
        <w:ind w:left="3960" w:right="1808"/>
        <w:contextualSpacing/>
        <w:rPr>
          <w:rFonts w:ascii="宋体" w:hAnsi="宋体" w:cs="宋体"/>
          <w:color w:val="auto"/>
          <w:kern w:val="24"/>
          <w:highlight w:val="none"/>
        </w:rPr>
      </w:pPr>
      <w:r>
        <w:rPr>
          <w:rFonts w:hint="eastAsia" w:ascii="宋体" w:hAnsi="宋体" w:cs="宋体"/>
          <w:color w:val="auto"/>
          <w:kern w:val="24"/>
          <w:highlight w:val="none"/>
        </w:rPr>
        <w:t xml:space="preserve">企业名称（电子签章）： </w:t>
      </w:r>
    </w:p>
    <w:p w14:paraId="6D5401FB">
      <w:pPr>
        <w:pStyle w:val="18"/>
        <w:spacing w:line="360" w:lineRule="auto"/>
        <w:ind w:left="3960" w:right="1808"/>
        <w:contextualSpacing/>
        <w:rPr>
          <w:rFonts w:ascii="宋体" w:hAnsi="宋体" w:cs="宋体"/>
          <w:color w:val="auto"/>
          <w:kern w:val="24"/>
          <w:highlight w:val="none"/>
        </w:rPr>
      </w:pPr>
      <w:r>
        <w:rPr>
          <w:rFonts w:hint="eastAsia" w:ascii="宋体" w:hAnsi="宋体" w:cs="宋体"/>
          <w:color w:val="auto"/>
          <w:kern w:val="24"/>
          <w:highlight w:val="none"/>
        </w:rPr>
        <w:t>日 期：</w:t>
      </w:r>
    </w:p>
    <w:p w14:paraId="4CE8E88C">
      <w:pPr>
        <w:pStyle w:val="18"/>
        <w:spacing w:line="360" w:lineRule="auto"/>
        <w:ind w:left="3960" w:right="1808"/>
        <w:contextualSpacing/>
        <w:rPr>
          <w:rFonts w:ascii="宋体" w:hAnsi="宋体" w:cs="宋体"/>
          <w:color w:val="auto"/>
          <w:kern w:val="24"/>
          <w:highlight w:val="none"/>
        </w:rPr>
      </w:pPr>
    </w:p>
    <w:p w14:paraId="6F5A84A6">
      <w:pPr>
        <w:pStyle w:val="18"/>
        <w:spacing w:line="360" w:lineRule="auto"/>
        <w:ind w:left="3960" w:right="1808"/>
        <w:contextualSpacing/>
        <w:rPr>
          <w:rFonts w:ascii="宋体" w:hAnsi="宋体" w:cs="宋体"/>
          <w:color w:val="auto"/>
          <w:kern w:val="24"/>
          <w:highlight w:val="none"/>
        </w:rPr>
      </w:pPr>
    </w:p>
    <w:p w14:paraId="1EC05E1D">
      <w:pPr>
        <w:pStyle w:val="18"/>
        <w:spacing w:line="360" w:lineRule="auto"/>
        <w:ind w:left="-426" w:right="142" w:firstLine="567"/>
        <w:contextualSpacing/>
        <w:rPr>
          <w:rFonts w:ascii="宋体" w:hAnsi="宋体" w:cs="宋体"/>
          <w:color w:val="auto"/>
          <w:kern w:val="24"/>
          <w:highlight w:val="none"/>
        </w:rPr>
      </w:pPr>
      <w:r>
        <w:rPr>
          <w:rFonts w:hint="eastAsia" w:ascii="宋体" w:hAnsi="宋体" w:cs="宋体"/>
          <w:color w:val="auto"/>
          <w:kern w:val="24"/>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4F13D2C3">
      <w:pPr>
        <w:rPr>
          <w:rFonts w:ascii="宋体" w:hAnsi="宋体" w:cs="宋体"/>
          <w:b/>
          <w:color w:val="auto"/>
          <w:sz w:val="24"/>
          <w:highlight w:val="none"/>
        </w:rPr>
      </w:pPr>
      <w:r>
        <w:rPr>
          <w:rFonts w:hint="eastAsia" w:ascii="宋体" w:hAnsi="宋体" w:cs="宋体"/>
          <w:b/>
          <w:color w:val="auto"/>
          <w:sz w:val="24"/>
          <w:highlight w:val="none"/>
        </w:rPr>
        <w:t>2.残疾人福利性单位声明函格式</w:t>
      </w:r>
    </w:p>
    <w:p w14:paraId="68443DC9">
      <w:pPr>
        <w:spacing w:line="588" w:lineRule="exact"/>
        <w:jc w:val="center"/>
        <w:rPr>
          <w:rFonts w:ascii="宋体" w:hAnsi="宋体" w:cs="宋体"/>
          <w:b/>
          <w:color w:val="auto"/>
          <w:spacing w:val="6"/>
          <w:sz w:val="32"/>
          <w:szCs w:val="32"/>
          <w:highlight w:val="none"/>
        </w:rPr>
      </w:pPr>
      <w:bookmarkStart w:id="149" w:name="OLE_LINK13"/>
      <w:bookmarkStart w:id="150" w:name="OLE_LINK14"/>
    </w:p>
    <w:p w14:paraId="5FE5B5DF">
      <w:pPr>
        <w:spacing w:line="588" w:lineRule="exact"/>
        <w:jc w:val="center"/>
        <w:rPr>
          <w:rFonts w:ascii="宋体" w:hAnsi="宋体" w:cs="宋体"/>
          <w:bCs/>
          <w:color w:val="auto"/>
          <w:spacing w:val="6"/>
          <w:sz w:val="44"/>
          <w:szCs w:val="44"/>
          <w:highlight w:val="none"/>
        </w:rPr>
      </w:pPr>
      <w:r>
        <w:rPr>
          <w:rFonts w:hint="eastAsia" w:ascii="宋体" w:hAnsi="宋体" w:cs="宋体"/>
          <w:bCs/>
          <w:color w:val="auto"/>
          <w:spacing w:val="6"/>
          <w:sz w:val="44"/>
          <w:szCs w:val="44"/>
          <w:highlight w:val="none"/>
        </w:rPr>
        <w:t>残疾人福利性单位声明函</w:t>
      </w:r>
    </w:p>
    <w:bookmarkEnd w:id="149"/>
    <w:bookmarkEnd w:id="150"/>
    <w:p w14:paraId="100C5F9F">
      <w:pPr>
        <w:spacing w:line="588" w:lineRule="exact"/>
        <w:rPr>
          <w:rFonts w:ascii="宋体" w:hAnsi="宋体" w:cs="宋体"/>
          <w:b/>
          <w:color w:val="auto"/>
          <w:spacing w:val="6"/>
          <w:sz w:val="30"/>
          <w:szCs w:val="30"/>
          <w:highlight w:val="none"/>
        </w:rPr>
      </w:pPr>
    </w:p>
    <w:p w14:paraId="1E12C387">
      <w:pPr>
        <w:spacing w:line="360" w:lineRule="auto"/>
        <w:ind w:firstLine="504" w:firstLineChars="200"/>
        <w:contextualSpacing/>
        <w:rPr>
          <w:rFonts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 141</w:t>
      </w:r>
      <w:r>
        <w:rPr>
          <w:rFonts w:hint="eastAsia" w:ascii="宋体" w:hAnsi="宋体" w:cs="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w:t>
      </w:r>
      <w:r>
        <w:rPr>
          <w:rFonts w:hint="eastAsia" w:ascii="宋体" w:hAnsi="宋体" w:cs="宋体"/>
          <w:color w:val="auto"/>
          <w:spacing w:val="-6"/>
          <w:sz w:val="24"/>
          <w:highlight w:val="none"/>
        </w:rPr>
        <w:t>疾人福利性单位制造的货物（不包括使用非残疾人福利性单位注册商标的货物）。</w:t>
      </w:r>
    </w:p>
    <w:p w14:paraId="07E3B61C">
      <w:pPr>
        <w:spacing w:line="360" w:lineRule="auto"/>
        <w:ind w:firstLine="504" w:firstLineChars="200"/>
        <w:contextualSpacing/>
        <w:rPr>
          <w:rFonts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14:paraId="695793D0">
      <w:pPr>
        <w:spacing w:line="360" w:lineRule="auto"/>
        <w:ind w:firstLine="504" w:firstLineChars="200"/>
        <w:contextualSpacing/>
        <w:rPr>
          <w:rFonts w:ascii="宋体" w:hAnsi="宋体" w:cs="宋体"/>
          <w:color w:val="auto"/>
          <w:spacing w:val="6"/>
          <w:sz w:val="24"/>
          <w:highlight w:val="none"/>
        </w:rPr>
      </w:pPr>
    </w:p>
    <w:p w14:paraId="73F09E1D">
      <w:pPr>
        <w:spacing w:line="360" w:lineRule="auto"/>
        <w:ind w:firstLine="504" w:firstLineChars="200"/>
        <w:contextualSpacing/>
        <w:rPr>
          <w:rFonts w:ascii="宋体" w:hAnsi="宋体" w:cs="宋体"/>
          <w:color w:val="auto"/>
          <w:spacing w:val="6"/>
          <w:sz w:val="24"/>
          <w:highlight w:val="none"/>
        </w:rPr>
      </w:pPr>
    </w:p>
    <w:p w14:paraId="44B6F550">
      <w:pPr>
        <w:tabs>
          <w:tab w:val="left" w:pos="4860"/>
        </w:tabs>
        <w:spacing w:line="360" w:lineRule="auto"/>
        <w:ind w:right="1560" w:firstLine="504" w:firstLineChars="200"/>
        <w:contextualSpacing/>
        <w:jc w:val="center"/>
        <w:rPr>
          <w:rFonts w:ascii="宋体" w:hAnsi="宋体" w:cs="宋体"/>
          <w:color w:val="auto"/>
          <w:spacing w:val="6"/>
          <w:sz w:val="24"/>
          <w:highlight w:val="none"/>
        </w:rPr>
      </w:pPr>
      <w:r>
        <w:rPr>
          <w:rFonts w:hint="eastAsia" w:ascii="宋体" w:hAnsi="宋体" w:cs="宋体"/>
          <w:color w:val="auto"/>
          <w:spacing w:val="6"/>
          <w:sz w:val="24"/>
          <w:highlight w:val="none"/>
        </w:rPr>
        <w:t>单位名称（电子签章）：</w:t>
      </w:r>
    </w:p>
    <w:p w14:paraId="7BC6A9F8">
      <w:pPr>
        <w:tabs>
          <w:tab w:val="left" w:pos="4860"/>
        </w:tabs>
        <w:spacing w:line="360" w:lineRule="auto"/>
        <w:ind w:right="1560" w:firstLine="504" w:firstLineChars="200"/>
        <w:contextualSpacing/>
        <w:jc w:val="center"/>
        <w:rPr>
          <w:rFonts w:ascii="宋体" w:hAnsi="宋体" w:cs="宋体"/>
          <w:color w:val="auto"/>
          <w:spacing w:val="6"/>
          <w:sz w:val="24"/>
          <w:highlight w:val="none"/>
        </w:rPr>
      </w:pPr>
      <w:r>
        <w:rPr>
          <w:rFonts w:hint="eastAsia" w:ascii="宋体" w:hAnsi="宋体" w:cs="宋体"/>
          <w:color w:val="auto"/>
          <w:spacing w:val="6"/>
          <w:sz w:val="24"/>
          <w:highlight w:val="none"/>
        </w:rPr>
        <w:t>日  期：</w:t>
      </w:r>
    </w:p>
    <w:p w14:paraId="6F3C794F">
      <w:pPr>
        <w:spacing w:line="360" w:lineRule="auto"/>
        <w:contextualSpacing/>
        <w:rPr>
          <w:rFonts w:ascii="宋体" w:hAnsi="宋体" w:cs="宋体"/>
          <w:color w:val="auto"/>
          <w:sz w:val="24"/>
          <w:highlight w:val="none"/>
        </w:rPr>
      </w:pPr>
    </w:p>
    <w:p w14:paraId="1EFA3410">
      <w:pPr>
        <w:spacing w:line="360" w:lineRule="auto"/>
        <w:contextualSpacing/>
        <w:rPr>
          <w:rFonts w:ascii="宋体" w:hAnsi="宋体" w:cs="宋体"/>
          <w:color w:val="auto"/>
          <w:sz w:val="24"/>
          <w:highlight w:val="none"/>
        </w:rPr>
      </w:pPr>
    </w:p>
    <w:p w14:paraId="4BA73BAD">
      <w:pPr>
        <w:spacing w:line="360" w:lineRule="auto"/>
        <w:contextualSpacing/>
        <w:rPr>
          <w:rFonts w:ascii="宋体" w:hAnsi="宋体" w:cs="宋体"/>
          <w:color w:val="auto"/>
          <w:sz w:val="24"/>
          <w:highlight w:val="none"/>
        </w:rPr>
      </w:pPr>
    </w:p>
    <w:p w14:paraId="7067DEBB">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08430F80">
      <w:pPr>
        <w:pStyle w:val="25"/>
        <w:spacing w:line="360" w:lineRule="auto"/>
        <w:rPr>
          <w:rFonts w:hAnsi="宋体" w:cs="宋体"/>
          <w:b/>
          <w:color w:val="auto"/>
          <w:highlight w:val="none"/>
        </w:rPr>
      </w:pPr>
    </w:p>
    <w:sectPr>
      <w:footerReference r:id="rId10" w:type="first"/>
      <w:headerReference r:id="rId7" w:type="default"/>
      <w:footerReference r:id="rId8" w:type="default"/>
      <w:footerReference r:id="rId9" w:type="even"/>
      <w:pgSz w:w="11906" w:h="16838"/>
      <w:pgMar w:top="1134" w:right="1503" w:bottom="1559" w:left="167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8A7EC88D-CB66-4868-A86F-A03CE8539854}"/>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_x000B__x000C_">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Century">
    <w:panose1 w:val="020406040505050203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embedRegular r:id="rId2" w:fontKey="{FCEE2276-2A27-4EBA-A622-43F6AC6C6B79}"/>
  </w:font>
  <w:font w:name="Wingdings 2">
    <w:panose1 w:val="05020102010507070707"/>
    <w:charset w:val="02"/>
    <w:family w:val="auto"/>
    <w:pitch w:val="default"/>
    <w:sig w:usb0="00000000" w:usb1="00000000" w:usb2="00000000" w:usb3="00000000" w:csb0="80000000" w:csb1="00000000"/>
    <w:embedRegular r:id="rId3" w:fontKey="{FA9D6323-F8F1-425E-883C-7A74E792D14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5374185"/>
    </w:sdtPr>
    <w:sdtContent>
      <w:p w14:paraId="507E5228">
        <w:pPr>
          <w:pStyle w:val="31"/>
          <w:jc w:val="center"/>
        </w:pPr>
        <w:r>
          <w:fldChar w:fldCharType="begin"/>
        </w:r>
        <w:r>
          <w:instrText xml:space="preserve">PAGE   \* MERGEFORMAT</w:instrText>
        </w:r>
        <w:r>
          <w:fldChar w:fldCharType="separate"/>
        </w:r>
        <w:r>
          <w:rPr>
            <w:lang w:val="zh-CN"/>
          </w:rPr>
          <w:t>27</w:t>
        </w:r>
        <w:r>
          <w:fldChar w:fldCharType="end"/>
        </w:r>
      </w:p>
    </w:sdtContent>
  </w:sdt>
  <w:p w14:paraId="6C411CAE">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61E17">
    <w:pPr>
      <w:pStyle w:val="31"/>
      <w:framePr w:wrap="around" w:vAnchor="text" w:hAnchor="margin" w:xAlign="center" w:y="1"/>
      <w:rPr>
        <w:rStyle w:val="53"/>
      </w:rPr>
    </w:pPr>
    <w:r>
      <w:fldChar w:fldCharType="begin"/>
    </w:r>
    <w:r>
      <w:rPr>
        <w:rStyle w:val="53"/>
      </w:rPr>
      <w:instrText xml:space="preserve">PAGE  </w:instrText>
    </w:r>
    <w:r>
      <w:fldChar w:fldCharType="end"/>
    </w:r>
  </w:p>
  <w:p w14:paraId="251571BB">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C1A84">
    <w:pPr>
      <w:pStyle w:val="31"/>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9C904">
    <w:pPr>
      <w:pStyle w:val="3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9EEB74D">
                          <w:pPr>
                            <w:pStyle w:val="31"/>
                          </w:pPr>
                          <w:r>
                            <w:fldChar w:fldCharType="begin"/>
                          </w:r>
                          <w:r>
                            <w:instrText xml:space="preserve"> PAGE  \* MERGEFORMAT </w:instrText>
                          </w:r>
                          <w:r>
                            <w:fldChar w:fldCharType="separate"/>
                          </w:r>
                          <w:r>
                            <w:t>75</w:t>
                          </w:r>
                          <w:r>
                            <w:fldChar w:fldCharType="end"/>
                          </w:r>
                        </w:p>
                      </w:txbxContent>
                    </wps:txbx>
                    <wps:bodyPr wrap="none" lIns="0" tIns="0" rIns="0" bIns="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GF1PwPIAQAAngMAAA4AAAAAAAAAAQAgAAAAHgEAAGRycy9lMm9Eb2Mu&#10;eG1sUEsFBgAAAAAGAAYAWQEAAFgFAAAAAA==&#10;">
              <v:fill on="f" focussize="0,0"/>
              <v:stroke on="f"/>
              <v:imagedata o:title=""/>
              <o:lock v:ext="edit" aspectratio="f"/>
              <v:textbox inset="0mm,0mm,0mm,0mm" style="mso-fit-shape-to-text:t;">
                <w:txbxContent>
                  <w:p w14:paraId="19EEB74D">
                    <w:pPr>
                      <w:pStyle w:val="31"/>
                    </w:pPr>
                    <w:r>
                      <w:fldChar w:fldCharType="begin"/>
                    </w:r>
                    <w:r>
                      <w:instrText xml:space="preserve"> PAGE  \* MERGEFORMAT </w:instrText>
                    </w:r>
                    <w:r>
                      <w:fldChar w:fldCharType="separate"/>
                    </w:r>
                    <w:r>
                      <w:t>75</w:t>
                    </w:r>
                    <w:r>
                      <w:fldChar w:fldCharType="end"/>
                    </w:r>
                  </w:p>
                </w:txbxContent>
              </v:textbox>
            </v:shape>
          </w:pict>
        </mc:Fallback>
      </mc:AlternateContent>
    </w:r>
  </w:p>
  <w:p w14:paraId="7675FC7F">
    <w:pPr>
      <w:pStyle w:val="3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F4E0F">
    <w:pPr>
      <w:pStyle w:val="31"/>
      <w:framePr w:wrap="around" w:vAnchor="text" w:hAnchor="margin" w:xAlign="center" w:y="1"/>
      <w:rPr>
        <w:rStyle w:val="53"/>
      </w:rPr>
    </w:pPr>
    <w:r>
      <w:fldChar w:fldCharType="begin"/>
    </w:r>
    <w:r>
      <w:rPr>
        <w:rStyle w:val="53"/>
      </w:rPr>
      <w:instrText xml:space="preserve">PAGE  </w:instrText>
    </w:r>
    <w:r>
      <w:fldChar w:fldCharType="end"/>
    </w:r>
  </w:p>
  <w:p w14:paraId="105DDBE2">
    <w:pPr>
      <w:pStyle w:val="3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BC2CD">
    <w:pPr>
      <w:pStyle w:val="31"/>
      <w:ind w:right="360"/>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5B042FB">
                          <w:pPr>
                            <w:pStyle w:val="31"/>
                          </w:pPr>
                          <w:r>
                            <w:fldChar w:fldCharType="begin"/>
                          </w:r>
                          <w:r>
                            <w:instrText xml:space="preserve"> PAGE  \* MERGEFORMAT </w:instrText>
                          </w:r>
                          <w:r>
                            <w:fldChar w:fldCharType="separate"/>
                          </w:r>
                          <w:r>
                            <w:t>71</w:t>
                          </w:r>
                          <w:r>
                            <w:fldChar w:fldCharType="end"/>
                          </w:r>
                        </w:p>
                      </w:txbxContent>
                    </wps:txbx>
                    <wps:bodyPr wrap="none" lIns="0" tIns="0" rIns="0" bIns="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mpWc/IAQAAngMAAA4AAAAAAAAAAQAgAAAAHgEAAGRycy9lMm9Eb2Mu&#10;eG1sUEsFBgAAAAAGAAYAWQEAAFgFAAAAAA==&#10;">
              <v:fill on="f" focussize="0,0"/>
              <v:stroke on="f"/>
              <v:imagedata o:title=""/>
              <o:lock v:ext="edit" aspectratio="f"/>
              <v:textbox inset="0mm,0mm,0mm,0mm" style="mso-fit-shape-to-text:t;">
                <w:txbxContent>
                  <w:p w14:paraId="65B042FB">
                    <w:pPr>
                      <w:pStyle w:val="31"/>
                    </w:pPr>
                    <w:r>
                      <w:fldChar w:fldCharType="begin"/>
                    </w:r>
                    <w:r>
                      <w:instrText xml:space="preserve"> PAGE  \* MERGEFORMAT </w:instrText>
                    </w:r>
                    <w:r>
                      <w:fldChar w:fldCharType="separate"/>
                    </w:r>
                    <w:r>
                      <w:t>71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BC653">
    <w:pPr>
      <w:pStyle w:val="32"/>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ADE78">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1"/>
      <w:lvlText w:val="%1."/>
      <w:lvlJc w:val="left"/>
      <w:pPr>
        <w:tabs>
          <w:tab w:val="left" w:pos="1200"/>
        </w:tabs>
        <w:ind w:left="1200" w:hanging="360"/>
      </w:pPr>
    </w:lvl>
  </w:abstractNum>
  <w:abstractNum w:abstractNumId="1">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2">
    <w:nsid w:val="4C601917"/>
    <w:multiLevelType w:val="singleLevel"/>
    <w:tmpl w:val="4C601917"/>
    <w:lvl w:ilvl="0" w:tentative="0">
      <w:start w:val="1"/>
      <w:numFmt w:val="decimal"/>
      <w:suff w:val="nothing"/>
      <w:lvlText w:val="（%1）"/>
      <w:lvlJc w:val="left"/>
    </w:lvl>
  </w:abstractNum>
  <w:abstractNum w:abstractNumId="3">
    <w:nsid w:val="5FABD14B"/>
    <w:multiLevelType w:val="singleLevel"/>
    <w:tmpl w:val="5FABD14B"/>
    <w:lvl w:ilvl="0" w:tentative="0">
      <w:start w:val="1"/>
      <w:numFmt w:val="decimal"/>
      <w:suff w:val="nothing"/>
      <w:lvlText w:val="（%1）"/>
      <w:lvlJc w:val="left"/>
      <w:pPr>
        <w:ind w:left="-2"/>
      </w:pPr>
    </w:lvl>
  </w:abstractNum>
  <w:abstractNum w:abstractNumId="4">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1"/>
  </w:num>
  <w:num w:numId="2">
    <w:abstractNumId w:val="0"/>
  </w:num>
  <w:num w:numId="3">
    <w:abstractNumId w:val="2"/>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4OWIyODNiMDNjN2UyNjVhYmVhNmY1Y2Y3ZGEzNzQifQ=="/>
  </w:docVars>
  <w:rsids>
    <w:rsidRoot w:val="00F9008B"/>
    <w:rsid w:val="0000010C"/>
    <w:rsid w:val="00000D21"/>
    <w:rsid w:val="00000FE0"/>
    <w:rsid w:val="00001068"/>
    <w:rsid w:val="0000114A"/>
    <w:rsid w:val="00001731"/>
    <w:rsid w:val="00001C2D"/>
    <w:rsid w:val="00001C55"/>
    <w:rsid w:val="00001CA8"/>
    <w:rsid w:val="00001FAE"/>
    <w:rsid w:val="00002291"/>
    <w:rsid w:val="00002644"/>
    <w:rsid w:val="0000276E"/>
    <w:rsid w:val="00002DBF"/>
    <w:rsid w:val="00002EC0"/>
    <w:rsid w:val="00003224"/>
    <w:rsid w:val="000033F5"/>
    <w:rsid w:val="000034EA"/>
    <w:rsid w:val="0000358C"/>
    <w:rsid w:val="00003BEF"/>
    <w:rsid w:val="00004130"/>
    <w:rsid w:val="0000431F"/>
    <w:rsid w:val="00004634"/>
    <w:rsid w:val="00004D8B"/>
    <w:rsid w:val="000059E2"/>
    <w:rsid w:val="00006A2D"/>
    <w:rsid w:val="00006AE7"/>
    <w:rsid w:val="00006B9B"/>
    <w:rsid w:val="00006C35"/>
    <w:rsid w:val="000072B1"/>
    <w:rsid w:val="00007329"/>
    <w:rsid w:val="00007E28"/>
    <w:rsid w:val="00007E84"/>
    <w:rsid w:val="00010401"/>
    <w:rsid w:val="000105A1"/>
    <w:rsid w:val="000107AD"/>
    <w:rsid w:val="00010835"/>
    <w:rsid w:val="00011842"/>
    <w:rsid w:val="00012137"/>
    <w:rsid w:val="000121EE"/>
    <w:rsid w:val="000121FF"/>
    <w:rsid w:val="000125B8"/>
    <w:rsid w:val="00012692"/>
    <w:rsid w:val="00013446"/>
    <w:rsid w:val="00013509"/>
    <w:rsid w:val="000135BC"/>
    <w:rsid w:val="000135DC"/>
    <w:rsid w:val="000136D6"/>
    <w:rsid w:val="00013979"/>
    <w:rsid w:val="00014085"/>
    <w:rsid w:val="000145C1"/>
    <w:rsid w:val="00014B4C"/>
    <w:rsid w:val="00014DD9"/>
    <w:rsid w:val="000151E4"/>
    <w:rsid w:val="000153D8"/>
    <w:rsid w:val="00015577"/>
    <w:rsid w:val="000156E4"/>
    <w:rsid w:val="000159A7"/>
    <w:rsid w:val="00015FB8"/>
    <w:rsid w:val="0001609F"/>
    <w:rsid w:val="0001635B"/>
    <w:rsid w:val="00016549"/>
    <w:rsid w:val="00016BF7"/>
    <w:rsid w:val="00016D20"/>
    <w:rsid w:val="0001767E"/>
    <w:rsid w:val="0001776D"/>
    <w:rsid w:val="00017C00"/>
    <w:rsid w:val="00017F31"/>
    <w:rsid w:val="00020607"/>
    <w:rsid w:val="0002103A"/>
    <w:rsid w:val="000217E4"/>
    <w:rsid w:val="00021852"/>
    <w:rsid w:val="00021A12"/>
    <w:rsid w:val="00022622"/>
    <w:rsid w:val="00023363"/>
    <w:rsid w:val="000235F3"/>
    <w:rsid w:val="00023644"/>
    <w:rsid w:val="00023712"/>
    <w:rsid w:val="0002476C"/>
    <w:rsid w:val="00024E3C"/>
    <w:rsid w:val="00024EB0"/>
    <w:rsid w:val="00025A93"/>
    <w:rsid w:val="0002646A"/>
    <w:rsid w:val="0002651D"/>
    <w:rsid w:val="00026CFD"/>
    <w:rsid w:val="000279F9"/>
    <w:rsid w:val="00027A11"/>
    <w:rsid w:val="00027C8B"/>
    <w:rsid w:val="00027CD9"/>
    <w:rsid w:val="00030242"/>
    <w:rsid w:val="00030B06"/>
    <w:rsid w:val="0003183A"/>
    <w:rsid w:val="00031CDC"/>
    <w:rsid w:val="00031DC8"/>
    <w:rsid w:val="0003263B"/>
    <w:rsid w:val="0003282C"/>
    <w:rsid w:val="0003304A"/>
    <w:rsid w:val="0003317E"/>
    <w:rsid w:val="00033413"/>
    <w:rsid w:val="000337F3"/>
    <w:rsid w:val="00034C27"/>
    <w:rsid w:val="00034E2A"/>
    <w:rsid w:val="0003577F"/>
    <w:rsid w:val="000361E7"/>
    <w:rsid w:val="00036466"/>
    <w:rsid w:val="0003675E"/>
    <w:rsid w:val="00037633"/>
    <w:rsid w:val="00037E9E"/>
    <w:rsid w:val="00037F87"/>
    <w:rsid w:val="00037FA2"/>
    <w:rsid w:val="000400D0"/>
    <w:rsid w:val="0004044E"/>
    <w:rsid w:val="000425AC"/>
    <w:rsid w:val="00042F4A"/>
    <w:rsid w:val="00043BE5"/>
    <w:rsid w:val="00044003"/>
    <w:rsid w:val="00044527"/>
    <w:rsid w:val="0004469E"/>
    <w:rsid w:val="00044897"/>
    <w:rsid w:val="00044ACF"/>
    <w:rsid w:val="00044D83"/>
    <w:rsid w:val="00044E06"/>
    <w:rsid w:val="000454F4"/>
    <w:rsid w:val="00045670"/>
    <w:rsid w:val="00045D1E"/>
    <w:rsid w:val="00045E69"/>
    <w:rsid w:val="00045EF4"/>
    <w:rsid w:val="00046547"/>
    <w:rsid w:val="000466D7"/>
    <w:rsid w:val="00046753"/>
    <w:rsid w:val="00047254"/>
    <w:rsid w:val="000472FD"/>
    <w:rsid w:val="0005022B"/>
    <w:rsid w:val="00050771"/>
    <w:rsid w:val="000513F3"/>
    <w:rsid w:val="00052287"/>
    <w:rsid w:val="000522E0"/>
    <w:rsid w:val="00052609"/>
    <w:rsid w:val="000532F4"/>
    <w:rsid w:val="000536AE"/>
    <w:rsid w:val="00054CD5"/>
    <w:rsid w:val="00054D03"/>
    <w:rsid w:val="000550AC"/>
    <w:rsid w:val="0005580E"/>
    <w:rsid w:val="0005584D"/>
    <w:rsid w:val="00055CC3"/>
    <w:rsid w:val="00055CEE"/>
    <w:rsid w:val="000566FA"/>
    <w:rsid w:val="00056A2B"/>
    <w:rsid w:val="00056E37"/>
    <w:rsid w:val="00056EE2"/>
    <w:rsid w:val="00056FE2"/>
    <w:rsid w:val="000570FB"/>
    <w:rsid w:val="000575B8"/>
    <w:rsid w:val="00060131"/>
    <w:rsid w:val="0006026B"/>
    <w:rsid w:val="00060293"/>
    <w:rsid w:val="00061BDA"/>
    <w:rsid w:val="000621FE"/>
    <w:rsid w:val="00062B90"/>
    <w:rsid w:val="00062C70"/>
    <w:rsid w:val="00062DD0"/>
    <w:rsid w:val="00062E6F"/>
    <w:rsid w:val="000630C7"/>
    <w:rsid w:val="0006400F"/>
    <w:rsid w:val="000643DA"/>
    <w:rsid w:val="000645DD"/>
    <w:rsid w:val="00064D7E"/>
    <w:rsid w:val="00064F65"/>
    <w:rsid w:val="00064FD0"/>
    <w:rsid w:val="0006534A"/>
    <w:rsid w:val="00065A5D"/>
    <w:rsid w:val="00065BA2"/>
    <w:rsid w:val="000661CA"/>
    <w:rsid w:val="0006668D"/>
    <w:rsid w:val="00066F2B"/>
    <w:rsid w:val="00067002"/>
    <w:rsid w:val="0006710A"/>
    <w:rsid w:val="00067993"/>
    <w:rsid w:val="00067B1C"/>
    <w:rsid w:val="00067CED"/>
    <w:rsid w:val="00067D39"/>
    <w:rsid w:val="00067F66"/>
    <w:rsid w:val="0007041A"/>
    <w:rsid w:val="00070634"/>
    <w:rsid w:val="00070883"/>
    <w:rsid w:val="00070C3F"/>
    <w:rsid w:val="00070FB7"/>
    <w:rsid w:val="0007102C"/>
    <w:rsid w:val="00071D68"/>
    <w:rsid w:val="00071FCE"/>
    <w:rsid w:val="00072661"/>
    <w:rsid w:val="00072CCC"/>
    <w:rsid w:val="00073549"/>
    <w:rsid w:val="00073A58"/>
    <w:rsid w:val="0007483E"/>
    <w:rsid w:val="000751DB"/>
    <w:rsid w:val="0007578F"/>
    <w:rsid w:val="000759A3"/>
    <w:rsid w:val="00075E43"/>
    <w:rsid w:val="00077706"/>
    <w:rsid w:val="00077878"/>
    <w:rsid w:val="00077DE2"/>
    <w:rsid w:val="000804EF"/>
    <w:rsid w:val="00080558"/>
    <w:rsid w:val="00081230"/>
    <w:rsid w:val="000814E2"/>
    <w:rsid w:val="000818C9"/>
    <w:rsid w:val="00081CBB"/>
    <w:rsid w:val="00081D42"/>
    <w:rsid w:val="000822EF"/>
    <w:rsid w:val="0008241E"/>
    <w:rsid w:val="000826F5"/>
    <w:rsid w:val="000829B1"/>
    <w:rsid w:val="00082AAB"/>
    <w:rsid w:val="0008307D"/>
    <w:rsid w:val="000831E9"/>
    <w:rsid w:val="00083288"/>
    <w:rsid w:val="000833BB"/>
    <w:rsid w:val="0008452D"/>
    <w:rsid w:val="0008467B"/>
    <w:rsid w:val="000846E2"/>
    <w:rsid w:val="000850FA"/>
    <w:rsid w:val="00085C12"/>
    <w:rsid w:val="00085DA0"/>
    <w:rsid w:val="00085F82"/>
    <w:rsid w:val="00086506"/>
    <w:rsid w:val="00086B6E"/>
    <w:rsid w:val="00086C64"/>
    <w:rsid w:val="0008781A"/>
    <w:rsid w:val="00090951"/>
    <w:rsid w:val="00090A61"/>
    <w:rsid w:val="000918F5"/>
    <w:rsid w:val="000919B5"/>
    <w:rsid w:val="00091C1D"/>
    <w:rsid w:val="00091E08"/>
    <w:rsid w:val="00091E29"/>
    <w:rsid w:val="000922D8"/>
    <w:rsid w:val="000932E7"/>
    <w:rsid w:val="0009333A"/>
    <w:rsid w:val="00093459"/>
    <w:rsid w:val="00093B8B"/>
    <w:rsid w:val="000951E7"/>
    <w:rsid w:val="00095B82"/>
    <w:rsid w:val="00096098"/>
    <w:rsid w:val="000961C5"/>
    <w:rsid w:val="000968AF"/>
    <w:rsid w:val="000969D9"/>
    <w:rsid w:val="00096F37"/>
    <w:rsid w:val="000970C1"/>
    <w:rsid w:val="00097FE5"/>
    <w:rsid w:val="000A0354"/>
    <w:rsid w:val="000A091F"/>
    <w:rsid w:val="000A0958"/>
    <w:rsid w:val="000A0FCC"/>
    <w:rsid w:val="000A1033"/>
    <w:rsid w:val="000A2712"/>
    <w:rsid w:val="000A2877"/>
    <w:rsid w:val="000A2D31"/>
    <w:rsid w:val="000A355D"/>
    <w:rsid w:val="000A35DA"/>
    <w:rsid w:val="000A371E"/>
    <w:rsid w:val="000A3DE5"/>
    <w:rsid w:val="000A4011"/>
    <w:rsid w:val="000A4397"/>
    <w:rsid w:val="000A45D5"/>
    <w:rsid w:val="000A490E"/>
    <w:rsid w:val="000A5B49"/>
    <w:rsid w:val="000A5FE5"/>
    <w:rsid w:val="000A688F"/>
    <w:rsid w:val="000A7218"/>
    <w:rsid w:val="000A740A"/>
    <w:rsid w:val="000A7446"/>
    <w:rsid w:val="000A7A56"/>
    <w:rsid w:val="000A7E7F"/>
    <w:rsid w:val="000A7ECD"/>
    <w:rsid w:val="000B04DD"/>
    <w:rsid w:val="000B0F01"/>
    <w:rsid w:val="000B1346"/>
    <w:rsid w:val="000B1795"/>
    <w:rsid w:val="000B1914"/>
    <w:rsid w:val="000B19DC"/>
    <w:rsid w:val="000B1CA2"/>
    <w:rsid w:val="000B202E"/>
    <w:rsid w:val="000B2293"/>
    <w:rsid w:val="000B24A4"/>
    <w:rsid w:val="000B255A"/>
    <w:rsid w:val="000B255C"/>
    <w:rsid w:val="000B292B"/>
    <w:rsid w:val="000B395E"/>
    <w:rsid w:val="000B39C3"/>
    <w:rsid w:val="000B3A00"/>
    <w:rsid w:val="000B3BFD"/>
    <w:rsid w:val="000B4840"/>
    <w:rsid w:val="000B4D79"/>
    <w:rsid w:val="000B5627"/>
    <w:rsid w:val="000B5671"/>
    <w:rsid w:val="000B6BF0"/>
    <w:rsid w:val="000B6CE8"/>
    <w:rsid w:val="000B7DAF"/>
    <w:rsid w:val="000C01A9"/>
    <w:rsid w:val="000C071C"/>
    <w:rsid w:val="000C0BB4"/>
    <w:rsid w:val="000C0BEE"/>
    <w:rsid w:val="000C1CB9"/>
    <w:rsid w:val="000C2159"/>
    <w:rsid w:val="000C21BB"/>
    <w:rsid w:val="000C289B"/>
    <w:rsid w:val="000C34B8"/>
    <w:rsid w:val="000C3F01"/>
    <w:rsid w:val="000C420D"/>
    <w:rsid w:val="000C4773"/>
    <w:rsid w:val="000C4944"/>
    <w:rsid w:val="000C4E24"/>
    <w:rsid w:val="000C5C4A"/>
    <w:rsid w:val="000C5F01"/>
    <w:rsid w:val="000C63C4"/>
    <w:rsid w:val="000C66C1"/>
    <w:rsid w:val="000C6F0B"/>
    <w:rsid w:val="000C6F32"/>
    <w:rsid w:val="000C708E"/>
    <w:rsid w:val="000C778C"/>
    <w:rsid w:val="000C7833"/>
    <w:rsid w:val="000C7DFB"/>
    <w:rsid w:val="000C7E1B"/>
    <w:rsid w:val="000C7E73"/>
    <w:rsid w:val="000D001B"/>
    <w:rsid w:val="000D0A45"/>
    <w:rsid w:val="000D136E"/>
    <w:rsid w:val="000D14AC"/>
    <w:rsid w:val="000D15BA"/>
    <w:rsid w:val="000D2C9B"/>
    <w:rsid w:val="000D35FD"/>
    <w:rsid w:val="000D3D2D"/>
    <w:rsid w:val="000D3D99"/>
    <w:rsid w:val="000D4653"/>
    <w:rsid w:val="000D4696"/>
    <w:rsid w:val="000D4817"/>
    <w:rsid w:val="000D4FB9"/>
    <w:rsid w:val="000D54B4"/>
    <w:rsid w:val="000D54F8"/>
    <w:rsid w:val="000D584B"/>
    <w:rsid w:val="000D5F55"/>
    <w:rsid w:val="000D6372"/>
    <w:rsid w:val="000D6979"/>
    <w:rsid w:val="000D6CE7"/>
    <w:rsid w:val="000D6E38"/>
    <w:rsid w:val="000D6E63"/>
    <w:rsid w:val="000D711C"/>
    <w:rsid w:val="000D7B6E"/>
    <w:rsid w:val="000E042A"/>
    <w:rsid w:val="000E0644"/>
    <w:rsid w:val="000E076D"/>
    <w:rsid w:val="000E0CD2"/>
    <w:rsid w:val="000E187C"/>
    <w:rsid w:val="000E1B28"/>
    <w:rsid w:val="000E1E8D"/>
    <w:rsid w:val="000E1EBC"/>
    <w:rsid w:val="000E2173"/>
    <w:rsid w:val="000E220B"/>
    <w:rsid w:val="000E2A50"/>
    <w:rsid w:val="000E30F2"/>
    <w:rsid w:val="000E316B"/>
    <w:rsid w:val="000E3667"/>
    <w:rsid w:val="000E3D08"/>
    <w:rsid w:val="000E4728"/>
    <w:rsid w:val="000E4D1F"/>
    <w:rsid w:val="000E5658"/>
    <w:rsid w:val="000E5698"/>
    <w:rsid w:val="000E5723"/>
    <w:rsid w:val="000E581B"/>
    <w:rsid w:val="000E58B4"/>
    <w:rsid w:val="000E65D2"/>
    <w:rsid w:val="000E6919"/>
    <w:rsid w:val="000E6B1B"/>
    <w:rsid w:val="000E6F0C"/>
    <w:rsid w:val="000E732D"/>
    <w:rsid w:val="000F07ED"/>
    <w:rsid w:val="000F0CF2"/>
    <w:rsid w:val="000F14F6"/>
    <w:rsid w:val="000F1A32"/>
    <w:rsid w:val="000F1CC2"/>
    <w:rsid w:val="000F1D15"/>
    <w:rsid w:val="000F270A"/>
    <w:rsid w:val="000F34C8"/>
    <w:rsid w:val="000F38BC"/>
    <w:rsid w:val="000F3E2A"/>
    <w:rsid w:val="000F4D26"/>
    <w:rsid w:val="000F5639"/>
    <w:rsid w:val="000F58A4"/>
    <w:rsid w:val="000F6833"/>
    <w:rsid w:val="000F6A24"/>
    <w:rsid w:val="000F7616"/>
    <w:rsid w:val="000F7DE9"/>
    <w:rsid w:val="000F7F7A"/>
    <w:rsid w:val="0010004B"/>
    <w:rsid w:val="001002F4"/>
    <w:rsid w:val="001011FC"/>
    <w:rsid w:val="0010165F"/>
    <w:rsid w:val="001018C1"/>
    <w:rsid w:val="00101E7C"/>
    <w:rsid w:val="00102260"/>
    <w:rsid w:val="001023DC"/>
    <w:rsid w:val="0010256D"/>
    <w:rsid w:val="00102572"/>
    <w:rsid w:val="00102946"/>
    <w:rsid w:val="00102FBF"/>
    <w:rsid w:val="0010333D"/>
    <w:rsid w:val="0010372A"/>
    <w:rsid w:val="00103F41"/>
    <w:rsid w:val="00104E77"/>
    <w:rsid w:val="00104F34"/>
    <w:rsid w:val="00104F3E"/>
    <w:rsid w:val="001053C5"/>
    <w:rsid w:val="001055AD"/>
    <w:rsid w:val="00105C14"/>
    <w:rsid w:val="001065A3"/>
    <w:rsid w:val="0010691D"/>
    <w:rsid w:val="00106B33"/>
    <w:rsid w:val="00106E69"/>
    <w:rsid w:val="00110AC5"/>
    <w:rsid w:val="00110F0B"/>
    <w:rsid w:val="0011108B"/>
    <w:rsid w:val="00111136"/>
    <w:rsid w:val="00111164"/>
    <w:rsid w:val="00111761"/>
    <w:rsid w:val="00112164"/>
    <w:rsid w:val="0011241F"/>
    <w:rsid w:val="001128BF"/>
    <w:rsid w:val="00112D09"/>
    <w:rsid w:val="00112F03"/>
    <w:rsid w:val="00112F38"/>
    <w:rsid w:val="00113821"/>
    <w:rsid w:val="0011394B"/>
    <w:rsid w:val="00113CEE"/>
    <w:rsid w:val="00114058"/>
    <w:rsid w:val="00114342"/>
    <w:rsid w:val="0011449E"/>
    <w:rsid w:val="001153EF"/>
    <w:rsid w:val="00115D55"/>
    <w:rsid w:val="00115E45"/>
    <w:rsid w:val="00115F85"/>
    <w:rsid w:val="00115FD1"/>
    <w:rsid w:val="001165CC"/>
    <w:rsid w:val="0011688E"/>
    <w:rsid w:val="00116ACD"/>
    <w:rsid w:val="00117B7D"/>
    <w:rsid w:val="001205A8"/>
    <w:rsid w:val="00120948"/>
    <w:rsid w:val="0012180B"/>
    <w:rsid w:val="00122A64"/>
    <w:rsid w:val="00123641"/>
    <w:rsid w:val="0012388A"/>
    <w:rsid w:val="0012388C"/>
    <w:rsid w:val="00123AFA"/>
    <w:rsid w:val="00123C8C"/>
    <w:rsid w:val="00123D68"/>
    <w:rsid w:val="00123E8B"/>
    <w:rsid w:val="00124B43"/>
    <w:rsid w:val="00124DF8"/>
    <w:rsid w:val="001253EA"/>
    <w:rsid w:val="00125B99"/>
    <w:rsid w:val="00126160"/>
    <w:rsid w:val="00126DB5"/>
    <w:rsid w:val="00127178"/>
    <w:rsid w:val="00127D2B"/>
    <w:rsid w:val="00127F09"/>
    <w:rsid w:val="0013002A"/>
    <w:rsid w:val="0013085D"/>
    <w:rsid w:val="0013089C"/>
    <w:rsid w:val="00130A2D"/>
    <w:rsid w:val="00130F54"/>
    <w:rsid w:val="00131888"/>
    <w:rsid w:val="00131F17"/>
    <w:rsid w:val="001323F9"/>
    <w:rsid w:val="0013251F"/>
    <w:rsid w:val="00132FA3"/>
    <w:rsid w:val="00133088"/>
    <w:rsid w:val="00133346"/>
    <w:rsid w:val="001335B1"/>
    <w:rsid w:val="0013372D"/>
    <w:rsid w:val="00133733"/>
    <w:rsid w:val="00133B4E"/>
    <w:rsid w:val="00133D47"/>
    <w:rsid w:val="001346AF"/>
    <w:rsid w:val="00134990"/>
    <w:rsid w:val="00134AD9"/>
    <w:rsid w:val="00135416"/>
    <w:rsid w:val="001354D1"/>
    <w:rsid w:val="001355E7"/>
    <w:rsid w:val="00135A0A"/>
    <w:rsid w:val="00135BB9"/>
    <w:rsid w:val="0013621D"/>
    <w:rsid w:val="00136354"/>
    <w:rsid w:val="00136674"/>
    <w:rsid w:val="00136B0E"/>
    <w:rsid w:val="00136C3B"/>
    <w:rsid w:val="00137103"/>
    <w:rsid w:val="001376AB"/>
    <w:rsid w:val="0013777C"/>
    <w:rsid w:val="00137D5F"/>
    <w:rsid w:val="00140082"/>
    <w:rsid w:val="00140175"/>
    <w:rsid w:val="00140757"/>
    <w:rsid w:val="00140B62"/>
    <w:rsid w:val="00140D07"/>
    <w:rsid w:val="00141A3A"/>
    <w:rsid w:val="001422F4"/>
    <w:rsid w:val="001423FA"/>
    <w:rsid w:val="001427B5"/>
    <w:rsid w:val="001428CF"/>
    <w:rsid w:val="00142D0C"/>
    <w:rsid w:val="00142E3C"/>
    <w:rsid w:val="00144013"/>
    <w:rsid w:val="001454B8"/>
    <w:rsid w:val="00145833"/>
    <w:rsid w:val="00145A17"/>
    <w:rsid w:val="00145BBE"/>
    <w:rsid w:val="00145D7F"/>
    <w:rsid w:val="001460B5"/>
    <w:rsid w:val="0014641F"/>
    <w:rsid w:val="001464A8"/>
    <w:rsid w:val="00146618"/>
    <w:rsid w:val="001467BB"/>
    <w:rsid w:val="00146AB3"/>
    <w:rsid w:val="00146CA8"/>
    <w:rsid w:val="001472A5"/>
    <w:rsid w:val="00147884"/>
    <w:rsid w:val="00150669"/>
    <w:rsid w:val="00150827"/>
    <w:rsid w:val="00150B0D"/>
    <w:rsid w:val="00151E31"/>
    <w:rsid w:val="00151F9B"/>
    <w:rsid w:val="00152095"/>
    <w:rsid w:val="00152289"/>
    <w:rsid w:val="00152425"/>
    <w:rsid w:val="00152BAD"/>
    <w:rsid w:val="00152CE3"/>
    <w:rsid w:val="00153652"/>
    <w:rsid w:val="00153697"/>
    <w:rsid w:val="00153956"/>
    <w:rsid w:val="00153B95"/>
    <w:rsid w:val="00154146"/>
    <w:rsid w:val="00154190"/>
    <w:rsid w:val="001545EA"/>
    <w:rsid w:val="001549BA"/>
    <w:rsid w:val="00154FFC"/>
    <w:rsid w:val="00155099"/>
    <w:rsid w:val="001553F5"/>
    <w:rsid w:val="00155C85"/>
    <w:rsid w:val="00156A6C"/>
    <w:rsid w:val="00156B10"/>
    <w:rsid w:val="00157823"/>
    <w:rsid w:val="0015790D"/>
    <w:rsid w:val="00157C5E"/>
    <w:rsid w:val="0016015A"/>
    <w:rsid w:val="0016020E"/>
    <w:rsid w:val="00160503"/>
    <w:rsid w:val="00160701"/>
    <w:rsid w:val="00160D7C"/>
    <w:rsid w:val="00160E30"/>
    <w:rsid w:val="0016106D"/>
    <w:rsid w:val="001612E1"/>
    <w:rsid w:val="001614DB"/>
    <w:rsid w:val="0016194E"/>
    <w:rsid w:val="0016236C"/>
    <w:rsid w:val="00162625"/>
    <w:rsid w:val="001630A8"/>
    <w:rsid w:val="001634C7"/>
    <w:rsid w:val="00163826"/>
    <w:rsid w:val="00163943"/>
    <w:rsid w:val="00163BA1"/>
    <w:rsid w:val="00163F22"/>
    <w:rsid w:val="0016417B"/>
    <w:rsid w:val="0016470E"/>
    <w:rsid w:val="00164E0A"/>
    <w:rsid w:val="0016520F"/>
    <w:rsid w:val="001652D7"/>
    <w:rsid w:val="0016596E"/>
    <w:rsid w:val="00165A5F"/>
    <w:rsid w:val="00166223"/>
    <w:rsid w:val="00166492"/>
    <w:rsid w:val="001670D8"/>
    <w:rsid w:val="0016793E"/>
    <w:rsid w:val="00167D4D"/>
    <w:rsid w:val="00170635"/>
    <w:rsid w:val="0017070D"/>
    <w:rsid w:val="00170837"/>
    <w:rsid w:val="00171035"/>
    <w:rsid w:val="001713B7"/>
    <w:rsid w:val="00171ADB"/>
    <w:rsid w:val="00172029"/>
    <w:rsid w:val="001733A4"/>
    <w:rsid w:val="001738E0"/>
    <w:rsid w:val="00173AB9"/>
    <w:rsid w:val="00173EED"/>
    <w:rsid w:val="00174368"/>
    <w:rsid w:val="001744EA"/>
    <w:rsid w:val="00174D82"/>
    <w:rsid w:val="00174E44"/>
    <w:rsid w:val="00175053"/>
    <w:rsid w:val="001753B7"/>
    <w:rsid w:val="001757E7"/>
    <w:rsid w:val="00175873"/>
    <w:rsid w:val="0017592E"/>
    <w:rsid w:val="00175C59"/>
    <w:rsid w:val="001760BC"/>
    <w:rsid w:val="00176674"/>
    <w:rsid w:val="00176818"/>
    <w:rsid w:val="00176B82"/>
    <w:rsid w:val="00176E3B"/>
    <w:rsid w:val="00176ECB"/>
    <w:rsid w:val="0017716E"/>
    <w:rsid w:val="0017752D"/>
    <w:rsid w:val="0017759F"/>
    <w:rsid w:val="00177832"/>
    <w:rsid w:val="00177D48"/>
    <w:rsid w:val="00181178"/>
    <w:rsid w:val="0018119E"/>
    <w:rsid w:val="00181EEF"/>
    <w:rsid w:val="00181F3E"/>
    <w:rsid w:val="00182FE0"/>
    <w:rsid w:val="00183911"/>
    <w:rsid w:val="00183DF5"/>
    <w:rsid w:val="001845FB"/>
    <w:rsid w:val="00184CDD"/>
    <w:rsid w:val="00184DAB"/>
    <w:rsid w:val="00185490"/>
    <w:rsid w:val="00185DA6"/>
    <w:rsid w:val="00185F64"/>
    <w:rsid w:val="00186096"/>
    <w:rsid w:val="00186F7C"/>
    <w:rsid w:val="0018772E"/>
    <w:rsid w:val="00187A94"/>
    <w:rsid w:val="0019029E"/>
    <w:rsid w:val="00190329"/>
    <w:rsid w:val="00190804"/>
    <w:rsid w:val="0019088F"/>
    <w:rsid w:val="00190C51"/>
    <w:rsid w:val="00192FA5"/>
    <w:rsid w:val="0019336B"/>
    <w:rsid w:val="001939A6"/>
    <w:rsid w:val="00193ACC"/>
    <w:rsid w:val="00193BFE"/>
    <w:rsid w:val="00194E7E"/>
    <w:rsid w:val="00195322"/>
    <w:rsid w:val="0019560E"/>
    <w:rsid w:val="00195702"/>
    <w:rsid w:val="001958E3"/>
    <w:rsid w:val="0019601B"/>
    <w:rsid w:val="00196048"/>
    <w:rsid w:val="00196A82"/>
    <w:rsid w:val="0019769B"/>
    <w:rsid w:val="00197FFE"/>
    <w:rsid w:val="001A0D25"/>
    <w:rsid w:val="001A1570"/>
    <w:rsid w:val="001A1917"/>
    <w:rsid w:val="001A1C64"/>
    <w:rsid w:val="001A1E7F"/>
    <w:rsid w:val="001A228D"/>
    <w:rsid w:val="001A2918"/>
    <w:rsid w:val="001A2D02"/>
    <w:rsid w:val="001A2DFE"/>
    <w:rsid w:val="001A3076"/>
    <w:rsid w:val="001A3120"/>
    <w:rsid w:val="001A31A5"/>
    <w:rsid w:val="001A389C"/>
    <w:rsid w:val="001A3B75"/>
    <w:rsid w:val="001A46FB"/>
    <w:rsid w:val="001A5944"/>
    <w:rsid w:val="001A5FB1"/>
    <w:rsid w:val="001A698A"/>
    <w:rsid w:val="001A6CCC"/>
    <w:rsid w:val="001A70C8"/>
    <w:rsid w:val="001A71C9"/>
    <w:rsid w:val="001A7429"/>
    <w:rsid w:val="001A760C"/>
    <w:rsid w:val="001A799B"/>
    <w:rsid w:val="001A7AC7"/>
    <w:rsid w:val="001A7C38"/>
    <w:rsid w:val="001B02F8"/>
    <w:rsid w:val="001B2104"/>
    <w:rsid w:val="001B2279"/>
    <w:rsid w:val="001B2729"/>
    <w:rsid w:val="001B2866"/>
    <w:rsid w:val="001B2881"/>
    <w:rsid w:val="001B34A3"/>
    <w:rsid w:val="001B3675"/>
    <w:rsid w:val="001B37C8"/>
    <w:rsid w:val="001B4B2C"/>
    <w:rsid w:val="001B4F10"/>
    <w:rsid w:val="001B5026"/>
    <w:rsid w:val="001B5154"/>
    <w:rsid w:val="001B5B75"/>
    <w:rsid w:val="001B6E30"/>
    <w:rsid w:val="001B7C83"/>
    <w:rsid w:val="001B7F9E"/>
    <w:rsid w:val="001C0206"/>
    <w:rsid w:val="001C0246"/>
    <w:rsid w:val="001C04D4"/>
    <w:rsid w:val="001C0B34"/>
    <w:rsid w:val="001C12A3"/>
    <w:rsid w:val="001C17BB"/>
    <w:rsid w:val="001C187E"/>
    <w:rsid w:val="001C1A37"/>
    <w:rsid w:val="001C1C49"/>
    <w:rsid w:val="001C286F"/>
    <w:rsid w:val="001C2B86"/>
    <w:rsid w:val="001C2F54"/>
    <w:rsid w:val="001C2FBE"/>
    <w:rsid w:val="001C3308"/>
    <w:rsid w:val="001C3BBB"/>
    <w:rsid w:val="001C40D1"/>
    <w:rsid w:val="001C468A"/>
    <w:rsid w:val="001C4A38"/>
    <w:rsid w:val="001C4A9E"/>
    <w:rsid w:val="001C5001"/>
    <w:rsid w:val="001C5103"/>
    <w:rsid w:val="001C52A8"/>
    <w:rsid w:val="001C5ADF"/>
    <w:rsid w:val="001C5E8E"/>
    <w:rsid w:val="001C6120"/>
    <w:rsid w:val="001C6516"/>
    <w:rsid w:val="001C6B5C"/>
    <w:rsid w:val="001C7155"/>
    <w:rsid w:val="001C71D9"/>
    <w:rsid w:val="001C7E48"/>
    <w:rsid w:val="001D039B"/>
    <w:rsid w:val="001D1258"/>
    <w:rsid w:val="001D14AB"/>
    <w:rsid w:val="001D1AB8"/>
    <w:rsid w:val="001D286F"/>
    <w:rsid w:val="001D2C94"/>
    <w:rsid w:val="001D33D9"/>
    <w:rsid w:val="001D36F6"/>
    <w:rsid w:val="001D3D5F"/>
    <w:rsid w:val="001D4303"/>
    <w:rsid w:val="001D45E5"/>
    <w:rsid w:val="001D461A"/>
    <w:rsid w:val="001D4A9D"/>
    <w:rsid w:val="001D4AAD"/>
    <w:rsid w:val="001D5AFA"/>
    <w:rsid w:val="001D6E57"/>
    <w:rsid w:val="001D7177"/>
    <w:rsid w:val="001D756E"/>
    <w:rsid w:val="001D784A"/>
    <w:rsid w:val="001E04A4"/>
    <w:rsid w:val="001E04EE"/>
    <w:rsid w:val="001E07C5"/>
    <w:rsid w:val="001E176D"/>
    <w:rsid w:val="001E1BCE"/>
    <w:rsid w:val="001E1E05"/>
    <w:rsid w:val="001E2086"/>
    <w:rsid w:val="001E339F"/>
    <w:rsid w:val="001E3629"/>
    <w:rsid w:val="001E3B2C"/>
    <w:rsid w:val="001E40F0"/>
    <w:rsid w:val="001E4172"/>
    <w:rsid w:val="001E4AC7"/>
    <w:rsid w:val="001E5490"/>
    <w:rsid w:val="001E5513"/>
    <w:rsid w:val="001E5730"/>
    <w:rsid w:val="001E5E2E"/>
    <w:rsid w:val="001E6352"/>
    <w:rsid w:val="001E70AD"/>
    <w:rsid w:val="001E7237"/>
    <w:rsid w:val="001E7AF6"/>
    <w:rsid w:val="001E7FBF"/>
    <w:rsid w:val="001F01B8"/>
    <w:rsid w:val="001F0FC3"/>
    <w:rsid w:val="001F1188"/>
    <w:rsid w:val="001F1B8D"/>
    <w:rsid w:val="001F274F"/>
    <w:rsid w:val="001F286C"/>
    <w:rsid w:val="001F289C"/>
    <w:rsid w:val="001F2BF9"/>
    <w:rsid w:val="001F3AEB"/>
    <w:rsid w:val="001F3AF2"/>
    <w:rsid w:val="001F6008"/>
    <w:rsid w:val="001F641B"/>
    <w:rsid w:val="001F6C19"/>
    <w:rsid w:val="001F6D4D"/>
    <w:rsid w:val="001F7C00"/>
    <w:rsid w:val="0020042C"/>
    <w:rsid w:val="002009A3"/>
    <w:rsid w:val="00200F1A"/>
    <w:rsid w:val="0020130D"/>
    <w:rsid w:val="00201D06"/>
    <w:rsid w:val="00201E9F"/>
    <w:rsid w:val="00202F25"/>
    <w:rsid w:val="002035B3"/>
    <w:rsid w:val="00203929"/>
    <w:rsid w:val="00203CD6"/>
    <w:rsid w:val="00203F0A"/>
    <w:rsid w:val="00204460"/>
    <w:rsid w:val="002051EA"/>
    <w:rsid w:val="00205CBC"/>
    <w:rsid w:val="00205E9E"/>
    <w:rsid w:val="00206259"/>
    <w:rsid w:val="00206CE5"/>
    <w:rsid w:val="002074B7"/>
    <w:rsid w:val="0020758D"/>
    <w:rsid w:val="00207C7B"/>
    <w:rsid w:val="00211470"/>
    <w:rsid w:val="00211922"/>
    <w:rsid w:val="0021213A"/>
    <w:rsid w:val="0021265F"/>
    <w:rsid w:val="00213817"/>
    <w:rsid w:val="00214428"/>
    <w:rsid w:val="002145EB"/>
    <w:rsid w:val="00215834"/>
    <w:rsid w:val="00215CC2"/>
    <w:rsid w:val="00215ED8"/>
    <w:rsid w:val="00217700"/>
    <w:rsid w:val="002177E2"/>
    <w:rsid w:val="002205F3"/>
    <w:rsid w:val="0022085B"/>
    <w:rsid w:val="00220E53"/>
    <w:rsid w:val="0022176C"/>
    <w:rsid w:val="002225D1"/>
    <w:rsid w:val="002230FA"/>
    <w:rsid w:val="002235D9"/>
    <w:rsid w:val="00223AB9"/>
    <w:rsid w:val="00223DF2"/>
    <w:rsid w:val="00224737"/>
    <w:rsid w:val="00224C0C"/>
    <w:rsid w:val="00225323"/>
    <w:rsid w:val="002256C2"/>
    <w:rsid w:val="002256D0"/>
    <w:rsid w:val="00225C8E"/>
    <w:rsid w:val="00226428"/>
    <w:rsid w:val="002265A9"/>
    <w:rsid w:val="002266CB"/>
    <w:rsid w:val="00226777"/>
    <w:rsid w:val="0022701E"/>
    <w:rsid w:val="00227052"/>
    <w:rsid w:val="002272D5"/>
    <w:rsid w:val="0022738E"/>
    <w:rsid w:val="00227906"/>
    <w:rsid w:val="00227934"/>
    <w:rsid w:val="00227E21"/>
    <w:rsid w:val="00230178"/>
    <w:rsid w:val="00231D05"/>
    <w:rsid w:val="002336E2"/>
    <w:rsid w:val="00233AC2"/>
    <w:rsid w:val="00233BAF"/>
    <w:rsid w:val="00235420"/>
    <w:rsid w:val="002356A5"/>
    <w:rsid w:val="00235DAA"/>
    <w:rsid w:val="0024065B"/>
    <w:rsid w:val="002409A6"/>
    <w:rsid w:val="00240EA5"/>
    <w:rsid w:val="00241132"/>
    <w:rsid w:val="00241205"/>
    <w:rsid w:val="002418C5"/>
    <w:rsid w:val="002419ED"/>
    <w:rsid w:val="0024261D"/>
    <w:rsid w:val="00242DFB"/>
    <w:rsid w:val="00243807"/>
    <w:rsid w:val="002440AC"/>
    <w:rsid w:val="00244365"/>
    <w:rsid w:val="0024459A"/>
    <w:rsid w:val="00244771"/>
    <w:rsid w:val="00244903"/>
    <w:rsid w:val="00244AFB"/>
    <w:rsid w:val="00245353"/>
    <w:rsid w:val="002453DF"/>
    <w:rsid w:val="00245A81"/>
    <w:rsid w:val="00246B86"/>
    <w:rsid w:val="00247335"/>
    <w:rsid w:val="002473EF"/>
    <w:rsid w:val="002477B9"/>
    <w:rsid w:val="00247CBE"/>
    <w:rsid w:val="00250100"/>
    <w:rsid w:val="00250A1F"/>
    <w:rsid w:val="00250ADA"/>
    <w:rsid w:val="00250F1D"/>
    <w:rsid w:val="0025194E"/>
    <w:rsid w:val="00251FF1"/>
    <w:rsid w:val="002520BA"/>
    <w:rsid w:val="00252234"/>
    <w:rsid w:val="002527AF"/>
    <w:rsid w:val="002528E3"/>
    <w:rsid w:val="00252944"/>
    <w:rsid w:val="00252D55"/>
    <w:rsid w:val="00252D82"/>
    <w:rsid w:val="00253006"/>
    <w:rsid w:val="002533F5"/>
    <w:rsid w:val="002538CE"/>
    <w:rsid w:val="00253C60"/>
    <w:rsid w:val="00253F21"/>
    <w:rsid w:val="0025429D"/>
    <w:rsid w:val="002549E9"/>
    <w:rsid w:val="00254FF6"/>
    <w:rsid w:val="00255099"/>
    <w:rsid w:val="002555C6"/>
    <w:rsid w:val="00255CEE"/>
    <w:rsid w:val="00255E14"/>
    <w:rsid w:val="0025615C"/>
    <w:rsid w:val="002561A3"/>
    <w:rsid w:val="00257059"/>
    <w:rsid w:val="0025712F"/>
    <w:rsid w:val="00257395"/>
    <w:rsid w:val="00257857"/>
    <w:rsid w:val="002578DA"/>
    <w:rsid w:val="00257CBC"/>
    <w:rsid w:val="002602C2"/>
    <w:rsid w:val="002602DA"/>
    <w:rsid w:val="0026040B"/>
    <w:rsid w:val="00260802"/>
    <w:rsid w:val="002609E3"/>
    <w:rsid w:val="00261223"/>
    <w:rsid w:val="002617AB"/>
    <w:rsid w:val="00261D08"/>
    <w:rsid w:val="00261DCC"/>
    <w:rsid w:val="002624D0"/>
    <w:rsid w:val="00263AE7"/>
    <w:rsid w:val="00263EC7"/>
    <w:rsid w:val="00264441"/>
    <w:rsid w:val="0026491B"/>
    <w:rsid w:val="00264A36"/>
    <w:rsid w:val="00264B06"/>
    <w:rsid w:val="00264C1B"/>
    <w:rsid w:val="00265E2E"/>
    <w:rsid w:val="002661AB"/>
    <w:rsid w:val="002668DB"/>
    <w:rsid w:val="0026742B"/>
    <w:rsid w:val="002674FE"/>
    <w:rsid w:val="00270748"/>
    <w:rsid w:val="0027105A"/>
    <w:rsid w:val="0027117F"/>
    <w:rsid w:val="00271283"/>
    <w:rsid w:val="002712DC"/>
    <w:rsid w:val="00271875"/>
    <w:rsid w:val="002718FF"/>
    <w:rsid w:val="00271955"/>
    <w:rsid w:val="00272278"/>
    <w:rsid w:val="00272432"/>
    <w:rsid w:val="00272633"/>
    <w:rsid w:val="00272923"/>
    <w:rsid w:val="00272CAB"/>
    <w:rsid w:val="00272FBF"/>
    <w:rsid w:val="00273A10"/>
    <w:rsid w:val="00273A58"/>
    <w:rsid w:val="00273FBB"/>
    <w:rsid w:val="00274CAB"/>
    <w:rsid w:val="00274E8A"/>
    <w:rsid w:val="0027507D"/>
    <w:rsid w:val="00275D43"/>
    <w:rsid w:val="00275FCE"/>
    <w:rsid w:val="002766B8"/>
    <w:rsid w:val="0027680F"/>
    <w:rsid w:val="00280CD9"/>
    <w:rsid w:val="00281006"/>
    <w:rsid w:val="002815B1"/>
    <w:rsid w:val="00281A3D"/>
    <w:rsid w:val="00281C1F"/>
    <w:rsid w:val="00281EEA"/>
    <w:rsid w:val="00281F88"/>
    <w:rsid w:val="0028288D"/>
    <w:rsid w:val="002829B7"/>
    <w:rsid w:val="00282B82"/>
    <w:rsid w:val="00282C74"/>
    <w:rsid w:val="00282E5B"/>
    <w:rsid w:val="00282F51"/>
    <w:rsid w:val="00283995"/>
    <w:rsid w:val="00283B11"/>
    <w:rsid w:val="002841A9"/>
    <w:rsid w:val="00284313"/>
    <w:rsid w:val="002848AD"/>
    <w:rsid w:val="00284A5E"/>
    <w:rsid w:val="00285154"/>
    <w:rsid w:val="00285BF2"/>
    <w:rsid w:val="00285C78"/>
    <w:rsid w:val="002863CE"/>
    <w:rsid w:val="002868CF"/>
    <w:rsid w:val="0028702A"/>
    <w:rsid w:val="0028732A"/>
    <w:rsid w:val="00290F01"/>
    <w:rsid w:val="00291035"/>
    <w:rsid w:val="00291492"/>
    <w:rsid w:val="00291527"/>
    <w:rsid w:val="0029199A"/>
    <w:rsid w:val="00291BBE"/>
    <w:rsid w:val="00291FEB"/>
    <w:rsid w:val="002920B3"/>
    <w:rsid w:val="00293146"/>
    <w:rsid w:val="0029361E"/>
    <w:rsid w:val="00293D68"/>
    <w:rsid w:val="0029431E"/>
    <w:rsid w:val="00294352"/>
    <w:rsid w:val="002944A0"/>
    <w:rsid w:val="002946E4"/>
    <w:rsid w:val="0029495C"/>
    <w:rsid w:val="00294CEE"/>
    <w:rsid w:val="002957D9"/>
    <w:rsid w:val="00295B52"/>
    <w:rsid w:val="00296024"/>
    <w:rsid w:val="00296293"/>
    <w:rsid w:val="0029686F"/>
    <w:rsid w:val="00296AF7"/>
    <w:rsid w:val="002972F9"/>
    <w:rsid w:val="002977CA"/>
    <w:rsid w:val="00297DC9"/>
    <w:rsid w:val="00297ED7"/>
    <w:rsid w:val="002A0007"/>
    <w:rsid w:val="002A03AA"/>
    <w:rsid w:val="002A056D"/>
    <w:rsid w:val="002A0649"/>
    <w:rsid w:val="002A07FE"/>
    <w:rsid w:val="002A094D"/>
    <w:rsid w:val="002A0CAF"/>
    <w:rsid w:val="002A1565"/>
    <w:rsid w:val="002A16A9"/>
    <w:rsid w:val="002A2941"/>
    <w:rsid w:val="002A2DC4"/>
    <w:rsid w:val="002A3E69"/>
    <w:rsid w:val="002A41F7"/>
    <w:rsid w:val="002A44F9"/>
    <w:rsid w:val="002A46D1"/>
    <w:rsid w:val="002A49EF"/>
    <w:rsid w:val="002A4B8B"/>
    <w:rsid w:val="002A4C3D"/>
    <w:rsid w:val="002A5107"/>
    <w:rsid w:val="002A535E"/>
    <w:rsid w:val="002A6406"/>
    <w:rsid w:val="002A6AD0"/>
    <w:rsid w:val="002A6CF0"/>
    <w:rsid w:val="002A6FFC"/>
    <w:rsid w:val="002A7010"/>
    <w:rsid w:val="002A70BA"/>
    <w:rsid w:val="002A7A57"/>
    <w:rsid w:val="002A7BB2"/>
    <w:rsid w:val="002A7DCB"/>
    <w:rsid w:val="002B0B53"/>
    <w:rsid w:val="002B1617"/>
    <w:rsid w:val="002B194B"/>
    <w:rsid w:val="002B1D11"/>
    <w:rsid w:val="002B273B"/>
    <w:rsid w:val="002B29AA"/>
    <w:rsid w:val="002B2A7E"/>
    <w:rsid w:val="002B2F1B"/>
    <w:rsid w:val="002B4A32"/>
    <w:rsid w:val="002B4C6B"/>
    <w:rsid w:val="002B5AFB"/>
    <w:rsid w:val="002B6320"/>
    <w:rsid w:val="002B66AC"/>
    <w:rsid w:val="002B6852"/>
    <w:rsid w:val="002B77E1"/>
    <w:rsid w:val="002C0714"/>
    <w:rsid w:val="002C0A96"/>
    <w:rsid w:val="002C10A8"/>
    <w:rsid w:val="002C1BF4"/>
    <w:rsid w:val="002C1E0D"/>
    <w:rsid w:val="002C2266"/>
    <w:rsid w:val="002C2309"/>
    <w:rsid w:val="002C24D1"/>
    <w:rsid w:val="002C28EB"/>
    <w:rsid w:val="002C3265"/>
    <w:rsid w:val="002C3666"/>
    <w:rsid w:val="002C3AED"/>
    <w:rsid w:val="002C3E56"/>
    <w:rsid w:val="002C414C"/>
    <w:rsid w:val="002C4C2F"/>
    <w:rsid w:val="002C5776"/>
    <w:rsid w:val="002C5CD6"/>
    <w:rsid w:val="002C5EED"/>
    <w:rsid w:val="002C66DE"/>
    <w:rsid w:val="002C680F"/>
    <w:rsid w:val="002C7193"/>
    <w:rsid w:val="002C7699"/>
    <w:rsid w:val="002C7A49"/>
    <w:rsid w:val="002C7B1A"/>
    <w:rsid w:val="002D0128"/>
    <w:rsid w:val="002D0E85"/>
    <w:rsid w:val="002D0FA7"/>
    <w:rsid w:val="002D12FB"/>
    <w:rsid w:val="002D1306"/>
    <w:rsid w:val="002D19D1"/>
    <w:rsid w:val="002D1F35"/>
    <w:rsid w:val="002D1FA3"/>
    <w:rsid w:val="002D20CD"/>
    <w:rsid w:val="002D23C6"/>
    <w:rsid w:val="002D24F0"/>
    <w:rsid w:val="002D25EB"/>
    <w:rsid w:val="002D29F3"/>
    <w:rsid w:val="002D3126"/>
    <w:rsid w:val="002D3529"/>
    <w:rsid w:val="002D3D0A"/>
    <w:rsid w:val="002D478E"/>
    <w:rsid w:val="002D47AE"/>
    <w:rsid w:val="002D4A94"/>
    <w:rsid w:val="002D5CBF"/>
    <w:rsid w:val="002D65FF"/>
    <w:rsid w:val="002D6D10"/>
    <w:rsid w:val="002D71E2"/>
    <w:rsid w:val="002D7367"/>
    <w:rsid w:val="002D7961"/>
    <w:rsid w:val="002D7B6A"/>
    <w:rsid w:val="002D7E36"/>
    <w:rsid w:val="002E0026"/>
    <w:rsid w:val="002E08E8"/>
    <w:rsid w:val="002E0918"/>
    <w:rsid w:val="002E0BAA"/>
    <w:rsid w:val="002E0D96"/>
    <w:rsid w:val="002E0EA5"/>
    <w:rsid w:val="002E1E19"/>
    <w:rsid w:val="002E283F"/>
    <w:rsid w:val="002E2854"/>
    <w:rsid w:val="002E2E74"/>
    <w:rsid w:val="002E32D2"/>
    <w:rsid w:val="002E361B"/>
    <w:rsid w:val="002E37AB"/>
    <w:rsid w:val="002E3A80"/>
    <w:rsid w:val="002E41C7"/>
    <w:rsid w:val="002E51DF"/>
    <w:rsid w:val="002E555B"/>
    <w:rsid w:val="002E57B9"/>
    <w:rsid w:val="002E6127"/>
    <w:rsid w:val="002E6885"/>
    <w:rsid w:val="002E6E81"/>
    <w:rsid w:val="002E72E4"/>
    <w:rsid w:val="002E739D"/>
    <w:rsid w:val="002F0F36"/>
    <w:rsid w:val="002F0FE4"/>
    <w:rsid w:val="002F1276"/>
    <w:rsid w:val="002F1986"/>
    <w:rsid w:val="002F1E5F"/>
    <w:rsid w:val="002F2A49"/>
    <w:rsid w:val="002F3550"/>
    <w:rsid w:val="002F3B63"/>
    <w:rsid w:val="002F3C56"/>
    <w:rsid w:val="002F46B0"/>
    <w:rsid w:val="002F4B17"/>
    <w:rsid w:val="002F5150"/>
    <w:rsid w:val="002F5463"/>
    <w:rsid w:val="002F58C2"/>
    <w:rsid w:val="002F5932"/>
    <w:rsid w:val="002F5C85"/>
    <w:rsid w:val="002F603B"/>
    <w:rsid w:val="002F6201"/>
    <w:rsid w:val="002F6884"/>
    <w:rsid w:val="002F6A2B"/>
    <w:rsid w:val="002F6CB1"/>
    <w:rsid w:val="002F724B"/>
    <w:rsid w:val="002F72BA"/>
    <w:rsid w:val="00300267"/>
    <w:rsid w:val="003004D2"/>
    <w:rsid w:val="00300674"/>
    <w:rsid w:val="00300C88"/>
    <w:rsid w:val="00300D6B"/>
    <w:rsid w:val="00301380"/>
    <w:rsid w:val="00301E89"/>
    <w:rsid w:val="00302052"/>
    <w:rsid w:val="00302142"/>
    <w:rsid w:val="00302169"/>
    <w:rsid w:val="00302612"/>
    <w:rsid w:val="00303254"/>
    <w:rsid w:val="00303B08"/>
    <w:rsid w:val="0030408D"/>
    <w:rsid w:val="003044D9"/>
    <w:rsid w:val="00304D8A"/>
    <w:rsid w:val="00305216"/>
    <w:rsid w:val="0030555B"/>
    <w:rsid w:val="00305BFD"/>
    <w:rsid w:val="003061F5"/>
    <w:rsid w:val="00306D27"/>
    <w:rsid w:val="0030739C"/>
    <w:rsid w:val="00310D51"/>
    <w:rsid w:val="00311B36"/>
    <w:rsid w:val="00311C92"/>
    <w:rsid w:val="003133AE"/>
    <w:rsid w:val="00313414"/>
    <w:rsid w:val="0031371B"/>
    <w:rsid w:val="00313F2D"/>
    <w:rsid w:val="00314156"/>
    <w:rsid w:val="00315081"/>
    <w:rsid w:val="0031535B"/>
    <w:rsid w:val="003170F4"/>
    <w:rsid w:val="0031750F"/>
    <w:rsid w:val="0032035D"/>
    <w:rsid w:val="003205E9"/>
    <w:rsid w:val="00320B28"/>
    <w:rsid w:val="0032123E"/>
    <w:rsid w:val="003216D5"/>
    <w:rsid w:val="003216FF"/>
    <w:rsid w:val="00321866"/>
    <w:rsid w:val="00321A83"/>
    <w:rsid w:val="00321C1A"/>
    <w:rsid w:val="00321F6B"/>
    <w:rsid w:val="00322389"/>
    <w:rsid w:val="00322BE5"/>
    <w:rsid w:val="00322E87"/>
    <w:rsid w:val="0032312D"/>
    <w:rsid w:val="00323AA5"/>
    <w:rsid w:val="003242E4"/>
    <w:rsid w:val="0032468D"/>
    <w:rsid w:val="00324926"/>
    <w:rsid w:val="00324B25"/>
    <w:rsid w:val="0032522F"/>
    <w:rsid w:val="003253C4"/>
    <w:rsid w:val="0032550F"/>
    <w:rsid w:val="00325992"/>
    <w:rsid w:val="00325B74"/>
    <w:rsid w:val="0032638F"/>
    <w:rsid w:val="00326B59"/>
    <w:rsid w:val="003272C6"/>
    <w:rsid w:val="0032746C"/>
    <w:rsid w:val="00327752"/>
    <w:rsid w:val="00327C7C"/>
    <w:rsid w:val="00330009"/>
    <w:rsid w:val="003301E6"/>
    <w:rsid w:val="003310AB"/>
    <w:rsid w:val="003314D2"/>
    <w:rsid w:val="00331712"/>
    <w:rsid w:val="00331A3F"/>
    <w:rsid w:val="00332191"/>
    <w:rsid w:val="00332720"/>
    <w:rsid w:val="00332EED"/>
    <w:rsid w:val="003334A7"/>
    <w:rsid w:val="003337E8"/>
    <w:rsid w:val="00333A14"/>
    <w:rsid w:val="00333B2A"/>
    <w:rsid w:val="00333FD5"/>
    <w:rsid w:val="003350E9"/>
    <w:rsid w:val="003351BA"/>
    <w:rsid w:val="0033520F"/>
    <w:rsid w:val="00335519"/>
    <w:rsid w:val="0033596B"/>
    <w:rsid w:val="00335A93"/>
    <w:rsid w:val="0033650E"/>
    <w:rsid w:val="003366EF"/>
    <w:rsid w:val="00336907"/>
    <w:rsid w:val="003369DF"/>
    <w:rsid w:val="00336C71"/>
    <w:rsid w:val="00336D96"/>
    <w:rsid w:val="00336DFC"/>
    <w:rsid w:val="00337230"/>
    <w:rsid w:val="00337588"/>
    <w:rsid w:val="003377D0"/>
    <w:rsid w:val="00337D75"/>
    <w:rsid w:val="00340020"/>
    <w:rsid w:val="0034081A"/>
    <w:rsid w:val="00341162"/>
    <w:rsid w:val="00341866"/>
    <w:rsid w:val="00341DAF"/>
    <w:rsid w:val="00342181"/>
    <w:rsid w:val="003423FE"/>
    <w:rsid w:val="0034339B"/>
    <w:rsid w:val="00343560"/>
    <w:rsid w:val="00343A20"/>
    <w:rsid w:val="0034402B"/>
    <w:rsid w:val="0034449E"/>
    <w:rsid w:val="00344D46"/>
    <w:rsid w:val="0034621B"/>
    <w:rsid w:val="003465A5"/>
    <w:rsid w:val="00346817"/>
    <w:rsid w:val="00347440"/>
    <w:rsid w:val="003475EA"/>
    <w:rsid w:val="0034792D"/>
    <w:rsid w:val="00347A27"/>
    <w:rsid w:val="00347CD4"/>
    <w:rsid w:val="00350A55"/>
    <w:rsid w:val="00350DF8"/>
    <w:rsid w:val="00351A8A"/>
    <w:rsid w:val="00352541"/>
    <w:rsid w:val="0035266A"/>
    <w:rsid w:val="0035279C"/>
    <w:rsid w:val="00352B23"/>
    <w:rsid w:val="00352C49"/>
    <w:rsid w:val="003534D3"/>
    <w:rsid w:val="003535D2"/>
    <w:rsid w:val="0035384D"/>
    <w:rsid w:val="003538DE"/>
    <w:rsid w:val="00353BF0"/>
    <w:rsid w:val="00353C0B"/>
    <w:rsid w:val="00354AE4"/>
    <w:rsid w:val="00354B0A"/>
    <w:rsid w:val="0035551B"/>
    <w:rsid w:val="003555ED"/>
    <w:rsid w:val="00355911"/>
    <w:rsid w:val="0035636B"/>
    <w:rsid w:val="00356714"/>
    <w:rsid w:val="00357424"/>
    <w:rsid w:val="00361789"/>
    <w:rsid w:val="0036196D"/>
    <w:rsid w:val="00361EEC"/>
    <w:rsid w:val="0036208F"/>
    <w:rsid w:val="003627BD"/>
    <w:rsid w:val="00362997"/>
    <w:rsid w:val="003629B5"/>
    <w:rsid w:val="00362C59"/>
    <w:rsid w:val="00363040"/>
    <w:rsid w:val="003630B7"/>
    <w:rsid w:val="00363275"/>
    <w:rsid w:val="0036344B"/>
    <w:rsid w:val="00363786"/>
    <w:rsid w:val="003638A4"/>
    <w:rsid w:val="003639BF"/>
    <w:rsid w:val="00363DDC"/>
    <w:rsid w:val="00363E41"/>
    <w:rsid w:val="00363ED8"/>
    <w:rsid w:val="00363FD2"/>
    <w:rsid w:val="003644D0"/>
    <w:rsid w:val="003651F5"/>
    <w:rsid w:val="0036572E"/>
    <w:rsid w:val="003658D4"/>
    <w:rsid w:val="003663D9"/>
    <w:rsid w:val="003666BF"/>
    <w:rsid w:val="00366707"/>
    <w:rsid w:val="00366FA9"/>
    <w:rsid w:val="00367E49"/>
    <w:rsid w:val="003700E6"/>
    <w:rsid w:val="00371C86"/>
    <w:rsid w:val="0037236C"/>
    <w:rsid w:val="003729DE"/>
    <w:rsid w:val="003735D3"/>
    <w:rsid w:val="0037386D"/>
    <w:rsid w:val="00373956"/>
    <w:rsid w:val="00374153"/>
    <w:rsid w:val="003750E0"/>
    <w:rsid w:val="00375AF1"/>
    <w:rsid w:val="00375C2F"/>
    <w:rsid w:val="00375FC5"/>
    <w:rsid w:val="003769BA"/>
    <w:rsid w:val="0037776D"/>
    <w:rsid w:val="00377871"/>
    <w:rsid w:val="003778B2"/>
    <w:rsid w:val="00377E58"/>
    <w:rsid w:val="003805E3"/>
    <w:rsid w:val="00380618"/>
    <w:rsid w:val="0038062E"/>
    <w:rsid w:val="003807F7"/>
    <w:rsid w:val="00381610"/>
    <w:rsid w:val="00382106"/>
    <w:rsid w:val="00382657"/>
    <w:rsid w:val="00382B82"/>
    <w:rsid w:val="00383E73"/>
    <w:rsid w:val="003844BF"/>
    <w:rsid w:val="003852BA"/>
    <w:rsid w:val="003854D5"/>
    <w:rsid w:val="0038552A"/>
    <w:rsid w:val="003859EA"/>
    <w:rsid w:val="0038709E"/>
    <w:rsid w:val="00387D30"/>
    <w:rsid w:val="00390A4D"/>
    <w:rsid w:val="00391753"/>
    <w:rsid w:val="00391C7F"/>
    <w:rsid w:val="00392454"/>
    <w:rsid w:val="00392A6C"/>
    <w:rsid w:val="00392C85"/>
    <w:rsid w:val="00392FD8"/>
    <w:rsid w:val="00393B22"/>
    <w:rsid w:val="00393E11"/>
    <w:rsid w:val="00394475"/>
    <w:rsid w:val="00394956"/>
    <w:rsid w:val="00394C48"/>
    <w:rsid w:val="0039517A"/>
    <w:rsid w:val="00395B51"/>
    <w:rsid w:val="00396548"/>
    <w:rsid w:val="00396796"/>
    <w:rsid w:val="00396EC6"/>
    <w:rsid w:val="00396F3C"/>
    <w:rsid w:val="003970BA"/>
    <w:rsid w:val="0039746C"/>
    <w:rsid w:val="00397DC6"/>
    <w:rsid w:val="003A0E82"/>
    <w:rsid w:val="003A0FAC"/>
    <w:rsid w:val="003A184D"/>
    <w:rsid w:val="003A1C35"/>
    <w:rsid w:val="003A1FB7"/>
    <w:rsid w:val="003A2962"/>
    <w:rsid w:val="003A371E"/>
    <w:rsid w:val="003A462A"/>
    <w:rsid w:val="003A4CE8"/>
    <w:rsid w:val="003A595F"/>
    <w:rsid w:val="003A5EEC"/>
    <w:rsid w:val="003A6B93"/>
    <w:rsid w:val="003A79AE"/>
    <w:rsid w:val="003A7CA3"/>
    <w:rsid w:val="003B00B6"/>
    <w:rsid w:val="003B01C4"/>
    <w:rsid w:val="003B0BB0"/>
    <w:rsid w:val="003B11EE"/>
    <w:rsid w:val="003B1332"/>
    <w:rsid w:val="003B15F8"/>
    <w:rsid w:val="003B18EB"/>
    <w:rsid w:val="003B230B"/>
    <w:rsid w:val="003B23BC"/>
    <w:rsid w:val="003B2DB5"/>
    <w:rsid w:val="003B2F05"/>
    <w:rsid w:val="003B3966"/>
    <w:rsid w:val="003B39B7"/>
    <w:rsid w:val="003B4EB0"/>
    <w:rsid w:val="003B5F6A"/>
    <w:rsid w:val="003B6B7F"/>
    <w:rsid w:val="003B7820"/>
    <w:rsid w:val="003C01A4"/>
    <w:rsid w:val="003C0219"/>
    <w:rsid w:val="003C07FE"/>
    <w:rsid w:val="003C0C12"/>
    <w:rsid w:val="003C16EE"/>
    <w:rsid w:val="003C1C87"/>
    <w:rsid w:val="003C2C85"/>
    <w:rsid w:val="003C2F61"/>
    <w:rsid w:val="003C345E"/>
    <w:rsid w:val="003C4409"/>
    <w:rsid w:val="003C4997"/>
    <w:rsid w:val="003C4DA5"/>
    <w:rsid w:val="003C5666"/>
    <w:rsid w:val="003C6304"/>
    <w:rsid w:val="003C64F4"/>
    <w:rsid w:val="003C6DE1"/>
    <w:rsid w:val="003C724B"/>
    <w:rsid w:val="003C73DB"/>
    <w:rsid w:val="003D0185"/>
    <w:rsid w:val="003D02CB"/>
    <w:rsid w:val="003D0382"/>
    <w:rsid w:val="003D057A"/>
    <w:rsid w:val="003D069C"/>
    <w:rsid w:val="003D0BC2"/>
    <w:rsid w:val="003D191E"/>
    <w:rsid w:val="003D22A5"/>
    <w:rsid w:val="003D22C7"/>
    <w:rsid w:val="003D23A4"/>
    <w:rsid w:val="003D3414"/>
    <w:rsid w:val="003D3426"/>
    <w:rsid w:val="003D3721"/>
    <w:rsid w:val="003D46BA"/>
    <w:rsid w:val="003D590A"/>
    <w:rsid w:val="003D6722"/>
    <w:rsid w:val="003D7428"/>
    <w:rsid w:val="003D77F2"/>
    <w:rsid w:val="003D78CC"/>
    <w:rsid w:val="003D7901"/>
    <w:rsid w:val="003D7D01"/>
    <w:rsid w:val="003D7ED8"/>
    <w:rsid w:val="003E0003"/>
    <w:rsid w:val="003E0099"/>
    <w:rsid w:val="003E08C7"/>
    <w:rsid w:val="003E0992"/>
    <w:rsid w:val="003E1A72"/>
    <w:rsid w:val="003E2880"/>
    <w:rsid w:val="003E28FB"/>
    <w:rsid w:val="003E2A00"/>
    <w:rsid w:val="003E382C"/>
    <w:rsid w:val="003E3D00"/>
    <w:rsid w:val="003E3FD6"/>
    <w:rsid w:val="003E4531"/>
    <w:rsid w:val="003E4771"/>
    <w:rsid w:val="003E54A8"/>
    <w:rsid w:val="003E5833"/>
    <w:rsid w:val="003E5DA8"/>
    <w:rsid w:val="003E7109"/>
    <w:rsid w:val="003E77DC"/>
    <w:rsid w:val="003E7BC1"/>
    <w:rsid w:val="003F0453"/>
    <w:rsid w:val="003F097D"/>
    <w:rsid w:val="003F0C9F"/>
    <w:rsid w:val="003F144A"/>
    <w:rsid w:val="003F1B02"/>
    <w:rsid w:val="003F1EFE"/>
    <w:rsid w:val="003F2212"/>
    <w:rsid w:val="003F2240"/>
    <w:rsid w:val="003F2460"/>
    <w:rsid w:val="003F2BD1"/>
    <w:rsid w:val="003F2E7B"/>
    <w:rsid w:val="003F3932"/>
    <w:rsid w:val="003F39C7"/>
    <w:rsid w:val="003F3CD5"/>
    <w:rsid w:val="003F4473"/>
    <w:rsid w:val="003F4CF5"/>
    <w:rsid w:val="003F4E31"/>
    <w:rsid w:val="003F51EE"/>
    <w:rsid w:val="003F574E"/>
    <w:rsid w:val="003F60D6"/>
    <w:rsid w:val="003F68E9"/>
    <w:rsid w:val="003F73EA"/>
    <w:rsid w:val="003F7E15"/>
    <w:rsid w:val="003F7FDA"/>
    <w:rsid w:val="00400DE4"/>
    <w:rsid w:val="004013AD"/>
    <w:rsid w:val="004021C0"/>
    <w:rsid w:val="004028CE"/>
    <w:rsid w:val="0040313D"/>
    <w:rsid w:val="004043FA"/>
    <w:rsid w:val="00404970"/>
    <w:rsid w:val="00405181"/>
    <w:rsid w:val="0040567F"/>
    <w:rsid w:val="00405873"/>
    <w:rsid w:val="00405F09"/>
    <w:rsid w:val="004066F4"/>
    <w:rsid w:val="00406A32"/>
    <w:rsid w:val="0040760B"/>
    <w:rsid w:val="00410117"/>
    <w:rsid w:val="00410C32"/>
    <w:rsid w:val="004111FB"/>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B02"/>
    <w:rsid w:val="00413D45"/>
    <w:rsid w:val="00414197"/>
    <w:rsid w:val="00414D68"/>
    <w:rsid w:val="00414FD9"/>
    <w:rsid w:val="00415773"/>
    <w:rsid w:val="00415CAE"/>
    <w:rsid w:val="00415EE7"/>
    <w:rsid w:val="004160FA"/>
    <w:rsid w:val="004164AE"/>
    <w:rsid w:val="0041669E"/>
    <w:rsid w:val="00416ACA"/>
    <w:rsid w:val="00416C56"/>
    <w:rsid w:val="00417294"/>
    <w:rsid w:val="004176B8"/>
    <w:rsid w:val="00417B99"/>
    <w:rsid w:val="00417CE0"/>
    <w:rsid w:val="004209D5"/>
    <w:rsid w:val="00420FAF"/>
    <w:rsid w:val="00421184"/>
    <w:rsid w:val="004212C1"/>
    <w:rsid w:val="004214B7"/>
    <w:rsid w:val="00421988"/>
    <w:rsid w:val="00421FB5"/>
    <w:rsid w:val="0042219F"/>
    <w:rsid w:val="004226ED"/>
    <w:rsid w:val="00422AF4"/>
    <w:rsid w:val="004235F4"/>
    <w:rsid w:val="004236C9"/>
    <w:rsid w:val="00423CF3"/>
    <w:rsid w:val="00423E18"/>
    <w:rsid w:val="00424B7C"/>
    <w:rsid w:val="0042500C"/>
    <w:rsid w:val="00425514"/>
    <w:rsid w:val="004256BD"/>
    <w:rsid w:val="00425863"/>
    <w:rsid w:val="00425D02"/>
    <w:rsid w:val="00425EDC"/>
    <w:rsid w:val="00426C3E"/>
    <w:rsid w:val="004275CD"/>
    <w:rsid w:val="00427FEB"/>
    <w:rsid w:val="00427FF2"/>
    <w:rsid w:val="004305C0"/>
    <w:rsid w:val="00430B20"/>
    <w:rsid w:val="00430B6C"/>
    <w:rsid w:val="0043135D"/>
    <w:rsid w:val="0043227C"/>
    <w:rsid w:val="004335C0"/>
    <w:rsid w:val="00433AFC"/>
    <w:rsid w:val="00434193"/>
    <w:rsid w:val="00435068"/>
    <w:rsid w:val="00435715"/>
    <w:rsid w:val="0043571B"/>
    <w:rsid w:val="00435EE0"/>
    <w:rsid w:val="00435F29"/>
    <w:rsid w:val="0043610C"/>
    <w:rsid w:val="004366FF"/>
    <w:rsid w:val="004376D3"/>
    <w:rsid w:val="0043777D"/>
    <w:rsid w:val="00437D83"/>
    <w:rsid w:val="004401DD"/>
    <w:rsid w:val="00440344"/>
    <w:rsid w:val="00441264"/>
    <w:rsid w:val="00441B0F"/>
    <w:rsid w:val="004425C6"/>
    <w:rsid w:val="00443512"/>
    <w:rsid w:val="00443A55"/>
    <w:rsid w:val="00443CA6"/>
    <w:rsid w:val="00443D5D"/>
    <w:rsid w:val="00445CBA"/>
    <w:rsid w:val="004463CB"/>
    <w:rsid w:val="004466F7"/>
    <w:rsid w:val="00446858"/>
    <w:rsid w:val="00447304"/>
    <w:rsid w:val="00450127"/>
    <w:rsid w:val="0045075F"/>
    <w:rsid w:val="004516AD"/>
    <w:rsid w:val="00451E84"/>
    <w:rsid w:val="00451EA3"/>
    <w:rsid w:val="00451F01"/>
    <w:rsid w:val="00453349"/>
    <w:rsid w:val="004546A7"/>
    <w:rsid w:val="00454831"/>
    <w:rsid w:val="004548DF"/>
    <w:rsid w:val="00455B98"/>
    <w:rsid w:val="00455E25"/>
    <w:rsid w:val="00456CC0"/>
    <w:rsid w:val="0045755C"/>
    <w:rsid w:val="00457933"/>
    <w:rsid w:val="00457C78"/>
    <w:rsid w:val="00460136"/>
    <w:rsid w:val="00460735"/>
    <w:rsid w:val="00460AD5"/>
    <w:rsid w:val="00460EB8"/>
    <w:rsid w:val="00461090"/>
    <w:rsid w:val="004611D5"/>
    <w:rsid w:val="004617D8"/>
    <w:rsid w:val="00461991"/>
    <w:rsid w:val="00461A6B"/>
    <w:rsid w:val="00461C43"/>
    <w:rsid w:val="00462125"/>
    <w:rsid w:val="00463216"/>
    <w:rsid w:val="0046334D"/>
    <w:rsid w:val="00463848"/>
    <w:rsid w:val="00463BBF"/>
    <w:rsid w:val="00463C95"/>
    <w:rsid w:val="00463E1C"/>
    <w:rsid w:val="00464052"/>
    <w:rsid w:val="00464A0E"/>
    <w:rsid w:val="00464C9C"/>
    <w:rsid w:val="00465153"/>
    <w:rsid w:val="00465602"/>
    <w:rsid w:val="004669A6"/>
    <w:rsid w:val="00466AFD"/>
    <w:rsid w:val="00466E99"/>
    <w:rsid w:val="00470563"/>
    <w:rsid w:val="00470696"/>
    <w:rsid w:val="004724C9"/>
    <w:rsid w:val="00472585"/>
    <w:rsid w:val="00473045"/>
    <w:rsid w:val="00474130"/>
    <w:rsid w:val="004754EE"/>
    <w:rsid w:val="00475A6C"/>
    <w:rsid w:val="004764AF"/>
    <w:rsid w:val="00476D04"/>
    <w:rsid w:val="0047775E"/>
    <w:rsid w:val="00477AAE"/>
    <w:rsid w:val="00477AF6"/>
    <w:rsid w:val="00477B3B"/>
    <w:rsid w:val="00477BCB"/>
    <w:rsid w:val="004801A7"/>
    <w:rsid w:val="00480E47"/>
    <w:rsid w:val="00481666"/>
    <w:rsid w:val="0048181B"/>
    <w:rsid w:val="00481F2B"/>
    <w:rsid w:val="004820C5"/>
    <w:rsid w:val="00482198"/>
    <w:rsid w:val="004823D8"/>
    <w:rsid w:val="0048285B"/>
    <w:rsid w:val="00482F20"/>
    <w:rsid w:val="00483196"/>
    <w:rsid w:val="0048340F"/>
    <w:rsid w:val="0048384A"/>
    <w:rsid w:val="0048423C"/>
    <w:rsid w:val="00484449"/>
    <w:rsid w:val="004845A6"/>
    <w:rsid w:val="00484C71"/>
    <w:rsid w:val="004852CE"/>
    <w:rsid w:val="0048540C"/>
    <w:rsid w:val="0048561D"/>
    <w:rsid w:val="00485EDD"/>
    <w:rsid w:val="00485F92"/>
    <w:rsid w:val="004860BD"/>
    <w:rsid w:val="004866E1"/>
    <w:rsid w:val="00486C72"/>
    <w:rsid w:val="0049030D"/>
    <w:rsid w:val="00490954"/>
    <w:rsid w:val="004921DC"/>
    <w:rsid w:val="0049277A"/>
    <w:rsid w:val="00492B38"/>
    <w:rsid w:val="00492FE4"/>
    <w:rsid w:val="00493035"/>
    <w:rsid w:val="00493321"/>
    <w:rsid w:val="004936DE"/>
    <w:rsid w:val="0049544E"/>
    <w:rsid w:val="00495670"/>
    <w:rsid w:val="0049604B"/>
    <w:rsid w:val="00496AC9"/>
    <w:rsid w:val="004A040E"/>
    <w:rsid w:val="004A042D"/>
    <w:rsid w:val="004A11E0"/>
    <w:rsid w:val="004A1FC5"/>
    <w:rsid w:val="004A2158"/>
    <w:rsid w:val="004A29A5"/>
    <w:rsid w:val="004A3225"/>
    <w:rsid w:val="004A374A"/>
    <w:rsid w:val="004A395B"/>
    <w:rsid w:val="004A39D9"/>
    <w:rsid w:val="004A3C59"/>
    <w:rsid w:val="004A3FE2"/>
    <w:rsid w:val="004A480D"/>
    <w:rsid w:val="004A4D76"/>
    <w:rsid w:val="004A522F"/>
    <w:rsid w:val="004A5851"/>
    <w:rsid w:val="004A5A91"/>
    <w:rsid w:val="004A5B0F"/>
    <w:rsid w:val="004A5CF1"/>
    <w:rsid w:val="004A66E0"/>
    <w:rsid w:val="004A7AAE"/>
    <w:rsid w:val="004A7D49"/>
    <w:rsid w:val="004A7F21"/>
    <w:rsid w:val="004B08DB"/>
    <w:rsid w:val="004B1422"/>
    <w:rsid w:val="004B24EB"/>
    <w:rsid w:val="004B29AC"/>
    <w:rsid w:val="004B3C8B"/>
    <w:rsid w:val="004B44A9"/>
    <w:rsid w:val="004B4509"/>
    <w:rsid w:val="004B452A"/>
    <w:rsid w:val="004B4871"/>
    <w:rsid w:val="004B4ADF"/>
    <w:rsid w:val="004B4C00"/>
    <w:rsid w:val="004B4E06"/>
    <w:rsid w:val="004B5493"/>
    <w:rsid w:val="004B5914"/>
    <w:rsid w:val="004B6C77"/>
    <w:rsid w:val="004B6D0A"/>
    <w:rsid w:val="004B7995"/>
    <w:rsid w:val="004C02B3"/>
    <w:rsid w:val="004C098E"/>
    <w:rsid w:val="004C0BBE"/>
    <w:rsid w:val="004C0E2F"/>
    <w:rsid w:val="004C1194"/>
    <w:rsid w:val="004C222E"/>
    <w:rsid w:val="004C2561"/>
    <w:rsid w:val="004C2806"/>
    <w:rsid w:val="004C3ADD"/>
    <w:rsid w:val="004C428E"/>
    <w:rsid w:val="004C4775"/>
    <w:rsid w:val="004C483D"/>
    <w:rsid w:val="004C48A9"/>
    <w:rsid w:val="004C590B"/>
    <w:rsid w:val="004C6326"/>
    <w:rsid w:val="004C63C7"/>
    <w:rsid w:val="004C6D39"/>
    <w:rsid w:val="004C6D98"/>
    <w:rsid w:val="004C7217"/>
    <w:rsid w:val="004C75B5"/>
    <w:rsid w:val="004C7743"/>
    <w:rsid w:val="004C77A7"/>
    <w:rsid w:val="004C7DBE"/>
    <w:rsid w:val="004C7F57"/>
    <w:rsid w:val="004D032B"/>
    <w:rsid w:val="004D039E"/>
    <w:rsid w:val="004D04A3"/>
    <w:rsid w:val="004D0C9F"/>
    <w:rsid w:val="004D15FD"/>
    <w:rsid w:val="004D2369"/>
    <w:rsid w:val="004D2485"/>
    <w:rsid w:val="004D3A57"/>
    <w:rsid w:val="004D3B2A"/>
    <w:rsid w:val="004D47FF"/>
    <w:rsid w:val="004D4D35"/>
    <w:rsid w:val="004D518F"/>
    <w:rsid w:val="004D54D7"/>
    <w:rsid w:val="004D5BB7"/>
    <w:rsid w:val="004D6053"/>
    <w:rsid w:val="004D61EF"/>
    <w:rsid w:val="004D6FA4"/>
    <w:rsid w:val="004D7C23"/>
    <w:rsid w:val="004D7EBE"/>
    <w:rsid w:val="004E01C6"/>
    <w:rsid w:val="004E0212"/>
    <w:rsid w:val="004E0ADC"/>
    <w:rsid w:val="004E0FB1"/>
    <w:rsid w:val="004E1043"/>
    <w:rsid w:val="004E1DCA"/>
    <w:rsid w:val="004E1F76"/>
    <w:rsid w:val="004E21B4"/>
    <w:rsid w:val="004E252B"/>
    <w:rsid w:val="004E2861"/>
    <w:rsid w:val="004E2A85"/>
    <w:rsid w:val="004E2C09"/>
    <w:rsid w:val="004E3F72"/>
    <w:rsid w:val="004E4A78"/>
    <w:rsid w:val="004E551E"/>
    <w:rsid w:val="004E58F6"/>
    <w:rsid w:val="004E5E37"/>
    <w:rsid w:val="004E5E4C"/>
    <w:rsid w:val="004E623E"/>
    <w:rsid w:val="004E6CF9"/>
    <w:rsid w:val="004E734E"/>
    <w:rsid w:val="004E7EC0"/>
    <w:rsid w:val="004E7F48"/>
    <w:rsid w:val="004F014E"/>
    <w:rsid w:val="004F0BC6"/>
    <w:rsid w:val="004F1123"/>
    <w:rsid w:val="004F1715"/>
    <w:rsid w:val="004F17DA"/>
    <w:rsid w:val="004F184C"/>
    <w:rsid w:val="004F2927"/>
    <w:rsid w:val="004F3BD2"/>
    <w:rsid w:val="004F4372"/>
    <w:rsid w:val="004F43E0"/>
    <w:rsid w:val="004F45EB"/>
    <w:rsid w:val="004F521B"/>
    <w:rsid w:val="004F52BB"/>
    <w:rsid w:val="004F53BF"/>
    <w:rsid w:val="004F5582"/>
    <w:rsid w:val="004F59B8"/>
    <w:rsid w:val="004F5BD9"/>
    <w:rsid w:val="004F62A7"/>
    <w:rsid w:val="004F62F9"/>
    <w:rsid w:val="004F66B3"/>
    <w:rsid w:val="004F674C"/>
    <w:rsid w:val="004F7352"/>
    <w:rsid w:val="004F7EE2"/>
    <w:rsid w:val="0050015C"/>
    <w:rsid w:val="00500418"/>
    <w:rsid w:val="00500CCF"/>
    <w:rsid w:val="00500E62"/>
    <w:rsid w:val="005010DE"/>
    <w:rsid w:val="005011FD"/>
    <w:rsid w:val="0050164B"/>
    <w:rsid w:val="00502958"/>
    <w:rsid w:val="00502BD2"/>
    <w:rsid w:val="00502DA4"/>
    <w:rsid w:val="00503F83"/>
    <w:rsid w:val="0050421C"/>
    <w:rsid w:val="00504A9B"/>
    <w:rsid w:val="00504E9A"/>
    <w:rsid w:val="00504F83"/>
    <w:rsid w:val="005059B9"/>
    <w:rsid w:val="00505F64"/>
    <w:rsid w:val="00506DCD"/>
    <w:rsid w:val="00507325"/>
    <w:rsid w:val="00507C56"/>
    <w:rsid w:val="00507F13"/>
    <w:rsid w:val="00510809"/>
    <w:rsid w:val="005109D4"/>
    <w:rsid w:val="00510CF4"/>
    <w:rsid w:val="0051160A"/>
    <w:rsid w:val="005118BA"/>
    <w:rsid w:val="00512D87"/>
    <w:rsid w:val="005130DA"/>
    <w:rsid w:val="00513998"/>
    <w:rsid w:val="00513DDA"/>
    <w:rsid w:val="00513E19"/>
    <w:rsid w:val="005148B4"/>
    <w:rsid w:val="00514B29"/>
    <w:rsid w:val="00514C19"/>
    <w:rsid w:val="005152B1"/>
    <w:rsid w:val="005152F0"/>
    <w:rsid w:val="00515856"/>
    <w:rsid w:val="005163E6"/>
    <w:rsid w:val="005167B6"/>
    <w:rsid w:val="005172EC"/>
    <w:rsid w:val="0051740D"/>
    <w:rsid w:val="00517888"/>
    <w:rsid w:val="005178CE"/>
    <w:rsid w:val="00521CAB"/>
    <w:rsid w:val="005224EF"/>
    <w:rsid w:val="00522654"/>
    <w:rsid w:val="00522835"/>
    <w:rsid w:val="0052293D"/>
    <w:rsid w:val="00522AF4"/>
    <w:rsid w:val="00522B93"/>
    <w:rsid w:val="00523499"/>
    <w:rsid w:val="00523BC7"/>
    <w:rsid w:val="00523C08"/>
    <w:rsid w:val="00523C10"/>
    <w:rsid w:val="005245D5"/>
    <w:rsid w:val="00524889"/>
    <w:rsid w:val="0052575D"/>
    <w:rsid w:val="00525A53"/>
    <w:rsid w:val="00525C1F"/>
    <w:rsid w:val="00526569"/>
    <w:rsid w:val="00526726"/>
    <w:rsid w:val="00526C14"/>
    <w:rsid w:val="00527256"/>
    <w:rsid w:val="00527B57"/>
    <w:rsid w:val="00527C8D"/>
    <w:rsid w:val="0053021B"/>
    <w:rsid w:val="00530AC4"/>
    <w:rsid w:val="00532115"/>
    <w:rsid w:val="0053265B"/>
    <w:rsid w:val="00532958"/>
    <w:rsid w:val="00533169"/>
    <w:rsid w:val="00533194"/>
    <w:rsid w:val="005332C8"/>
    <w:rsid w:val="0053464E"/>
    <w:rsid w:val="005346C8"/>
    <w:rsid w:val="005352C8"/>
    <w:rsid w:val="005354C1"/>
    <w:rsid w:val="00535F99"/>
    <w:rsid w:val="00536356"/>
    <w:rsid w:val="00536CBB"/>
    <w:rsid w:val="00536DDD"/>
    <w:rsid w:val="00537033"/>
    <w:rsid w:val="00537085"/>
    <w:rsid w:val="00540A37"/>
    <w:rsid w:val="00540B49"/>
    <w:rsid w:val="005418DB"/>
    <w:rsid w:val="005434EA"/>
    <w:rsid w:val="00545D55"/>
    <w:rsid w:val="005461AB"/>
    <w:rsid w:val="00546C6A"/>
    <w:rsid w:val="00546FBA"/>
    <w:rsid w:val="0054782D"/>
    <w:rsid w:val="00547F04"/>
    <w:rsid w:val="00550924"/>
    <w:rsid w:val="00550D63"/>
    <w:rsid w:val="00550EF1"/>
    <w:rsid w:val="00551075"/>
    <w:rsid w:val="005513C8"/>
    <w:rsid w:val="0055248E"/>
    <w:rsid w:val="0055352C"/>
    <w:rsid w:val="00553672"/>
    <w:rsid w:val="005538A6"/>
    <w:rsid w:val="00554F94"/>
    <w:rsid w:val="00555161"/>
    <w:rsid w:val="00555DE6"/>
    <w:rsid w:val="00555EB3"/>
    <w:rsid w:val="005567F6"/>
    <w:rsid w:val="00556E29"/>
    <w:rsid w:val="00557474"/>
    <w:rsid w:val="005575C9"/>
    <w:rsid w:val="00557DAA"/>
    <w:rsid w:val="00557DAD"/>
    <w:rsid w:val="00561138"/>
    <w:rsid w:val="00561699"/>
    <w:rsid w:val="0056194F"/>
    <w:rsid w:val="005619E1"/>
    <w:rsid w:val="00562629"/>
    <w:rsid w:val="005628FE"/>
    <w:rsid w:val="0056330E"/>
    <w:rsid w:val="0056364B"/>
    <w:rsid w:val="00564191"/>
    <w:rsid w:val="00564557"/>
    <w:rsid w:val="0056458C"/>
    <w:rsid w:val="00564628"/>
    <w:rsid w:val="005648B9"/>
    <w:rsid w:val="00564A3C"/>
    <w:rsid w:val="00564F82"/>
    <w:rsid w:val="005653AF"/>
    <w:rsid w:val="00565501"/>
    <w:rsid w:val="00565755"/>
    <w:rsid w:val="0056601E"/>
    <w:rsid w:val="00566406"/>
    <w:rsid w:val="00566538"/>
    <w:rsid w:val="0056725A"/>
    <w:rsid w:val="0056741F"/>
    <w:rsid w:val="00567647"/>
    <w:rsid w:val="0056781B"/>
    <w:rsid w:val="00567BE2"/>
    <w:rsid w:val="00570102"/>
    <w:rsid w:val="00570505"/>
    <w:rsid w:val="005712E6"/>
    <w:rsid w:val="00571C10"/>
    <w:rsid w:val="00572942"/>
    <w:rsid w:val="005730DB"/>
    <w:rsid w:val="00573251"/>
    <w:rsid w:val="005733A8"/>
    <w:rsid w:val="00573B5B"/>
    <w:rsid w:val="00573F55"/>
    <w:rsid w:val="0057540E"/>
    <w:rsid w:val="005757B6"/>
    <w:rsid w:val="00576EB8"/>
    <w:rsid w:val="0058000F"/>
    <w:rsid w:val="00580557"/>
    <w:rsid w:val="0058074F"/>
    <w:rsid w:val="005808F3"/>
    <w:rsid w:val="00580A76"/>
    <w:rsid w:val="00581042"/>
    <w:rsid w:val="00581703"/>
    <w:rsid w:val="00581B15"/>
    <w:rsid w:val="005821DD"/>
    <w:rsid w:val="00582E42"/>
    <w:rsid w:val="00583908"/>
    <w:rsid w:val="005842FB"/>
    <w:rsid w:val="00584757"/>
    <w:rsid w:val="00584E21"/>
    <w:rsid w:val="005856D5"/>
    <w:rsid w:val="0058608B"/>
    <w:rsid w:val="005863C1"/>
    <w:rsid w:val="0058654D"/>
    <w:rsid w:val="00586786"/>
    <w:rsid w:val="00587729"/>
    <w:rsid w:val="00587886"/>
    <w:rsid w:val="00587A66"/>
    <w:rsid w:val="00590147"/>
    <w:rsid w:val="00590BD1"/>
    <w:rsid w:val="00590D26"/>
    <w:rsid w:val="00591276"/>
    <w:rsid w:val="00591490"/>
    <w:rsid w:val="0059151A"/>
    <w:rsid w:val="005916C9"/>
    <w:rsid w:val="00591C7E"/>
    <w:rsid w:val="00591DCF"/>
    <w:rsid w:val="005929B4"/>
    <w:rsid w:val="00592A3C"/>
    <w:rsid w:val="0059367F"/>
    <w:rsid w:val="00593720"/>
    <w:rsid w:val="00593909"/>
    <w:rsid w:val="00593A71"/>
    <w:rsid w:val="005941E1"/>
    <w:rsid w:val="005943E2"/>
    <w:rsid w:val="005946A0"/>
    <w:rsid w:val="00594B8A"/>
    <w:rsid w:val="00595009"/>
    <w:rsid w:val="005954B7"/>
    <w:rsid w:val="00595A05"/>
    <w:rsid w:val="00595F17"/>
    <w:rsid w:val="00595F3D"/>
    <w:rsid w:val="00595F89"/>
    <w:rsid w:val="00596873"/>
    <w:rsid w:val="00596BB3"/>
    <w:rsid w:val="00596BD4"/>
    <w:rsid w:val="00596FA8"/>
    <w:rsid w:val="005971A7"/>
    <w:rsid w:val="00597310"/>
    <w:rsid w:val="005977AB"/>
    <w:rsid w:val="005A01C5"/>
    <w:rsid w:val="005A0201"/>
    <w:rsid w:val="005A0532"/>
    <w:rsid w:val="005A07E7"/>
    <w:rsid w:val="005A0A57"/>
    <w:rsid w:val="005A0B9F"/>
    <w:rsid w:val="005A0DBB"/>
    <w:rsid w:val="005A0EBD"/>
    <w:rsid w:val="005A1270"/>
    <w:rsid w:val="005A1295"/>
    <w:rsid w:val="005A1FBF"/>
    <w:rsid w:val="005A2081"/>
    <w:rsid w:val="005A29B1"/>
    <w:rsid w:val="005A2EBF"/>
    <w:rsid w:val="005A380B"/>
    <w:rsid w:val="005A4890"/>
    <w:rsid w:val="005A49D4"/>
    <w:rsid w:val="005A4D7C"/>
    <w:rsid w:val="005A51C9"/>
    <w:rsid w:val="005A5DC0"/>
    <w:rsid w:val="005A6B6D"/>
    <w:rsid w:val="005A6F0E"/>
    <w:rsid w:val="005A6F57"/>
    <w:rsid w:val="005A7018"/>
    <w:rsid w:val="005A7079"/>
    <w:rsid w:val="005A7235"/>
    <w:rsid w:val="005A795B"/>
    <w:rsid w:val="005A7A1A"/>
    <w:rsid w:val="005A7BAF"/>
    <w:rsid w:val="005B0652"/>
    <w:rsid w:val="005B1213"/>
    <w:rsid w:val="005B1329"/>
    <w:rsid w:val="005B1512"/>
    <w:rsid w:val="005B1B55"/>
    <w:rsid w:val="005B1DBD"/>
    <w:rsid w:val="005B2769"/>
    <w:rsid w:val="005B3EBD"/>
    <w:rsid w:val="005B48E8"/>
    <w:rsid w:val="005B56D9"/>
    <w:rsid w:val="005B581D"/>
    <w:rsid w:val="005B5BA3"/>
    <w:rsid w:val="005B5E62"/>
    <w:rsid w:val="005B727B"/>
    <w:rsid w:val="005B7341"/>
    <w:rsid w:val="005B778C"/>
    <w:rsid w:val="005B7E97"/>
    <w:rsid w:val="005B7F46"/>
    <w:rsid w:val="005C09A7"/>
    <w:rsid w:val="005C102D"/>
    <w:rsid w:val="005C132C"/>
    <w:rsid w:val="005C17FB"/>
    <w:rsid w:val="005C1833"/>
    <w:rsid w:val="005C1838"/>
    <w:rsid w:val="005C18C2"/>
    <w:rsid w:val="005C1D93"/>
    <w:rsid w:val="005C2063"/>
    <w:rsid w:val="005C244F"/>
    <w:rsid w:val="005C2767"/>
    <w:rsid w:val="005C2922"/>
    <w:rsid w:val="005C2F60"/>
    <w:rsid w:val="005C323D"/>
    <w:rsid w:val="005C3772"/>
    <w:rsid w:val="005C39C3"/>
    <w:rsid w:val="005C4229"/>
    <w:rsid w:val="005C4580"/>
    <w:rsid w:val="005C5065"/>
    <w:rsid w:val="005C52F3"/>
    <w:rsid w:val="005C564C"/>
    <w:rsid w:val="005C6234"/>
    <w:rsid w:val="005C6605"/>
    <w:rsid w:val="005C71A0"/>
    <w:rsid w:val="005C751C"/>
    <w:rsid w:val="005C7802"/>
    <w:rsid w:val="005C7B50"/>
    <w:rsid w:val="005C7E73"/>
    <w:rsid w:val="005D029E"/>
    <w:rsid w:val="005D0427"/>
    <w:rsid w:val="005D0776"/>
    <w:rsid w:val="005D07AE"/>
    <w:rsid w:val="005D0B55"/>
    <w:rsid w:val="005D0C83"/>
    <w:rsid w:val="005D113B"/>
    <w:rsid w:val="005D1732"/>
    <w:rsid w:val="005D1BAC"/>
    <w:rsid w:val="005D2D9A"/>
    <w:rsid w:val="005D3A6E"/>
    <w:rsid w:val="005D3B21"/>
    <w:rsid w:val="005D4019"/>
    <w:rsid w:val="005D41DC"/>
    <w:rsid w:val="005D43C3"/>
    <w:rsid w:val="005D460F"/>
    <w:rsid w:val="005D4638"/>
    <w:rsid w:val="005D4D7D"/>
    <w:rsid w:val="005D4DC5"/>
    <w:rsid w:val="005D5C22"/>
    <w:rsid w:val="005D5E6C"/>
    <w:rsid w:val="005D63A9"/>
    <w:rsid w:val="005D65D5"/>
    <w:rsid w:val="005D6C56"/>
    <w:rsid w:val="005D6F49"/>
    <w:rsid w:val="005D7E8A"/>
    <w:rsid w:val="005E06FA"/>
    <w:rsid w:val="005E11A5"/>
    <w:rsid w:val="005E13D4"/>
    <w:rsid w:val="005E1435"/>
    <w:rsid w:val="005E21F3"/>
    <w:rsid w:val="005E235C"/>
    <w:rsid w:val="005E3078"/>
    <w:rsid w:val="005E34C0"/>
    <w:rsid w:val="005E3D71"/>
    <w:rsid w:val="005E44F1"/>
    <w:rsid w:val="005E49CA"/>
    <w:rsid w:val="005E5427"/>
    <w:rsid w:val="005E5428"/>
    <w:rsid w:val="005E5A7C"/>
    <w:rsid w:val="005E5C33"/>
    <w:rsid w:val="005E5F53"/>
    <w:rsid w:val="005E6976"/>
    <w:rsid w:val="005E6E12"/>
    <w:rsid w:val="005E70CD"/>
    <w:rsid w:val="005E74B3"/>
    <w:rsid w:val="005E74EC"/>
    <w:rsid w:val="005E7AB6"/>
    <w:rsid w:val="005E7B1E"/>
    <w:rsid w:val="005E7CBC"/>
    <w:rsid w:val="005F0A62"/>
    <w:rsid w:val="005F0FA8"/>
    <w:rsid w:val="005F1C5D"/>
    <w:rsid w:val="005F222B"/>
    <w:rsid w:val="005F2317"/>
    <w:rsid w:val="005F2550"/>
    <w:rsid w:val="005F297E"/>
    <w:rsid w:val="005F2B2D"/>
    <w:rsid w:val="005F2D9C"/>
    <w:rsid w:val="005F2FD5"/>
    <w:rsid w:val="005F340A"/>
    <w:rsid w:val="005F3AE8"/>
    <w:rsid w:val="005F3B09"/>
    <w:rsid w:val="005F3B47"/>
    <w:rsid w:val="005F47C1"/>
    <w:rsid w:val="005F4926"/>
    <w:rsid w:val="005F4B6F"/>
    <w:rsid w:val="005F4FEE"/>
    <w:rsid w:val="005F5009"/>
    <w:rsid w:val="005F5054"/>
    <w:rsid w:val="005F530F"/>
    <w:rsid w:val="005F65D9"/>
    <w:rsid w:val="005F6768"/>
    <w:rsid w:val="005F69CF"/>
    <w:rsid w:val="005F6E39"/>
    <w:rsid w:val="005F6E58"/>
    <w:rsid w:val="005F704C"/>
    <w:rsid w:val="005F7A22"/>
    <w:rsid w:val="005F7B9D"/>
    <w:rsid w:val="00600501"/>
    <w:rsid w:val="006006CD"/>
    <w:rsid w:val="00600B0C"/>
    <w:rsid w:val="00601078"/>
    <w:rsid w:val="00602543"/>
    <w:rsid w:val="0060254C"/>
    <w:rsid w:val="00602DFA"/>
    <w:rsid w:val="006031D1"/>
    <w:rsid w:val="006033BF"/>
    <w:rsid w:val="00603702"/>
    <w:rsid w:val="00603B4B"/>
    <w:rsid w:val="00603F20"/>
    <w:rsid w:val="006042BD"/>
    <w:rsid w:val="00604A11"/>
    <w:rsid w:val="00604F37"/>
    <w:rsid w:val="0060508A"/>
    <w:rsid w:val="006055AF"/>
    <w:rsid w:val="00605942"/>
    <w:rsid w:val="00605C9F"/>
    <w:rsid w:val="00606814"/>
    <w:rsid w:val="006068E8"/>
    <w:rsid w:val="00606ADB"/>
    <w:rsid w:val="006072DE"/>
    <w:rsid w:val="006075F4"/>
    <w:rsid w:val="006078A8"/>
    <w:rsid w:val="00607BAD"/>
    <w:rsid w:val="00607EC7"/>
    <w:rsid w:val="0061048A"/>
    <w:rsid w:val="006104F8"/>
    <w:rsid w:val="00610AE7"/>
    <w:rsid w:val="00610BEE"/>
    <w:rsid w:val="00611178"/>
    <w:rsid w:val="0061148D"/>
    <w:rsid w:val="00611D01"/>
    <w:rsid w:val="006124B3"/>
    <w:rsid w:val="00612611"/>
    <w:rsid w:val="0061279A"/>
    <w:rsid w:val="00613009"/>
    <w:rsid w:val="006132EA"/>
    <w:rsid w:val="0061401C"/>
    <w:rsid w:val="0061420B"/>
    <w:rsid w:val="00614931"/>
    <w:rsid w:val="00614D33"/>
    <w:rsid w:val="0061537D"/>
    <w:rsid w:val="0061537F"/>
    <w:rsid w:val="00615DEA"/>
    <w:rsid w:val="00616A60"/>
    <w:rsid w:val="00616EE6"/>
    <w:rsid w:val="006171FB"/>
    <w:rsid w:val="00617A2A"/>
    <w:rsid w:val="006207F4"/>
    <w:rsid w:val="00620C67"/>
    <w:rsid w:val="00621646"/>
    <w:rsid w:val="00621803"/>
    <w:rsid w:val="006220F1"/>
    <w:rsid w:val="00623C68"/>
    <w:rsid w:val="00623E46"/>
    <w:rsid w:val="00624604"/>
    <w:rsid w:val="00624D2C"/>
    <w:rsid w:val="00624EF1"/>
    <w:rsid w:val="00625145"/>
    <w:rsid w:val="006262CD"/>
    <w:rsid w:val="00627402"/>
    <w:rsid w:val="00630480"/>
    <w:rsid w:val="0063058E"/>
    <w:rsid w:val="006305F8"/>
    <w:rsid w:val="00631DA7"/>
    <w:rsid w:val="00632B9C"/>
    <w:rsid w:val="00632F18"/>
    <w:rsid w:val="006332D7"/>
    <w:rsid w:val="0063333D"/>
    <w:rsid w:val="00634225"/>
    <w:rsid w:val="00635003"/>
    <w:rsid w:val="006351CE"/>
    <w:rsid w:val="006352FD"/>
    <w:rsid w:val="00635B15"/>
    <w:rsid w:val="006362E1"/>
    <w:rsid w:val="006367DA"/>
    <w:rsid w:val="00636FAD"/>
    <w:rsid w:val="006370E1"/>
    <w:rsid w:val="006375B2"/>
    <w:rsid w:val="006375BB"/>
    <w:rsid w:val="006379DE"/>
    <w:rsid w:val="006407FE"/>
    <w:rsid w:val="006409EE"/>
    <w:rsid w:val="00640BF7"/>
    <w:rsid w:val="00640C7D"/>
    <w:rsid w:val="00640E7E"/>
    <w:rsid w:val="00640FFF"/>
    <w:rsid w:val="00641761"/>
    <w:rsid w:val="006421D9"/>
    <w:rsid w:val="006424FE"/>
    <w:rsid w:val="006425FC"/>
    <w:rsid w:val="00642631"/>
    <w:rsid w:val="00642C3C"/>
    <w:rsid w:val="00642DF5"/>
    <w:rsid w:val="0064304A"/>
    <w:rsid w:val="0064329C"/>
    <w:rsid w:val="0064380B"/>
    <w:rsid w:val="00643A4F"/>
    <w:rsid w:val="00643FF5"/>
    <w:rsid w:val="006441FD"/>
    <w:rsid w:val="00644E5A"/>
    <w:rsid w:val="00644F2C"/>
    <w:rsid w:val="00645141"/>
    <w:rsid w:val="00645AEE"/>
    <w:rsid w:val="00646428"/>
    <w:rsid w:val="0064707F"/>
    <w:rsid w:val="006471E8"/>
    <w:rsid w:val="00647E90"/>
    <w:rsid w:val="00647FA3"/>
    <w:rsid w:val="006500F7"/>
    <w:rsid w:val="00650769"/>
    <w:rsid w:val="00650DF8"/>
    <w:rsid w:val="006516B7"/>
    <w:rsid w:val="006518E4"/>
    <w:rsid w:val="00651FB8"/>
    <w:rsid w:val="00652BA0"/>
    <w:rsid w:val="00652DF6"/>
    <w:rsid w:val="00652FCA"/>
    <w:rsid w:val="00653045"/>
    <w:rsid w:val="00653A25"/>
    <w:rsid w:val="00653D93"/>
    <w:rsid w:val="00653FDA"/>
    <w:rsid w:val="006541A0"/>
    <w:rsid w:val="00654E99"/>
    <w:rsid w:val="00655104"/>
    <w:rsid w:val="0065548F"/>
    <w:rsid w:val="0065558B"/>
    <w:rsid w:val="00655633"/>
    <w:rsid w:val="006559BB"/>
    <w:rsid w:val="00655A93"/>
    <w:rsid w:val="00655D93"/>
    <w:rsid w:val="00655E86"/>
    <w:rsid w:val="00656614"/>
    <w:rsid w:val="00656C4D"/>
    <w:rsid w:val="006577CD"/>
    <w:rsid w:val="006578A6"/>
    <w:rsid w:val="00657CCC"/>
    <w:rsid w:val="00660162"/>
    <w:rsid w:val="0066036D"/>
    <w:rsid w:val="006604FA"/>
    <w:rsid w:val="00660879"/>
    <w:rsid w:val="00661639"/>
    <w:rsid w:val="0066174D"/>
    <w:rsid w:val="00661E36"/>
    <w:rsid w:val="00661F03"/>
    <w:rsid w:val="006631D3"/>
    <w:rsid w:val="00663D0F"/>
    <w:rsid w:val="00664525"/>
    <w:rsid w:val="0066465B"/>
    <w:rsid w:val="00664C81"/>
    <w:rsid w:val="0066521A"/>
    <w:rsid w:val="0066540C"/>
    <w:rsid w:val="00665EAE"/>
    <w:rsid w:val="006661EA"/>
    <w:rsid w:val="00666909"/>
    <w:rsid w:val="00666EBC"/>
    <w:rsid w:val="00667189"/>
    <w:rsid w:val="0066749E"/>
    <w:rsid w:val="00667CCB"/>
    <w:rsid w:val="00667EFD"/>
    <w:rsid w:val="00670303"/>
    <w:rsid w:val="00670475"/>
    <w:rsid w:val="00670B8C"/>
    <w:rsid w:val="00670C4A"/>
    <w:rsid w:val="00671F3E"/>
    <w:rsid w:val="00672482"/>
    <w:rsid w:val="00672A18"/>
    <w:rsid w:val="006735D0"/>
    <w:rsid w:val="006739E9"/>
    <w:rsid w:val="00674AF5"/>
    <w:rsid w:val="00674D52"/>
    <w:rsid w:val="00674F93"/>
    <w:rsid w:val="0067546F"/>
    <w:rsid w:val="00675A94"/>
    <w:rsid w:val="00676CE4"/>
    <w:rsid w:val="00676EC2"/>
    <w:rsid w:val="00676FA5"/>
    <w:rsid w:val="006771A4"/>
    <w:rsid w:val="006771AD"/>
    <w:rsid w:val="006774A8"/>
    <w:rsid w:val="00677572"/>
    <w:rsid w:val="00680BF6"/>
    <w:rsid w:val="00681229"/>
    <w:rsid w:val="0068185E"/>
    <w:rsid w:val="00681BE5"/>
    <w:rsid w:val="00681E30"/>
    <w:rsid w:val="0068379B"/>
    <w:rsid w:val="00683D98"/>
    <w:rsid w:val="00683D99"/>
    <w:rsid w:val="00684079"/>
    <w:rsid w:val="0068629B"/>
    <w:rsid w:val="00686770"/>
    <w:rsid w:val="00686C12"/>
    <w:rsid w:val="00686D75"/>
    <w:rsid w:val="0068736A"/>
    <w:rsid w:val="00687D17"/>
    <w:rsid w:val="00690024"/>
    <w:rsid w:val="0069017D"/>
    <w:rsid w:val="006903A4"/>
    <w:rsid w:val="00690883"/>
    <w:rsid w:val="00690CAA"/>
    <w:rsid w:val="00690E5A"/>
    <w:rsid w:val="00690EFB"/>
    <w:rsid w:val="006911F9"/>
    <w:rsid w:val="006912CB"/>
    <w:rsid w:val="0069137B"/>
    <w:rsid w:val="006913EC"/>
    <w:rsid w:val="006914B7"/>
    <w:rsid w:val="00691742"/>
    <w:rsid w:val="00691DEE"/>
    <w:rsid w:val="00692147"/>
    <w:rsid w:val="00692242"/>
    <w:rsid w:val="0069236E"/>
    <w:rsid w:val="00692704"/>
    <w:rsid w:val="00692E67"/>
    <w:rsid w:val="00693ACF"/>
    <w:rsid w:val="00693EE5"/>
    <w:rsid w:val="00693FBC"/>
    <w:rsid w:val="006944C5"/>
    <w:rsid w:val="00694A7E"/>
    <w:rsid w:val="00694B8D"/>
    <w:rsid w:val="0069561C"/>
    <w:rsid w:val="00695634"/>
    <w:rsid w:val="0069600D"/>
    <w:rsid w:val="00696143"/>
    <w:rsid w:val="006963AE"/>
    <w:rsid w:val="00696B07"/>
    <w:rsid w:val="00697053"/>
    <w:rsid w:val="006A066A"/>
    <w:rsid w:val="006A06CA"/>
    <w:rsid w:val="006A083E"/>
    <w:rsid w:val="006A0FFD"/>
    <w:rsid w:val="006A1170"/>
    <w:rsid w:val="006A14A3"/>
    <w:rsid w:val="006A159D"/>
    <w:rsid w:val="006A18BF"/>
    <w:rsid w:val="006A1F58"/>
    <w:rsid w:val="006A242E"/>
    <w:rsid w:val="006A26AB"/>
    <w:rsid w:val="006A298D"/>
    <w:rsid w:val="006A2F80"/>
    <w:rsid w:val="006A3FD6"/>
    <w:rsid w:val="006A4076"/>
    <w:rsid w:val="006A436F"/>
    <w:rsid w:val="006A4E5B"/>
    <w:rsid w:val="006A59D8"/>
    <w:rsid w:val="006A5A45"/>
    <w:rsid w:val="006A5C13"/>
    <w:rsid w:val="006A608E"/>
    <w:rsid w:val="006A6B7B"/>
    <w:rsid w:val="006A73D2"/>
    <w:rsid w:val="006A78F8"/>
    <w:rsid w:val="006A7991"/>
    <w:rsid w:val="006A7C26"/>
    <w:rsid w:val="006A7E27"/>
    <w:rsid w:val="006B010E"/>
    <w:rsid w:val="006B091F"/>
    <w:rsid w:val="006B0CAF"/>
    <w:rsid w:val="006B0ED0"/>
    <w:rsid w:val="006B0EED"/>
    <w:rsid w:val="006B147E"/>
    <w:rsid w:val="006B1DF6"/>
    <w:rsid w:val="006B233F"/>
    <w:rsid w:val="006B275E"/>
    <w:rsid w:val="006B28EA"/>
    <w:rsid w:val="006B2DA3"/>
    <w:rsid w:val="006B2FBB"/>
    <w:rsid w:val="006B378A"/>
    <w:rsid w:val="006B3BD5"/>
    <w:rsid w:val="006B4185"/>
    <w:rsid w:val="006B4224"/>
    <w:rsid w:val="006B4493"/>
    <w:rsid w:val="006B4B62"/>
    <w:rsid w:val="006B53DC"/>
    <w:rsid w:val="006B5423"/>
    <w:rsid w:val="006B5855"/>
    <w:rsid w:val="006B5AB2"/>
    <w:rsid w:val="006B5C67"/>
    <w:rsid w:val="006B6B5D"/>
    <w:rsid w:val="006B6C0D"/>
    <w:rsid w:val="006B7825"/>
    <w:rsid w:val="006B7D68"/>
    <w:rsid w:val="006C033F"/>
    <w:rsid w:val="006C1818"/>
    <w:rsid w:val="006C1F8B"/>
    <w:rsid w:val="006C2721"/>
    <w:rsid w:val="006C323A"/>
    <w:rsid w:val="006C3868"/>
    <w:rsid w:val="006C38FF"/>
    <w:rsid w:val="006C39EC"/>
    <w:rsid w:val="006C3E6E"/>
    <w:rsid w:val="006C3EEA"/>
    <w:rsid w:val="006C43A6"/>
    <w:rsid w:val="006C4A4A"/>
    <w:rsid w:val="006C53EB"/>
    <w:rsid w:val="006C5D29"/>
    <w:rsid w:val="006C650D"/>
    <w:rsid w:val="006C69A5"/>
    <w:rsid w:val="006C6A4D"/>
    <w:rsid w:val="006C6CF3"/>
    <w:rsid w:val="006C7740"/>
    <w:rsid w:val="006D0389"/>
    <w:rsid w:val="006D0848"/>
    <w:rsid w:val="006D0BA5"/>
    <w:rsid w:val="006D0C15"/>
    <w:rsid w:val="006D0D8B"/>
    <w:rsid w:val="006D0FBF"/>
    <w:rsid w:val="006D10DC"/>
    <w:rsid w:val="006D1586"/>
    <w:rsid w:val="006D19C1"/>
    <w:rsid w:val="006D2827"/>
    <w:rsid w:val="006D2848"/>
    <w:rsid w:val="006D2B19"/>
    <w:rsid w:val="006D2EC9"/>
    <w:rsid w:val="006D3A05"/>
    <w:rsid w:val="006D3B62"/>
    <w:rsid w:val="006D3FDF"/>
    <w:rsid w:val="006D4527"/>
    <w:rsid w:val="006D4B05"/>
    <w:rsid w:val="006D4EE5"/>
    <w:rsid w:val="006D4F86"/>
    <w:rsid w:val="006D5F98"/>
    <w:rsid w:val="006D6665"/>
    <w:rsid w:val="006D7098"/>
    <w:rsid w:val="006D740E"/>
    <w:rsid w:val="006D7C8A"/>
    <w:rsid w:val="006D7F72"/>
    <w:rsid w:val="006E00B7"/>
    <w:rsid w:val="006E0CB5"/>
    <w:rsid w:val="006E0E5B"/>
    <w:rsid w:val="006E132F"/>
    <w:rsid w:val="006E2701"/>
    <w:rsid w:val="006E3023"/>
    <w:rsid w:val="006E3369"/>
    <w:rsid w:val="006E3D12"/>
    <w:rsid w:val="006E449C"/>
    <w:rsid w:val="006E4726"/>
    <w:rsid w:val="006E4E72"/>
    <w:rsid w:val="006E4FCD"/>
    <w:rsid w:val="006E50D0"/>
    <w:rsid w:val="006E5B0B"/>
    <w:rsid w:val="006E663E"/>
    <w:rsid w:val="006E6655"/>
    <w:rsid w:val="006E6EDF"/>
    <w:rsid w:val="006E7BA5"/>
    <w:rsid w:val="006F01E8"/>
    <w:rsid w:val="006F02D7"/>
    <w:rsid w:val="006F07FA"/>
    <w:rsid w:val="006F0EBB"/>
    <w:rsid w:val="006F1E96"/>
    <w:rsid w:val="006F2D24"/>
    <w:rsid w:val="006F37F7"/>
    <w:rsid w:val="006F38C3"/>
    <w:rsid w:val="006F3909"/>
    <w:rsid w:val="006F4036"/>
    <w:rsid w:val="006F428E"/>
    <w:rsid w:val="006F48E1"/>
    <w:rsid w:val="006F5160"/>
    <w:rsid w:val="006F5374"/>
    <w:rsid w:val="006F60DF"/>
    <w:rsid w:val="006F68C1"/>
    <w:rsid w:val="006F6B60"/>
    <w:rsid w:val="006F6CE2"/>
    <w:rsid w:val="006F6E10"/>
    <w:rsid w:val="006F7800"/>
    <w:rsid w:val="007014F8"/>
    <w:rsid w:val="0070150D"/>
    <w:rsid w:val="007016D2"/>
    <w:rsid w:val="007018D8"/>
    <w:rsid w:val="007029E8"/>
    <w:rsid w:val="00703107"/>
    <w:rsid w:val="00703138"/>
    <w:rsid w:val="00703277"/>
    <w:rsid w:val="0070356D"/>
    <w:rsid w:val="00703981"/>
    <w:rsid w:val="00703D7E"/>
    <w:rsid w:val="00703DE6"/>
    <w:rsid w:val="007041A7"/>
    <w:rsid w:val="0070495F"/>
    <w:rsid w:val="00704B6E"/>
    <w:rsid w:val="00704F73"/>
    <w:rsid w:val="0070508D"/>
    <w:rsid w:val="0070542E"/>
    <w:rsid w:val="00706096"/>
    <w:rsid w:val="007060D4"/>
    <w:rsid w:val="0070624C"/>
    <w:rsid w:val="00706451"/>
    <w:rsid w:val="00707E0F"/>
    <w:rsid w:val="007100F9"/>
    <w:rsid w:val="0071068A"/>
    <w:rsid w:val="00710E19"/>
    <w:rsid w:val="00710E52"/>
    <w:rsid w:val="0071154B"/>
    <w:rsid w:val="007116B6"/>
    <w:rsid w:val="0071174F"/>
    <w:rsid w:val="0071196A"/>
    <w:rsid w:val="00711A1A"/>
    <w:rsid w:val="0071227C"/>
    <w:rsid w:val="007131CF"/>
    <w:rsid w:val="007132CD"/>
    <w:rsid w:val="007133C0"/>
    <w:rsid w:val="00713613"/>
    <w:rsid w:val="007137C6"/>
    <w:rsid w:val="007138FC"/>
    <w:rsid w:val="0071393D"/>
    <w:rsid w:val="00713E79"/>
    <w:rsid w:val="00714245"/>
    <w:rsid w:val="00714C20"/>
    <w:rsid w:val="00715441"/>
    <w:rsid w:val="00715739"/>
    <w:rsid w:val="0071576C"/>
    <w:rsid w:val="00715C94"/>
    <w:rsid w:val="00715EA7"/>
    <w:rsid w:val="00716A09"/>
    <w:rsid w:val="007170DB"/>
    <w:rsid w:val="00717880"/>
    <w:rsid w:val="00717CA8"/>
    <w:rsid w:val="007205E7"/>
    <w:rsid w:val="007209C4"/>
    <w:rsid w:val="00720A59"/>
    <w:rsid w:val="00721ACB"/>
    <w:rsid w:val="00721E9E"/>
    <w:rsid w:val="007227FE"/>
    <w:rsid w:val="0072290A"/>
    <w:rsid w:val="007233C3"/>
    <w:rsid w:val="00723C95"/>
    <w:rsid w:val="007244E7"/>
    <w:rsid w:val="0072505F"/>
    <w:rsid w:val="00725B00"/>
    <w:rsid w:val="00725E54"/>
    <w:rsid w:val="0072680C"/>
    <w:rsid w:val="0072698B"/>
    <w:rsid w:val="00726A25"/>
    <w:rsid w:val="00726B3D"/>
    <w:rsid w:val="00726C64"/>
    <w:rsid w:val="007310B7"/>
    <w:rsid w:val="00731237"/>
    <w:rsid w:val="0073207E"/>
    <w:rsid w:val="00732664"/>
    <w:rsid w:val="00732BA7"/>
    <w:rsid w:val="007333EA"/>
    <w:rsid w:val="00733535"/>
    <w:rsid w:val="00733601"/>
    <w:rsid w:val="00733A57"/>
    <w:rsid w:val="00733F36"/>
    <w:rsid w:val="007340CE"/>
    <w:rsid w:val="00734781"/>
    <w:rsid w:val="007349FC"/>
    <w:rsid w:val="00734B6F"/>
    <w:rsid w:val="00735293"/>
    <w:rsid w:val="00735376"/>
    <w:rsid w:val="007363EA"/>
    <w:rsid w:val="00736E06"/>
    <w:rsid w:val="00736E37"/>
    <w:rsid w:val="00737286"/>
    <w:rsid w:val="007373DB"/>
    <w:rsid w:val="00737F27"/>
    <w:rsid w:val="00737FD3"/>
    <w:rsid w:val="007407DB"/>
    <w:rsid w:val="0074085F"/>
    <w:rsid w:val="00740BFC"/>
    <w:rsid w:val="00740F76"/>
    <w:rsid w:val="00741037"/>
    <w:rsid w:val="0074198F"/>
    <w:rsid w:val="007422B3"/>
    <w:rsid w:val="007424BF"/>
    <w:rsid w:val="007434BD"/>
    <w:rsid w:val="007435F1"/>
    <w:rsid w:val="00743DDD"/>
    <w:rsid w:val="00744625"/>
    <w:rsid w:val="007446BB"/>
    <w:rsid w:val="00745882"/>
    <w:rsid w:val="00745A04"/>
    <w:rsid w:val="00745A0F"/>
    <w:rsid w:val="00745DFD"/>
    <w:rsid w:val="00746197"/>
    <w:rsid w:val="0074689C"/>
    <w:rsid w:val="00746B3F"/>
    <w:rsid w:val="00747117"/>
    <w:rsid w:val="007479C2"/>
    <w:rsid w:val="00747B0D"/>
    <w:rsid w:val="00750712"/>
    <w:rsid w:val="007511BA"/>
    <w:rsid w:val="00751452"/>
    <w:rsid w:val="00751D06"/>
    <w:rsid w:val="00751D74"/>
    <w:rsid w:val="007521A5"/>
    <w:rsid w:val="00752243"/>
    <w:rsid w:val="007531BA"/>
    <w:rsid w:val="00753959"/>
    <w:rsid w:val="00753DD6"/>
    <w:rsid w:val="00754A4A"/>
    <w:rsid w:val="007567A8"/>
    <w:rsid w:val="00760D1E"/>
    <w:rsid w:val="00760F66"/>
    <w:rsid w:val="00761103"/>
    <w:rsid w:val="007611F8"/>
    <w:rsid w:val="00761200"/>
    <w:rsid w:val="007615F6"/>
    <w:rsid w:val="007618E2"/>
    <w:rsid w:val="00761931"/>
    <w:rsid w:val="00761BD1"/>
    <w:rsid w:val="007627BA"/>
    <w:rsid w:val="0076291E"/>
    <w:rsid w:val="00762D81"/>
    <w:rsid w:val="0076317B"/>
    <w:rsid w:val="007634C7"/>
    <w:rsid w:val="00763CB9"/>
    <w:rsid w:val="007643D5"/>
    <w:rsid w:val="00765366"/>
    <w:rsid w:val="00765614"/>
    <w:rsid w:val="00765914"/>
    <w:rsid w:val="0076614D"/>
    <w:rsid w:val="0076624C"/>
    <w:rsid w:val="0076627D"/>
    <w:rsid w:val="00766304"/>
    <w:rsid w:val="00767A28"/>
    <w:rsid w:val="00767DD2"/>
    <w:rsid w:val="0077082B"/>
    <w:rsid w:val="00770B12"/>
    <w:rsid w:val="00770E60"/>
    <w:rsid w:val="00771C8F"/>
    <w:rsid w:val="00772019"/>
    <w:rsid w:val="0077266E"/>
    <w:rsid w:val="0077292E"/>
    <w:rsid w:val="007737D8"/>
    <w:rsid w:val="0077391C"/>
    <w:rsid w:val="00773D24"/>
    <w:rsid w:val="00774576"/>
    <w:rsid w:val="0077508A"/>
    <w:rsid w:val="00775567"/>
    <w:rsid w:val="00775E0D"/>
    <w:rsid w:val="00776343"/>
    <w:rsid w:val="00776416"/>
    <w:rsid w:val="00776C7B"/>
    <w:rsid w:val="00776CEF"/>
    <w:rsid w:val="0077790B"/>
    <w:rsid w:val="00777E7E"/>
    <w:rsid w:val="007804DD"/>
    <w:rsid w:val="0078095A"/>
    <w:rsid w:val="00780F3B"/>
    <w:rsid w:val="007816EE"/>
    <w:rsid w:val="00782071"/>
    <w:rsid w:val="00782946"/>
    <w:rsid w:val="00782AB1"/>
    <w:rsid w:val="00782ECD"/>
    <w:rsid w:val="0078363B"/>
    <w:rsid w:val="00783CCF"/>
    <w:rsid w:val="00783F5B"/>
    <w:rsid w:val="00784609"/>
    <w:rsid w:val="00784720"/>
    <w:rsid w:val="0078481D"/>
    <w:rsid w:val="007859FC"/>
    <w:rsid w:val="00785F4C"/>
    <w:rsid w:val="0078609C"/>
    <w:rsid w:val="00786355"/>
    <w:rsid w:val="00787370"/>
    <w:rsid w:val="007874AE"/>
    <w:rsid w:val="0078750B"/>
    <w:rsid w:val="00787F5E"/>
    <w:rsid w:val="0079024D"/>
    <w:rsid w:val="007911B8"/>
    <w:rsid w:val="00791DAE"/>
    <w:rsid w:val="007930E8"/>
    <w:rsid w:val="007935F5"/>
    <w:rsid w:val="00793D04"/>
    <w:rsid w:val="00793F28"/>
    <w:rsid w:val="00793FDB"/>
    <w:rsid w:val="00794252"/>
    <w:rsid w:val="007944D2"/>
    <w:rsid w:val="00794B19"/>
    <w:rsid w:val="00795B8D"/>
    <w:rsid w:val="00795EB9"/>
    <w:rsid w:val="00795F0E"/>
    <w:rsid w:val="007960A9"/>
    <w:rsid w:val="00797D8F"/>
    <w:rsid w:val="007A0C00"/>
    <w:rsid w:val="007A0E15"/>
    <w:rsid w:val="007A176E"/>
    <w:rsid w:val="007A19BF"/>
    <w:rsid w:val="007A2A69"/>
    <w:rsid w:val="007A2CF1"/>
    <w:rsid w:val="007A41B5"/>
    <w:rsid w:val="007A4486"/>
    <w:rsid w:val="007A4682"/>
    <w:rsid w:val="007A5879"/>
    <w:rsid w:val="007A58A8"/>
    <w:rsid w:val="007A5BDC"/>
    <w:rsid w:val="007A629D"/>
    <w:rsid w:val="007A6610"/>
    <w:rsid w:val="007A6DD3"/>
    <w:rsid w:val="007A6FF3"/>
    <w:rsid w:val="007A71DC"/>
    <w:rsid w:val="007A7A04"/>
    <w:rsid w:val="007B04FF"/>
    <w:rsid w:val="007B0976"/>
    <w:rsid w:val="007B0CAC"/>
    <w:rsid w:val="007B15F3"/>
    <w:rsid w:val="007B1701"/>
    <w:rsid w:val="007B17C0"/>
    <w:rsid w:val="007B1C32"/>
    <w:rsid w:val="007B1DBB"/>
    <w:rsid w:val="007B2319"/>
    <w:rsid w:val="007B2FBF"/>
    <w:rsid w:val="007B3E13"/>
    <w:rsid w:val="007B4046"/>
    <w:rsid w:val="007B4300"/>
    <w:rsid w:val="007B44CE"/>
    <w:rsid w:val="007B44F9"/>
    <w:rsid w:val="007B565C"/>
    <w:rsid w:val="007B595F"/>
    <w:rsid w:val="007B5D75"/>
    <w:rsid w:val="007B6388"/>
    <w:rsid w:val="007B6D5E"/>
    <w:rsid w:val="007B7115"/>
    <w:rsid w:val="007B736B"/>
    <w:rsid w:val="007C0090"/>
    <w:rsid w:val="007C0853"/>
    <w:rsid w:val="007C08D0"/>
    <w:rsid w:val="007C08FD"/>
    <w:rsid w:val="007C0C90"/>
    <w:rsid w:val="007C0E07"/>
    <w:rsid w:val="007C0E86"/>
    <w:rsid w:val="007C249E"/>
    <w:rsid w:val="007C26CF"/>
    <w:rsid w:val="007C271B"/>
    <w:rsid w:val="007C2C14"/>
    <w:rsid w:val="007C2D50"/>
    <w:rsid w:val="007C357D"/>
    <w:rsid w:val="007C3A55"/>
    <w:rsid w:val="007C4166"/>
    <w:rsid w:val="007C44E1"/>
    <w:rsid w:val="007C48DD"/>
    <w:rsid w:val="007C4A05"/>
    <w:rsid w:val="007C4D79"/>
    <w:rsid w:val="007C5711"/>
    <w:rsid w:val="007C57B9"/>
    <w:rsid w:val="007C6325"/>
    <w:rsid w:val="007C6C53"/>
    <w:rsid w:val="007C71FB"/>
    <w:rsid w:val="007C73A3"/>
    <w:rsid w:val="007C7975"/>
    <w:rsid w:val="007C7EF5"/>
    <w:rsid w:val="007D0180"/>
    <w:rsid w:val="007D06AC"/>
    <w:rsid w:val="007D0741"/>
    <w:rsid w:val="007D0A53"/>
    <w:rsid w:val="007D0C62"/>
    <w:rsid w:val="007D0FFC"/>
    <w:rsid w:val="007D1013"/>
    <w:rsid w:val="007D19EC"/>
    <w:rsid w:val="007D2180"/>
    <w:rsid w:val="007D2608"/>
    <w:rsid w:val="007D30C3"/>
    <w:rsid w:val="007D35AC"/>
    <w:rsid w:val="007D36B1"/>
    <w:rsid w:val="007D36D7"/>
    <w:rsid w:val="007D3BA1"/>
    <w:rsid w:val="007D3EC8"/>
    <w:rsid w:val="007D40AC"/>
    <w:rsid w:val="007D4317"/>
    <w:rsid w:val="007D4C12"/>
    <w:rsid w:val="007D57E0"/>
    <w:rsid w:val="007D5962"/>
    <w:rsid w:val="007D63B2"/>
    <w:rsid w:val="007D651D"/>
    <w:rsid w:val="007D71B7"/>
    <w:rsid w:val="007D7C66"/>
    <w:rsid w:val="007D7CF3"/>
    <w:rsid w:val="007E0274"/>
    <w:rsid w:val="007E02A7"/>
    <w:rsid w:val="007E0415"/>
    <w:rsid w:val="007E042B"/>
    <w:rsid w:val="007E0547"/>
    <w:rsid w:val="007E0991"/>
    <w:rsid w:val="007E0B2C"/>
    <w:rsid w:val="007E107F"/>
    <w:rsid w:val="007E1C84"/>
    <w:rsid w:val="007E25ED"/>
    <w:rsid w:val="007E2FD7"/>
    <w:rsid w:val="007E310B"/>
    <w:rsid w:val="007E38DA"/>
    <w:rsid w:val="007E3D65"/>
    <w:rsid w:val="007E3EE2"/>
    <w:rsid w:val="007E47E7"/>
    <w:rsid w:val="007E4A98"/>
    <w:rsid w:val="007E4EB6"/>
    <w:rsid w:val="007E5DD7"/>
    <w:rsid w:val="007E7139"/>
    <w:rsid w:val="007E7366"/>
    <w:rsid w:val="007E7EA1"/>
    <w:rsid w:val="007E7EA4"/>
    <w:rsid w:val="007F03CE"/>
    <w:rsid w:val="007F04D3"/>
    <w:rsid w:val="007F0DB7"/>
    <w:rsid w:val="007F0E95"/>
    <w:rsid w:val="007F137D"/>
    <w:rsid w:val="007F2D8D"/>
    <w:rsid w:val="007F2EBF"/>
    <w:rsid w:val="007F3044"/>
    <w:rsid w:val="007F3249"/>
    <w:rsid w:val="007F4657"/>
    <w:rsid w:val="007F49E6"/>
    <w:rsid w:val="007F5609"/>
    <w:rsid w:val="007F5625"/>
    <w:rsid w:val="007F568A"/>
    <w:rsid w:val="007F59F7"/>
    <w:rsid w:val="007F5D13"/>
    <w:rsid w:val="007F5E21"/>
    <w:rsid w:val="007F619D"/>
    <w:rsid w:val="007F6413"/>
    <w:rsid w:val="007F676E"/>
    <w:rsid w:val="007F6B11"/>
    <w:rsid w:val="007F6C91"/>
    <w:rsid w:val="007F6E2B"/>
    <w:rsid w:val="007F6F3C"/>
    <w:rsid w:val="007F7D12"/>
    <w:rsid w:val="007F7F02"/>
    <w:rsid w:val="00800258"/>
    <w:rsid w:val="00800562"/>
    <w:rsid w:val="00800C97"/>
    <w:rsid w:val="00800E69"/>
    <w:rsid w:val="008015BF"/>
    <w:rsid w:val="0080220F"/>
    <w:rsid w:val="00802735"/>
    <w:rsid w:val="008028C2"/>
    <w:rsid w:val="00802DDB"/>
    <w:rsid w:val="00803165"/>
    <w:rsid w:val="008037D8"/>
    <w:rsid w:val="00803B7E"/>
    <w:rsid w:val="00803DA6"/>
    <w:rsid w:val="008040D9"/>
    <w:rsid w:val="0080436E"/>
    <w:rsid w:val="00804937"/>
    <w:rsid w:val="00804E1E"/>
    <w:rsid w:val="00804E43"/>
    <w:rsid w:val="008050F5"/>
    <w:rsid w:val="00805112"/>
    <w:rsid w:val="0080512F"/>
    <w:rsid w:val="0080519C"/>
    <w:rsid w:val="00810BC2"/>
    <w:rsid w:val="00811683"/>
    <w:rsid w:val="00811AFF"/>
    <w:rsid w:val="00812102"/>
    <w:rsid w:val="00812373"/>
    <w:rsid w:val="00813F3A"/>
    <w:rsid w:val="008140E8"/>
    <w:rsid w:val="00814271"/>
    <w:rsid w:val="00814941"/>
    <w:rsid w:val="00814955"/>
    <w:rsid w:val="00814A65"/>
    <w:rsid w:val="00814BD9"/>
    <w:rsid w:val="008158AC"/>
    <w:rsid w:val="00816805"/>
    <w:rsid w:val="00816BE8"/>
    <w:rsid w:val="00816CD5"/>
    <w:rsid w:val="00816DBD"/>
    <w:rsid w:val="00816FE2"/>
    <w:rsid w:val="00817062"/>
    <w:rsid w:val="00817991"/>
    <w:rsid w:val="00817F58"/>
    <w:rsid w:val="008203C5"/>
    <w:rsid w:val="00820B84"/>
    <w:rsid w:val="0082199B"/>
    <w:rsid w:val="00821C2A"/>
    <w:rsid w:val="008227B7"/>
    <w:rsid w:val="008243A8"/>
    <w:rsid w:val="00824925"/>
    <w:rsid w:val="00824C8B"/>
    <w:rsid w:val="008252E8"/>
    <w:rsid w:val="00825BA8"/>
    <w:rsid w:val="00825C14"/>
    <w:rsid w:val="00825FD5"/>
    <w:rsid w:val="0082641D"/>
    <w:rsid w:val="008267CA"/>
    <w:rsid w:val="0082722B"/>
    <w:rsid w:val="00827C1B"/>
    <w:rsid w:val="0083016B"/>
    <w:rsid w:val="008301F1"/>
    <w:rsid w:val="00830C0E"/>
    <w:rsid w:val="008313E0"/>
    <w:rsid w:val="00831742"/>
    <w:rsid w:val="0083175E"/>
    <w:rsid w:val="008317EC"/>
    <w:rsid w:val="0083195D"/>
    <w:rsid w:val="00831B7B"/>
    <w:rsid w:val="00831D90"/>
    <w:rsid w:val="008324F3"/>
    <w:rsid w:val="00832691"/>
    <w:rsid w:val="0083296B"/>
    <w:rsid w:val="00833547"/>
    <w:rsid w:val="00833852"/>
    <w:rsid w:val="00833AB9"/>
    <w:rsid w:val="008344EC"/>
    <w:rsid w:val="00834820"/>
    <w:rsid w:val="00834C82"/>
    <w:rsid w:val="00834DB6"/>
    <w:rsid w:val="00834F93"/>
    <w:rsid w:val="008354DB"/>
    <w:rsid w:val="00840C4A"/>
    <w:rsid w:val="008411B9"/>
    <w:rsid w:val="0084122F"/>
    <w:rsid w:val="00841573"/>
    <w:rsid w:val="00841D08"/>
    <w:rsid w:val="00842319"/>
    <w:rsid w:val="00842D43"/>
    <w:rsid w:val="0084323E"/>
    <w:rsid w:val="0084375D"/>
    <w:rsid w:val="00843D50"/>
    <w:rsid w:val="0084464E"/>
    <w:rsid w:val="008458BF"/>
    <w:rsid w:val="00846262"/>
    <w:rsid w:val="00846370"/>
    <w:rsid w:val="00846DCD"/>
    <w:rsid w:val="00847665"/>
    <w:rsid w:val="00847BC5"/>
    <w:rsid w:val="00847F11"/>
    <w:rsid w:val="00850010"/>
    <w:rsid w:val="008503F4"/>
    <w:rsid w:val="008504A0"/>
    <w:rsid w:val="00850AC1"/>
    <w:rsid w:val="00850C2A"/>
    <w:rsid w:val="00850DFA"/>
    <w:rsid w:val="00851331"/>
    <w:rsid w:val="008516D1"/>
    <w:rsid w:val="00852003"/>
    <w:rsid w:val="0085212C"/>
    <w:rsid w:val="00852F9E"/>
    <w:rsid w:val="00854053"/>
    <w:rsid w:val="008543AC"/>
    <w:rsid w:val="008548B8"/>
    <w:rsid w:val="00854965"/>
    <w:rsid w:val="008554D1"/>
    <w:rsid w:val="008558E0"/>
    <w:rsid w:val="00857AF7"/>
    <w:rsid w:val="00860109"/>
    <w:rsid w:val="008601BD"/>
    <w:rsid w:val="00860359"/>
    <w:rsid w:val="00860700"/>
    <w:rsid w:val="00860E43"/>
    <w:rsid w:val="00860EE9"/>
    <w:rsid w:val="00861075"/>
    <w:rsid w:val="00861252"/>
    <w:rsid w:val="0086171A"/>
    <w:rsid w:val="00861B89"/>
    <w:rsid w:val="0086226C"/>
    <w:rsid w:val="00862C76"/>
    <w:rsid w:val="00863968"/>
    <w:rsid w:val="008644A4"/>
    <w:rsid w:val="00864A6C"/>
    <w:rsid w:val="00864BB1"/>
    <w:rsid w:val="00864DF7"/>
    <w:rsid w:val="00864FDB"/>
    <w:rsid w:val="008650B0"/>
    <w:rsid w:val="00865278"/>
    <w:rsid w:val="008654F9"/>
    <w:rsid w:val="008657DA"/>
    <w:rsid w:val="008658C0"/>
    <w:rsid w:val="0086607B"/>
    <w:rsid w:val="00866388"/>
    <w:rsid w:val="00866FE3"/>
    <w:rsid w:val="0086722D"/>
    <w:rsid w:val="00867D56"/>
    <w:rsid w:val="0087028A"/>
    <w:rsid w:val="00870BAA"/>
    <w:rsid w:val="00870D91"/>
    <w:rsid w:val="008716D1"/>
    <w:rsid w:val="008716ED"/>
    <w:rsid w:val="0087193F"/>
    <w:rsid w:val="008724E6"/>
    <w:rsid w:val="00872767"/>
    <w:rsid w:val="008728C8"/>
    <w:rsid w:val="00873205"/>
    <w:rsid w:val="008735E8"/>
    <w:rsid w:val="0087377E"/>
    <w:rsid w:val="008739AB"/>
    <w:rsid w:val="00874043"/>
    <w:rsid w:val="00874594"/>
    <w:rsid w:val="00874776"/>
    <w:rsid w:val="0087487C"/>
    <w:rsid w:val="00874A07"/>
    <w:rsid w:val="00874B75"/>
    <w:rsid w:val="00875007"/>
    <w:rsid w:val="008750DB"/>
    <w:rsid w:val="00875144"/>
    <w:rsid w:val="008751B4"/>
    <w:rsid w:val="0087527F"/>
    <w:rsid w:val="0087543F"/>
    <w:rsid w:val="008754B5"/>
    <w:rsid w:val="008758A8"/>
    <w:rsid w:val="00875AF3"/>
    <w:rsid w:val="008765E9"/>
    <w:rsid w:val="00876605"/>
    <w:rsid w:val="00876B13"/>
    <w:rsid w:val="00880017"/>
    <w:rsid w:val="00880305"/>
    <w:rsid w:val="00880315"/>
    <w:rsid w:val="0088031C"/>
    <w:rsid w:val="0088088A"/>
    <w:rsid w:val="00880A3F"/>
    <w:rsid w:val="00880EE2"/>
    <w:rsid w:val="00881318"/>
    <w:rsid w:val="00881732"/>
    <w:rsid w:val="008818A2"/>
    <w:rsid w:val="008820FB"/>
    <w:rsid w:val="0088213D"/>
    <w:rsid w:val="008821C6"/>
    <w:rsid w:val="0088243C"/>
    <w:rsid w:val="0088243D"/>
    <w:rsid w:val="0088251A"/>
    <w:rsid w:val="00882D28"/>
    <w:rsid w:val="00883A67"/>
    <w:rsid w:val="0088400F"/>
    <w:rsid w:val="008848E9"/>
    <w:rsid w:val="00884FD8"/>
    <w:rsid w:val="00885159"/>
    <w:rsid w:val="00885244"/>
    <w:rsid w:val="008857C7"/>
    <w:rsid w:val="008858B3"/>
    <w:rsid w:val="008866CF"/>
    <w:rsid w:val="00886782"/>
    <w:rsid w:val="008869A1"/>
    <w:rsid w:val="00886B3F"/>
    <w:rsid w:val="0089015D"/>
    <w:rsid w:val="0089021A"/>
    <w:rsid w:val="0089022E"/>
    <w:rsid w:val="00890475"/>
    <w:rsid w:val="00890A7C"/>
    <w:rsid w:val="00890D11"/>
    <w:rsid w:val="008910EE"/>
    <w:rsid w:val="00891A26"/>
    <w:rsid w:val="008923F8"/>
    <w:rsid w:val="0089253F"/>
    <w:rsid w:val="008928F1"/>
    <w:rsid w:val="00892BBF"/>
    <w:rsid w:val="00892DB5"/>
    <w:rsid w:val="00892F62"/>
    <w:rsid w:val="0089389C"/>
    <w:rsid w:val="0089414C"/>
    <w:rsid w:val="008942BD"/>
    <w:rsid w:val="0089478A"/>
    <w:rsid w:val="0089480A"/>
    <w:rsid w:val="00894BEE"/>
    <w:rsid w:val="00894FE5"/>
    <w:rsid w:val="008954D2"/>
    <w:rsid w:val="00895658"/>
    <w:rsid w:val="008956DA"/>
    <w:rsid w:val="008959E5"/>
    <w:rsid w:val="00895BA9"/>
    <w:rsid w:val="00895D79"/>
    <w:rsid w:val="0089601B"/>
    <w:rsid w:val="0089655D"/>
    <w:rsid w:val="00896784"/>
    <w:rsid w:val="00897824"/>
    <w:rsid w:val="008979DB"/>
    <w:rsid w:val="00897BCB"/>
    <w:rsid w:val="00897C07"/>
    <w:rsid w:val="00897DBA"/>
    <w:rsid w:val="008A02FA"/>
    <w:rsid w:val="008A06A8"/>
    <w:rsid w:val="008A1AAC"/>
    <w:rsid w:val="008A1D3C"/>
    <w:rsid w:val="008A20CA"/>
    <w:rsid w:val="008A239B"/>
    <w:rsid w:val="008A2956"/>
    <w:rsid w:val="008A2EA1"/>
    <w:rsid w:val="008A2EF6"/>
    <w:rsid w:val="008A3480"/>
    <w:rsid w:val="008A425D"/>
    <w:rsid w:val="008A4B88"/>
    <w:rsid w:val="008A4F3C"/>
    <w:rsid w:val="008A51AD"/>
    <w:rsid w:val="008A53BA"/>
    <w:rsid w:val="008A551D"/>
    <w:rsid w:val="008A56BA"/>
    <w:rsid w:val="008A570A"/>
    <w:rsid w:val="008A58E4"/>
    <w:rsid w:val="008A58E7"/>
    <w:rsid w:val="008A5C1D"/>
    <w:rsid w:val="008A615A"/>
    <w:rsid w:val="008A650C"/>
    <w:rsid w:val="008A6A36"/>
    <w:rsid w:val="008A6CB9"/>
    <w:rsid w:val="008A6DC1"/>
    <w:rsid w:val="008A7100"/>
    <w:rsid w:val="008A7139"/>
    <w:rsid w:val="008A776D"/>
    <w:rsid w:val="008A7C74"/>
    <w:rsid w:val="008B0107"/>
    <w:rsid w:val="008B04C0"/>
    <w:rsid w:val="008B0A83"/>
    <w:rsid w:val="008B0E93"/>
    <w:rsid w:val="008B198D"/>
    <w:rsid w:val="008B29A4"/>
    <w:rsid w:val="008B2BB4"/>
    <w:rsid w:val="008B2C30"/>
    <w:rsid w:val="008B2D73"/>
    <w:rsid w:val="008B3AB6"/>
    <w:rsid w:val="008B3C2B"/>
    <w:rsid w:val="008B4679"/>
    <w:rsid w:val="008B4D00"/>
    <w:rsid w:val="008B4D13"/>
    <w:rsid w:val="008B4E78"/>
    <w:rsid w:val="008B4FE2"/>
    <w:rsid w:val="008B61A1"/>
    <w:rsid w:val="008B66EE"/>
    <w:rsid w:val="008B6793"/>
    <w:rsid w:val="008B6E62"/>
    <w:rsid w:val="008B6E87"/>
    <w:rsid w:val="008B728A"/>
    <w:rsid w:val="008B7342"/>
    <w:rsid w:val="008B75C2"/>
    <w:rsid w:val="008B770F"/>
    <w:rsid w:val="008B787A"/>
    <w:rsid w:val="008C0773"/>
    <w:rsid w:val="008C0A89"/>
    <w:rsid w:val="008C0E71"/>
    <w:rsid w:val="008C1852"/>
    <w:rsid w:val="008C27B4"/>
    <w:rsid w:val="008C2CFF"/>
    <w:rsid w:val="008C2E1E"/>
    <w:rsid w:val="008C2E22"/>
    <w:rsid w:val="008C2ED2"/>
    <w:rsid w:val="008C3D4D"/>
    <w:rsid w:val="008C4026"/>
    <w:rsid w:val="008C417E"/>
    <w:rsid w:val="008C5B51"/>
    <w:rsid w:val="008C5F0A"/>
    <w:rsid w:val="008C6105"/>
    <w:rsid w:val="008C6124"/>
    <w:rsid w:val="008C6334"/>
    <w:rsid w:val="008C66BD"/>
    <w:rsid w:val="008C6968"/>
    <w:rsid w:val="008C742A"/>
    <w:rsid w:val="008C74C7"/>
    <w:rsid w:val="008C7714"/>
    <w:rsid w:val="008C7F4F"/>
    <w:rsid w:val="008D00F3"/>
    <w:rsid w:val="008D0F27"/>
    <w:rsid w:val="008D15A2"/>
    <w:rsid w:val="008D18CD"/>
    <w:rsid w:val="008D1F86"/>
    <w:rsid w:val="008D20E0"/>
    <w:rsid w:val="008D2796"/>
    <w:rsid w:val="008D2B6E"/>
    <w:rsid w:val="008D335C"/>
    <w:rsid w:val="008D35B7"/>
    <w:rsid w:val="008D39DB"/>
    <w:rsid w:val="008D4007"/>
    <w:rsid w:val="008D436A"/>
    <w:rsid w:val="008D4C72"/>
    <w:rsid w:val="008D50BA"/>
    <w:rsid w:val="008D561B"/>
    <w:rsid w:val="008D582B"/>
    <w:rsid w:val="008D5CF9"/>
    <w:rsid w:val="008D5D0A"/>
    <w:rsid w:val="008D6794"/>
    <w:rsid w:val="008D7F65"/>
    <w:rsid w:val="008E0178"/>
    <w:rsid w:val="008E02F8"/>
    <w:rsid w:val="008E1189"/>
    <w:rsid w:val="008E12AF"/>
    <w:rsid w:val="008E1592"/>
    <w:rsid w:val="008E211C"/>
    <w:rsid w:val="008E2BB3"/>
    <w:rsid w:val="008E2BC5"/>
    <w:rsid w:val="008E2C79"/>
    <w:rsid w:val="008E3176"/>
    <w:rsid w:val="008E3564"/>
    <w:rsid w:val="008E3A0B"/>
    <w:rsid w:val="008E3A90"/>
    <w:rsid w:val="008E3AAB"/>
    <w:rsid w:val="008E4043"/>
    <w:rsid w:val="008E41E2"/>
    <w:rsid w:val="008E4520"/>
    <w:rsid w:val="008E54E8"/>
    <w:rsid w:val="008E5740"/>
    <w:rsid w:val="008E5868"/>
    <w:rsid w:val="008E5DC8"/>
    <w:rsid w:val="008E6465"/>
    <w:rsid w:val="008E6C57"/>
    <w:rsid w:val="008E6E66"/>
    <w:rsid w:val="008E7082"/>
    <w:rsid w:val="008E72AF"/>
    <w:rsid w:val="008F0952"/>
    <w:rsid w:val="008F1154"/>
    <w:rsid w:val="008F17D5"/>
    <w:rsid w:val="008F1B84"/>
    <w:rsid w:val="008F1B9D"/>
    <w:rsid w:val="008F1DB6"/>
    <w:rsid w:val="008F1DDC"/>
    <w:rsid w:val="008F39C0"/>
    <w:rsid w:val="008F57CD"/>
    <w:rsid w:val="008F5960"/>
    <w:rsid w:val="008F5CD0"/>
    <w:rsid w:val="008F6100"/>
    <w:rsid w:val="008F629A"/>
    <w:rsid w:val="008F6A9B"/>
    <w:rsid w:val="008F6F03"/>
    <w:rsid w:val="008F6F9D"/>
    <w:rsid w:val="008F7603"/>
    <w:rsid w:val="008F769D"/>
    <w:rsid w:val="008F76DC"/>
    <w:rsid w:val="008F7A06"/>
    <w:rsid w:val="008F7D2F"/>
    <w:rsid w:val="009013C5"/>
    <w:rsid w:val="0090147B"/>
    <w:rsid w:val="00901649"/>
    <w:rsid w:val="00901CBA"/>
    <w:rsid w:val="00901DC6"/>
    <w:rsid w:val="009021DC"/>
    <w:rsid w:val="00903026"/>
    <w:rsid w:val="0090357B"/>
    <w:rsid w:val="00903832"/>
    <w:rsid w:val="009044BE"/>
    <w:rsid w:val="009048EB"/>
    <w:rsid w:val="00904913"/>
    <w:rsid w:val="00904D4B"/>
    <w:rsid w:val="009050B3"/>
    <w:rsid w:val="00905945"/>
    <w:rsid w:val="00905FEB"/>
    <w:rsid w:val="00906252"/>
    <w:rsid w:val="0090672E"/>
    <w:rsid w:val="00906A4F"/>
    <w:rsid w:val="00906BD6"/>
    <w:rsid w:val="00907074"/>
    <w:rsid w:val="009073C7"/>
    <w:rsid w:val="009078BA"/>
    <w:rsid w:val="009079C7"/>
    <w:rsid w:val="009079F7"/>
    <w:rsid w:val="00907B44"/>
    <w:rsid w:val="00907C33"/>
    <w:rsid w:val="009108D2"/>
    <w:rsid w:val="00910C20"/>
    <w:rsid w:val="00910FE1"/>
    <w:rsid w:val="0091106A"/>
    <w:rsid w:val="009117D0"/>
    <w:rsid w:val="00911C77"/>
    <w:rsid w:val="00911D1C"/>
    <w:rsid w:val="00912F38"/>
    <w:rsid w:val="00913C58"/>
    <w:rsid w:val="00913FCD"/>
    <w:rsid w:val="009140B4"/>
    <w:rsid w:val="00914174"/>
    <w:rsid w:val="0091428A"/>
    <w:rsid w:val="00914733"/>
    <w:rsid w:val="00914AA5"/>
    <w:rsid w:val="009162DD"/>
    <w:rsid w:val="009163E7"/>
    <w:rsid w:val="0091671A"/>
    <w:rsid w:val="009169F6"/>
    <w:rsid w:val="00916D5B"/>
    <w:rsid w:val="0091715C"/>
    <w:rsid w:val="0091719D"/>
    <w:rsid w:val="00917903"/>
    <w:rsid w:val="009200D3"/>
    <w:rsid w:val="00920997"/>
    <w:rsid w:val="00920B1E"/>
    <w:rsid w:val="00920DD5"/>
    <w:rsid w:val="00921161"/>
    <w:rsid w:val="0092158B"/>
    <w:rsid w:val="00921E0A"/>
    <w:rsid w:val="00922492"/>
    <w:rsid w:val="009224EB"/>
    <w:rsid w:val="0092272F"/>
    <w:rsid w:val="00922910"/>
    <w:rsid w:val="00922BE2"/>
    <w:rsid w:val="00922EDE"/>
    <w:rsid w:val="0092337C"/>
    <w:rsid w:val="009237D9"/>
    <w:rsid w:val="009239D2"/>
    <w:rsid w:val="0092406C"/>
    <w:rsid w:val="00924096"/>
    <w:rsid w:val="009243BC"/>
    <w:rsid w:val="009244D5"/>
    <w:rsid w:val="009252F1"/>
    <w:rsid w:val="00925588"/>
    <w:rsid w:val="00925AF5"/>
    <w:rsid w:val="00925C76"/>
    <w:rsid w:val="00926268"/>
    <w:rsid w:val="009264A2"/>
    <w:rsid w:val="00926F3D"/>
    <w:rsid w:val="0092715D"/>
    <w:rsid w:val="00927206"/>
    <w:rsid w:val="00930057"/>
    <w:rsid w:val="00930632"/>
    <w:rsid w:val="009310BC"/>
    <w:rsid w:val="00931D3F"/>
    <w:rsid w:val="009324C4"/>
    <w:rsid w:val="00932671"/>
    <w:rsid w:val="00932A7A"/>
    <w:rsid w:val="009330BF"/>
    <w:rsid w:val="00933817"/>
    <w:rsid w:val="00933C07"/>
    <w:rsid w:val="00934510"/>
    <w:rsid w:val="0093476C"/>
    <w:rsid w:val="00935A1E"/>
    <w:rsid w:val="00935B7C"/>
    <w:rsid w:val="00935E3A"/>
    <w:rsid w:val="00936005"/>
    <w:rsid w:val="0093607C"/>
    <w:rsid w:val="00937A83"/>
    <w:rsid w:val="00937B51"/>
    <w:rsid w:val="00940008"/>
    <w:rsid w:val="00940FFA"/>
    <w:rsid w:val="00941503"/>
    <w:rsid w:val="00941543"/>
    <w:rsid w:val="0094187D"/>
    <w:rsid w:val="00942C90"/>
    <w:rsid w:val="00942F29"/>
    <w:rsid w:val="00942FB6"/>
    <w:rsid w:val="009434EB"/>
    <w:rsid w:val="00943EA6"/>
    <w:rsid w:val="00944400"/>
    <w:rsid w:val="009448F2"/>
    <w:rsid w:val="009448F3"/>
    <w:rsid w:val="0094524B"/>
    <w:rsid w:val="009456E3"/>
    <w:rsid w:val="00945759"/>
    <w:rsid w:val="009466E9"/>
    <w:rsid w:val="00946CB3"/>
    <w:rsid w:val="00946D20"/>
    <w:rsid w:val="00946E51"/>
    <w:rsid w:val="009473F4"/>
    <w:rsid w:val="0094767D"/>
    <w:rsid w:val="00950231"/>
    <w:rsid w:val="00950794"/>
    <w:rsid w:val="009507AA"/>
    <w:rsid w:val="009509EF"/>
    <w:rsid w:val="009515CA"/>
    <w:rsid w:val="00951691"/>
    <w:rsid w:val="00951A1F"/>
    <w:rsid w:val="00951FCE"/>
    <w:rsid w:val="009521CC"/>
    <w:rsid w:val="0095226C"/>
    <w:rsid w:val="00952C05"/>
    <w:rsid w:val="00952D52"/>
    <w:rsid w:val="009540B7"/>
    <w:rsid w:val="009543D0"/>
    <w:rsid w:val="00954DAE"/>
    <w:rsid w:val="00955410"/>
    <w:rsid w:val="0095555D"/>
    <w:rsid w:val="009558EE"/>
    <w:rsid w:val="009559D5"/>
    <w:rsid w:val="00955C17"/>
    <w:rsid w:val="00955D04"/>
    <w:rsid w:val="00955FFA"/>
    <w:rsid w:val="00956170"/>
    <w:rsid w:val="00956BA1"/>
    <w:rsid w:val="00956D42"/>
    <w:rsid w:val="00956F0F"/>
    <w:rsid w:val="0095727F"/>
    <w:rsid w:val="009572AF"/>
    <w:rsid w:val="00957E41"/>
    <w:rsid w:val="0096023A"/>
    <w:rsid w:val="009602DE"/>
    <w:rsid w:val="009607AB"/>
    <w:rsid w:val="00960A9A"/>
    <w:rsid w:val="009615DB"/>
    <w:rsid w:val="00962683"/>
    <w:rsid w:val="00962E23"/>
    <w:rsid w:val="00963149"/>
    <w:rsid w:val="0096456D"/>
    <w:rsid w:val="0096487C"/>
    <w:rsid w:val="00964BC2"/>
    <w:rsid w:val="00964D4A"/>
    <w:rsid w:val="00964EAE"/>
    <w:rsid w:val="00965023"/>
    <w:rsid w:val="009650B7"/>
    <w:rsid w:val="0096515D"/>
    <w:rsid w:val="00965841"/>
    <w:rsid w:val="00965EE1"/>
    <w:rsid w:val="00966623"/>
    <w:rsid w:val="009668D5"/>
    <w:rsid w:val="00966D23"/>
    <w:rsid w:val="009678DB"/>
    <w:rsid w:val="00970728"/>
    <w:rsid w:val="009707C9"/>
    <w:rsid w:val="0097082A"/>
    <w:rsid w:val="00971E0B"/>
    <w:rsid w:val="00972101"/>
    <w:rsid w:val="00972D22"/>
    <w:rsid w:val="00972FB5"/>
    <w:rsid w:val="00973510"/>
    <w:rsid w:val="009736FE"/>
    <w:rsid w:val="00973B96"/>
    <w:rsid w:val="00973BAA"/>
    <w:rsid w:val="00973E3C"/>
    <w:rsid w:val="00974763"/>
    <w:rsid w:val="009757CA"/>
    <w:rsid w:val="00975C9D"/>
    <w:rsid w:val="00976E76"/>
    <w:rsid w:val="00977A14"/>
    <w:rsid w:val="00977E9B"/>
    <w:rsid w:val="0098004A"/>
    <w:rsid w:val="009807BF"/>
    <w:rsid w:val="009809CE"/>
    <w:rsid w:val="00980D42"/>
    <w:rsid w:val="0098131F"/>
    <w:rsid w:val="00981479"/>
    <w:rsid w:val="00981CF9"/>
    <w:rsid w:val="00982295"/>
    <w:rsid w:val="009829B3"/>
    <w:rsid w:val="00982C31"/>
    <w:rsid w:val="00982D45"/>
    <w:rsid w:val="00982FE4"/>
    <w:rsid w:val="00983165"/>
    <w:rsid w:val="00983343"/>
    <w:rsid w:val="009833C4"/>
    <w:rsid w:val="009834E0"/>
    <w:rsid w:val="009838FF"/>
    <w:rsid w:val="00984149"/>
    <w:rsid w:val="00984788"/>
    <w:rsid w:val="00984909"/>
    <w:rsid w:val="00984D7E"/>
    <w:rsid w:val="00984FF3"/>
    <w:rsid w:val="00984FF9"/>
    <w:rsid w:val="009850C5"/>
    <w:rsid w:val="00986326"/>
    <w:rsid w:val="00986849"/>
    <w:rsid w:val="00986BB7"/>
    <w:rsid w:val="00986D4B"/>
    <w:rsid w:val="00986E1E"/>
    <w:rsid w:val="00986F6D"/>
    <w:rsid w:val="0098727C"/>
    <w:rsid w:val="00987708"/>
    <w:rsid w:val="00987DDD"/>
    <w:rsid w:val="00987DF0"/>
    <w:rsid w:val="00987DF4"/>
    <w:rsid w:val="00987E2E"/>
    <w:rsid w:val="0099008B"/>
    <w:rsid w:val="00991202"/>
    <w:rsid w:val="0099177B"/>
    <w:rsid w:val="009917E0"/>
    <w:rsid w:val="0099367E"/>
    <w:rsid w:val="00993FE4"/>
    <w:rsid w:val="0099425E"/>
    <w:rsid w:val="0099482F"/>
    <w:rsid w:val="00994CDC"/>
    <w:rsid w:val="009969CD"/>
    <w:rsid w:val="00996CFC"/>
    <w:rsid w:val="0099770A"/>
    <w:rsid w:val="00997769"/>
    <w:rsid w:val="00997A2E"/>
    <w:rsid w:val="009A048E"/>
    <w:rsid w:val="009A119F"/>
    <w:rsid w:val="009A1609"/>
    <w:rsid w:val="009A1A7E"/>
    <w:rsid w:val="009A3480"/>
    <w:rsid w:val="009A3DB8"/>
    <w:rsid w:val="009A4356"/>
    <w:rsid w:val="009A43B3"/>
    <w:rsid w:val="009A464D"/>
    <w:rsid w:val="009A496F"/>
    <w:rsid w:val="009A4B78"/>
    <w:rsid w:val="009A4D73"/>
    <w:rsid w:val="009A4E41"/>
    <w:rsid w:val="009A5297"/>
    <w:rsid w:val="009A5326"/>
    <w:rsid w:val="009A5D40"/>
    <w:rsid w:val="009A5E10"/>
    <w:rsid w:val="009A5E9E"/>
    <w:rsid w:val="009A6665"/>
    <w:rsid w:val="009A6785"/>
    <w:rsid w:val="009A743F"/>
    <w:rsid w:val="009A74F7"/>
    <w:rsid w:val="009A76B0"/>
    <w:rsid w:val="009A7FD7"/>
    <w:rsid w:val="009B00F2"/>
    <w:rsid w:val="009B0FB2"/>
    <w:rsid w:val="009B1113"/>
    <w:rsid w:val="009B1C34"/>
    <w:rsid w:val="009B1D22"/>
    <w:rsid w:val="009B1E86"/>
    <w:rsid w:val="009B27C4"/>
    <w:rsid w:val="009B2D92"/>
    <w:rsid w:val="009B3250"/>
    <w:rsid w:val="009B3344"/>
    <w:rsid w:val="009B42D2"/>
    <w:rsid w:val="009B4A06"/>
    <w:rsid w:val="009B5E9C"/>
    <w:rsid w:val="009B609E"/>
    <w:rsid w:val="009B70C8"/>
    <w:rsid w:val="009B722F"/>
    <w:rsid w:val="009B737C"/>
    <w:rsid w:val="009B742E"/>
    <w:rsid w:val="009B7E33"/>
    <w:rsid w:val="009C0AC6"/>
    <w:rsid w:val="009C0E66"/>
    <w:rsid w:val="009C11B2"/>
    <w:rsid w:val="009C1456"/>
    <w:rsid w:val="009C164F"/>
    <w:rsid w:val="009C1C30"/>
    <w:rsid w:val="009C22DD"/>
    <w:rsid w:val="009C29D5"/>
    <w:rsid w:val="009C30A0"/>
    <w:rsid w:val="009C359E"/>
    <w:rsid w:val="009C37FE"/>
    <w:rsid w:val="009C4082"/>
    <w:rsid w:val="009C4806"/>
    <w:rsid w:val="009C4A38"/>
    <w:rsid w:val="009C4AD8"/>
    <w:rsid w:val="009C4D3D"/>
    <w:rsid w:val="009C55E2"/>
    <w:rsid w:val="009C5A4E"/>
    <w:rsid w:val="009C5EE5"/>
    <w:rsid w:val="009C61E3"/>
    <w:rsid w:val="009C6B56"/>
    <w:rsid w:val="009C6C93"/>
    <w:rsid w:val="009C76F9"/>
    <w:rsid w:val="009C7785"/>
    <w:rsid w:val="009C7DB8"/>
    <w:rsid w:val="009C7FF0"/>
    <w:rsid w:val="009D010D"/>
    <w:rsid w:val="009D0244"/>
    <w:rsid w:val="009D050F"/>
    <w:rsid w:val="009D0F71"/>
    <w:rsid w:val="009D111C"/>
    <w:rsid w:val="009D141A"/>
    <w:rsid w:val="009D17A0"/>
    <w:rsid w:val="009D1A08"/>
    <w:rsid w:val="009D1F7A"/>
    <w:rsid w:val="009D2165"/>
    <w:rsid w:val="009D2873"/>
    <w:rsid w:val="009D2942"/>
    <w:rsid w:val="009D3827"/>
    <w:rsid w:val="009D3A1A"/>
    <w:rsid w:val="009D426A"/>
    <w:rsid w:val="009D5BDB"/>
    <w:rsid w:val="009D5CCA"/>
    <w:rsid w:val="009D6B03"/>
    <w:rsid w:val="009D6B3D"/>
    <w:rsid w:val="009D7422"/>
    <w:rsid w:val="009D77A4"/>
    <w:rsid w:val="009D78E7"/>
    <w:rsid w:val="009E0505"/>
    <w:rsid w:val="009E0742"/>
    <w:rsid w:val="009E1291"/>
    <w:rsid w:val="009E12BC"/>
    <w:rsid w:val="009E224D"/>
    <w:rsid w:val="009E26D5"/>
    <w:rsid w:val="009E276C"/>
    <w:rsid w:val="009E2A07"/>
    <w:rsid w:val="009E3398"/>
    <w:rsid w:val="009E3577"/>
    <w:rsid w:val="009E3D2B"/>
    <w:rsid w:val="009E3E84"/>
    <w:rsid w:val="009E4097"/>
    <w:rsid w:val="009E4664"/>
    <w:rsid w:val="009E4D8E"/>
    <w:rsid w:val="009E4E90"/>
    <w:rsid w:val="009E4EB7"/>
    <w:rsid w:val="009E56C7"/>
    <w:rsid w:val="009E57C1"/>
    <w:rsid w:val="009E624A"/>
    <w:rsid w:val="009E6B32"/>
    <w:rsid w:val="009E70F3"/>
    <w:rsid w:val="009E7E98"/>
    <w:rsid w:val="009F00EE"/>
    <w:rsid w:val="009F0827"/>
    <w:rsid w:val="009F0BED"/>
    <w:rsid w:val="009F1673"/>
    <w:rsid w:val="009F1EA5"/>
    <w:rsid w:val="009F3255"/>
    <w:rsid w:val="009F34AA"/>
    <w:rsid w:val="009F3DCE"/>
    <w:rsid w:val="009F44FF"/>
    <w:rsid w:val="009F46E8"/>
    <w:rsid w:val="009F472D"/>
    <w:rsid w:val="009F4CF0"/>
    <w:rsid w:val="009F4E88"/>
    <w:rsid w:val="009F50D1"/>
    <w:rsid w:val="009F568A"/>
    <w:rsid w:val="009F573B"/>
    <w:rsid w:val="009F5918"/>
    <w:rsid w:val="009F596D"/>
    <w:rsid w:val="009F6A91"/>
    <w:rsid w:val="009F71A6"/>
    <w:rsid w:val="009F71AA"/>
    <w:rsid w:val="009F7326"/>
    <w:rsid w:val="009F754A"/>
    <w:rsid w:val="009F791F"/>
    <w:rsid w:val="009F7F86"/>
    <w:rsid w:val="00A0034D"/>
    <w:rsid w:val="00A00BFB"/>
    <w:rsid w:val="00A00DCF"/>
    <w:rsid w:val="00A0126C"/>
    <w:rsid w:val="00A012DA"/>
    <w:rsid w:val="00A0187E"/>
    <w:rsid w:val="00A02450"/>
    <w:rsid w:val="00A026F0"/>
    <w:rsid w:val="00A02F2D"/>
    <w:rsid w:val="00A02F61"/>
    <w:rsid w:val="00A03E0E"/>
    <w:rsid w:val="00A040D1"/>
    <w:rsid w:val="00A04424"/>
    <w:rsid w:val="00A04A0A"/>
    <w:rsid w:val="00A050A8"/>
    <w:rsid w:val="00A056A3"/>
    <w:rsid w:val="00A056AA"/>
    <w:rsid w:val="00A05B51"/>
    <w:rsid w:val="00A06286"/>
    <w:rsid w:val="00A06318"/>
    <w:rsid w:val="00A063BC"/>
    <w:rsid w:val="00A068E1"/>
    <w:rsid w:val="00A06A80"/>
    <w:rsid w:val="00A06D8A"/>
    <w:rsid w:val="00A0711F"/>
    <w:rsid w:val="00A07B0B"/>
    <w:rsid w:val="00A102A0"/>
    <w:rsid w:val="00A108C2"/>
    <w:rsid w:val="00A114FA"/>
    <w:rsid w:val="00A11AF3"/>
    <w:rsid w:val="00A12C09"/>
    <w:rsid w:val="00A13084"/>
    <w:rsid w:val="00A1320B"/>
    <w:rsid w:val="00A1327F"/>
    <w:rsid w:val="00A13817"/>
    <w:rsid w:val="00A138D3"/>
    <w:rsid w:val="00A13C73"/>
    <w:rsid w:val="00A13E0F"/>
    <w:rsid w:val="00A144B7"/>
    <w:rsid w:val="00A149B4"/>
    <w:rsid w:val="00A15F4F"/>
    <w:rsid w:val="00A160AB"/>
    <w:rsid w:val="00A160F0"/>
    <w:rsid w:val="00A16745"/>
    <w:rsid w:val="00A16747"/>
    <w:rsid w:val="00A17C1D"/>
    <w:rsid w:val="00A20013"/>
    <w:rsid w:val="00A20582"/>
    <w:rsid w:val="00A20C65"/>
    <w:rsid w:val="00A214B2"/>
    <w:rsid w:val="00A21767"/>
    <w:rsid w:val="00A21FD5"/>
    <w:rsid w:val="00A22751"/>
    <w:rsid w:val="00A22940"/>
    <w:rsid w:val="00A23102"/>
    <w:rsid w:val="00A23284"/>
    <w:rsid w:val="00A2343F"/>
    <w:rsid w:val="00A23505"/>
    <w:rsid w:val="00A23598"/>
    <w:rsid w:val="00A2428B"/>
    <w:rsid w:val="00A2476B"/>
    <w:rsid w:val="00A247E5"/>
    <w:rsid w:val="00A24D81"/>
    <w:rsid w:val="00A24EA5"/>
    <w:rsid w:val="00A25173"/>
    <w:rsid w:val="00A252F0"/>
    <w:rsid w:val="00A259F2"/>
    <w:rsid w:val="00A25FDB"/>
    <w:rsid w:val="00A26463"/>
    <w:rsid w:val="00A26608"/>
    <w:rsid w:val="00A2660E"/>
    <w:rsid w:val="00A26916"/>
    <w:rsid w:val="00A26B47"/>
    <w:rsid w:val="00A26FF1"/>
    <w:rsid w:val="00A27806"/>
    <w:rsid w:val="00A3068C"/>
    <w:rsid w:val="00A3127F"/>
    <w:rsid w:val="00A31922"/>
    <w:rsid w:val="00A31BCC"/>
    <w:rsid w:val="00A31C70"/>
    <w:rsid w:val="00A32382"/>
    <w:rsid w:val="00A325BB"/>
    <w:rsid w:val="00A3297A"/>
    <w:rsid w:val="00A32A58"/>
    <w:rsid w:val="00A32EEC"/>
    <w:rsid w:val="00A336C5"/>
    <w:rsid w:val="00A3510A"/>
    <w:rsid w:val="00A3515F"/>
    <w:rsid w:val="00A3544E"/>
    <w:rsid w:val="00A35751"/>
    <w:rsid w:val="00A35762"/>
    <w:rsid w:val="00A3577F"/>
    <w:rsid w:val="00A35BBC"/>
    <w:rsid w:val="00A35DAB"/>
    <w:rsid w:val="00A36724"/>
    <w:rsid w:val="00A367AF"/>
    <w:rsid w:val="00A36AA0"/>
    <w:rsid w:val="00A36C13"/>
    <w:rsid w:val="00A377C2"/>
    <w:rsid w:val="00A37A31"/>
    <w:rsid w:val="00A40B1F"/>
    <w:rsid w:val="00A40B4D"/>
    <w:rsid w:val="00A411E2"/>
    <w:rsid w:val="00A41373"/>
    <w:rsid w:val="00A41638"/>
    <w:rsid w:val="00A41B15"/>
    <w:rsid w:val="00A4224E"/>
    <w:rsid w:val="00A4229F"/>
    <w:rsid w:val="00A428A9"/>
    <w:rsid w:val="00A42ACA"/>
    <w:rsid w:val="00A43AAB"/>
    <w:rsid w:val="00A43AFE"/>
    <w:rsid w:val="00A44AAD"/>
    <w:rsid w:val="00A44E8A"/>
    <w:rsid w:val="00A45280"/>
    <w:rsid w:val="00A45BF7"/>
    <w:rsid w:val="00A463B5"/>
    <w:rsid w:val="00A463BA"/>
    <w:rsid w:val="00A46675"/>
    <w:rsid w:val="00A471A3"/>
    <w:rsid w:val="00A47597"/>
    <w:rsid w:val="00A47E08"/>
    <w:rsid w:val="00A47E44"/>
    <w:rsid w:val="00A47F91"/>
    <w:rsid w:val="00A507A9"/>
    <w:rsid w:val="00A507D7"/>
    <w:rsid w:val="00A50A5C"/>
    <w:rsid w:val="00A50BE2"/>
    <w:rsid w:val="00A50CC6"/>
    <w:rsid w:val="00A50E40"/>
    <w:rsid w:val="00A51462"/>
    <w:rsid w:val="00A51946"/>
    <w:rsid w:val="00A51C1F"/>
    <w:rsid w:val="00A51FF7"/>
    <w:rsid w:val="00A52079"/>
    <w:rsid w:val="00A52143"/>
    <w:rsid w:val="00A521E9"/>
    <w:rsid w:val="00A5298E"/>
    <w:rsid w:val="00A52B3E"/>
    <w:rsid w:val="00A5313B"/>
    <w:rsid w:val="00A5320E"/>
    <w:rsid w:val="00A53F7B"/>
    <w:rsid w:val="00A54090"/>
    <w:rsid w:val="00A54282"/>
    <w:rsid w:val="00A549D3"/>
    <w:rsid w:val="00A54DF0"/>
    <w:rsid w:val="00A56E99"/>
    <w:rsid w:val="00A57212"/>
    <w:rsid w:val="00A57E98"/>
    <w:rsid w:val="00A60189"/>
    <w:rsid w:val="00A60849"/>
    <w:rsid w:val="00A6105B"/>
    <w:rsid w:val="00A61355"/>
    <w:rsid w:val="00A61668"/>
    <w:rsid w:val="00A621D3"/>
    <w:rsid w:val="00A628F8"/>
    <w:rsid w:val="00A62B7A"/>
    <w:rsid w:val="00A632EA"/>
    <w:rsid w:val="00A634BE"/>
    <w:rsid w:val="00A63AD7"/>
    <w:rsid w:val="00A63BFD"/>
    <w:rsid w:val="00A6444A"/>
    <w:rsid w:val="00A6491F"/>
    <w:rsid w:val="00A64C72"/>
    <w:rsid w:val="00A64D1A"/>
    <w:rsid w:val="00A65320"/>
    <w:rsid w:val="00A65BA5"/>
    <w:rsid w:val="00A66288"/>
    <w:rsid w:val="00A66354"/>
    <w:rsid w:val="00A66E37"/>
    <w:rsid w:val="00A66ECF"/>
    <w:rsid w:val="00A67E38"/>
    <w:rsid w:val="00A703E4"/>
    <w:rsid w:val="00A70DC6"/>
    <w:rsid w:val="00A71080"/>
    <w:rsid w:val="00A713B3"/>
    <w:rsid w:val="00A71986"/>
    <w:rsid w:val="00A71E73"/>
    <w:rsid w:val="00A72740"/>
    <w:rsid w:val="00A73A64"/>
    <w:rsid w:val="00A742AD"/>
    <w:rsid w:val="00A746D7"/>
    <w:rsid w:val="00A74AB2"/>
    <w:rsid w:val="00A75A46"/>
    <w:rsid w:val="00A75B36"/>
    <w:rsid w:val="00A762F1"/>
    <w:rsid w:val="00A7663A"/>
    <w:rsid w:val="00A7696B"/>
    <w:rsid w:val="00A769D4"/>
    <w:rsid w:val="00A80268"/>
    <w:rsid w:val="00A804C7"/>
    <w:rsid w:val="00A80857"/>
    <w:rsid w:val="00A80A39"/>
    <w:rsid w:val="00A80DF0"/>
    <w:rsid w:val="00A80E64"/>
    <w:rsid w:val="00A81A16"/>
    <w:rsid w:val="00A823A7"/>
    <w:rsid w:val="00A825C8"/>
    <w:rsid w:val="00A82742"/>
    <w:rsid w:val="00A83984"/>
    <w:rsid w:val="00A83A1E"/>
    <w:rsid w:val="00A84198"/>
    <w:rsid w:val="00A841AB"/>
    <w:rsid w:val="00A84FFD"/>
    <w:rsid w:val="00A86104"/>
    <w:rsid w:val="00A8655A"/>
    <w:rsid w:val="00A87203"/>
    <w:rsid w:val="00A87744"/>
    <w:rsid w:val="00A87AE6"/>
    <w:rsid w:val="00A87B09"/>
    <w:rsid w:val="00A87C22"/>
    <w:rsid w:val="00A90590"/>
    <w:rsid w:val="00A90A97"/>
    <w:rsid w:val="00A90CB4"/>
    <w:rsid w:val="00A910DA"/>
    <w:rsid w:val="00A920E1"/>
    <w:rsid w:val="00A923D6"/>
    <w:rsid w:val="00A92B42"/>
    <w:rsid w:val="00A933AE"/>
    <w:rsid w:val="00A93863"/>
    <w:rsid w:val="00A9415E"/>
    <w:rsid w:val="00A9423F"/>
    <w:rsid w:val="00A94EBD"/>
    <w:rsid w:val="00A9510D"/>
    <w:rsid w:val="00A956AC"/>
    <w:rsid w:val="00A95D2A"/>
    <w:rsid w:val="00A96214"/>
    <w:rsid w:val="00A967E8"/>
    <w:rsid w:val="00A97AF8"/>
    <w:rsid w:val="00A97D38"/>
    <w:rsid w:val="00A97F4B"/>
    <w:rsid w:val="00AA04C5"/>
    <w:rsid w:val="00AA1044"/>
    <w:rsid w:val="00AA10B1"/>
    <w:rsid w:val="00AA239B"/>
    <w:rsid w:val="00AA2803"/>
    <w:rsid w:val="00AA2BF2"/>
    <w:rsid w:val="00AA2D65"/>
    <w:rsid w:val="00AA2D68"/>
    <w:rsid w:val="00AA2D6F"/>
    <w:rsid w:val="00AA3987"/>
    <w:rsid w:val="00AA3B68"/>
    <w:rsid w:val="00AA3E79"/>
    <w:rsid w:val="00AA447C"/>
    <w:rsid w:val="00AA4FB4"/>
    <w:rsid w:val="00AA5C0B"/>
    <w:rsid w:val="00AA5E3B"/>
    <w:rsid w:val="00AA63AD"/>
    <w:rsid w:val="00AA65B4"/>
    <w:rsid w:val="00AA745E"/>
    <w:rsid w:val="00AA7E43"/>
    <w:rsid w:val="00AB0352"/>
    <w:rsid w:val="00AB047A"/>
    <w:rsid w:val="00AB04AB"/>
    <w:rsid w:val="00AB0733"/>
    <w:rsid w:val="00AB09D2"/>
    <w:rsid w:val="00AB0B64"/>
    <w:rsid w:val="00AB0C30"/>
    <w:rsid w:val="00AB161B"/>
    <w:rsid w:val="00AB176B"/>
    <w:rsid w:val="00AB37E6"/>
    <w:rsid w:val="00AB3DBA"/>
    <w:rsid w:val="00AB431C"/>
    <w:rsid w:val="00AB470E"/>
    <w:rsid w:val="00AB5A7E"/>
    <w:rsid w:val="00AB7538"/>
    <w:rsid w:val="00AB75A7"/>
    <w:rsid w:val="00AB77F3"/>
    <w:rsid w:val="00AB7BE7"/>
    <w:rsid w:val="00AC0AAD"/>
    <w:rsid w:val="00AC0C2A"/>
    <w:rsid w:val="00AC1231"/>
    <w:rsid w:val="00AC15D4"/>
    <w:rsid w:val="00AC1992"/>
    <w:rsid w:val="00AC1E14"/>
    <w:rsid w:val="00AC2CFA"/>
    <w:rsid w:val="00AC3263"/>
    <w:rsid w:val="00AC3E12"/>
    <w:rsid w:val="00AC406E"/>
    <w:rsid w:val="00AC430C"/>
    <w:rsid w:val="00AC4A6B"/>
    <w:rsid w:val="00AC5C19"/>
    <w:rsid w:val="00AC60F0"/>
    <w:rsid w:val="00AC6657"/>
    <w:rsid w:val="00AC6A24"/>
    <w:rsid w:val="00AC6D7A"/>
    <w:rsid w:val="00AC72B0"/>
    <w:rsid w:val="00AC7363"/>
    <w:rsid w:val="00AC7401"/>
    <w:rsid w:val="00AC7901"/>
    <w:rsid w:val="00AC79F3"/>
    <w:rsid w:val="00AC7FDD"/>
    <w:rsid w:val="00AD0949"/>
    <w:rsid w:val="00AD0F1D"/>
    <w:rsid w:val="00AD1179"/>
    <w:rsid w:val="00AD1359"/>
    <w:rsid w:val="00AD194B"/>
    <w:rsid w:val="00AD19F0"/>
    <w:rsid w:val="00AD1FCE"/>
    <w:rsid w:val="00AD26E1"/>
    <w:rsid w:val="00AD29CC"/>
    <w:rsid w:val="00AD3268"/>
    <w:rsid w:val="00AD3DE2"/>
    <w:rsid w:val="00AD4261"/>
    <w:rsid w:val="00AD4473"/>
    <w:rsid w:val="00AD46F5"/>
    <w:rsid w:val="00AD51A3"/>
    <w:rsid w:val="00AD598B"/>
    <w:rsid w:val="00AD7154"/>
    <w:rsid w:val="00AD7844"/>
    <w:rsid w:val="00AD797D"/>
    <w:rsid w:val="00AD7C94"/>
    <w:rsid w:val="00AD7E02"/>
    <w:rsid w:val="00AE0483"/>
    <w:rsid w:val="00AE08DD"/>
    <w:rsid w:val="00AE13BD"/>
    <w:rsid w:val="00AE1681"/>
    <w:rsid w:val="00AE189E"/>
    <w:rsid w:val="00AE1AF9"/>
    <w:rsid w:val="00AE1E60"/>
    <w:rsid w:val="00AE2068"/>
    <w:rsid w:val="00AE2258"/>
    <w:rsid w:val="00AE277E"/>
    <w:rsid w:val="00AE2A36"/>
    <w:rsid w:val="00AE2BC6"/>
    <w:rsid w:val="00AE3251"/>
    <w:rsid w:val="00AE3FE0"/>
    <w:rsid w:val="00AE44A2"/>
    <w:rsid w:val="00AE4A71"/>
    <w:rsid w:val="00AE5058"/>
    <w:rsid w:val="00AE5170"/>
    <w:rsid w:val="00AE51CD"/>
    <w:rsid w:val="00AE5471"/>
    <w:rsid w:val="00AE54AA"/>
    <w:rsid w:val="00AE60E4"/>
    <w:rsid w:val="00AE6872"/>
    <w:rsid w:val="00AE6C58"/>
    <w:rsid w:val="00AE72C4"/>
    <w:rsid w:val="00AE7F05"/>
    <w:rsid w:val="00AE7F38"/>
    <w:rsid w:val="00AF054D"/>
    <w:rsid w:val="00AF0939"/>
    <w:rsid w:val="00AF0A7C"/>
    <w:rsid w:val="00AF1813"/>
    <w:rsid w:val="00AF24E7"/>
    <w:rsid w:val="00AF272B"/>
    <w:rsid w:val="00AF291B"/>
    <w:rsid w:val="00AF2DAA"/>
    <w:rsid w:val="00AF2EBD"/>
    <w:rsid w:val="00AF33AE"/>
    <w:rsid w:val="00AF409A"/>
    <w:rsid w:val="00AF44B1"/>
    <w:rsid w:val="00AF5800"/>
    <w:rsid w:val="00AF6986"/>
    <w:rsid w:val="00AF6D1B"/>
    <w:rsid w:val="00AF73ED"/>
    <w:rsid w:val="00AF7D69"/>
    <w:rsid w:val="00AF7ED2"/>
    <w:rsid w:val="00B004D8"/>
    <w:rsid w:val="00B00830"/>
    <w:rsid w:val="00B00CC5"/>
    <w:rsid w:val="00B016D2"/>
    <w:rsid w:val="00B01E41"/>
    <w:rsid w:val="00B02091"/>
    <w:rsid w:val="00B02B3F"/>
    <w:rsid w:val="00B02B43"/>
    <w:rsid w:val="00B02BCB"/>
    <w:rsid w:val="00B03D36"/>
    <w:rsid w:val="00B03F3D"/>
    <w:rsid w:val="00B04384"/>
    <w:rsid w:val="00B04540"/>
    <w:rsid w:val="00B05116"/>
    <w:rsid w:val="00B051A7"/>
    <w:rsid w:val="00B05574"/>
    <w:rsid w:val="00B05F1A"/>
    <w:rsid w:val="00B07B33"/>
    <w:rsid w:val="00B07FA2"/>
    <w:rsid w:val="00B100CF"/>
    <w:rsid w:val="00B10E82"/>
    <w:rsid w:val="00B111A6"/>
    <w:rsid w:val="00B115E5"/>
    <w:rsid w:val="00B118EE"/>
    <w:rsid w:val="00B11B03"/>
    <w:rsid w:val="00B11C5B"/>
    <w:rsid w:val="00B121CD"/>
    <w:rsid w:val="00B12343"/>
    <w:rsid w:val="00B12529"/>
    <w:rsid w:val="00B128C5"/>
    <w:rsid w:val="00B12B11"/>
    <w:rsid w:val="00B12C94"/>
    <w:rsid w:val="00B135AB"/>
    <w:rsid w:val="00B137BF"/>
    <w:rsid w:val="00B13A1B"/>
    <w:rsid w:val="00B13A59"/>
    <w:rsid w:val="00B142D9"/>
    <w:rsid w:val="00B14BC4"/>
    <w:rsid w:val="00B156C8"/>
    <w:rsid w:val="00B158A3"/>
    <w:rsid w:val="00B15B25"/>
    <w:rsid w:val="00B15EA0"/>
    <w:rsid w:val="00B17A4E"/>
    <w:rsid w:val="00B17B30"/>
    <w:rsid w:val="00B17C2F"/>
    <w:rsid w:val="00B21175"/>
    <w:rsid w:val="00B2153E"/>
    <w:rsid w:val="00B21FA7"/>
    <w:rsid w:val="00B22022"/>
    <w:rsid w:val="00B225E4"/>
    <w:rsid w:val="00B23F7A"/>
    <w:rsid w:val="00B240B1"/>
    <w:rsid w:val="00B24208"/>
    <w:rsid w:val="00B24728"/>
    <w:rsid w:val="00B248A9"/>
    <w:rsid w:val="00B24D28"/>
    <w:rsid w:val="00B24F1C"/>
    <w:rsid w:val="00B25890"/>
    <w:rsid w:val="00B25D76"/>
    <w:rsid w:val="00B27032"/>
    <w:rsid w:val="00B30003"/>
    <w:rsid w:val="00B31201"/>
    <w:rsid w:val="00B3167E"/>
    <w:rsid w:val="00B319F7"/>
    <w:rsid w:val="00B31B4B"/>
    <w:rsid w:val="00B31CD5"/>
    <w:rsid w:val="00B31E36"/>
    <w:rsid w:val="00B32E26"/>
    <w:rsid w:val="00B338B7"/>
    <w:rsid w:val="00B34061"/>
    <w:rsid w:val="00B3440A"/>
    <w:rsid w:val="00B34441"/>
    <w:rsid w:val="00B35312"/>
    <w:rsid w:val="00B35534"/>
    <w:rsid w:val="00B35A87"/>
    <w:rsid w:val="00B35AB6"/>
    <w:rsid w:val="00B35AFD"/>
    <w:rsid w:val="00B35F9A"/>
    <w:rsid w:val="00B36236"/>
    <w:rsid w:val="00B3662E"/>
    <w:rsid w:val="00B366D2"/>
    <w:rsid w:val="00B366FA"/>
    <w:rsid w:val="00B36E86"/>
    <w:rsid w:val="00B37122"/>
    <w:rsid w:val="00B379BA"/>
    <w:rsid w:val="00B40139"/>
    <w:rsid w:val="00B410E1"/>
    <w:rsid w:val="00B412FD"/>
    <w:rsid w:val="00B422BE"/>
    <w:rsid w:val="00B4241D"/>
    <w:rsid w:val="00B426BB"/>
    <w:rsid w:val="00B42EB9"/>
    <w:rsid w:val="00B434E9"/>
    <w:rsid w:val="00B441FE"/>
    <w:rsid w:val="00B44821"/>
    <w:rsid w:val="00B44AD3"/>
    <w:rsid w:val="00B44BDC"/>
    <w:rsid w:val="00B45152"/>
    <w:rsid w:val="00B45E54"/>
    <w:rsid w:val="00B461E5"/>
    <w:rsid w:val="00B464E4"/>
    <w:rsid w:val="00B4689A"/>
    <w:rsid w:val="00B46D5F"/>
    <w:rsid w:val="00B46E7B"/>
    <w:rsid w:val="00B47DC5"/>
    <w:rsid w:val="00B505B3"/>
    <w:rsid w:val="00B50A74"/>
    <w:rsid w:val="00B520A0"/>
    <w:rsid w:val="00B5257E"/>
    <w:rsid w:val="00B525CE"/>
    <w:rsid w:val="00B52CFD"/>
    <w:rsid w:val="00B545A8"/>
    <w:rsid w:val="00B548E8"/>
    <w:rsid w:val="00B56527"/>
    <w:rsid w:val="00B56918"/>
    <w:rsid w:val="00B576DA"/>
    <w:rsid w:val="00B57710"/>
    <w:rsid w:val="00B60011"/>
    <w:rsid w:val="00B601C9"/>
    <w:rsid w:val="00B60D04"/>
    <w:rsid w:val="00B61EE8"/>
    <w:rsid w:val="00B62D9B"/>
    <w:rsid w:val="00B633A3"/>
    <w:rsid w:val="00B63533"/>
    <w:rsid w:val="00B63BDB"/>
    <w:rsid w:val="00B64A0E"/>
    <w:rsid w:val="00B64CC6"/>
    <w:rsid w:val="00B64DDF"/>
    <w:rsid w:val="00B65728"/>
    <w:rsid w:val="00B6601E"/>
    <w:rsid w:val="00B663AA"/>
    <w:rsid w:val="00B66DD5"/>
    <w:rsid w:val="00B6715C"/>
    <w:rsid w:val="00B67B97"/>
    <w:rsid w:val="00B67F01"/>
    <w:rsid w:val="00B711AB"/>
    <w:rsid w:val="00B714E9"/>
    <w:rsid w:val="00B714F0"/>
    <w:rsid w:val="00B71A40"/>
    <w:rsid w:val="00B71BFA"/>
    <w:rsid w:val="00B71C8C"/>
    <w:rsid w:val="00B71CB4"/>
    <w:rsid w:val="00B71FD7"/>
    <w:rsid w:val="00B72003"/>
    <w:rsid w:val="00B7210F"/>
    <w:rsid w:val="00B725E7"/>
    <w:rsid w:val="00B72C07"/>
    <w:rsid w:val="00B72DF7"/>
    <w:rsid w:val="00B72F42"/>
    <w:rsid w:val="00B73E44"/>
    <w:rsid w:val="00B74290"/>
    <w:rsid w:val="00B74510"/>
    <w:rsid w:val="00B74822"/>
    <w:rsid w:val="00B74BD4"/>
    <w:rsid w:val="00B74BF7"/>
    <w:rsid w:val="00B76185"/>
    <w:rsid w:val="00B7676C"/>
    <w:rsid w:val="00B76BCD"/>
    <w:rsid w:val="00B76FBC"/>
    <w:rsid w:val="00B7782B"/>
    <w:rsid w:val="00B779E6"/>
    <w:rsid w:val="00B804E2"/>
    <w:rsid w:val="00B811B2"/>
    <w:rsid w:val="00B82024"/>
    <w:rsid w:val="00B8276E"/>
    <w:rsid w:val="00B82805"/>
    <w:rsid w:val="00B83997"/>
    <w:rsid w:val="00B83A62"/>
    <w:rsid w:val="00B83B59"/>
    <w:rsid w:val="00B84252"/>
    <w:rsid w:val="00B84677"/>
    <w:rsid w:val="00B8468F"/>
    <w:rsid w:val="00B84FC6"/>
    <w:rsid w:val="00B857F5"/>
    <w:rsid w:val="00B85A56"/>
    <w:rsid w:val="00B85B2C"/>
    <w:rsid w:val="00B86D6C"/>
    <w:rsid w:val="00B86F47"/>
    <w:rsid w:val="00B874B4"/>
    <w:rsid w:val="00B875E9"/>
    <w:rsid w:val="00B8787A"/>
    <w:rsid w:val="00B87887"/>
    <w:rsid w:val="00B90123"/>
    <w:rsid w:val="00B90196"/>
    <w:rsid w:val="00B90FBE"/>
    <w:rsid w:val="00B911C1"/>
    <w:rsid w:val="00B92008"/>
    <w:rsid w:val="00B922C3"/>
    <w:rsid w:val="00B9272E"/>
    <w:rsid w:val="00B927A7"/>
    <w:rsid w:val="00B92B9E"/>
    <w:rsid w:val="00B93315"/>
    <w:rsid w:val="00B93519"/>
    <w:rsid w:val="00B9372A"/>
    <w:rsid w:val="00B93FD0"/>
    <w:rsid w:val="00B9425C"/>
    <w:rsid w:val="00B94AAF"/>
    <w:rsid w:val="00B94DB1"/>
    <w:rsid w:val="00B953FF"/>
    <w:rsid w:val="00B9622D"/>
    <w:rsid w:val="00B96263"/>
    <w:rsid w:val="00B968A5"/>
    <w:rsid w:val="00B972CD"/>
    <w:rsid w:val="00B9769B"/>
    <w:rsid w:val="00B97D02"/>
    <w:rsid w:val="00B97E60"/>
    <w:rsid w:val="00BA0304"/>
    <w:rsid w:val="00BA0557"/>
    <w:rsid w:val="00BA2A34"/>
    <w:rsid w:val="00BA3038"/>
    <w:rsid w:val="00BA3319"/>
    <w:rsid w:val="00BA370A"/>
    <w:rsid w:val="00BA3826"/>
    <w:rsid w:val="00BA48BC"/>
    <w:rsid w:val="00BA4A29"/>
    <w:rsid w:val="00BA4BE7"/>
    <w:rsid w:val="00BA5F20"/>
    <w:rsid w:val="00BA68D9"/>
    <w:rsid w:val="00BA7172"/>
    <w:rsid w:val="00BA7B01"/>
    <w:rsid w:val="00BB02D7"/>
    <w:rsid w:val="00BB0D9F"/>
    <w:rsid w:val="00BB0DEE"/>
    <w:rsid w:val="00BB1031"/>
    <w:rsid w:val="00BB1B33"/>
    <w:rsid w:val="00BB2480"/>
    <w:rsid w:val="00BB2C4E"/>
    <w:rsid w:val="00BB2E29"/>
    <w:rsid w:val="00BB2F74"/>
    <w:rsid w:val="00BB3206"/>
    <w:rsid w:val="00BB32C2"/>
    <w:rsid w:val="00BB3B0D"/>
    <w:rsid w:val="00BB498E"/>
    <w:rsid w:val="00BB524C"/>
    <w:rsid w:val="00BB5DAB"/>
    <w:rsid w:val="00BB6195"/>
    <w:rsid w:val="00BB61A3"/>
    <w:rsid w:val="00BB707E"/>
    <w:rsid w:val="00BB7568"/>
    <w:rsid w:val="00BB7F82"/>
    <w:rsid w:val="00BC007C"/>
    <w:rsid w:val="00BC0AB2"/>
    <w:rsid w:val="00BC1308"/>
    <w:rsid w:val="00BC1BF4"/>
    <w:rsid w:val="00BC2600"/>
    <w:rsid w:val="00BC2F24"/>
    <w:rsid w:val="00BC33BE"/>
    <w:rsid w:val="00BC3A47"/>
    <w:rsid w:val="00BC3EEB"/>
    <w:rsid w:val="00BC4780"/>
    <w:rsid w:val="00BC4DD7"/>
    <w:rsid w:val="00BC4F46"/>
    <w:rsid w:val="00BC52C8"/>
    <w:rsid w:val="00BC5485"/>
    <w:rsid w:val="00BC549C"/>
    <w:rsid w:val="00BC570E"/>
    <w:rsid w:val="00BC5A6C"/>
    <w:rsid w:val="00BC5AF6"/>
    <w:rsid w:val="00BC5B4B"/>
    <w:rsid w:val="00BC5EDB"/>
    <w:rsid w:val="00BC69A2"/>
    <w:rsid w:val="00BC6ED6"/>
    <w:rsid w:val="00BC6F03"/>
    <w:rsid w:val="00BC6FA1"/>
    <w:rsid w:val="00BD024F"/>
    <w:rsid w:val="00BD0441"/>
    <w:rsid w:val="00BD0570"/>
    <w:rsid w:val="00BD0853"/>
    <w:rsid w:val="00BD112D"/>
    <w:rsid w:val="00BD214E"/>
    <w:rsid w:val="00BD22F7"/>
    <w:rsid w:val="00BD2395"/>
    <w:rsid w:val="00BD25B8"/>
    <w:rsid w:val="00BD2842"/>
    <w:rsid w:val="00BD2892"/>
    <w:rsid w:val="00BD3120"/>
    <w:rsid w:val="00BD3354"/>
    <w:rsid w:val="00BD368C"/>
    <w:rsid w:val="00BD384E"/>
    <w:rsid w:val="00BD3E76"/>
    <w:rsid w:val="00BD3EE2"/>
    <w:rsid w:val="00BD3FCF"/>
    <w:rsid w:val="00BD42D2"/>
    <w:rsid w:val="00BD47D7"/>
    <w:rsid w:val="00BD4EFB"/>
    <w:rsid w:val="00BD5076"/>
    <w:rsid w:val="00BD5551"/>
    <w:rsid w:val="00BD5AF1"/>
    <w:rsid w:val="00BD6D43"/>
    <w:rsid w:val="00BD7090"/>
    <w:rsid w:val="00BD7490"/>
    <w:rsid w:val="00BD767F"/>
    <w:rsid w:val="00BE09C3"/>
    <w:rsid w:val="00BE0C27"/>
    <w:rsid w:val="00BE15BB"/>
    <w:rsid w:val="00BE198F"/>
    <w:rsid w:val="00BE1A78"/>
    <w:rsid w:val="00BE473E"/>
    <w:rsid w:val="00BE5135"/>
    <w:rsid w:val="00BE5964"/>
    <w:rsid w:val="00BE5F2B"/>
    <w:rsid w:val="00BE660B"/>
    <w:rsid w:val="00BE6AFE"/>
    <w:rsid w:val="00BE6BBE"/>
    <w:rsid w:val="00BE6FDA"/>
    <w:rsid w:val="00BE7021"/>
    <w:rsid w:val="00BE7300"/>
    <w:rsid w:val="00BE784F"/>
    <w:rsid w:val="00BF0238"/>
    <w:rsid w:val="00BF0717"/>
    <w:rsid w:val="00BF071D"/>
    <w:rsid w:val="00BF1750"/>
    <w:rsid w:val="00BF178E"/>
    <w:rsid w:val="00BF189F"/>
    <w:rsid w:val="00BF1B44"/>
    <w:rsid w:val="00BF1F01"/>
    <w:rsid w:val="00BF21FF"/>
    <w:rsid w:val="00BF23CC"/>
    <w:rsid w:val="00BF243F"/>
    <w:rsid w:val="00BF284E"/>
    <w:rsid w:val="00BF2F93"/>
    <w:rsid w:val="00BF3ACF"/>
    <w:rsid w:val="00BF3C2A"/>
    <w:rsid w:val="00BF4C2B"/>
    <w:rsid w:val="00BF507A"/>
    <w:rsid w:val="00BF53F1"/>
    <w:rsid w:val="00BF5717"/>
    <w:rsid w:val="00BF5B9D"/>
    <w:rsid w:val="00BF5CD8"/>
    <w:rsid w:val="00BF5FA3"/>
    <w:rsid w:val="00BF62F2"/>
    <w:rsid w:val="00BF63A5"/>
    <w:rsid w:val="00BF72A7"/>
    <w:rsid w:val="00BF7558"/>
    <w:rsid w:val="00C0111E"/>
    <w:rsid w:val="00C02676"/>
    <w:rsid w:val="00C029AB"/>
    <w:rsid w:val="00C03BD5"/>
    <w:rsid w:val="00C03C8B"/>
    <w:rsid w:val="00C03F3C"/>
    <w:rsid w:val="00C049BE"/>
    <w:rsid w:val="00C04A71"/>
    <w:rsid w:val="00C04DF0"/>
    <w:rsid w:val="00C05A4C"/>
    <w:rsid w:val="00C05A67"/>
    <w:rsid w:val="00C073E0"/>
    <w:rsid w:val="00C1001D"/>
    <w:rsid w:val="00C10B5A"/>
    <w:rsid w:val="00C11113"/>
    <w:rsid w:val="00C11687"/>
    <w:rsid w:val="00C11E28"/>
    <w:rsid w:val="00C1225B"/>
    <w:rsid w:val="00C122F9"/>
    <w:rsid w:val="00C12459"/>
    <w:rsid w:val="00C1253A"/>
    <w:rsid w:val="00C128C9"/>
    <w:rsid w:val="00C12CF3"/>
    <w:rsid w:val="00C12F88"/>
    <w:rsid w:val="00C131A8"/>
    <w:rsid w:val="00C1322D"/>
    <w:rsid w:val="00C135A3"/>
    <w:rsid w:val="00C1477A"/>
    <w:rsid w:val="00C14A62"/>
    <w:rsid w:val="00C158EB"/>
    <w:rsid w:val="00C159B1"/>
    <w:rsid w:val="00C161F5"/>
    <w:rsid w:val="00C16C92"/>
    <w:rsid w:val="00C1706B"/>
    <w:rsid w:val="00C17648"/>
    <w:rsid w:val="00C17DB7"/>
    <w:rsid w:val="00C17E48"/>
    <w:rsid w:val="00C17E81"/>
    <w:rsid w:val="00C17FF5"/>
    <w:rsid w:val="00C201E7"/>
    <w:rsid w:val="00C20AA2"/>
    <w:rsid w:val="00C20B91"/>
    <w:rsid w:val="00C21155"/>
    <w:rsid w:val="00C21180"/>
    <w:rsid w:val="00C2146C"/>
    <w:rsid w:val="00C214D7"/>
    <w:rsid w:val="00C21561"/>
    <w:rsid w:val="00C217EE"/>
    <w:rsid w:val="00C21C10"/>
    <w:rsid w:val="00C21CBF"/>
    <w:rsid w:val="00C22784"/>
    <w:rsid w:val="00C227D6"/>
    <w:rsid w:val="00C2395D"/>
    <w:rsid w:val="00C23A4C"/>
    <w:rsid w:val="00C2419D"/>
    <w:rsid w:val="00C243A4"/>
    <w:rsid w:val="00C24416"/>
    <w:rsid w:val="00C248DB"/>
    <w:rsid w:val="00C249FF"/>
    <w:rsid w:val="00C26170"/>
    <w:rsid w:val="00C26B5A"/>
    <w:rsid w:val="00C26D52"/>
    <w:rsid w:val="00C26F21"/>
    <w:rsid w:val="00C277DA"/>
    <w:rsid w:val="00C303E4"/>
    <w:rsid w:val="00C30775"/>
    <w:rsid w:val="00C30B8D"/>
    <w:rsid w:val="00C310BA"/>
    <w:rsid w:val="00C3134E"/>
    <w:rsid w:val="00C315D8"/>
    <w:rsid w:val="00C31C4A"/>
    <w:rsid w:val="00C31D2D"/>
    <w:rsid w:val="00C32639"/>
    <w:rsid w:val="00C32AD2"/>
    <w:rsid w:val="00C34193"/>
    <w:rsid w:val="00C347FD"/>
    <w:rsid w:val="00C34DAE"/>
    <w:rsid w:val="00C34E1E"/>
    <w:rsid w:val="00C34E5A"/>
    <w:rsid w:val="00C35A84"/>
    <w:rsid w:val="00C36219"/>
    <w:rsid w:val="00C3698E"/>
    <w:rsid w:val="00C36CCA"/>
    <w:rsid w:val="00C36E1C"/>
    <w:rsid w:val="00C36F42"/>
    <w:rsid w:val="00C3718A"/>
    <w:rsid w:val="00C377B1"/>
    <w:rsid w:val="00C379C5"/>
    <w:rsid w:val="00C37E84"/>
    <w:rsid w:val="00C37EEE"/>
    <w:rsid w:val="00C40453"/>
    <w:rsid w:val="00C40E71"/>
    <w:rsid w:val="00C41879"/>
    <w:rsid w:val="00C41A7C"/>
    <w:rsid w:val="00C42651"/>
    <w:rsid w:val="00C42CEF"/>
    <w:rsid w:val="00C42D55"/>
    <w:rsid w:val="00C43080"/>
    <w:rsid w:val="00C4370E"/>
    <w:rsid w:val="00C43823"/>
    <w:rsid w:val="00C4384B"/>
    <w:rsid w:val="00C4393C"/>
    <w:rsid w:val="00C44068"/>
    <w:rsid w:val="00C442AE"/>
    <w:rsid w:val="00C4518B"/>
    <w:rsid w:val="00C45780"/>
    <w:rsid w:val="00C458D6"/>
    <w:rsid w:val="00C46268"/>
    <w:rsid w:val="00C4655A"/>
    <w:rsid w:val="00C466BF"/>
    <w:rsid w:val="00C47385"/>
    <w:rsid w:val="00C47555"/>
    <w:rsid w:val="00C476AC"/>
    <w:rsid w:val="00C47E67"/>
    <w:rsid w:val="00C47FD9"/>
    <w:rsid w:val="00C50387"/>
    <w:rsid w:val="00C50C1A"/>
    <w:rsid w:val="00C51508"/>
    <w:rsid w:val="00C51D73"/>
    <w:rsid w:val="00C51DEB"/>
    <w:rsid w:val="00C52A05"/>
    <w:rsid w:val="00C52E97"/>
    <w:rsid w:val="00C52EAF"/>
    <w:rsid w:val="00C53189"/>
    <w:rsid w:val="00C534E5"/>
    <w:rsid w:val="00C534F4"/>
    <w:rsid w:val="00C5375B"/>
    <w:rsid w:val="00C53B15"/>
    <w:rsid w:val="00C53DA9"/>
    <w:rsid w:val="00C53EF7"/>
    <w:rsid w:val="00C54280"/>
    <w:rsid w:val="00C54929"/>
    <w:rsid w:val="00C556B1"/>
    <w:rsid w:val="00C55A05"/>
    <w:rsid w:val="00C55A12"/>
    <w:rsid w:val="00C56101"/>
    <w:rsid w:val="00C565F2"/>
    <w:rsid w:val="00C56C45"/>
    <w:rsid w:val="00C573CC"/>
    <w:rsid w:val="00C57B81"/>
    <w:rsid w:val="00C57FB9"/>
    <w:rsid w:val="00C60145"/>
    <w:rsid w:val="00C6077B"/>
    <w:rsid w:val="00C60950"/>
    <w:rsid w:val="00C609FD"/>
    <w:rsid w:val="00C60DD1"/>
    <w:rsid w:val="00C61565"/>
    <w:rsid w:val="00C61574"/>
    <w:rsid w:val="00C615B4"/>
    <w:rsid w:val="00C61765"/>
    <w:rsid w:val="00C61A90"/>
    <w:rsid w:val="00C6211D"/>
    <w:rsid w:val="00C62B32"/>
    <w:rsid w:val="00C63DED"/>
    <w:rsid w:val="00C63E88"/>
    <w:rsid w:val="00C64F97"/>
    <w:rsid w:val="00C65585"/>
    <w:rsid w:val="00C656EB"/>
    <w:rsid w:val="00C65C5A"/>
    <w:rsid w:val="00C65D7B"/>
    <w:rsid w:val="00C65DF4"/>
    <w:rsid w:val="00C67275"/>
    <w:rsid w:val="00C6762C"/>
    <w:rsid w:val="00C67B49"/>
    <w:rsid w:val="00C70942"/>
    <w:rsid w:val="00C711F5"/>
    <w:rsid w:val="00C713A1"/>
    <w:rsid w:val="00C71828"/>
    <w:rsid w:val="00C720B8"/>
    <w:rsid w:val="00C72105"/>
    <w:rsid w:val="00C72BCE"/>
    <w:rsid w:val="00C74954"/>
    <w:rsid w:val="00C76028"/>
    <w:rsid w:val="00C76184"/>
    <w:rsid w:val="00C7673D"/>
    <w:rsid w:val="00C76A80"/>
    <w:rsid w:val="00C76C27"/>
    <w:rsid w:val="00C76F07"/>
    <w:rsid w:val="00C77EF6"/>
    <w:rsid w:val="00C80B4B"/>
    <w:rsid w:val="00C80D63"/>
    <w:rsid w:val="00C812D5"/>
    <w:rsid w:val="00C818D0"/>
    <w:rsid w:val="00C81993"/>
    <w:rsid w:val="00C81BEA"/>
    <w:rsid w:val="00C81DF5"/>
    <w:rsid w:val="00C82188"/>
    <w:rsid w:val="00C8242B"/>
    <w:rsid w:val="00C829FA"/>
    <w:rsid w:val="00C82A50"/>
    <w:rsid w:val="00C83240"/>
    <w:rsid w:val="00C832E7"/>
    <w:rsid w:val="00C83381"/>
    <w:rsid w:val="00C83607"/>
    <w:rsid w:val="00C83768"/>
    <w:rsid w:val="00C83B18"/>
    <w:rsid w:val="00C840C3"/>
    <w:rsid w:val="00C841B4"/>
    <w:rsid w:val="00C84266"/>
    <w:rsid w:val="00C849E0"/>
    <w:rsid w:val="00C84B74"/>
    <w:rsid w:val="00C8512A"/>
    <w:rsid w:val="00C85970"/>
    <w:rsid w:val="00C85E9B"/>
    <w:rsid w:val="00C874C8"/>
    <w:rsid w:val="00C90165"/>
    <w:rsid w:val="00C90733"/>
    <w:rsid w:val="00C921C4"/>
    <w:rsid w:val="00C9235F"/>
    <w:rsid w:val="00C9257F"/>
    <w:rsid w:val="00C9319C"/>
    <w:rsid w:val="00C934F6"/>
    <w:rsid w:val="00C93874"/>
    <w:rsid w:val="00C93A4C"/>
    <w:rsid w:val="00C9448D"/>
    <w:rsid w:val="00C94FD2"/>
    <w:rsid w:val="00C9514C"/>
    <w:rsid w:val="00C95341"/>
    <w:rsid w:val="00C95B76"/>
    <w:rsid w:val="00C964C3"/>
    <w:rsid w:val="00C96635"/>
    <w:rsid w:val="00C966B7"/>
    <w:rsid w:val="00C969DB"/>
    <w:rsid w:val="00C97A4A"/>
    <w:rsid w:val="00C97DC9"/>
    <w:rsid w:val="00C97EE3"/>
    <w:rsid w:val="00CA12BA"/>
    <w:rsid w:val="00CA165C"/>
    <w:rsid w:val="00CA1C0D"/>
    <w:rsid w:val="00CA1DAE"/>
    <w:rsid w:val="00CA2267"/>
    <w:rsid w:val="00CA38AD"/>
    <w:rsid w:val="00CA413F"/>
    <w:rsid w:val="00CA5098"/>
    <w:rsid w:val="00CA5503"/>
    <w:rsid w:val="00CA55C3"/>
    <w:rsid w:val="00CA65B3"/>
    <w:rsid w:val="00CA66C3"/>
    <w:rsid w:val="00CA6CAD"/>
    <w:rsid w:val="00CA70A8"/>
    <w:rsid w:val="00CA70D0"/>
    <w:rsid w:val="00CA74A4"/>
    <w:rsid w:val="00CA7683"/>
    <w:rsid w:val="00CA7EA1"/>
    <w:rsid w:val="00CA7EEB"/>
    <w:rsid w:val="00CB009B"/>
    <w:rsid w:val="00CB0231"/>
    <w:rsid w:val="00CB0838"/>
    <w:rsid w:val="00CB1AFD"/>
    <w:rsid w:val="00CB1E7F"/>
    <w:rsid w:val="00CB1EB3"/>
    <w:rsid w:val="00CB2126"/>
    <w:rsid w:val="00CB24AD"/>
    <w:rsid w:val="00CB2C59"/>
    <w:rsid w:val="00CB2D9C"/>
    <w:rsid w:val="00CB34AB"/>
    <w:rsid w:val="00CB3529"/>
    <w:rsid w:val="00CB3562"/>
    <w:rsid w:val="00CB38A9"/>
    <w:rsid w:val="00CB4728"/>
    <w:rsid w:val="00CB4994"/>
    <w:rsid w:val="00CB59E7"/>
    <w:rsid w:val="00CB5E4A"/>
    <w:rsid w:val="00CB668A"/>
    <w:rsid w:val="00CB6976"/>
    <w:rsid w:val="00CB6FCA"/>
    <w:rsid w:val="00CB724D"/>
    <w:rsid w:val="00CB73EA"/>
    <w:rsid w:val="00CB7D4E"/>
    <w:rsid w:val="00CC002B"/>
    <w:rsid w:val="00CC07E5"/>
    <w:rsid w:val="00CC09F0"/>
    <w:rsid w:val="00CC0C11"/>
    <w:rsid w:val="00CC15B5"/>
    <w:rsid w:val="00CC1671"/>
    <w:rsid w:val="00CC1F52"/>
    <w:rsid w:val="00CC233F"/>
    <w:rsid w:val="00CC27FD"/>
    <w:rsid w:val="00CC31E8"/>
    <w:rsid w:val="00CC33C6"/>
    <w:rsid w:val="00CC3AB9"/>
    <w:rsid w:val="00CC3C9E"/>
    <w:rsid w:val="00CC45E0"/>
    <w:rsid w:val="00CC4BBE"/>
    <w:rsid w:val="00CC4BC3"/>
    <w:rsid w:val="00CC50C7"/>
    <w:rsid w:val="00CC55AC"/>
    <w:rsid w:val="00CC5859"/>
    <w:rsid w:val="00CC6159"/>
    <w:rsid w:val="00CC65A8"/>
    <w:rsid w:val="00CC6FF2"/>
    <w:rsid w:val="00CC71F3"/>
    <w:rsid w:val="00CC72C0"/>
    <w:rsid w:val="00CC757D"/>
    <w:rsid w:val="00CC7C74"/>
    <w:rsid w:val="00CD00DB"/>
    <w:rsid w:val="00CD0119"/>
    <w:rsid w:val="00CD07FD"/>
    <w:rsid w:val="00CD0866"/>
    <w:rsid w:val="00CD1169"/>
    <w:rsid w:val="00CD16C7"/>
    <w:rsid w:val="00CD1A40"/>
    <w:rsid w:val="00CD1B33"/>
    <w:rsid w:val="00CD25F3"/>
    <w:rsid w:val="00CD27FF"/>
    <w:rsid w:val="00CD305C"/>
    <w:rsid w:val="00CD3A6D"/>
    <w:rsid w:val="00CD3E5A"/>
    <w:rsid w:val="00CD3E63"/>
    <w:rsid w:val="00CD40A3"/>
    <w:rsid w:val="00CD4CD3"/>
    <w:rsid w:val="00CD578C"/>
    <w:rsid w:val="00CD589F"/>
    <w:rsid w:val="00CD60C9"/>
    <w:rsid w:val="00CD6345"/>
    <w:rsid w:val="00CD6BBB"/>
    <w:rsid w:val="00CD6C19"/>
    <w:rsid w:val="00CD6E47"/>
    <w:rsid w:val="00CD7482"/>
    <w:rsid w:val="00CE07C1"/>
    <w:rsid w:val="00CE1567"/>
    <w:rsid w:val="00CE186F"/>
    <w:rsid w:val="00CE1BC4"/>
    <w:rsid w:val="00CE1C09"/>
    <w:rsid w:val="00CE20E3"/>
    <w:rsid w:val="00CE24B7"/>
    <w:rsid w:val="00CE273A"/>
    <w:rsid w:val="00CE321C"/>
    <w:rsid w:val="00CE32E8"/>
    <w:rsid w:val="00CE3700"/>
    <w:rsid w:val="00CE3B69"/>
    <w:rsid w:val="00CE3B77"/>
    <w:rsid w:val="00CE4559"/>
    <w:rsid w:val="00CE5118"/>
    <w:rsid w:val="00CE5487"/>
    <w:rsid w:val="00CE59B5"/>
    <w:rsid w:val="00CE59DB"/>
    <w:rsid w:val="00CE5D3A"/>
    <w:rsid w:val="00CE7381"/>
    <w:rsid w:val="00CE7447"/>
    <w:rsid w:val="00CE74CE"/>
    <w:rsid w:val="00CE7F36"/>
    <w:rsid w:val="00CF0829"/>
    <w:rsid w:val="00CF0E74"/>
    <w:rsid w:val="00CF1833"/>
    <w:rsid w:val="00CF1AEA"/>
    <w:rsid w:val="00CF1B4F"/>
    <w:rsid w:val="00CF2091"/>
    <w:rsid w:val="00CF21F6"/>
    <w:rsid w:val="00CF2278"/>
    <w:rsid w:val="00CF2C62"/>
    <w:rsid w:val="00CF2F66"/>
    <w:rsid w:val="00CF337B"/>
    <w:rsid w:val="00CF3FE7"/>
    <w:rsid w:val="00CF4059"/>
    <w:rsid w:val="00CF4416"/>
    <w:rsid w:val="00CF5762"/>
    <w:rsid w:val="00CF65B4"/>
    <w:rsid w:val="00CF69B0"/>
    <w:rsid w:val="00CF6C05"/>
    <w:rsid w:val="00CF7485"/>
    <w:rsid w:val="00CF7E56"/>
    <w:rsid w:val="00D0139C"/>
    <w:rsid w:val="00D01744"/>
    <w:rsid w:val="00D025CE"/>
    <w:rsid w:val="00D02A0F"/>
    <w:rsid w:val="00D02DF3"/>
    <w:rsid w:val="00D02FB3"/>
    <w:rsid w:val="00D03181"/>
    <w:rsid w:val="00D037DC"/>
    <w:rsid w:val="00D0383B"/>
    <w:rsid w:val="00D03A8A"/>
    <w:rsid w:val="00D03DA5"/>
    <w:rsid w:val="00D03F27"/>
    <w:rsid w:val="00D043EE"/>
    <w:rsid w:val="00D0470D"/>
    <w:rsid w:val="00D04A30"/>
    <w:rsid w:val="00D05249"/>
    <w:rsid w:val="00D055CA"/>
    <w:rsid w:val="00D059FC"/>
    <w:rsid w:val="00D05DEF"/>
    <w:rsid w:val="00D06861"/>
    <w:rsid w:val="00D0688A"/>
    <w:rsid w:val="00D06F22"/>
    <w:rsid w:val="00D07A9C"/>
    <w:rsid w:val="00D10076"/>
    <w:rsid w:val="00D1033B"/>
    <w:rsid w:val="00D10477"/>
    <w:rsid w:val="00D107E2"/>
    <w:rsid w:val="00D11D76"/>
    <w:rsid w:val="00D11E73"/>
    <w:rsid w:val="00D121F5"/>
    <w:rsid w:val="00D126E4"/>
    <w:rsid w:val="00D131BF"/>
    <w:rsid w:val="00D140E6"/>
    <w:rsid w:val="00D14B9C"/>
    <w:rsid w:val="00D158EF"/>
    <w:rsid w:val="00D15C14"/>
    <w:rsid w:val="00D15E74"/>
    <w:rsid w:val="00D15FAA"/>
    <w:rsid w:val="00D16ECB"/>
    <w:rsid w:val="00D16EEE"/>
    <w:rsid w:val="00D17167"/>
    <w:rsid w:val="00D1794C"/>
    <w:rsid w:val="00D17BA5"/>
    <w:rsid w:val="00D17EC9"/>
    <w:rsid w:val="00D2058D"/>
    <w:rsid w:val="00D2176E"/>
    <w:rsid w:val="00D2182A"/>
    <w:rsid w:val="00D22105"/>
    <w:rsid w:val="00D2211C"/>
    <w:rsid w:val="00D22945"/>
    <w:rsid w:val="00D22B55"/>
    <w:rsid w:val="00D23055"/>
    <w:rsid w:val="00D230AD"/>
    <w:rsid w:val="00D251AB"/>
    <w:rsid w:val="00D25AC6"/>
    <w:rsid w:val="00D261D3"/>
    <w:rsid w:val="00D27007"/>
    <w:rsid w:val="00D31255"/>
    <w:rsid w:val="00D319DF"/>
    <w:rsid w:val="00D3225E"/>
    <w:rsid w:val="00D324BC"/>
    <w:rsid w:val="00D33565"/>
    <w:rsid w:val="00D33762"/>
    <w:rsid w:val="00D34025"/>
    <w:rsid w:val="00D3413A"/>
    <w:rsid w:val="00D34BD1"/>
    <w:rsid w:val="00D35177"/>
    <w:rsid w:val="00D356E1"/>
    <w:rsid w:val="00D35EE3"/>
    <w:rsid w:val="00D37006"/>
    <w:rsid w:val="00D40609"/>
    <w:rsid w:val="00D40983"/>
    <w:rsid w:val="00D41188"/>
    <w:rsid w:val="00D417D3"/>
    <w:rsid w:val="00D418D5"/>
    <w:rsid w:val="00D41A6B"/>
    <w:rsid w:val="00D41DB1"/>
    <w:rsid w:val="00D42045"/>
    <w:rsid w:val="00D4276D"/>
    <w:rsid w:val="00D42798"/>
    <w:rsid w:val="00D42970"/>
    <w:rsid w:val="00D43492"/>
    <w:rsid w:val="00D4364E"/>
    <w:rsid w:val="00D43AED"/>
    <w:rsid w:val="00D44916"/>
    <w:rsid w:val="00D453C8"/>
    <w:rsid w:val="00D45CA4"/>
    <w:rsid w:val="00D45EA7"/>
    <w:rsid w:val="00D45F22"/>
    <w:rsid w:val="00D46485"/>
    <w:rsid w:val="00D47178"/>
    <w:rsid w:val="00D4752E"/>
    <w:rsid w:val="00D47842"/>
    <w:rsid w:val="00D478A8"/>
    <w:rsid w:val="00D47BEF"/>
    <w:rsid w:val="00D50826"/>
    <w:rsid w:val="00D51675"/>
    <w:rsid w:val="00D51A75"/>
    <w:rsid w:val="00D51F73"/>
    <w:rsid w:val="00D52827"/>
    <w:rsid w:val="00D529BE"/>
    <w:rsid w:val="00D52CF6"/>
    <w:rsid w:val="00D53198"/>
    <w:rsid w:val="00D53D3E"/>
    <w:rsid w:val="00D547E0"/>
    <w:rsid w:val="00D54992"/>
    <w:rsid w:val="00D55291"/>
    <w:rsid w:val="00D55C48"/>
    <w:rsid w:val="00D55E47"/>
    <w:rsid w:val="00D56997"/>
    <w:rsid w:val="00D570E6"/>
    <w:rsid w:val="00D5730F"/>
    <w:rsid w:val="00D5774F"/>
    <w:rsid w:val="00D578B1"/>
    <w:rsid w:val="00D57A52"/>
    <w:rsid w:val="00D60809"/>
    <w:rsid w:val="00D60D7F"/>
    <w:rsid w:val="00D61C9C"/>
    <w:rsid w:val="00D62111"/>
    <w:rsid w:val="00D62229"/>
    <w:rsid w:val="00D625B8"/>
    <w:rsid w:val="00D626F8"/>
    <w:rsid w:val="00D634CD"/>
    <w:rsid w:val="00D636DC"/>
    <w:rsid w:val="00D63F4C"/>
    <w:rsid w:val="00D64265"/>
    <w:rsid w:val="00D64613"/>
    <w:rsid w:val="00D64702"/>
    <w:rsid w:val="00D66BD9"/>
    <w:rsid w:val="00D66BFD"/>
    <w:rsid w:val="00D66C91"/>
    <w:rsid w:val="00D674EE"/>
    <w:rsid w:val="00D67535"/>
    <w:rsid w:val="00D67B2A"/>
    <w:rsid w:val="00D67BC9"/>
    <w:rsid w:val="00D67DBC"/>
    <w:rsid w:val="00D704D9"/>
    <w:rsid w:val="00D70BD2"/>
    <w:rsid w:val="00D713F2"/>
    <w:rsid w:val="00D721AA"/>
    <w:rsid w:val="00D72705"/>
    <w:rsid w:val="00D72D7A"/>
    <w:rsid w:val="00D738BF"/>
    <w:rsid w:val="00D73B93"/>
    <w:rsid w:val="00D73C95"/>
    <w:rsid w:val="00D73F99"/>
    <w:rsid w:val="00D745C1"/>
    <w:rsid w:val="00D75676"/>
    <w:rsid w:val="00D75731"/>
    <w:rsid w:val="00D75B45"/>
    <w:rsid w:val="00D75B5C"/>
    <w:rsid w:val="00D75F8C"/>
    <w:rsid w:val="00D76050"/>
    <w:rsid w:val="00D76309"/>
    <w:rsid w:val="00D76423"/>
    <w:rsid w:val="00D767BF"/>
    <w:rsid w:val="00D77278"/>
    <w:rsid w:val="00D775B5"/>
    <w:rsid w:val="00D77961"/>
    <w:rsid w:val="00D77B20"/>
    <w:rsid w:val="00D77B3B"/>
    <w:rsid w:val="00D8007C"/>
    <w:rsid w:val="00D8079F"/>
    <w:rsid w:val="00D8103B"/>
    <w:rsid w:val="00D8111B"/>
    <w:rsid w:val="00D81242"/>
    <w:rsid w:val="00D812D2"/>
    <w:rsid w:val="00D822FA"/>
    <w:rsid w:val="00D82D02"/>
    <w:rsid w:val="00D82D0F"/>
    <w:rsid w:val="00D83A5A"/>
    <w:rsid w:val="00D84157"/>
    <w:rsid w:val="00D84BD7"/>
    <w:rsid w:val="00D84DCA"/>
    <w:rsid w:val="00D850FC"/>
    <w:rsid w:val="00D85114"/>
    <w:rsid w:val="00D857BC"/>
    <w:rsid w:val="00D86144"/>
    <w:rsid w:val="00D8622E"/>
    <w:rsid w:val="00D8718F"/>
    <w:rsid w:val="00D871B6"/>
    <w:rsid w:val="00D875E1"/>
    <w:rsid w:val="00D90275"/>
    <w:rsid w:val="00D902F5"/>
    <w:rsid w:val="00D9075D"/>
    <w:rsid w:val="00D90959"/>
    <w:rsid w:val="00D91410"/>
    <w:rsid w:val="00D91438"/>
    <w:rsid w:val="00D91594"/>
    <w:rsid w:val="00D91A8F"/>
    <w:rsid w:val="00D91ABE"/>
    <w:rsid w:val="00D91DFB"/>
    <w:rsid w:val="00D921DA"/>
    <w:rsid w:val="00D92C2F"/>
    <w:rsid w:val="00D92F7F"/>
    <w:rsid w:val="00D9459D"/>
    <w:rsid w:val="00D94730"/>
    <w:rsid w:val="00D94858"/>
    <w:rsid w:val="00D94972"/>
    <w:rsid w:val="00D954A1"/>
    <w:rsid w:val="00D95519"/>
    <w:rsid w:val="00D95744"/>
    <w:rsid w:val="00D958FC"/>
    <w:rsid w:val="00D959AE"/>
    <w:rsid w:val="00D95DC2"/>
    <w:rsid w:val="00D96678"/>
    <w:rsid w:val="00D96C73"/>
    <w:rsid w:val="00D96D46"/>
    <w:rsid w:val="00D97C27"/>
    <w:rsid w:val="00DA0526"/>
    <w:rsid w:val="00DA0639"/>
    <w:rsid w:val="00DA0CF7"/>
    <w:rsid w:val="00DA0E96"/>
    <w:rsid w:val="00DA1203"/>
    <w:rsid w:val="00DA18DA"/>
    <w:rsid w:val="00DA1F0C"/>
    <w:rsid w:val="00DA1F38"/>
    <w:rsid w:val="00DA2F0F"/>
    <w:rsid w:val="00DA3565"/>
    <w:rsid w:val="00DA3A5B"/>
    <w:rsid w:val="00DA3D0B"/>
    <w:rsid w:val="00DA3F51"/>
    <w:rsid w:val="00DA45DB"/>
    <w:rsid w:val="00DA48D9"/>
    <w:rsid w:val="00DA49F8"/>
    <w:rsid w:val="00DA4AAE"/>
    <w:rsid w:val="00DA5572"/>
    <w:rsid w:val="00DA6A15"/>
    <w:rsid w:val="00DA6CC2"/>
    <w:rsid w:val="00DA7029"/>
    <w:rsid w:val="00DA77A0"/>
    <w:rsid w:val="00DB09A2"/>
    <w:rsid w:val="00DB0C79"/>
    <w:rsid w:val="00DB103D"/>
    <w:rsid w:val="00DB1448"/>
    <w:rsid w:val="00DB1998"/>
    <w:rsid w:val="00DB1FC4"/>
    <w:rsid w:val="00DB21F0"/>
    <w:rsid w:val="00DB24C0"/>
    <w:rsid w:val="00DB2C5F"/>
    <w:rsid w:val="00DB3A58"/>
    <w:rsid w:val="00DB3BDF"/>
    <w:rsid w:val="00DB3C58"/>
    <w:rsid w:val="00DB3D46"/>
    <w:rsid w:val="00DB401C"/>
    <w:rsid w:val="00DB46C8"/>
    <w:rsid w:val="00DB540E"/>
    <w:rsid w:val="00DB5A63"/>
    <w:rsid w:val="00DB6166"/>
    <w:rsid w:val="00DB656B"/>
    <w:rsid w:val="00DB691E"/>
    <w:rsid w:val="00DB75A3"/>
    <w:rsid w:val="00DB799D"/>
    <w:rsid w:val="00DB79C8"/>
    <w:rsid w:val="00DC0574"/>
    <w:rsid w:val="00DC0C65"/>
    <w:rsid w:val="00DC16BF"/>
    <w:rsid w:val="00DC16E1"/>
    <w:rsid w:val="00DC16FC"/>
    <w:rsid w:val="00DC1881"/>
    <w:rsid w:val="00DC1ED7"/>
    <w:rsid w:val="00DC3A6F"/>
    <w:rsid w:val="00DC3D1C"/>
    <w:rsid w:val="00DC43E1"/>
    <w:rsid w:val="00DC4EE7"/>
    <w:rsid w:val="00DC5199"/>
    <w:rsid w:val="00DC5A32"/>
    <w:rsid w:val="00DC5E4E"/>
    <w:rsid w:val="00DC651B"/>
    <w:rsid w:val="00DC662F"/>
    <w:rsid w:val="00DC6E78"/>
    <w:rsid w:val="00DC729A"/>
    <w:rsid w:val="00DC7328"/>
    <w:rsid w:val="00DC73B1"/>
    <w:rsid w:val="00DC7519"/>
    <w:rsid w:val="00DC75C6"/>
    <w:rsid w:val="00DC7630"/>
    <w:rsid w:val="00DC7EB5"/>
    <w:rsid w:val="00DD04AC"/>
    <w:rsid w:val="00DD04DD"/>
    <w:rsid w:val="00DD0891"/>
    <w:rsid w:val="00DD0B35"/>
    <w:rsid w:val="00DD0F9F"/>
    <w:rsid w:val="00DD11A7"/>
    <w:rsid w:val="00DD1298"/>
    <w:rsid w:val="00DD2300"/>
    <w:rsid w:val="00DD2309"/>
    <w:rsid w:val="00DD28B3"/>
    <w:rsid w:val="00DD2DE3"/>
    <w:rsid w:val="00DD2DE8"/>
    <w:rsid w:val="00DD316F"/>
    <w:rsid w:val="00DD357C"/>
    <w:rsid w:val="00DD37CA"/>
    <w:rsid w:val="00DD3D55"/>
    <w:rsid w:val="00DD3DF7"/>
    <w:rsid w:val="00DD4AE2"/>
    <w:rsid w:val="00DD4BFA"/>
    <w:rsid w:val="00DD51F8"/>
    <w:rsid w:val="00DD6388"/>
    <w:rsid w:val="00DD6C53"/>
    <w:rsid w:val="00DD7198"/>
    <w:rsid w:val="00DD7199"/>
    <w:rsid w:val="00DD7C44"/>
    <w:rsid w:val="00DD7CB6"/>
    <w:rsid w:val="00DE0077"/>
    <w:rsid w:val="00DE0137"/>
    <w:rsid w:val="00DE01BA"/>
    <w:rsid w:val="00DE0DCF"/>
    <w:rsid w:val="00DE137B"/>
    <w:rsid w:val="00DE13D4"/>
    <w:rsid w:val="00DE13FD"/>
    <w:rsid w:val="00DE19D9"/>
    <w:rsid w:val="00DE1C18"/>
    <w:rsid w:val="00DE1DC6"/>
    <w:rsid w:val="00DE1F77"/>
    <w:rsid w:val="00DE21C6"/>
    <w:rsid w:val="00DE22AA"/>
    <w:rsid w:val="00DE288F"/>
    <w:rsid w:val="00DE2D49"/>
    <w:rsid w:val="00DE388A"/>
    <w:rsid w:val="00DE3E66"/>
    <w:rsid w:val="00DE3F75"/>
    <w:rsid w:val="00DE43C6"/>
    <w:rsid w:val="00DE45F5"/>
    <w:rsid w:val="00DE4AAD"/>
    <w:rsid w:val="00DE4C0C"/>
    <w:rsid w:val="00DE4FC8"/>
    <w:rsid w:val="00DE53B5"/>
    <w:rsid w:val="00DE5A50"/>
    <w:rsid w:val="00DE60C5"/>
    <w:rsid w:val="00DE7323"/>
    <w:rsid w:val="00DE75F0"/>
    <w:rsid w:val="00DE77CB"/>
    <w:rsid w:val="00DE7EBA"/>
    <w:rsid w:val="00DF04BD"/>
    <w:rsid w:val="00DF068D"/>
    <w:rsid w:val="00DF0D3A"/>
    <w:rsid w:val="00DF1A9A"/>
    <w:rsid w:val="00DF1C2D"/>
    <w:rsid w:val="00DF1DB6"/>
    <w:rsid w:val="00DF1F8A"/>
    <w:rsid w:val="00DF248E"/>
    <w:rsid w:val="00DF253D"/>
    <w:rsid w:val="00DF3222"/>
    <w:rsid w:val="00DF3577"/>
    <w:rsid w:val="00DF4063"/>
    <w:rsid w:val="00DF5F13"/>
    <w:rsid w:val="00DF63DD"/>
    <w:rsid w:val="00DF6B62"/>
    <w:rsid w:val="00DF7828"/>
    <w:rsid w:val="00DF7BD0"/>
    <w:rsid w:val="00DF7BDF"/>
    <w:rsid w:val="00E00303"/>
    <w:rsid w:val="00E00489"/>
    <w:rsid w:val="00E00A62"/>
    <w:rsid w:val="00E010A0"/>
    <w:rsid w:val="00E0125E"/>
    <w:rsid w:val="00E01668"/>
    <w:rsid w:val="00E0173A"/>
    <w:rsid w:val="00E01849"/>
    <w:rsid w:val="00E020D1"/>
    <w:rsid w:val="00E02B64"/>
    <w:rsid w:val="00E02EAD"/>
    <w:rsid w:val="00E03D3F"/>
    <w:rsid w:val="00E0437C"/>
    <w:rsid w:val="00E0452C"/>
    <w:rsid w:val="00E04D61"/>
    <w:rsid w:val="00E0504C"/>
    <w:rsid w:val="00E05074"/>
    <w:rsid w:val="00E05489"/>
    <w:rsid w:val="00E05741"/>
    <w:rsid w:val="00E05F7F"/>
    <w:rsid w:val="00E06930"/>
    <w:rsid w:val="00E06971"/>
    <w:rsid w:val="00E06B43"/>
    <w:rsid w:val="00E06E32"/>
    <w:rsid w:val="00E06EC4"/>
    <w:rsid w:val="00E070D9"/>
    <w:rsid w:val="00E105B3"/>
    <w:rsid w:val="00E10846"/>
    <w:rsid w:val="00E108F4"/>
    <w:rsid w:val="00E10A4B"/>
    <w:rsid w:val="00E10D4E"/>
    <w:rsid w:val="00E1100C"/>
    <w:rsid w:val="00E11489"/>
    <w:rsid w:val="00E11711"/>
    <w:rsid w:val="00E11E63"/>
    <w:rsid w:val="00E12696"/>
    <w:rsid w:val="00E12DEE"/>
    <w:rsid w:val="00E1310D"/>
    <w:rsid w:val="00E13359"/>
    <w:rsid w:val="00E138BF"/>
    <w:rsid w:val="00E14EFA"/>
    <w:rsid w:val="00E151B9"/>
    <w:rsid w:val="00E1566E"/>
    <w:rsid w:val="00E158C4"/>
    <w:rsid w:val="00E161E6"/>
    <w:rsid w:val="00E167C9"/>
    <w:rsid w:val="00E1698C"/>
    <w:rsid w:val="00E172BE"/>
    <w:rsid w:val="00E17CF7"/>
    <w:rsid w:val="00E205D6"/>
    <w:rsid w:val="00E216EC"/>
    <w:rsid w:val="00E2189A"/>
    <w:rsid w:val="00E22B5A"/>
    <w:rsid w:val="00E22B68"/>
    <w:rsid w:val="00E231C9"/>
    <w:rsid w:val="00E23379"/>
    <w:rsid w:val="00E23EBF"/>
    <w:rsid w:val="00E23FD5"/>
    <w:rsid w:val="00E24669"/>
    <w:rsid w:val="00E248B2"/>
    <w:rsid w:val="00E24C48"/>
    <w:rsid w:val="00E24D50"/>
    <w:rsid w:val="00E25981"/>
    <w:rsid w:val="00E25BC1"/>
    <w:rsid w:val="00E26141"/>
    <w:rsid w:val="00E266F5"/>
    <w:rsid w:val="00E26F90"/>
    <w:rsid w:val="00E270D3"/>
    <w:rsid w:val="00E27FC7"/>
    <w:rsid w:val="00E30700"/>
    <w:rsid w:val="00E30D87"/>
    <w:rsid w:val="00E30E57"/>
    <w:rsid w:val="00E31360"/>
    <w:rsid w:val="00E31D28"/>
    <w:rsid w:val="00E325FF"/>
    <w:rsid w:val="00E32CB8"/>
    <w:rsid w:val="00E3419B"/>
    <w:rsid w:val="00E3440F"/>
    <w:rsid w:val="00E34BED"/>
    <w:rsid w:val="00E34F3A"/>
    <w:rsid w:val="00E35030"/>
    <w:rsid w:val="00E35F99"/>
    <w:rsid w:val="00E35F9A"/>
    <w:rsid w:val="00E3637F"/>
    <w:rsid w:val="00E364B6"/>
    <w:rsid w:val="00E36723"/>
    <w:rsid w:val="00E3713C"/>
    <w:rsid w:val="00E3767B"/>
    <w:rsid w:val="00E37A3D"/>
    <w:rsid w:val="00E37E1C"/>
    <w:rsid w:val="00E40126"/>
    <w:rsid w:val="00E40CBF"/>
    <w:rsid w:val="00E40E7D"/>
    <w:rsid w:val="00E40EE4"/>
    <w:rsid w:val="00E413C6"/>
    <w:rsid w:val="00E41C4E"/>
    <w:rsid w:val="00E420D5"/>
    <w:rsid w:val="00E42517"/>
    <w:rsid w:val="00E42D55"/>
    <w:rsid w:val="00E42FFE"/>
    <w:rsid w:val="00E4316E"/>
    <w:rsid w:val="00E435AB"/>
    <w:rsid w:val="00E44275"/>
    <w:rsid w:val="00E44777"/>
    <w:rsid w:val="00E4535F"/>
    <w:rsid w:val="00E466BC"/>
    <w:rsid w:val="00E4686A"/>
    <w:rsid w:val="00E47538"/>
    <w:rsid w:val="00E479FD"/>
    <w:rsid w:val="00E504D6"/>
    <w:rsid w:val="00E50B6F"/>
    <w:rsid w:val="00E50DF1"/>
    <w:rsid w:val="00E50E43"/>
    <w:rsid w:val="00E50EBE"/>
    <w:rsid w:val="00E50F69"/>
    <w:rsid w:val="00E50FC6"/>
    <w:rsid w:val="00E517CD"/>
    <w:rsid w:val="00E52185"/>
    <w:rsid w:val="00E52372"/>
    <w:rsid w:val="00E52786"/>
    <w:rsid w:val="00E52C21"/>
    <w:rsid w:val="00E52F05"/>
    <w:rsid w:val="00E53785"/>
    <w:rsid w:val="00E53DB1"/>
    <w:rsid w:val="00E540CA"/>
    <w:rsid w:val="00E54B37"/>
    <w:rsid w:val="00E54DE9"/>
    <w:rsid w:val="00E55351"/>
    <w:rsid w:val="00E55B28"/>
    <w:rsid w:val="00E56D4A"/>
    <w:rsid w:val="00E57119"/>
    <w:rsid w:val="00E5719E"/>
    <w:rsid w:val="00E57D7B"/>
    <w:rsid w:val="00E57F4B"/>
    <w:rsid w:val="00E602E5"/>
    <w:rsid w:val="00E602F8"/>
    <w:rsid w:val="00E6085B"/>
    <w:rsid w:val="00E60FBA"/>
    <w:rsid w:val="00E60FBF"/>
    <w:rsid w:val="00E616F9"/>
    <w:rsid w:val="00E61852"/>
    <w:rsid w:val="00E61A0C"/>
    <w:rsid w:val="00E61D22"/>
    <w:rsid w:val="00E61D96"/>
    <w:rsid w:val="00E61E4B"/>
    <w:rsid w:val="00E6342F"/>
    <w:rsid w:val="00E63DA2"/>
    <w:rsid w:val="00E642AF"/>
    <w:rsid w:val="00E644C6"/>
    <w:rsid w:val="00E64555"/>
    <w:rsid w:val="00E64595"/>
    <w:rsid w:val="00E646BB"/>
    <w:rsid w:val="00E64D24"/>
    <w:rsid w:val="00E64E69"/>
    <w:rsid w:val="00E6549C"/>
    <w:rsid w:val="00E654B9"/>
    <w:rsid w:val="00E6589D"/>
    <w:rsid w:val="00E65E8C"/>
    <w:rsid w:val="00E665E7"/>
    <w:rsid w:val="00E66C96"/>
    <w:rsid w:val="00E6703E"/>
    <w:rsid w:val="00E70130"/>
    <w:rsid w:val="00E715FC"/>
    <w:rsid w:val="00E71A45"/>
    <w:rsid w:val="00E71C21"/>
    <w:rsid w:val="00E72D84"/>
    <w:rsid w:val="00E730FC"/>
    <w:rsid w:val="00E7318D"/>
    <w:rsid w:val="00E7385A"/>
    <w:rsid w:val="00E73CE6"/>
    <w:rsid w:val="00E74780"/>
    <w:rsid w:val="00E7487D"/>
    <w:rsid w:val="00E74956"/>
    <w:rsid w:val="00E752F7"/>
    <w:rsid w:val="00E75848"/>
    <w:rsid w:val="00E759D4"/>
    <w:rsid w:val="00E76A3C"/>
    <w:rsid w:val="00E76F9B"/>
    <w:rsid w:val="00E771FC"/>
    <w:rsid w:val="00E773E5"/>
    <w:rsid w:val="00E77511"/>
    <w:rsid w:val="00E77BDD"/>
    <w:rsid w:val="00E806D3"/>
    <w:rsid w:val="00E81C34"/>
    <w:rsid w:val="00E81D83"/>
    <w:rsid w:val="00E821BB"/>
    <w:rsid w:val="00E822E9"/>
    <w:rsid w:val="00E826FE"/>
    <w:rsid w:val="00E8275E"/>
    <w:rsid w:val="00E827AF"/>
    <w:rsid w:val="00E82DE9"/>
    <w:rsid w:val="00E83253"/>
    <w:rsid w:val="00E844AB"/>
    <w:rsid w:val="00E84C97"/>
    <w:rsid w:val="00E85005"/>
    <w:rsid w:val="00E85296"/>
    <w:rsid w:val="00E8533B"/>
    <w:rsid w:val="00E8575B"/>
    <w:rsid w:val="00E85931"/>
    <w:rsid w:val="00E85E4E"/>
    <w:rsid w:val="00E862BB"/>
    <w:rsid w:val="00E86327"/>
    <w:rsid w:val="00E86DF0"/>
    <w:rsid w:val="00E87BD2"/>
    <w:rsid w:val="00E87CDC"/>
    <w:rsid w:val="00E906E0"/>
    <w:rsid w:val="00E90B33"/>
    <w:rsid w:val="00E911E0"/>
    <w:rsid w:val="00E93407"/>
    <w:rsid w:val="00E940A8"/>
    <w:rsid w:val="00E94759"/>
    <w:rsid w:val="00E947E8"/>
    <w:rsid w:val="00E94B0F"/>
    <w:rsid w:val="00E9503F"/>
    <w:rsid w:val="00E96726"/>
    <w:rsid w:val="00E96E68"/>
    <w:rsid w:val="00E973BA"/>
    <w:rsid w:val="00E97EA1"/>
    <w:rsid w:val="00EA00CE"/>
    <w:rsid w:val="00EA0BBE"/>
    <w:rsid w:val="00EA1FBC"/>
    <w:rsid w:val="00EA20A1"/>
    <w:rsid w:val="00EA212B"/>
    <w:rsid w:val="00EA24FB"/>
    <w:rsid w:val="00EA2D44"/>
    <w:rsid w:val="00EA32F4"/>
    <w:rsid w:val="00EA33FA"/>
    <w:rsid w:val="00EA3A1D"/>
    <w:rsid w:val="00EA3CD7"/>
    <w:rsid w:val="00EA3E2D"/>
    <w:rsid w:val="00EA429D"/>
    <w:rsid w:val="00EA43AF"/>
    <w:rsid w:val="00EA4676"/>
    <w:rsid w:val="00EA4C7C"/>
    <w:rsid w:val="00EA4D4C"/>
    <w:rsid w:val="00EA554F"/>
    <w:rsid w:val="00EA6250"/>
    <w:rsid w:val="00EA66A4"/>
    <w:rsid w:val="00EA6819"/>
    <w:rsid w:val="00EA69E4"/>
    <w:rsid w:val="00EA6A1E"/>
    <w:rsid w:val="00EA75BD"/>
    <w:rsid w:val="00EA760C"/>
    <w:rsid w:val="00EA7C47"/>
    <w:rsid w:val="00EB0C01"/>
    <w:rsid w:val="00EB0F0F"/>
    <w:rsid w:val="00EB1053"/>
    <w:rsid w:val="00EB12A5"/>
    <w:rsid w:val="00EB24D8"/>
    <w:rsid w:val="00EB277B"/>
    <w:rsid w:val="00EB2F20"/>
    <w:rsid w:val="00EB2F35"/>
    <w:rsid w:val="00EB31DB"/>
    <w:rsid w:val="00EB3422"/>
    <w:rsid w:val="00EB3A31"/>
    <w:rsid w:val="00EB4EAF"/>
    <w:rsid w:val="00EB548E"/>
    <w:rsid w:val="00EB5C41"/>
    <w:rsid w:val="00EB5F5A"/>
    <w:rsid w:val="00EB657E"/>
    <w:rsid w:val="00EB695E"/>
    <w:rsid w:val="00EB69D1"/>
    <w:rsid w:val="00EB6FE9"/>
    <w:rsid w:val="00EB72FF"/>
    <w:rsid w:val="00EB756F"/>
    <w:rsid w:val="00EB79C8"/>
    <w:rsid w:val="00EB7E78"/>
    <w:rsid w:val="00EC0301"/>
    <w:rsid w:val="00EC09C6"/>
    <w:rsid w:val="00EC0EA5"/>
    <w:rsid w:val="00EC1056"/>
    <w:rsid w:val="00EC1470"/>
    <w:rsid w:val="00EC222E"/>
    <w:rsid w:val="00EC25CD"/>
    <w:rsid w:val="00EC2716"/>
    <w:rsid w:val="00EC2DBB"/>
    <w:rsid w:val="00EC3107"/>
    <w:rsid w:val="00EC358E"/>
    <w:rsid w:val="00EC3F3F"/>
    <w:rsid w:val="00EC3FD2"/>
    <w:rsid w:val="00EC4095"/>
    <w:rsid w:val="00EC43B5"/>
    <w:rsid w:val="00EC4537"/>
    <w:rsid w:val="00EC4960"/>
    <w:rsid w:val="00EC4AE3"/>
    <w:rsid w:val="00EC522B"/>
    <w:rsid w:val="00EC54EE"/>
    <w:rsid w:val="00EC59B2"/>
    <w:rsid w:val="00EC5A3B"/>
    <w:rsid w:val="00EC6BCB"/>
    <w:rsid w:val="00EC786C"/>
    <w:rsid w:val="00EC7ADD"/>
    <w:rsid w:val="00ED04FE"/>
    <w:rsid w:val="00ED0DD0"/>
    <w:rsid w:val="00ED1989"/>
    <w:rsid w:val="00ED28F2"/>
    <w:rsid w:val="00ED3145"/>
    <w:rsid w:val="00ED3309"/>
    <w:rsid w:val="00ED356E"/>
    <w:rsid w:val="00ED3BDA"/>
    <w:rsid w:val="00ED3DA4"/>
    <w:rsid w:val="00ED4B67"/>
    <w:rsid w:val="00ED4B69"/>
    <w:rsid w:val="00ED5A3B"/>
    <w:rsid w:val="00ED5C30"/>
    <w:rsid w:val="00ED5E02"/>
    <w:rsid w:val="00ED5EED"/>
    <w:rsid w:val="00ED6B1C"/>
    <w:rsid w:val="00ED6CF7"/>
    <w:rsid w:val="00ED6F33"/>
    <w:rsid w:val="00ED741E"/>
    <w:rsid w:val="00ED7716"/>
    <w:rsid w:val="00ED7737"/>
    <w:rsid w:val="00ED7747"/>
    <w:rsid w:val="00ED7CF4"/>
    <w:rsid w:val="00EE0EA8"/>
    <w:rsid w:val="00EE1B0E"/>
    <w:rsid w:val="00EE22FB"/>
    <w:rsid w:val="00EE2407"/>
    <w:rsid w:val="00EE26AE"/>
    <w:rsid w:val="00EE29C8"/>
    <w:rsid w:val="00EE2A54"/>
    <w:rsid w:val="00EE2FC2"/>
    <w:rsid w:val="00EE3B88"/>
    <w:rsid w:val="00EE46D9"/>
    <w:rsid w:val="00EE4B75"/>
    <w:rsid w:val="00EE4DBD"/>
    <w:rsid w:val="00EE57D6"/>
    <w:rsid w:val="00EE6025"/>
    <w:rsid w:val="00EE6AC6"/>
    <w:rsid w:val="00EE6E26"/>
    <w:rsid w:val="00EE784F"/>
    <w:rsid w:val="00EE7A1D"/>
    <w:rsid w:val="00EF0500"/>
    <w:rsid w:val="00EF0B66"/>
    <w:rsid w:val="00EF1002"/>
    <w:rsid w:val="00EF143F"/>
    <w:rsid w:val="00EF23D8"/>
    <w:rsid w:val="00EF2A5A"/>
    <w:rsid w:val="00EF2A87"/>
    <w:rsid w:val="00EF3A74"/>
    <w:rsid w:val="00EF3AE9"/>
    <w:rsid w:val="00EF3EA5"/>
    <w:rsid w:val="00EF40DC"/>
    <w:rsid w:val="00EF49FB"/>
    <w:rsid w:val="00EF4D23"/>
    <w:rsid w:val="00EF55D6"/>
    <w:rsid w:val="00EF644D"/>
    <w:rsid w:val="00EF6D29"/>
    <w:rsid w:val="00EF7138"/>
    <w:rsid w:val="00EF7149"/>
    <w:rsid w:val="00F00881"/>
    <w:rsid w:val="00F00917"/>
    <w:rsid w:val="00F01032"/>
    <w:rsid w:val="00F010BB"/>
    <w:rsid w:val="00F012C1"/>
    <w:rsid w:val="00F0175F"/>
    <w:rsid w:val="00F01C5B"/>
    <w:rsid w:val="00F03280"/>
    <w:rsid w:val="00F0362A"/>
    <w:rsid w:val="00F0385C"/>
    <w:rsid w:val="00F03ABE"/>
    <w:rsid w:val="00F04345"/>
    <w:rsid w:val="00F047A4"/>
    <w:rsid w:val="00F04F52"/>
    <w:rsid w:val="00F0510F"/>
    <w:rsid w:val="00F0563F"/>
    <w:rsid w:val="00F0594B"/>
    <w:rsid w:val="00F06239"/>
    <w:rsid w:val="00F064EF"/>
    <w:rsid w:val="00F06558"/>
    <w:rsid w:val="00F06F42"/>
    <w:rsid w:val="00F07122"/>
    <w:rsid w:val="00F074C9"/>
    <w:rsid w:val="00F07C82"/>
    <w:rsid w:val="00F07CC0"/>
    <w:rsid w:val="00F07F5E"/>
    <w:rsid w:val="00F1001E"/>
    <w:rsid w:val="00F106BB"/>
    <w:rsid w:val="00F11027"/>
    <w:rsid w:val="00F1106C"/>
    <w:rsid w:val="00F111BA"/>
    <w:rsid w:val="00F116DD"/>
    <w:rsid w:val="00F11D9F"/>
    <w:rsid w:val="00F11E31"/>
    <w:rsid w:val="00F13137"/>
    <w:rsid w:val="00F13AA1"/>
    <w:rsid w:val="00F13F2A"/>
    <w:rsid w:val="00F140EC"/>
    <w:rsid w:val="00F15097"/>
    <w:rsid w:val="00F15671"/>
    <w:rsid w:val="00F15DC7"/>
    <w:rsid w:val="00F16695"/>
    <w:rsid w:val="00F16C83"/>
    <w:rsid w:val="00F202E3"/>
    <w:rsid w:val="00F20C6E"/>
    <w:rsid w:val="00F20D6C"/>
    <w:rsid w:val="00F2242D"/>
    <w:rsid w:val="00F2255F"/>
    <w:rsid w:val="00F225CF"/>
    <w:rsid w:val="00F22882"/>
    <w:rsid w:val="00F22985"/>
    <w:rsid w:val="00F22AEF"/>
    <w:rsid w:val="00F22F7A"/>
    <w:rsid w:val="00F2322E"/>
    <w:rsid w:val="00F2343C"/>
    <w:rsid w:val="00F23CFC"/>
    <w:rsid w:val="00F24076"/>
    <w:rsid w:val="00F240CB"/>
    <w:rsid w:val="00F2492F"/>
    <w:rsid w:val="00F2500D"/>
    <w:rsid w:val="00F256DA"/>
    <w:rsid w:val="00F25742"/>
    <w:rsid w:val="00F2596D"/>
    <w:rsid w:val="00F25CAA"/>
    <w:rsid w:val="00F26AD6"/>
    <w:rsid w:val="00F2711C"/>
    <w:rsid w:val="00F277E8"/>
    <w:rsid w:val="00F27B04"/>
    <w:rsid w:val="00F27E3D"/>
    <w:rsid w:val="00F301D0"/>
    <w:rsid w:val="00F3069F"/>
    <w:rsid w:val="00F30BA9"/>
    <w:rsid w:val="00F30C3F"/>
    <w:rsid w:val="00F30C60"/>
    <w:rsid w:val="00F30EFB"/>
    <w:rsid w:val="00F30F38"/>
    <w:rsid w:val="00F311D1"/>
    <w:rsid w:val="00F3158A"/>
    <w:rsid w:val="00F318DB"/>
    <w:rsid w:val="00F3199C"/>
    <w:rsid w:val="00F31F7D"/>
    <w:rsid w:val="00F32AFF"/>
    <w:rsid w:val="00F33825"/>
    <w:rsid w:val="00F33A8B"/>
    <w:rsid w:val="00F33D3B"/>
    <w:rsid w:val="00F341D4"/>
    <w:rsid w:val="00F34A96"/>
    <w:rsid w:val="00F34EBF"/>
    <w:rsid w:val="00F34F05"/>
    <w:rsid w:val="00F34F85"/>
    <w:rsid w:val="00F353B0"/>
    <w:rsid w:val="00F356D5"/>
    <w:rsid w:val="00F361AE"/>
    <w:rsid w:val="00F36240"/>
    <w:rsid w:val="00F363EB"/>
    <w:rsid w:val="00F365DE"/>
    <w:rsid w:val="00F36764"/>
    <w:rsid w:val="00F367CF"/>
    <w:rsid w:val="00F36D37"/>
    <w:rsid w:val="00F3719A"/>
    <w:rsid w:val="00F379BF"/>
    <w:rsid w:val="00F37EA7"/>
    <w:rsid w:val="00F40805"/>
    <w:rsid w:val="00F40C5E"/>
    <w:rsid w:val="00F40E3E"/>
    <w:rsid w:val="00F4163A"/>
    <w:rsid w:val="00F41873"/>
    <w:rsid w:val="00F419C3"/>
    <w:rsid w:val="00F41D91"/>
    <w:rsid w:val="00F41E2B"/>
    <w:rsid w:val="00F423BE"/>
    <w:rsid w:val="00F424A5"/>
    <w:rsid w:val="00F425EF"/>
    <w:rsid w:val="00F428AC"/>
    <w:rsid w:val="00F42EE3"/>
    <w:rsid w:val="00F43660"/>
    <w:rsid w:val="00F44542"/>
    <w:rsid w:val="00F448DD"/>
    <w:rsid w:val="00F44C5F"/>
    <w:rsid w:val="00F44DB8"/>
    <w:rsid w:val="00F45760"/>
    <w:rsid w:val="00F45925"/>
    <w:rsid w:val="00F46BA6"/>
    <w:rsid w:val="00F46C97"/>
    <w:rsid w:val="00F4703E"/>
    <w:rsid w:val="00F50511"/>
    <w:rsid w:val="00F50781"/>
    <w:rsid w:val="00F50CA3"/>
    <w:rsid w:val="00F517ED"/>
    <w:rsid w:val="00F51F3F"/>
    <w:rsid w:val="00F528B5"/>
    <w:rsid w:val="00F528E7"/>
    <w:rsid w:val="00F52C8A"/>
    <w:rsid w:val="00F533F3"/>
    <w:rsid w:val="00F53615"/>
    <w:rsid w:val="00F53A91"/>
    <w:rsid w:val="00F54783"/>
    <w:rsid w:val="00F547E9"/>
    <w:rsid w:val="00F5494E"/>
    <w:rsid w:val="00F54ABE"/>
    <w:rsid w:val="00F553D2"/>
    <w:rsid w:val="00F5564F"/>
    <w:rsid w:val="00F55804"/>
    <w:rsid w:val="00F55F1A"/>
    <w:rsid w:val="00F56310"/>
    <w:rsid w:val="00F5684C"/>
    <w:rsid w:val="00F57210"/>
    <w:rsid w:val="00F577FC"/>
    <w:rsid w:val="00F602F0"/>
    <w:rsid w:val="00F6098E"/>
    <w:rsid w:val="00F60C90"/>
    <w:rsid w:val="00F619EE"/>
    <w:rsid w:val="00F61CF5"/>
    <w:rsid w:val="00F61FF9"/>
    <w:rsid w:val="00F62069"/>
    <w:rsid w:val="00F62159"/>
    <w:rsid w:val="00F62A7C"/>
    <w:rsid w:val="00F62B93"/>
    <w:rsid w:val="00F633E5"/>
    <w:rsid w:val="00F63A07"/>
    <w:rsid w:val="00F63C89"/>
    <w:rsid w:val="00F643CA"/>
    <w:rsid w:val="00F647EC"/>
    <w:rsid w:val="00F64D57"/>
    <w:rsid w:val="00F64FAB"/>
    <w:rsid w:val="00F65329"/>
    <w:rsid w:val="00F6546A"/>
    <w:rsid w:val="00F65CEA"/>
    <w:rsid w:val="00F65F15"/>
    <w:rsid w:val="00F66443"/>
    <w:rsid w:val="00F675EA"/>
    <w:rsid w:val="00F67BEB"/>
    <w:rsid w:val="00F7074A"/>
    <w:rsid w:val="00F70A76"/>
    <w:rsid w:val="00F711A0"/>
    <w:rsid w:val="00F71687"/>
    <w:rsid w:val="00F71708"/>
    <w:rsid w:val="00F717C1"/>
    <w:rsid w:val="00F71AB3"/>
    <w:rsid w:val="00F725D3"/>
    <w:rsid w:val="00F7281E"/>
    <w:rsid w:val="00F72C1A"/>
    <w:rsid w:val="00F72C3D"/>
    <w:rsid w:val="00F73269"/>
    <w:rsid w:val="00F737AB"/>
    <w:rsid w:val="00F74216"/>
    <w:rsid w:val="00F74F0F"/>
    <w:rsid w:val="00F75731"/>
    <w:rsid w:val="00F75841"/>
    <w:rsid w:val="00F76333"/>
    <w:rsid w:val="00F77100"/>
    <w:rsid w:val="00F77C84"/>
    <w:rsid w:val="00F8090F"/>
    <w:rsid w:val="00F8139A"/>
    <w:rsid w:val="00F82AAE"/>
    <w:rsid w:val="00F834BE"/>
    <w:rsid w:val="00F838A9"/>
    <w:rsid w:val="00F849E3"/>
    <w:rsid w:val="00F84B4E"/>
    <w:rsid w:val="00F84C44"/>
    <w:rsid w:val="00F851B7"/>
    <w:rsid w:val="00F8566C"/>
    <w:rsid w:val="00F858D4"/>
    <w:rsid w:val="00F85C65"/>
    <w:rsid w:val="00F860EB"/>
    <w:rsid w:val="00F86268"/>
    <w:rsid w:val="00F868B6"/>
    <w:rsid w:val="00F86968"/>
    <w:rsid w:val="00F86E21"/>
    <w:rsid w:val="00F86E42"/>
    <w:rsid w:val="00F86FD9"/>
    <w:rsid w:val="00F876E6"/>
    <w:rsid w:val="00F87825"/>
    <w:rsid w:val="00F87838"/>
    <w:rsid w:val="00F879E8"/>
    <w:rsid w:val="00F87FCE"/>
    <w:rsid w:val="00F9008B"/>
    <w:rsid w:val="00F91669"/>
    <w:rsid w:val="00F9184F"/>
    <w:rsid w:val="00F91943"/>
    <w:rsid w:val="00F92A66"/>
    <w:rsid w:val="00F931CF"/>
    <w:rsid w:val="00F93A31"/>
    <w:rsid w:val="00F93BA1"/>
    <w:rsid w:val="00F93D6E"/>
    <w:rsid w:val="00F9423D"/>
    <w:rsid w:val="00F94609"/>
    <w:rsid w:val="00F95182"/>
    <w:rsid w:val="00F957D2"/>
    <w:rsid w:val="00F95D94"/>
    <w:rsid w:val="00F96F86"/>
    <w:rsid w:val="00F97711"/>
    <w:rsid w:val="00FA02B8"/>
    <w:rsid w:val="00FA0980"/>
    <w:rsid w:val="00FA1028"/>
    <w:rsid w:val="00FA10F7"/>
    <w:rsid w:val="00FA157E"/>
    <w:rsid w:val="00FA181F"/>
    <w:rsid w:val="00FA1C1F"/>
    <w:rsid w:val="00FA1E82"/>
    <w:rsid w:val="00FA2137"/>
    <w:rsid w:val="00FA21B0"/>
    <w:rsid w:val="00FA272D"/>
    <w:rsid w:val="00FA2C40"/>
    <w:rsid w:val="00FA338D"/>
    <w:rsid w:val="00FA34A2"/>
    <w:rsid w:val="00FA3742"/>
    <w:rsid w:val="00FA3837"/>
    <w:rsid w:val="00FA39FC"/>
    <w:rsid w:val="00FA44B4"/>
    <w:rsid w:val="00FA4538"/>
    <w:rsid w:val="00FA486C"/>
    <w:rsid w:val="00FA4998"/>
    <w:rsid w:val="00FA4DC2"/>
    <w:rsid w:val="00FA5EA3"/>
    <w:rsid w:val="00FA67E3"/>
    <w:rsid w:val="00FA7157"/>
    <w:rsid w:val="00FA73A6"/>
    <w:rsid w:val="00FA7698"/>
    <w:rsid w:val="00FA78C2"/>
    <w:rsid w:val="00FA7A2D"/>
    <w:rsid w:val="00FA7B4F"/>
    <w:rsid w:val="00FA7F36"/>
    <w:rsid w:val="00FB06E7"/>
    <w:rsid w:val="00FB06E9"/>
    <w:rsid w:val="00FB0822"/>
    <w:rsid w:val="00FB09AA"/>
    <w:rsid w:val="00FB1093"/>
    <w:rsid w:val="00FB13A0"/>
    <w:rsid w:val="00FB227E"/>
    <w:rsid w:val="00FB267D"/>
    <w:rsid w:val="00FB2A18"/>
    <w:rsid w:val="00FB2BF4"/>
    <w:rsid w:val="00FB2C8D"/>
    <w:rsid w:val="00FB2DC6"/>
    <w:rsid w:val="00FB4FDE"/>
    <w:rsid w:val="00FB5E81"/>
    <w:rsid w:val="00FB6E6C"/>
    <w:rsid w:val="00FB71B0"/>
    <w:rsid w:val="00FB7ABA"/>
    <w:rsid w:val="00FB7C21"/>
    <w:rsid w:val="00FB7C46"/>
    <w:rsid w:val="00FC04E0"/>
    <w:rsid w:val="00FC0D98"/>
    <w:rsid w:val="00FC1042"/>
    <w:rsid w:val="00FC11C6"/>
    <w:rsid w:val="00FC17D8"/>
    <w:rsid w:val="00FC279A"/>
    <w:rsid w:val="00FC324D"/>
    <w:rsid w:val="00FC39A1"/>
    <w:rsid w:val="00FC3BC3"/>
    <w:rsid w:val="00FC3E47"/>
    <w:rsid w:val="00FC4B53"/>
    <w:rsid w:val="00FC4BAE"/>
    <w:rsid w:val="00FC5160"/>
    <w:rsid w:val="00FC5A36"/>
    <w:rsid w:val="00FC69CF"/>
    <w:rsid w:val="00FC6B0B"/>
    <w:rsid w:val="00FC713B"/>
    <w:rsid w:val="00FC7862"/>
    <w:rsid w:val="00FC79D5"/>
    <w:rsid w:val="00FC7B35"/>
    <w:rsid w:val="00FC7B53"/>
    <w:rsid w:val="00FD0177"/>
    <w:rsid w:val="00FD051A"/>
    <w:rsid w:val="00FD0AE7"/>
    <w:rsid w:val="00FD0B44"/>
    <w:rsid w:val="00FD0F70"/>
    <w:rsid w:val="00FD2315"/>
    <w:rsid w:val="00FD29A7"/>
    <w:rsid w:val="00FD2B15"/>
    <w:rsid w:val="00FD3092"/>
    <w:rsid w:val="00FD35A1"/>
    <w:rsid w:val="00FD40FC"/>
    <w:rsid w:val="00FD412E"/>
    <w:rsid w:val="00FD420F"/>
    <w:rsid w:val="00FD4F2F"/>
    <w:rsid w:val="00FD51F7"/>
    <w:rsid w:val="00FD5258"/>
    <w:rsid w:val="00FD5602"/>
    <w:rsid w:val="00FD5A2A"/>
    <w:rsid w:val="00FD5AE2"/>
    <w:rsid w:val="00FD62B4"/>
    <w:rsid w:val="00FD7142"/>
    <w:rsid w:val="00FD750F"/>
    <w:rsid w:val="00FE011C"/>
    <w:rsid w:val="00FE07DC"/>
    <w:rsid w:val="00FE1116"/>
    <w:rsid w:val="00FE1E64"/>
    <w:rsid w:val="00FE2075"/>
    <w:rsid w:val="00FE2080"/>
    <w:rsid w:val="00FE2647"/>
    <w:rsid w:val="00FE27B9"/>
    <w:rsid w:val="00FE2E37"/>
    <w:rsid w:val="00FE3156"/>
    <w:rsid w:val="00FE34C4"/>
    <w:rsid w:val="00FE3640"/>
    <w:rsid w:val="00FE3780"/>
    <w:rsid w:val="00FE3954"/>
    <w:rsid w:val="00FE3CF7"/>
    <w:rsid w:val="00FE4071"/>
    <w:rsid w:val="00FE42E3"/>
    <w:rsid w:val="00FE4ECD"/>
    <w:rsid w:val="00FE52B7"/>
    <w:rsid w:val="00FE53C5"/>
    <w:rsid w:val="00FE5807"/>
    <w:rsid w:val="00FE5C39"/>
    <w:rsid w:val="00FE5C57"/>
    <w:rsid w:val="00FE624E"/>
    <w:rsid w:val="00FE6415"/>
    <w:rsid w:val="00FE69E7"/>
    <w:rsid w:val="00FE6BB8"/>
    <w:rsid w:val="00FE6E76"/>
    <w:rsid w:val="00FE79AD"/>
    <w:rsid w:val="00FF027B"/>
    <w:rsid w:val="00FF1174"/>
    <w:rsid w:val="00FF165A"/>
    <w:rsid w:val="00FF1B72"/>
    <w:rsid w:val="00FF1CF1"/>
    <w:rsid w:val="00FF1F4C"/>
    <w:rsid w:val="00FF2654"/>
    <w:rsid w:val="00FF316E"/>
    <w:rsid w:val="00FF35DC"/>
    <w:rsid w:val="00FF3A6A"/>
    <w:rsid w:val="00FF3C7A"/>
    <w:rsid w:val="00FF3E09"/>
    <w:rsid w:val="00FF3F87"/>
    <w:rsid w:val="00FF411C"/>
    <w:rsid w:val="00FF4B2E"/>
    <w:rsid w:val="00FF4E4B"/>
    <w:rsid w:val="00FF4E4E"/>
    <w:rsid w:val="00FF5049"/>
    <w:rsid w:val="00FF5D1F"/>
    <w:rsid w:val="00FF5F95"/>
    <w:rsid w:val="00FF6126"/>
    <w:rsid w:val="00FF61F5"/>
    <w:rsid w:val="00FF62AA"/>
    <w:rsid w:val="00FF64D7"/>
    <w:rsid w:val="00FF6B6C"/>
    <w:rsid w:val="01420B2A"/>
    <w:rsid w:val="01AA2C10"/>
    <w:rsid w:val="01B004DD"/>
    <w:rsid w:val="01BF0FEA"/>
    <w:rsid w:val="020B6A0C"/>
    <w:rsid w:val="022802FC"/>
    <w:rsid w:val="02643EDD"/>
    <w:rsid w:val="02C21244"/>
    <w:rsid w:val="02CB76A6"/>
    <w:rsid w:val="02D12149"/>
    <w:rsid w:val="02D7201B"/>
    <w:rsid w:val="036F4501"/>
    <w:rsid w:val="037738D8"/>
    <w:rsid w:val="03B94293"/>
    <w:rsid w:val="03C374A4"/>
    <w:rsid w:val="03EE579D"/>
    <w:rsid w:val="040226FC"/>
    <w:rsid w:val="047B4073"/>
    <w:rsid w:val="0490144A"/>
    <w:rsid w:val="04D53D7D"/>
    <w:rsid w:val="058E188D"/>
    <w:rsid w:val="05926AFC"/>
    <w:rsid w:val="05A96137"/>
    <w:rsid w:val="05B53FF0"/>
    <w:rsid w:val="06556151"/>
    <w:rsid w:val="06902EEF"/>
    <w:rsid w:val="06920B3A"/>
    <w:rsid w:val="06DF3F07"/>
    <w:rsid w:val="06FE0888"/>
    <w:rsid w:val="070E679F"/>
    <w:rsid w:val="075F0692"/>
    <w:rsid w:val="0792469D"/>
    <w:rsid w:val="08360D66"/>
    <w:rsid w:val="08457112"/>
    <w:rsid w:val="085451D0"/>
    <w:rsid w:val="08576E8C"/>
    <w:rsid w:val="08F53B23"/>
    <w:rsid w:val="0A070656"/>
    <w:rsid w:val="0A0936DA"/>
    <w:rsid w:val="0A1A5BB7"/>
    <w:rsid w:val="0A2253C7"/>
    <w:rsid w:val="0A5A5B40"/>
    <w:rsid w:val="0A913ED8"/>
    <w:rsid w:val="0AF625B9"/>
    <w:rsid w:val="0AF67B2D"/>
    <w:rsid w:val="0AFE1F55"/>
    <w:rsid w:val="0B1941F7"/>
    <w:rsid w:val="0B24171E"/>
    <w:rsid w:val="0BB33687"/>
    <w:rsid w:val="0C046098"/>
    <w:rsid w:val="0C844BC3"/>
    <w:rsid w:val="0CFE2AC4"/>
    <w:rsid w:val="0D081F34"/>
    <w:rsid w:val="0D584403"/>
    <w:rsid w:val="0DDA523F"/>
    <w:rsid w:val="0E036241"/>
    <w:rsid w:val="0F17516B"/>
    <w:rsid w:val="0F316353"/>
    <w:rsid w:val="0F333B7C"/>
    <w:rsid w:val="0F3C4FFD"/>
    <w:rsid w:val="0F4674F5"/>
    <w:rsid w:val="0F781459"/>
    <w:rsid w:val="100D6C71"/>
    <w:rsid w:val="101C0A97"/>
    <w:rsid w:val="10AF0ABF"/>
    <w:rsid w:val="10B36E37"/>
    <w:rsid w:val="10F67974"/>
    <w:rsid w:val="1132727F"/>
    <w:rsid w:val="116353E3"/>
    <w:rsid w:val="117C7228"/>
    <w:rsid w:val="11EC3A38"/>
    <w:rsid w:val="121C040E"/>
    <w:rsid w:val="127759F8"/>
    <w:rsid w:val="12D6790A"/>
    <w:rsid w:val="12E01A40"/>
    <w:rsid w:val="12F438A7"/>
    <w:rsid w:val="13977E74"/>
    <w:rsid w:val="13AE7578"/>
    <w:rsid w:val="13D00FEE"/>
    <w:rsid w:val="14081A85"/>
    <w:rsid w:val="141B7F51"/>
    <w:rsid w:val="143A637C"/>
    <w:rsid w:val="14570DCC"/>
    <w:rsid w:val="146F2C7A"/>
    <w:rsid w:val="149E4992"/>
    <w:rsid w:val="14C71E1E"/>
    <w:rsid w:val="1534184C"/>
    <w:rsid w:val="15A217AD"/>
    <w:rsid w:val="15C026F1"/>
    <w:rsid w:val="15D334DC"/>
    <w:rsid w:val="16803E9C"/>
    <w:rsid w:val="1683496B"/>
    <w:rsid w:val="1700025E"/>
    <w:rsid w:val="17064457"/>
    <w:rsid w:val="17666A09"/>
    <w:rsid w:val="17AE3BC1"/>
    <w:rsid w:val="17BF7C12"/>
    <w:rsid w:val="17E91D3A"/>
    <w:rsid w:val="182A00D6"/>
    <w:rsid w:val="189439F5"/>
    <w:rsid w:val="18C643E3"/>
    <w:rsid w:val="18CF043B"/>
    <w:rsid w:val="19105708"/>
    <w:rsid w:val="19121BD4"/>
    <w:rsid w:val="19A26245"/>
    <w:rsid w:val="1A307DDE"/>
    <w:rsid w:val="1A332204"/>
    <w:rsid w:val="1A442DE9"/>
    <w:rsid w:val="1A605D0B"/>
    <w:rsid w:val="1A851D6B"/>
    <w:rsid w:val="1AB25762"/>
    <w:rsid w:val="1B121C9D"/>
    <w:rsid w:val="1B132D09"/>
    <w:rsid w:val="1B2D40CD"/>
    <w:rsid w:val="1B312CBD"/>
    <w:rsid w:val="1B496432"/>
    <w:rsid w:val="1B5269EC"/>
    <w:rsid w:val="1BCC5130"/>
    <w:rsid w:val="1D321E13"/>
    <w:rsid w:val="1D5F5A06"/>
    <w:rsid w:val="1E39786F"/>
    <w:rsid w:val="1E4F08B0"/>
    <w:rsid w:val="1EA55BC8"/>
    <w:rsid w:val="1EAB62A4"/>
    <w:rsid w:val="1F462152"/>
    <w:rsid w:val="1F5A5783"/>
    <w:rsid w:val="1F65584E"/>
    <w:rsid w:val="1F6B6784"/>
    <w:rsid w:val="1F6E1002"/>
    <w:rsid w:val="1F953961"/>
    <w:rsid w:val="1FBF4B01"/>
    <w:rsid w:val="20780ECB"/>
    <w:rsid w:val="20894849"/>
    <w:rsid w:val="21455F84"/>
    <w:rsid w:val="21C50C80"/>
    <w:rsid w:val="224176AA"/>
    <w:rsid w:val="227D32BF"/>
    <w:rsid w:val="228C1199"/>
    <w:rsid w:val="229609E2"/>
    <w:rsid w:val="22BE2112"/>
    <w:rsid w:val="22F4274D"/>
    <w:rsid w:val="235634BB"/>
    <w:rsid w:val="2392292A"/>
    <w:rsid w:val="242D24F6"/>
    <w:rsid w:val="246A22EE"/>
    <w:rsid w:val="24801EBF"/>
    <w:rsid w:val="24977600"/>
    <w:rsid w:val="25471BD3"/>
    <w:rsid w:val="26103D41"/>
    <w:rsid w:val="262565C7"/>
    <w:rsid w:val="26AA0F6E"/>
    <w:rsid w:val="270F78DB"/>
    <w:rsid w:val="272C376F"/>
    <w:rsid w:val="272F1A96"/>
    <w:rsid w:val="27AC0841"/>
    <w:rsid w:val="27E97FCD"/>
    <w:rsid w:val="282F4953"/>
    <w:rsid w:val="2848646B"/>
    <w:rsid w:val="28622B25"/>
    <w:rsid w:val="287148B4"/>
    <w:rsid w:val="29043172"/>
    <w:rsid w:val="29236329"/>
    <w:rsid w:val="297B0CF7"/>
    <w:rsid w:val="29F974D0"/>
    <w:rsid w:val="2A51423E"/>
    <w:rsid w:val="2A896BD0"/>
    <w:rsid w:val="2AB5561B"/>
    <w:rsid w:val="2ABE0CFA"/>
    <w:rsid w:val="2AE30DBB"/>
    <w:rsid w:val="2B1E0D76"/>
    <w:rsid w:val="2BD50A28"/>
    <w:rsid w:val="2BDE5F54"/>
    <w:rsid w:val="2C312366"/>
    <w:rsid w:val="2CAE7709"/>
    <w:rsid w:val="2D530F71"/>
    <w:rsid w:val="2D557A3E"/>
    <w:rsid w:val="2D630F57"/>
    <w:rsid w:val="2D6C056C"/>
    <w:rsid w:val="2E121B7C"/>
    <w:rsid w:val="2E732B82"/>
    <w:rsid w:val="2EDD2DD9"/>
    <w:rsid w:val="2EF00814"/>
    <w:rsid w:val="2EFA61AC"/>
    <w:rsid w:val="2F723467"/>
    <w:rsid w:val="2FDF6A37"/>
    <w:rsid w:val="30533003"/>
    <w:rsid w:val="30594B80"/>
    <w:rsid w:val="307439EB"/>
    <w:rsid w:val="308D275F"/>
    <w:rsid w:val="30A560DE"/>
    <w:rsid w:val="311E1DD9"/>
    <w:rsid w:val="319B47FA"/>
    <w:rsid w:val="31A50B58"/>
    <w:rsid w:val="32A02B99"/>
    <w:rsid w:val="32BC3432"/>
    <w:rsid w:val="33577FAD"/>
    <w:rsid w:val="335E2BA0"/>
    <w:rsid w:val="33982853"/>
    <w:rsid w:val="33993E35"/>
    <w:rsid w:val="33BF4AB8"/>
    <w:rsid w:val="33CE58D0"/>
    <w:rsid w:val="33D414D0"/>
    <w:rsid w:val="33D65CCC"/>
    <w:rsid w:val="34211D3D"/>
    <w:rsid w:val="34375AE5"/>
    <w:rsid w:val="344845B3"/>
    <w:rsid w:val="351A5FC2"/>
    <w:rsid w:val="35CD358A"/>
    <w:rsid w:val="35FB2FB8"/>
    <w:rsid w:val="362A09EF"/>
    <w:rsid w:val="366E3DCA"/>
    <w:rsid w:val="369C1105"/>
    <w:rsid w:val="371964F4"/>
    <w:rsid w:val="371A6D7F"/>
    <w:rsid w:val="37467D39"/>
    <w:rsid w:val="385F359C"/>
    <w:rsid w:val="38A842F3"/>
    <w:rsid w:val="38AE4097"/>
    <w:rsid w:val="390E3F81"/>
    <w:rsid w:val="392A010D"/>
    <w:rsid w:val="3981066A"/>
    <w:rsid w:val="3A155D47"/>
    <w:rsid w:val="3A4B0235"/>
    <w:rsid w:val="3A7B7AC4"/>
    <w:rsid w:val="3AB81F38"/>
    <w:rsid w:val="3AE40011"/>
    <w:rsid w:val="3AF11C2B"/>
    <w:rsid w:val="3B7F30A4"/>
    <w:rsid w:val="3BA80B19"/>
    <w:rsid w:val="3BB82F25"/>
    <w:rsid w:val="3C0A0DA3"/>
    <w:rsid w:val="3C3D62B9"/>
    <w:rsid w:val="3C4151E8"/>
    <w:rsid w:val="3C4240EC"/>
    <w:rsid w:val="3C4A0EA0"/>
    <w:rsid w:val="3C57713F"/>
    <w:rsid w:val="3C7B40E7"/>
    <w:rsid w:val="3C867DA0"/>
    <w:rsid w:val="3C971CC1"/>
    <w:rsid w:val="3D107873"/>
    <w:rsid w:val="3DDA0A65"/>
    <w:rsid w:val="3E135DCB"/>
    <w:rsid w:val="3E951F9A"/>
    <w:rsid w:val="3E997760"/>
    <w:rsid w:val="3EE82522"/>
    <w:rsid w:val="3F283333"/>
    <w:rsid w:val="3F3A1FEB"/>
    <w:rsid w:val="3F695F66"/>
    <w:rsid w:val="4018457A"/>
    <w:rsid w:val="403A6CE9"/>
    <w:rsid w:val="40503063"/>
    <w:rsid w:val="405F6B9A"/>
    <w:rsid w:val="4063184A"/>
    <w:rsid w:val="40836547"/>
    <w:rsid w:val="40885740"/>
    <w:rsid w:val="40A26175"/>
    <w:rsid w:val="40DF2FCA"/>
    <w:rsid w:val="41956176"/>
    <w:rsid w:val="41CB5019"/>
    <w:rsid w:val="42077EF5"/>
    <w:rsid w:val="422057B3"/>
    <w:rsid w:val="42253D73"/>
    <w:rsid w:val="42831802"/>
    <w:rsid w:val="42842FC2"/>
    <w:rsid w:val="42DC0426"/>
    <w:rsid w:val="43BF32E9"/>
    <w:rsid w:val="43C76649"/>
    <w:rsid w:val="43D6046C"/>
    <w:rsid w:val="43F959BD"/>
    <w:rsid w:val="44076B89"/>
    <w:rsid w:val="44B91A5D"/>
    <w:rsid w:val="452B7DF8"/>
    <w:rsid w:val="452F03D4"/>
    <w:rsid w:val="459A3BBF"/>
    <w:rsid w:val="45A07A0A"/>
    <w:rsid w:val="46040D75"/>
    <w:rsid w:val="460D5498"/>
    <w:rsid w:val="461A4D06"/>
    <w:rsid w:val="468A123A"/>
    <w:rsid w:val="46A93F2A"/>
    <w:rsid w:val="46CF414F"/>
    <w:rsid w:val="470B7382"/>
    <w:rsid w:val="47843179"/>
    <w:rsid w:val="47B41A45"/>
    <w:rsid w:val="480465C8"/>
    <w:rsid w:val="480846CB"/>
    <w:rsid w:val="48E340E7"/>
    <w:rsid w:val="4A5B2973"/>
    <w:rsid w:val="4A910A80"/>
    <w:rsid w:val="4AAF55ED"/>
    <w:rsid w:val="4AF875FC"/>
    <w:rsid w:val="4B0B4954"/>
    <w:rsid w:val="4B315803"/>
    <w:rsid w:val="4B3825BF"/>
    <w:rsid w:val="4B650808"/>
    <w:rsid w:val="4BC13ED5"/>
    <w:rsid w:val="4C18593C"/>
    <w:rsid w:val="4C192FBA"/>
    <w:rsid w:val="4C312198"/>
    <w:rsid w:val="4CAA5AA7"/>
    <w:rsid w:val="4CD715D9"/>
    <w:rsid w:val="4CE4720A"/>
    <w:rsid w:val="4D0C1C1D"/>
    <w:rsid w:val="4D287FA7"/>
    <w:rsid w:val="4DA93FB0"/>
    <w:rsid w:val="4E49427D"/>
    <w:rsid w:val="4E6268C7"/>
    <w:rsid w:val="4E866317"/>
    <w:rsid w:val="4EAC5711"/>
    <w:rsid w:val="4ECB2064"/>
    <w:rsid w:val="4EDA0D8F"/>
    <w:rsid w:val="4F1D2EA8"/>
    <w:rsid w:val="4F322901"/>
    <w:rsid w:val="4FEE0701"/>
    <w:rsid w:val="503D7E93"/>
    <w:rsid w:val="505C7478"/>
    <w:rsid w:val="50A42375"/>
    <w:rsid w:val="50BD1B37"/>
    <w:rsid w:val="51204DA2"/>
    <w:rsid w:val="51B2004B"/>
    <w:rsid w:val="51D21D57"/>
    <w:rsid w:val="523F43E2"/>
    <w:rsid w:val="524F3143"/>
    <w:rsid w:val="525F4E55"/>
    <w:rsid w:val="527C2D46"/>
    <w:rsid w:val="529A7286"/>
    <w:rsid w:val="53154728"/>
    <w:rsid w:val="53287350"/>
    <w:rsid w:val="533976C5"/>
    <w:rsid w:val="53545FB1"/>
    <w:rsid w:val="53F26648"/>
    <w:rsid w:val="542B1DE0"/>
    <w:rsid w:val="548E50B1"/>
    <w:rsid w:val="54D159DF"/>
    <w:rsid w:val="55127680"/>
    <w:rsid w:val="55622629"/>
    <w:rsid w:val="557701D2"/>
    <w:rsid w:val="55DA4EC1"/>
    <w:rsid w:val="560C4F23"/>
    <w:rsid w:val="565469AA"/>
    <w:rsid w:val="56580D1A"/>
    <w:rsid w:val="572724D1"/>
    <w:rsid w:val="57630D49"/>
    <w:rsid w:val="57EC7382"/>
    <w:rsid w:val="57EC7AF8"/>
    <w:rsid w:val="581E2406"/>
    <w:rsid w:val="583219DE"/>
    <w:rsid w:val="58DC36CE"/>
    <w:rsid w:val="5963264B"/>
    <w:rsid w:val="59B87B9F"/>
    <w:rsid w:val="5A3A2DDD"/>
    <w:rsid w:val="5A407078"/>
    <w:rsid w:val="5A885E47"/>
    <w:rsid w:val="5AA236CA"/>
    <w:rsid w:val="5AB14C9B"/>
    <w:rsid w:val="5B433C96"/>
    <w:rsid w:val="5BF94C86"/>
    <w:rsid w:val="5C59024B"/>
    <w:rsid w:val="5C5A6D66"/>
    <w:rsid w:val="5CB63CAE"/>
    <w:rsid w:val="5D201747"/>
    <w:rsid w:val="5D59319C"/>
    <w:rsid w:val="5DA31D4F"/>
    <w:rsid w:val="5DD56953"/>
    <w:rsid w:val="5DF76D59"/>
    <w:rsid w:val="5E63680B"/>
    <w:rsid w:val="5EC8645F"/>
    <w:rsid w:val="5EDA3269"/>
    <w:rsid w:val="5EFB6A91"/>
    <w:rsid w:val="5F956219"/>
    <w:rsid w:val="5FDF00D8"/>
    <w:rsid w:val="600221F0"/>
    <w:rsid w:val="6020017F"/>
    <w:rsid w:val="60447752"/>
    <w:rsid w:val="604D0E43"/>
    <w:rsid w:val="605D5FA7"/>
    <w:rsid w:val="60CD4AF2"/>
    <w:rsid w:val="60D94534"/>
    <w:rsid w:val="60E561DC"/>
    <w:rsid w:val="60F12002"/>
    <w:rsid w:val="611E7AF6"/>
    <w:rsid w:val="61501C31"/>
    <w:rsid w:val="616377A8"/>
    <w:rsid w:val="616E30EF"/>
    <w:rsid w:val="61FF481F"/>
    <w:rsid w:val="62591948"/>
    <w:rsid w:val="62CE73B7"/>
    <w:rsid w:val="62D17450"/>
    <w:rsid w:val="63104CA0"/>
    <w:rsid w:val="633954F2"/>
    <w:rsid w:val="636D1807"/>
    <w:rsid w:val="637B783E"/>
    <w:rsid w:val="63A14D89"/>
    <w:rsid w:val="63B44D4B"/>
    <w:rsid w:val="63ED045A"/>
    <w:rsid w:val="64227605"/>
    <w:rsid w:val="64441196"/>
    <w:rsid w:val="646978EA"/>
    <w:rsid w:val="64EE133D"/>
    <w:rsid w:val="651A36B7"/>
    <w:rsid w:val="654944E0"/>
    <w:rsid w:val="65D75771"/>
    <w:rsid w:val="66A32E79"/>
    <w:rsid w:val="66AD20B3"/>
    <w:rsid w:val="674365BA"/>
    <w:rsid w:val="675805B5"/>
    <w:rsid w:val="67DE04B8"/>
    <w:rsid w:val="67E01E18"/>
    <w:rsid w:val="686C203F"/>
    <w:rsid w:val="68C70FC8"/>
    <w:rsid w:val="691A5010"/>
    <w:rsid w:val="6928484E"/>
    <w:rsid w:val="6949691B"/>
    <w:rsid w:val="694F1D53"/>
    <w:rsid w:val="69510A41"/>
    <w:rsid w:val="69653878"/>
    <w:rsid w:val="696A5354"/>
    <w:rsid w:val="69D36EA9"/>
    <w:rsid w:val="6A032998"/>
    <w:rsid w:val="6A227203"/>
    <w:rsid w:val="6A38048F"/>
    <w:rsid w:val="6A872C82"/>
    <w:rsid w:val="6AE41E7D"/>
    <w:rsid w:val="6B1D1DFE"/>
    <w:rsid w:val="6B241A17"/>
    <w:rsid w:val="6B28556D"/>
    <w:rsid w:val="6B453E59"/>
    <w:rsid w:val="6B7A2359"/>
    <w:rsid w:val="6B806D98"/>
    <w:rsid w:val="6B9D3287"/>
    <w:rsid w:val="6D883E05"/>
    <w:rsid w:val="6E2F5C8E"/>
    <w:rsid w:val="6E4218CF"/>
    <w:rsid w:val="6E6942F4"/>
    <w:rsid w:val="6E9C0F6F"/>
    <w:rsid w:val="6EA7149A"/>
    <w:rsid w:val="6F45561A"/>
    <w:rsid w:val="6F983C7A"/>
    <w:rsid w:val="6FAC7C04"/>
    <w:rsid w:val="6FC13B19"/>
    <w:rsid w:val="701E072E"/>
    <w:rsid w:val="701E7DA4"/>
    <w:rsid w:val="70314F1F"/>
    <w:rsid w:val="70D51D79"/>
    <w:rsid w:val="70F604CA"/>
    <w:rsid w:val="7103031A"/>
    <w:rsid w:val="71121F70"/>
    <w:rsid w:val="712A724C"/>
    <w:rsid w:val="713A5B6F"/>
    <w:rsid w:val="71476C67"/>
    <w:rsid w:val="71575E9C"/>
    <w:rsid w:val="71AD7318"/>
    <w:rsid w:val="726D70E7"/>
    <w:rsid w:val="72D00650"/>
    <w:rsid w:val="733E0A28"/>
    <w:rsid w:val="73BF77DA"/>
    <w:rsid w:val="73C3243A"/>
    <w:rsid w:val="742D31F8"/>
    <w:rsid w:val="744D5EC9"/>
    <w:rsid w:val="75FC2F67"/>
    <w:rsid w:val="76275962"/>
    <w:rsid w:val="763E36C8"/>
    <w:rsid w:val="7640764C"/>
    <w:rsid w:val="76AF17F9"/>
    <w:rsid w:val="76F65C26"/>
    <w:rsid w:val="76F76F7B"/>
    <w:rsid w:val="770B0993"/>
    <w:rsid w:val="773D67BB"/>
    <w:rsid w:val="774A2134"/>
    <w:rsid w:val="77CC74DE"/>
    <w:rsid w:val="787D3008"/>
    <w:rsid w:val="78AA3BC7"/>
    <w:rsid w:val="79567125"/>
    <w:rsid w:val="797C6296"/>
    <w:rsid w:val="79E65A52"/>
    <w:rsid w:val="7A3538A9"/>
    <w:rsid w:val="7A6150CC"/>
    <w:rsid w:val="7A7C4102"/>
    <w:rsid w:val="7B1403CC"/>
    <w:rsid w:val="7B2F2961"/>
    <w:rsid w:val="7C5A6F26"/>
    <w:rsid w:val="7C727ADF"/>
    <w:rsid w:val="7C744EE5"/>
    <w:rsid w:val="7C9C4E59"/>
    <w:rsid w:val="7CC62E29"/>
    <w:rsid w:val="7DEF14D6"/>
    <w:rsid w:val="7E0155BF"/>
    <w:rsid w:val="7E1700E3"/>
    <w:rsid w:val="7E477448"/>
    <w:rsid w:val="7E4E00D8"/>
    <w:rsid w:val="7ECD36F3"/>
    <w:rsid w:val="7ED2669B"/>
    <w:rsid w:val="7EEB691F"/>
    <w:rsid w:val="7F3279BA"/>
    <w:rsid w:val="7F673697"/>
    <w:rsid w:val="7F690077"/>
    <w:rsid w:val="7FCC5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8"/>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69"/>
    <w:qFormat/>
    <w:uiPriority w:val="0"/>
    <w:pPr>
      <w:keepNext/>
      <w:keepLines/>
      <w:spacing w:before="260" w:after="260" w:line="416" w:lineRule="auto"/>
      <w:outlineLvl w:val="2"/>
    </w:pPr>
    <w:rPr>
      <w:b/>
      <w:bCs/>
      <w:kern w:val="0"/>
      <w:sz w:val="32"/>
      <w:szCs w:val="32"/>
    </w:rPr>
  </w:style>
  <w:style w:type="paragraph" w:styleId="5">
    <w:name w:val="heading 4"/>
    <w:basedOn w:val="1"/>
    <w:next w:val="1"/>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70"/>
    <w:qFormat/>
    <w:uiPriority w:val="0"/>
    <w:pPr>
      <w:keepNext/>
      <w:keepLines/>
      <w:numPr>
        <w:ilvl w:val="4"/>
        <w:numId w:val="1"/>
      </w:numPr>
      <w:spacing w:before="280" w:after="290" w:line="376" w:lineRule="auto"/>
      <w:outlineLvl w:val="4"/>
    </w:pPr>
    <w:rPr>
      <w:b/>
      <w:sz w:val="28"/>
    </w:rPr>
  </w:style>
  <w:style w:type="paragraph" w:styleId="7">
    <w:name w:val="heading 6"/>
    <w:basedOn w:val="1"/>
    <w:next w:val="8"/>
    <w:link w:val="71"/>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8"/>
    <w:link w:val="72"/>
    <w:qFormat/>
    <w:uiPriority w:val="0"/>
    <w:pPr>
      <w:keepNext/>
      <w:keepLines/>
      <w:numPr>
        <w:ilvl w:val="6"/>
        <w:numId w:val="1"/>
      </w:numPr>
      <w:spacing w:before="240" w:after="64" w:line="320" w:lineRule="auto"/>
      <w:outlineLvl w:val="6"/>
    </w:pPr>
    <w:rPr>
      <w:b/>
      <w:sz w:val="24"/>
    </w:rPr>
  </w:style>
  <w:style w:type="paragraph" w:styleId="10">
    <w:name w:val="heading 8"/>
    <w:basedOn w:val="1"/>
    <w:next w:val="8"/>
    <w:link w:val="73"/>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8"/>
    <w:link w:val="74"/>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8">
    <w:name w:val="Normal Indent"/>
    <w:basedOn w:val="1"/>
    <w:next w:val="1"/>
    <w:qFormat/>
    <w:uiPriority w:val="0"/>
    <w:pPr>
      <w:ind w:firstLine="420"/>
    </w:pPr>
    <w:rPr>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index 8"/>
    <w:basedOn w:val="1"/>
    <w:next w:val="1"/>
    <w:qFormat/>
    <w:uiPriority w:val="0"/>
    <w:pPr>
      <w:spacing w:line="400" w:lineRule="exact"/>
      <w:ind w:left="2940" w:firstLine="1044" w:firstLineChars="200"/>
      <w:jc w:val="left"/>
    </w:p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annotation text"/>
    <w:basedOn w:val="1"/>
    <w:link w:val="75"/>
    <w:unhideWhenUsed/>
    <w:qFormat/>
    <w:uiPriority w:val="99"/>
    <w:pPr>
      <w:jc w:val="left"/>
    </w:pPr>
  </w:style>
  <w:style w:type="paragraph" w:styleId="17">
    <w:name w:val="Body Text 3"/>
    <w:basedOn w:val="1"/>
    <w:link w:val="76"/>
    <w:qFormat/>
    <w:uiPriority w:val="0"/>
    <w:pPr>
      <w:spacing w:line="500" w:lineRule="exact"/>
    </w:pPr>
    <w:rPr>
      <w:b/>
      <w:bCs/>
      <w:kern w:val="0"/>
      <w:sz w:val="24"/>
    </w:rPr>
  </w:style>
  <w:style w:type="paragraph" w:styleId="18">
    <w:name w:val="Body Text"/>
    <w:basedOn w:val="1"/>
    <w:next w:val="1"/>
    <w:link w:val="77"/>
    <w:qFormat/>
    <w:uiPriority w:val="99"/>
    <w:pPr>
      <w:spacing w:line="380" w:lineRule="exact"/>
    </w:pPr>
    <w:rPr>
      <w:kern w:val="0"/>
      <w:sz w:val="24"/>
    </w:rPr>
  </w:style>
  <w:style w:type="paragraph" w:styleId="19">
    <w:name w:val="Body Text Indent"/>
    <w:basedOn w:val="1"/>
    <w:next w:val="20"/>
    <w:link w:val="78"/>
    <w:qFormat/>
    <w:uiPriority w:val="0"/>
    <w:pPr>
      <w:ind w:firstLine="830" w:firstLineChars="352"/>
    </w:pPr>
    <w:rPr>
      <w:rFonts w:ascii="仿宋_GB2312" w:eastAsia="仿宋_GB2312"/>
      <w:kern w:val="0"/>
      <w:sz w:val="32"/>
      <w:szCs w:val="20"/>
    </w:rPr>
  </w:style>
  <w:style w:type="paragraph" w:customStyle="1" w:styleId="20">
    <w:name w:val="目录 42"/>
    <w:next w:val="1"/>
    <w:qFormat/>
    <w:uiPriority w:val="0"/>
    <w:pPr>
      <w:wordWrap w:val="0"/>
      <w:ind w:left="850"/>
      <w:jc w:val="both"/>
    </w:pPr>
    <w:rPr>
      <w:rFonts w:ascii="Times New Roman" w:hAnsi="Times New Roman" w:eastAsia="宋体" w:cs="Times New Roman"/>
      <w:sz w:val="21"/>
      <w:lang w:val="en-US" w:eastAsia="zh-CN" w:bidi="ar-SA"/>
    </w:rPr>
  </w:style>
  <w:style w:type="paragraph" w:styleId="21">
    <w:name w:val="List Number 3"/>
    <w:basedOn w:val="1"/>
    <w:qFormat/>
    <w:uiPriority w:val="0"/>
    <w:pPr>
      <w:numPr>
        <w:ilvl w:val="0"/>
        <w:numId w:val="2"/>
      </w:numPr>
    </w:pPr>
  </w:style>
  <w:style w:type="paragraph" w:styleId="22">
    <w:name w:val="List 2"/>
    <w:basedOn w:val="1"/>
    <w:qFormat/>
    <w:uiPriority w:val="0"/>
    <w:pPr>
      <w:ind w:left="100" w:leftChars="200" w:hanging="200" w:hangingChars="200"/>
    </w:pPr>
    <w:rPr>
      <w:sz w:val="28"/>
    </w:rPr>
  </w:style>
  <w:style w:type="paragraph" w:styleId="23">
    <w:name w:val="toc 5"/>
    <w:basedOn w:val="1"/>
    <w:next w:val="1"/>
    <w:unhideWhenUsed/>
    <w:qFormat/>
    <w:uiPriority w:val="39"/>
    <w:pPr>
      <w:ind w:left="1680" w:leftChars="800"/>
    </w:pPr>
    <w:rPr>
      <w:rFonts w:ascii="Calibri" w:hAnsi="Calibri"/>
      <w:szCs w:val="22"/>
    </w:rPr>
  </w:style>
  <w:style w:type="paragraph" w:styleId="24">
    <w:name w:val="toc 3"/>
    <w:basedOn w:val="1"/>
    <w:next w:val="1"/>
    <w:unhideWhenUsed/>
    <w:qFormat/>
    <w:uiPriority w:val="39"/>
    <w:pPr>
      <w:ind w:left="840" w:leftChars="400"/>
    </w:pPr>
    <w:rPr>
      <w:rFonts w:ascii="Calibri" w:hAnsi="Calibri"/>
      <w:szCs w:val="22"/>
    </w:rPr>
  </w:style>
  <w:style w:type="paragraph" w:styleId="25">
    <w:name w:val="Plain Text"/>
    <w:basedOn w:val="1"/>
    <w:next w:val="13"/>
    <w:link w:val="79"/>
    <w:qFormat/>
    <w:uiPriority w:val="0"/>
    <w:rPr>
      <w:rFonts w:ascii="宋体" w:hAnsi="Courier New"/>
      <w:kern w:val="0"/>
      <w:sz w:val="20"/>
      <w:szCs w:val="21"/>
    </w:rPr>
  </w:style>
  <w:style w:type="paragraph" w:styleId="26">
    <w:name w:val="toc 8"/>
    <w:basedOn w:val="1"/>
    <w:next w:val="1"/>
    <w:unhideWhenUsed/>
    <w:qFormat/>
    <w:uiPriority w:val="39"/>
    <w:pPr>
      <w:ind w:left="2940" w:leftChars="1400"/>
    </w:pPr>
    <w:rPr>
      <w:rFonts w:ascii="Calibri" w:hAnsi="Calibri"/>
      <w:szCs w:val="22"/>
    </w:rPr>
  </w:style>
  <w:style w:type="paragraph" w:styleId="27">
    <w:name w:val="Date"/>
    <w:basedOn w:val="1"/>
    <w:next w:val="1"/>
    <w:link w:val="80"/>
    <w:qFormat/>
    <w:uiPriority w:val="0"/>
    <w:pPr>
      <w:ind w:left="100" w:leftChars="2500"/>
    </w:pPr>
    <w:rPr>
      <w:rFonts w:ascii="宋体" w:hAnsi="Courier New"/>
      <w:kern w:val="0"/>
      <w:sz w:val="20"/>
      <w:szCs w:val="21"/>
    </w:rPr>
  </w:style>
  <w:style w:type="paragraph" w:styleId="28">
    <w:name w:val="Body Text Indent 2"/>
    <w:basedOn w:val="1"/>
    <w:link w:val="81"/>
    <w:qFormat/>
    <w:uiPriority w:val="0"/>
    <w:pPr>
      <w:ind w:firstLine="630"/>
    </w:pPr>
    <w:rPr>
      <w:kern w:val="0"/>
      <w:sz w:val="32"/>
      <w:szCs w:val="20"/>
    </w:rPr>
  </w:style>
  <w:style w:type="paragraph" w:styleId="29">
    <w:name w:val="endnote text"/>
    <w:basedOn w:val="1"/>
    <w:link w:val="82"/>
    <w:unhideWhenUsed/>
    <w:qFormat/>
    <w:uiPriority w:val="99"/>
    <w:pPr>
      <w:snapToGrid w:val="0"/>
      <w:jc w:val="left"/>
    </w:pPr>
  </w:style>
  <w:style w:type="paragraph" w:styleId="30">
    <w:name w:val="Balloon Text"/>
    <w:basedOn w:val="1"/>
    <w:link w:val="83"/>
    <w:semiHidden/>
    <w:qFormat/>
    <w:uiPriority w:val="0"/>
    <w:rPr>
      <w:kern w:val="0"/>
      <w:sz w:val="18"/>
      <w:szCs w:val="18"/>
    </w:rPr>
  </w:style>
  <w:style w:type="paragraph" w:styleId="31">
    <w:name w:val="footer"/>
    <w:basedOn w:val="1"/>
    <w:link w:val="84"/>
    <w:unhideWhenUsed/>
    <w:qFormat/>
    <w:uiPriority w:val="99"/>
    <w:pPr>
      <w:tabs>
        <w:tab w:val="center" w:pos="4153"/>
        <w:tab w:val="right" w:pos="8306"/>
      </w:tabs>
      <w:snapToGrid w:val="0"/>
      <w:jc w:val="left"/>
    </w:pPr>
    <w:rPr>
      <w:kern w:val="0"/>
      <w:sz w:val="18"/>
      <w:szCs w:val="18"/>
    </w:rPr>
  </w:style>
  <w:style w:type="paragraph" w:styleId="32">
    <w:name w:val="header"/>
    <w:basedOn w:val="1"/>
    <w:link w:val="85"/>
    <w:unhideWhenUsed/>
    <w:qFormat/>
    <w:uiPriority w:val="99"/>
    <w:pPr>
      <w:pBdr>
        <w:bottom w:val="single" w:color="auto" w:sz="6" w:space="1"/>
      </w:pBdr>
      <w:tabs>
        <w:tab w:val="center" w:pos="0"/>
        <w:tab w:val="left" w:pos="8306"/>
      </w:tabs>
      <w:snapToGrid w:val="0"/>
      <w:jc w:val="center"/>
    </w:pPr>
    <w:rPr>
      <w:sz w:val="18"/>
      <w:szCs w:val="18"/>
    </w:rPr>
  </w:style>
  <w:style w:type="paragraph" w:styleId="33">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4">
    <w:name w:val="toc 4"/>
    <w:basedOn w:val="1"/>
    <w:next w:val="1"/>
    <w:unhideWhenUsed/>
    <w:qFormat/>
    <w:uiPriority w:val="39"/>
    <w:pPr>
      <w:ind w:left="1260" w:leftChars="600"/>
    </w:pPr>
    <w:rPr>
      <w:rFonts w:ascii="Calibri" w:hAnsi="Calibri"/>
      <w:szCs w:val="22"/>
    </w:rPr>
  </w:style>
  <w:style w:type="paragraph" w:styleId="35">
    <w:name w:val="List"/>
    <w:basedOn w:val="1"/>
    <w:qFormat/>
    <w:uiPriority w:val="0"/>
    <w:pPr>
      <w:ind w:left="200" w:hanging="200" w:hangingChars="200"/>
    </w:pPr>
    <w:rPr>
      <w:sz w:val="28"/>
    </w:rPr>
  </w:style>
  <w:style w:type="paragraph" w:styleId="36">
    <w:name w:val="footnote text"/>
    <w:basedOn w:val="1"/>
    <w:link w:val="86"/>
    <w:unhideWhenUsed/>
    <w:qFormat/>
    <w:uiPriority w:val="99"/>
    <w:pPr>
      <w:snapToGrid w:val="0"/>
      <w:jc w:val="left"/>
    </w:pPr>
    <w:rPr>
      <w:sz w:val="18"/>
      <w:szCs w:val="18"/>
    </w:rPr>
  </w:style>
  <w:style w:type="paragraph" w:styleId="37">
    <w:name w:val="toc 6"/>
    <w:basedOn w:val="1"/>
    <w:next w:val="1"/>
    <w:unhideWhenUsed/>
    <w:qFormat/>
    <w:uiPriority w:val="39"/>
    <w:pPr>
      <w:ind w:left="2100" w:leftChars="1000"/>
    </w:pPr>
    <w:rPr>
      <w:rFonts w:ascii="Calibri" w:hAnsi="Calibri"/>
      <w:szCs w:val="22"/>
    </w:rPr>
  </w:style>
  <w:style w:type="paragraph" w:styleId="38">
    <w:name w:val="Body Text Indent 3"/>
    <w:basedOn w:val="1"/>
    <w:link w:val="87"/>
    <w:qFormat/>
    <w:uiPriority w:val="0"/>
    <w:pPr>
      <w:spacing w:after="120"/>
      <w:ind w:left="420" w:leftChars="200"/>
    </w:pPr>
    <w:rPr>
      <w:kern w:val="0"/>
      <w:sz w:val="16"/>
      <w:szCs w:val="16"/>
    </w:rPr>
  </w:style>
  <w:style w:type="paragraph" w:styleId="39">
    <w:name w:val="toc 2"/>
    <w:basedOn w:val="1"/>
    <w:next w:val="1"/>
    <w:unhideWhenUsed/>
    <w:qFormat/>
    <w:uiPriority w:val="39"/>
    <w:pPr>
      <w:ind w:left="420" w:leftChars="200"/>
    </w:pPr>
  </w:style>
  <w:style w:type="paragraph" w:styleId="40">
    <w:name w:val="toc 9"/>
    <w:basedOn w:val="1"/>
    <w:next w:val="1"/>
    <w:unhideWhenUsed/>
    <w:qFormat/>
    <w:uiPriority w:val="39"/>
    <w:pPr>
      <w:ind w:left="3360" w:leftChars="1600"/>
    </w:pPr>
    <w:rPr>
      <w:rFonts w:ascii="Calibri" w:hAnsi="Calibri"/>
      <w:szCs w:val="22"/>
    </w:rPr>
  </w:style>
  <w:style w:type="paragraph" w:styleId="41">
    <w:name w:val="Body Text 2"/>
    <w:basedOn w:val="1"/>
    <w:link w:val="88"/>
    <w:qFormat/>
    <w:uiPriority w:val="0"/>
    <w:pPr>
      <w:spacing w:after="120" w:line="480" w:lineRule="auto"/>
    </w:pPr>
    <w:rPr>
      <w:kern w:val="0"/>
      <w:sz w:val="20"/>
    </w:rPr>
  </w:style>
  <w:style w:type="paragraph" w:styleId="42">
    <w:name w:val="Normal (Web)"/>
    <w:basedOn w:val="1"/>
    <w:qFormat/>
    <w:uiPriority w:val="99"/>
    <w:pPr>
      <w:widowControl/>
      <w:spacing w:before="100" w:beforeAutospacing="1" w:after="100" w:afterAutospacing="1"/>
      <w:jc w:val="left"/>
    </w:pPr>
    <w:rPr>
      <w:rFonts w:ascii="宋体" w:hAnsi="宋体"/>
      <w:kern w:val="0"/>
      <w:sz w:val="24"/>
    </w:rPr>
  </w:style>
  <w:style w:type="paragraph" w:styleId="43">
    <w:name w:val="index 1"/>
    <w:basedOn w:val="1"/>
    <w:next w:val="1"/>
    <w:semiHidden/>
    <w:qFormat/>
    <w:uiPriority w:val="0"/>
    <w:pPr>
      <w:spacing w:line="400" w:lineRule="exact"/>
      <w:ind w:firstLine="420" w:firstLineChars="200"/>
    </w:pPr>
    <w:rPr>
      <w:rFonts w:ascii="宋体" w:hAnsi="Courier New"/>
      <w:b/>
      <w:szCs w:val="20"/>
    </w:rPr>
  </w:style>
  <w:style w:type="paragraph" w:styleId="44">
    <w:name w:val="Title"/>
    <w:basedOn w:val="1"/>
    <w:next w:val="1"/>
    <w:link w:val="89"/>
    <w:qFormat/>
    <w:uiPriority w:val="10"/>
    <w:pPr>
      <w:spacing w:before="240" w:after="60"/>
      <w:jc w:val="center"/>
      <w:outlineLvl w:val="0"/>
    </w:pPr>
    <w:rPr>
      <w:rFonts w:ascii="Cambria" w:hAnsi="Cambria"/>
      <w:b/>
      <w:bCs/>
      <w:sz w:val="32"/>
      <w:szCs w:val="32"/>
    </w:rPr>
  </w:style>
  <w:style w:type="paragraph" w:styleId="45">
    <w:name w:val="annotation subject"/>
    <w:basedOn w:val="16"/>
    <w:next w:val="16"/>
    <w:link w:val="90"/>
    <w:unhideWhenUsed/>
    <w:qFormat/>
    <w:uiPriority w:val="99"/>
    <w:rPr>
      <w:b/>
      <w:bCs/>
    </w:rPr>
  </w:style>
  <w:style w:type="paragraph" w:styleId="46">
    <w:name w:val="Body Text First Indent"/>
    <w:basedOn w:val="18"/>
    <w:qFormat/>
    <w:uiPriority w:val="0"/>
    <w:pPr>
      <w:ind w:firstLine="420" w:firstLineChars="100"/>
    </w:pPr>
    <w:rPr>
      <w:rFonts w:ascii="Calibri" w:hAnsi="Calibri"/>
    </w:rPr>
  </w:style>
  <w:style w:type="paragraph" w:styleId="47">
    <w:name w:val="Body Text First Indent 2"/>
    <w:basedOn w:val="19"/>
    <w:unhideWhenUsed/>
    <w:qFormat/>
    <w:uiPriority w:val="99"/>
    <w:pPr>
      <w:spacing w:after="120"/>
      <w:ind w:left="420" w:leftChars="200" w:firstLine="420" w:firstLineChars="200"/>
    </w:pPr>
    <w:rPr>
      <w:rFonts w:ascii="Times New Roman" w:eastAsia="宋体"/>
      <w:kern w:val="2"/>
      <w:sz w:val="21"/>
      <w:szCs w:val="24"/>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qFormat/>
    <w:uiPriority w:val="0"/>
    <w:rPr>
      <w:b/>
      <w:bCs/>
    </w:rPr>
  </w:style>
  <w:style w:type="character" w:styleId="52">
    <w:name w:val="endnote reference"/>
    <w:unhideWhenUsed/>
    <w:qFormat/>
    <w:uiPriority w:val="99"/>
    <w:rPr>
      <w:vertAlign w:val="superscript"/>
    </w:rPr>
  </w:style>
  <w:style w:type="character" w:styleId="53">
    <w:name w:val="page number"/>
    <w:qFormat/>
    <w:uiPriority w:val="0"/>
  </w:style>
  <w:style w:type="character" w:styleId="54">
    <w:name w:val="FollowedHyperlink"/>
    <w:qFormat/>
    <w:uiPriority w:val="0"/>
    <w:rPr>
      <w:color w:val="000000"/>
      <w:u w:val="none"/>
    </w:rPr>
  </w:style>
  <w:style w:type="character" w:styleId="55">
    <w:name w:val="Emphasis"/>
    <w:basedOn w:val="50"/>
    <w:qFormat/>
    <w:uiPriority w:val="20"/>
    <w:rPr>
      <w:b/>
      <w:bCs/>
    </w:rPr>
  </w:style>
  <w:style w:type="character" w:styleId="56">
    <w:name w:val="HTML Definition"/>
    <w:basedOn w:val="50"/>
    <w:unhideWhenUsed/>
    <w:qFormat/>
    <w:uiPriority w:val="99"/>
  </w:style>
  <w:style w:type="character" w:styleId="57">
    <w:name w:val="HTML Typewriter"/>
    <w:basedOn w:val="50"/>
    <w:unhideWhenUsed/>
    <w:qFormat/>
    <w:uiPriority w:val="99"/>
    <w:rPr>
      <w:rFonts w:hint="default" w:ascii="monospace" w:hAnsi="monospace" w:eastAsia="monospace" w:cs="monospace"/>
      <w:sz w:val="20"/>
    </w:rPr>
  </w:style>
  <w:style w:type="character" w:styleId="58">
    <w:name w:val="HTML Acronym"/>
    <w:basedOn w:val="50"/>
    <w:unhideWhenUsed/>
    <w:qFormat/>
    <w:uiPriority w:val="99"/>
  </w:style>
  <w:style w:type="character" w:styleId="59">
    <w:name w:val="HTML Variable"/>
    <w:basedOn w:val="50"/>
    <w:unhideWhenUsed/>
    <w:qFormat/>
    <w:uiPriority w:val="99"/>
  </w:style>
  <w:style w:type="character" w:styleId="60">
    <w:name w:val="Hyperlink"/>
    <w:qFormat/>
    <w:uiPriority w:val="99"/>
    <w:rPr>
      <w:color w:val="000000"/>
      <w:u w:val="none"/>
    </w:rPr>
  </w:style>
  <w:style w:type="character" w:styleId="61">
    <w:name w:val="HTML Code"/>
    <w:basedOn w:val="50"/>
    <w:unhideWhenUsed/>
    <w:qFormat/>
    <w:uiPriority w:val="99"/>
    <w:rPr>
      <w:rFonts w:hint="default" w:ascii="monospace" w:hAnsi="monospace" w:eastAsia="monospace" w:cs="monospace"/>
      <w:sz w:val="20"/>
    </w:rPr>
  </w:style>
  <w:style w:type="character" w:styleId="62">
    <w:name w:val="annotation reference"/>
    <w:unhideWhenUsed/>
    <w:qFormat/>
    <w:uiPriority w:val="0"/>
    <w:rPr>
      <w:sz w:val="21"/>
      <w:szCs w:val="21"/>
    </w:rPr>
  </w:style>
  <w:style w:type="character" w:styleId="63">
    <w:name w:val="HTML Cite"/>
    <w:basedOn w:val="50"/>
    <w:unhideWhenUsed/>
    <w:qFormat/>
    <w:uiPriority w:val="99"/>
  </w:style>
  <w:style w:type="character" w:styleId="64">
    <w:name w:val="footnote reference"/>
    <w:unhideWhenUsed/>
    <w:qFormat/>
    <w:uiPriority w:val="99"/>
    <w:rPr>
      <w:vertAlign w:val="superscript"/>
    </w:rPr>
  </w:style>
  <w:style w:type="character" w:styleId="65">
    <w:name w:val="HTML Keyboard"/>
    <w:basedOn w:val="50"/>
    <w:unhideWhenUsed/>
    <w:qFormat/>
    <w:uiPriority w:val="99"/>
    <w:rPr>
      <w:rFonts w:hint="default" w:ascii="monospace" w:hAnsi="monospace" w:eastAsia="monospace" w:cs="monospace"/>
      <w:sz w:val="20"/>
    </w:rPr>
  </w:style>
  <w:style w:type="character" w:styleId="66">
    <w:name w:val="HTML Sample"/>
    <w:basedOn w:val="50"/>
    <w:unhideWhenUsed/>
    <w:qFormat/>
    <w:uiPriority w:val="99"/>
    <w:rPr>
      <w:rFonts w:ascii="monospace" w:hAnsi="monospace" w:eastAsia="monospace" w:cs="monospace"/>
    </w:rPr>
  </w:style>
  <w:style w:type="character" w:customStyle="1" w:styleId="67">
    <w:name w:val="标题 1 Char"/>
    <w:link w:val="2"/>
    <w:qFormat/>
    <w:uiPriority w:val="0"/>
    <w:rPr>
      <w:rFonts w:ascii="Times New Roman" w:hAnsi="Times New Roman" w:eastAsia="宋体" w:cs="Times New Roman"/>
      <w:b/>
      <w:bCs/>
      <w:kern w:val="44"/>
      <w:sz w:val="44"/>
      <w:szCs w:val="44"/>
    </w:rPr>
  </w:style>
  <w:style w:type="character" w:customStyle="1" w:styleId="68">
    <w:name w:val="标题 2 Char"/>
    <w:link w:val="3"/>
    <w:qFormat/>
    <w:uiPriority w:val="0"/>
    <w:rPr>
      <w:rFonts w:ascii="Arial" w:hAnsi="Arial" w:eastAsia="黑体" w:cs="Times New Roman"/>
      <w:b/>
      <w:bCs/>
      <w:sz w:val="32"/>
      <w:szCs w:val="32"/>
    </w:rPr>
  </w:style>
  <w:style w:type="character" w:customStyle="1" w:styleId="69">
    <w:name w:val="标题 3 Char"/>
    <w:link w:val="4"/>
    <w:qFormat/>
    <w:uiPriority w:val="0"/>
    <w:rPr>
      <w:rFonts w:ascii="Times New Roman" w:hAnsi="Times New Roman" w:eastAsia="宋体" w:cs="Times New Roman"/>
      <w:b/>
      <w:bCs/>
      <w:sz w:val="32"/>
      <w:szCs w:val="32"/>
    </w:rPr>
  </w:style>
  <w:style w:type="character" w:customStyle="1" w:styleId="70">
    <w:name w:val="标题 5 Char2"/>
    <w:link w:val="6"/>
    <w:qFormat/>
    <w:uiPriority w:val="0"/>
    <w:rPr>
      <w:b/>
      <w:kern w:val="2"/>
      <w:sz w:val="28"/>
      <w:szCs w:val="24"/>
    </w:rPr>
  </w:style>
  <w:style w:type="character" w:customStyle="1" w:styleId="71">
    <w:name w:val="标题 6 Char"/>
    <w:link w:val="7"/>
    <w:qFormat/>
    <w:uiPriority w:val="0"/>
    <w:rPr>
      <w:rFonts w:ascii="Arial" w:hAnsi="Arial" w:eastAsia="黑体"/>
      <w:b/>
      <w:kern w:val="2"/>
      <w:sz w:val="24"/>
      <w:szCs w:val="24"/>
    </w:rPr>
  </w:style>
  <w:style w:type="character" w:customStyle="1" w:styleId="72">
    <w:name w:val="标题 7 Char"/>
    <w:link w:val="9"/>
    <w:qFormat/>
    <w:uiPriority w:val="0"/>
    <w:rPr>
      <w:rFonts w:ascii="Times New Roman" w:hAnsi="Times New Roman"/>
      <w:b/>
      <w:kern w:val="2"/>
      <w:sz w:val="24"/>
      <w:szCs w:val="24"/>
    </w:rPr>
  </w:style>
  <w:style w:type="character" w:customStyle="1" w:styleId="73">
    <w:name w:val="标题 8 Char"/>
    <w:link w:val="10"/>
    <w:qFormat/>
    <w:uiPriority w:val="0"/>
    <w:rPr>
      <w:rFonts w:ascii="Arial" w:hAnsi="Arial" w:eastAsia="黑体"/>
      <w:kern w:val="2"/>
      <w:sz w:val="24"/>
      <w:szCs w:val="24"/>
    </w:rPr>
  </w:style>
  <w:style w:type="character" w:customStyle="1" w:styleId="74">
    <w:name w:val="标题 9 Char"/>
    <w:link w:val="11"/>
    <w:qFormat/>
    <w:uiPriority w:val="0"/>
    <w:rPr>
      <w:rFonts w:ascii="Arial" w:hAnsi="Arial" w:eastAsia="黑体"/>
      <w:kern w:val="2"/>
      <w:sz w:val="21"/>
      <w:szCs w:val="24"/>
    </w:rPr>
  </w:style>
  <w:style w:type="character" w:customStyle="1" w:styleId="75">
    <w:name w:val="批注文字 Char2"/>
    <w:link w:val="16"/>
    <w:qFormat/>
    <w:uiPriority w:val="99"/>
    <w:rPr>
      <w:rFonts w:ascii="Times New Roman" w:hAnsi="Times New Roman"/>
      <w:kern w:val="2"/>
      <w:sz w:val="21"/>
      <w:szCs w:val="24"/>
    </w:rPr>
  </w:style>
  <w:style w:type="character" w:customStyle="1" w:styleId="76">
    <w:name w:val="正文文本 3 Char"/>
    <w:link w:val="17"/>
    <w:qFormat/>
    <w:uiPriority w:val="0"/>
    <w:rPr>
      <w:rFonts w:ascii="Times New Roman" w:hAnsi="Times New Roman" w:eastAsia="宋体" w:cs="Times New Roman"/>
      <w:b/>
      <w:bCs/>
      <w:sz w:val="24"/>
      <w:szCs w:val="24"/>
    </w:rPr>
  </w:style>
  <w:style w:type="character" w:customStyle="1" w:styleId="77">
    <w:name w:val="正文文本 Char"/>
    <w:link w:val="18"/>
    <w:qFormat/>
    <w:uiPriority w:val="99"/>
    <w:rPr>
      <w:rFonts w:ascii="Times New Roman" w:hAnsi="Times New Roman" w:eastAsia="宋体" w:cs="Times New Roman"/>
      <w:sz w:val="24"/>
      <w:szCs w:val="24"/>
    </w:rPr>
  </w:style>
  <w:style w:type="character" w:customStyle="1" w:styleId="78">
    <w:name w:val="正文文本缩进 Char"/>
    <w:link w:val="19"/>
    <w:qFormat/>
    <w:uiPriority w:val="0"/>
    <w:rPr>
      <w:rFonts w:ascii="仿宋_GB2312" w:hAnsi="Times New Roman" w:eastAsia="仿宋_GB2312" w:cs="Times New Roman"/>
      <w:sz w:val="32"/>
      <w:szCs w:val="20"/>
    </w:rPr>
  </w:style>
  <w:style w:type="character" w:customStyle="1" w:styleId="79">
    <w:name w:val="纯文本 Char2"/>
    <w:link w:val="25"/>
    <w:qFormat/>
    <w:uiPriority w:val="0"/>
    <w:rPr>
      <w:rFonts w:ascii="宋体" w:hAnsi="Courier New" w:eastAsia="宋体" w:cs="Courier New"/>
      <w:szCs w:val="21"/>
    </w:rPr>
  </w:style>
  <w:style w:type="character" w:customStyle="1" w:styleId="80">
    <w:name w:val="日期 Char"/>
    <w:link w:val="27"/>
    <w:qFormat/>
    <w:uiPriority w:val="0"/>
    <w:rPr>
      <w:rFonts w:ascii="宋体" w:hAnsi="Courier New" w:eastAsia="宋体" w:cs="Courier New"/>
      <w:szCs w:val="21"/>
    </w:rPr>
  </w:style>
  <w:style w:type="character" w:customStyle="1" w:styleId="81">
    <w:name w:val="正文文本缩进 2 Char"/>
    <w:link w:val="28"/>
    <w:qFormat/>
    <w:uiPriority w:val="0"/>
    <w:rPr>
      <w:rFonts w:ascii="Times New Roman" w:hAnsi="Times New Roman" w:eastAsia="宋体" w:cs="Times New Roman"/>
      <w:sz w:val="32"/>
      <w:szCs w:val="20"/>
    </w:rPr>
  </w:style>
  <w:style w:type="character" w:customStyle="1" w:styleId="82">
    <w:name w:val="尾注文本 Char"/>
    <w:link w:val="29"/>
    <w:semiHidden/>
    <w:qFormat/>
    <w:uiPriority w:val="99"/>
    <w:rPr>
      <w:rFonts w:ascii="Times New Roman" w:hAnsi="Times New Roman"/>
      <w:kern w:val="2"/>
      <w:sz w:val="21"/>
      <w:szCs w:val="24"/>
    </w:rPr>
  </w:style>
  <w:style w:type="character" w:customStyle="1" w:styleId="83">
    <w:name w:val="批注框文本 Char"/>
    <w:link w:val="30"/>
    <w:semiHidden/>
    <w:qFormat/>
    <w:uiPriority w:val="0"/>
    <w:rPr>
      <w:rFonts w:ascii="Times New Roman" w:hAnsi="Times New Roman" w:eastAsia="宋体" w:cs="Times New Roman"/>
      <w:sz w:val="18"/>
      <w:szCs w:val="18"/>
    </w:rPr>
  </w:style>
  <w:style w:type="character" w:customStyle="1" w:styleId="84">
    <w:name w:val="页脚 Char"/>
    <w:link w:val="31"/>
    <w:qFormat/>
    <w:uiPriority w:val="99"/>
    <w:rPr>
      <w:sz w:val="18"/>
      <w:szCs w:val="18"/>
    </w:rPr>
  </w:style>
  <w:style w:type="character" w:customStyle="1" w:styleId="85">
    <w:name w:val="页眉 Char"/>
    <w:link w:val="32"/>
    <w:qFormat/>
    <w:uiPriority w:val="99"/>
    <w:rPr>
      <w:rFonts w:ascii="Times New Roman" w:hAnsi="Times New Roman"/>
      <w:kern w:val="2"/>
      <w:sz w:val="18"/>
      <w:szCs w:val="18"/>
    </w:rPr>
  </w:style>
  <w:style w:type="character" w:customStyle="1" w:styleId="86">
    <w:name w:val="脚注文本 Char"/>
    <w:link w:val="36"/>
    <w:semiHidden/>
    <w:qFormat/>
    <w:uiPriority w:val="99"/>
    <w:rPr>
      <w:rFonts w:ascii="Times New Roman" w:hAnsi="Times New Roman"/>
      <w:kern w:val="2"/>
      <w:sz w:val="18"/>
      <w:szCs w:val="18"/>
    </w:rPr>
  </w:style>
  <w:style w:type="character" w:customStyle="1" w:styleId="87">
    <w:name w:val="正文文本缩进 3 Char"/>
    <w:link w:val="38"/>
    <w:qFormat/>
    <w:uiPriority w:val="0"/>
    <w:rPr>
      <w:rFonts w:ascii="Times New Roman" w:hAnsi="Times New Roman" w:eastAsia="宋体" w:cs="Times New Roman"/>
      <w:sz w:val="16"/>
      <w:szCs w:val="16"/>
    </w:rPr>
  </w:style>
  <w:style w:type="character" w:customStyle="1" w:styleId="88">
    <w:name w:val="正文文本 2 Char"/>
    <w:link w:val="41"/>
    <w:qFormat/>
    <w:uiPriority w:val="0"/>
    <w:rPr>
      <w:rFonts w:ascii="Times New Roman" w:hAnsi="Times New Roman" w:eastAsia="宋体" w:cs="Times New Roman"/>
      <w:szCs w:val="24"/>
    </w:rPr>
  </w:style>
  <w:style w:type="character" w:customStyle="1" w:styleId="89">
    <w:name w:val="标题 Char"/>
    <w:link w:val="44"/>
    <w:qFormat/>
    <w:uiPriority w:val="10"/>
    <w:rPr>
      <w:rFonts w:ascii="Cambria" w:hAnsi="Cambria" w:cs="Times New Roman"/>
      <w:b/>
      <w:bCs/>
      <w:kern w:val="2"/>
      <w:sz w:val="32"/>
      <w:szCs w:val="32"/>
    </w:rPr>
  </w:style>
  <w:style w:type="character" w:customStyle="1" w:styleId="90">
    <w:name w:val="批注主题 Char"/>
    <w:link w:val="45"/>
    <w:semiHidden/>
    <w:qFormat/>
    <w:uiPriority w:val="99"/>
    <w:rPr>
      <w:rFonts w:ascii="Times New Roman" w:hAnsi="Times New Roman"/>
      <w:b/>
      <w:bCs/>
      <w:kern w:val="2"/>
      <w:sz w:val="21"/>
      <w:szCs w:val="24"/>
    </w:rPr>
  </w:style>
  <w:style w:type="paragraph" w:customStyle="1" w:styleId="91">
    <w:name w:val="Default"/>
    <w:next w:val="92"/>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3">
    <w:name w:val="批注文字 Char"/>
    <w:qFormat/>
    <w:uiPriority w:val="0"/>
    <w:rPr>
      <w:rFonts w:ascii="Times New Roman" w:hAnsi="Times New Roman"/>
      <w:kern w:val="2"/>
      <w:sz w:val="21"/>
      <w:szCs w:val="24"/>
    </w:rPr>
  </w:style>
  <w:style w:type="character" w:customStyle="1" w:styleId="94">
    <w:name w:val="headline-content4"/>
    <w:qFormat/>
    <w:uiPriority w:val="0"/>
  </w:style>
  <w:style w:type="character" w:customStyle="1" w:styleId="95">
    <w:name w:val="正文文本缩进 字符"/>
    <w:qFormat/>
    <w:uiPriority w:val="0"/>
    <w:rPr>
      <w:rFonts w:ascii="仿宋_GB2312" w:hAnsi="Times New Roman" w:eastAsia="仿宋_GB2312" w:cs="Times New Roman"/>
      <w:sz w:val="32"/>
      <w:szCs w:val="20"/>
    </w:rPr>
  </w:style>
  <w:style w:type="character" w:customStyle="1" w:styleId="96">
    <w:name w:val="font01"/>
    <w:qFormat/>
    <w:uiPriority w:val="0"/>
    <w:rPr>
      <w:rFonts w:hint="eastAsia" w:ascii="宋体" w:hAnsi="宋体" w:eastAsia="宋体" w:cs="宋体"/>
      <w:color w:val="000000"/>
      <w:sz w:val="22"/>
      <w:szCs w:val="22"/>
      <w:u w:val="none"/>
    </w:rPr>
  </w:style>
  <w:style w:type="character" w:customStyle="1" w:styleId="97">
    <w:name w:val="case31"/>
    <w:qFormat/>
    <w:uiPriority w:val="0"/>
    <w:rPr>
      <w:rFonts w:hint="default" w:ascii="_x000B__x000C_" w:hAnsi="_x000B__x000C_"/>
      <w:sz w:val="21"/>
      <w:szCs w:val="21"/>
    </w:rPr>
  </w:style>
  <w:style w:type="character" w:customStyle="1" w:styleId="98">
    <w:name w:val="纯文本 Char1"/>
    <w:qFormat/>
    <w:uiPriority w:val="0"/>
    <w:rPr>
      <w:rFonts w:ascii="宋体" w:hAnsi="Courier New" w:eastAsia="宋体" w:cs="Courier New"/>
      <w:szCs w:val="21"/>
    </w:rPr>
  </w:style>
  <w:style w:type="character" w:customStyle="1" w:styleId="99">
    <w:name w:val="批注文字 Char1"/>
    <w:semiHidden/>
    <w:qFormat/>
    <w:locked/>
    <w:uiPriority w:val="0"/>
    <w:rPr>
      <w:rFonts w:ascii="Times New Roman" w:hAnsi="Times New Roman"/>
      <w:kern w:val="2"/>
      <w:sz w:val="21"/>
      <w:szCs w:val="24"/>
    </w:rPr>
  </w:style>
  <w:style w:type="character" w:customStyle="1" w:styleId="100">
    <w:name w:val="apple-style-span"/>
    <w:qFormat/>
    <w:uiPriority w:val="0"/>
  </w:style>
  <w:style w:type="character" w:customStyle="1" w:styleId="101">
    <w:name w:val="普通文字 Char Char2"/>
    <w:qFormat/>
    <w:uiPriority w:val="0"/>
    <w:rPr>
      <w:rFonts w:ascii="宋体" w:hAnsi="Courier New" w:eastAsia="宋体"/>
      <w:kern w:val="2"/>
      <w:sz w:val="21"/>
      <w:lang w:val="en-US" w:eastAsia="zh-CN" w:bidi="ar-SA"/>
    </w:rPr>
  </w:style>
  <w:style w:type="character" w:customStyle="1" w:styleId="102">
    <w:name w:val="批注文字 字符2"/>
    <w:qFormat/>
    <w:uiPriority w:val="0"/>
    <w:rPr>
      <w:rFonts w:ascii="Times New Roman" w:hAnsi="Times New Roman"/>
      <w:kern w:val="2"/>
      <w:sz w:val="21"/>
      <w:szCs w:val="24"/>
    </w:rPr>
  </w:style>
  <w:style w:type="character" w:customStyle="1" w:styleId="103">
    <w:name w:val="font11"/>
    <w:qFormat/>
    <w:uiPriority w:val="0"/>
    <w:rPr>
      <w:rFonts w:hint="eastAsia" w:ascii="宋体" w:hAnsi="宋体" w:eastAsia="宋体" w:cs="宋体"/>
      <w:color w:val="FF0000"/>
      <w:sz w:val="22"/>
      <w:szCs w:val="22"/>
      <w:u w:val="none"/>
    </w:rPr>
  </w:style>
  <w:style w:type="character" w:customStyle="1" w:styleId="104">
    <w:name w:val="标题 5 Char1"/>
    <w:qFormat/>
    <w:uiPriority w:val="0"/>
    <w:rPr>
      <w:b/>
      <w:kern w:val="2"/>
      <w:sz w:val="28"/>
      <w:szCs w:val="24"/>
    </w:rPr>
  </w:style>
  <w:style w:type="character" w:customStyle="1" w:styleId="105">
    <w:name w:val="批注文字 字符"/>
    <w:qFormat/>
    <w:uiPriority w:val="0"/>
    <w:rPr>
      <w:rFonts w:ascii="Times New Roman" w:hAnsi="Times New Roman"/>
      <w:kern w:val="2"/>
      <w:sz w:val="21"/>
      <w:szCs w:val="24"/>
    </w:rPr>
  </w:style>
  <w:style w:type="character" w:customStyle="1" w:styleId="106">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07">
    <w:name w:val="纯文本 字符"/>
    <w:qFormat/>
    <w:uiPriority w:val="0"/>
    <w:rPr>
      <w:rFonts w:ascii="宋体" w:hAnsi="Courier New" w:eastAsia="宋体" w:cs="Courier New"/>
      <w:szCs w:val="21"/>
    </w:rPr>
  </w:style>
  <w:style w:type="character" w:customStyle="1" w:styleId="108">
    <w:name w:val="font21"/>
    <w:qFormat/>
    <w:uiPriority w:val="0"/>
    <w:rPr>
      <w:rFonts w:hint="eastAsia" w:ascii="宋体" w:hAnsi="宋体" w:eastAsia="宋体" w:cs="宋体"/>
      <w:color w:val="FF0000"/>
      <w:sz w:val="22"/>
      <w:szCs w:val="22"/>
      <w:u w:val="none"/>
    </w:rPr>
  </w:style>
  <w:style w:type="character" w:customStyle="1" w:styleId="109">
    <w:name w:val="纯文本 字符1"/>
    <w:qFormat/>
    <w:uiPriority w:val="0"/>
    <w:rPr>
      <w:rFonts w:ascii="宋体" w:hAnsi="Courier New"/>
    </w:rPr>
  </w:style>
  <w:style w:type="character" w:customStyle="1" w:styleId="110">
    <w:name w:val="标题 5 Char"/>
    <w:qFormat/>
    <w:uiPriority w:val="0"/>
    <w:rPr>
      <w:b/>
      <w:kern w:val="2"/>
      <w:sz w:val="28"/>
      <w:szCs w:val="24"/>
    </w:rPr>
  </w:style>
  <w:style w:type="character" w:customStyle="1" w:styleId="111">
    <w:name w:val="标题 1 字符"/>
    <w:qFormat/>
    <w:uiPriority w:val="9"/>
    <w:rPr>
      <w:rFonts w:ascii="Times New Roman" w:hAnsi="Times New Roman" w:eastAsia="宋体" w:cs="Times New Roman"/>
      <w:b/>
      <w:bCs/>
      <w:kern w:val="44"/>
      <w:sz w:val="44"/>
      <w:szCs w:val="44"/>
    </w:rPr>
  </w:style>
  <w:style w:type="character" w:customStyle="1" w:styleId="112">
    <w:name w:val="textcontents"/>
    <w:qFormat/>
    <w:uiPriority w:val="0"/>
  </w:style>
  <w:style w:type="character" w:customStyle="1" w:styleId="113">
    <w:name w:val="纯文本 Char"/>
    <w:qFormat/>
    <w:uiPriority w:val="0"/>
    <w:rPr>
      <w:rFonts w:ascii="宋体" w:hAnsi="Courier New" w:eastAsia="宋体" w:cs="Courier New"/>
      <w:szCs w:val="21"/>
    </w:rPr>
  </w:style>
  <w:style w:type="paragraph" w:customStyle="1" w:styleId="114">
    <w:name w:val="正文段"/>
    <w:basedOn w:val="1"/>
    <w:qFormat/>
    <w:uiPriority w:val="0"/>
    <w:pPr>
      <w:widowControl/>
      <w:snapToGrid w:val="0"/>
      <w:spacing w:afterLines="50"/>
      <w:ind w:firstLine="200" w:firstLineChars="200"/>
    </w:pPr>
    <w:rPr>
      <w:kern w:val="0"/>
      <w:sz w:val="24"/>
      <w:szCs w:val="20"/>
    </w:rPr>
  </w:style>
  <w:style w:type="paragraph" w:customStyle="1" w:styleId="115">
    <w:name w:val="p16"/>
    <w:basedOn w:val="1"/>
    <w:qFormat/>
    <w:uiPriority w:val="0"/>
    <w:pPr>
      <w:widowControl/>
      <w:autoSpaceDE w:val="0"/>
      <w:autoSpaceDN w:val="0"/>
      <w:jc w:val="left"/>
    </w:pPr>
    <w:rPr>
      <w:rFonts w:ascii="宋体" w:hAnsi="宋体" w:cs="宋体"/>
      <w:kern w:val="0"/>
      <w:sz w:val="22"/>
      <w:szCs w:val="21"/>
      <w:lang w:val="zh-CN" w:bidi="zh-CN"/>
    </w:rPr>
  </w:style>
  <w:style w:type="paragraph" w:customStyle="1" w:styleId="116">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17">
    <w:name w:val="纯文本1"/>
    <w:basedOn w:val="1"/>
    <w:qFormat/>
    <w:uiPriority w:val="0"/>
    <w:rPr>
      <w:rFonts w:ascii="宋体" w:hAnsi="Courier New" w:cs="Century"/>
      <w:szCs w:val="21"/>
    </w:rPr>
  </w:style>
  <w:style w:type="paragraph" w:customStyle="1" w:styleId="118">
    <w:name w:val="正文首行缩进两字符"/>
    <w:basedOn w:val="1"/>
    <w:qFormat/>
    <w:uiPriority w:val="0"/>
    <w:pPr>
      <w:spacing w:line="360" w:lineRule="auto"/>
      <w:ind w:firstLine="200" w:firstLineChars="200"/>
    </w:pPr>
  </w:style>
  <w:style w:type="paragraph" w:customStyle="1" w:styleId="119">
    <w:name w:val="正文2"/>
    <w:basedOn w:val="1"/>
    <w:qFormat/>
    <w:uiPriority w:val="0"/>
    <w:pPr>
      <w:adjustRightInd w:val="0"/>
      <w:spacing w:before="156" w:line="360" w:lineRule="auto"/>
      <w:ind w:firstLine="510" w:firstLineChars="200"/>
    </w:pPr>
    <w:rPr>
      <w:sz w:val="24"/>
      <w:szCs w:val="20"/>
    </w:rPr>
  </w:style>
  <w:style w:type="paragraph" w:customStyle="1" w:styleId="120">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21">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22">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23">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24">
    <w:name w:val="样式 首行缩进:  2 字符"/>
    <w:basedOn w:val="1"/>
    <w:qFormat/>
    <w:uiPriority w:val="0"/>
    <w:pPr>
      <w:spacing w:line="400" w:lineRule="exact"/>
      <w:ind w:firstLine="200" w:firstLineChars="200"/>
    </w:pPr>
    <w:rPr>
      <w:rFonts w:cs="宋体"/>
      <w:sz w:val="24"/>
    </w:rPr>
  </w:style>
  <w:style w:type="paragraph" w:customStyle="1" w:styleId="125">
    <w:name w:val="Table Paragraph"/>
    <w:basedOn w:val="1"/>
    <w:qFormat/>
    <w:uiPriority w:val="1"/>
    <w:pPr>
      <w:jc w:val="left"/>
    </w:pPr>
    <w:rPr>
      <w:rFonts w:ascii="Calibri" w:hAnsi="Calibri"/>
      <w:kern w:val="0"/>
      <w:sz w:val="22"/>
      <w:szCs w:val="22"/>
      <w:lang w:eastAsia="en-US"/>
    </w:rPr>
  </w:style>
  <w:style w:type="paragraph" w:customStyle="1" w:styleId="126">
    <w:name w:val="Char1"/>
    <w:basedOn w:val="1"/>
    <w:qFormat/>
    <w:uiPriority w:val="0"/>
    <w:rPr>
      <w:szCs w:val="21"/>
    </w:rPr>
  </w:style>
  <w:style w:type="paragraph" w:customStyle="1" w:styleId="127">
    <w:name w:val="表格"/>
    <w:basedOn w:val="1"/>
    <w:qFormat/>
    <w:uiPriority w:val="0"/>
    <w:pPr>
      <w:spacing w:line="400" w:lineRule="exact"/>
    </w:pPr>
    <w:rPr>
      <w:sz w:val="24"/>
    </w:rPr>
  </w:style>
  <w:style w:type="paragraph" w:customStyle="1" w:styleId="128">
    <w:name w:val="默认段落字体 Para Char Char Char Char Char Char Char Char Char1 Char Char Char Char"/>
    <w:basedOn w:val="1"/>
    <w:qFormat/>
    <w:uiPriority w:val="0"/>
    <w:rPr>
      <w:rFonts w:ascii="Tahoma" w:hAnsi="Tahoma"/>
      <w:sz w:val="24"/>
      <w:szCs w:val="20"/>
    </w:rPr>
  </w:style>
  <w:style w:type="paragraph" w:customStyle="1" w:styleId="129">
    <w:name w:val="5.1.1"/>
    <w:basedOn w:val="1"/>
    <w:next w:val="130"/>
    <w:qFormat/>
    <w:uiPriority w:val="0"/>
    <w:pPr>
      <w:ind w:firstLine="420" w:firstLineChars="200"/>
    </w:pPr>
    <w:rPr>
      <w:sz w:val="24"/>
    </w:rPr>
  </w:style>
  <w:style w:type="paragraph" w:styleId="130">
    <w:name w:val="List Paragraph"/>
    <w:basedOn w:val="1"/>
    <w:qFormat/>
    <w:uiPriority w:val="99"/>
    <w:pPr>
      <w:ind w:firstLine="420" w:firstLineChars="200"/>
    </w:pPr>
  </w:style>
  <w:style w:type="paragraph" w:customStyle="1" w:styleId="131">
    <w:name w:val="表格文字"/>
    <w:basedOn w:val="132"/>
    <w:qFormat/>
    <w:uiPriority w:val="0"/>
    <w:pPr>
      <w:spacing w:before="25" w:after="25"/>
      <w:jc w:val="left"/>
    </w:pPr>
    <w:rPr>
      <w:rFonts w:ascii="Times New Roman" w:hAnsi="Times New Roman"/>
      <w:bCs/>
      <w:spacing w:val="10"/>
      <w:sz w:val="24"/>
      <w:szCs w:val="20"/>
    </w:rPr>
  </w:style>
  <w:style w:type="paragraph" w:customStyle="1" w:styleId="132">
    <w:name w:val="表格文字（两侧对齐）"/>
    <w:basedOn w:val="1"/>
    <w:qFormat/>
    <w:uiPriority w:val="0"/>
    <w:pPr>
      <w:snapToGrid w:val="0"/>
    </w:pPr>
    <w:rPr>
      <w:rFonts w:ascii="Calibri" w:hAnsi="Calibri"/>
      <w:kern w:val="0"/>
      <w:sz w:val="20"/>
    </w:rPr>
  </w:style>
  <w:style w:type="paragraph" w:customStyle="1" w:styleId="133">
    <w:name w:val="font6"/>
    <w:basedOn w:val="1"/>
    <w:qFormat/>
    <w:uiPriority w:val="0"/>
    <w:pPr>
      <w:widowControl/>
      <w:spacing w:before="100" w:beforeAutospacing="1" w:after="100" w:afterAutospacing="1"/>
      <w:jc w:val="left"/>
    </w:pPr>
    <w:rPr>
      <w:rFonts w:ascii="宋体" w:hAnsi="宋体" w:eastAsia="Arial Unicode MS" w:cs="宋体"/>
      <w:kern w:val="0"/>
      <w:sz w:val="24"/>
    </w:rPr>
  </w:style>
  <w:style w:type="table" w:customStyle="1" w:styleId="134">
    <w:name w:val="Table Normal"/>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paragraph" w:customStyle="1" w:styleId="135">
    <w:name w:val="_Style 132"/>
    <w:unhideWhenUsed/>
    <w:qFormat/>
    <w:uiPriority w:val="99"/>
    <w:rPr>
      <w:rFonts w:ascii="Times New Roman" w:hAnsi="Times New Roman" w:eastAsia="宋体" w:cs="Times New Roman"/>
      <w:kern w:val="2"/>
      <w:sz w:val="21"/>
      <w:szCs w:val="24"/>
      <w:lang w:val="en-US" w:eastAsia="zh-CN" w:bidi="ar-SA"/>
    </w:rPr>
  </w:style>
  <w:style w:type="character" w:customStyle="1" w:styleId="136">
    <w:name w:val="NormalCharacter"/>
    <w:qFormat/>
    <w:uiPriority w:val="0"/>
    <w:rPr>
      <w:rFonts w:ascii="Calibri" w:hAnsi="Calibri"/>
      <w:kern w:val="2"/>
      <w:sz w:val="21"/>
      <w:szCs w:val="24"/>
      <w:lang w:val="en-US" w:eastAsia="zh-CN" w:bidi="ar-SA"/>
    </w:rPr>
  </w:style>
  <w:style w:type="character" w:customStyle="1" w:styleId="137">
    <w:name w:val="hover"/>
    <w:basedOn w:val="50"/>
    <w:qFormat/>
    <w:uiPriority w:val="0"/>
    <w:rPr>
      <w:color w:val="2590EB"/>
    </w:rPr>
  </w:style>
  <w:style w:type="character" w:customStyle="1" w:styleId="138">
    <w:name w:val="hover1"/>
    <w:basedOn w:val="50"/>
    <w:qFormat/>
    <w:uiPriority w:val="0"/>
    <w:rPr>
      <w:color w:val="2590EB"/>
    </w:rPr>
  </w:style>
  <w:style w:type="character" w:customStyle="1" w:styleId="139">
    <w:name w:val="hover2"/>
    <w:basedOn w:val="50"/>
    <w:qFormat/>
    <w:uiPriority w:val="0"/>
  </w:style>
  <w:style w:type="character" w:customStyle="1" w:styleId="140">
    <w:name w:val="hover3"/>
    <w:basedOn w:val="50"/>
    <w:qFormat/>
    <w:uiPriority w:val="0"/>
  </w:style>
  <w:style w:type="paragraph" w:customStyle="1" w:styleId="141">
    <w:name w:val="qowt-stl-pa-1"/>
    <w:basedOn w:val="1"/>
    <w:qFormat/>
    <w:uiPriority w:val="0"/>
    <w:pPr>
      <w:widowControl/>
      <w:spacing w:before="100" w:beforeAutospacing="1" w:after="100" w:afterAutospacing="1"/>
      <w:jc w:val="left"/>
    </w:pPr>
    <w:rPr>
      <w:rFonts w:ascii="宋体" w:hAnsi="宋体" w:cs="宋体"/>
      <w:color w:val="auto"/>
      <w:sz w:val="24"/>
    </w:rPr>
  </w:style>
  <w:style w:type="character" w:customStyle="1" w:styleId="142">
    <w:name w:val="font81"/>
    <w:qFormat/>
    <w:uiPriority w:val="0"/>
    <w:rPr>
      <w:rFonts w:hint="default" w:ascii="Tahoma" w:hAnsi="Tahoma" w:eastAsia="Tahoma" w:cs="Tahoma"/>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89</Pages>
  <Words>3830</Words>
  <Characters>4428</Characters>
  <Lines>72</Lines>
  <Paragraphs>97</Paragraphs>
  <TotalTime>26</TotalTime>
  <ScaleCrop>false</ScaleCrop>
  <LinksUpToDate>false</LinksUpToDate>
  <CharactersWithSpaces>4531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2023-09-28T06:37:00Z</dcterms:created>
  <dc:creator>吃不饱先生</dc:creator>
  <cp:lastModifiedBy>Administrator</cp:lastModifiedBy>
  <cp:lastPrinted>2024-11-20T13:15:00Z</cp:lastPrinted>
  <dcterms:modified xsi:type="dcterms:W3CDTF">2024-12-18T08:58:13Z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F6F8789371B94ECE92BC08A785E63A10_13</vt:lpwstr>
  </property>
  <property fmtid="{D5CDD505-2E9C-101B-9397-08002B2CF9AE}" pid="4" name="commondata">
    <vt:lpwstr>eyJoZGlkIjoiN2ZiZjUyYTc5YzM4OTI2MGM5Mzg0NzRlMzgyMzk0ODEifQ==</vt:lpwstr>
  </property>
</Properties>
</file>