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2C0F8">
      <w:pPr>
        <w:pStyle w:val="2"/>
        <w:numPr>
          <w:ilvl w:val="0"/>
          <w:numId w:val="2"/>
        </w:numPr>
        <w:ind w:left="575" w:hanging="575"/>
      </w:pPr>
      <w:r>
        <w:rPr>
          <w:rFonts w:hint="eastAsia"/>
        </w:rPr>
        <w:t>总体服务需求</w:t>
      </w:r>
    </w:p>
    <w:p w14:paraId="2AED7F20">
      <w:pPr>
        <w:ind w:firstLine="460"/>
        <w:rPr>
          <w:rFonts w:ascii="仿宋" w:hAnsi="仿宋" w:eastAsia="仿宋" w:cs="仿宋"/>
          <w:szCs w:val="24"/>
        </w:rPr>
      </w:pPr>
      <w:r>
        <w:rPr>
          <w:rFonts w:ascii="PingFang-SC-Regular" w:hAnsi="PingFang-SC-Regular"/>
          <w:color w:val="06071F"/>
          <w:sz w:val="23"/>
          <w:szCs w:val="23"/>
          <w:shd w:val="clear" w:color="auto" w:fill="FDFDFE"/>
        </w:rPr>
        <w:t>在本项目软件服务采购中，</w:t>
      </w:r>
      <w:r>
        <w:rPr>
          <w:rFonts w:hint="eastAsia" w:ascii="PingFang-SC-Regular" w:hAnsi="PingFang-SC-Regular"/>
          <w:color w:val="06071F"/>
          <w:sz w:val="23"/>
          <w:szCs w:val="23"/>
          <w:shd w:val="clear" w:color="auto" w:fill="FDFDFE"/>
        </w:rPr>
        <w:t>服务提供</w:t>
      </w:r>
      <w:r>
        <w:rPr>
          <w:rFonts w:ascii="PingFang-SC-Regular" w:hAnsi="PingFang-SC-Regular"/>
          <w:color w:val="06071F"/>
          <w:sz w:val="23"/>
          <w:szCs w:val="23"/>
          <w:shd w:val="clear" w:color="auto" w:fill="FDFDFE"/>
        </w:rPr>
        <w:t>方须严格遵守中华人民共和国相关法律法规及地方性知识产权保护规定，确保提供的全部软件产品、开发工具及第三方插件均为正版且获得合法授权，不存在任何侵犯知识产权的情形；若因服务方使用盗版软件、非法授权组件或侵犯第三方知识产权导致本校遭受行政处罚、司法纠纷、经济损失或声誉损害，服务方须独立承担全部法律责任及经济赔偿义务，</w:t>
      </w:r>
      <w:bookmarkStart w:id="1" w:name="_GoBack"/>
      <w:bookmarkEnd w:id="1"/>
      <w:r>
        <w:rPr>
          <w:rFonts w:ascii="PingFang-SC-Regular" w:hAnsi="PingFang-SC-Regular"/>
          <w:color w:val="06071F"/>
          <w:sz w:val="23"/>
          <w:szCs w:val="23"/>
          <w:shd w:val="clear" w:color="auto" w:fill="FDFDFE"/>
        </w:rPr>
        <w:t>赔偿范围包括但不限于学校直接损失、间接损失、维权成本及合理律师费用，同时本校有权单方解除合同并追究其违约责任，服务方不得以任何理由主张减免或延迟履行赔偿责任。</w:t>
      </w:r>
    </w:p>
    <w:p w14:paraId="3BBBDA2A">
      <w:pPr>
        <w:pStyle w:val="2"/>
        <w:numPr>
          <w:ilvl w:val="0"/>
          <w:numId w:val="2"/>
        </w:numPr>
        <w:ind w:left="575" w:hanging="575"/>
      </w:pPr>
      <w:r>
        <w:rPr>
          <w:rFonts w:hint="eastAsia"/>
        </w:rPr>
        <w:t>具体服务需求</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670"/>
        <w:gridCol w:w="4915"/>
        <w:gridCol w:w="549"/>
        <w:gridCol w:w="605"/>
        <w:gridCol w:w="1251"/>
      </w:tblGrid>
      <w:tr w14:paraId="27DB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vAlign w:val="center"/>
          </w:tcPr>
          <w:p w14:paraId="30AD41BE">
            <w:pPr>
              <w:widowControl/>
              <w:adjustRightInd w:val="0"/>
              <w:snapToGrid w:val="0"/>
              <w:ind w:firstLine="0" w:firstLineChars="0"/>
              <w:jc w:val="center"/>
              <w:rPr>
                <w:rFonts w:ascii="仿宋" w:hAnsi="仿宋" w:eastAsia="仿宋" w:cs="仿宋"/>
                <w:b/>
                <w:bCs/>
                <w:sz w:val="21"/>
                <w:szCs w:val="21"/>
              </w:rPr>
            </w:pPr>
            <w:r>
              <w:rPr>
                <w:rFonts w:hint="eastAsia" w:ascii="仿宋" w:hAnsi="仿宋" w:eastAsia="仿宋" w:cs="仿宋"/>
                <w:b/>
                <w:bCs/>
                <w:kern w:val="0"/>
                <w:sz w:val="21"/>
                <w:szCs w:val="21"/>
                <w:lang w:bidi="ar"/>
              </w:rPr>
              <w:t>序号</w:t>
            </w:r>
          </w:p>
        </w:tc>
        <w:tc>
          <w:tcPr>
            <w:tcW w:w="393" w:type="pct"/>
            <w:vAlign w:val="center"/>
          </w:tcPr>
          <w:p w14:paraId="01BFF09E">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功能模块</w:t>
            </w:r>
          </w:p>
        </w:tc>
        <w:tc>
          <w:tcPr>
            <w:tcW w:w="2884" w:type="pct"/>
            <w:vAlign w:val="center"/>
          </w:tcPr>
          <w:p w14:paraId="3B7E81AA">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功能内容描述</w:t>
            </w:r>
          </w:p>
        </w:tc>
        <w:tc>
          <w:tcPr>
            <w:tcW w:w="322" w:type="pct"/>
            <w:vAlign w:val="center"/>
          </w:tcPr>
          <w:p w14:paraId="7F412D4C">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数量</w:t>
            </w:r>
          </w:p>
        </w:tc>
        <w:tc>
          <w:tcPr>
            <w:tcW w:w="355" w:type="pct"/>
            <w:vAlign w:val="center"/>
          </w:tcPr>
          <w:p w14:paraId="0273CBF4">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单位</w:t>
            </w:r>
          </w:p>
        </w:tc>
        <w:tc>
          <w:tcPr>
            <w:tcW w:w="734" w:type="pct"/>
            <w:vAlign w:val="center"/>
          </w:tcPr>
          <w:p w14:paraId="2F63EF30">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单价</w:t>
            </w:r>
          </w:p>
        </w:tc>
      </w:tr>
      <w:tr w14:paraId="09D7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vAlign w:val="center"/>
          </w:tcPr>
          <w:p w14:paraId="35E03584">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w:t>
            </w:r>
          </w:p>
        </w:tc>
        <w:tc>
          <w:tcPr>
            <w:tcW w:w="393" w:type="pct"/>
            <w:vAlign w:val="center"/>
          </w:tcPr>
          <w:p w14:paraId="7571DD8B">
            <w:pPr>
              <w:widowControl/>
              <w:adjustRightInd w:val="0"/>
              <w:snapToGrid w:val="0"/>
              <w:ind w:firstLine="0" w:firstLineChars="0"/>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智慧大脑平台接口对接及接口开发服务</w:t>
            </w:r>
          </w:p>
        </w:tc>
        <w:tc>
          <w:tcPr>
            <w:tcW w:w="2884" w:type="pct"/>
            <w:vAlign w:val="center"/>
          </w:tcPr>
          <w:p w14:paraId="2C4D2079">
            <w:pPr>
              <w:widowControl/>
              <w:numPr>
                <w:ilvl w:val="0"/>
                <w:numId w:val="3"/>
              </w:numPr>
              <w:adjustRightInd w:val="0"/>
              <w:snapToGrid w:val="0"/>
              <w:ind w:firstLine="0" w:firstLineChars="0"/>
              <w:jc w:val="left"/>
              <w:rPr>
                <w:sz w:val="21"/>
                <w:szCs w:val="21"/>
              </w:rPr>
            </w:pPr>
            <w:r>
              <w:rPr>
                <w:rFonts w:hint="eastAsia" w:ascii="仿宋" w:hAnsi="仿宋" w:eastAsia="仿宋" w:cs="仿宋"/>
                <w:b/>
                <w:bCs/>
                <w:color w:val="auto"/>
                <w:kern w:val="0"/>
                <w:sz w:val="21"/>
                <w:szCs w:val="21"/>
                <w:shd w:val="clear" w:color="auto" w:fill="auto"/>
                <w:lang w:bidi="ar"/>
              </w:rPr>
              <w:t>智慧大脑平台是教育部推动教育数字化转型的核心工程项目，遵循教育部政策文件指导要求中职学校有序接入中台，形成常态化数据治理机制，</w:t>
            </w:r>
            <w:r>
              <w:rPr>
                <w:rFonts w:hint="eastAsia" w:ascii="仿宋" w:hAnsi="仿宋" w:eastAsia="仿宋" w:cs="仿宋"/>
                <w:b/>
                <w:bCs/>
                <w:kern w:val="0"/>
                <w:sz w:val="21"/>
                <w:szCs w:val="21"/>
                <w:lang w:bidi="ar"/>
              </w:rPr>
              <w:t>按照教育部下发的《</w:t>
            </w:r>
            <w:bookmarkStart w:id="0" w:name="OLE_LINK1"/>
            <w:r>
              <w:rPr>
                <w:rFonts w:hint="eastAsia" w:ascii="仿宋" w:hAnsi="仿宋" w:eastAsia="仿宋" w:cs="仿宋"/>
                <w:b/>
                <w:bCs/>
                <w:kern w:val="0"/>
                <w:sz w:val="21"/>
                <w:szCs w:val="21"/>
                <w:lang w:bidi="ar"/>
              </w:rPr>
              <w:t>全国职业教育智慧大脑院校中台</w:t>
            </w:r>
            <w:bookmarkEnd w:id="0"/>
            <w:r>
              <w:rPr>
                <w:rFonts w:ascii="仿宋" w:hAnsi="仿宋" w:eastAsia="仿宋" w:cs="仿宋"/>
                <w:b/>
                <w:bCs/>
                <w:kern w:val="0"/>
                <w:sz w:val="21"/>
                <w:szCs w:val="21"/>
                <w:lang w:bidi="ar"/>
              </w:rPr>
              <w:t xml:space="preserve"> </w:t>
            </w:r>
            <w:r>
              <w:rPr>
                <w:rFonts w:hint="eastAsia" w:ascii="仿宋" w:hAnsi="仿宋" w:eastAsia="仿宋" w:cs="仿宋"/>
                <w:b/>
                <w:bCs/>
                <w:kern w:val="0"/>
                <w:sz w:val="21"/>
                <w:szCs w:val="21"/>
                <w:lang w:bidi="ar"/>
              </w:rPr>
              <w:t>中职数据标准及接口规范》的数据对接技术规范要求需要对用户授权接口、用户授权</w:t>
            </w:r>
            <w:r>
              <w:rPr>
                <w:rFonts w:ascii="仿宋" w:hAnsi="仿宋" w:eastAsia="仿宋" w:cs="仿宋"/>
                <w:b/>
                <w:bCs/>
                <w:kern w:val="0"/>
                <w:sz w:val="21"/>
                <w:szCs w:val="21"/>
                <w:lang w:bidi="ar"/>
              </w:rPr>
              <w:t>token</w:t>
            </w:r>
            <w:r>
              <w:rPr>
                <w:rFonts w:hint="eastAsia" w:ascii="仿宋" w:hAnsi="仿宋" w:eastAsia="仿宋" w:cs="仿宋"/>
                <w:b/>
                <w:bCs/>
                <w:kern w:val="0"/>
                <w:sz w:val="21"/>
                <w:szCs w:val="21"/>
                <w:lang w:bidi="ar"/>
              </w:rPr>
              <w:t>刷新接口、数据上报接口、数据上报结果查询、数据增量采集接口、增量数据上报查询接口等进行接口调试，具体业务对接内容包含学校基本数据、校区基本数据、课程信息数据、实习基础数据、实习报告记录数据、教材基本数据、排课数据、学生选课数据、网络课程在线学习记录数据、课堂互动数据、校内实训基地数据、校外实训基地数据、实训室基本数据、实训项目数据、实训教学过程数据、教学质量与评价数据、巡课数据、数字资源基本数据、计划课程数据、教室基本数据、教室视频流数据、教师画像数据、资质证书数据、教师学习进修数据、教师考核数据、学生画像数据、文化基础课成绩数据、学生技能证书数据、综合成绩与评价数据、心理咨询记录数据、奖助贷申请数据、参加社团活动数据、毕业去向（升学）数据、毕业去向（就业）数据、毕业去向（未就业）数据、党组织建设数据、党员发展数据子类、党员干部学习数据、党课数据、三会数据、党员日常活动数据、党员主题党日数据、德育活动数据、学生消费数据、一卡通认证数据、在线事务办理数据、校园动态信息数据、校内赛事活动数据、网络安全管理数据子类、校本数据中心数据集成情况数据、数据标准与信息系统映射关系数据、信息化系统集成情况数据、统一用户认证登录数据这53个登记采集表数据表单进行接口配置开发推送上报至数据大脑系统。</w:t>
            </w:r>
          </w:p>
          <w:p w14:paraId="25E388EB">
            <w:pPr>
              <w:widowControl/>
              <w:numPr>
                <w:ilvl w:val="0"/>
                <w:numId w:val="3"/>
              </w:numPr>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数据对接接口开发规范：</w:t>
            </w:r>
          </w:p>
          <w:p w14:paraId="25085360">
            <w:pPr>
              <w:pStyle w:val="2"/>
              <w:numPr>
                <w:ilvl w:val="1"/>
                <w:numId w:val="0"/>
              </w:numPr>
              <w:ind w:firstLine="422" w:firstLineChars="200"/>
              <w:rPr>
                <w:rFonts w:ascii="仿宋" w:hAnsi="仿宋" w:eastAsia="仿宋" w:cs="仿宋"/>
                <w:kern w:val="0"/>
                <w:sz w:val="21"/>
                <w:szCs w:val="21"/>
                <w:lang w:bidi="ar"/>
              </w:rPr>
            </w:pPr>
            <w:r>
              <w:rPr>
                <w:rFonts w:hint="eastAsia" w:ascii="仿宋" w:hAnsi="仿宋" w:eastAsia="仿宋" w:cs="仿宋"/>
                <w:kern w:val="0"/>
                <w:sz w:val="21"/>
                <w:szCs w:val="21"/>
                <w:lang w:bidi="ar"/>
              </w:rPr>
              <w:t>1.接口调用方式：</w:t>
            </w:r>
          </w:p>
          <w:p w14:paraId="4B733F99">
            <w:pPr>
              <w:pStyle w:val="2"/>
              <w:numPr>
                <w:ilvl w:val="0"/>
                <w:numId w:val="4"/>
              </w:numPr>
              <w:ind w:firstLine="422" w:firstLineChars="200"/>
              <w:rPr>
                <w:rFonts w:ascii="仿宋" w:hAnsi="仿宋" w:eastAsia="仿宋" w:cs="仿宋"/>
                <w:kern w:val="0"/>
                <w:sz w:val="21"/>
                <w:szCs w:val="21"/>
                <w:lang w:bidi="ar"/>
              </w:rPr>
            </w:pPr>
            <w:r>
              <w:rPr>
                <w:rFonts w:hint="eastAsia" w:ascii="仿宋" w:hAnsi="仿宋" w:eastAsia="仿宋" w:cs="仿宋"/>
                <w:kern w:val="0"/>
                <w:sz w:val="21"/>
                <w:szCs w:val="21"/>
                <w:lang w:bidi="ar"/>
              </w:rPr>
              <w:t>接口授权：每次上报数据前，需调用用户授权接口，获取 app_key 和 app_secret，用作接口鉴权。一次完整数据上报，获取一次即可。</w:t>
            </w:r>
          </w:p>
          <w:p w14:paraId="1F5BB37D">
            <w:pPr>
              <w:pStyle w:val="2"/>
              <w:numPr>
                <w:ilvl w:val="0"/>
                <w:numId w:val="4"/>
              </w:numPr>
              <w:ind w:firstLine="422" w:firstLineChars="200"/>
              <w:rPr>
                <w:rFonts w:ascii="仿宋" w:hAnsi="仿宋" w:eastAsia="仿宋" w:cs="仿宋"/>
                <w:kern w:val="0"/>
                <w:sz w:val="21"/>
                <w:szCs w:val="21"/>
                <w:lang w:bidi="ar"/>
              </w:rPr>
            </w:pPr>
            <w:r>
              <w:rPr>
                <w:rFonts w:hint="eastAsia" w:ascii="仿宋" w:hAnsi="仿宋" w:eastAsia="仿宋" w:cs="仿宋"/>
                <w:kern w:val="0"/>
                <w:sz w:val="21"/>
                <w:szCs w:val="21"/>
                <w:lang w:bidi="ar"/>
              </w:rPr>
              <w:t>接口调用- 请求体（BODY）：将接口参数值封装为 JSON 字符串，使用app_secret 对 JSON 字符串进行加密，对密文重新封装为JSONObject，以 cipherText 为键，以密文为值。SM4 加密算法。</w:t>
            </w:r>
          </w:p>
          <w:p w14:paraId="1C019343">
            <w:pPr>
              <w:pStyle w:val="2"/>
              <w:numPr>
                <w:ilvl w:val="0"/>
                <w:numId w:val="4"/>
              </w:numPr>
              <w:ind w:firstLine="422" w:firstLineChars="200"/>
              <w:rPr>
                <w:rFonts w:ascii="仿宋" w:hAnsi="仿宋" w:eastAsia="仿宋" w:cs="仿宋"/>
                <w:kern w:val="0"/>
                <w:sz w:val="21"/>
                <w:szCs w:val="21"/>
                <w:lang w:bidi="ar"/>
              </w:rPr>
            </w:pPr>
            <w:r>
              <w:rPr>
                <w:rFonts w:hint="eastAsia" w:ascii="仿宋" w:hAnsi="仿宋" w:eastAsia="仿宋" w:cs="仿宋"/>
                <w:kern w:val="0"/>
                <w:sz w:val="21"/>
                <w:szCs w:val="21"/>
                <w:lang w:bidi="ar"/>
              </w:rPr>
              <w:t>接口调用-请求头（Header）：调用接口时，需要将 app_key 参数写入请求头（Header）中，后端服务获取请求头中的 app_key 参数值，进行授权校验。校验不通过的情况：请求头中 app_key参数不存在；app_key 参数值处于未授权状态。</w:t>
            </w:r>
          </w:p>
          <w:p w14:paraId="037B2472">
            <w:pPr>
              <w:pStyle w:val="2"/>
              <w:numPr>
                <w:ilvl w:val="0"/>
                <w:numId w:val="4"/>
              </w:numPr>
              <w:ind w:firstLine="422" w:firstLineChars="200"/>
              <w:rPr>
                <w:rFonts w:ascii="仿宋" w:hAnsi="仿宋" w:eastAsia="仿宋" w:cs="仿宋"/>
                <w:kern w:val="0"/>
                <w:sz w:val="21"/>
                <w:szCs w:val="21"/>
                <w:lang w:bidi="ar"/>
              </w:rPr>
            </w:pPr>
            <w:r>
              <w:rPr>
                <w:rFonts w:hint="eastAsia" w:ascii="仿宋" w:hAnsi="仿宋" w:eastAsia="仿宋" w:cs="仿宋"/>
                <w:kern w:val="0"/>
                <w:sz w:val="21"/>
                <w:szCs w:val="21"/>
                <w:lang w:bidi="ar"/>
              </w:rPr>
              <w:t>接口请求数据签名规则：调用接口前，需要使用 Body 中加密前的上报数据 JSON 字符串，以及 timestamps、random参数值拼接成字符串进行 SM3（摘要算法）加密，形成 sign 参数值。</w:t>
            </w:r>
          </w:p>
          <w:p w14:paraId="2631D83F">
            <w:pPr>
              <w:pStyle w:val="2"/>
              <w:numPr>
                <w:ilvl w:val="1"/>
                <w:numId w:val="0"/>
              </w:numPr>
              <w:ind w:firstLine="422" w:firstLineChars="200"/>
              <w:rPr>
                <w:rFonts w:ascii="仿宋" w:hAnsi="仿宋" w:eastAsia="仿宋" w:cs="仿宋"/>
                <w:kern w:val="0"/>
                <w:sz w:val="21"/>
                <w:szCs w:val="21"/>
                <w:lang w:bidi="ar"/>
              </w:rPr>
            </w:pPr>
            <w:r>
              <w:rPr>
                <w:rFonts w:hint="eastAsia" w:ascii="仿宋" w:hAnsi="仿宋" w:eastAsia="仿宋" w:cs="仿宋"/>
                <w:kern w:val="0"/>
                <w:sz w:val="21"/>
                <w:szCs w:val="21"/>
                <w:lang w:bidi="ar"/>
              </w:rPr>
              <w:t>2.接口调用规范：数据对接接口调用规范包含用户授权接口、用户授权令牌刷新接口、数据上报接口、数据教育部教育管理信息中心上报结果查询接口等 4 个数据上报接口，明确了接口请求方式、输入参数描述、输入参数示例、输出参数描述、输出参数示例等内容。</w:t>
            </w:r>
          </w:p>
          <w:p w14:paraId="6141B084">
            <w:pPr>
              <w:widowControl/>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3、数据接口设置：</w:t>
            </w:r>
          </w:p>
          <w:p w14:paraId="301DAAAB">
            <w:pPr>
              <w:ind w:firstLine="420"/>
              <w:rPr>
                <w:rFonts w:ascii="仿宋" w:hAnsi="仿宋" w:eastAsia="仿宋" w:cs="仿宋"/>
                <w:b/>
                <w:bCs/>
                <w:kern w:val="0"/>
                <w:sz w:val="21"/>
                <w:szCs w:val="21"/>
                <w:lang w:bidi="ar"/>
              </w:rPr>
            </w:pPr>
            <w:r>
              <w:rPr>
                <w:rFonts w:hint="eastAsia" w:ascii="仿宋" w:hAnsi="仿宋" w:eastAsia="仿宋" w:cs="仿宋"/>
                <w:sz w:val="21"/>
                <w:szCs w:val="21"/>
              </w:rPr>
              <w:t>▲</w:t>
            </w:r>
            <w:r>
              <w:rPr>
                <w:rFonts w:hint="eastAsia" w:ascii="仿宋" w:hAnsi="仿宋" w:eastAsia="仿宋" w:cs="仿宋"/>
                <w:b/>
                <w:bCs/>
                <w:kern w:val="0"/>
                <w:sz w:val="21"/>
                <w:szCs w:val="21"/>
                <w:lang w:bidi="ar"/>
              </w:rPr>
              <w:t>1.大脑定时任务：可通过活动状态（全部、开启、关闭）、模糊查询进行筛选过滤查询所需定时任务信息；支持进行编辑、新建数据表，可对数据表码、数据表名、状态、sql语句、备注等信息进行维护；支持对定时任务进行关闭、上传数据、查询、查看操作记录；支持对定时任务进行批量开启、批量关闭、批量删除、一键上传、一键查询。</w:t>
            </w:r>
          </w:p>
          <w:p w14:paraId="327537F6">
            <w:r>
              <w:rPr>
                <w:rFonts w:hint="eastAsia" w:ascii="仿宋" w:hAnsi="仿宋" w:eastAsia="仿宋" w:cs="仿宋"/>
                <w:b/>
                <w:bCs/>
                <w:kern w:val="0"/>
                <w:sz w:val="21"/>
                <w:szCs w:val="21"/>
                <w:lang w:bidi="ar"/>
              </w:rPr>
              <w:t>▲2.接口参数设置：智慧大脑配置支持对智慧大脑的启用状态、Username、Password、AppKey、grantType、clientId进行设置；支持对配置接口的授权接口、令牌刷新接口、上传接口、查询接口进行设置。</w:t>
            </w:r>
          </w:p>
          <w:p w14:paraId="30AF00C6">
            <w:pPr>
              <w:widowControl/>
              <w:adjustRightInd w:val="0"/>
              <w:snapToGrid w:val="0"/>
              <w:ind w:firstLine="0" w:firstLineChars="0"/>
              <w:jc w:val="left"/>
              <w:rPr>
                <w:sz w:val="21"/>
                <w:szCs w:val="21"/>
              </w:rPr>
            </w:pPr>
            <w:r>
              <w:rPr>
                <w:rFonts w:hint="eastAsia" w:ascii="宋体" w:hAnsi="宋体" w:cs="宋体"/>
                <w:b/>
                <w:bCs/>
                <w:sz w:val="21"/>
                <w:szCs w:val="21"/>
              </w:rPr>
              <w:t>★</w:t>
            </w:r>
            <w:r>
              <w:rPr>
                <w:rFonts w:hint="eastAsia" w:ascii="仿宋" w:hAnsi="仿宋" w:eastAsia="仿宋" w:cs="仿宋"/>
                <w:b/>
                <w:bCs/>
                <w:kern w:val="0"/>
                <w:sz w:val="21"/>
                <w:szCs w:val="21"/>
                <w:lang w:bidi="ar"/>
              </w:rPr>
              <w:t>3、数据对接服务：需与现有智慧校园平台的基础平台（统一身份认证平台、统一信息门户平台）、人事管理系统、办公自动化软件、教务管理系统、学生管理系统、资产管理系统、收费管理软件、学生德育管理系统、实习管理系统、师德师风考评、招生迎新系统、教学整改系统、升学管理系统进行对接，以获取上传智慧大脑的表单数据。（供应商必须提供可以与学校现有基础平台（统一身份认证平台、统一信息门户平台）、人事管理系统、办公自动化软件、教务管理系统、学生管理系统、资产管理系统、收费管理软件、学生德育管理系统、实习管理系统、师德师风考评、招生迎新系统、教学整改系统、升学管理系统进行对接的开发对接服务及费用自行承担的承诺函【格式自拟】））</w:t>
            </w:r>
          </w:p>
        </w:tc>
        <w:tc>
          <w:tcPr>
            <w:tcW w:w="322" w:type="pct"/>
            <w:vAlign w:val="center"/>
          </w:tcPr>
          <w:p w14:paraId="55F0AFF5">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w:t>
            </w:r>
          </w:p>
        </w:tc>
        <w:tc>
          <w:tcPr>
            <w:tcW w:w="355" w:type="pct"/>
            <w:vAlign w:val="center"/>
          </w:tcPr>
          <w:p w14:paraId="0D9B30CF">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项</w:t>
            </w:r>
          </w:p>
        </w:tc>
        <w:tc>
          <w:tcPr>
            <w:tcW w:w="734" w:type="pct"/>
            <w:vAlign w:val="center"/>
          </w:tcPr>
          <w:p w14:paraId="15AC30C5">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w:t>
            </w:r>
            <w:r>
              <w:rPr>
                <w:rFonts w:ascii="仿宋" w:hAnsi="仿宋" w:eastAsia="仿宋" w:cs="仿宋"/>
                <w:b/>
                <w:bCs/>
                <w:kern w:val="0"/>
                <w:sz w:val="21"/>
                <w:szCs w:val="21"/>
                <w:lang w:bidi="ar"/>
              </w:rPr>
              <w:t>05</w:t>
            </w:r>
            <w:r>
              <w:rPr>
                <w:rFonts w:hint="eastAsia" w:ascii="仿宋" w:hAnsi="仿宋" w:eastAsia="仿宋" w:cs="仿宋"/>
                <w:b/>
                <w:bCs/>
                <w:kern w:val="0"/>
                <w:sz w:val="21"/>
                <w:szCs w:val="21"/>
                <w:lang w:bidi="ar"/>
              </w:rPr>
              <w:t>000.00</w:t>
            </w:r>
          </w:p>
        </w:tc>
      </w:tr>
      <w:tr w14:paraId="7D06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vAlign w:val="center"/>
          </w:tcPr>
          <w:p w14:paraId="33CFE1E6">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w:t>
            </w:r>
          </w:p>
        </w:tc>
        <w:tc>
          <w:tcPr>
            <w:tcW w:w="393" w:type="pct"/>
            <w:vAlign w:val="center"/>
          </w:tcPr>
          <w:p w14:paraId="491A04E1">
            <w:pPr>
              <w:widowControl/>
              <w:adjustRightInd w:val="0"/>
              <w:snapToGrid w:val="0"/>
              <w:ind w:firstLine="0" w:firstLineChars="0"/>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数据大脑采集平台实施服务</w:t>
            </w:r>
          </w:p>
        </w:tc>
        <w:tc>
          <w:tcPr>
            <w:tcW w:w="2884" w:type="pct"/>
            <w:vAlign w:val="center"/>
          </w:tcPr>
          <w:p w14:paraId="0639FACB">
            <w:pPr>
              <w:widowControl/>
              <w:numPr>
                <w:ilvl w:val="0"/>
                <w:numId w:val="5"/>
              </w:numPr>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把学校基本数据、实习报告记录数据、教材基本数据、网络课程在线学习记录数据、课堂互动数据、校内实训基地数据、校外实训基地数据、实训室基本数据、实训项目数据、实训教学过程数据、巡课数据、数字资源基本数据、计划课程数据、教室基本数据、教室视频流数据、教师学习进修数据、文化基础课成绩数据、学生技能证书数据、综合成绩与评价数据、心理咨询记录数据、奖助贷申请数据、参加社团活动数据、毕业去向（就业）数据、毕业去向（未就业）数据、党课数据、三会数据、党员日常活动数据、党员主题党日数据、德育活动数据、校内赛事活动数据、网络安全管理数据子类、信息化系统集成情况数据这32个数据子类形成登记采集表。</w:t>
            </w:r>
          </w:p>
          <w:p w14:paraId="7956E30F">
            <w:pPr>
              <w:widowControl/>
              <w:numPr>
                <w:ilvl w:val="0"/>
                <w:numId w:val="5"/>
              </w:numPr>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基本信息：</w:t>
            </w:r>
          </w:p>
          <w:p w14:paraId="1551A1D3">
            <w:pPr>
              <w:widowControl/>
              <w:adjustRightInd w:val="0"/>
              <w:snapToGrid w:val="0"/>
              <w:ind w:firstLine="422"/>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1.采集任务：在对基本信息前需先建采集任务，支持对采集任务的年份、学期、名称、开始日期、结束日期、备注进行维护。</w:t>
            </w:r>
          </w:p>
          <w:p w14:paraId="77B9DA5D">
            <w:pPr>
              <w:widowControl/>
              <w:adjustRightInd w:val="0"/>
              <w:snapToGrid w:val="0"/>
              <w:ind w:firstLine="422"/>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▲2.名称：可对采集名称进行维护，支持对采集任务、学校标识码、学校名称（全称）、所在地区、所在城市、当前校名启用日期、建校日期、建校基础、</w:t>
            </w:r>
            <w:r>
              <w:rPr>
                <w:rFonts w:ascii="仿宋" w:hAnsi="仿宋" w:eastAsia="仿宋" w:cs="仿宋"/>
                <w:b/>
                <w:bCs/>
                <w:kern w:val="0"/>
                <w:sz w:val="21"/>
                <w:szCs w:val="21"/>
                <w:lang w:bidi="ar"/>
              </w:rPr>
              <w:t>学校举办者</w:t>
            </w:r>
            <w:r>
              <w:rPr>
                <w:rFonts w:hint="eastAsia" w:ascii="仿宋" w:hAnsi="仿宋" w:eastAsia="仿宋" w:cs="仿宋"/>
                <w:b/>
                <w:bCs/>
                <w:kern w:val="0"/>
                <w:sz w:val="21"/>
                <w:szCs w:val="21"/>
                <w:lang w:bidi="ar"/>
              </w:rPr>
              <w:t>、上级主管、教学主管部门、</w:t>
            </w:r>
            <w:r>
              <w:rPr>
                <w:rFonts w:ascii="仿宋" w:hAnsi="仿宋" w:eastAsia="仿宋" w:cs="仿宋"/>
                <w:b/>
                <w:bCs/>
                <w:kern w:val="0"/>
                <w:sz w:val="21"/>
                <w:szCs w:val="21"/>
                <w:lang w:bidi="ar"/>
              </w:rPr>
              <w:t>学校性质类别</w:t>
            </w:r>
            <w:r>
              <w:rPr>
                <w:rFonts w:hint="eastAsia" w:ascii="仿宋" w:hAnsi="仿宋" w:eastAsia="仿宋" w:cs="仿宋"/>
                <w:b/>
                <w:bCs/>
                <w:kern w:val="0"/>
                <w:sz w:val="21"/>
                <w:szCs w:val="21"/>
                <w:lang w:bidi="ar"/>
              </w:rPr>
              <w:t>，示范性/重点中等职业学校的级别、</w:t>
            </w:r>
            <w:r>
              <w:rPr>
                <w:rFonts w:ascii="仿宋" w:hAnsi="仿宋" w:eastAsia="仿宋" w:cs="仿宋"/>
                <w:b/>
                <w:bCs/>
                <w:kern w:val="0"/>
                <w:sz w:val="21"/>
                <w:szCs w:val="21"/>
                <w:lang w:bidi="ar"/>
              </w:rPr>
              <w:t>立项部门</w:t>
            </w:r>
            <w:r>
              <w:rPr>
                <w:rFonts w:hint="eastAsia" w:ascii="仿宋" w:hAnsi="仿宋" w:eastAsia="仿宋" w:cs="仿宋"/>
                <w:b/>
                <w:bCs/>
                <w:kern w:val="0"/>
                <w:sz w:val="21"/>
                <w:szCs w:val="21"/>
                <w:lang w:bidi="ar"/>
              </w:rPr>
              <w:t>、立项日期等信息进行维护。</w:t>
            </w:r>
          </w:p>
          <w:p w14:paraId="2FFB2343">
            <w:pPr>
              <w:widowControl/>
              <w:adjustRightInd w:val="0"/>
              <w:snapToGrid w:val="0"/>
              <w:ind w:firstLine="422"/>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▲3.联系：可对学校的联系方式进行维护，支持对采集任务的通讯地址、</w:t>
            </w:r>
            <w:r>
              <w:rPr>
                <w:rFonts w:ascii="仿宋" w:hAnsi="仿宋" w:eastAsia="仿宋" w:cs="仿宋"/>
                <w:b/>
                <w:bCs/>
                <w:kern w:val="0"/>
                <w:sz w:val="21"/>
                <w:szCs w:val="21"/>
                <w:lang w:bidi="ar"/>
              </w:rPr>
              <w:t>邮政编码</w:t>
            </w:r>
            <w:r>
              <w:rPr>
                <w:rFonts w:hint="eastAsia" w:ascii="仿宋" w:hAnsi="仿宋" w:eastAsia="仿宋" w:cs="仿宋"/>
                <w:b/>
                <w:bCs/>
                <w:kern w:val="0"/>
                <w:sz w:val="21"/>
                <w:szCs w:val="21"/>
                <w:lang w:bidi="ar"/>
              </w:rPr>
              <w:t>、</w:t>
            </w:r>
            <w:r>
              <w:rPr>
                <w:rFonts w:ascii="仿宋" w:hAnsi="仿宋" w:eastAsia="仿宋" w:cs="仿宋"/>
                <w:b/>
                <w:bCs/>
                <w:kern w:val="0"/>
                <w:sz w:val="21"/>
                <w:szCs w:val="21"/>
                <w:lang w:bidi="ar"/>
              </w:rPr>
              <w:t>学校网址</w:t>
            </w:r>
            <w:r>
              <w:rPr>
                <w:rFonts w:hint="eastAsia" w:ascii="仿宋" w:hAnsi="仿宋" w:eastAsia="仿宋" w:cs="仿宋"/>
                <w:b/>
                <w:bCs/>
                <w:kern w:val="0"/>
                <w:sz w:val="21"/>
                <w:szCs w:val="21"/>
                <w:lang w:bidi="ar"/>
              </w:rPr>
              <w:t>，法定代表人信息的教工号、</w:t>
            </w:r>
            <w:r>
              <w:rPr>
                <w:rFonts w:ascii="仿宋" w:hAnsi="仿宋" w:eastAsia="仿宋" w:cs="仿宋"/>
                <w:b/>
                <w:bCs/>
                <w:kern w:val="0"/>
                <w:sz w:val="21"/>
                <w:szCs w:val="21"/>
                <w:lang w:bidi="ar"/>
              </w:rPr>
              <w:t>姓名</w:t>
            </w:r>
            <w:r>
              <w:rPr>
                <w:rFonts w:hint="eastAsia" w:ascii="仿宋" w:hAnsi="仿宋" w:eastAsia="仿宋" w:cs="仿宋"/>
                <w:b/>
                <w:bCs/>
                <w:kern w:val="0"/>
                <w:sz w:val="21"/>
                <w:szCs w:val="21"/>
                <w:lang w:bidi="ar"/>
              </w:rPr>
              <w:t>、性别、职务、区号—电话号码、手机号、电子邮箱，联系人信息的</w:t>
            </w:r>
            <w:r>
              <w:rPr>
                <w:rFonts w:ascii="仿宋" w:hAnsi="仿宋" w:eastAsia="仿宋" w:cs="仿宋"/>
                <w:b/>
                <w:bCs/>
                <w:kern w:val="0"/>
                <w:sz w:val="21"/>
                <w:szCs w:val="21"/>
                <w:lang w:bidi="ar"/>
              </w:rPr>
              <w:t>联系人教工号</w:t>
            </w:r>
            <w:r>
              <w:rPr>
                <w:rFonts w:hint="eastAsia" w:ascii="仿宋" w:hAnsi="仿宋" w:eastAsia="仿宋" w:cs="仿宋"/>
                <w:b/>
                <w:bCs/>
                <w:kern w:val="0"/>
                <w:sz w:val="21"/>
                <w:szCs w:val="21"/>
                <w:lang w:bidi="ar"/>
              </w:rPr>
              <w:t>、</w:t>
            </w:r>
            <w:r>
              <w:rPr>
                <w:rFonts w:ascii="仿宋" w:hAnsi="仿宋" w:eastAsia="仿宋" w:cs="仿宋"/>
                <w:b/>
                <w:bCs/>
                <w:kern w:val="0"/>
                <w:sz w:val="21"/>
                <w:szCs w:val="21"/>
                <w:lang w:bidi="ar"/>
              </w:rPr>
              <w:t>联系人姓名</w:t>
            </w:r>
            <w:r>
              <w:rPr>
                <w:rFonts w:hint="eastAsia" w:ascii="仿宋" w:hAnsi="仿宋" w:eastAsia="仿宋" w:cs="仿宋"/>
                <w:b/>
                <w:bCs/>
                <w:kern w:val="0"/>
                <w:sz w:val="21"/>
                <w:szCs w:val="21"/>
                <w:lang w:bidi="ar"/>
              </w:rPr>
              <w:t>、联系人性别、</w:t>
            </w:r>
            <w:r>
              <w:rPr>
                <w:rFonts w:ascii="仿宋" w:hAnsi="仿宋" w:eastAsia="仿宋" w:cs="仿宋"/>
                <w:b/>
                <w:bCs/>
                <w:kern w:val="0"/>
                <w:sz w:val="21"/>
                <w:szCs w:val="21"/>
                <w:lang w:bidi="ar"/>
              </w:rPr>
              <w:t>联系人职务</w:t>
            </w:r>
            <w:r>
              <w:rPr>
                <w:rFonts w:hint="eastAsia" w:ascii="仿宋" w:hAnsi="仿宋" w:eastAsia="仿宋" w:cs="仿宋"/>
                <w:b/>
                <w:bCs/>
                <w:kern w:val="0"/>
                <w:sz w:val="21"/>
                <w:szCs w:val="21"/>
                <w:lang w:bidi="ar"/>
              </w:rPr>
              <w:t>、联系人区号—电话号码、</w:t>
            </w:r>
            <w:r>
              <w:rPr>
                <w:rFonts w:ascii="仿宋" w:hAnsi="仿宋" w:eastAsia="仿宋" w:cs="仿宋"/>
                <w:b/>
                <w:bCs/>
                <w:kern w:val="0"/>
                <w:sz w:val="21"/>
                <w:szCs w:val="21"/>
                <w:lang w:bidi="ar"/>
              </w:rPr>
              <w:t>联系人手机号</w:t>
            </w:r>
            <w:r>
              <w:rPr>
                <w:rFonts w:hint="eastAsia" w:ascii="仿宋" w:hAnsi="仿宋" w:eastAsia="仿宋" w:cs="仿宋"/>
                <w:b/>
                <w:bCs/>
                <w:kern w:val="0"/>
                <w:sz w:val="21"/>
                <w:szCs w:val="21"/>
                <w:lang w:bidi="ar"/>
              </w:rPr>
              <w:t>、联系人电子邮箱等信息进行维护。</w:t>
            </w:r>
          </w:p>
          <w:p w14:paraId="50849662">
            <w:pPr>
              <w:widowControl/>
              <w:numPr>
                <w:ilvl w:val="0"/>
                <w:numId w:val="5"/>
              </w:numPr>
              <w:adjustRightInd w:val="0"/>
              <w:snapToGrid w:val="0"/>
              <w:ind w:firstLine="0" w:firstLineChars="0"/>
              <w:jc w:val="left"/>
              <w:rPr>
                <w:sz w:val="21"/>
                <w:szCs w:val="21"/>
              </w:rPr>
            </w:pPr>
            <w:r>
              <w:rPr>
                <w:rFonts w:hint="eastAsia" w:ascii="仿宋" w:hAnsi="仿宋" w:eastAsia="仿宋" w:cs="仿宋"/>
                <w:b/>
                <w:bCs/>
                <w:kern w:val="0"/>
                <w:sz w:val="21"/>
                <w:szCs w:val="21"/>
                <w:lang w:bidi="ar"/>
              </w:rPr>
              <w:t xml:space="preserve">数据采集服务： </w:t>
            </w:r>
          </w:p>
          <w:p w14:paraId="098A0DAA">
            <w:pPr>
              <w:widowControl/>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从现有业务系统中按照数据标准规范的要求完成数据的抽取、转换和装载到数据中心的实施服务。</w:t>
            </w:r>
          </w:p>
          <w:p w14:paraId="103AE0FE">
            <w:pPr>
              <w:widowControl/>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数据采集是整个数据处理过程中的第一大步，负责从其它对接平台采集数据到数据中心，为应用分析提供源数据。数据采集支持如下方式：</w:t>
            </w:r>
          </w:p>
          <w:p w14:paraId="3DD62686">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1.确认数据源：支持的数据源需包括数据库表和文本文件。</w:t>
            </w:r>
          </w:p>
          <w:p w14:paraId="5B90A9A3">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2.抽取方法：人工抽取、工具抽取、增量抽取、全量抽取。</w:t>
            </w:r>
          </w:p>
          <w:p w14:paraId="57C8AC94">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3.抽取频率：对每个不同的数据源确定不同的抽取频率，每月、每日、每小时、每分钟等等。</w:t>
            </w:r>
          </w:p>
          <w:p w14:paraId="489185DA">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4.时间窗口：对每个数据源，表示出抽取数据的时间窗口，尽量避避开业务产品的高峰时段，可选择在夜间业务产品比较闲时进行。</w:t>
            </w:r>
          </w:p>
          <w:p w14:paraId="11C8DF1B">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5.工作顺序：决定针对不同的数据源的抽取顺序，并确定哪个数据源需要在另一个数据源抽取完成后才能抽取等</w:t>
            </w:r>
          </w:p>
          <w:p w14:paraId="6223B94B">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6.异常处理：决定如何处理无法被抽取的文件和记录。</w:t>
            </w:r>
          </w:p>
          <w:p w14:paraId="0F884BB7">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数据抽取的过程是从源端采集过来的数据中，根据一定的过滤条件（比如过滤掉重复的数据等等）和转换规则抽取其中的一部分数据到目标数据库中。数据抽取的过程如下：</w:t>
            </w:r>
          </w:p>
          <w:p w14:paraId="7ACD5A4F">
            <w:pPr>
              <w:ind w:firstLine="422"/>
              <w:rPr>
                <w:sz w:val="21"/>
                <w:szCs w:val="21"/>
              </w:rPr>
            </w:pPr>
            <w:r>
              <w:rPr>
                <w:rFonts w:hint="eastAsia" w:ascii="仿宋" w:hAnsi="仿宋" w:eastAsia="仿宋" w:cs="仿宋"/>
                <w:b/>
                <w:bCs/>
                <w:kern w:val="0"/>
                <w:sz w:val="21"/>
                <w:szCs w:val="21"/>
                <w:lang w:bidi="ar"/>
              </w:rPr>
              <w:t xml:space="preserve">建立源数据的结构映射 </w:t>
            </w:r>
            <w:r>
              <w:rPr>
                <w:rFonts w:hint="eastAsia" w:ascii="仿宋" w:hAnsi="仿宋" w:eastAsia="仿宋" w:cs="仿宋"/>
                <w:b/>
                <w:bCs/>
                <w:kern w:val="0"/>
                <w:sz w:val="21"/>
                <w:szCs w:val="21"/>
                <w:lang w:bidi="ar"/>
              </w:rPr>
              <w:sym w:font="Wingdings" w:char="F0E0"/>
            </w:r>
            <w:r>
              <w:rPr>
                <w:rFonts w:hint="eastAsia" w:ascii="仿宋" w:hAnsi="仿宋" w:eastAsia="仿宋" w:cs="仿宋"/>
                <w:b/>
                <w:bCs/>
                <w:kern w:val="0"/>
                <w:sz w:val="21"/>
                <w:szCs w:val="21"/>
                <w:lang w:bidi="ar"/>
              </w:rPr>
              <w:t xml:space="preserve"> 建立目标数据表的结构映射 </w:t>
            </w:r>
            <w:r>
              <w:rPr>
                <w:rFonts w:hint="eastAsia" w:ascii="仿宋" w:hAnsi="仿宋" w:eastAsia="仿宋" w:cs="仿宋"/>
                <w:b/>
                <w:bCs/>
                <w:kern w:val="0"/>
                <w:sz w:val="21"/>
                <w:szCs w:val="21"/>
                <w:lang w:bidi="ar"/>
              </w:rPr>
              <w:sym w:font="Wingdings" w:char="F0E0"/>
            </w:r>
            <w:r>
              <w:rPr>
                <w:rFonts w:hint="eastAsia" w:ascii="仿宋" w:hAnsi="仿宋" w:eastAsia="仿宋" w:cs="仿宋"/>
                <w:b/>
                <w:bCs/>
                <w:kern w:val="0"/>
                <w:sz w:val="21"/>
                <w:szCs w:val="21"/>
                <w:lang w:bidi="ar"/>
              </w:rPr>
              <w:t xml:space="preserve"> 针对源数据设置过滤条件 </w:t>
            </w:r>
            <w:r>
              <w:rPr>
                <w:rFonts w:hint="eastAsia" w:ascii="仿宋" w:hAnsi="仿宋" w:eastAsia="仿宋" w:cs="仿宋"/>
                <w:b/>
                <w:bCs/>
                <w:kern w:val="0"/>
                <w:sz w:val="21"/>
                <w:szCs w:val="21"/>
                <w:lang w:bidi="ar"/>
              </w:rPr>
              <w:sym w:font="Wingdings" w:char="F0E0"/>
            </w:r>
            <w:r>
              <w:rPr>
                <w:rFonts w:hint="eastAsia" w:ascii="仿宋" w:hAnsi="仿宋" w:eastAsia="仿宋" w:cs="仿宋"/>
                <w:b/>
                <w:bCs/>
                <w:kern w:val="0"/>
                <w:sz w:val="21"/>
                <w:szCs w:val="21"/>
                <w:lang w:bidi="ar"/>
              </w:rPr>
              <w:t xml:space="preserve"> 设置转换规则 </w:t>
            </w:r>
            <w:r>
              <w:rPr>
                <w:rFonts w:hint="eastAsia" w:ascii="仿宋" w:hAnsi="仿宋" w:eastAsia="仿宋" w:cs="仿宋"/>
                <w:b/>
                <w:bCs/>
                <w:kern w:val="0"/>
                <w:sz w:val="21"/>
                <w:szCs w:val="21"/>
                <w:lang w:bidi="ar"/>
              </w:rPr>
              <w:sym w:font="Wingdings" w:char="F0E0"/>
            </w:r>
            <w:r>
              <w:rPr>
                <w:rFonts w:hint="eastAsia" w:ascii="仿宋" w:hAnsi="仿宋" w:eastAsia="仿宋" w:cs="仿宋"/>
                <w:b/>
                <w:bCs/>
                <w:kern w:val="0"/>
                <w:sz w:val="21"/>
                <w:szCs w:val="21"/>
                <w:lang w:bidi="ar"/>
              </w:rPr>
              <w:t xml:space="preserve"> 建立源到目标的映射。 </w:t>
            </w:r>
          </w:p>
          <w:p w14:paraId="330E76B2">
            <w:pPr>
              <w:widowControl/>
              <w:numPr>
                <w:ilvl w:val="0"/>
                <w:numId w:val="5"/>
              </w:numPr>
              <w:adjustRightInd w:val="0"/>
              <w:snapToGrid w:val="0"/>
              <w:ind w:firstLine="0" w:firstLineChars="0"/>
              <w:jc w:val="left"/>
              <w:rPr>
                <w:sz w:val="21"/>
                <w:szCs w:val="21"/>
              </w:rPr>
            </w:pPr>
            <w:r>
              <w:rPr>
                <w:rFonts w:hint="eastAsia" w:ascii="仿宋" w:hAnsi="仿宋" w:eastAsia="仿宋" w:cs="仿宋"/>
                <w:b/>
                <w:bCs/>
                <w:kern w:val="0"/>
                <w:sz w:val="21"/>
                <w:szCs w:val="21"/>
                <w:lang w:bidi="ar"/>
              </w:rPr>
              <w:t>数据清洗转换服务：</w:t>
            </w:r>
          </w:p>
          <w:p w14:paraId="4CEC5704">
            <w:pPr>
              <w:ind w:firstLine="0" w:firstLineChars="0"/>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在将从源产品抽取的数据装载到目标数据库中之前，需要执行各种类型的转换工作。根据实际业务数据处理需要应支持如下数据清洗转换的方法：</w:t>
            </w:r>
          </w:p>
          <w:p w14:paraId="21D311D1">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1.选择(也称为过滤):这发生在数据转换最开始的部分</w:t>
            </w:r>
          </w:p>
          <w:p w14:paraId="395F3ED7">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分离/合并:一这部发生在选择操作之后，在转换过程中，经常要进行一些数据的分离操作，将原本复杂的数据结构分离为几个简单的部分，当然有时也需要进行合并操作。将原来简单的几个结构合并成更有意义的复杂的结构。</w:t>
            </w:r>
          </w:p>
          <w:p w14:paraId="15FA95A0">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3.转化：转换包括两个层面的意思，一是在数据转换中对不同源产品进行标准化；二是使一些字段对用户来说可用和可理解。</w:t>
            </w:r>
          </w:p>
          <w:p w14:paraId="494AD498">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4.汇总:有时候在数据仓库中不能以最低粒度来保存数据，因为决策层不需要分析或者查询最低粒度的数据,而更关心汇总后的结果数据。</w:t>
            </w:r>
          </w:p>
          <w:p w14:paraId="56CAB145">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5.丰富：这个步骤是对单个字段数据进行重新分配和简化的过程。</w:t>
            </w:r>
          </w:p>
          <w:p w14:paraId="38FF8D0B">
            <w:pPr>
              <w:widowControl/>
              <w:numPr>
                <w:ilvl w:val="0"/>
                <w:numId w:val="5"/>
              </w:numPr>
              <w:adjustRightInd w:val="0"/>
              <w:snapToGrid w:val="0"/>
              <w:ind w:firstLine="0" w:firstLineChars="0"/>
              <w:jc w:val="left"/>
              <w:rPr>
                <w:sz w:val="21"/>
                <w:szCs w:val="21"/>
              </w:rPr>
            </w:pPr>
            <w:r>
              <w:rPr>
                <w:rFonts w:hint="eastAsia" w:ascii="仿宋" w:hAnsi="仿宋" w:eastAsia="仿宋" w:cs="仿宋"/>
                <w:b/>
                <w:bCs/>
                <w:kern w:val="0"/>
                <w:sz w:val="21"/>
                <w:szCs w:val="21"/>
                <w:lang w:bidi="ar"/>
              </w:rPr>
              <w:t xml:space="preserve">数据模型服务： </w:t>
            </w:r>
          </w:p>
          <w:p w14:paraId="3ED2A4D4">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1.系统按照实际业务分析主题建立建立相关的数据分析模型。</w:t>
            </w:r>
          </w:p>
          <w:p w14:paraId="320A3DF2">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2.维表与事实表关系可视化配置</w:t>
            </w:r>
          </w:p>
          <w:p w14:paraId="4DF73A17">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3.通过在语义层的配置，即可建立多表关联查询、业务主题定义</w:t>
            </w:r>
          </w:p>
          <w:p w14:paraId="207C61A5">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4.业务分析模型建立：</w:t>
            </w:r>
          </w:p>
          <w:p w14:paraId="5EBAAFE3">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通过上述步骤的建模过程最终完成业务模型的定义，用户可以基于业务模型定义各种分析应用，如图表、决策报告等，如对于学生的成长分析模型的整个建立过程。</w:t>
            </w:r>
          </w:p>
          <w:p w14:paraId="3AFA731A">
            <w:pPr>
              <w:widowControl/>
              <w:numPr>
                <w:ilvl w:val="0"/>
                <w:numId w:val="5"/>
              </w:numPr>
              <w:adjustRightInd w:val="0"/>
              <w:snapToGrid w:val="0"/>
              <w:ind w:firstLine="0" w:firstLineChars="0"/>
              <w:jc w:val="left"/>
              <w:rPr>
                <w:sz w:val="21"/>
                <w:szCs w:val="21"/>
              </w:rPr>
            </w:pPr>
            <w:r>
              <w:rPr>
                <w:rFonts w:hint="eastAsia" w:ascii="仿宋" w:hAnsi="仿宋" w:eastAsia="仿宋" w:cs="仿宋"/>
                <w:b/>
                <w:bCs/>
                <w:kern w:val="0"/>
                <w:sz w:val="21"/>
                <w:szCs w:val="21"/>
                <w:lang w:bidi="ar"/>
              </w:rPr>
              <w:t xml:space="preserve">数据质量实施服务： </w:t>
            </w:r>
          </w:p>
          <w:p w14:paraId="351E8BE8">
            <w:pPr>
              <w:ind w:firstLine="422"/>
              <w:rPr>
                <w:sz w:val="21"/>
                <w:szCs w:val="21"/>
              </w:rPr>
            </w:pPr>
            <w:r>
              <w:rPr>
                <w:rFonts w:hint="eastAsia" w:ascii="仿宋" w:hAnsi="仿宋" w:eastAsia="仿宋" w:cs="仿宋"/>
                <w:b/>
                <w:bCs/>
                <w:kern w:val="0"/>
                <w:sz w:val="21"/>
                <w:szCs w:val="21"/>
                <w:lang w:bidi="ar"/>
              </w:rPr>
              <w:t>完成数据质量的逻辑处理、自动化检查、异常预警实施服务。</w:t>
            </w:r>
          </w:p>
        </w:tc>
        <w:tc>
          <w:tcPr>
            <w:tcW w:w="322" w:type="pct"/>
            <w:vAlign w:val="center"/>
          </w:tcPr>
          <w:p w14:paraId="6FEA067D">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w:t>
            </w:r>
          </w:p>
        </w:tc>
        <w:tc>
          <w:tcPr>
            <w:tcW w:w="355" w:type="pct"/>
            <w:vAlign w:val="center"/>
          </w:tcPr>
          <w:p w14:paraId="0007E6FF">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项</w:t>
            </w:r>
          </w:p>
        </w:tc>
        <w:tc>
          <w:tcPr>
            <w:tcW w:w="734" w:type="pct"/>
            <w:vAlign w:val="center"/>
          </w:tcPr>
          <w:p w14:paraId="4A35623C">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80000.00</w:t>
            </w:r>
          </w:p>
        </w:tc>
      </w:tr>
      <w:tr w14:paraId="6173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vAlign w:val="center"/>
          </w:tcPr>
          <w:p w14:paraId="79CF8A34">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w:t>
            </w:r>
          </w:p>
        </w:tc>
        <w:tc>
          <w:tcPr>
            <w:tcW w:w="393" w:type="pct"/>
            <w:vAlign w:val="center"/>
          </w:tcPr>
          <w:p w14:paraId="29F5E980">
            <w:pPr>
              <w:widowControl/>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数据大脑数据处理服务</w:t>
            </w:r>
          </w:p>
        </w:tc>
        <w:tc>
          <w:tcPr>
            <w:tcW w:w="2884" w:type="pct"/>
            <w:vAlign w:val="center"/>
          </w:tcPr>
          <w:p w14:paraId="5A0B89AC">
            <w:pPr>
              <w:widowControl/>
              <w:numPr>
                <w:ilvl w:val="0"/>
                <w:numId w:val="6"/>
              </w:numPr>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把校区基本数据、课程信息数据、实习基础数据、排课数据、学生选课数据、教学质量与评价数据、教师画像数据、资质证书数据、教师考核数据、学生画像数据、毕业去向（升学）数据、党组织建设数据、党员发展数据子类、党员干部学习数据、学生消费数据、一卡通认证数据、在线事务办理数据、校园动态信息数据、校本数据中心数据集成情况数据、数据标准与信息系统映射关系数据、统一用户认证登录数据这21个数据子类的数据同步生成到登记表单。</w:t>
            </w:r>
          </w:p>
          <w:p w14:paraId="07AD71D7">
            <w:pPr>
              <w:widowControl/>
              <w:numPr>
                <w:ilvl w:val="0"/>
                <w:numId w:val="6"/>
              </w:numPr>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▲上次任务计划：支持按天、周、月等配置上报任务表；支持按具体时间上报；支持监控上报执行情况。上报结果通知提醒支持邮件、消息等方式</w:t>
            </w:r>
          </w:p>
          <w:p w14:paraId="23F4FD3B">
            <w:pPr>
              <w:widowControl/>
              <w:adjustRightInd w:val="0"/>
              <w:snapToGrid w:val="0"/>
              <w:ind w:firstLine="0" w:firstLineChars="0"/>
              <w:jc w:val="left"/>
              <w:rPr>
                <w:sz w:val="21"/>
                <w:szCs w:val="21"/>
              </w:rPr>
            </w:pPr>
            <w:r>
              <w:rPr>
                <w:rFonts w:hint="eastAsia" w:ascii="仿宋" w:hAnsi="仿宋" w:eastAsia="仿宋" w:cs="仿宋"/>
                <w:b/>
                <w:bCs/>
                <w:kern w:val="0"/>
                <w:sz w:val="21"/>
                <w:szCs w:val="21"/>
                <w:lang w:bidi="ar"/>
              </w:rPr>
              <w:t>内置上报接口：包含高职、中职以及部分省份接口，可自行选择配置。</w:t>
            </w:r>
          </w:p>
          <w:p w14:paraId="08A375C9">
            <w:pPr>
              <w:widowControl/>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3、数据管理：</w:t>
            </w:r>
          </w:p>
          <w:p w14:paraId="01EA6016">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数据源：数据源支持通过状态、模糊查询所需数据；支持编辑/新建数据源，可对数据源名称、数据源编码、数据库类型（Oracle、SqlServer、MySql、DaMeng、Kingbase）、数据版本、服务器地址、服务器端口、数据库名、数据库架构、用户名、密码、备注、状态等信息进行维护；支持测试数据源链接；支持删除、批量删除、导出数据源。</w:t>
            </w:r>
          </w:p>
          <w:p w14:paraId="1774EB16">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数据表：数据表支持通过数据源、状态、类型（表、视图）、模糊查询进行等筛选条件过滤查询所需信息；支持新建表/视图，可对数据源、类型（表、视图）、表/视图名、中文名、表空间、状态等信息进行创建；支持引用表/视图，选择数据源中的表/视图，进行选择确认即可；支持导出数据表；支持对数据表进行编辑字段，可进行字段名、字段说明、字段类型、字符长度、默认值、运行空值（是、否）、是否主键、序号、取值说明、备注等信息进行维护，并支持新建字段、导出、模糊查询等功能。</w:t>
            </w:r>
          </w:p>
          <w:p w14:paraId="7B6B5C38">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ETL管理：ETL管理支持通过状态、模糊查询进行等筛选条件过滤查询所需信息；支持编辑/新建ETL,可对ETL代码、名称、ETL过程（1.抽取到临时存储一2.清洗转换(程序)一3.目标存储、1.抽取到临时存储一2.清洗转换(存储过程)一3.目标存储、1.抽取/清洗转换(程序)一→2.目标存储、1.抽取/清洗转换(存储过程)一2.目标存储）、序号、状态等信息进行维护；支持根据ETL过程运行清洗转换（程序）和清洗转换（存储过程）；支持查看运行记录，可查看ETL 的调用者、开始时间、结束时间、状态；支持调用ETL ；支持刷新、导出、删除、批量删除ETL。</w:t>
            </w:r>
          </w:p>
          <w:p w14:paraId="60BDCE26">
            <w:pPr>
              <w:widowControl/>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4、数据模型：</w:t>
            </w:r>
          </w:p>
          <w:p w14:paraId="6C9A60BE">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模型定义：模型定义可通过数据源、状态、模糊查询进行搜索查询所需信息；支持编辑/新建数据模型，可对数据源、名称、备注、状态等信息进行维护；支持定义变量，可对变量进行编辑/新建变量，实现对变量名、中文名、说明、值类型（选择框（静态值）、选择框（SQL查询）、选择框（模型查询）、日期、日期区间、输入框）、数据源/格式、默认值等变量信息进行维护；支持批量删除、导出变量；支持设计数据对象，可对数据模型对象进行管理，实现分类/对象的添加分类，对分类添加对象、重命名、删除操作；支持设计关系模型，可进行编辑，能进行数据模型对象的表中文名、别名以及所含字段的添加、删除、上移、下移信息进行维护，并可对关系模型进行删除操作；支持查看数据表，可查看数据表表名、表/视图中文名、表/视图别名、描述信息；支持进行数据校验。</w:t>
            </w:r>
          </w:p>
          <w:p w14:paraId="797E4A29">
            <w:pPr>
              <w:ind w:firstLine="422"/>
              <w:rPr>
                <w:sz w:val="21"/>
                <w:szCs w:val="21"/>
              </w:rPr>
            </w:pPr>
            <w:r>
              <w:rPr>
                <w:rFonts w:hint="eastAsia" w:ascii="仿宋" w:hAnsi="仿宋" w:eastAsia="仿宋" w:cs="仿宋"/>
                <w:b/>
                <w:bCs/>
                <w:kern w:val="0"/>
                <w:sz w:val="21"/>
                <w:szCs w:val="21"/>
                <w:lang w:bidi="ar"/>
              </w:rPr>
              <w:t>2.公共变量：实现公共变量的维护与管理。支持编辑/新建变量，实现对变量名、中文名、说明、组件（选择框（静态值）、选择框（SQL查询）、选择框（模型查询）、日期、日期区间、输入框）、数据源/格式、默认值等变量信息进行维护；支持批量删除、导出变量。</w:t>
            </w:r>
          </w:p>
          <w:p w14:paraId="7CF011E2">
            <w:pPr>
              <w:widowControl/>
              <w:shd w:val="clear" w:color="auto" w:fill="FFFFFF"/>
              <w:wordWrap w:val="0"/>
              <w:spacing w:before="75"/>
              <w:ind w:firstLine="422"/>
              <w:jc w:val="left"/>
              <w:textAlignment w:val="top"/>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数据图表：数据图表支持对数据分类进行管理，可对分类进行新增、编辑、删除、拖拽移动位置操作；支持通过数据分类、状态、图表类型（统计表、统计图、统计表/图）、模糊查询等筛选条件过滤查询所需信息；支持新建图表（模型），可对图表代码、名称、分类、标题、数据模型、图表类型（统计表图、统计表、统计图、表单、模板）、图表布局（表上-图下、图上-表下、图上-表下、表左-图右、表左-图右、图左-表右）、表格布局（表头上-数据下、表头左-数据右）、</w:t>
            </w:r>
            <w:r>
              <w:rPr>
                <w:rFonts w:ascii="仿宋" w:hAnsi="仿宋" w:eastAsia="仿宋" w:cs="仿宋"/>
                <w:b/>
                <w:bCs/>
                <w:kern w:val="0"/>
                <w:sz w:val="21"/>
                <w:szCs w:val="21"/>
                <w:lang w:bidi="ar"/>
              </w:rPr>
              <w:t>显示合计</w:t>
            </w:r>
            <w:r>
              <w:rPr>
                <w:rFonts w:hint="eastAsia" w:ascii="仿宋" w:hAnsi="仿宋" w:eastAsia="仿宋" w:cs="仿宋"/>
                <w:b/>
                <w:bCs/>
                <w:kern w:val="0"/>
                <w:sz w:val="21"/>
                <w:szCs w:val="21"/>
                <w:lang w:bidi="ar"/>
              </w:rPr>
              <w:t>（是、否）、显示序号（是、否）、统计图类型（饼图、金字塔图、柱状图、折线图、柱线混合图、面积图、堆积图、雷达图、仪表盘）、统计图参数、最大记录数、显示记录数、状态等信息进行维护；支持新建图表（SQL），可对图表代码、名称、分类、标题、数据源、查询方式、输入查询语句、结果字段设置、筛选条件设置、图表类型（统计表图、统计表、统计图、表单、模板）、图表布局（表上-图下、图上-表下、图上-表下、表左-图右、表左-图右、图左-表右）、表格布局（表头上-数据下、表头左-数据右）、表格样式（常规、紧缩、分页表格）、</w:t>
            </w:r>
            <w:r>
              <w:rPr>
                <w:rFonts w:ascii="仿宋" w:hAnsi="仿宋" w:eastAsia="仿宋" w:cs="仿宋"/>
                <w:b/>
                <w:bCs/>
                <w:kern w:val="0"/>
                <w:sz w:val="21"/>
                <w:szCs w:val="21"/>
                <w:lang w:bidi="ar"/>
              </w:rPr>
              <w:t>显示合计</w:t>
            </w:r>
            <w:r>
              <w:rPr>
                <w:rFonts w:hint="eastAsia" w:ascii="仿宋" w:hAnsi="仿宋" w:eastAsia="仿宋" w:cs="仿宋"/>
                <w:b/>
                <w:bCs/>
                <w:kern w:val="0"/>
                <w:sz w:val="21"/>
                <w:szCs w:val="21"/>
                <w:lang w:bidi="ar"/>
              </w:rPr>
              <w:t>（是、否）、显示序号（是、否）、统计图类型（饼图、金字塔图、柱状图、折线图、柱线混合图、面积图、堆积图、雷达图、仪表盘）、统计图参数、最大记录数、显示记录数、状态等信息进行维护；支持对图表进行定义变量，可进行编辑/新建变量，实现对变量名、中文名、说明、值类型（选择框（静态值）、选择框（SQL查询）、选择框（模型查询）、日期、日期区间、输入框）、数据源/格式、默认值等变量信息进行维护，并可批量删除、导出变量；支持数据校验；支持数据图表预览。</w:t>
            </w:r>
          </w:p>
          <w:p w14:paraId="20EB0935">
            <w:pPr>
              <w:widowControl/>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5、数据安全与服务：</w:t>
            </w:r>
          </w:p>
          <w:p w14:paraId="73CD04B3">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1.API管理服务：对API进行统一管理 ，包含API集合和  列表 ，配置API的基本信息、 测试 ，发 布上线。</w:t>
            </w:r>
          </w:p>
          <w:p w14:paraId="1B3A4E0D">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2.策略管理：针对API进行策略管理 ，配置API的调   用时长、 调用次数限制、 IP白名单 ，以 及授权和报警策略。</w:t>
            </w:r>
          </w:p>
          <w:p w14:paraId="26D1087D">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3.策略管理：针对API进行策略管理 ，配置API的调   用时长、 调用次数限制、 IP白名单 ，以 及授权和报警策略。</w:t>
            </w:r>
          </w:p>
          <w:p w14:paraId="3C3F6CFE">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4.数据权限管理：针对使用角色和岗位对API使用的权限     配置 ，以及关联图谱和安全等级的配置。</w:t>
            </w:r>
          </w:p>
          <w:p w14:paraId="68450DFC">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5.数据共享管理：以共享库的方式 ，共享选定的数据表 ， 支持对共享表的查找、 增加、 更改、 删 除、 视图管理等权限设置。</w:t>
            </w:r>
          </w:p>
          <w:p w14:paraId="3C3661DA">
            <w:pPr>
              <w:ind w:firstLine="0" w:firstLineChars="0"/>
              <w:rPr>
                <w:sz w:val="21"/>
                <w:szCs w:val="21"/>
              </w:rPr>
            </w:pPr>
          </w:p>
        </w:tc>
        <w:tc>
          <w:tcPr>
            <w:tcW w:w="322" w:type="pct"/>
            <w:vAlign w:val="center"/>
          </w:tcPr>
          <w:p w14:paraId="0D54B1DA">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w:t>
            </w:r>
          </w:p>
        </w:tc>
        <w:tc>
          <w:tcPr>
            <w:tcW w:w="355" w:type="pct"/>
            <w:vAlign w:val="center"/>
          </w:tcPr>
          <w:p w14:paraId="0537C0E1">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项</w:t>
            </w:r>
          </w:p>
        </w:tc>
        <w:tc>
          <w:tcPr>
            <w:tcW w:w="734" w:type="pct"/>
            <w:vAlign w:val="center"/>
          </w:tcPr>
          <w:p w14:paraId="46EF328F">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85000.00</w:t>
            </w:r>
          </w:p>
        </w:tc>
      </w:tr>
      <w:tr w14:paraId="2DEB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vAlign w:val="center"/>
          </w:tcPr>
          <w:p w14:paraId="22829F58">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4</w:t>
            </w:r>
          </w:p>
        </w:tc>
        <w:tc>
          <w:tcPr>
            <w:tcW w:w="393" w:type="pct"/>
            <w:vAlign w:val="center"/>
          </w:tcPr>
          <w:p w14:paraId="0827BF8D">
            <w:pPr>
              <w:widowControl/>
              <w:adjustRightInd w:val="0"/>
              <w:snapToGrid w:val="0"/>
              <w:ind w:firstLine="0" w:firstLineChars="0"/>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数据填报的现场培训及支持服务</w:t>
            </w:r>
          </w:p>
        </w:tc>
        <w:tc>
          <w:tcPr>
            <w:tcW w:w="2884" w:type="pct"/>
            <w:vAlign w:val="center"/>
          </w:tcPr>
          <w:p w14:paraId="77EC29C2">
            <w:pPr>
              <w:widowControl/>
              <w:numPr>
                <w:ilvl w:val="0"/>
                <w:numId w:val="7"/>
              </w:numPr>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对办公室、教务科、实训中心、招就科、组织人事科、公共教学部、学生科、团委、财务科、总务科10个部门进行相关数据采集表单的现场培训和支持服务。</w:t>
            </w:r>
          </w:p>
          <w:p w14:paraId="3A0AF7C1">
            <w:pPr>
              <w:widowControl/>
              <w:numPr>
                <w:ilvl w:val="0"/>
                <w:numId w:val="7"/>
              </w:numPr>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数据填报</w:t>
            </w:r>
          </w:p>
          <w:p w14:paraId="51CF7FC1">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填报登记表单：支持动态自定义表单功能，支持表单动态可视化配置管理，支持通过可视化拖动选择显示文本、文本输入框、多行文本框、单选框、复选框、流水号、日期、学期、星期、班级、学生姓名、正文、附件、隐藏字段、扩展字段、关联流程，系统自带的字段控件构建动态表单功能。支持表单动态可视化配置管理功能：包括表结构定义、表单设计、复制表单、删除表单、脚本定义。支持不需要二次开发的流程表单的可视化动态表结构配置、表单设计、布局配置。</w:t>
            </w:r>
          </w:p>
          <w:p w14:paraId="2064E462">
            <w:p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填报审批流程：支持动态配置流程，流程动态可视化配置管理功能的流程引擎，要求支持不需要二次开发的可视化的流程定义（可以具体分配某一实例流程监控管理权限）、环节定义（可以动态按部门、用户、岗位、用户组分配表单可属性权限）、方向定义（可以拖拉动态分配流向、可以在流向动态分配权限）。</w:t>
            </w:r>
          </w:p>
          <w:p w14:paraId="599A5233">
            <w:pPr>
              <w:widowControl/>
              <w:numPr>
                <w:ilvl w:val="0"/>
                <w:numId w:val="7"/>
              </w:numPr>
              <w:adjustRightInd w:val="0"/>
              <w:snapToGrid w:val="0"/>
              <w:ind w:firstLine="0" w:firstLineChars="0"/>
              <w:jc w:val="left"/>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现场培训及支持服务</w:t>
            </w:r>
          </w:p>
          <w:p w14:paraId="10505D20">
            <w:pPr>
              <w:numPr>
                <w:ilvl w:val="0"/>
                <w:numId w:val="8"/>
              </w:numPr>
              <w:ind w:firstLine="422"/>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在1年服务期内，如教育部信息中心调整《全国职业教育智慧大脑院校中台高职数据标准及接口规范》内容以及表单数量内容，投标人须提供对应工具、操作培训及技术支持全力协助采购人按照变更后的标准规范完成数据上报任务。</w:t>
            </w:r>
          </w:p>
          <w:p w14:paraId="76114BFE">
            <w:pPr>
              <w:numPr>
                <w:ilvl w:val="0"/>
                <w:numId w:val="8"/>
              </w:numPr>
              <w:ind w:firstLine="422"/>
              <w:rPr>
                <w:sz w:val="21"/>
                <w:szCs w:val="21"/>
              </w:rPr>
            </w:pPr>
            <w:r>
              <w:rPr>
                <w:rFonts w:hint="eastAsia" w:ascii="仿宋" w:hAnsi="仿宋" w:eastAsia="仿宋" w:cs="仿宋"/>
                <w:b/>
                <w:bCs/>
                <w:kern w:val="0"/>
                <w:sz w:val="21"/>
                <w:szCs w:val="21"/>
                <w:lang w:bidi="ar"/>
              </w:rPr>
              <w:t>中标供应商须在数据上报开始试运行之前，分别为学校老师和系统管理员进行操作培训，培训场次至少一场。培训完成后向采购人交付系统操作手册、系统操作视频。</w:t>
            </w:r>
          </w:p>
        </w:tc>
        <w:tc>
          <w:tcPr>
            <w:tcW w:w="322" w:type="pct"/>
            <w:vAlign w:val="center"/>
          </w:tcPr>
          <w:p w14:paraId="109D5865">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1</w:t>
            </w:r>
          </w:p>
        </w:tc>
        <w:tc>
          <w:tcPr>
            <w:tcW w:w="355" w:type="pct"/>
            <w:vAlign w:val="center"/>
          </w:tcPr>
          <w:p w14:paraId="7F54DDC0">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项</w:t>
            </w:r>
          </w:p>
        </w:tc>
        <w:tc>
          <w:tcPr>
            <w:tcW w:w="734" w:type="pct"/>
            <w:vAlign w:val="center"/>
          </w:tcPr>
          <w:p w14:paraId="75CBFE64">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55000.00</w:t>
            </w:r>
          </w:p>
        </w:tc>
      </w:tr>
      <w:tr w14:paraId="77D6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vAlign w:val="center"/>
          </w:tcPr>
          <w:p w14:paraId="335EC46F">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5</w:t>
            </w:r>
          </w:p>
        </w:tc>
        <w:tc>
          <w:tcPr>
            <w:tcW w:w="393" w:type="pct"/>
            <w:vAlign w:val="center"/>
          </w:tcPr>
          <w:p w14:paraId="55A29D35">
            <w:pPr>
              <w:widowControl/>
              <w:adjustRightInd w:val="0"/>
              <w:snapToGrid w:val="0"/>
              <w:ind w:firstLine="0" w:firstLineChars="0"/>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AI算力卡</w:t>
            </w:r>
          </w:p>
        </w:tc>
        <w:tc>
          <w:tcPr>
            <w:tcW w:w="2884" w:type="pct"/>
            <w:vAlign w:val="center"/>
          </w:tcPr>
          <w:p w14:paraId="5A75CDA6">
            <w:pPr>
              <w:ind w:firstLine="0" w:firstLineChars="0"/>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GPU频率≥2017 MHz，CUDA核心数量≥21760个，显存位宽≥ 512-bit，显容量≥32GB DDR7，带宽≥1792GB/s支持DLSS 4多帧生成技术，输出接口：≥1 个 HDMI 2.1b，≥3 个 DisplayPort 2.1b接口，总线接口：PCIe 5.0 x16、兼容PCIe 4.0/3.0，AI算力：AI算力≥4000 TOPS（INT8精度），FP32浮点性能≥125 TFLOPS、支持FP8/FP16混合精度训练,热功耗：TDP≥575W</w:t>
            </w:r>
          </w:p>
        </w:tc>
        <w:tc>
          <w:tcPr>
            <w:tcW w:w="322" w:type="pct"/>
            <w:vAlign w:val="center"/>
          </w:tcPr>
          <w:p w14:paraId="745F3982">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2</w:t>
            </w:r>
          </w:p>
        </w:tc>
        <w:tc>
          <w:tcPr>
            <w:tcW w:w="355" w:type="pct"/>
            <w:vAlign w:val="center"/>
          </w:tcPr>
          <w:p w14:paraId="042E3920">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个</w:t>
            </w:r>
          </w:p>
        </w:tc>
        <w:tc>
          <w:tcPr>
            <w:tcW w:w="734" w:type="pct"/>
            <w:vAlign w:val="center"/>
          </w:tcPr>
          <w:p w14:paraId="7C522EB4">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5</w:t>
            </w:r>
            <w:r>
              <w:rPr>
                <w:rFonts w:ascii="仿宋" w:hAnsi="仿宋" w:eastAsia="仿宋" w:cs="仿宋"/>
                <w:b/>
                <w:bCs/>
                <w:kern w:val="0"/>
                <w:sz w:val="21"/>
                <w:szCs w:val="21"/>
                <w:lang w:bidi="ar"/>
              </w:rPr>
              <w:t>0</w:t>
            </w:r>
            <w:r>
              <w:rPr>
                <w:rFonts w:hint="eastAsia" w:ascii="仿宋" w:hAnsi="仿宋" w:eastAsia="仿宋" w:cs="仿宋"/>
                <w:b/>
                <w:bCs/>
                <w:kern w:val="0"/>
                <w:sz w:val="21"/>
                <w:szCs w:val="21"/>
                <w:lang w:bidi="ar"/>
              </w:rPr>
              <w:t>000.00</w:t>
            </w:r>
          </w:p>
        </w:tc>
      </w:tr>
      <w:tr w14:paraId="31FA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8" w:type="pct"/>
            <w:gridSpan w:val="3"/>
            <w:vAlign w:val="center"/>
          </w:tcPr>
          <w:p w14:paraId="006EDF50">
            <w:pPr>
              <w:ind w:firstLine="0" w:firstLineChars="0"/>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总金额（元）</w:t>
            </w:r>
          </w:p>
        </w:tc>
        <w:tc>
          <w:tcPr>
            <w:tcW w:w="1411" w:type="pct"/>
            <w:gridSpan w:val="3"/>
            <w:vAlign w:val="center"/>
          </w:tcPr>
          <w:p w14:paraId="3879C153">
            <w:pPr>
              <w:widowControl/>
              <w:adjustRightInd w:val="0"/>
              <w:snapToGrid w:val="0"/>
              <w:ind w:firstLine="0" w:firstLineChars="0"/>
              <w:jc w:val="center"/>
              <w:rPr>
                <w:rFonts w:ascii="仿宋" w:hAnsi="仿宋" w:eastAsia="仿宋" w:cs="仿宋"/>
                <w:b/>
                <w:bCs/>
                <w:kern w:val="0"/>
                <w:sz w:val="21"/>
                <w:szCs w:val="21"/>
                <w:lang w:bidi="ar"/>
              </w:rPr>
            </w:pPr>
            <w:r>
              <w:rPr>
                <w:rFonts w:hint="eastAsia" w:ascii="仿宋" w:hAnsi="仿宋" w:eastAsia="仿宋" w:cs="仿宋"/>
                <w:b/>
                <w:bCs/>
                <w:kern w:val="0"/>
                <w:sz w:val="21"/>
                <w:szCs w:val="21"/>
                <w:lang w:bidi="ar"/>
              </w:rPr>
              <w:t>500000.00</w:t>
            </w:r>
          </w:p>
        </w:tc>
      </w:tr>
    </w:tbl>
    <w:p w14:paraId="3632975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ingFang-SC-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E610B"/>
    <w:multiLevelType w:val="singleLevel"/>
    <w:tmpl w:val="A0AE610B"/>
    <w:lvl w:ilvl="0" w:tentative="0">
      <w:start w:val="1"/>
      <w:numFmt w:val="decimal"/>
      <w:suff w:val="nothing"/>
      <w:lvlText w:val="%1、"/>
      <w:lvlJc w:val="left"/>
    </w:lvl>
  </w:abstractNum>
  <w:abstractNum w:abstractNumId="1">
    <w:nsid w:val="AB08BE0F"/>
    <w:multiLevelType w:val="singleLevel"/>
    <w:tmpl w:val="AB08BE0F"/>
    <w:lvl w:ilvl="0" w:tentative="0">
      <w:start w:val="1"/>
      <w:numFmt w:val="decimal"/>
      <w:lvlText w:val="%1."/>
      <w:lvlJc w:val="left"/>
      <w:pPr>
        <w:tabs>
          <w:tab w:val="left" w:pos="312"/>
        </w:tabs>
      </w:pPr>
    </w:lvl>
  </w:abstractNum>
  <w:abstractNum w:abstractNumId="2">
    <w:nsid w:val="B217C5CF"/>
    <w:multiLevelType w:val="singleLevel"/>
    <w:tmpl w:val="B217C5CF"/>
    <w:lvl w:ilvl="0" w:tentative="0">
      <w:start w:val="1"/>
      <w:numFmt w:val="decimal"/>
      <w:suff w:val="nothing"/>
      <w:lvlText w:val="%1、"/>
      <w:lvlJc w:val="left"/>
    </w:lvl>
  </w:abstractNum>
  <w:abstractNum w:abstractNumId="3">
    <w:nsid w:val="BD81E834"/>
    <w:multiLevelType w:val="singleLevel"/>
    <w:tmpl w:val="BD81E834"/>
    <w:lvl w:ilvl="0" w:tentative="0">
      <w:start w:val="1"/>
      <w:numFmt w:val="decimal"/>
      <w:suff w:val="nothing"/>
      <w:lvlText w:val="%1、"/>
      <w:lvlJc w:val="left"/>
    </w:lvl>
  </w:abstractNum>
  <w:abstractNum w:abstractNumId="4">
    <w:nsid w:val="F7BE2494"/>
    <w:multiLevelType w:val="multilevel"/>
    <w:tmpl w:val="F7BE2494"/>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222E6168"/>
    <w:multiLevelType w:val="singleLevel"/>
    <w:tmpl w:val="222E6168"/>
    <w:lvl w:ilvl="0" w:tentative="0">
      <w:start w:val="2"/>
      <w:numFmt w:val="chineseCounting"/>
      <w:suff w:val="nothing"/>
      <w:lvlText w:val="%1、"/>
      <w:lvlJc w:val="left"/>
      <w:rPr>
        <w:rFonts w:hint="eastAsia"/>
      </w:rPr>
    </w:lvl>
  </w:abstractNum>
  <w:abstractNum w:abstractNumId="6">
    <w:nsid w:val="240A7B55"/>
    <w:multiLevelType w:val="singleLevel"/>
    <w:tmpl w:val="240A7B55"/>
    <w:lvl w:ilvl="0" w:tentative="0">
      <w:start w:val="1"/>
      <w:numFmt w:val="decimal"/>
      <w:suff w:val="nothing"/>
      <w:lvlText w:val="%1、"/>
      <w:lvlJc w:val="left"/>
    </w:lvl>
  </w:abstractNum>
  <w:abstractNum w:abstractNumId="7">
    <w:nsid w:val="7C4C3F60"/>
    <w:multiLevelType w:val="singleLevel"/>
    <w:tmpl w:val="7C4C3F60"/>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5"/>
  </w:num>
  <w:num w:numId="3">
    <w:abstractNumId w:val="0"/>
  </w:num>
  <w:num w:numId="4">
    <w:abstractNumId w:val="7"/>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6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unhideWhenUsed/>
    <w:qFormat/>
    <w:uiPriority w:val="9"/>
    <w:pPr>
      <w:keepNext/>
      <w:keepLines/>
      <w:numPr>
        <w:ilvl w:val="1"/>
        <w:numId w:val="1"/>
      </w:numPr>
      <w:spacing w:before="120" w:after="120"/>
      <w:ind w:firstLine="0" w:firstLineChars="0"/>
      <w:outlineLvl w:val="1"/>
    </w:pPr>
    <w:rPr>
      <w:rFonts w:asciiTheme="majorHAnsi" w:hAnsiTheme="majorHAnsi" w:cstheme="majorBidi"/>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2025-07-02T02:23:13Z</dcterms:created>
  <dc:creator>Administrator</dc:creator>
  <cp:lastModifiedBy>Administrator</cp:lastModifiedBy>
  <dcterms:modified xsi:type="dcterms:W3CDTF">2025-07-02T02:27:47Z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eyJoZGlkIjoiOWE1MDVkM2I5ODU1YTNlMmVlMWRiOThjOTY1NzZjYzkifQ==</vt:lpwstr>
  </property>
  <property fmtid="{D5CDD505-2E9C-101B-9397-08002B2CF9AE}" pid="4" name="ICV">
    <vt:lpwstr>EBEF5F5B64774D899C08082CDCCCFC76_12</vt:lpwstr>
  </property>
</Properties>
</file>