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52"/>
          <w:szCs w:val="52"/>
          <w:highlight w:val="none"/>
          <w14:textFill>
            <w14:solidFill>
              <w14:schemeClr w14:val="tx1"/>
            </w14:solidFill>
          </w14:textFill>
        </w:rPr>
      </w:pPr>
      <w:bookmarkStart w:id="0" w:name="_Toc10319"/>
      <w:bookmarkStart w:id="1" w:name="_Toc7014_WPSOffice_Level1"/>
      <w:r>
        <w:rPr>
          <w:rFonts w:hint="eastAsia" w:ascii="宋体" w:hAnsi="宋体" w:eastAsia="宋体" w:cs="宋体"/>
          <w:b/>
          <w:color w:val="000000" w:themeColor="text1"/>
          <w:sz w:val="5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52"/>
          <w:highlight w:val="none"/>
          <w14:textFill>
            <w14:solidFill>
              <w14:schemeClr w14:val="tx1"/>
            </w14:solidFill>
          </w14:textFill>
        </w:rPr>
        <w:t>桂林市政府集中采购中心</w:t>
      </w:r>
    </w:p>
    <w:p>
      <w:pPr>
        <w:pStyle w:val="13"/>
        <w:rPr>
          <w:rFonts w:hint="eastAsia" w:ascii="宋体" w:hAnsi="宋体" w:eastAsia="宋体" w:cs="宋体"/>
          <w:b/>
          <w:bCs/>
          <w:color w:val="000000" w:themeColor="text1"/>
          <w:sz w:val="52"/>
          <w:szCs w:val="52"/>
          <w:highlight w:val="none"/>
          <w14:textFill>
            <w14:solidFill>
              <w14:schemeClr w14:val="tx1"/>
            </w14:solidFill>
          </w14:textFill>
        </w:rPr>
      </w:pPr>
    </w:p>
    <w:p>
      <w:pPr>
        <w:pStyle w:val="13"/>
        <w:rPr>
          <w:rFonts w:hint="eastAsia" w:ascii="宋体" w:hAnsi="宋体" w:eastAsia="宋体" w:cs="宋体"/>
          <w:b/>
          <w:bCs/>
          <w:color w:val="000000" w:themeColor="text1"/>
          <w:sz w:val="52"/>
          <w:szCs w:val="52"/>
          <w:highlight w:val="none"/>
          <w14:textFill>
            <w14:solidFill>
              <w14:schemeClr w14:val="tx1"/>
            </w14:solidFill>
          </w14:textFill>
        </w:rPr>
      </w:pPr>
    </w:p>
    <w:p>
      <w:pPr>
        <w:ind w:left="558" w:right="683"/>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pacing w:val="93"/>
          <w:sz w:val="72"/>
          <w:szCs w:val="72"/>
          <w:highlight w:val="none"/>
          <w14:textFill>
            <w14:solidFill>
              <w14:schemeClr w14:val="tx1"/>
            </w14:solidFill>
          </w14:textFill>
        </w:rPr>
        <w:t>竞争性磋商文件</w:t>
      </w:r>
    </w:p>
    <w:p>
      <w:pPr>
        <w:jc w:val="center"/>
        <w:rPr>
          <w:rFonts w:hint="eastAsia" w:ascii="宋体" w:hAnsi="宋体" w:eastAsia="宋体" w:cs="宋体"/>
          <w:b/>
          <w:bCs/>
          <w:color w:val="000000" w:themeColor="text1"/>
          <w:sz w:val="52"/>
          <w:szCs w:val="52"/>
          <w:highlight w:val="none"/>
          <w14:textFill>
            <w14:solidFill>
              <w14:schemeClr w14:val="tx1"/>
            </w14:solidFill>
          </w14:textFill>
        </w:rPr>
      </w:pPr>
    </w:p>
    <w:p>
      <w:pPr>
        <w:jc w:val="center"/>
        <w:rPr>
          <w:rFonts w:hint="eastAsia" w:ascii="宋体" w:hAnsi="宋体" w:eastAsia="宋体" w:cs="宋体"/>
          <w:b/>
          <w:bCs/>
          <w:color w:val="000000" w:themeColor="text1"/>
          <w:sz w:val="52"/>
          <w:szCs w:val="52"/>
          <w:highlight w:val="none"/>
          <w14:textFill>
            <w14:solidFill>
              <w14:schemeClr w14:val="tx1"/>
            </w14:solidFill>
          </w14:textFill>
        </w:rPr>
      </w:pPr>
    </w:p>
    <w:p>
      <w:pPr>
        <w:jc w:val="center"/>
        <w:rPr>
          <w:rFonts w:hint="eastAsia" w:ascii="宋体" w:hAnsi="宋体" w:eastAsia="宋体" w:cs="宋体"/>
          <w:b/>
          <w:bCs/>
          <w:color w:val="000000" w:themeColor="text1"/>
          <w:sz w:val="52"/>
          <w:szCs w:val="52"/>
          <w:highlight w:val="none"/>
          <w14:textFill>
            <w14:solidFill>
              <w14:schemeClr w14:val="tx1"/>
            </w14:solidFill>
          </w14:textFill>
        </w:rPr>
      </w:pPr>
    </w:p>
    <w:p>
      <w:pPr>
        <w:jc w:val="center"/>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名 称：</w:t>
      </w:r>
      <w:r>
        <w:rPr>
          <w:rFonts w:hint="eastAsia" w:ascii="宋体" w:hAnsi="宋体" w:cs="宋体"/>
          <w:b/>
          <w:bCs/>
          <w:color w:val="000000" w:themeColor="text1"/>
          <w:sz w:val="32"/>
          <w:szCs w:val="32"/>
          <w:highlight w:val="none"/>
          <w:lang w:eastAsia="zh-CN"/>
          <w14:textFill>
            <w14:solidFill>
              <w14:schemeClr w14:val="tx1"/>
            </w14:solidFill>
          </w14:textFill>
        </w:rPr>
        <w:t>资源县红色文化培训中心物业服务项目</w:t>
      </w:r>
    </w:p>
    <w:p>
      <w:pPr>
        <w:ind w:firstLine="2240" w:firstLineChars="70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编 号：</w:t>
      </w:r>
      <w:r>
        <w:rPr>
          <w:rFonts w:hint="eastAsia" w:ascii="宋体" w:hAnsi="宋体" w:cs="宋体"/>
          <w:b/>
          <w:bCs/>
          <w:color w:val="000000" w:themeColor="text1"/>
          <w:sz w:val="32"/>
          <w:szCs w:val="32"/>
          <w:highlight w:val="none"/>
          <w:lang w:eastAsia="zh-CN"/>
          <w14:textFill>
            <w14:solidFill>
              <w14:schemeClr w14:val="tx1"/>
            </w14:solidFill>
          </w14:textFill>
        </w:rPr>
        <w:t>GLZC2024-C3-290264-GLSZ</w:t>
      </w:r>
    </w:p>
    <w:p>
      <w:pPr>
        <w:ind w:firstLine="1600" w:firstLineChars="500"/>
        <w:rPr>
          <w:rFonts w:hint="eastAsia" w:ascii="宋体" w:hAnsi="宋体" w:eastAsia="宋体" w:cs="宋体"/>
          <w:color w:val="000000" w:themeColor="text1"/>
          <w:sz w:val="32"/>
          <w:szCs w:val="32"/>
          <w:highlight w:val="none"/>
          <w14:textFill>
            <w14:solidFill>
              <w14:schemeClr w14:val="tx1"/>
            </w14:solidFill>
          </w14:textFill>
        </w:rPr>
      </w:pPr>
    </w:p>
    <w:p>
      <w:pPr>
        <w:jc w:val="center"/>
        <w:rPr>
          <w:rFonts w:hint="eastAsia" w:ascii="宋体" w:hAnsi="宋体" w:eastAsia="宋体" w:cs="宋体"/>
          <w:color w:val="000000" w:themeColor="text1"/>
          <w:sz w:val="32"/>
          <w:szCs w:val="32"/>
          <w:highlight w:val="none"/>
          <w14:textFill>
            <w14:solidFill>
              <w14:schemeClr w14:val="tx1"/>
            </w14:solidFill>
          </w14:textFill>
        </w:rPr>
      </w:pPr>
    </w:p>
    <w:p>
      <w:pPr>
        <w:rPr>
          <w:rFonts w:hint="eastAsia" w:ascii="宋体" w:hAnsi="宋体" w:eastAsia="宋体" w:cs="宋体"/>
          <w:color w:val="000000" w:themeColor="text1"/>
          <w:sz w:val="32"/>
          <w:szCs w:val="32"/>
          <w:highlight w:val="none"/>
          <w14:textFill>
            <w14:solidFill>
              <w14:schemeClr w14:val="tx1"/>
            </w14:solidFill>
          </w14:textFill>
        </w:rPr>
      </w:pPr>
    </w:p>
    <w:p>
      <w:pPr>
        <w:jc w:val="center"/>
        <w:rPr>
          <w:rFonts w:hint="eastAsia" w:ascii="宋体" w:hAnsi="宋体" w:eastAsia="宋体" w:cs="宋体"/>
          <w:color w:val="000000" w:themeColor="text1"/>
          <w:sz w:val="32"/>
          <w:szCs w:val="32"/>
          <w:highlight w:val="none"/>
          <w14:textFill>
            <w14:solidFill>
              <w14:schemeClr w14:val="tx1"/>
            </w14:solidFill>
          </w14:textFill>
        </w:rPr>
      </w:pPr>
    </w:p>
    <w:p>
      <w:pPr>
        <w:ind w:firstLine="2240" w:firstLineChars="70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采购代理机构：桂林市政府集中采购中心</w:t>
      </w:r>
    </w:p>
    <w:p>
      <w:pPr>
        <w:pStyle w:val="2"/>
        <w:rPr>
          <w:rFonts w:hint="eastAsia" w:ascii="宋体" w:hAnsi="宋体" w:eastAsia="宋体" w:cs="宋体"/>
          <w:color w:val="000000" w:themeColor="text1"/>
          <w:highlight w:val="none"/>
          <w14:textFill>
            <w14:solidFill>
              <w14:schemeClr w14:val="tx1"/>
            </w14:solidFill>
          </w14:textFill>
        </w:rPr>
      </w:pPr>
    </w:p>
    <w:p>
      <w:pPr>
        <w:ind w:firstLine="3840" w:firstLineChars="1200"/>
        <w:rPr>
          <w:rFonts w:hint="eastAsia" w:ascii="宋体" w:hAnsi="宋体" w:eastAsia="宋体" w:cs="宋体"/>
          <w:b/>
          <w:bCs/>
          <w:color w:val="000000" w:themeColor="text1"/>
          <w:sz w:val="48"/>
          <w:szCs w:val="48"/>
          <w:highlight w:val="none"/>
          <w:lang w:val="en-US" w:eastAsia="zh-CN"/>
          <w14:textFill>
            <w14:solidFill>
              <w14:schemeClr w14:val="tx1"/>
            </w14:solidFill>
          </w14:textFill>
        </w:rPr>
        <w:sectPr>
          <w:headerReference r:id="rId3" w:type="default"/>
          <w:footerReference r:id="rId4" w:type="default"/>
          <w:pgSz w:w="11906" w:h="16838"/>
          <w:pgMar w:top="1440" w:right="935" w:bottom="1440" w:left="777" w:header="850" w:footer="992" w:gutter="0"/>
          <w:pgNumType w:fmt="numberInDash" w:start="1"/>
          <w:cols w:space="0" w:num="1"/>
          <w:rtlGutter w:val="0"/>
          <w:docGrid w:type="linesAndChars" w:linePitch="317" w:charSpace="0"/>
        </w:sectPr>
      </w:pPr>
      <w:r>
        <w:rPr>
          <w:rFonts w:hint="eastAsia" w:ascii="宋体" w:hAnsi="宋体" w:cs="宋体"/>
          <w:b/>
          <w:bCs/>
          <w:color w:val="000000" w:themeColor="text1"/>
          <w:sz w:val="32"/>
          <w:szCs w:val="32"/>
          <w:highlight w:val="none"/>
          <w:lang w:eastAsia="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4</w:t>
      </w:r>
      <w:r>
        <w:rPr>
          <w:rFonts w:hint="eastAsia" w:ascii="宋体" w:hAnsi="宋体" w:cs="宋体"/>
          <w:b/>
          <w:bCs/>
          <w:color w:val="000000" w:themeColor="text1"/>
          <w:sz w:val="32"/>
          <w:szCs w:val="32"/>
          <w:highlight w:val="none"/>
          <w:lang w:eastAsia="zh-CN"/>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11</w:t>
      </w:r>
      <w:r>
        <w:rPr>
          <w:rFonts w:hint="eastAsia" w:ascii="宋体" w:hAnsi="宋体" w:cs="宋体"/>
          <w:b/>
          <w:bCs/>
          <w:color w:val="000000" w:themeColor="text1"/>
          <w:sz w:val="32"/>
          <w:szCs w:val="32"/>
          <w:highlight w:val="none"/>
          <w:lang w:eastAsia="zh-CN"/>
          <w14:textFill>
            <w14:solidFill>
              <w14:schemeClr w14:val="tx1"/>
            </w14:solidFill>
          </w14:textFill>
        </w:rPr>
        <w:t>月</w:t>
      </w:r>
      <w:r>
        <w:rPr>
          <w:rFonts w:hint="eastAsia" w:ascii="宋体" w:hAnsi="宋体" w:cs="宋体"/>
          <w:b/>
          <w:bCs/>
          <w:color w:val="000000" w:themeColor="text1"/>
          <w:sz w:val="32"/>
          <w:szCs w:val="32"/>
          <w:highlight w:val="none"/>
          <w:lang w:val="en-US" w:eastAsia="zh-CN"/>
          <w14:textFill>
            <w14:solidFill>
              <w14:schemeClr w14:val="tx1"/>
            </w14:solidFill>
          </w14:textFill>
        </w:rPr>
        <w:t>11</w:t>
      </w:r>
      <w:r>
        <w:rPr>
          <w:rFonts w:hint="eastAsia" w:ascii="宋体" w:hAnsi="宋体" w:cs="宋体"/>
          <w:b/>
          <w:bCs/>
          <w:color w:val="000000" w:themeColor="text1"/>
          <w:sz w:val="32"/>
          <w:szCs w:val="32"/>
          <w:highlight w:val="none"/>
          <w:lang w:eastAsia="zh-CN"/>
          <w14:textFill>
            <w14:solidFill>
              <w14:schemeClr w14:val="tx1"/>
            </w14:solidFill>
          </w14:textFill>
        </w:rPr>
        <w:t>日</w:t>
      </w:r>
    </w:p>
    <w:p>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目</w:t>
      </w:r>
      <w:r>
        <w:rPr>
          <w:rFonts w:hint="eastAsia" w:ascii="宋体" w:hAnsi="宋体" w:eastAsia="宋体" w:cs="宋体"/>
          <w:b/>
          <w:bCs/>
          <w:color w:val="000000" w:themeColor="text1"/>
          <w:sz w:val="36"/>
          <w:szCs w:val="36"/>
          <w:highlight w:val="none"/>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val="zh-CN"/>
          <w14:textFill>
            <w14:solidFill>
              <w14:schemeClr w14:val="tx1"/>
            </w14:solidFill>
          </w14:textFill>
        </w:rPr>
        <w:t>录</w:t>
      </w:r>
    </w:p>
    <w:p>
      <w:pPr>
        <w:pStyle w:val="15"/>
        <w:tabs>
          <w:tab w:val="right" w:leader="dot" w:pos="10194"/>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_Toc29067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第一章 竞争性磋商公告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- 1 -</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5"/>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_Toc10668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highlight w:val="none"/>
          <w:lang w:eastAsia="zh-CN"/>
          <w14:textFill>
            <w14:solidFill>
              <w14:schemeClr w14:val="tx1"/>
            </w14:solidFill>
          </w14:textFill>
        </w:rPr>
        <w:t>第二章</w:t>
      </w:r>
      <w:r>
        <w:rPr>
          <w:rFonts w:hint="eastAsia" w:ascii="宋体" w:hAnsi="宋体" w:eastAsia="宋体" w:cs="宋体"/>
          <w:color w:val="000000" w:themeColor="text1"/>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32"/>
          <w:highlight w:val="none"/>
          <w14:textFill>
            <w14:solidFill>
              <w14:schemeClr w14:val="tx1"/>
            </w14:solidFill>
          </w14:textFill>
        </w:rPr>
        <w:t>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_Toc10668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_Toc10058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一、总则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_Toc24721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 适应范围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_Toc24721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_Toc3355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 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_Toc23631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 供应商资格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_Toc23631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_Toc15983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 磋商费用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_Toc6933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5. 联合体要求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_Toc16359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6. 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_Toc13910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7. 转包与分包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_Toc9415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8. 特别说明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_Toc8933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二、磋商文件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_Toc20523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lang w:val="pt-BR"/>
          <w14:textFill>
            <w14:solidFill>
              <w14:schemeClr w14:val="tx1"/>
            </w14:solidFill>
          </w14:textFill>
        </w:rPr>
        <w:t xml:space="preserve">9. </w:t>
      </w:r>
      <w:r>
        <w:rPr>
          <w:rFonts w:hint="eastAsia" w:ascii="宋体" w:hAnsi="宋体" w:eastAsia="宋体" w:cs="宋体"/>
          <w:color w:val="000000" w:themeColor="text1"/>
          <w:szCs w:val="21"/>
          <w:highlight w:val="none"/>
          <w14:textFill>
            <w14:solidFill>
              <w14:schemeClr w14:val="tx1"/>
            </w14:solidFill>
          </w14:textFill>
        </w:rPr>
        <w:t>磋商文件的构成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_Toc1452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10. 磋商文件的澄清与修改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_Toc20641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三、竞争性磋商响应文件的编制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_Toc772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11.竞争性磋商响应文件编制基本要求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_Toc6845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12. 响应文件的语言及计量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- 12 -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_Toc30930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13. 磋商报价及采购预算金额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- 12 -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_Toc27015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14. 响应文件有效期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_Toc24706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15. 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_Toc8815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16. 竞争性</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w:t>
      </w:r>
      <w:r>
        <w:rPr>
          <w:rFonts w:hint="eastAsia" w:ascii="宋体" w:hAnsi="宋体" w:eastAsia="宋体" w:cs="宋体"/>
          <w:color w:val="000000" w:themeColor="text1"/>
          <w:szCs w:val="21"/>
          <w:highlight w:val="none"/>
          <w:lang w:eastAsia="zh-CN"/>
          <w14:textFill>
            <w14:solidFill>
              <w14:schemeClr w14:val="tx1"/>
            </w14:solidFill>
          </w14:textFill>
        </w:rPr>
        <w:t>制作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_Toc8570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17. 响应文件的修改和撤回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_Toc27030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18. 响应文件的递交</w:t>
      </w:r>
      <w:r>
        <w:rPr>
          <w:rFonts w:hint="eastAsia" w:ascii="宋体" w:hAnsi="宋体" w:eastAsia="宋体" w:cs="宋体"/>
          <w:color w:val="000000" w:themeColor="text1"/>
          <w:szCs w:val="21"/>
          <w:highlight w:val="none"/>
          <w:lang w:eastAsia="zh-CN"/>
          <w14:textFill>
            <w14:solidFill>
              <w14:schemeClr w14:val="tx1"/>
            </w14:solidFill>
          </w14:textFill>
        </w:rPr>
        <w:t>和解密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_Toc18044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四、竞争性磋商（简称磋商）与评审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_Toc18044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_Toc16714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19. 磋商小组组成及磋商时间、地点、人员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_Toc18640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20. 评审原则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_Toc1312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21. 评审程序及磋商要求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_Toc26487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22. 确定成交供应商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_Toc26487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_Toc2766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23. 属于下列情况之一者，响应文件无效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_Toc20770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_Toc32461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25. 磋商过程的监控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_Toc32457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26. 信用查询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_Toc778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27. 成交结果公告及成交通知书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_Toc19479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五、签订合同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_Toc2100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28. 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_Toc1023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29. 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_Toc24170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六、其他事项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_Toc24170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_Toc2872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 采购代理服务费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_Toc8271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 解释权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_Toc8271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1"/>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_Toc24443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 监督管理机构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_Toc24443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- 21 -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5"/>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_Toc29649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highlight w:val="none"/>
          <w:lang w:eastAsia="zh-CN"/>
          <w14:textFill>
            <w14:solidFill>
              <w14:schemeClr w14:val="tx1"/>
            </w14:solidFill>
          </w14:textFill>
        </w:rPr>
        <w:t>第三章</w:t>
      </w:r>
      <w:r>
        <w:rPr>
          <w:rFonts w:hint="eastAsia" w:ascii="宋体" w:hAnsi="宋体" w:eastAsia="宋体" w:cs="宋体"/>
          <w:color w:val="000000" w:themeColor="text1"/>
          <w:szCs w:val="32"/>
          <w:highlight w:val="none"/>
          <w14:textFill>
            <w14:solidFill>
              <w14:schemeClr w14:val="tx1"/>
            </w14:solidFill>
          </w14:textFill>
        </w:rPr>
        <w:t xml:space="preserve">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_Toc29649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- 22 -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5"/>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_Toc6574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highlight w:val="none"/>
          <w:lang w:eastAsia="zh-CN"/>
          <w14:textFill>
            <w14:solidFill>
              <w14:schemeClr w14:val="tx1"/>
            </w14:solidFill>
          </w14:textFill>
        </w:rPr>
        <w:t>第四章</w:t>
      </w:r>
      <w:r>
        <w:rPr>
          <w:rFonts w:hint="eastAsia" w:ascii="宋体" w:hAnsi="宋体" w:eastAsia="宋体" w:cs="宋体"/>
          <w:color w:val="000000" w:themeColor="text1"/>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32"/>
          <w:highlight w:val="none"/>
          <w14:textFill>
            <w14:solidFill>
              <w14:schemeClr w14:val="tx1"/>
            </w14:solidFill>
          </w14:textFill>
        </w:rPr>
        <w:t>评审办法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_Toc6574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- 22 -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5"/>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_Toc5351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highlight w:val="none"/>
          <w:lang w:eastAsia="zh-CN"/>
          <w14:textFill>
            <w14:solidFill>
              <w14:schemeClr w14:val="tx1"/>
            </w14:solidFill>
          </w14:textFill>
        </w:rPr>
        <w:t>第五章</w:t>
      </w:r>
      <w:r>
        <w:rPr>
          <w:rFonts w:hint="eastAsia" w:ascii="宋体" w:hAnsi="宋体" w:eastAsia="宋体" w:cs="宋体"/>
          <w:color w:val="000000" w:themeColor="text1"/>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32"/>
          <w:highlight w:val="none"/>
          <w14:textFill>
            <w14:solidFill>
              <w14:schemeClr w14:val="tx1"/>
            </w14:solidFill>
          </w14:textFill>
        </w:rPr>
        <w:t>采购合同（合同主要条款及格式）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_Toc5351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_Toc845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 xml:space="preserve">第一条 </w:t>
      </w:r>
      <w:r>
        <w:rPr>
          <w:rFonts w:hint="eastAsia" w:ascii="宋体" w:hAnsi="宋体" w:cs="宋体"/>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Cs w:val="0"/>
          <w:color w:val="000000" w:themeColor="text1"/>
          <w:szCs w:val="21"/>
          <w:highlight w:val="none"/>
          <w14:textFill>
            <w14:solidFill>
              <w14:schemeClr w14:val="tx1"/>
            </w14:solidFill>
          </w14:textFill>
        </w:rPr>
        <w:t>合同文件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_Toc25572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第二条　合同金额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_Toc5557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第三条  服务保证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_Toc16565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第四条  服务期限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_Toc3282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第五条  交付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_Toc21969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六</w:t>
      </w:r>
      <w:r>
        <w:rPr>
          <w:rFonts w:hint="eastAsia" w:ascii="宋体" w:hAnsi="宋体" w:eastAsia="宋体" w:cs="宋体"/>
          <w:bCs w:val="0"/>
          <w:color w:val="000000" w:themeColor="text1"/>
          <w:szCs w:val="21"/>
          <w:highlight w:val="none"/>
          <w14:textFill>
            <w14:solidFill>
              <w14:schemeClr w14:val="tx1"/>
            </w14:solidFill>
          </w14:textFill>
        </w:rPr>
        <w:t>条  税费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_Toc21969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_Toc29885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七</w:t>
      </w:r>
      <w:r>
        <w:rPr>
          <w:rFonts w:hint="eastAsia" w:ascii="宋体" w:hAnsi="宋体" w:eastAsia="宋体" w:cs="宋体"/>
          <w:bCs w:val="0"/>
          <w:color w:val="000000" w:themeColor="text1"/>
          <w:szCs w:val="21"/>
          <w:highlight w:val="none"/>
          <w14:textFill>
            <w14:solidFill>
              <w14:schemeClr w14:val="tx1"/>
            </w14:solidFill>
          </w14:textFill>
        </w:rPr>
        <w:t>条  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_Toc25711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八</w:t>
      </w:r>
      <w:r>
        <w:rPr>
          <w:rFonts w:hint="eastAsia" w:ascii="宋体" w:hAnsi="宋体" w:eastAsia="宋体" w:cs="宋体"/>
          <w:bCs w:val="0"/>
          <w:color w:val="000000" w:themeColor="text1"/>
          <w:szCs w:val="21"/>
          <w:highlight w:val="none"/>
          <w14:textFill>
            <w14:solidFill>
              <w14:schemeClr w14:val="tx1"/>
            </w14:solidFill>
          </w14:textFill>
        </w:rPr>
        <w:t>条  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- 60 -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_Toc16745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九</w:t>
      </w:r>
      <w:r>
        <w:rPr>
          <w:rFonts w:hint="eastAsia" w:ascii="宋体" w:hAnsi="宋体" w:eastAsia="宋体" w:cs="宋体"/>
          <w:bCs w:val="0"/>
          <w:color w:val="000000" w:themeColor="text1"/>
          <w:szCs w:val="21"/>
          <w:highlight w:val="none"/>
          <w14:textFill>
            <w14:solidFill>
              <w14:schemeClr w14:val="tx1"/>
            </w14:solidFill>
          </w14:textFill>
        </w:rPr>
        <w:t>条  不可抗力事件处理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- 61 -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_Toc12796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十</w:t>
      </w:r>
      <w:r>
        <w:rPr>
          <w:rFonts w:hint="eastAsia" w:ascii="宋体" w:hAnsi="宋体" w:eastAsia="宋体" w:cs="宋体"/>
          <w:bCs w:val="0"/>
          <w:color w:val="000000" w:themeColor="text1"/>
          <w:szCs w:val="21"/>
          <w:highlight w:val="none"/>
          <w14:textFill>
            <w14:solidFill>
              <w14:schemeClr w14:val="tx1"/>
            </w14:solidFill>
          </w14:textFill>
        </w:rPr>
        <w:t>条  合同争议解决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- 61 -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_Toc26285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第十</w:t>
      </w:r>
      <w:r>
        <w:rPr>
          <w:rFonts w:hint="eastAsia" w:ascii="宋体" w:hAnsi="宋体" w:eastAsia="宋体" w:cs="宋体"/>
          <w:bCs w:val="0"/>
          <w:color w:val="000000" w:themeColor="text1"/>
          <w:szCs w:val="21"/>
          <w:highlight w:val="none"/>
          <w:lang w:eastAsia="zh-CN"/>
          <w14:textFill>
            <w14:solidFill>
              <w14:schemeClr w14:val="tx1"/>
            </w14:solidFill>
          </w14:textFill>
        </w:rPr>
        <w:t>一</w:t>
      </w:r>
      <w:r>
        <w:rPr>
          <w:rFonts w:hint="eastAsia" w:ascii="宋体" w:hAnsi="宋体" w:eastAsia="宋体" w:cs="宋体"/>
          <w:bCs w:val="0"/>
          <w:color w:val="000000" w:themeColor="text1"/>
          <w:szCs w:val="21"/>
          <w:highlight w:val="none"/>
          <w14:textFill>
            <w14:solidFill>
              <w14:schemeClr w14:val="tx1"/>
            </w14:solidFill>
          </w14:textFill>
        </w:rPr>
        <w:t>条  合同生效及其它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- 61 -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_Toc7824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第十</w:t>
      </w:r>
      <w:r>
        <w:rPr>
          <w:rFonts w:hint="eastAsia" w:ascii="宋体" w:hAnsi="宋体" w:eastAsia="宋体" w:cs="宋体"/>
          <w:bCs w:val="0"/>
          <w:color w:val="000000" w:themeColor="text1"/>
          <w:szCs w:val="21"/>
          <w:highlight w:val="none"/>
          <w:lang w:eastAsia="zh-CN"/>
          <w14:textFill>
            <w14:solidFill>
              <w14:schemeClr w14:val="tx1"/>
            </w14:solidFill>
          </w14:textFill>
        </w:rPr>
        <w:t>二</w:t>
      </w:r>
      <w:r>
        <w:rPr>
          <w:rFonts w:hint="eastAsia" w:ascii="宋体" w:hAnsi="宋体" w:eastAsia="宋体" w:cs="宋体"/>
          <w:bCs w:val="0"/>
          <w:color w:val="000000" w:themeColor="text1"/>
          <w:szCs w:val="21"/>
          <w:highlight w:val="none"/>
          <w14:textFill>
            <w14:solidFill>
              <w14:schemeClr w14:val="tx1"/>
            </w14:solidFill>
          </w14:textFill>
        </w:rPr>
        <w:t>条  合同的变更、终止与转让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- 62 -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_Toc31091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第十</w:t>
      </w:r>
      <w:r>
        <w:rPr>
          <w:rFonts w:hint="eastAsia" w:ascii="宋体" w:hAnsi="宋体" w:eastAsia="宋体" w:cs="宋体"/>
          <w:bCs w:val="0"/>
          <w:color w:val="000000" w:themeColor="text1"/>
          <w:szCs w:val="21"/>
          <w:highlight w:val="none"/>
          <w:lang w:eastAsia="zh-CN"/>
          <w14:textFill>
            <w14:solidFill>
              <w14:schemeClr w14:val="tx1"/>
            </w14:solidFill>
          </w14:textFill>
        </w:rPr>
        <w:t>三</w:t>
      </w:r>
      <w:r>
        <w:rPr>
          <w:rFonts w:hint="eastAsia" w:ascii="宋体" w:hAnsi="宋体" w:eastAsia="宋体" w:cs="宋体"/>
          <w:bCs w:val="0"/>
          <w:color w:val="000000" w:themeColor="text1"/>
          <w:szCs w:val="21"/>
          <w:highlight w:val="none"/>
          <w14:textFill>
            <w14:solidFill>
              <w14:schemeClr w14:val="tx1"/>
            </w14:solidFill>
          </w14:textFill>
        </w:rPr>
        <w:t>条  签订本合同依据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- 62 -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pStyle w:val="16"/>
        <w:tabs>
          <w:tab w:val="right" w:leader="dot" w:pos="10194"/>
        </w:tabs>
        <w:ind w:left="0" w:leftChars="0" w:firstLine="0" w:firstLineChars="0"/>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_Toc5077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14:textFill>
            <w14:solidFill>
              <w14:schemeClr w14:val="tx1"/>
            </w14:solidFill>
          </w14:textFill>
        </w:rPr>
        <w:t xml:space="preserve">第六章  </w:t>
      </w:r>
      <w:r>
        <w:rPr>
          <w:rFonts w:hint="eastAsia" w:ascii="宋体" w:hAnsi="宋体" w:eastAsia="宋体" w:cs="宋体"/>
          <w:bCs/>
          <w:color w:val="000000" w:themeColor="text1"/>
          <w:szCs w:val="32"/>
          <w:highlight w:val="none"/>
          <w14:textFill>
            <w14:solidFill>
              <w14:schemeClr w14:val="tx1"/>
            </w14:solidFill>
          </w14:textFill>
        </w:rPr>
        <w:t>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- 63 -</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pPr>
        <w:rPr>
          <w:rFonts w:hint="eastAsia" w:ascii="宋体" w:hAnsi="宋体" w:eastAsia="宋体" w:cs="宋体"/>
          <w:b/>
          <w:bCs/>
          <w:color w:val="000000" w:themeColor="text1"/>
          <w:sz w:val="32"/>
          <w:szCs w:val="32"/>
          <w:highlight w:val="none"/>
          <w14:textFill>
            <w14:solidFill>
              <w14:schemeClr w14:val="tx1"/>
            </w14:solidFill>
          </w14:textFill>
        </w:rPr>
        <w:sectPr>
          <w:footerReference r:id="rId5" w:type="default"/>
          <w:pgSz w:w="11906" w:h="16838"/>
          <w:pgMar w:top="1440" w:right="935" w:bottom="1440" w:left="777" w:header="850" w:footer="992" w:gutter="0"/>
          <w:pgNumType w:fmt="numberInDash" w:start="1"/>
          <w:cols w:space="0" w:num="1"/>
          <w:rtlGutter w:val="0"/>
          <w:docGrid w:type="linesAndChars" w:linePitch="317" w:charSpace="0"/>
        </w:sectPr>
      </w:pPr>
    </w:p>
    <w:p>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000000" w:themeColor="text1"/>
          <w:sz w:val="32"/>
          <w:szCs w:val="32"/>
          <w:highlight w:val="none"/>
          <w14:textFill>
            <w14:solidFill>
              <w14:schemeClr w14:val="tx1"/>
            </w14:solidFill>
          </w14:textFill>
        </w:rPr>
      </w:pPr>
      <w:bookmarkStart w:id="2" w:name="_Toc35393797"/>
      <w:bookmarkStart w:id="3" w:name="_Toc30170"/>
      <w:bookmarkStart w:id="4" w:name="_Toc29067"/>
      <w:bookmarkStart w:id="5" w:name="_Toc26809"/>
      <w:bookmarkStart w:id="6" w:name="_Toc28359011"/>
      <w:r>
        <w:rPr>
          <w:rFonts w:hint="eastAsia" w:ascii="宋体" w:hAnsi="宋体" w:eastAsia="宋体" w:cs="宋体"/>
          <w:color w:val="000000" w:themeColor="text1"/>
          <w:sz w:val="32"/>
          <w:szCs w:val="32"/>
          <w:highlight w:val="none"/>
          <w14:textFill>
            <w14:solidFill>
              <w14:schemeClr w14:val="tx1"/>
            </w14:solidFill>
          </w14:textFill>
        </w:rPr>
        <w:t>竞争性磋商公告</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14:textFill>
            <w14:solidFill>
              <w14:schemeClr w14:val="tx1"/>
            </w14:solidFill>
          </w14:textFill>
        </w:rPr>
      </w:pPr>
    </w:p>
    <w:tbl>
      <w:tblPr>
        <w:tblStyle w:val="21"/>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桂林市政府集中采购中心受</w:t>
            </w:r>
            <w:r>
              <w:rPr>
                <w:rFonts w:hint="eastAsia" w:ascii="宋体" w:hAnsi="宋体" w:cs="宋体"/>
                <w:color w:val="000000" w:themeColor="text1"/>
                <w:sz w:val="24"/>
                <w:szCs w:val="24"/>
                <w:highlight w:val="none"/>
                <w:u w:val="single"/>
                <w:lang w:val="en-US" w:eastAsia="zh-CN"/>
                <w14:textFill>
                  <w14:solidFill>
                    <w14:schemeClr w14:val="tx1"/>
                  </w14:solidFill>
                </w14:textFill>
              </w:rPr>
              <w:t>资源县红色文化研学培训管理中心</w:t>
            </w:r>
            <w:r>
              <w:rPr>
                <w:rFonts w:hint="eastAsia" w:ascii="宋体" w:hAnsi="宋体" w:eastAsia="宋体" w:cs="宋体"/>
                <w:color w:val="000000" w:themeColor="text1"/>
                <w:sz w:val="24"/>
                <w:szCs w:val="24"/>
                <w:highlight w:val="none"/>
                <w14:textFill>
                  <w14:solidFill>
                    <w14:schemeClr w14:val="tx1"/>
                  </w14:solidFill>
                </w14:textFill>
              </w:rPr>
              <w:t>委托，根据《中华人民共和国政府采购法》《中华人民共和国政府采购法实施条例》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政府采购竞争性磋商采购方式管理暂行办法》等规定，</w:t>
            </w:r>
            <w:r>
              <w:rPr>
                <w:rFonts w:hint="eastAsia" w:ascii="宋体" w:hAnsi="宋体" w:eastAsia="宋体" w:cs="宋体"/>
                <w:color w:val="000000" w:themeColor="text1"/>
                <w:sz w:val="24"/>
                <w:szCs w:val="24"/>
                <w:highlight w:val="none"/>
                <w:lang w:eastAsia="zh-CN"/>
                <w14:textFill>
                  <w14:solidFill>
                    <w14:schemeClr w14:val="tx1"/>
                  </w14:solidFill>
                </w14:textFill>
              </w:rPr>
              <w:t>现</w:t>
            </w:r>
            <w:r>
              <w:rPr>
                <w:rFonts w:hint="eastAsia" w:ascii="宋体" w:hAnsi="宋体" w:eastAsia="宋体" w:cs="宋体"/>
                <w:color w:val="000000" w:themeColor="text1"/>
                <w:sz w:val="24"/>
                <w:szCs w:val="24"/>
                <w:highlight w:val="none"/>
                <w14:textFill>
                  <w14:solidFill>
                    <w14:schemeClr w14:val="tx1"/>
                  </w14:solidFill>
                </w14:textFill>
              </w:rPr>
              <w:t>就</w:t>
            </w:r>
            <w:r>
              <w:rPr>
                <w:rFonts w:hint="eastAsia" w:ascii="宋体" w:hAnsi="宋体" w:cs="宋体"/>
                <w:color w:val="000000" w:themeColor="text1"/>
                <w:sz w:val="24"/>
                <w:szCs w:val="24"/>
                <w:highlight w:val="none"/>
                <w:u w:val="single"/>
                <w:lang w:eastAsia="zh-CN"/>
                <w14:textFill>
                  <w14:solidFill>
                    <w14:schemeClr w14:val="tx1"/>
                  </w14:solidFill>
                </w14:textFill>
              </w:rPr>
              <w:t>资源县红色文化培训中心物业服务项目</w:t>
            </w:r>
            <w:r>
              <w:rPr>
                <w:rFonts w:hint="eastAsia" w:ascii="宋体" w:hAnsi="宋体" w:eastAsia="宋体" w:cs="宋体"/>
                <w:color w:val="000000" w:themeColor="text1"/>
                <w:sz w:val="24"/>
                <w:szCs w:val="24"/>
                <w:highlight w:val="none"/>
                <w14:textFill>
                  <w14:solidFill>
                    <w14:schemeClr w14:val="tx1"/>
                  </w14:solidFill>
                </w14:textFill>
              </w:rPr>
              <w:t>进行竞争性磋商采购，</w:t>
            </w:r>
            <w:r>
              <w:rPr>
                <w:rFonts w:hint="eastAsia" w:ascii="宋体" w:hAnsi="宋体" w:eastAsia="宋体" w:cs="宋体"/>
                <w:color w:val="000000" w:themeColor="text1"/>
                <w:sz w:val="24"/>
                <w:highlight w:val="none"/>
                <w14:textFill>
                  <w14:solidFill>
                    <w14:schemeClr w14:val="tx1"/>
                  </w14:solidFill>
                </w14:textFill>
              </w:rPr>
              <w:t>欢迎符合条件的供应商</w:t>
            </w:r>
            <w:r>
              <w:rPr>
                <w:rFonts w:hint="eastAsia" w:ascii="宋体" w:hAnsi="宋体" w:eastAsia="宋体" w:cs="宋体"/>
                <w:color w:val="000000" w:themeColor="text1"/>
                <w:sz w:val="24"/>
                <w:highlight w:val="none"/>
                <w:lang w:eastAsia="zh-CN"/>
                <w14:textFill>
                  <w14:solidFill>
                    <w14:schemeClr w14:val="tx1"/>
                  </w14:solidFill>
                </w14:textFill>
              </w:rPr>
              <w:t>前来</w:t>
            </w:r>
            <w:r>
              <w:rPr>
                <w:rFonts w:hint="eastAsia" w:ascii="宋体" w:hAnsi="宋体" w:eastAsia="宋体" w:cs="宋体"/>
                <w:color w:val="000000" w:themeColor="text1"/>
                <w:sz w:val="24"/>
                <w:highlight w:val="none"/>
                <w14:textFill>
                  <w14:solidFill>
                    <w14:schemeClr w14:val="tx1"/>
                  </w14:solidFill>
                </w14:textFill>
              </w:rPr>
              <w:t>参加磋商活动，并于</w:t>
            </w:r>
            <w:r>
              <w:rPr>
                <w:rFonts w:hint="eastAsia" w:ascii="宋体" w:hAnsi="宋体" w:cs="宋体"/>
                <w:color w:val="000000" w:themeColor="text1"/>
                <w:sz w:val="24"/>
                <w:highlight w:val="none"/>
                <w:lang w:eastAsia="zh-CN"/>
                <w14:textFill>
                  <w14:solidFill>
                    <w14:schemeClr w14:val="tx1"/>
                  </w14:solidFill>
                </w14:textFill>
              </w:rPr>
              <w:t>2024年11月22日上午9时30分</w:t>
            </w:r>
            <w:r>
              <w:rPr>
                <w:rFonts w:hint="eastAsia" w:ascii="宋体" w:hAnsi="宋体" w:eastAsia="宋体" w:cs="宋体"/>
                <w:color w:val="000000" w:themeColor="text1"/>
                <w:sz w:val="24"/>
                <w:highlight w:val="none"/>
                <w14:textFill>
                  <w14:solidFill>
                    <w14:schemeClr w14:val="tx1"/>
                  </w14:solidFill>
                </w14:textFill>
              </w:rPr>
              <w:t>前递交响应文件。</w:t>
            </w:r>
            <w:r>
              <w:rPr>
                <w:rFonts w:hint="eastAsia" w:ascii="宋体" w:hAnsi="宋体" w:eastAsia="宋体" w:cs="宋体"/>
                <w:color w:val="000000" w:themeColor="text1"/>
                <w:sz w:val="24"/>
                <w:szCs w:val="24"/>
                <w:highlight w:val="none"/>
                <w14:textFill>
                  <w14:solidFill>
                    <w14:schemeClr w14:val="tx1"/>
                  </w14:solidFill>
                </w14:textFill>
              </w:rPr>
              <w:t>现将本次竞争性磋商的有关事项公告如下：</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7" w:name="_Toc35393629"/>
      <w:bookmarkStart w:id="8" w:name="_Toc28359089"/>
      <w:bookmarkStart w:id="9" w:name="_Toc28359012"/>
      <w:bookmarkStart w:id="10" w:name="_Toc35393798"/>
      <w:r>
        <w:rPr>
          <w:rFonts w:hint="eastAsia" w:ascii="宋体" w:hAnsi="宋体" w:eastAsia="宋体" w:cs="宋体"/>
          <w:color w:val="000000" w:themeColor="text1"/>
          <w:sz w:val="24"/>
          <w:highlight w:val="none"/>
          <w14:textFill>
            <w14:solidFill>
              <w14:schemeClr w14:val="tx1"/>
            </w14:solidFill>
          </w14:textFill>
        </w:rPr>
        <w:t>一、项目基本情况</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GLZC2024-C3-290264-GLSZ</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资源县红色文化培训中心物业服务项目</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24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采购方式：竞争性磋商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预算金额：</w:t>
      </w:r>
      <w:r>
        <w:rPr>
          <w:rFonts w:hint="eastAsia" w:ascii="宋体" w:hAnsi="宋体" w:cs="宋体"/>
          <w:color w:val="000000" w:themeColor="text1"/>
          <w:sz w:val="24"/>
          <w:highlight w:val="none"/>
          <w:lang w:val="en-US" w:eastAsia="zh-CN"/>
          <w14:textFill>
            <w14:solidFill>
              <w14:schemeClr w14:val="tx1"/>
            </w14:solidFill>
          </w14:textFill>
        </w:rPr>
        <w:t>每年预算人民币肆拾柒万柒仟元整（¥477000.00元），三年总预算人民币壹佰肆拾叁万壹仟元整（¥1431000.00元）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w:t>
      </w:r>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319"/>
        <w:gridCol w:w="725"/>
        <w:gridCol w:w="1363"/>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项号</w:t>
            </w:r>
          </w:p>
        </w:tc>
        <w:tc>
          <w:tcPr>
            <w:tcW w:w="331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服务名称</w:t>
            </w:r>
          </w:p>
        </w:tc>
        <w:tc>
          <w:tcPr>
            <w:tcW w:w="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28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项目要求及</w:t>
            </w:r>
            <w:r>
              <w:rPr>
                <w:rFonts w:hint="eastAsia" w:ascii="宋体" w:hAnsi="宋体" w:eastAsia="宋体" w:cs="宋体"/>
                <w:color w:val="000000" w:themeColor="text1"/>
                <w:sz w:val="24"/>
                <w:highlight w:val="none"/>
                <w:lang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331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资源县红色文化培训中心物业服务项目</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年</w:t>
            </w:r>
          </w:p>
        </w:tc>
        <w:tc>
          <w:tcPr>
            <w:tcW w:w="28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详见竞争性磋商文件</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采购需求的详细内容，详见竞争性磋商文件。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自合同签订之日起至服务期满。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本项目不接受联合体参与磋商。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11" w:name="_Toc35393630"/>
      <w:bookmarkStart w:id="12" w:name="_Toc28359090"/>
      <w:bookmarkStart w:id="13" w:name="_Toc35393799"/>
      <w:bookmarkStart w:id="14" w:name="_Toc28359013"/>
      <w:r>
        <w:rPr>
          <w:rFonts w:hint="eastAsia" w:ascii="宋体" w:hAnsi="宋体" w:eastAsia="宋体" w:cs="宋体"/>
          <w:color w:val="000000" w:themeColor="text1"/>
          <w:sz w:val="24"/>
          <w:highlight w:val="none"/>
          <w14:textFill>
            <w14:solidFill>
              <w14:schemeClr w14:val="tx1"/>
            </w14:solidFill>
          </w14:textFill>
        </w:rPr>
        <w:t>二、申请人的资格要求：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bookmarkStart w:id="15" w:name="_Toc28359014"/>
      <w:bookmarkStart w:id="16" w:name="_Toc28359091"/>
      <w:r>
        <w:rPr>
          <w:rFonts w:hint="eastAsia" w:ascii="宋体" w:hAnsi="宋体" w:eastAsia="宋体" w:cs="宋体"/>
          <w:color w:val="000000" w:themeColor="text1"/>
          <w:sz w:val="24"/>
          <w:highlight w:val="none"/>
          <w14:textFill>
            <w14:solidFill>
              <w14:schemeClr w14:val="tx1"/>
            </w14:solidFill>
          </w14:textFill>
        </w:rPr>
        <w:t>3.落实政府采购政策需满足的资格要求：</w:t>
      </w:r>
      <w:r>
        <w:rPr>
          <w:rFonts w:hint="eastAsia" w:ascii="宋体" w:hAnsi="宋体" w:cs="宋体"/>
          <w:b/>
          <w:bCs/>
          <w:color w:val="000000" w:themeColor="text1"/>
          <w:sz w:val="24"/>
          <w:highlight w:val="none"/>
          <w:lang w:val="en-US" w:eastAsia="zh-CN"/>
          <w14:textFill>
            <w14:solidFill>
              <w14:schemeClr w14:val="tx1"/>
            </w14:solidFill>
          </w14:textFill>
        </w:rPr>
        <w:t>本项目专门面向中小微企业，所属行业为物业管理</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4.本项目的特定资格要求：</w:t>
      </w:r>
      <w:bookmarkStart w:id="17" w:name="_Toc35393631"/>
      <w:bookmarkStart w:id="18" w:name="_Toc35393800"/>
      <w:r>
        <w:rPr>
          <w:rFonts w:hint="eastAsia" w:ascii="宋体" w:hAnsi="宋体" w:eastAsia="宋体" w:cs="宋体"/>
          <w:b w:val="0"/>
          <w:bCs w:val="0"/>
          <w:color w:val="000000" w:themeColor="text1"/>
          <w:sz w:val="24"/>
          <w:highlight w:val="none"/>
          <w:lang w:eastAsia="zh-CN"/>
          <w14:textFill>
            <w14:solidFill>
              <w14:schemeClr w14:val="tx1"/>
            </w14:solidFill>
          </w14:textFill>
        </w:rPr>
        <w:t>无。</w:t>
      </w:r>
    </w:p>
    <w:bookmarkEnd w:id="15"/>
    <w:bookmarkEnd w:id="16"/>
    <w:bookmarkEnd w:id="17"/>
    <w:bookmarkEnd w:id="18"/>
    <w:p>
      <w:pPr>
        <w:rPr>
          <w:rFonts w:hint="eastAsia" w:ascii="宋体" w:hAnsi="宋体" w:eastAsia="宋体" w:cs="宋体"/>
          <w:color w:val="000000" w:themeColor="text1"/>
          <w:sz w:val="24"/>
          <w:highlight w:val="none"/>
          <w14:textFill>
            <w14:solidFill>
              <w14:schemeClr w14:val="tx1"/>
            </w14:solidFill>
          </w14:textFill>
        </w:rPr>
      </w:pPr>
      <w:bookmarkStart w:id="19" w:name="_Toc35393792"/>
      <w:bookmarkStart w:id="20" w:name="_Toc35393623"/>
      <w:bookmarkStart w:id="21" w:name="_Toc28359018"/>
      <w:bookmarkStart w:id="22" w:name="_Toc35393805"/>
      <w:bookmarkStart w:id="23" w:name="_Toc35393636"/>
      <w:bookmarkStart w:id="24" w:name="_Toc28359095"/>
      <w:r>
        <w:rPr>
          <w:rFonts w:hint="eastAsia" w:ascii="宋体" w:hAnsi="宋体" w:eastAsia="宋体" w:cs="宋体"/>
          <w:color w:val="000000" w:themeColor="text1"/>
          <w:sz w:val="24"/>
          <w:highlight w:val="none"/>
          <w14:textFill>
            <w14:solidFill>
              <w14:schemeClr w14:val="tx1"/>
            </w14:solidFill>
          </w14:textFill>
        </w:rPr>
        <w:t>三、获取</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w:t>
      </w:r>
      <w:bookmarkEnd w:id="19"/>
      <w:bookmarkEnd w:id="20"/>
    </w:p>
    <w:p>
      <w:p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文件获取时间：</w:t>
      </w: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11月4日</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lang w:eastAsia="zh-CN"/>
          <w14:textFill>
            <w14:solidFill>
              <w14:schemeClr w14:val="tx1"/>
            </w14:solidFill>
          </w14:textFill>
        </w:rPr>
        <w:t>2024年11月22日上午9时30分</w:t>
      </w:r>
      <w:r>
        <w:rPr>
          <w:rFonts w:hint="eastAsia" w:ascii="宋体" w:hAnsi="宋体" w:eastAsia="宋体" w:cs="宋体"/>
          <w:color w:val="000000" w:themeColor="text1"/>
          <w:sz w:val="24"/>
          <w:highlight w:val="none"/>
          <w14:textFill>
            <w14:solidFill>
              <w14:schemeClr w14:val="tx1"/>
            </w14:solidFill>
          </w14:textFill>
        </w:rPr>
        <w:t>。</w:t>
      </w:r>
    </w:p>
    <w:p>
      <w:pPr>
        <w:pStyle w:val="24"/>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2.地点及方式：潜在供应商请</w:t>
      </w:r>
      <w:r>
        <w:rPr>
          <w:rFonts w:hint="eastAsia" w:ascii="宋体" w:hAnsi="宋体" w:cs="宋体"/>
          <w:color w:val="000000" w:themeColor="text1"/>
          <w:sz w:val="24"/>
          <w:highlight w:val="none"/>
          <w:lang w:val="en-US" w:eastAsia="zh-CN"/>
          <w14:textFill>
            <w14:solidFill>
              <w14:schemeClr w14:val="tx1"/>
            </w14:solidFill>
          </w14:textFill>
        </w:rPr>
        <w:t>登录“广西政府采购云平台”平台获取该项目采购文件。</w:t>
      </w:r>
    </w:p>
    <w:p>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3.采购文件售价：本项目</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文件不收取费用。</w:t>
      </w:r>
    </w:p>
    <w:p>
      <w:pPr>
        <w:rPr>
          <w:rFonts w:hint="eastAsia" w:ascii="宋体" w:hAnsi="宋体" w:eastAsia="宋体" w:cs="宋体"/>
          <w:color w:val="000000" w:themeColor="text1"/>
          <w:sz w:val="24"/>
          <w:highlight w:val="none"/>
          <w14:textFill>
            <w14:solidFill>
              <w14:schemeClr w14:val="tx1"/>
            </w14:solidFill>
          </w14:textFill>
        </w:rPr>
      </w:pPr>
      <w:bookmarkStart w:id="25" w:name="_Toc28359005"/>
      <w:bookmarkStart w:id="26" w:name="_Toc28359082"/>
      <w:bookmarkStart w:id="27" w:name="_Toc35393793"/>
      <w:bookmarkStart w:id="28" w:name="_Toc35393624"/>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bookmarkEnd w:id="25"/>
      <w:bookmarkEnd w:id="26"/>
      <w:r>
        <w:rPr>
          <w:rFonts w:hint="eastAsia" w:ascii="宋体" w:hAnsi="宋体" w:eastAsia="宋体" w:cs="宋体"/>
          <w:color w:val="000000" w:themeColor="text1"/>
          <w:sz w:val="24"/>
          <w:highlight w:val="none"/>
          <w:lang w:eastAsia="zh-CN"/>
          <w14:textFill>
            <w14:solidFill>
              <w14:schemeClr w14:val="tx1"/>
            </w14:solidFill>
          </w14:textFill>
        </w:rPr>
        <w:t>提交</w:t>
      </w:r>
      <w:r>
        <w:rPr>
          <w:rFonts w:hint="eastAsia" w:ascii="宋体" w:hAnsi="宋体" w:eastAsia="宋体" w:cs="宋体"/>
          <w:color w:val="000000" w:themeColor="text1"/>
          <w:sz w:val="24"/>
          <w:highlight w:val="none"/>
          <w14:textFill>
            <w14:solidFill>
              <w14:schemeClr w14:val="tx1"/>
            </w14:solidFill>
          </w14:textFill>
        </w:rPr>
        <w:t>时间和地点</w:t>
      </w:r>
      <w:bookmarkEnd w:id="27"/>
      <w:bookmarkEnd w:id="28"/>
    </w:p>
    <w:p>
      <w:pPr>
        <w:spacing w:line="3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截止</w:t>
      </w: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2024年11月22日上午9时30分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p>
    <w:p>
      <w:pPr>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点：通过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五、开启</w:t>
      </w:r>
    </w:p>
    <w:p>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间：</w:t>
      </w:r>
      <w:r>
        <w:rPr>
          <w:rFonts w:hint="eastAsia" w:ascii="宋体" w:hAnsi="宋体" w:cs="宋体"/>
          <w:color w:val="000000" w:themeColor="text1"/>
          <w:sz w:val="24"/>
          <w:highlight w:val="none"/>
          <w:lang w:eastAsia="zh-CN"/>
          <w14:textFill>
            <w14:solidFill>
              <w14:schemeClr w14:val="tx1"/>
            </w14:solidFill>
          </w14:textFill>
        </w:rPr>
        <w:t>2024年11月22日上午9时30分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北京时间）截标后。</w:t>
      </w:r>
    </w:p>
    <w:p>
      <w:pPr>
        <w:spacing w:line="340" w:lineRule="exact"/>
        <w:ind w:firstLine="57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lang w:eastAsia="zh-CN"/>
          <w14:textFill>
            <w14:solidFill>
              <w14:schemeClr w14:val="tx1"/>
            </w14:solidFill>
          </w14:textFill>
        </w:rPr>
        <w:t>桂林市公共资源交易中心</w:t>
      </w:r>
      <w:r>
        <w:rPr>
          <w:rFonts w:hint="eastAsia" w:ascii="宋体" w:hAnsi="宋体" w:cs="宋体"/>
          <w:color w:val="000000" w:themeColor="text1"/>
          <w:sz w:val="24"/>
          <w:highlight w:val="none"/>
          <w:u w:val="single"/>
          <w:lang w:val="en-US" w:eastAsia="zh-CN"/>
          <w14:textFill>
            <w14:solidFill>
              <w14:schemeClr w14:val="tx1"/>
            </w14:solidFill>
          </w14:textFill>
        </w:rPr>
        <w:t>5号政采开标仓</w:t>
      </w:r>
      <w:r>
        <w:rPr>
          <w:rFonts w:hint="eastAsia" w:ascii="宋体" w:hAnsi="宋体" w:eastAsia="宋体" w:cs="宋体"/>
          <w:color w:val="000000" w:themeColor="text1"/>
          <w:sz w:val="24"/>
          <w:highlight w:val="none"/>
          <w14:textFill>
            <w14:solidFill>
              <w14:schemeClr w14:val="tx1"/>
            </w14:solidFill>
          </w14:textFill>
        </w:rPr>
        <w:t>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实行在线解密开启。</w:t>
      </w:r>
    </w:p>
    <w:p>
      <w:pPr>
        <w:rPr>
          <w:rFonts w:hint="eastAsia" w:ascii="宋体" w:hAnsi="宋体" w:eastAsia="宋体" w:cs="宋体"/>
          <w:color w:val="000000" w:themeColor="text1"/>
          <w:sz w:val="24"/>
          <w:highlight w:val="none"/>
          <w14:textFill>
            <w14:solidFill>
              <w14:schemeClr w14:val="tx1"/>
            </w14:solidFill>
          </w14:textFill>
        </w:rPr>
      </w:pPr>
      <w:bookmarkStart w:id="29" w:name="_Toc35393625"/>
      <w:bookmarkStart w:id="30" w:name="_Toc35393794"/>
      <w:bookmarkStart w:id="31" w:name="_Toc28359084"/>
      <w:bookmarkStart w:id="32" w:name="_Toc28359007"/>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、公告期限</w:t>
      </w:r>
      <w:bookmarkEnd w:id="29"/>
      <w:bookmarkEnd w:id="30"/>
      <w:bookmarkEnd w:id="31"/>
      <w:bookmarkEnd w:id="32"/>
    </w:p>
    <w:p>
      <w:pPr>
        <w:spacing w:line="38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个工作日。</w:t>
      </w:r>
    </w:p>
    <w:p>
      <w:pPr>
        <w:rPr>
          <w:rFonts w:hint="eastAsia" w:ascii="宋体" w:hAnsi="宋体" w:eastAsia="宋体" w:cs="宋体"/>
          <w:color w:val="000000" w:themeColor="text1"/>
          <w:sz w:val="24"/>
          <w:highlight w:val="none"/>
          <w14:textFill>
            <w14:solidFill>
              <w14:schemeClr w14:val="tx1"/>
            </w14:solidFill>
          </w14:textFill>
        </w:rPr>
      </w:pPr>
      <w:bookmarkStart w:id="33" w:name="_Toc35393626"/>
      <w:bookmarkStart w:id="34" w:name="_Toc35393795"/>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、其他补充事宜</w:t>
      </w:r>
      <w:bookmarkEnd w:id="33"/>
      <w:bookmarkEnd w:id="34"/>
    </w:p>
    <w:p>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本项目无需缴纳</w:t>
      </w:r>
      <w:r>
        <w:rPr>
          <w:rFonts w:hint="eastAsia" w:ascii="宋体" w:hAnsi="宋体" w:eastAsia="宋体" w:cs="宋体"/>
          <w:b/>
          <w:bCs/>
          <w:color w:val="000000" w:themeColor="text1"/>
          <w:sz w:val="24"/>
          <w:highlight w:val="none"/>
          <w:lang w:val="en-US"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保证金。</w:t>
      </w:r>
    </w:p>
    <w:p>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本项目信息发布媒体：</w:t>
      </w:r>
    </w:p>
    <w:p>
      <w:p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桂林市政府采购网（zfcg.czj.guilin.gov.cn）</w:t>
      </w:r>
    </w:p>
    <w:p>
      <w:pPr>
        <w:spacing w:line="38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广西壮族自治区政府采购网（www.ccgp-guangxi.gov.cn</w:t>
      </w:r>
      <w:r>
        <w:rPr>
          <w:rFonts w:hint="eastAsia" w:ascii="宋体" w:hAnsi="宋体" w:eastAsia="宋体" w:cs="宋体"/>
          <w:color w:val="000000" w:themeColor="text1"/>
          <w:sz w:val="24"/>
          <w:highlight w:val="none"/>
          <w:lang w:eastAsia="zh-CN"/>
          <w14:textFill>
            <w14:solidFill>
              <w14:schemeClr w14:val="tx1"/>
            </w14:solidFill>
          </w14:textFill>
        </w:rPr>
        <w:t>）</w:t>
      </w:r>
    </w:p>
    <w:p>
      <w:pPr>
        <w:numPr>
          <w:ilvl w:val="0"/>
          <w:numId w:val="2"/>
        </w:numPr>
        <w:spacing w:line="38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响应文件解密时间：截标时间后30分钟内</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2024年11月22日上午9时30分</w:t>
      </w:r>
      <w:r>
        <w:rPr>
          <w:rFonts w:hint="eastAsia" w:ascii="宋体" w:hAnsi="宋体" w:eastAsia="宋体" w:cs="宋体"/>
          <w:color w:val="000000" w:themeColor="text1"/>
          <w:sz w:val="24"/>
          <w:highlight w:val="none"/>
          <w:u w:val="single"/>
          <w:lang w:eastAsia="zh-CN"/>
          <w14:textFill>
            <w14:solidFill>
              <w14:schemeClr w14:val="tx1"/>
            </w14:solidFill>
          </w14:textFill>
        </w:rPr>
        <w:t>至</w:t>
      </w:r>
      <w:r>
        <w:rPr>
          <w:rFonts w:hint="eastAsia" w:ascii="宋体" w:hAnsi="宋体" w:cs="宋体"/>
          <w:color w:val="000000" w:themeColor="text1"/>
          <w:sz w:val="24"/>
          <w:highlight w:val="none"/>
          <w:u w:val="single"/>
          <w:lang w:val="en-US" w:eastAsia="zh-CN"/>
          <w14:textFill>
            <w14:solidFill>
              <w14:schemeClr w14:val="tx1"/>
            </w14:solidFill>
          </w14:textFill>
        </w:rPr>
        <w:t>10时00分</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供应商可以登录</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，用“项目采购-开标评标”功能进行解密</w:t>
      </w:r>
      <w:r>
        <w:rPr>
          <w:rFonts w:hint="eastAsia" w:ascii="宋体" w:hAnsi="宋体" w:eastAsia="宋体" w:cs="宋体"/>
          <w:color w:val="000000" w:themeColor="text1"/>
          <w:sz w:val="24"/>
          <w:highlight w:val="none"/>
          <w:lang w:val="en-US" w:eastAsia="zh-CN"/>
          <w14:textFill>
            <w14:solidFill>
              <w14:schemeClr w14:val="tx1"/>
            </w14:solidFill>
          </w14:textFill>
        </w:rPr>
        <w:t>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cs="宋体"/>
          <w:color w:val="000000" w:themeColor="text1"/>
          <w:sz w:val="24"/>
          <w:highlight w:val="none"/>
          <w:lang w:val="en-US" w:eastAsia="zh-CN"/>
          <w14:textFill>
            <w14:solidFill>
              <w14:schemeClr w14:val="tx1"/>
            </w14:solidFill>
          </w14:textFill>
        </w:rPr>
        <w:t xml:space="preserve">    </w:t>
      </w:r>
    </w:p>
    <w:p>
      <w:pPr>
        <w:numPr>
          <w:ilvl w:val="0"/>
          <w:numId w:val="0"/>
        </w:numPr>
        <w:spacing w:line="38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注：投标文件网上递交截止时间后，各投标人须在解密时限内对上传</w:t>
      </w:r>
      <w:r>
        <w:rPr>
          <w:rFonts w:hint="eastAsia" w:ascii="宋体" w:hAnsi="宋体" w:cs="宋体"/>
          <w:b/>
          <w:bCs/>
          <w:color w:val="000000" w:themeColor="text1"/>
          <w:sz w:val="24"/>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lang w:val="en-US" w:eastAsia="zh-CN"/>
          <w14:textFill>
            <w14:solidFill>
              <w14:schemeClr w14:val="tx1"/>
            </w14:solidFill>
          </w14:textFill>
        </w:rPr>
        <w:t>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八、在线投标响应（电子投标）说明</w:t>
      </w:r>
    </w:p>
    <w:p>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实行在线投标响应（电子投标），供应商需要先安装“</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电子交易客户端”，并按照本</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文件和</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的要求，通过“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电子交易客户端”编制并加密响应文件。供应商未按规定编制并加密的响应文件，</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将予以拒收。</w:t>
      </w:r>
    </w:p>
    <w:p>
      <w:pPr>
        <w:pStyle w:val="24"/>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电子交易客户端”请自行前往广西政府采购网下载并安装；电子投标具体操作流程参考《政府采购项目电子交易管理操作指南-供应商》；在使用</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投标客户端时，建议使用WIN7及以上操作系统,通过</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参与在线投标时如遇平台技术问题详询</w:t>
      </w:r>
      <w:r>
        <w:rPr>
          <w:rFonts w:hint="eastAsia" w:ascii="宋体" w:hAnsi="宋体" w:cs="宋体"/>
          <w:color w:val="000000" w:themeColor="text1"/>
          <w:highlight w:val="none"/>
          <w:lang w:eastAsia="zh-CN"/>
          <w14:textFill>
            <w14:solidFill>
              <w14:schemeClr w14:val="tx1"/>
            </w14:solidFill>
          </w14:textFill>
        </w:rPr>
        <w:t>95763</w:t>
      </w:r>
      <w:r>
        <w:rPr>
          <w:rFonts w:hint="eastAsia" w:ascii="宋体" w:hAnsi="宋体" w:eastAsia="宋体" w:cs="宋体"/>
          <w:color w:val="000000" w:themeColor="text1"/>
          <w:highlight w:val="none"/>
          <w14:textFill>
            <w14:solidFill>
              <w14:schemeClr w14:val="tx1"/>
            </w14:solidFill>
          </w14:textFill>
        </w:rPr>
        <w:t>。</w:t>
      </w:r>
    </w:p>
    <w:p>
      <w:pPr>
        <w:spacing w:line="34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2.为确保网上操作合法、有效和安全，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截止时间前完成在“</w:t>
      </w:r>
      <w:r>
        <w:rPr>
          <w:rFonts w:hint="eastAsia" w:ascii="宋体" w:hAnsi="宋体" w:cs="宋体"/>
          <w:color w:val="000000" w:themeColor="text1"/>
          <w:sz w:val="24"/>
          <w:highlight w:val="none"/>
          <w:lang w:eastAsia="zh-CN"/>
          <w14:textFill>
            <w14:solidFill>
              <w14:schemeClr w14:val="tx1"/>
            </w14:solidFill>
          </w14:textFill>
        </w:rPr>
        <w:t>广西政府采购云</w:t>
      </w:r>
      <w:r>
        <w:rPr>
          <w:rFonts w:hint="eastAsia" w:ascii="宋体" w:hAnsi="宋体" w:eastAsia="宋体" w:cs="宋体"/>
          <w:color w:val="000000" w:themeColor="text1"/>
          <w:sz w:val="24"/>
          <w:highlight w:val="none"/>
          <w14:textFill>
            <w14:solidFill>
              <w14:schemeClr w14:val="tx1"/>
            </w14:solidFill>
          </w14:textFill>
        </w:rPr>
        <w:t>平台”的身份认证，确保在电子投标过程中能够对相关数据电文进行加密和使用电子签章。使用“</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电子交易客户端”需要提前申领CA数字证书，申领流程请自行前往</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网站进行查阅；</w:t>
      </w:r>
      <w:r>
        <w:rPr>
          <w:rFonts w:hint="eastAsia" w:ascii="宋体" w:hAnsi="宋体" w:eastAsia="宋体" w:cs="宋体"/>
          <w:b/>
          <w:bCs/>
          <w:color w:val="000000" w:themeColor="text1"/>
          <w:sz w:val="24"/>
          <w:highlight w:val="none"/>
          <w14:textFill>
            <w14:solidFill>
              <w14:schemeClr w14:val="tx1"/>
            </w14:solidFill>
          </w14:textFill>
        </w:rPr>
        <w:t>（完成CA数字证书办理预计一周左右，建议供应商获取</w:t>
      </w:r>
      <w:r>
        <w:rPr>
          <w:rFonts w:hint="eastAsia" w:ascii="宋体" w:hAnsi="宋体" w:eastAsia="宋体" w:cs="宋体"/>
          <w:b/>
          <w:bCs/>
          <w:color w:val="000000" w:themeColor="text1"/>
          <w:sz w:val="24"/>
          <w:highlight w:val="none"/>
          <w:lang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文件后立即办理。）</w:t>
      </w:r>
    </w:p>
    <w:p>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截止时间前，将生成的“电子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响应文件”上传递交至</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截止时间前可以撤回电子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响应文件。补充或者修改电子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截止时间前未完成传输的，视为撤回</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w:t>
      </w:r>
    </w:p>
    <w:p>
      <w:pPr>
        <w:pStyle w:val="24"/>
        <w:ind w:firstLine="480" w:firstLineChars="200"/>
        <w:rPr>
          <w:rFonts w:hint="eastAsia"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4.本项目需要磋商供应商代表在截标当天截标后，按磋商小组要求及时登陆</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等候在线磋商及提交最后报价。</w:t>
      </w:r>
    </w:p>
    <w:p>
      <w:pPr>
        <w:pStyle w:val="24"/>
        <w:ind w:firstLine="480" w:firstLineChars="200"/>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b/>
          <w:bCs/>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.本采购项目为</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全流程电子化操作，参与磋商的供应商需自备计算机和网络设备（设备需可视频通话和读取</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CA数字证书），确保磋商过程顺利进行；因供应商自身设备或网络原因造成的一切后果，由供应商自行承担。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、凡对本次采购提出询问，请按以下方式联系。</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bookmarkStart w:id="35" w:name="_Toc35393637"/>
      <w:bookmarkStart w:id="36" w:name="_Toc28359096"/>
      <w:bookmarkStart w:id="37" w:name="_Toc35393806"/>
      <w:bookmarkStart w:id="38" w:name="_Toc28359019"/>
      <w:r>
        <w:rPr>
          <w:rFonts w:hint="eastAsia" w:ascii="宋体" w:hAnsi="宋体" w:eastAsia="宋体" w:cs="宋体"/>
          <w:color w:val="000000" w:themeColor="text1"/>
          <w:sz w:val="24"/>
          <w:highlight w:val="none"/>
          <w14:textFill>
            <w14:solidFill>
              <w14:schemeClr w14:val="tx1"/>
            </w14:solidFill>
          </w14:textFill>
        </w:rPr>
        <w:t>1.采购人信息</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bookmarkStart w:id="39" w:name="_Toc28359097"/>
      <w:bookmarkStart w:id="40" w:name="_Toc35393638"/>
      <w:bookmarkStart w:id="41" w:name="_Toc28359020"/>
      <w:bookmarkStart w:id="42" w:name="_Toc35393807"/>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szCs w:val="24"/>
          <w:highlight w:val="none"/>
          <w:u w:val="single"/>
          <w:lang w:val="en-US" w:eastAsia="zh-CN"/>
          <w14:textFill>
            <w14:solidFill>
              <w14:schemeClr w14:val="tx1"/>
            </w14:solidFill>
          </w14:textFill>
        </w:rPr>
        <w:t>资源县红色文化研学培训管理中心</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eastAsia="zh-CN"/>
          <w14:textFill>
            <w14:solidFill>
              <w14:schemeClr w14:val="tx1"/>
            </w14:solidFill>
          </w14:textFill>
        </w:rPr>
        <w:t>广西桂林市资源县河西北路</w:t>
      </w:r>
      <w:r>
        <w:rPr>
          <w:rFonts w:hint="eastAsia" w:ascii="宋体" w:hAnsi="宋体" w:cs="宋体"/>
          <w:color w:val="000000" w:themeColor="text1"/>
          <w:sz w:val="24"/>
          <w:highlight w:val="none"/>
          <w:u w:val="single"/>
          <w:lang w:val="en-US" w:eastAsia="zh-CN"/>
          <w14:textFill>
            <w14:solidFill>
              <w14:schemeClr w14:val="tx1"/>
            </w14:solidFill>
          </w14:textFill>
        </w:rPr>
        <w:t>202号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val="en-US" w:eastAsia="zh-CN"/>
          <w14:textFill>
            <w14:solidFill>
              <w14:schemeClr w14:val="tx1"/>
            </w14:solidFill>
          </w14:textFill>
        </w:rPr>
        <w:t>邹老师 0773-4311032</w:t>
      </w:r>
      <w:r>
        <w:rPr>
          <w:rFonts w:hint="eastAsia" w:ascii="宋体" w:hAnsi="宋体" w:cs="宋体"/>
          <w:color w:val="000000" w:themeColor="text1"/>
          <w:sz w:val="24"/>
          <w:highlight w:val="none"/>
          <w:u w:val="singl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w:t>
      </w:r>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xml:space="preserve"> 桂林市政府集中采购中心　</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xml:space="preserve"> 桂林市临桂区西城中路69号创业大厦西辅楼5楼　</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0773-5625175</w:t>
      </w:r>
    </w:p>
    <w:p>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bookmarkStart w:id="43" w:name="_Toc28359021"/>
      <w:bookmarkStart w:id="44" w:name="_Toc35393639"/>
      <w:bookmarkStart w:id="45" w:name="_Toc28359098"/>
      <w:bookmarkStart w:id="46" w:name="_Toc35393808"/>
      <w:r>
        <w:rPr>
          <w:rFonts w:hint="eastAsia" w:ascii="宋体" w:hAnsi="宋体" w:eastAsia="宋体" w:cs="宋体"/>
          <w:color w:val="000000" w:themeColor="text1"/>
          <w:sz w:val="24"/>
          <w:highlight w:val="none"/>
          <w14:textFill>
            <w14:solidFill>
              <w14:schemeClr w14:val="tx1"/>
            </w14:solidFill>
          </w14:textFill>
        </w:rPr>
        <w:t>3.项目联系方式</w:t>
      </w:r>
      <w:bookmarkEnd w:id="43"/>
      <w:bookmarkEnd w:id="44"/>
      <w:bookmarkEnd w:id="45"/>
      <w:bookmarkEnd w:id="46"/>
    </w:p>
    <w:p>
      <w:pPr>
        <w:pStyle w:val="12"/>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hAnsi="宋体" w:cs="宋体"/>
          <w:color w:val="000000" w:themeColor="text1"/>
          <w:sz w:val="24"/>
          <w:szCs w:val="24"/>
          <w:highlight w:val="none"/>
          <w:u w:val="single"/>
          <w:lang w:val="en-US" w:eastAsia="zh-CN"/>
          <w14:textFill>
            <w14:solidFill>
              <w14:schemeClr w14:val="tx1"/>
            </w14:solidFill>
          </w14:textFill>
        </w:rPr>
        <w:t>李工</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0773-5625175</w:t>
      </w:r>
    </w:p>
    <w:p>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4.政府采购监督管理机构</w:t>
      </w:r>
    </w:p>
    <w:p>
      <w:pPr>
        <w:spacing w:line="380" w:lineRule="exact"/>
        <w:ind w:firstLine="720" w:firstLineChars="3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资源县财政局</w:t>
      </w:r>
    </w:p>
    <w:p>
      <w:pPr>
        <w:spacing w:line="380" w:lineRule="exact"/>
        <w:ind w:firstLine="720" w:firstLineChars="3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lang w:eastAsia="zh-CN"/>
          <w14:textFill>
            <w14:solidFill>
              <w14:schemeClr w14:val="tx1"/>
            </w14:solidFill>
          </w14:textFill>
        </w:rPr>
        <w:t>0773-4315648</w:t>
      </w: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47" w:name="_Toc10668"/>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pPr>
        <w:pStyle w:val="3"/>
        <w:numPr>
          <w:ilvl w:val="0"/>
          <w:numId w:val="0"/>
        </w:numPr>
        <w:spacing w:line="24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第二章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供应商须知</w:t>
      </w:r>
      <w:bookmarkEnd w:id="0"/>
      <w:bookmarkEnd w:id="1"/>
      <w:bookmarkEnd w:id="47"/>
    </w:p>
    <w:p>
      <w:pPr>
        <w:pStyle w:val="4"/>
        <w:jc w:val="center"/>
        <w:rPr>
          <w:rFonts w:hint="eastAsia" w:ascii="宋体" w:hAnsi="宋体" w:eastAsia="宋体" w:cs="宋体"/>
          <w:b/>
          <w:bCs w:val="0"/>
          <w:color w:val="000000" w:themeColor="text1"/>
          <w:sz w:val="24"/>
          <w:szCs w:val="24"/>
          <w:highlight w:val="none"/>
          <w14:textFill>
            <w14:solidFill>
              <w14:schemeClr w14:val="tx1"/>
            </w14:solidFill>
          </w14:textFill>
        </w:rPr>
      </w:pPr>
      <w:bookmarkStart w:id="48" w:name="_Toc25063"/>
      <w:bookmarkStart w:id="49" w:name="_Toc13547"/>
      <w:bookmarkStart w:id="50" w:name="_Toc9508"/>
      <w:r>
        <w:rPr>
          <w:rFonts w:hint="eastAsia" w:ascii="宋体" w:hAnsi="宋体" w:eastAsia="宋体" w:cs="宋体"/>
          <w:b/>
          <w:bCs w:val="0"/>
          <w:color w:val="000000" w:themeColor="text1"/>
          <w:sz w:val="24"/>
          <w:szCs w:val="24"/>
          <w:highlight w:val="none"/>
          <w14:textFill>
            <w14:solidFill>
              <w14:schemeClr w14:val="tx1"/>
            </w14:solidFill>
          </w14:textFill>
        </w:rPr>
        <w:t>供 应 商 须 知 前 附 表</w:t>
      </w:r>
      <w:bookmarkEnd w:id="48"/>
      <w:bookmarkEnd w:id="49"/>
      <w:bookmarkEnd w:id="50"/>
    </w:p>
    <w:tbl>
      <w:tblPr>
        <w:tblStyle w:val="20"/>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条款名称</w:t>
            </w:r>
          </w:p>
        </w:tc>
        <w:tc>
          <w:tcPr>
            <w:tcW w:w="691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项目名称及项目编号</w:t>
            </w:r>
          </w:p>
        </w:tc>
        <w:tc>
          <w:tcPr>
            <w:tcW w:w="6912" w:type="dxa"/>
            <w:vAlign w:val="top"/>
          </w:tcPr>
          <w:p>
            <w:pPr>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资源县红色文化培训中心物业服务项目</w:t>
            </w:r>
          </w:p>
          <w:p>
            <w:pPr>
              <w:spacing w:line="360" w:lineRule="auto"/>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GLZC2024-C3-290264-GLSZ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供应商资格</w:t>
            </w:r>
          </w:p>
        </w:tc>
        <w:tc>
          <w:tcPr>
            <w:tcW w:w="6912" w:type="dxa"/>
            <w:vAlign w:val="center"/>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3.1</w:t>
            </w:r>
            <w:r>
              <w:rPr>
                <w:rFonts w:hint="eastAsia" w:ascii="宋体" w:hAnsi="宋体" w:eastAsia="宋体" w:cs="宋体"/>
                <w:color w:val="000000" w:themeColor="text1"/>
                <w:szCs w:val="21"/>
                <w:highlight w:val="none"/>
                <w14:textFill>
                  <w14:solidFill>
                    <w14:schemeClr w14:val="tx1"/>
                  </w14:solidFill>
                </w14:textFill>
              </w:rPr>
              <w:t>符合《中华人民共和国政府采购法》第二十二条和《政府采购法实施条例》第十八条规定，具备合法资格的供应商；</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14:textFill>
                  <w14:solidFill>
                    <w14:schemeClr w14:val="tx1"/>
                  </w14:solidFill>
                </w14:textFill>
              </w:rPr>
              <w:t>本项目不接受联合体参与磋商；</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本项目专门面向中小微企业，所属行业为物业管理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磋商费用</w:t>
            </w:r>
          </w:p>
        </w:tc>
        <w:tc>
          <w:tcPr>
            <w:tcW w:w="6912" w:type="dxa"/>
            <w:vAlign w:val="center"/>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942"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13</w:t>
            </w:r>
          </w:p>
        </w:tc>
        <w:tc>
          <w:tcPr>
            <w:tcW w:w="1775"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磋商报价及采购预算金额</w:t>
            </w:r>
          </w:p>
        </w:tc>
        <w:tc>
          <w:tcPr>
            <w:tcW w:w="6912" w:type="dxa"/>
            <w:vAlign w:val="center"/>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采购预算金额</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每年预算人民币肆拾柒万柒仟元整（¥477000.00元），三年总预算人民币壹佰肆拾叁万壹仟元整（¥1431000.00元）</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供应商报价</w:t>
            </w:r>
            <w:r>
              <w:rPr>
                <w:rFonts w:hint="eastAsia" w:ascii="宋体" w:hAnsi="宋体" w:eastAsia="宋体" w:cs="宋体"/>
                <w:color w:val="000000" w:themeColor="text1"/>
                <w:kern w:val="0"/>
                <w:szCs w:val="21"/>
                <w:highlight w:val="none"/>
                <w14:textFill>
                  <w14:solidFill>
                    <w14:schemeClr w14:val="tx1"/>
                  </w14:solidFill>
                </w14:textFill>
              </w:rPr>
              <w:t>超出采购预算金额的，响应文件按无效处理。</w:t>
            </w:r>
          </w:p>
          <w:p>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13.2供应商必须就“采购需求”中所有内容作完整唯一报价，否则，其响应文件无效；响应文件只允许有一个报价，有选择的或有条件的报价将不予接受。</w:t>
            </w:r>
          </w:p>
          <w:p>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w:t>
            </w:r>
            <w:r>
              <w:rPr>
                <w:rFonts w:hint="eastAsia" w:ascii="宋体" w:hAnsi="宋体" w:eastAsia="宋体" w:cs="宋体"/>
                <w:color w:val="000000" w:themeColor="text1"/>
                <w:kern w:val="0"/>
                <w:szCs w:val="21"/>
                <w:highlight w:val="none"/>
                <w14:textFill>
                  <w14:solidFill>
                    <w14:schemeClr w14:val="tx1"/>
                  </w14:solidFill>
                </w14:textFill>
              </w:rPr>
              <w:t>供应商应在规定时间内</w:t>
            </w:r>
            <w:r>
              <w:rPr>
                <w:rFonts w:hint="eastAsia" w:ascii="宋体" w:hAnsi="宋体" w:eastAsia="宋体" w:cs="宋体"/>
                <w:color w:val="000000" w:themeColor="text1"/>
                <w:kern w:val="0"/>
                <w:szCs w:val="21"/>
                <w:highlight w:val="none"/>
                <w:lang w:eastAsia="zh-CN"/>
                <w14:textFill>
                  <w14:solidFill>
                    <w14:schemeClr w14:val="tx1"/>
                  </w14:solidFill>
                </w14:textFill>
              </w:rPr>
              <w:t>在</w:t>
            </w:r>
            <w:r>
              <w:rPr>
                <w:rFonts w:hint="eastAsia" w:ascii="宋体" w:hAnsi="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lang w:eastAsia="zh-CN"/>
                <w14:textFill>
                  <w14:solidFill>
                    <w14:schemeClr w14:val="tx1"/>
                  </w14:solidFill>
                </w14:textFill>
              </w:rPr>
              <w:t>系统上</w:t>
            </w:r>
            <w:r>
              <w:rPr>
                <w:rFonts w:hint="eastAsia" w:ascii="宋体" w:hAnsi="宋体" w:eastAsia="宋体" w:cs="宋体"/>
                <w:color w:val="000000" w:themeColor="text1"/>
                <w:kern w:val="0"/>
                <w:szCs w:val="21"/>
                <w:highlight w:val="none"/>
                <w14:textFill>
                  <w14:solidFill>
                    <w14:schemeClr w14:val="tx1"/>
                  </w14:solidFill>
                </w14:textFill>
              </w:rPr>
              <w:t>提交最后报价，</w:t>
            </w:r>
            <w:r>
              <w:rPr>
                <w:rFonts w:hint="eastAsia" w:ascii="宋体" w:hAnsi="宋体" w:eastAsia="宋体" w:cs="宋体"/>
                <w:color w:val="000000" w:themeColor="text1"/>
                <w:kern w:val="0"/>
                <w:szCs w:val="21"/>
                <w:highlight w:val="none"/>
                <w:lang w:eastAsia="zh-CN"/>
                <w14:textFill>
                  <w14:solidFill>
                    <w14:schemeClr w14:val="tx1"/>
                  </w14:solidFill>
                </w14:textFill>
              </w:rPr>
              <w:t>超出评委设定的最后报价时限或其</w:t>
            </w:r>
            <w:r>
              <w:rPr>
                <w:rFonts w:hint="eastAsia" w:ascii="宋体" w:hAnsi="宋体" w:eastAsia="宋体" w:cs="宋体"/>
                <w:color w:val="000000" w:themeColor="text1"/>
                <w:kern w:val="0"/>
                <w:szCs w:val="21"/>
                <w:highlight w:val="none"/>
                <w14:textFill>
                  <w14:solidFill>
                    <w14:schemeClr w14:val="tx1"/>
                  </w14:solidFill>
                </w14:textFill>
              </w:rPr>
              <w:t>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942"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14.1</w:t>
            </w:r>
          </w:p>
        </w:tc>
        <w:tc>
          <w:tcPr>
            <w:tcW w:w="1775"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响应文件有效期</w:t>
            </w:r>
          </w:p>
        </w:tc>
        <w:tc>
          <w:tcPr>
            <w:tcW w:w="6912" w:type="dxa"/>
            <w:vAlign w:val="top"/>
          </w:tcPr>
          <w:p>
            <w:pPr>
              <w:tabs>
                <w:tab w:val="left" w:pos="1305"/>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942"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15</w:t>
            </w:r>
          </w:p>
        </w:tc>
        <w:tc>
          <w:tcPr>
            <w:tcW w:w="1775"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保证金</w:t>
            </w:r>
          </w:p>
        </w:tc>
        <w:tc>
          <w:tcPr>
            <w:tcW w:w="6912" w:type="dxa"/>
            <w:vAlign w:val="top"/>
          </w:tcPr>
          <w:p>
            <w:pPr>
              <w:tabs>
                <w:tab w:val="left" w:pos="1305"/>
              </w:tabs>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本项目无需缴纳磋商保证金</w:t>
            </w:r>
            <w:r>
              <w:rPr>
                <w:rFonts w:hint="eastAsia" w:ascii="宋体" w:hAnsi="宋体" w:cs="宋体"/>
                <w:b/>
                <w:bCs/>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94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1775" w:type="dxa"/>
            <w:vAlign w:val="center"/>
          </w:tcPr>
          <w:p>
            <w:pPr>
              <w:pStyle w:val="5"/>
              <w:spacing w:before="0" w:after="0" w:line="360" w:lineRule="auto"/>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bookmarkStart w:id="51" w:name="_Toc27452"/>
            <w:bookmarkStart w:id="52" w:name="_Toc19911"/>
            <w:r>
              <w:rPr>
                <w:rFonts w:hint="eastAsia" w:ascii="宋体" w:hAnsi="宋体" w:eastAsia="宋体" w:cs="宋体"/>
                <w:b w:val="0"/>
                <w:bCs/>
                <w:color w:val="000000" w:themeColor="text1"/>
                <w:sz w:val="21"/>
                <w:szCs w:val="21"/>
                <w:highlight w:val="none"/>
                <w14:textFill>
                  <w14:solidFill>
                    <w14:schemeClr w14:val="tx1"/>
                  </w14:solidFill>
                </w14:textFill>
              </w:rPr>
              <w:t>竞争性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color w:val="000000" w:themeColor="text1"/>
                <w:sz w:val="21"/>
                <w:szCs w:val="21"/>
                <w:highlight w:val="none"/>
                <w14:textFill>
                  <w14:solidFill>
                    <w14:schemeClr w14:val="tx1"/>
                  </w14:solidFill>
                </w14:textFill>
              </w:rPr>
              <w:t>响应文件的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制作</w:t>
            </w:r>
            <w:bookmarkEnd w:id="51"/>
            <w:bookmarkEnd w:id="52"/>
          </w:p>
          <w:p>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p>
        </w:tc>
        <w:tc>
          <w:tcPr>
            <w:tcW w:w="6912" w:type="dxa"/>
            <w:vAlign w:val="center"/>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供应商将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电子交易客户端下载、安装完成后，可通过账号密码或 CA 登录客户端进行响应文件制作。客户端请至网站下载专区查看，如有问题可拨打</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w:t>
            </w:r>
          </w:p>
        </w:tc>
        <w:tc>
          <w:tcPr>
            <w:tcW w:w="6912" w:type="dxa"/>
            <w:vAlign w:val="center"/>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2024年11月22日上午9时30分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spacing w:line="360" w:lineRule="auto"/>
              <w:jc w:val="center"/>
              <w:rPr>
                <w:rFonts w:hint="eastAsia" w:ascii="宋体" w:hAnsi="宋体" w:eastAsia="宋体" w:cs="宋体"/>
                <w:color w:val="000000" w:themeColor="text1"/>
                <w:position w:val="-2"/>
                <w:szCs w:val="21"/>
                <w:highlight w:val="none"/>
                <w:lang w:eastAsia="zh-CN"/>
                <w14:textFill>
                  <w14:solidFill>
                    <w14:schemeClr w14:val="tx1"/>
                  </w14:solidFill>
                </w14:textFill>
              </w:rPr>
            </w:pPr>
            <w:r>
              <w:rPr>
                <w:rFonts w:hint="eastAsia" w:ascii="宋体" w:hAnsi="宋体" w:eastAsia="宋体" w:cs="宋体"/>
                <w:color w:val="000000" w:themeColor="text1"/>
                <w:position w:val="-2"/>
                <w:szCs w:val="21"/>
                <w:highlight w:val="none"/>
                <w:lang w:val="en-US" w:eastAsia="zh-CN"/>
                <w14:textFill>
                  <w14:solidFill>
                    <w14:schemeClr w14:val="tx1"/>
                  </w14:solidFill>
                </w14:textFill>
              </w:rPr>
              <w:t>9</w:t>
            </w:r>
          </w:p>
        </w:tc>
        <w:tc>
          <w:tcPr>
            <w:tcW w:w="942"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18.2</w:t>
            </w:r>
          </w:p>
        </w:tc>
        <w:tc>
          <w:tcPr>
            <w:tcW w:w="1775" w:type="dxa"/>
            <w:vAlign w:val="center"/>
          </w:tcPr>
          <w:p>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磋商响应文件解密时间</w:t>
            </w:r>
            <w:r>
              <w:rPr>
                <w:rFonts w:hint="eastAsia" w:ascii="宋体" w:hAnsi="宋体" w:cs="宋体"/>
                <w:color w:val="000000" w:themeColor="text1"/>
                <w:szCs w:val="21"/>
                <w:highlight w:val="none"/>
                <w:lang w:eastAsia="zh-CN"/>
                <w14:textFill>
                  <w14:solidFill>
                    <w14:schemeClr w14:val="tx1"/>
                  </w14:solidFill>
                </w14:textFill>
              </w:rPr>
              <w:t>及地点</w:t>
            </w:r>
          </w:p>
        </w:tc>
        <w:tc>
          <w:tcPr>
            <w:tcW w:w="6912" w:type="dxa"/>
            <w:vAlign w:val="center"/>
          </w:tcPr>
          <w:p>
            <w:pPr>
              <w:pStyle w:val="9"/>
              <w:rPr>
                <w:rFonts w:hint="eastAsia" w:ascii="宋体" w:hAnsi="宋体" w:eastAsia="宋体" w:cs="宋体"/>
                <w:b w:val="0"/>
                <w:bCs w:val="0"/>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磋商响应文件解密时间</w:t>
            </w:r>
            <w:r>
              <w:rPr>
                <w:rFonts w:hint="eastAsia" w:ascii="宋体" w:hAnsi="宋体" w:eastAsia="宋体" w:cs="宋体"/>
                <w:b w:val="0"/>
                <w:bCs w:val="0"/>
                <w:color w:val="000000" w:themeColor="text1"/>
                <w:kern w:val="2"/>
                <w:highlight w:val="none"/>
                <w:lang w:eastAsia="zh-CN"/>
                <w14:textFill>
                  <w14:solidFill>
                    <w14:schemeClr w14:val="tx1"/>
                  </w14:solidFill>
                </w14:textFill>
              </w:rPr>
              <w:t>：截标时间后</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30</w:t>
            </w:r>
            <w:r>
              <w:rPr>
                <w:rFonts w:hint="eastAsia" w:ascii="宋体" w:hAnsi="宋体" w:eastAsia="宋体" w:cs="宋体"/>
                <w:b w:val="0"/>
                <w:bCs w:val="0"/>
                <w:color w:val="000000" w:themeColor="text1"/>
                <w:kern w:val="2"/>
                <w:highlight w:val="none"/>
                <w:lang w:eastAsia="zh-CN"/>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2024年11月22日上午9时30分</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至</w:t>
            </w:r>
            <w:r>
              <w:rPr>
                <w:rFonts w:hint="eastAsia" w:ascii="宋体" w:hAnsi="宋体" w:eastAsia="宋体" w:cs="宋体"/>
                <w:b w:val="0"/>
                <w:bCs w:val="0"/>
                <w:color w:val="000000" w:themeColor="text1"/>
                <w:kern w:val="2"/>
                <w:highlight w:val="none"/>
                <w:u w:val="single"/>
                <w:lang w:val="en-US" w:eastAsia="zh-CN"/>
                <w14:textFill>
                  <w14:solidFill>
                    <w14:schemeClr w14:val="tx1"/>
                  </w14:solidFill>
                </w14:textFill>
              </w:rPr>
              <w:t>1</w:t>
            </w:r>
            <w:r>
              <w:rPr>
                <w:rFonts w:hint="eastAsia" w:ascii="宋体" w:hAnsi="宋体" w:cs="宋体"/>
                <w:b w:val="0"/>
                <w:bCs w:val="0"/>
                <w:color w:val="000000" w:themeColor="text1"/>
                <w:kern w:val="2"/>
                <w:highlight w:val="none"/>
                <w:u w:val="single"/>
                <w:lang w:val="en-US" w:eastAsia="zh-CN"/>
                <w14:textFill>
                  <w14:solidFill>
                    <w14:schemeClr w14:val="tx1"/>
                  </w14:solidFill>
                </w14:textFill>
              </w:rPr>
              <w:t>0</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时</w:t>
            </w:r>
            <w:r>
              <w:rPr>
                <w:rFonts w:hint="eastAsia" w:ascii="宋体" w:hAnsi="宋体" w:eastAsia="宋体" w:cs="宋体"/>
                <w:b w:val="0"/>
                <w:bCs w:val="0"/>
                <w:color w:val="000000" w:themeColor="text1"/>
                <w:kern w:val="2"/>
                <w:highlight w:val="none"/>
                <w:u w:val="single"/>
                <w:lang w:val="en-US" w:eastAsia="zh-CN"/>
                <w14:textFill>
                  <w14:solidFill>
                    <w14:schemeClr w14:val="tx1"/>
                  </w14:solidFill>
                </w14:textFill>
              </w:rPr>
              <w:t>00</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分</w:t>
            </w:r>
            <w:r>
              <w:rPr>
                <w:rFonts w:hint="eastAsia" w:ascii="宋体" w:hAnsi="宋体" w:eastAsia="宋体" w:cs="宋体"/>
                <w:b w:val="0"/>
                <w:bCs w:val="0"/>
                <w:color w:val="000000" w:themeColor="text1"/>
                <w:kern w:val="2"/>
                <w:highlight w:val="none"/>
                <w:lang w:eastAsia="zh-CN"/>
                <w14:textFill>
                  <w14:solidFill>
                    <w14:schemeClr w14:val="tx1"/>
                  </w14:solidFill>
                </w14:textFill>
              </w:rPr>
              <w:t>)磋商供应商可以登录</w:t>
            </w:r>
            <w:r>
              <w:rPr>
                <w:rFonts w:hint="eastAsia" w:ascii="宋体" w:hAnsi="宋体" w:cs="宋体"/>
                <w:b w:val="0"/>
                <w:bCs w:val="0"/>
                <w:color w:val="000000" w:themeColor="text1"/>
                <w:kern w:val="2"/>
                <w:highlight w:val="none"/>
                <w:lang w:eastAsia="zh-CN"/>
                <w14:textFill>
                  <w14:solidFill>
                    <w14:schemeClr w14:val="tx1"/>
                  </w14:solidFill>
                </w14:textFill>
              </w:rPr>
              <w:t>广西政府采购云平台</w:t>
            </w:r>
            <w:r>
              <w:rPr>
                <w:rFonts w:hint="eastAsia" w:ascii="宋体" w:hAnsi="宋体" w:eastAsia="宋体" w:cs="宋体"/>
                <w:b w:val="0"/>
                <w:bCs w:val="0"/>
                <w:color w:val="000000" w:themeColor="text1"/>
                <w:kern w:val="2"/>
                <w:highlight w:val="none"/>
                <w:lang w:eastAsia="zh-CN"/>
                <w14:textFill>
                  <w14:solidFill>
                    <w14:schemeClr w14:val="tx1"/>
                  </w14:solidFill>
                </w14:textFill>
              </w:rPr>
              <w:t>，用“项目采购-开标评标”功能进行解密</w:t>
            </w:r>
            <w:r>
              <w:rPr>
                <w:rFonts w:hint="eastAsia" w:ascii="宋体" w:hAnsi="宋体" w:eastAsia="宋体" w:cs="宋体"/>
                <w:color w:val="000000" w:themeColor="text1"/>
                <w:highlight w:val="none"/>
                <w:lang w:eastAsia="zh-CN"/>
                <w14:textFill>
                  <w14:solidFill>
                    <w14:schemeClr w14:val="tx1"/>
                  </w14:solidFill>
                </w14:textFill>
              </w:rPr>
              <w:t>磋商响应文件</w:t>
            </w:r>
            <w:r>
              <w:rPr>
                <w:rFonts w:hint="eastAsia" w:ascii="宋体" w:hAnsi="宋体" w:eastAsia="宋体" w:cs="宋体"/>
                <w:b w:val="0"/>
                <w:bCs w:val="0"/>
                <w:color w:val="000000" w:themeColor="text1"/>
                <w:kern w:val="2"/>
                <w:highlight w:val="none"/>
                <w:lang w:eastAsia="zh-CN"/>
                <w14:textFill>
                  <w14:solidFill>
                    <w14:schemeClr w14:val="tx1"/>
                  </w14:solidFill>
                </w14:textFill>
              </w:rPr>
              <w:t>。</w:t>
            </w:r>
          </w:p>
          <w:p>
            <w:pPr>
              <w:pStyle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注：投标文件网上递交截止时间后，各投标人须在解密时限内对上传</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的投标文件进行解密，所有投标人在规定的解密时限内解密完成或解密时限结束后，我中心开启已解密的响应文件。投标人超过解密时限未解密的，系统默认自动放弃，造成投标无效的后果由投标人自行承担</w:t>
            </w:r>
            <w:r>
              <w:rPr>
                <w:rFonts w:hint="eastAsia" w:ascii="宋体" w:hAnsi="宋体" w:cs="宋体"/>
                <w:b/>
                <w:bCs/>
                <w:color w:val="000000" w:themeColor="text1"/>
                <w:szCs w:val="21"/>
                <w:highlight w:val="none"/>
                <w:lang w:val="en-US" w:eastAsia="zh-CN"/>
                <w14:textFill>
                  <w14:solidFill>
                    <w14:schemeClr w14:val="tx1"/>
                  </w14:solidFill>
                </w14:textFill>
              </w:rPr>
              <w:t>，解密响应文件后，30分钟内在线签字确认，超过时间没有在线签字确认的系统将自动视为供应商认可</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942" w:type="dxa"/>
            <w:vAlign w:val="center"/>
          </w:tcPr>
          <w:p>
            <w:pPr>
              <w:spacing w:line="360" w:lineRule="auto"/>
              <w:ind w:firstLine="105" w:firstLineChars="50"/>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19.1</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磋商小组组成</w:t>
            </w:r>
          </w:p>
        </w:tc>
        <w:tc>
          <w:tcPr>
            <w:tcW w:w="6912" w:type="dxa"/>
            <w:vAlign w:val="center"/>
          </w:tcPr>
          <w:p>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磋商时间、地点、人员</w:t>
            </w:r>
          </w:p>
        </w:tc>
        <w:tc>
          <w:tcPr>
            <w:tcW w:w="6912" w:type="dxa"/>
            <w:vAlign w:val="top"/>
          </w:tcPr>
          <w:p>
            <w:pPr>
              <w:spacing w:line="360" w:lineRule="auto"/>
              <w:ind w:left="315" w:hanging="315" w:hanging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p>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19.2.2磋商地点：本项目需要磋商供应商代表在截标当天截标后，按磋商小组要求及时登陆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pPr>
              <w:spacing w:line="360" w:lineRule="auto"/>
              <w:ind w:left="15" w:hanging="14" w:hangingChars="7"/>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19.2.3磋商参加人员：供应商法定代表人、负责人、自然人或相应的委托代</w:t>
            </w:r>
            <w:r>
              <w:rPr>
                <w:rFonts w:hint="eastAsia" w:ascii="宋体" w:hAnsi="宋体" w:eastAsia="宋体" w:cs="宋体"/>
                <w:color w:val="000000" w:themeColor="text1"/>
                <w:szCs w:val="21"/>
                <w:highlight w:val="none"/>
                <w:u w:val="none"/>
                <w14:textFill>
                  <w14:solidFill>
                    <w14:schemeClr w14:val="tx1"/>
                  </w14:solidFill>
                </w14:textFill>
              </w:rPr>
              <w:t>理人持有效身份证原件</w:t>
            </w:r>
            <w:r>
              <w:rPr>
                <w:rFonts w:hint="eastAsia" w:ascii="宋体" w:hAnsi="宋体" w:eastAsia="宋体" w:cs="宋体"/>
                <w:color w:val="000000" w:themeColor="text1"/>
                <w:szCs w:val="21"/>
                <w:highlight w:val="none"/>
                <w:u w:val="none"/>
                <w:lang w:eastAsia="zh-CN"/>
                <w14:textFill>
                  <w14:solidFill>
                    <w14:schemeClr w14:val="tx1"/>
                  </w14:solidFill>
                </w14:textFill>
              </w:rPr>
              <w:t>和供应商</w:t>
            </w:r>
            <w:r>
              <w:rPr>
                <w:rFonts w:hint="eastAsia" w:ascii="宋体" w:hAnsi="宋体" w:cs="宋体"/>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u w:val="none"/>
                <w:lang w:val="en-US" w:eastAsia="zh-CN"/>
                <w14:textFill>
                  <w14:solidFill>
                    <w14:schemeClr w14:val="tx1"/>
                  </w14:solidFill>
                </w14:textFill>
              </w:rPr>
              <w:t>CA数字证书</w:t>
            </w:r>
            <w:r>
              <w:rPr>
                <w:rFonts w:hint="eastAsia" w:ascii="宋体" w:hAnsi="宋体" w:eastAsia="宋体" w:cs="宋体"/>
                <w:color w:val="000000" w:themeColor="text1"/>
                <w:szCs w:val="21"/>
                <w:highlight w:val="none"/>
                <w14:textFill>
                  <w14:solidFill>
                    <w14:schemeClr w14:val="tx1"/>
                  </w14:solidFill>
                </w14:textFill>
              </w:rPr>
              <w:t>参加磋商。请供应商按时到达指定地点等候磋商。</w:t>
            </w:r>
          </w:p>
          <w:p>
            <w:pPr>
              <w:tabs>
                <w:tab w:val="left" w:pos="1140"/>
              </w:tabs>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19.2.4响应文件递交截止时间后，由磋商小组在评标室内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p>
        </w:tc>
        <w:tc>
          <w:tcPr>
            <w:tcW w:w="1775" w:type="dxa"/>
            <w:vAlign w:val="center"/>
          </w:tcPr>
          <w:p>
            <w:pPr>
              <w:pStyle w:val="12"/>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评审办法</w:t>
            </w:r>
          </w:p>
        </w:tc>
        <w:tc>
          <w:tcPr>
            <w:tcW w:w="6912" w:type="dxa"/>
            <w:vAlign w:val="center"/>
          </w:tcPr>
          <w:p>
            <w:pPr>
              <w:tabs>
                <w:tab w:val="left" w:pos="11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信用查询</w:t>
            </w:r>
          </w:p>
        </w:tc>
        <w:tc>
          <w:tcPr>
            <w:tcW w:w="6912" w:type="dxa"/>
            <w:vAlign w:val="center"/>
          </w:tcPr>
          <w:p>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根据《关于做好政府采购有关信用主体标识码登记及在政府采购活动中查询使用信用记录有关问题的通知》（桂财采〔2016〕37</w:t>
            </w:r>
            <w:r>
              <w:rPr>
                <w:rFonts w:hint="eastAsia"/>
                <w:color w:val="000000" w:themeColor="text1"/>
                <w:highlight w:val="none"/>
                <w:lang w:eastAsia="zh-CN"/>
                <w14:textFill>
                  <w14:solidFill>
                    <w14:schemeClr w14:val="tx1"/>
                  </w14:solidFill>
                </w14:textFill>
              </w:rPr>
              <w:t>号</w:t>
            </w:r>
            <w:r>
              <w:rPr>
                <w:rFonts w:hint="eastAsia" w:ascii="宋体" w:hAnsi="宋体" w:eastAsia="宋体" w:cs="宋体"/>
                <w:color w:val="000000" w:themeColor="text1"/>
                <w:szCs w:val="21"/>
                <w:highlight w:val="none"/>
                <w14:textFill>
                  <w14:solidFill>
                    <w14:schemeClr w14:val="tx1"/>
                  </w14:solidFill>
                </w14:textFill>
              </w:rPr>
              <w:t>），由采购代理机构对第一成交候选人进行信用查询：</w:t>
            </w:r>
          </w:p>
          <w:p>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⑴查询渠道：“信用中国”网站(www.creditchina.gov.cn)、中国政府采购网(www.ccgp.gov.cn)等；</w:t>
            </w:r>
          </w:p>
          <w:p>
            <w:pPr>
              <w:spacing w:line="360" w:lineRule="auto"/>
              <w:ind w:left="315" w:hanging="315" w:hanging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⑵查询时间：成交通知书发出前；</w:t>
            </w:r>
          </w:p>
          <w:p>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⑶信用信息查询记录和证据留存方式：在查询网站中直接打印查询记录，打印材料作为采购活动资料保存；</w:t>
            </w:r>
          </w:p>
          <w:p>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14</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成交结果公告</w:t>
            </w:r>
          </w:p>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及成交通知书</w:t>
            </w:r>
          </w:p>
        </w:tc>
        <w:tc>
          <w:tcPr>
            <w:tcW w:w="6912" w:type="dxa"/>
            <w:vAlign w:val="top"/>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27.2</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912" w:type="dxa"/>
            <w:vAlign w:val="center"/>
          </w:tcPr>
          <w:p>
            <w:pPr>
              <w:keepNext w:val="0"/>
              <w:keepLines w:val="0"/>
              <w:widowControl/>
              <w:suppressLineNumbers w:val="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lang w:eastAsia="zh-CN"/>
                <w14:textFill>
                  <w14:solidFill>
                    <w14:schemeClr w14:val="tx1"/>
                  </w14:solidFill>
                </w14:textFill>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签订合同时间</w:t>
            </w:r>
          </w:p>
        </w:tc>
        <w:tc>
          <w:tcPr>
            <w:tcW w:w="6912" w:type="dxa"/>
            <w:vAlign w:val="top"/>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发出之日起</w:t>
            </w:r>
            <w:r>
              <w:rPr>
                <w:rFonts w:hint="eastAsia" w:ascii="宋体" w:hAnsi="宋体" w:cs="宋体"/>
                <w:bCs/>
                <w:color w:val="000000" w:themeColor="text1"/>
                <w:kern w:val="0"/>
                <w:szCs w:val="21"/>
                <w:highlight w:val="none"/>
                <w:lang w:val="en-US" w:eastAsia="zh-CN"/>
                <w14:textFill>
                  <w14:solidFill>
                    <w14:schemeClr w14:val="tx1"/>
                  </w14:solidFill>
                </w14:textFill>
              </w:rPr>
              <w:t>八个工作</w:t>
            </w:r>
            <w:r>
              <w:rPr>
                <w:rFonts w:hint="eastAsia" w:ascii="宋体" w:hAnsi="宋体" w:eastAsia="宋体" w:cs="宋体"/>
                <w:bCs/>
                <w:color w:val="000000" w:themeColor="text1"/>
                <w:kern w:val="0"/>
                <w:szCs w:val="21"/>
                <w:highlight w:val="none"/>
                <w:lang w:eastAsia="zh-CN"/>
                <w14:textFill>
                  <w14:solidFill>
                    <w14:schemeClr w14:val="tx1"/>
                  </w14:solidFill>
                </w14:textFill>
              </w:rPr>
              <w:t>日</w:t>
            </w:r>
            <w:r>
              <w:rPr>
                <w:rFonts w:hint="eastAsia" w:ascii="宋体" w:hAnsi="宋体" w:eastAsia="宋体" w:cs="宋体"/>
                <w:bCs/>
                <w:color w:val="000000" w:themeColor="text1"/>
                <w:kern w:val="0"/>
                <w:szCs w:val="21"/>
                <w:highlight w:val="none"/>
                <w14:textFill>
                  <w14:solidFill>
                    <w14:schemeClr w14:val="tx1"/>
                  </w14:solidFill>
                </w14:textFill>
              </w:rPr>
              <w:t>内签订合同</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成交供应商收到成交通知书</w:t>
            </w:r>
            <w:r>
              <w:rPr>
                <w:rFonts w:hint="eastAsia" w:ascii="宋体" w:hAnsi="宋体" w:eastAsia="宋体" w:cs="宋体"/>
                <w:color w:val="000000" w:themeColor="text1"/>
                <w:szCs w:val="21"/>
                <w:highlight w:val="none"/>
                <w14:textFill>
                  <w14:solidFill>
                    <w14:schemeClr w14:val="tx1"/>
                  </w14:solidFill>
                </w14:textFill>
              </w:rPr>
              <w:t>后，应按</w:t>
            </w:r>
            <w:r>
              <w:rPr>
                <w:rFonts w:hint="eastAsia" w:ascii="宋体" w:hAnsi="宋体" w:cs="宋体"/>
                <w:color w:val="000000" w:themeColor="text1"/>
                <w:szCs w:val="21"/>
                <w:highlight w:val="none"/>
                <w:lang w:eastAsia="zh-CN"/>
                <w14:textFill>
                  <w14:solidFill>
                    <w14:schemeClr w14:val="tx1"/>
                  </w14:solidFill>
                </w14:textFill>
              </w:rPr>
              <w:t>规定与采购人在“广西政府采购云平台”上在线签订电子合同</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17</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合同备案存档</w:t>
            </w:r>
          </w:p>
        </w:tc>
        <w:tc>
          <w:tcPr>
            <w:tcW w:w="6912" w:type="dxa"/>
            <w:vAlign w:val="center"/>
          </w:tcPr>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政府采购合同双方自签订之日起将自动存档于“广西政府采购云平台”上，采购人于合同签订之日起七个工作日内将一份合同原件送本级财政部门备案。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采购代理服务费</w:t>
            </w:r>
          </w:p>
        </w:tc>
        <w:tc>
          <w:tcPr>
            <w:tcW w:w="6912" w:type="dxa"/>
            <w:vAlign w:val="top"/>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本项目不收取采购代理服务费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19</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解释权</w:t>
            </w:r>
          </w:p>
        </w:tc>
        <w:tc>
          <w:tcPr>
            <w:tcW w:w="6912" w:type="dxa"/>
            <w:vAlign w:val="top"/>
          </w:tcPr>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942"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1775" w:type="dxa"/>
            <w:vAlign w:val="center"/>
          </w:tcPr>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监督管理机构</w:t>
            </w:r>
          </w:p>
        </w:tc>
        <w:tc>
          <w:tcPr>
            <w:tcW w:w="6912" w:type="dxa"/>
            <w:vAlign w:val="center"/>
          </w:tcPr>
          <w:p>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资源县财政局                         </w:t>
            </w: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0773-4315648</w:t>
            </w:r>
          </w:p>
        </w:tc>
      </w:tr>
    </w:tbl>
    <w:p>
      <w:pPr>
        <w:pStyle w:val="19"/>
        <w:ind w:left="0" w:leftChars="0" w:firstLine="0" w:firstLineChars="0"/>
        <w:rPr>
          <w:rFonts w:hint="eastAsia" w:ascii="宋体" w:hAnsi="宋体" w:eastAsia="宋体" w:cs="宋体"/>
          <w:b/>
          <w:color w:val="000000" w:themeColor="text1"/>
          <w:sz w:val="28"/>
          <w:szCs w:val="28"/>
          <w:highlight w:val="none"/>
          <w14:textFill>
            <w14:solidFill>
              <w14:schemeClr w14:val="tx1"/>
            </w14:solidFill>
          </w14:textFill>
        </w:rPr>
      </w:pPr>
    </w:p>
    <w:p>
      <w:pPr>
        <w:rPr>
          <w:rFonts w:hint="eastAsia" w:ascii="宋体" w:hAnsi="宋体" w:eastAsia="宋体" w:cs="宋体"/>
          <w:b/>
          <w:bCs w:val="0"/>
          <w:color w:val="000000" w:themeColor="text1"/>
          <w:szCs w:val="28"/>
          <w:highlight w:val="none"/>
          <w14:textFill>
            <w14:solidFill>
              <w14:schemeClr w14:val="tx1"/>
            </w14:solidFill>
          </w14:textFill>
        </w:rPr>
      </w:pPr>
      <w:bookmarkStart w:id="53" w:name="_Toc22792"/>
      <w:bookmarkStart w:id="54" w:name="_Toc10058"/>
      <w:r>
        <w:rPr>
          <w:rFonts w:hint="eastAsia" w:ascii="宋体" w:hAnsi="宋体" w:eastAsia="宋体" w:cs="宋体"/>
          <w:b/>
          <w:bCs w:val="0"/>
          <w:color w:val="000000" w:themeColor="text1"/>
          <w:szCs w:val="28"/>
          <w:highlight w:val="none"/>
          <w14:textFill>
            <w14:solidFill>
              <w14:schemeClr w14:val="tx1"/>
            </w14:solidFill>
          </w14:textFill>
        </w:rPr>
        <w:br w:type="page"/>
      </w:r>
    </w:p>
    <w:p>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r>
        <w:rPr>
          <w:rFonts w:hint="eastAsia" w:ascii="宋体" w:hAnsi="宋体" w:eastAsia="宋体" w:cs="宋体"/>
          <w:b/>
          <w:bCs w:val="0"/>
          <w:color w:val="000000" w:themeColor="text1"/>
          <w:szCs w:val="28"/>
          <w:highlight w:val="none"/>
          <w14:textFill>
            <w14:solidFill>
              <w14:schemeClr w14:val="tx1"/>
            </w14:solidFill>
          </w14:textFill>
        </w:rPr>
        <w:t>一、总则</w:t>
      </w:r>
      <w:bookmarkEnd w:id="53"/>
      <w:bookmarkEnd w:id="54"/>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55" w:name="_Toc6626"/>
      <w:bookmarkStart w:id="56" w:name="_Toc24721"/>
      <w:r>
        <w:rPr>
          <w:rFonts w:hint="eastAsia" w:ascii="宋体" w:hAnsi="宋体" w:eastAsia="宋体" w:cs="宋体"/>
          <w:color w:val="000000" w:themeColor="text1"/>
          <w:sz w:val="21"/>
          <w:szCs w:val="21"/>
          <w:highlight w:val="none"/>
          <w14:textFill>
            <w14:solidFill>
              <w14:schemeClr w14:val="tx1"/>
            </w14:solidFill>
          </w14:textFill>
        </w:rPr>
        <w:t>1. 适应范围</w:t>
      </w:r>
      <w:bookmarkEnd w:id="55"/>
      <w:bookmarkEnd w:id="56"/>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项目名称及项目编号：</w:t>
      </w:r>
    </w:p>
    <w:p>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资源县红色文化培训中心物业服务项目</w:t>
      </w: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GLZC2024-C3-290264-GLSZ</w:t>
      </w:r>
    </w:p>
    <w:p>
      <w:pPr>
        <w:spacing w:line="36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1.2本竞争性磋商文件（以下简称磋商文件）适用于本磋商项目的磋商、评审、合同履约、验收、付款等行为（法律、法规另有规定的，从其规定）。</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57" w:name="_Toc28336"/>
      <w:bookmarkStart w:id="58" w:name="_Toc3355"/>
      <w:r>
        <w:rPr>
          <w:rFonts w:hint="eastAsia" w:ascii="宋体" w:hAnsi="宋体" w:eastAsia="宋体" w:cs="宋体"/>
          <w:color w:val="000000" w:themeColor="text1"/>
          <w:sz w:val="21"/>
          <w:szCs w:val="21"/>
          <w:highlight w:val="none"/>
          <w14:textFill>
            <w14:solidFill>
              <w14:schemeClr w14:val="tx1"/>
            </w14:solidFill>
          </w14:textFill>
        </w:rPr>
        <w:t>2. 定义</w:t>
      </w:r>
      <w:bookmarkEnd w:id="57"/>
      <w:bookmarkEnd w:id="58"/>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2.1“供应商”是指符合本次采购项目的供应商资格并提交响应文件、参加磋商的供应商。如果该供应商在本次磋商中成交，即成为“成交供应商”。</w:t>
      </w:r>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2.2“货物”系指按磋商文件规定，供应商须向采购人提供的一切设备、保险、税金、备品备件、工具、手册及其它有关技术资料和材料。</w:t>
      </w:r>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2.3“服务”系指按磋商文件规定，供应商须承担的安装、调试、技术协助、校准、培训、技术指导以及其他类似的义务。</w:t>
      </w:r>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2.4“项目”系指供应商按磋商文件规定向采购人提供的货物和服务。</w:t>
      </w:r>
    </w:p>
    <w:p>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2.5“书面形式”包括信函、传真、电报等。</w:t>
      </w:r>
    </w:p>
    <w:p>
      <w:pPr>
        <w:spacing w:line="360" w:lineRule="exact"/>
        <w:ind w:firstLine="435"/>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2.6实质性要求：</w:t>
      </w:r>
      <w:r>
        <w:rPr>
          <w:rFonts w:hint="eastAsia" w:ascii="宋体" w:hAnsi="宋体" w:eastAsia="宋体" w:cs="宋体"/>
          <w:b/>
          <w:bCs/>
          <w:color w:val="000000" w:themeColor="text1"/>
          <w:szCs w:val="21"/>
          <w:highlight w:val="none"/>
          <w:lang w:val="en-US" w:eastAsia="zh-CN"/>
          <w14:textFill>
            <w14:solidFill>
              <w14:schemeClr w14:val="tx1"/>
            </w14:solidFill>
          </w14:textFill>
        </w:rPr>
        <w:t>“采购需求”中所有的内容均为实质性要求，</w:t>
      </w:r>
      <w:r>
        <w:rPr>
          <w:rFonts w:hint="eastAsia" w:ascii="宋体" w:hAnsi="宋体" w:eastAsia="宋体" w:cs="宋体"/>
          <w:b/>
          <w:bCs/>
          <w:color w:val="000000" w:themeColor="text1"/>
          <w:szCs w:val="21"/>
          <w:highlight w:val="none"/>
          <w14:textFill>
            <w14:solidFill>
              <w14:schemeClr w14:val="tx1"/>
            </w14:solidFill>
          </w14:textFill>
        </w:rPr>
        <w:t>不允许负偏离，否则投标无效</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59" w:name="_Toc25441"/>
      <w:bookmarkStart w:id="60" w:name="_Toc23631"/>
      <w:r>
        <w:rPr>
          <w:rFonts w:hint="eastAsia" w:ascii="宋体" w:hAnsi="宋体" w:eastAsia="宋体" w:cs="宋体"/>
          <w:color w:val="000000" w:themeColor="text1"/>
          <w:sz w:val="21"/>
          <w:szCs w:val="21"/>
          <w:highlight w:val="none"/>
          <w14:textFill>
            <w14:solidFill>
              <w14:schemeClr w14:val="tx1"/>
            </w14:solidFill>
          </w14:textFill>
        </w:rPr>
        <w:t>3. 供应商资格</w:t>
      </w:r>
      <w:bookmarkEnd w:id="59"/>
      <w:bookmarkEnd w:id="60"/>
    </w:p>
    <w:p>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3.1符合《中华人民共和国政府采购法》第二十二条和《政府采购法实施条例》第十八条规定，具备合法资格的供应商；</w:t>
      </w:r>
    </w:p>
    <w:p>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3.2本项目不接受联合体参与磋商；</w:t>
      </w:r>
    </w:p>
    <w:p>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61" w:name="_Toc16496"/>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本项目专门面向中小微企业，所属行业为物业管理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2" w:name="_Toc5736"/>
      <w:bookmarkStart w:id="63" w:name="_Toc4527"/>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无。</w:t>
      </w:r>
      <w:bookmarkEnd w:id="62"/>
      <w:bookmarkEnd w:id="63"/>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4" w:name="_Toc15983"/>
      <w:r>
        <w:rPr>
          <w:rFonts w:hint="eastAsia" w:ascii="宋体" w:hAnsi="宋体" w:eastAsia="宋体" w:cs="宋体"/>
          <w:color w:val="000000" w:themeColor="text1"/>
          <w:sz w:val="21"/>
          <w:szCs w:val="21"/>
          <w:highlight w:val="none"/>
          <w14:textFill>
            <w14:solidFill>
              <w14:schemeClr w14:val="tx1"/>
            </w14:solidFill>
          </w14:textFill>
        </w:rPr>
        <w:t>4. 磋商费用</w:t>
      </w:r>
      <w:bookmarkEnd w:id="61"/>
      <w:bookmarkEnd w:id="64"/>
    </w:p>
    <w:p>
      <w:pPr>
        <w:tabs>
          <w:tab w:val="left" w:pos="1635"/>
        </w:tabs>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不论磋商结果如何，供应商均应自行承担所有与磋商有关的全部费用。</w:t>
      </w:r>
    </w:p>
    <w:p>
      <w:pPr>
        <w:pStyle w:val="5"/>
        <w:numPr>
          <w:ilvl w:val="0"/>
          <w:numId w:val="3"/>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5" w:name="_Toc31376"/>
      <w:bookmarkStart w:id="66" w:name="_Toc6933"/>
      <w:r>
        <w:rPr>
          <w:rFonts w:hint="eastAsia" w:ascii="宋体" w:hAnsi="宋体" w:eastAsia="宋体" w:cs="宋体"/>
          <w:color w:val="000000" w:themeColor="text1"/>
          <w:sz w:val="21"/>
          <w:szCs w:val="21"/>
          <w:highlight w:val="none"/>
          <w14:textFill>
            <w14:solidFill>
              <w14:schemeClr w14:val="tx1"/>
            </w14:solidFill>
          </w14:textFill>
        </w:rPr>
        <w:t>联合体要求</w:t>
      </w:r>
      <w:bookmarkEnd w:id="65"/>
      <w:bookmarkEnd w:id="66"/>
    </w:p>
    <w:p>
      <w:pPr>
        <w:bidi w:val="0"/>
        <w:ind w:firstLine="420" w:firstLineChars="20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本项目不接受联合体参与磋商</w:t>
      </w:r>
      <w:bookmarkStart w:id="67" w:name="_Toc6998"/>
      <w:bookmarkStart w:id="68" w:name="_Toc13910"/>
      <w:r>
        <w:rPr>
          <w:rFonts w:hint="eastAsia" w:ascii="宋体" w:hAnsi="宋体" w:cs="宋体"/>
          <w:bCs/>
          <w:color w:val="000000" w:themeColor="text1"/>
          <w:szCs w:val="21"/>
          <w:highlight w:val="none"/>
          <w:lang w:eastAsia="zh-CN"/>
          <w14:textFill>
            <w14:solidFill>
              <w14:schemeClr w14:val="tx1"/>
            </w14:solidFill>
          </w14:textFill>
        </w:rPr>
        <w:t>。</w:t>
      </w:r>
    </w:p>
    <w:p>
      <w:pPr>
        <w:pStyle w:val="5"/>
        <w:numPr>
          <w:ilvl w:val="0"/>
          <w:numId w:val="3"/>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转包与分包</w:t>
      </w:r>
      <w:bookmarkEnd w:id="67"/>
      <w:bookmarkEnd w:id="68"/>
    </w:p>
    <w:p>
      <w:pPr>
        <w:bidi w:val="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.1 本项目不允许转包。</w:t>
      </w:r>
    </w:p>
    <w:p>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本项目不可以分包。</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9" w:name="_Toc16359"/>
      <w:bookmarkStart w:id="70" w:name="_Toc4152"/>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质疑和投诉</w:t>
      </w:r>
      <w:bookmarkEnd w:id="69"/>
      <w:bookmarkEnd w:id="70"/>
      <w:r>
        <w:rPr>
          <w:rFonts w:hint="eastAsia" w:ascii="宋体" w:hAnsi="宋体" w:eastAsia="宋体" w:cs="宋体"/>
          <w:color w:val="000000" w:themeColor="text1"/>
          <w:sz w:val="21"/>
          <w:szCs w:val="21"/>
          <w:highlight w:val="none"/>
          <w14:textFill>
            <w14:solidFill>
              <w14:schemeClr w14:val="tx1"/>
            </w14:solidFill>
          </w14:textFill>
        </w:rPr>
        <w:tab/>
      </w:r>
    </w:p>
    <w:p>
      <w:pPr>
        <w:tabs>
          <w:tab w:val="left" w:pos="2190"/>
        </w:tabs>
        <w:spacing w:line="360" w:lineRule="exact"/>
        <w:ind w:firstLine="435"/>
        <w:rPr>
          <w:rFonts w:hint="eastAsia" w:ascii="宋体" w:hAnsi="宋体" w:eastAsia="宋体" w:cs="宋体"/>
          <w:color w:val="000000" w:themeColor="text1"/>
          <w:szCs w:val="21"/>
          <w:highlight w:val="none"/>
          <w:u w:val="none"/>
          <w14:textFill>
            <w14:solidFill>
              <w14:schemeClr w14:val="tx1"/>
            </w14:solidFill>
          </w14:textFill>
        </w:rPr>
      </w:pPr>
      <w:bookmarkStart w:id="71" w:name="_Toc8195"/>
      <w:bookmarkStart w:id="72" w:name="_Toc26087"/>
      <w:r>
        <w:rPr>
          <w:rFonts w:hint="eastAsia" w:ascii="宋体" w:hAnsi="宋体" w:cs="宋体"/>
          <w:color w:val="000000" w:themeColor="text1"/>
          <w:szCs w:val="21"/>
          <w:highlight w:val="none"/>
          <w:u w:val="none"/>
          <w:lang w:val="en-US" w:eastAsia="zh-CN"/>
          <w14:textFill>
            <w14:solidFill>
              <w14:schemeClr w14:val="tx1"/>
            </w14:solidFill>
          </w14:textFill>
        </w:rPr>
        <w:t>7</w:t>
      </w:r>
      <w:r>
        <w:rPr>
          <w:rFonts w:hint="eastAsia" w:ascii="宋体" w:hAnsi="宋体" w:eastAsia="宋体" w:cs="宋体"/>
          <w:color w:val="000000" w:themeColor="text1"/>
          <w:szCs w:val="21"/>
          <w:highlight w:val="none"/>
          <w:u w:val="none"/>
          <w14:textFill>
            <w14:solidFill>
              <w14:schemeClr w14:val="tx1"/>
            </w14:solidFill>
          </w14:textFill>
        </w:rPr>
        <w:t>.1供应对政府采购活动事项有疑问的，可以向采购人提出询问。</w:t>
      </w:r>
    </w:p>
    <w:p>
      <w:pPr>
        <w:tabs>
          <w:tab w:val="left" w:pos="2190"/>
        </w:tabs>
        <w:spacing w:line="360" w:lineRule="exact"/>
        <w:ind w:firstLine="435"/>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7</w:t>
      </w:r>
      <w:r>
        <w:rPr>
          <w:rFonts w:hint="eastAsia" w:ascii="宋体" w:hAnsi="宋体" w:eastAsia="宋体" w:cs="宋体"/>
          <w:color w:val="000000" w:themeColor="text1"/>
          <w:szCs w:val="21"/>
          <w:highlight w:val="none"/>
          <w:u w:val="none"/>
          <w14:textFill>
            <w14:solidFill>
              <w14:schemeClr w14:val="tx1"/>
            </w14:solidFill>
          </w14:textFill>
        </w:rPr>
        <w:t>.2供应商认为磋商文件使自己的合法权益受到损害的，应当在竞争性磋商公告期限届满之日起七个工作日内，以书面形式向采购代理机构（桂林市政府集中采购中心）提出质疑。供应商认为采购过程或成交结果使自己的合法权益受到损害的，应当在各采购程序环节结束之日起七个工作日内，以书面形式向采购代理机构（桂林市政府集中采购</w:t>
      </w:r>
      <w:r>
        <w:rPr>
          <w:rFonts w:hint="eastAsia" w:ascii="宋体" w:hAnsi="宋体" w:cs="宋体"/>
          <w:color w:val="000000" w:themeColor="text1"/>
          <w:szCs w:val="21"/>
          <w:highlight w:val="none"/>
          <w:u w:val="none"/>
          <w:lang w:eastAsia="zh-CN"/>
          <w14:textFill>
            <w14:solidFill>
              <w14:schemeClr w14:val="tx1"/>
            </w14:solidFill>
          </w14:textFill>
        </w:rPr>
        <w:t>中心</w:t>
      </w:r>
      <w:r>
        <w:rPr>
          <w:rFonts w:hint="eastAsia" w:ascii="宋体" w:hAnsi="宋体" w:eastAsia="宋体" w:cs="宋体"/>
          <w:color w:val="000000" w:themeColor="text1"/>
          <w:szCs w:val="21"/>
          <w:highlight w:val="none"/>
          <w:u w:val="none"/>
          <w14:textFill>
            <w14:solidFill>
              <w14:schemeClr w14:val="tx1"/>
            </w14:solidFill>
          </w14:textFill>
        </w:rPr>
        <w:t>）提出质疑。采购代理机构应认真做好质疑处理工作。</w:t>
      </w:r>
    </w:p>
    <w:p>
      <w:pPr>
        <w:tabs>
          <w:tab w:val="left" w:pos="2190"/>
        </w:tabs>
        <w:spacing w:line="360" w:lineRule="exact"/>
        <w:ind w:firstLine="435"/>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7</w:t>
      </w:r>
      <w:r>
        <w:rPr>
          <w:rFonts w:hint="eastAsia" w:ascii="宋体" w:hAnsi="宋体" w:eastAsia="宋体" w:cs="宋体"/>
          <w:color w:val="000000" w:themeColor="text1"/>
          <w:szCs w:val="21"/>
          <w:highlight w:val="none"/>
          <w:u w:val="none"/>
          <w14:textFill>
            <w14:solidFill>
              <w14:schemeClr w14:val="tx1"/>
            </w14:solidFill>
          </w14:textFill>
        </w:rPr>
        <w:t>.3供应商对采购代理机构的质疑答复不满意或者采购代理机构未在规定的时间内作出答复的，可以在答复期满后十五个工作日内向本级财政部门投诉。</w:t>
      </w:r>
    </w:p>
    <w:p>
      <w:pPr>
        <w:tabs>
          <w:tab w:val="left" w:pos="2190"/>
        </w:tabs>
        <w:spacing w:line="360" w:lineRule="exact"/>
        <w:ind w:firstLine="435"/>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7</w:t>
      </w:r>
      <w:r>
        <w:rPr>
          <w:rFonts w:hint="eastAsia" w:ascii="宋体" w:hAnsi="宋体" w:eastAsia="宋体" w:cs="宋体"/>
          <w:color w:val="000000" w:themeColor="text1"/>
          <w:szCs w:val="21"/>
          <w:highlight w:val="none"/>
          <w:u w:val="none"/>
          <w14:textFill>
            <w14:solidFill>
              <w14:schemeClr w14:val="tx1"/>
            </w14:solidFill>
          </w14:textFill>
        </w:rPr>
        <w:t>.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tabs>
          <w:tab w:val="left" w:pos="2190"/>
        </w:tabs>
        <w:spacing w:line="360" w:lineRule="exact"/>
        <w:ind w:firstLine="435"/>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7</w:t>
      </w:r>
      <w:r>
        <w:rPr>
          <w:rFonts w:hint="eastAsia" w:ascii="宋体" w:hAnsi="宋体" w:eastAsia="宋体" w:cs="宋体"/>
          <w:color w:val="000000" w:themeColor="text1"/>
          <w:szCs w:val="21"/>
          <w:highlight w:val="none"/>
          <w:u w:val="none"/>
          <w14:textFill>
            <w14:solidFill>
              <w14:schemeClr w14:val="tx1"/>
            </w14:solidFill>
          </w14:textFill>
        </w:rPr>
        <w:t>.5质疑联系部门：桂林市政府集中采购中心；联系电话：0773-56251</w:t>
      </w:r>
      <w:r>
        <w:rPr>
          <w:rFonts w:hint="eastAsia" w:ascii="宋体" w:hAnsi="宋体" w:eastAsia="宋体" w:cs="宋体"/>
          <w:color w:val="000000" w:themeColor="text1"/>
          <w:szCs w:val="21"/>
          <w:highlight w:val="none"/>
          <w:u w:val="none"/>
          <w:lang w:val="en-US" w:eastAsia="zh-CN"/>
          <w14:textFill>
            <w14:solidFill>
              <w14:schemeClr w14:val="tx1"/>
            </w14:solidFill>
          </w14:textFill>
        </w:rPr>
        <w:t>62</w:t>
      </w:r>
      <w:r>
        <w:rPr>
          <w:rFonts w:hint="eastAsia" w:ascii="宋体" w:hAnsi="宋体" w:eastAsia="宋体" w:cs="宋体"/>
          <w:color w:val="000000" w:themeColor="text1"/>
          <w:szCs w:val="21"/>
          <w:highlight w:val="none"/>
          <w:u w:val="none"/>
          <w14:textFill>
            <w14:solidFill>
              <w14:schemeClr w14:val="tx1"/>
            </w14:solidFill>
          </w14:textFill>
        </w:rPr>
        <w:t>；</w:t>
      </w:r>
    </w:p>
    <w:p>
      <w:pPr>
        <w:tabs>
          <w:tab w:val="left" w:pos="2190"/>
        </w:tabs>
        <w:spacing w:line="360" w:lineRule="exact"/>
        <w:ind w:firstLine="420" w:firstLineChars="200"/>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通讯地址：桂林市临桂区西城中路69号创业大厦西辅楼5楼</w:t>
      </w:r>
      <w:r>
        <w:rPr>
          <w:rFonts w:hint="eastAsia" w:ascii="宋体" w:hAnsi="宋体" w:eastAsia="宋体" w:cs="宋体"/>
          <w:color w:val="000000" w:themeColor="text1"/>
          <w:szCs w:val="21"/>
          <w:highlight w:val="none"/>
          <w:u w:val="none"/>
          <w:lang w:val="en-US" w:eastAsia="zh-CN"/>
          <w14:textFill>
            <w14:solidFill>
              <w14:schemeClr w14:val="tx1"/>
            </w14:solidFill>
          </w14:textFill>
        </w:rPr>
        <w:t>574室</w:t>
      </w:r>
      <w:r>
        <w:rPr>
          <w:rFonts w:hint="eastAsia" w:ascii="宋体" w:hAnsi="宋体" w:cs="宋体"/>
          <w:color w:val="000000" w:themeColor="text1"/>
          <w:szCs w:val="21"/>
          <w:highlight w:val="none"/>
          <w:u w:val="none"/>
          <w:lang w:val="en-US" w:eastAsia="zh-CN"/>
          <w14:textFill>
            <w14:solidFill>
              <w14:schemeClr w14:val="tx1"/>
            </w14:solidFill>
          </w14:textFill>
        </w:rPr>
        <w:t>。</w:t>
      </w:r>
    </w:p>
    <w:p>
      <w:pPr>
        <w:tabs>
          <w:tab w:val="left" w:pos="2190"/>
        </w:tabs>
        <w:spacing w:line="360" w:lineRule="exact"/>
        <w:ind w:firstLine="435"/>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u w:val="none"/>
          <w:lang w:val="en-US" w:eastAsia="zh-CN"/>
          <w14:textFill>
            <w14:solidFill>
              <w14:schemeClr w14:val="tx1"/>
            </w14:solidFill>
          </w14:textFill>
        </w:rPr>
        <w:t>7</w:t>
      </w:r>
      <w:r>
        <w:rPr>
          <w:rFonts w:hint="eastAsia" w:ascii="宋体" w:hAnsi="宋体" w:eastAsia="宋体" w:cs="宋体"/>
          <w:color w:val="000000" w:themeColor="text1"/>
          <w:szCs w:val="21"/>
          <w:highlight w:val="none"/>
          <w:u w:val="none"/>
          <w14:textFill>
            <w14:solidFill>
              <w14:schemeClr w14:val="tx1"/>
            </w14:solidFill>
          </w14:textFill>
        </w:rPr>
        <w:t>.6 投诉联系部门：</w:t>
      </w:r>
      <w:bookmarkEnd w:id="71"/>
      <w:bookmarkEnd w:id="72"/>
      <w:r>
        <w:rPr>
          <w:rFonts w:hint="eastAsia" w:ascii="宋体" w:hAnsi="宋体" w:cs="宋体"/>
          <w:color w:val="000000" w:themeColor="text1"/>
          <w:szCs w:val="21"/>
          <w:highlight w:val="none"/>
          <w:lang w:val="en-US" w:eastAsia="zh-CN"/>
          <w14:textFill>
            <w14:solidFill>
              <w14:schemeClr w14:val="tx1"/>
            </w14:solidFill>
          </w14:textFill>
        </w:rPr>
        <w:t>资源县财政局</w:t>
      </w:r>
      <w:r>
        <w:rPr>
          <w:rFonts w:hint="eastAsia" w:ascii="宋体" w:hAnsi="宋体" w:cs="宋体"/>
          <w:color w:val="000000" w:themeColor="text1"/>
          <w:szCs w:val="21"/>
          <w:highlight w:val="none"/>
          <w14:textFill>
            <w14:solidFill>
              <w14:schemeClr w14:val="tx1"/>
            </w14:solidFill>
          </w14:textFill>
        </w:rPr>
        <w:t xml:space="preserve">    电话：</w:t>
      </w:r>
      <w:r>
        <w:rPr>
          <w:rFonts w:hint="eastAsia" w:ascii="宋体" w:hAnsi="宋体" w:cs="宋体"/>
          <w:color w:val="000000" w:themeColor="text1"/>
          <w:szCs w:val="21"/>
          <w:highlight w:val="none"/>
          <w:lang w:eastAsia="zh-CN"/>
          <w14:textFill>
            <w14:solidFill>
              <w14:schemeClr w14:val="tx1"/>
            </w14:solidFill>
          </w14:textFill>
        </w:rPr>
        <w:t>0773-4315648</w:t>
      </w:r>
    </w:p>
    <w:p>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.7 供应商在法定质疑期内应当一次性提出针对同一采购程序环节的质疑。</w:t>
      </w:r>
    </w:p>
    <w:p>
      <w:pPr>
        <w:pStyle w:val="24"/>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.8 不在法定质疑期内提出的质疑函可以拒收。不符合要求的质疑函在法定质疑期内及时补充完整，否则作质疑不成立处理。</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3" w:name="_Toc3368"/>
      <w:bookmarkStart w:id="74" w:name="_Toc9415"/>
      <w:r>
        <w:rPr>
          <w:rFonts w:hint="eastAsia" w:ascii="宋体" w:hAnsi="宋体" w:eastAsia="宋体" w:cs="宋体"/>
          <w:color w:val="000000" w:themeColor="text1"/>
          <w:sz w:val="21"/>
          <w:szCs w:val="21"/>
          <w:highlight w:val="none"/>
          <w14:textFill>
            <w14:solidFill>
              <w14:schemeClr w14:val="tx1"/>
            </w14:solidFill>
          </w14:textFill>
        </w:rPr>
        <w:t>8. 特别说明</w:t>
      </w:r>
      <w:bookmarkEnd w:id="73"/>
      <w:bookmarkEnd w:id="74"/>
    </w:p>
    <w:p>
      <w:pPr>
        <w:tabs>
          <w:tab w:val="left" w:pos="1635"/>
        </w:tabs>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8.1关联供应商不得参加同一合同项下政府采购活动，否则响应文件将被视为无效：</w:t>
      </w:r>
    </w:p>
    <w:p>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（1）单位负责人为同一人或者存在直接控股、管理关系的，不得参加同一合同项下的政府采购活动。</w:t>
      </w:r>
    </w:p>
    <w:p>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）为本采购项目提供整体设计、规范编制或者项目管理、监理、检测等服务的供应商，不得再参加本次采购活动。</w:t>
      </w:r>
    </w:p>
    <w:p>
      <w:pPr>
        <w:tabs>
          <w:tab w:val="left" w:pos="1635"/>
        </w:tabs>
        <w:spacing w:line="360" w:lineRule="exact"/>
        <w:ind w:firstLine="435"/>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8.2</w:t>
      </w:r>
      <w:r>
        <w:rPr>
          <w:rFonts w:hint="eastAsia" w:ascii="宋体" w:hAnsi="宋体" w:eastAsia="宋体" w:cs="宋体"/>
          <w:b/>
          <w:bCs/>
          <w:color w:val="000000" w:themeColor="text1"/>
          <w:szCs w:val="21"/>
          <w:highlight w:val="none"/>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pPr>
        <w:pStyle w:val="2"/>
        <w:rPr>
          <w:rFonts w:hint="eastAsia" w:ascii="宋体" w:hAnsi="宋体" w:eastAsia="宋体" w:cs="宋体"/>
          <w:color w:val="000000" w:themeColor="text1"/>
          <w:highlight w:val="none"/>
          <w14:textFill>
            <w14:solidFill>
              <w14:schemeClr w14:val="tx1"/>
            </w14:solidFill>
          </w14:textFill>
        </w:rPr>
      </w:pPr>
    </w:p>
    <w:p>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75" w:name="_Toc8933"/>
      <w:bookmarkStart w:id="76" w:name="_Toc22498"/>
      <w:r>
        <w:rPr>
          <w:rFonts w:hint="eastAsia" w:ascii="宋体" w:hAnsi="宋体" w:eastAsia="宋体" w:cs="宋体"/>
          <w:b/>
          <w:bCs w:val="0"/>
          <w:color w:val="000000" w:themeColor="text1"/>
          <w:szCs w:val="28"/>
          <w:highlight w:val="none"/>
          <w14:textFill>
            <w14:solidFill>
              <w14:schemeClr w14:val="tx1"/>
            </w14:solidFill>
          </w14:textFill>
        </w:rPr>
        <w:t>二、磋商文件</w:t>
      </w:r>
      <w:bookmarkEnd w:id="75"/>
      <w:bookmarkEnd w:id="76"/>
    </w:p>
    <w:p>
      <w:pPr>
        <w:pStyle w:val="5"/>
        <w:spacing w:before="0" w:after="0" w:line="360" w:lineRule="auto"/>
        <w:ind w:firstLine="420" w:firstLineChars="200"/>
        <w:rPr>
          <w:rFonts w:hint="eastAsia" w:ascii="宋体" w:hAnsi="宋体" w:eastAsia="宋体" w:cs="宋体"/>
          <w:color w:val="000000" w:themeColor="text1"/>
          <w:sz w:val="21"/>
          <w:szCs w:val="21"/>
          <w:highlight w:val="none"/>
          <w:lang w:val="pt-BR"/>
          <w14:textFill>
            <w14:solidFill>
              <w14:schemeClr w14:val="tx1"/>
            </w14:solidFill>
          </w14:textFill>
        </w:rPr>
      </w:pPr>
      <w:bookmarkStart w:id="77" w:name="_Toc20523"/>
      <w:bookmarkStart w:id="78" w:name="_Toc18964"/>
      <w:r>
        <w:rPr>
          <w:rFonts w:hint="eastAsia" w:ascii="宋体" w:hAnsi="宋体" w:eastAsia="宋体" w:cs="宋体"/>
          <w:color w:val="000000" w:themeColor="text1"/>
          <w:sz w:val="21"/>
          <w:szCs w:val="21"/>
          <w:highlight w:val="none"/>
          <w:lang w:val="pt-BR"/>
          <w14:textFill>
            <w14:solidFill>
              <w14:schemeClr w14:val="tx1"/>
            </w14:solidFill>
          </w14:textFill>
        </w:rPr>
        <w:t xml:space="preserve">9. </w:t>
      </w:r>
      <w:r>
        <w:rPr>
          <w:rFonts w:hint="eastAsia" w:ascii="宋体" w:hAnsi="宋体" w:eastAsia="宋体" w:cs="宋体"/>
          <w:color w:val="000000" w:themeColor="text1"/>
          <w:sz w:val="21"/>
          <w:szCs w:val="21"/>
          <w:highlight w:val="none"/>
          <w14:textFill>
            <w14:solidFill>
              <w14:schemeClr w14:val="tx1"/>
            </w14:solidFill>
          </w14:textFill>
        </w:rPr>
        <w:t>磋商文件的构成</w:t>
      </w:r>
      <w:bookmarkEnd w:id="77"/>
      <w:bookmarkEnd w:id="78"/>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（1）竞争性磋商公告；</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（2）供应商须知；</w:t>
      </w:r>
    </w:p>
    <w:p>
      <w:pPr>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（3）采购需求</w:t>
      </w:r>
      <w:r>
        <w:rPr>
          <w:rFonts w:hint="eastAsia" w:ascii="宋体" w:hAnsi="宋体" w:eastAsia="宋体" w:cs="宋体"/>
          <w:bCs/>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（4）评审办法；</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（5）采购合同（合同主要条款及格式）；</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（6）响应文件（格式）。</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9" w:name="_Toc1452"/>
      <w:bookmarkStart w:id="80" w:name="_Toc9103"/>
      <w:r>
        <w:rPr>
          <w:rFonts w:hint="eastAsia" w:ascii="宋体" w:hAnsi="宋体" w:eastAsia="宋体" w:cs="宋体"/>
          <w:color w:val="000000" w:themeColor="text1"/>
          <w:sz w:val="21"/>
          <w:szCs w:val="21"/>
          <w:highlight w:val="none"/>
          <w14:textFill>
            <w14:solidFill>
              <w14:schemeClr w14:val="tx1"/>
            </w14:solidFill>
          </w14:textFill>
        </w:rPr>
        <w:t>10. 磋商文件的澄清与修改</w:t>
      </w:r>
      <w:bookmarkEnd w:id="79"/>
      <w:bookmarkEnd w:id="80"/>
    </w:p>
    <w:p>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 提交首次响应文件截止之日前，采购代理机构可以对已发出的磋商文件进行必要澄清、答复、修改或</w:t>
      </w:r>
    </w:p>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前在本项目竞争性磋商公告发布的同一媒体上发布更正公告，不足</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的，应当顺延首次响应文件递交截止时间。</w:t>
      </w:r>
    </w:p>
    <w:p>
      <w:pPr>
        <w:spacing w:line="360" w:lineRule="auto"/>
        <w:ind w:left="420" w:left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w:t>
      </w:r>
      <w:r>
        <w:rPr>
          <w:rFonts w:hint="eastAsia" w:ascii="宋体" w:hAnsi="宋体" w:eastAsia="宋体" w:cs="宋体"/>
          <w:b/>
          <w:bCs/>
          <w:color w:val="000000" w:themeColor="text1"/>
          <w:szCs w:val="21"/>
          <w:highlight w:val="none"/>
          <w14:textFill>
            <w14:solidFill>
              <w14:schemeClr w14:val="tx1"/>
            </w14:solidFill>
          </w14:textFill>
        </w:rPr>
        <w:t>供应商应实时关注本项目信息公告发布媒体相关网站了解澄清、修改等与项目有关的内容，如因供应</w:t>
      </w:r>
    </w:p>
    <w:p>
      <w:pPr>
        <w:spacing w:line="360" w:lineRule="auto"/>
        <w:ind w:left="0" w:leftChars="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商未及时登录相关网站了解澄清、修改等与项目有关的内容，从而导致响应文件无效的，由供应商自行承担责任。</w:t>
      </w:r>
    </w:p>
    <w:p>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10.3澄清或者修改的内容为磋商文件的组成部分。当澄清或者修改通知就同一内容的表述不一致时，以最</w:t>
      </w:r>
    </w:p>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后发出的文件为准。</w:t>
      </w:r>
    </w:p>
    <w:p>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 磋商文件的澄清或者修改都应该通过本项目采购代理机构以法定形式发布，采购人非通过本机构，不</w:t>
      </w:r>
    </w:p>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得擅自澄清或者修改磋商文件。</w:t>
      </w:r>
    </w:p>
    <w:p>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10.5采购单位可以视采购具体情况，延长响应文件截止时间和磋商时间，在本项目竞争性磋商公告发布的</w:t>
      </w:r>
    </w:p>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同一媒体上发布变更公告。</w:t>
      </w:r>
    </w:p>
    <w:p>
      <w:pPr>
        <w:pStyle w:val="24"/>
        <w:rPr>
          <w:rFonts w:hint="eastAsia" w:ascii="宋体" w:hAnsi="宋体" w:eastAsia="宋体" w:cs="宋体"/>
          <w:color w:val="000000" w:themeColor="text1"/>
          <w:highlight w:val="none"/>
          <w14:textFill>
            <w14:solidFill>
              <w14:schemeClr w14:val="tx1"/>
            </w14:solidFill>
          </w14:textFill>
        </w:rPr>
      </w:pPr>
    </w:p>
    <w:p>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81" w:name="_Toc20641"/>
      <w:bookmarkStart w:id="82" w:name="_Toc20830"/>
      <w:r>
        <w:rPr>
          <w:rFonts w:hint="eastAsia" w:ascii="宋体" w:hAnsi="宋体" w:eastAsia="宋体" w:cs="宋体"/>
          <w:b/>
          <w:bCs w:val="0"/>
          <w:color w:val="000000" w:themeColor="text1"/>
          <w:szCs w:val="28"/>
          <w:highlight w:val="none"/>
          <w14:textFill>
            <w14:solidFill>
              <w14:schemeClr w14:val="tx1"/>
            </w14:solidFill>
          </w14:textFill>
        </w:rPr>
        <w:t>三、竞争性磋商响应文件的编制</w:t>
      </w:r>
      <w:bookmarkEnd w:id="81"/>
      <w:bookmarkEnd w:id="82"/>
    </w:p>
    <w:p>
      <w:pPr>
        <w:pStyle w:val="5"/>
        <w:spacing w:before="0" w:after="0" w:line="360" w:lineRule="auto"/>
        <w:ind w:firstLine="420"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83" w:name="_Toc772"/>
      <w:r>
        <w:rPr>
          <w:rFonts w:hint="eastAsia" w:ascii="宋体" w:hAnsi="宋体" w:eastAsia="宋体" w:cs="宋体"/>
          <w:b/>
          <w:color w:val="000000" w:themeColor="text1"/>
          <w:sz w:val="21"/>
          <w:szCs w:val="21"/>
          <w:highlight w:val="none"/>
          <w:lang w:val="en-US" w:eastAsia="zh-CN"/>
          <w14:textFill>
            <w14:solidFill>
              <w14:schemeClr w14:val="tx1"/>
            </w14:solidFill>
          </w14:textFill>
        </w:rPr>
        <w:t>11.竞争性磋商响应文件编制基本要求</w:t>
      </w:r>
      <w:bookmarkEnd w:id="83"/>
    </w:p>
    <w:p>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 本项目实行电子投标，供应商应准备电子磋商响应文件：</w:t>
      </w:r>
    </w:p>
    <w:p>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11.1.1 电子响应文件按</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 xml:space="preserve">要求及本磋商文件要求制作、加密并递交。具体操作流程可参考《政府采购项目电子交易管理操作指南-供应商》，指南可在 “http://www.ccgp-guangxi.gov.cn/PurchaseAdvisory/ImportantNotice/2866753.html”下载。 </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竞争性磋商响应文件（以下简称响应文件）的组成及要求</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2.1</w:t>
      </w:r>
      <w:r>
        <w:rPr>
          <w:rFonts w:hint="eastAsia" w:ascii="宋体" w:hAnsi="宋体" w:eastAsia="宋体" w:cs="宋体"/>
          <w:b/>
          <w:bCs/>
          <w:color w:val="000000" w:themeColor="text1"/>
          <w:szCs w:val="21"/>
          <w:highlight w:val="none"/>
          <w14:textFill>
            <w14:solidFill>
              <w14:schemeClr w14:val="tx1"/>
            </w14:solidFill>
          </w14:textFill>
        </w:rPr>
        <w:t>响应文件组成【格式见第六章“响应文件（格式）”】</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Cs w:val="21"/>
          <w:highlight w:val="none"/>
          <w14:textFill>
            <w14:solidFill>
              <w14:schemeClr w14:val="tx1"/>
            </w14:solidFill>
          </w14:textFill>
        </w:rPr>
        <w:t>资格性响应证明材料：</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（1）供应商相应的法定代表人、负责人、自然人身份证正反两面</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（2）供应商的授权委托书原件、委托代理人身份证正反面</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color w:val="000000" w:themeColor="text1"/>
          <w:szCs w:val="21"/>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Cs w:val="21"/>
          <w:highlight w:val="none"/>
          <w:lang w:eastAsia="zh-CN"/>
          <w14:textFill>
            <w14:solidFill>
              <w14:schemeClr w14:val="tx1"/>
            </w14:solidFill>
          </w14:textFill>
        </w:rPr>
        <w:t>三个月内任意一个月</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color w:val="000000" w:themeColor="text1"/>
          <w:szCs w:val="21"/>
          <w:highlight w:val="none"/>
          <w14:textFill>
            <w14:solidFill>
              <w14:schemeClr w14:val="tx1"/>
            </w14:solidFill>
          </w14:textFill>
        </w:rPr>
        <w:t>，除供应商为以下</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种情形的：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③如委托代理人为免缴纳养老保险人员，提供免缴纳养老保险的证明材料彩色扫描件</w:t>
      </w:r>
      <w:r>
        <w:rPr>
          <w:rFonts w:hint="eastAsia" w:ascii="宋体" w:hAnsi="宋体" w:eastAsia="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color w:val="000000" w:themeColor="text1"/>
          <w:szCs w:val="21"/>
          <w:highlight w:val="none"/>
          <w14:textFill>
            <w14:solidFill>
              <w14:schemeClr w14:val="tx1"/>
            </w14:solidFill>
          </w14:textFill>
        </w:rPr>
        <w:t>。</w:t>
      </w:r>
    </w:p>
    <w:p>
      <w:pPr>
        <w:spacing w:beforeLines="0" w:afterLines="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Cs w:val="21"/>
          <w:highlight w:val="none"/>
          <w:lang w:eastAsia="zh-CN"/>
          <w14:textFill>
            <w14:solidFill>
              <w14:schemeClr w14:val="tx1"/>
            </w14:solidFill>
          </w14:textFill>
        </w:rPr>
        <w:t>三个月内任意一个月养老保险证明彩色扫描件，</w:t>
      </w:r>
      <w:r>
        <w:rPr>
          <w:rFonts w:hint="eastAsia" w:ascii="宋体" w:hAnsi="宋体" w:cs="宋体"/>
          <w:b/>
          <w:bCs/>
          <w:color w:val="000000" w:themeColor="text1"/>
          <w:szCs w:val="21"/>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（委托代理时必须提供；如为联合体的，授权委托书原件须由牵头人出具）</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（3）供应商参加政府采购活动前3年内在经营活动中没有重大违法记录及有关信用信息的书面声明</w:t>
      </w:r>
      <w:r>
        <w:rPr>
          <w:rFonts w:hint="eastAsia" w:ascii="宋体" w:hAnsi="宋体" w:eastAsia="宋体" w:cs="宋体"/>
          <w:b/>
          <w:bCs/>
          <w:color w:val="000000" w:themeColor="text1"/>
          <w:szCs w:val="21"/>
          <w:highlight w:val="none"/>
          <w14:textFill>
            <w14:solidFill>
              <w14:schemeClr w14:val="tx1"/>
            </w14:solidFill>
          </w14:textFill>
        </w:rPr>
        <w:t>（必须提供）；</w:t>
      </w:r>
    </w:p>
    <w:p>
      <w:pPr>
        <w:numPr>
          <w:ilvl w:val="0"/>
          <w:numId w:val="4"/>
        </w:num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供应商的法人或者其他组织营业执照等证明文件</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b/>
          <w:bCs/>
          <w:color w:val="000000" w:themeColor="text1"/>
          <w:szCs w:val="21"/>
          <w:highlight w:val="none"/>
          <w14:textFill>
            <w14:solidFill>
              <w14:schemeClr w14:val="tx1"/>
            </w14:solidFill>
          </w14:textFill>
        </w:rPr>
        <w:t>（必须提供，自然人除外）；</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numPr>
          <w:ilvl w:val="0"/>
          <w:numId w:val="4"/>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财务状况报告</w:t>
      </w:r>
      <w:r>
        <w:rPr>
          <w:rFonts w:hint="eastAsia" w:ascii="宋体" w:hAnsi="宋体" w:cs="宋体"/>
          <w:b/>
          <w:bCs/>
          <w:color w:val="000000" w:themeColor="text1"/>
          <w:sz w:val="21"/>
          <w:szCs w:val="21"/>
          <w:highlight w:val="none"/>
          <w:lang w:val="en-US" w:eastAsia="zh-CN"/>
          <w14:textFill>
            <w14:solidFill>
              <w14:schemeClr w14:val="tx1"/>
            </w14:solidFill>
          </w14:textFill>
        </w:rPr>
        <w:t>（格式自拟，必须提供）</w:t>
      </w:r>
      <w:r>
        <w:rPr>
          <w:rFonts w:hint="eastAsia" w:ascii="宋体" w:hAnsi="宋体" w:eastAsia="宋体" w:cs="宋体"/>
          <w:b/>
          <w:bCs/>
          <w:color w:val="000000" w:themeColor="text1"/>
          <w:szCs w:val="21"/>
          <w:highlight w:val="none"/>
          <w14:textFill>
            <w14:solidFill>
              <w14:schemeClr w14:val="tx1"/>
            </w14:solidFill>
          </w14:textFill>
        </w:rPr>
        <w:t>；</w:t>
      </w:r>
    </w:p>
    <w:p>
      <w:pPr>
        <w:numPr>
          <w:ilvl w:val="0"/>
          <w:numId w:val="4"/>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val="en-US" w:eastAsia="zh-CN"/>
          <w14:textFill>
            <w14:solidFill>
              <w14:schemeClr w14:val="tx1"/>
            </w14:solidFill>
          </w14:textFill>
        </w:rPr>
        <w:t>在磋商当天前</w:t>
      </w:r>
      <w:r>
        <w:rPr>
          <w:rFonts w:hint="eastAsia" w:ascii="宋体" w:hAnsi="宋体" w:eastAsia="宋体" w:cs="宋体"/>
          <w:color w:val="000000" w:themeColor="text1"/>
          <w:szCs w:val="21"/>
          <w:highlight w:val="none"/>
          <w14:textFill>
            <w14:solidFill>
              <w14:schemeClr w14:val="tx1"/>
            </w14:solidFill>
          </w14:textFill>
        </w:rPr>
        <w:t>近半年内任意一个月或任一季度依法缴纳税收的证明材料【增值税发票(税收完税证明)或企业所得税完税证明或税务部门出具的免税证明】</w:t>
      </w:r>
      <w:r>
        <w:rPr>
          <w:rFonts w:hint="eastAsia" w:ascii="宋体" w:hAnsi="宋体" w:cs="宋体"/>
          <w:color w:val="000000" w:themeColor="text1"/>
          <w:szCs w:val="21"/>
          <w:highlight w:val="none"/>
          <w:lang w:eastAsia="zh-CN"/>
          <w14:textFill>
            <w14:solidFill>
              <w14:schemeClr w14:val="tx1"/>
            </w14:solidFill>
          </w14:textFill>
        </w:rPr>
        <w:t>彩色扫描件</w:t>
      </w:r>
      <w:r>
        <w:rPr>
          <w:rFonts w:hint="eastAsia" w:ascii="宋体" w:hAnsi="宋体" w:eastAsia="宋体" w:cs="宋体"/>
          <w:b/>
          <w:bCs/>
          <w:color w:val="000000" w:themeColor="text1"/>
          <w:szCs w:val="21"/>
          <w:highlight w:val="none"/>
          <w14:textFill>
            <w14:solidFill>
              <w14:schemeClr w14:val="tx1"/>
            </w14:solidFill>
          </w14:textFill>
        </w:rPr>
        <w:t>（必须提供）。</w:t>
      </w:r>
    </w:p>
    <w:p>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（7）《中小企业声明函》（见附件）</w:t>
      </w:r>
      <w:r>
        <w:rPr>
          <w:rFonts w:hint="eastAsia" w:ascii="宋体" w:hAnsi="宋体" w:eastAsia="宋体" w:cs="宋体"/>
          <w:b/>
          <w:bCs/>
          <w:color w:val="000000" w:themeColor="text1"/>
          <w:szCs w:val="21"/>
          <w:highlight w:val="none"/>
          <w:lang w:val="en-US" w:eastAsia="zh-CN"/>
          <w14:textFill>
            <w14:solidFill>
              <w14:schemeClr w14:val="tx1"/>
            </w14:solidFill>
          </w14:textFill>
        </w:rPr>
        <w:t>（除监狱企业及残疾人福利性单位外，必须提供）；</w:t>
      </w:r>
    </w:p>
    <w:p>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（如供应商属于监狱企业的，则必须提供）；</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（如供应商属于残疾人福利性单位的，则必须提供）。</w:t>
      </w:r>
    </w:p>
    <w:p>
      <w:pPr>
        <w:pStyle w:val="19"/>
        <w:ind w:left="0" w:leftChars="0" w:firstLine="42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符合性响应证明材料：</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84" w:name="_Toc16312"/>
      <w:bookmarkStart w:id="85" w:name="_Toc2809"/>
      <w:bookmarkStart w:id="86" w:name="_Toc28932"/>
      <w:r>
        <w:rPr>
          <w:rFonts w:hint="eastAsia" w:ascii="宋体" w:hAnsi="宋体" w:eastAsia="宋体" w:cs="宋体"/>
          <w:bCs w:val="0"/>
          <w:color w:val="000000" w:themeColor="text1"/>
          <w:sz w:val="21"/>
          <w:szCs w:val="21"/>
          <w:highlight w:val="none"/>
          <w:lang w:val="en-US"/>
          <w14:textFill>
            <w14:solidFill>
              <w14:schemeClr w14:val="tx1"/>
            </w14:solidFill>
          </w14:textFill>
        </w:rPr>
        <w:t>（1）响应函（格式见附件）</w:t>
      </w:r>
      <w:r>
        <w:rPr>
          <w:rFonts w:hint="eastAsia" w:ascii="宋体" w:hAnsi="宋体" w:eastAsia="宋体" w:cs="宋体"/>
          <w:b/>
          <w:color w:val="000000" w:themeColor="text1"/>
          <w:sz w:val="21"/>
          <w:szCs w:val="21"/>
          <w:highlight w:val="none"/>
          <w:lang w:val="en-US"/>
          <w14:textFill>
            <w14:solidFill>
              <w14:schemeClr w14:val="tx1"/>
            </w14:solidFill>
          </w14:textFill>
        </w:rPr>
        <w:t>（必须提供）</w:t>
      </w:r>
      <w:bookmarkEnd w:id="84"/>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bookmarkEnd w:id="85"/>
      <w:bookmarkEnd w:id="86"/>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）磋商报价表（格式见附件）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）服务（技术）响应、商务偏离情况说明表（格式见附件）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）服务承诺书（由供应商根据本项目采购需求、特点及供应商自身的处理能力自行编写，承诺书内容至少应包括“采购需求”中的所有服务条款）（格式见附件）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pPr>
        <w:numPr>
          <w:ilvl w:val="-1"/>
          <w:numId w:val="0"/>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）“采购需求”需提供的有效证明文件</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按其</w:t>
      </w:r>
      <w:r>
        <w:rPr>
          <w:rFonts w:hint="eastAsia" w:ascii="宋体" w:hAnsi="宋体" w:eastAsia="宋体" w:cs="宋体"/>
          <w:b/>
          <w:color w:val="auto"/>
          <w:szCs w:val="21"/>
          <w:highlight w:val="none"/>
        </w:rPr>
        <w:t>要求</w:t>
      </w:r>
      <w:r>
        <w:rPr>
          <w:rFonts w:hint="eastAsia" w:ascii="宋体" w:hAnsi="宋体" w:cs="宋体"/>
          <w:b/>
          <w:bCs/>
          <w:color w:val="000000" w:themeColor="text1"/>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szCs w:val="21"/>
          <w:highlight w:val="none"/>
          <w14:textFill>
            <w14:solidFill>
              <w14:schemeClr w14:val="tx1"/>
            </w14:solidFill>
          </w14:textFill>
        </w:rPr>
        <w:t>）；</w:t>
      </w:r>
    </w:p>
    <w:p>
      <w:pPr>
        <w:numPr>
          <w:ilvl w:val="0"/>
          <w:numId w:val="0"/>
        </w:num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方案</w:t>
      </w:r>
      <w:r>
        <w:rPr>
          <w:rFonts w:hint="eastAsia" w:ascii="宋体" w:hAnsi="宋体" w:eastAsia="宋体" w:cs="宋体"/>
          <w:b w:val="0"/>
          <w:bCs w:val="0"/>
          <w:color w:val="000000" w:themeColor="text1"/>
          <w:sz w:val="21"/>
          <w:szCs w:val="21"/>
          <w:highlight w:val="none"/>
          <w14:textFill>
            <w14:solidFill>
              <w14:schemeClr w14:val="tx1"/>
            </w14:solidFill>
          </w14:textFill>
        </w:rPr>
        <w:t>（格式见附件）</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pPr>
        <w:pStyle w:val="19"/>
        <w:ind w:left="0" w:leftChars="0" w:firstLine="42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Cs w:val="21"/>
          <w:highlight w:val="none"/>
          <w14:textFill>
            <w14:solidFill>
              <w14:schemeClr w14:val="tx1"/>
            </w14:solidFill>
          </w14:textFill>
        </w:rPr>
        <w:t>其他有效证明材料</w:t>
      </w:r>
    </w:p>
    <w:p>
      <w:pPr>
        <w:numPr>
          <w:ilvl w:val="0"/>
          <w:numId w:val="5"/>
        </w:numPr>
        <w:spacing w:line="360" w:lineRule="auto"/>
        <w:ind w:firstLine="420"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项目实施人员一览表（格式见附件）</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cs="宋体"/>
          <w:b/>
          <w:bCs/>
          <w:color w:val="000000" w:themeColor="text1"/>
          <w:szCs w:val="21"/>
          <w:highlight w:val="none"/>
          <w:lang w:eastAsia="zh-CN"/>
          <w14:textFill>
            <w14:solidFill>
              <w14:schemeClr w14:val="tx1"/>
            </w14:solidFill>
          </w14:textFill>
        </w:rPr>
        <w:t>；</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1月1日</w:t>
      </w:r>
      <w:r>
        <w:rPr>
          <w:rFonts w:hint="eastAsia" w:ascii="宋体" w:hAnsi="宋体" w:eastAsia="宋体" w:cs="宋体"/>
          <w:color w:val="000000" w:themeColor="text1"/>
          <w:szCs w:val="21"/>
          <w:highlight w:val="none"/>
          <w14:textFill>
            <w14:solidFill>
              <w14:schemeClr w14:val="tx1"/>
            </w14:solidFill>
          </w14:textFill>
        </w:rPr>
        <w:t>以来具有同类</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的业绩相关证明材料（以</w:t>
      </w:r>
      <w:r>
        <w:rPr>
          <w:rFonts w:hint="eastAsia" w:ascii="宋体" w:hAnsi="宋体" w:cs="宋体"/>
          <w:color w:val="000000" w:themeColor="text1"/>
          <w:szCs w:val="21"/>
          <w:highlight w:val="none"/>
          <w:lang w:eastAsia="zh-CN"/>
          <w14:textFill>
            <w14:solidFill>
              <w14:schemeClr w14:val="tx1"/>
            </w14:solidFill>
          </w14:textFill>
        </w:rPr>
        <w:t>中标</w:t>
      </w:r>
      <w:r>
        <w:rPr>
          <w:rFonts w:hint="eastAsia" w:ascii="宋体" w:hAnsi="宋体" w:eastAsia="宋体" w:cs="宋体"/>
          <w:color w:val="000000" w:themeColor="text1"/>
          <w:szCs w:val="21"/>
          <w:highlight w:val="none"/>
          <w14:textFill>
            <w14:solidFill>
              <w14:schemeClr w14:val="tx1"/>
            </w14:solidFill>
          </w14:textFill>
        </w:rPr>
        <w:t>、成交通知书或签订的合同为准，并能清晰反映</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的名称、</w:t>
      </w:r>
      <w:r>
        <w:rPr>
          <w:rFonts w:hint="eastAsia" w:ascii="宋体" w:hAnsi="宋体" w:eastAsia="宋体" w:cs="宋体"/>
          <w:color w:val="000000" w:themeColor="text1"/>
          <w:szCs w:val="21"/>
          <w:highlight w:val="none"/>
          <w:lang w:eastAsia="zh-CN"/>
          <w14:textFill>
            <w14:solidFill>
              <w14:schemeClr w14:val="tx1"/>
            </w14:solidFill>
          </w14:textFill>
        </w:rPr>
        <w:t>采购内容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金额</w:t>
      </w:r>
      <w:r>
        <w:rPr>
          <w:rFonts w:hint="eastAsia" w:ascii="宋体" w:hAnsi="宋体" w:eastAsia="宋体" w:cs="宋体"/>
          <w:color w:val="000000" w:themeColor="text1"/>
          <w:szCs w:val="21"/>
          <w:highlight w:val="none"/>
          <w:lang w:eastAsia="zh-CN"/>
          <w14:textFill>
            <w14:solidFill>
              <w14:schemeClr w14:val="tx1"/>
            </w14:solidFill>
          </w14:textFill>
        </w:rPr>
        <w:t>、采购时间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（如有，请提供）；</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供应商可结合本项目的评审办法视自身情况自行提交其它相关证明材料。</w:t>
      </w:r>
    </w:p>
    <w:p>
      <w:pPr>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w:t>
      </w:r>
      <w:r>
        <w:rPr>
          <w:rFonts w:hint="eastAsia" w:ascii="宋体" w:hAnsi="宋体" w:eastAsia="宋体" w:cs="宋体"/>
          <w:b/>
          <w:bCs/>
          <w:color w:val="000000" w:themeColor="text1"/>
          <w:highlight w:val="none"/>
          <w14:textFill>
            <w14:solidFill>
              <w14:schemeClr w14:val="tx1"/>
            </w14:solidFill>
          </w14:textFill>
        </w:rPr>
        <w:t>提供的以上相关证明材料属于“必须提供”的文件应加盖</w:t>
      </w:r>
      <w:r>
        <w:rPr>
          <w:rFonts w:hint="eastAsia" w:ascii="宋体" w:hAnsi="宋体" w:eastAsia="宋体" w:cs="宋体"/>
          <w:b/>
          <w:bCs/>
          <w:color w:val="000000" w:themeColor="text1"/>
          <w:highlight w:val="none"/>
          <w:lang w:eastAsia="zh-CN"/>
          <w14:textFill>
            <w14:solidFill>
              <w14:schemeClr w14:val="tx1"/>
            </w14:solidFill>
          </w14:textFill>
        </w:rPr>
        <w:t>磋商供应商</w:t>
      </w:r>
      <w:r>
        <w:rPr>
          <w:rFonts w:hint="eastAsia" w:ascii="宋体" w:hAnsi="宋体" w:eastAsia="宋体" w:cs="宋体"/>
          <w:b/>
          <w:bCs/>
          <w:color w:val="000000" w:themeColor="text1"/>
          <w:highlight w:val="none"/>
          <w14:textFill>
            <w14:solidFill>
              <w14:schemeClr w14:val="tx1"/>
            </w14:solidFill>
          </w14:textFill>
        </w:rPr>
        <w:t>公章（CA签章）</w:t>
      </w:r>
      <w:r>
        <w:rPr>
          <w:rFonts w:hint="eastAsia" w:ascii="宋体" w:hAnsi="宋体" w:eastAsia="宋体" w:cs="宋体"/>
          <w:b/>
          <w:bCs/>
          <w:color w:val="000000" w:themeColor="text1"/>
          <w:highlight w:val="none"/>
          <w:lang w:val="en-US"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自然人</w:t>
      </w:r>
      <w:r>
        <w:rPr>
          <w:rFonts w:hint="eastAsia" w:ascii="宋体" w:hAnsi="宋体" w:eastAsia="宋体" w:cs="宋体"/>
          <w:b/>
          <w:bCs/>
          <w:color w:val="000000" w:themeColor="text1"/>
          <w:highlight w:val="none"/>
          <w:lang w:eastAsia="zh-CN"/>
          <w14:textFill>
            <w14:solidFill>
              <w14:schemeClr w14:val="tx1"/>
            </w14:solidFill>
          </w14:textFill>
        </w:rPr>
        <w:t>签字或</w:t>
      </w:r>
      <w:r>
        <w:rPr>
          <w:rFonts w:hint="eastAsia" w:ascii="宋体" w:hAnsi="宋体" w:eastAsia="宋体" w:cs="宋体"/>
          <w:b/>
          <w:bCs/>
          <w:color w:val="000000" w:themeColor="text1"/>
          <w:highlight w:val="none"/>
          <w:lang w:val="en-US" w:eastAsia="zh-CN"/>
          <w14:textFill>
            <w14:solidFill>
              <w14:schemeClr w14:val="tx1"/>
            </w14:solidFill>
          </w14:textFill>
        </w:rPr>
        <w:t>个人</w:t>
      </w:r>
      <w:r>
        <w:rPr>
          <w:rFonts w:hint="eastAsia" w:ascii="宋体" w:hAnsi="宋体" w:eastAsia="宋体" w:cs="宋体"/>
          <w:b/>
          <w:bCs/>
          <w:color w:val="000000" w:themeColor="text1"/>
          <w:highlight w:val="none"/>
          <w14:textFill>
            <w14:solidFill>
              <w14:schemeClr w14:val="tx1"/>
            </w14:solidFill>
          </w14:textFill>
        </w:rPr>
        <w:t>CA签章，否则</w:t>
      </w:r>
      <w:r>
        <w:rPr>
          <w:rFonts w:hint="eastAsia" w:ascii="宋体" w:hAnsi="宋体" w:eastAsia="宋体" w:cs="宋体"/>
          <w:b/>
          <w:bCs/>
          <w:color w:val="000000" w:themeColor="text1"/>
          <w:highlight w:val="none"/>
          <w:lang w:val="en-US" w:eastAsia="zh-CN"/>
          <w14:textFill>
            <w14:solidFill>
              <w14:schemeClr w14:val="tx1"/>
            </w14:solidFill>
          </w14:textFill>
        </w:rPr>
        <w:t>响应</w:t>
      </w:r>
      <w:r>
        <w:rPr>
          <w:rFonts w:hint="eastAsia" w:ascii="宋体" w:hAnsi="宋体" w:eastAsia="宋体" w:cs="宋体"/>
          <w:b/>
          <w:bCs/>
          <w:color w:val="000000" w:themeColor="text1"/>
          <w:highlight w:val="none"/>
          <w14:textFill>
            <w14:solidFill>
              <w14:schemeClr w14:val="tx1"/>
            </w14:solidFill>
          </w14:textFill>
        </w:rPr>
        <w:t>无效。</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供应商应按竞争性磋商文件第六章“响应文件（格式）”编制响应文件。</w:t>
      </w:r>
    </w:p>
    <w:p>
      <w:pPr>
        <w:spacing w:line="36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特别说明：</w:t>
      </w:r>
    </w:p>
    <w:p>
      <w:pPr>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（1）响</w:t>
      </w:r>
      <w:r>
        <w:rPr>
          <w:rFonts w:hint="eastAsia" w:ascii="宋体" w:hAnsi="宋体" w:eastAsia="宋体" w:cs="宋体"/>
          <w:b/>
          <w:color w:val="000000" w:themeColor="text1"/>
          <w:szCs w:val="21"/>
          <w:highlight w:val="none"/>
          <w14:textFill>
            <w14:solidFill>
              <w14:schemeClr w14:val="tx1"/>
            </w14:solidFill>
          </w14:textFill>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pPr>
        <w:numPr>
          <w:ilvl w:val="0"/>
          <w:numId w:val="6"/>
        </w:numPr>
        <w:spacing w:line="360" w:lineRule="exact"/>
        <w:ind w:left="0" w:leftChars="0"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Cs w:val="21"/>
          <w:highlight w:val="none"/>
          <w14:textFill>
            <w14:solidFill>
              <w14:schemeClr w14:val="tx1"/>
            </w14:solidFill>
          </w14:textFill>
        </w:rPr>
        <w:t>要求法定代表人（负责人）或委托代理人签字的部分必须签字然后扫描或者拍照做成 pdf 格式上传</w:t>
      </w:r>
      <w:r>
        <w:rPr>
          <w:rFonts w:hint="eastAsia" w:ascii="宋体" w:hAnsi="宋体" w:eastAsia="宋体" w:cs="宋体"/>
          <w:b/>
          <w:bCs/>
          <w:color w:val="000000" w:themeColor="text1"/>
          <w:szCs w:val="21"/>
          <w:highlight w:val="none"/>
          <w:lang w:eastAsia="zh-CN"/>
          <w14:textFill>
            <w14:solidFill>
              <w14:schemeClr w14:val="tx1"/>
            </w14:solidFill>
          </w14:textFill>
        </w:rPr>
        <w:t>（或加盖个人</w:t>
      </w:r>
      <w:r>
        <w:rPr>
          <w:rFonts w:hint="eastAsia" w:ascii="宋体" w:hAnsi="宋体" w:eastAsia="宋体" w:cs="宋体"/>
          <w:b/>
          <w:bCs/>
          <w:color w:val="000000" w:themeColor="text1"/>
          <w:szCs w:val="21"/>
          <w:highlight w:val="none"/>
          <w:lang w:val="en-US" w:eastAsia="zh-CN"/>
          <w14:textFill>
            <w14:solidFill>
              <w14:schemeClr w14:val="tx1"/>
            </w14:solidFill>
          </w14:textFill>
        </w:rPr>
        <w:t>CA签章</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，无签字的视为</w:t>
      </w:r>
      <w:r>
        <w:rPr>
          <w:rFonts w:hint="eastAsia" w:ascii="宋体" w:hAnsi="宋体" w:eastAsia="宋体" w:cs="宋体"/>
          <w:b/>
          <w:bCs/>
          <w:color w:val="000000" w:themeColor="text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szCs w:val="21"/>
          <w:highlight w:val="none"/>
          <w14:textFill>
            <w14:solidFill>
              <w14:schemeClr w14:val="tx1"/>
            </w14:solidFill>
          </w14:textFill>
        </w:rPr>
        <w:t>无效。</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7" w:name="_Toc6845"/>
      <w:bookmarkStart w:id="88" w:name="_Toc2180"/>
      <w:r>
        <w:rPr>
          <w:rFonts w:hint="eastAsia" w:ascii="宋体" w:hAnsi="宋体" w:eastAsia="宋体" w:cs="宋体"/>
          <w:color w:val="000000" w:themeColor="text1"/>
          <w:sz w:val="21"/>
          <w:szCs w:val="21"/>
          <w:highlight w:val="none"/>
          <w14:textFill>
            <w14:solidFill>
              <w14:schemeClr w14:val="tx1"/>
            </w14:solidFill>
          </w14:textFill>
        </w:rPr>
        <w:t>12. 响应文件的语言及计量</w:t>
      </w:r>
      <w:bookmarkEnd w:id="87"/>
      <w:bookmarkEnd w:id="88"/>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 磋商计量单位，磋商文件已有明确规定的，使用磋商文件规定的计量单位；磋商文件没有规定的，应采用中华人民共和国法定计量单位（货币单位：人民币元），否则视同未响应。</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9" w:name="_Toc10838"/>
      <w:bookmarkStart w:id="90" w:name="_Toc30930"/>
      <w:r>
        <w:rPr>
          <w:rFonts w:hint="eastAsia" w:ascii="宋体" w:hAnsi="宋体" w:eastAsia="宋体" w:cs="宋体"/>
          <w:color w:val="000000" w:themeColor="text1"/>
          <w:sz w:val="21"/>
          <w:szCs w:val="21"/>
          <w:highlight w:val="none"/>
          <w14:textFill>
            <w14:solidFill>
              <w14:schemeClr w14:val="tx1"/>
            </w14:solidFill>
          </w14:textFill>
        </w:rPr>
        <w:t>13. 磋商报价及采购预算金额</w:t>
      </w:r>
      <w:bookmarkEnd w:id="89"/>
      <w:bookmarkEnd w:id="90"/>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采购预算金额</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每年预算人民币肆拾柒万柒仟元整（¥477000.00元），三年总预算人民币壹佰肆拾叁万壹仟元整（¥1431000.00元）</w:t>
      </w:r>
      <w:r>
        <w:rPr>
          <w:rFonts w:hint="eastAsia" w:ascii="宋体" w:hAnsi="宋体" w:eastAsia="宋体" w:cs="宋体"/>
          <w:b w:val="0"/>
          <w:bCs w:val="0"/>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报价超过相应采购预算金额的，响应文件按无效处理。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13.2供应商必须就“采购需求”中所竞所有内容作完整唯一报价，否则，其响应文件无效。响应文件只允许有一个报价，有选择的或有条件的报价将不予接受。</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 磋商报价应包括本次采购范围内货物价款、货物随配标准附件、包装、运输、装卸、保险、税金、货到位以及调试、检验、售后服务、培训、保修及其他所有成本费用的总和；供应商综合考虑在报价中。</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13.4供应商应在规定时间内在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系统上提交最后报价，超出评委设定的最后报价时限或其最后报价超出采购预算导致已通过评审的响应文件无效的，按供应商在提交响应文件截止时间后撤回响应文件处理。</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1" w:name="_Toc27015"/>
      <w:bookmarkStart w:id="92" w:name="_Toc26881"/>
      <w:r>
        <w:rPr>
          <w:rFonts w:hint="eastAsia" w:ascii="宋体" w:hAnsi="宋体" w:eastAsia="宋体" w:cs="宋体"/>
          <w:color w:val="000000" w:themeColor="text1"/>
          <w:sz w:val="21"/>
          <w:szCs w:val="21"/>
          <w:highlight w:val="none"/>
          <w14:textFill>
            <w14:solidFill>
              <w14:schemeClr w14:val="tx1"/>
            </w14:solidFill>
          </w14:textFill>
        </w:rPr>
        <w:t>14. 响应文件有效期</w:t>
      </w:r>
      <w:bookmarkEnd w:id="91"/>
      <w:bookmarkEnd w:id="92"/>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 响应文件有效期：响应文件递交截止时间之日起90天，有效期不足的响应文件将被拒绝。</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14.2 出现特殊情况下，需要延长响应文件有效期的，采购代理机构</w:t>
      </w:r>
      <w:r>
        <w:rPr>
          <w:rFonts w:hint="eastAsia" w:ascii="宋体" w:hAnsi="宋体" w:eastAsia="宋体" w:cs="宋体"/>
          <w:color w:val="000000" w:themeColor="text1"/>
          <w:szCs w:val="21"/>
          <w:highlight w:val="none"/>
          <w:lang w:eastAsia="zh-CN"/>
          <w14:textFill>
            <w14:solidFill>
              <w14:schemeClr w14:val="tx1"/>
            </w14:solidFill>
          </w14:textFill>
        </w:rPr>
        <w:t>书面</w:t>
      </w:r>
      <w:r>
        <w:rPr>
          <w:rFonts w:hint="eastAsia" w:ascii="宋体" w:hAnsi="宋体" w:eastAsia="宋体" w:cs="宋体"/>
          <w:color w:val="000000" w:themeColor="text1"/>
          <w:szCs w:val="21"/>
          <w:highlight w:val="none"/>
          <w14:textFill>
            <w14:solidFill>
              <w14:schemeClr w14:val="tx1"/>
            </w14:solidFill>
          </w14:textFill>
        </w:rPr>
        <w:t>通知供应商延长响应文件有效期。供应商同意延长的，但不能修改响应文件。供应商拒绝延长的，其响应文件无效。</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3" w:name="_Toc24706"/>
      <w:bookmarkStart w:id="94" w:name="_Toc22602"/>
      <w:r>
        <w:rPr>
          <w:rFonts w:hint="eastAsia" w:ascii="宋体" w:hAnsi="宋体" w:eastAsia="宋体" w:cs="宋体"/>
          <w:color w:val="000000" w:themeColor="text1"/>
          <w:sz w:val="21"/>
          <w:szCs w:val="21"/>
          <w:highlight w:val="none"/>
          <w14:textFill>
            <w14:solidFill>
              <w14:schemeClr w14:val="tx1"/>
            </w14:solidFill>
          </w14:textFill>
        </w:rPr>
        <w:t>15. 磋商保证金</w:t>
      </w:r>
      <w:bookmarkEnd w:id="93"/>
      <w:bookmarkEnd w:id="94"/>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本项目无需缴纳磋商保证金。</w:t>
      </w:r>
    </w:p>
    <w:p>
      <w:pPr>
        <w:pStyle w:val="5"/>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95" w:name="_Toc387"/>
      <w:bookmarkStart w:id="96" w:name="_Toc8815"/>
      <w:r>
        <w:rPr>
          <w:rFonts w:hint="eastAsia" w:ascii="宋体" w:hAnsi="宋体" w:eastAsia="宋体" w:cs="宋体"/>
          <w:color w:val="000000" w:themeColor="text1"/>
          <w:sz w:val="21"/>
          <w:szCs w:val="21"/>
          <w:highlight w:val="none"/>
          <w14:textFill>
            <w14:solidFill>
              <w14:schemeClr w14:val="tx1"/>
            </w14:solidFill>
          </w14:textFill>
        </w:rPr>
        <w:t>16. 竞争性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w:t>
      </w:r>
      <w:bookmarkEnd w:id="95"/>
      <w:r>
        <w:rPr>
          <w:rFonts w:hint="eastAsia" w:ascii="宋体" w:hAnsi="宋体" w:eastAsia="宋体" w:cs="宋体"/>
          <w:color w:val="000000" w:themeColor="text1"/>
          <w:sz w:val="21"/>
          <w:szCs w:val="21"/>
          <w:highlight w:val="none"/>
          <w:lang w:eastAsia="zh-CN"/>
          <w14:textFill>
            <w14:solidFill>
              <w14:schemeClr w14:val="tx1"/>
            </w14:solidFill>
          </w14:textFill>
        </w:rPr>
        <w:t>制作</w:t>
      </w:r>
      <w:bookmarkEnd w:id="96"/>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供应商将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电子交易客户端下载、安装完成后，可通过账号密码或 CA 登录客户端进行响应文件制作。客户端请至网站下载专区查看，如有问题可拨打</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7" w:name="_Toc8570"/>
      <w:r>
        <w:rPr>
          <w:rFonts w:hint="eastAsia" w:ascii="宋体" w:hAnsi="宋体" w:eastAsia="宋体" w:cs="宋体"/>
          <w:color w:val="000000" w:themeColor="text1"/>
          <w:sz w:val="21"/>
          <w:szCs w:val="21"/>
          <w:highlight w:val="none"/>
          <w14:textFill>
            <w14:solidFill>
              <w14:schemeClr w14:val="tx1"/>
            </w14:solidFill>
          </w14:textFill>
        </w:rPr>
        <w:t>17. 响应文件的修改和撤回</w:t>
      </w:r>
      <w:bookmarkEnd w:id="97"/>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17.1 </w:t>
      </w:r>
      <w:r>
        <w:rPr>
          <w:rFonts w:hint="eastAsia" w:ascii="宋体" w:hAnsi="宋体" w:eastAsia="宋体" w:cs="宋体"/>
          <w:color w:val="000000" w:themeColor="text1"/>
          <w:szCs w:val="21"/>
          <w:highlight w:val="none"/>
          <w:lang w:eastAsia="zh-CN"/>
          <w14:textFill>
            <w14:solidFill>
              <w14:schemeClr w14:val="tx1"/>
            </w14:solidFill>
          </w14:textFill>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 在响应文件递交截止时间后的响应文件有效期内，供应商不得撤回其响应文件。</w:t>
      </w:r>
    </w:p>
    <w:p>
      <w:pPr>
        <w:pStyle w:val="5"/>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98" w:name="_Toc27030"/>
      <w:bookmarkStart w:id="99" w:name="_Toc30156"/>
      <w:r>
        <w:rPr>
          <w:rFonts w:hint="eastAsia" w:ascii="宋体" w:hAnsi="宋体" w:eastAsia="宋体" w:cs="宋体"/>
          <w:color w:val="000000" w:themeColor="text1"/>
          <w:sz w:val="21"/>
          <w:szCs w:val="21"/>
          <w:highlight w:val="none"/>
          <w14:textFill>
            <w14:solidFill>
              <w14:schemeClr w14:val="tx1"/>
            </w14:solidFill>
          </w14:textFill>
        </w:rPr>
        <w:t>18. 响应文件的递交</w:t>
      </w:r>
      <w:r>
        <w:rPr>
          <w:rFonts w:hint="eastAsia" w:ascii="宋体" w:hAnsi="宋体" w:eastAsia="宋体" w:cs="宋体"/>
          <w:color w:val="000000" w:themeColor="text1"/>
          <w:sz w:val="21"/>
          <w:szCs w:val="21"/>
          <w:highlight w:val="none"/>
          <w:lang w:eastAsia="zh-CN"/>
          <w14:textFill>
            <w14:solidFill>
              <w14:schemeClr w14:val="tx1"/>
            </w14:solidFill>
          </w14:textFill>
        </w:rPr>
        <w:t>和解密</w:t>
      </w:r>
      <w:bookmarkEnd w:id="98"/>
      <w:bookmarkEnd w:id="99"/>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18.1响应文件递交截止时间</w:t>
      </w:r>
      <w:r>
        <w:rPr>
          <w:rFonts w:hint="eastAsia" w:ascii="宋体" w:hAnsi="宋体" w:eastAsia="宋体" w:cs="宋体"/>
          <w:color w:val="000000" w:themeColor="text1"/>
          <w:szCs w:val="21"/>
          <w:highlight w:val="non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2024年11月22日上午9时30分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18.2磋商响应文件解密时间：截标时间后</w:t>
      </w:r>
      <w:r>
        <w:rPr>
          <w:rFonts w:hint="eastAsia" w:ascii="宋体" w:hAnsi="宋体" w:eastAsia="宋体" w:cs="宋体"/>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2024年11月22日上午9时30分</w:t>
      </w:r>
      <w:r>
        <w:rPr>
          <w:rFonts w:hint="eastAsia" w:ascii="宋体" w:hAnsi="宋体" w:eastAsia="宋体" w:cs="宋体"/>
          <w:color w:val="000000" w:themeColor="text1"/>
          <w:szCs w:val="21"/>
          <w:highlight w:val="none"/>
          <w:u w:val="single"/>
          <w14:textFill>
            <w14:solidFill>
              <w14:schemeClr w14:val="tx1"/>
            </w14:solidFill>
          </w14:textFill>
        </w:rPr>
        <w:t>至</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Cs w:val="21"/>
          <w:highlight w:val="none"/>
          <w:u w:val="single"/>
          <w14:textFill>
            <w14:solidFill>
              <w14:schemeClr w14:val="tx1"/>
            </w14:solidFill>
          </w14:textFill>
        </w:rPr>
        <w:t>时</w:t>
      </w:r>
      <w:r>
        <w:rPr>
          <w:rFonts w:hint="eastAsia" w:ascii="宋体" w:hAnsi="宋体" w:eastAsia="宋体" w:cs="宋体"/>
          <w:color w:val="000000" w:themeColor="text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Cs w:val="21"/>
          <w:highlight w:val="none"/>
          <w:u w:val="singl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)磋商供应商可以登录</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，用“项目采购-开标评标”功能进行解密磋商文件。</w:t>
      </w:r>
    </w:p>
    <w:p>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注：投标文件网上递交截止时间后，各投标人须在解密时限内对上传</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 除竞争性磋商文件另有规定外，供应商所递交的响应文件不予退还。</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18.4 </w:t>
      </w:r>
      <w:r>
        <w:rPr>
          <w:rFonts w:hint="eastAsia" w:ascii="宋体" w:hAnsi="宋体" w:eastAsia="宋体" w:cs="宋体"/>
          <w:color w:val="000000" w:themeColor="text1"/>
          <w:szCs w:val="21"/>
          <w:highlight w:val="none"/>
          <w14:textFill>
            <w14:solidFill>
              <w14:schemeClr w14:val="tx1"/>
            </w14:solidFill>
          </w14:textFill>
        </w:rPr>
        <w:t>电子响应文件的相关说明</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（1）供应商进行电子投标应安装客户端软件，并按照采购文件和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的要求编制并加密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响应文件。供应商未按规定加密的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将拒收。供应商应当在</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截止时间前完成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响应文件的传输递交，并可以补充、修改或者撤回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响应文件。补充或者修改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截止时间前未完成传输的，视为撤回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截止时间后递交的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 xml:space="preserve">将拒收。 </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100" w:name="_Toc2433"/>
      <w:bookmarkStart w:id="101" w:name="_Toc18044"/>
      <w:r>
        <w:rPr>
          <w:rFonts w:hint="eastAsia" w:ascii="宋体" w:hAnsi="宋体" w:eastAsia="宋体" w:cs="宋体"/>
          <w:b/>
          <w:bCs w:val="0"/>
          <w:color w:val="000000" w:themeColor="text1"/>
          <w:szCs w:val="28"/>
          <w:highlight w:val="none"/>
          <w14:textFill>
            <w14:solidFill>
              <w14:schemeClr w14:val="tx1"/>
            </w14:solidFill>
          </w14:textFill>
        </w:rPr>
        <w:t>四、竞争性磋商（简称磋商）与评审</w:t>
      </w:r>
      <w:bookmarkEnd w:id="100"/>
      <w:bookmarkEnd w:id="101"/>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2" w:name="_Toc31588"/>
      <w:bookmarkStart w:id="103" w:name="_Toc16714"/>
      <w:r>
        <w:rPr>
          <w:rFonts w:hint="eastAsia" w:ascii="宋体" w:hAnsi="宋体" w:eastAsia="宋体" w:cs="宋体"/>
          <w:color w:val="000000" w:themeColor="text1"/>
          <w:sz w:val="21"/>
          <w:szCs w:val="21"/>
          <w:highlight w:val="none"/>
          <w14:textFill>
            <w14:solidFill>
              <w14:schemeClr w14:val="tx1"/>
            </w14:solidFill>
          </w14:textFill>
        </w:rPr>
        <w:t>19. 磋商小组组成及磋商时间、地点、人员</w:t>
      </w:r>
      <w:bookmarkEnd w:id="102"/>
      <w:bookmarkEnd w:id="103"/>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 磋商小组组成：</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 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 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 磋商时间、地点、人员：</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04" w:name="_Toc9878"/>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bookmarkEnd w:id="104"/>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bookmarkStart w:id="105" w:name="_Toc29268"/>
      <w:r>
        <w:rPr>
          <w:rFonts w:hint="eastAsia" w:ascii="宋体" w:hAnsi="宋体" w:eastAsia="宋体" w:cs="宋体"/>
          <w:color w:val="000000" w:themeColor="text1"/>
          <w:szCs w:val="21"/>
          <w:highlight w:val="none"/>
          <w:lang w:val="en-US" w:eastAsia="zh-CN"/>
          <w14:textFill>
            <w14:solidFill>
              <w14:schemeClr w14:val="tx1"/>
            </w14:solidFill>
          </w14:textFill>
        </w:rPr>
        <w:t>19.2.2磋商地点</w:t>
      </w:r>
      <w:r>
        <w:rPr>
          <w:rFonts w:hint="eastAsia" w:ascii="宋体" w:hAnsi="宋体" w:eastAsia="宋体" w:cs="宋体"/>
          <w:color w:val="000000" w:themeColor="text1"/>
          <w:szCs w:val="21"/>
          <w:highlight w:val="none"/>
          <w14:textFill>
            <w14:solidFill>
              <w14:schemeClr w14:val="tx1"/>
            </w14:solidFill>
          </w14:textFill>
        </w:rPr>
        <w:t>：</w:t>
      </w:r>
      <w:bookmarkEnd w:id="105"/>
      <w:r>
        <w:rPr>
          <w:rFonts w:hint="eastAsia" w:ascii="宋体" w:hAnsi="宋体" w:eastAsia="宋体" w:cs="宋体"/>
          <w:color w:val="000000" w:themeColor="text1"/>
          <w:szCs w:val="21"/>
          <w:highlight w:val="none"/>
          <w14:textFill>
            <w14:solidFill>
              <w14:schemeClr w14:val="tx1"/>
            </w14:solidFill>
          </w14:textFill>
        </w:rPr>
        <w:t>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06" w:name="_Toc21307"/>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b w:val="0"/>
          <w:bCs/>
          <w:color w:val="000000" w:themeColor="text1"/>
          <w:sz w:val="21"/>
          <w:szCs w:val="21"/>
          <w:highlight w:val="none"/>
          <w14:textFill>
            <w14:solidFill>
              <w14:schemeClr w14:val="tx1"/>
            </w14:solidFill>
          </w14:textFill>
        </w:rPr>
        <w:t>.2.3磋商参加人员：供应商法定代表人、负责人、自然人或相应的委托代理人持</w:t>
      </w:r>
      <w:r>
        <w:rPr>
          <w:rFonts w:hint="eastAsia" w:ascii="宋体" w:hAnsi="宋体" w:eastAsia="宋体" w:cs="宋体"/>
          <w:b w:val="0"/>
          <w:bCs/>
          <w:color w:val="000000" w:themeColor="text1"/>
          <w:sz w:val="21"/>
          <w:szCs w:val="21"/>
          <w:highlight w:val="none"/>
          <w:u w:val="single"/>
          <w14:textFill>
            <w14:solidFill>
              <w14:schemeClr w14:val="tx1"/>
            </w14:solidFill>
          </w14:textFill>
        </w:rPr>
        <w:t>有效身份证原件</w:t>
      </w:r>
      <w:r>
        <w:rPr>
          <w:rFonts w:hint="eastAsia" w:ascii="宋体" w:hAnsi="宋体" w:eastAsia="宋体" w:cs="宋体"/>
          <w:b w:val="0"/>
          <w:bCs/>
          <w:color w:val="000000" w:themeColor="text1"/>
          <w:sz w:val="21"/>
          <w:szCs w:val="21"/>
          <w:highlight w:val="none"/>
          <w14:textFill>
            <w14:solidFill>
              <w14:schemeClr w14:val="tx1"/>
            </w14:solidFill>
          </w14:textFill>
        </w:rPr>
        <w:t>和供应商</w:t>
      </w:r>
      <w:r>
        <w:rPr>
          <w:rFonts w:hint="eastAsia" w:ascii="宋体" w:hAnsi="宋体" w:cs="宋体"/>
          <w:b w:val="0"/>
          <w:bCs/>
          <w:color w:val="000000" w:themeColor="text1"/>
          <w:sz w:val="21"/>
          <w:szCs w:val="21"/>
          <w:highlight w:val="none"/>
          <w:u w:val="single"/>
          <w:lang w:eastAsia="zh-CN"/>
          <w14:textFill>
            <w14:solidFill>
              <w14:schemeClr w14:val="tx1"/>
            </w14:solidFill>
          </w14:textFill>
        </w:rPr>
        <w:t>广西政府采购云平台</w:t>
      </w:r>
      <w:r>
        <w:rPr>
          <w:rFonts w:hint="eastAsia" w:ascii="宋体" w:hAnsi="宋体" w:eastAsia="宋体" w:cs="宋体"/>
          <w:b w:val="0"/>
          <w:bCs/>
          <w:color w:val="000000" w:themeColor="text1"/>
          <w:sz w:val="21"/>
          <w:szCs w:val="21"/>
          <w:highlight w:val="none"/>
          <w:u w:val="single"/>
          <w14:textFill>
            <w14:solidFill>
              <w14:schemeClr w14:val="tx1"/>
            </w14:solidFill>
          </w14:textFill>
        </w:rPr>
        <w:t>CA数字证书</w:t>
      </w:r>
      <w:r>
        <w:rPr>
          <w:rFonts w:hint="eastAsia" w:ascii="宋体" w:hAnsi="宋体" w:eastAsia="宋体" w:cs="宋体"/>
          <w:b w:val="0"/>
          <w:bCs/>
          <w:color w:val="000000" w:themeColor="text1"/>
          <w:sz w:val="21"/>
          <w:szCs w:val="21"/>
          <w:highlight w:val="none"/>
          <w14:textFill>
            <w14:solidFill>
              <w14:schemeClr w14:val="tx1"/>
            </w14:solidFill>
          </w14:textFill>
        </w:rPr>
        <w:t>参加磋商。请供应商</w:t>
      </w:r>
      <w:r>
        <w:rPr>
          <w:rFonts w:hint="eastAsia" w:ascii="宋体" w:hAnsi="宋体" w:cs="宋体"/>
          <w:b w:val="0"/>
          <w:bCs/>
          <w:color w:val="000000" w:themeColor="text1"/>
          <w:sz w:val="21"/>
          <w:szCs w:val="21"/>
          <w:highlight w:val="none"/>
          <w:lang w:val="en-US" w:eastAsia="zh-CN"/>
          <w14:textFill>
            <w14:solidFill>
              <w14:schemeClr w14:val="tx1"/>
            </w14:solidFill>
          </w14:textFill>
        </w:rPr>
        <w:t>在广西政府采购云平台在线</w:t>
      </w:r>
      <w:r>
        <w:rPr>
          <w:rFonts w:hint="eastAsia" w:ascii="宋体" w:hAnsi="宋体" w:eastAsia="宋体" w:cs="宋体"/>
          <w:b w:val="0"/>
          <w:bCs/>
          <w:color w:val="000000" w:themeColor="text1"/>
          <w:sz w:val="21"/>
          <w:szCs w:val="21"/>
          <w:highlight w:val="none"/>
          <w14:textFill>
            <w14:solidFill>
              <w14:schemeClr w14:val="tx1"/>
            </w14:solidFill>
          </w14:textFill>
        </w:rPr>
        <w:t>等候磋商。</w:t>
      </w:r>
      <w:bookmarkEnd w:id="106"/>
    </w:p>
    <w:p>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07" w:name="_Toc6288"/>
      <w:r>
        <w:rPr>
          <w:rFonts w:hint="eastAsia" w:ascii="宋体" w:hAnsi="宋体" w:eastAsia="宋体" w:cs="宋体"/>
          <w:b w:val="0"/>
          <w:bCs/>
          <w:color w:val="000000" w:themeColor="text1"/>
          <w:sz w:val="21"/>
          <w:szCs w:val="21"/>
          <w:highlight w:val="none"/>
          <w14:textFill>
            <w14:solidFill>
              <w14:schemeClr w14:val="tx1"/>
            </w14:solidFill>
          </w14:textFill>
        </w:rPr>
        <w:t>19.2.4响应文件递交截止时间后，由磋商小组在评标室内线上开启响应文件。</w:t>
      </w:r>
      <w:bookmarkEnd w:id="107"/>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8" w:name="_Toc25258"/>
      <w:bookmarkStart w:id="109" w:name="_Toc18640"/>
      <w:r>
        <w:rPr>
          <w:rFonts w:hint="eastAsia" w:ascii="宋体" w:hAnsi="宋体" w:eastAsia="宋体" w:cs="宋体"/>
          <w:color w:val="000000" w:themeColor="text1"/>
          <w:sz w:val="21"/>
          <w:szCs w:val="21"/>
          <w:highlight w:val="none"/>
          <w14:textFill>
            <w14:solidFill>
              <w14:schemeClr w14:val="tx1"/>
            </w14:solidFill>
          </w14:textFill>
        </w:rPr>
        <w:t>20. 评审原则</w:t>
      </w:r>
      <w:bookmarkEnd w:id="108"/>
      <w:bookmarkEnd w:id="109"/>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 磋商小组必须坚持公平、公正、科学和择优的原则。</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 评审办法：综合评分法，具体详见第四章评审办法。</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 磋商小组应按磋商文件进行评审，不得擅自更改评审办法。</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20.4 在评审过程中，磋商小组任何人不得对某个供应商发表任何倾向性意见，不得向其他磋商小组成员明示或者暗示自己的评审意见。</w:t>
      </w:r>
    </w:p>
    <w:p>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20.5 磋商小组成员对需要共同认定的事项存在争议的，按照少数服从多数的原则作出结论。持不同意见的磋商小组成员应当在评审报告上签署不同意见并说明理由，否则视为同意。</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20.6 响应文件最后报价出现前后不一致的，除竞争性磋商文件另有规定外，按照下列规定修正：</w:t>
      </w:r>
    </w:p>
    <w:p>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highlight w:val="none"/>
          <w14:textFill>
            <w14:solidFill>
              <w14:schemeClr w14:val="tx1"/>
            </w14:solidFill>
          </w14:textFill>
        </w:rPr>
        <w:t>响应文件中磋商报价表内容与响应文件中相应内容不一致的，以最后磋商报价表为准；</w:t>
      </w:r>
    </w:p>
    <w:p>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大写金额和小写金额不一致的，以大写金额为准；</w:t>
      </w:r>
    </w:p>
    <w:p>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单价金额小数点或者百分比有明显错位的，以报价表的总价为准，并修改单价；</w:t>
      </w:r>
    </w:p>
    <w:p>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highlight w:val="none"/>
          <w14:textFill>
            <w14:solidFill>
              <w14:schemeClr w14:val="tx1"/>
            </w14:solidFill>
          </w14:textFill>
        </w:rPr>
        <w:t>总价金额与按单价汇总金额不一致的，以单价金额计算结果为准。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0" w:name="_Toc27193"/>
      <w:bookmarkStart w:id="111" w:name="_Toc1312"/>
      <w:r>
        <w:rPr>
          <w:rFonts w:hint="eastAsia" w:ascii="宋体" w:hAnsi="宋体" w:eastAsia="宋体" w:cs="宋体"/>
          <w:color w:val="000000" w:themeColor="text1"/>
          <w:sz w:val="21"/>
          <w:szCs w:val="21"/>
          <w:highlight w:val="none"/>
          <w14:textFill>
            <w14:solidFill>
              <w14:schemeClr w14:val="tx1"/>
            </w14:solidFill>
          </w14:textFill>
        </w:rPr>
        <w:t>21. 评审程序及磋商要求</w:t>
      </w:r>
      <w:bookmarkEnd w:id="110"/>
      <w:bookmarkEnd w:id="111"/>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21.1磋商小组成员的通讯工具或相关电子设备交由桂林市公共资源交易中心统一保管后到达评标室，采购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代理机构核实磋商小组成员身份，告知回避要求，宣布评审工作纪律和程序，推选磋商小组组长。</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21.4.1 查询渠道：《国家企业信用信息公示系统》（网址：www.gsxt.gov.cn/index.html）</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21.4.2 审查流程：</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（1）进入《国家企业信用信息公示系统》（网址：www.gsxt.gov.cn/index.html），输入企业名称，进入企业信息主页面；</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（2）查看主页“股东及出资信息”栏，或年报中的“股东及出资信息”栏信息；</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（3）将各供应商的股东及出资信息进行比对，得出审查结论；</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（4）将相关资料作为评审资料打印存档。</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21.5 磋商小组如发现供应商提供的证明文件不齐全或不符合规定格式的，应一次性告知供应商，供应</w:t>
      </w:r>
    </w:p>
    <w:p>
      <w:pPr>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商应在规定的时间内</w:t>
      </w:r>
      <w:r>
        <w:rPr>
          <w:rFonts w:hint="eastAsia" w:ascii="宋体" w:hAnsi="宋体" w:eastAsia="宋体" w:cs="宋体"/>
          <w:b/>
          <w:bCs/>
          <w:color w:val="000000" w:themeColor="text1"/>
          <w:szCs w:val="21"/>
          <w:highlight w:val="none"/>
          <w:lang w:eastAsia="zh-CN"/>
          <w14:textFill>
            <w14:solidFill>
              <w14:schemeClr w14:val="tx1"/>
            </w14:solidFill>
          </w14:textFill>
        </w:rPr>
        <w:t>线上</w:t>
      </w:r>
      <w:r>
        <w:rPr>
          <w:rFonts w:hint="eastAsia" w:ascii="宋体" w:hAnsi="宋体" w:eastAsia="宋体" w:cs="宋体"/>
          <w:b/>
          <w:bCs/>
          <w:color w:val="000000" w:themeColor="text1"/>
          <w:szCs w:val="21"/>
          <w:highlight w:val="none"/>
          <w14:textFill>
            <w14:solidFill>
              <w14:schemeClr w14:val="tx1"/>
            </w14:solidFill>
          </w14:textFill>
        </w:rPr>
        <w:t>补正或更正。</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21.6 磋商小组在对响应文件的有效性、完整性和响应程度进行审查时，可以要求供应商对响应文件中含义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不明确、同类问题表述不一致或者有明显文字和计算错误的内容等作出必要的澄清、说明或者更正。供应商的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澄清、说明或者更正不得超出响应文件的范围或者改变响应文件的实质性内容。澄清、说明或者更正应由其法 </w:t>
      </w:r>
    </w:p>
    <w:p>
      <w:pPr>
        <w:pStyle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定代表人或相应的授权委托代表签字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个人CA签章)</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根据磋商文件规定的程序、评定成交的标准等事项与实质性响应竞争性磋商文件要求的供应商进行磋商。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未实质性响应磋商文件的响应文件按无效处理，磋商小组应当告知有关供应商。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磋商小组所有成员应当按已确定的磋商顺序集中与单一供应商分别进行磋商，并给予所有实质性响应竞争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性磋商文件要求的供应商平等的磋商机会。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磋商中，磋商小组不得透露与磋商有关的其他供应商的技术资料、价格和其他信息。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磋商小组对磋商过程和重要磋商内容进行记录，磋商双方在记录上签字确认。 </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21.8 在磋商过程中，磋商小组可以根据磋商文件和磋商情况实质性变动项目需求中的技术、服务要求以及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合同草案条款，但不得变动磋商文件中的其他内容。实质性变动的内容，须经采购人代表确认。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对磋商文件作出的实质性变动是磋商文件的有效组成部分，磋商小组应当及时</w:t>
      </w:r>
      <w:r>
        <w:rPr>
          <w:rFonts w:hint="eastAsia" w:ascii="宋体" w:hAnsi="宋体" w:eastAsia="宋体" w:cs="宋体"/>
          <w:color w:val="000000" w:themeColor="text1"/>
          <w:szCs w:val="21"/>
          <w:highlight w:val="none"/>
          <w:lang w:eastAsia="zh-CN"/>
          <w14:textFill>
            <w14:solidFill>
              <w14:schemeClr w14:val="tx1"/>
            </w14:solidFill>
          </w14:textFill>
        </w:rPr>
        <w:t>通过</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同时</w:t>
      </w:r>
      <w:r>
        <w:rPr>
          <w:rFonts w:hint="eastAsia" w:ascii="宋体" w:hAnsi="宋体" w:eastAsia="宋体" w:cs="宋体"/>
          <w:color w:val="000000" w:themeColor="text1"/>
          <w:szCs w:val="21"/>
          <w:highlight w:val="none"/>
          <w14:textFill>
            <w14:solidFill>
              <w14:schemeClr w14:val="tx1"/>
            </w14:solidFill>
          </w14:textFill>
        </w:rPr>
        <w:t xml:space="preserve">通知所有参加磋商的供应商。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供应商应当按照磋商文件的变动情况和磋商小组的要求重新提交响应文件，并由其法定代表人、负责人、</w:t>
      </w:r>
      <w:r>
        <w:rPr>
          <w:rFonts w:hint="eastAsia" w:ascii="宋体" w:hAnsi="宋体" w:eastAsia="宋体" w:cs="宋体"/>
          <w:color w:val="000000" w:themeColor="text1"/>
          <w:szCs w:val="21"/>
          <w:highlight w:val="none"/>
          <w:lang w:eastAsia="zh-CN"/>
          <w14:textFill>
            <w14:solidFill>
              <w14:schemeClr w14:val="tx1"/>
            </w14:solidFill>
          </w14:textFill>
        </w:rPr>
        <w:t>自然人或相应的授权委托代表签字（个人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 xml:space="preserve">。逾时不交的，视同放弃磋商。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21.9 第二轮磋商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磋商后，供应商根据磋商小组统一整理的书面磋商记录要求做出书面承诺，并由其法定代表人或授权代表签字或者加盖公章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后按时</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lang w:val="en-US" w:eastAsia="zh-CN"/>
          <w14:textFill>
            <w14:solidFill>
              <w14:schemeClr w14:val="tx1"/>
            </w14:solidFill>
          </w14:textFill>
        </w:rPr>
        <w:t>提交</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21.10 在采购过程中符合竞争要求的供应商或者报价未超过采购预算的供应商不足 3 家的，采购人或者采购代理机构应当终止竞争性磋商采购活动。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21.11 最后报价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21.11.1 磋商文件能够详细列明采购标的的技术、服务要求的，磋商结束后，磋商小组应当要求所有继续参加磋商的供应商在规定时间内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提交最后报价，提交最后报价的供应商不得少于 3 家。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 </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21.11.3 根据《财政部关于政府采购竞争性磋商采购方式管理暂行办法有关问题的补充通知》</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提交最后报价；采购过程中符合要求的供应商（社会资本）只有 1 家的，采购人或者采购代理机构应当终止竞争性磋商采购活动，发布项目终止公告并说明原因，重新开展采购活动。 </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21.11.4 根据《政府采购竞争性磋商采购方式管理暂行办法》</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w:t>
      </w:r>
      <w:r>
        <w:rPr>
          <w:rFonts w:hint="eastAsia" w:ascii="宋体" w:hAnsi="宋体" w:eastAsia="宋体" w:cs="宋体"/>
          <w:b/>
          <w:bCs/>
          <w:color w:val="000000" w:themeColor="text1"/>
          <w:szCs w:val="21"/>
          <w:highlight w:val="none"/>
          <w14:textFill>
            <w14:solidFill>
              <w14:schemeClr w14:val="tx1"/>
            </w14:solidFill>
          </w14:textFill>
        </w:rPr>
        <w:t xml:space="preserve">最后报价是供应商响应文件的有效组成部分。 </w:t>
      </w:r>
      <w:r>
        <w:rPr>
          <w:rFonts w:hint="eastAsia" w:ascii="宋体" w:hAnsi="宋体" w:eastAsia="宋体" w:cs="宋体"/>
          <w:color w:val="000000" w:themeColor="text1"/>
          <w:szCs w:val="21"/>
          <w:highlight w:val="none"/>
          <w14:textFill>
            <w14:solidFill>
              <w14:schemeClr w14:val="tx1"/>
            </w14:solidFill>
          </w14:textFill>
        </w:rPr>
        <w:t>符合本办法(财库〔2014〕214号)第三条第四项情形的，提交最后报价的供应商可以为2家。</w:t>
      </w:r>
      <w:r>
        <w:rPr>
          <w:rFonts w:hint="eastAsia" w:ascii="宋体" w:hAnsi="宋体" w:eastAsia="宋体" w:cs="宋体"/>
          <w:b/>
          <w:bCs/>
          <w:color w:val="000000" w:themeColor="text1"/>
          <w:szCs w:val="21"/>
          <w:highlight w:val="none"/>
          <w14:textFill>
            <w14:solidFill>
              <w14:schemeClr w14:val="tx1"/>
            </w14:solidFill>
          </w14:textFill>
        </w:rPr>
        <w:t>（财库〔2014〕214号文第三条第四项：市场竞争不充分的科研项目，以及需要扶持的科技成果转化项目。）</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21.12 已提交响应文件的供应商，在提交最后报价之前，可以根据磋商情况书面退出磋商。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未书面退出磋商的供应商在规定时间内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提交最后报价，其最后报价超出采购预算导致已通过评审的响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应文件无效的，按供应商在提交响应文件截止时间后撤回响应文件处理。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21.13 评审报告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磋商小组应当从质量和服务均能满足磋商文件全部实质性响应要求的供应商中，按照最后综合得分由高到低的顺序提出 3 名以上（含 3 名）成交候选人，并编写评审报告。</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21.14 在评审过程中出现法律法规和磋商文件均没有明确规定的情形时，由磋商小组现场协商解决，协商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不一致的，由全体磋商小组投票表决，以得票率二分之一以上磋商小组成员的意见为准。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21.15 采购代理机构发现磋商小组有明显的违规倾向或歧视现象，或不按评审办法进行，或其他不正常行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为的，应当及时制止。如制止无效，应及时向</w:t>
      </w:r>
      <w:r>
        <w:rPr>
          <w:rFonts w:hint="eastAsia" w:ascii="宋体" w:hAnsi="宋体" w:eastAsia="宋体" w:cs="宋体"/>
          <w:color w:val="000000" w:themeColor="text1"/>
          <w:szCs w:val="21"/>
          <w:highlight w:val="none"/>
          <w:lang w:eastAsia="zh-CN"/>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政府采购监督管理机构报告。</w:t>
      </w:r>
    </w:p>
    <w:p>
      <w:pPr>
        <w:spacing w:line="360" w:lineRule="auto"/>
        <w:ind w:firstLine="420"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21.16 本采购项目的评审依据为竞争性磋商文件和竞争性磋商响应文件，采用的评审方法为</w:t>
      </w:r>
      <w:r>
        <w:rPr>
          <w:rFonts w:hint="eastAsia" w:ascii="宋体" w:hAnsi="宋体" w:eastAsia="宋体" w:cs="宋体"/>
          <w:b/>
          <w:bCs/>
          <w:color w:val="000000" w:themeColor="text1"/>
          <w:szCs w:val="21"/>
          <w:highlight w:val="none"/>
          <w14:textFill>
            <w14:solidFill>
              <w14:schemeClr w14:val="tx1"/>
            </w14:solidFill>
          </w14:textFill>
        </w:rPr>
        <w:t>综合评分法。</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2" w:name="_Toc26487"/>
      <w:bookmarkStart w:id="113" w:name="_Toc32470"/>
      <w:r>
        <w:rPr>
          <w:rFonts w:hint="eastAsia" w:ascii="宋体" w:hAnsi="宋体" w:eastAsia="宋体" w:cs="宋体"/>
          <w:color w:val="000000" w:themeColor="text1"/>
          <w:sz w:val="21"/>
          <w:szCs w:val="21"/>
          <w:highlight w:val="none"/>
          <w14:textFill>
            <w14:solidFill>
              <w14:schemeClr w14:val="tx1"/>
            </w14:solidFill>
          </w14:textFill>
        </w:rPr>
        <w:t>22. 确定成交供应商</w:t>
      </w:r>
      <w:bookmarkEnd w:id="112"/>
      <w:bookmarkEnd w:id="113"/>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22.2采购单位应当确定磋商小组推荐排名第一的成交候选人为成交供应商。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22.4排名第二的成交候选人因前款规定的同样原因不能签订合同的，采购单位可以确定排名第三的成交候选人为成交供应商。</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4" w:name="_Toc21715"/>
      <w:bookmarkStart w:id="115" w:name="_Toc2766"/>
      <w:r>
        <w:rPr>
          <w:rFonts w:hint="eastAsia" w:ascii="宋体" w:hAnsi="宋体" w:eastAsia="宋体" w:cs="宋体"/>
          <w:color w:val="000000" w:themeColor="text1"/>
          <w:sz w:val="21"/>
          <w:szCs w:val="21"/>
          <w:highlight w:val="none"/>
          <w14:textFill>
            <w14:solidFill>
              <w14:schemeClr w14:val="tx1"/>
            </w14:solidFill>
          </w14:textFill>
        </w:rPr>
        <w:t>23. 属于下列情况之一者，响应文件无效</w:t>
      </w:r>
      <w:bookmarkEnd w:id="114"/>
      <w:bookmarkEnd w:id="115"/>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（1）未按磋商文件规定完整</w:t>
      </w:r>
      <w:r>
        <w:rPr>
          <w:rFonts w:hint="eastAsia" w:ascii="宋体" w:hAnsi="宋体" w:eastAsia="宋体" w:cs="宋体"/>
          <w:color w:val="000000" w:themeColor="text1"/>
          <w:szCs w:val="21"/>
          <w:highlight w:val="none"/>
          <w:lang w:val="en-US"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提交响应文件或未按规定要求</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szCs w:val="21"/>
          <w:highlight w:val="none"/>
          <w:lang w:val="en-US" w:eastAsia="zh-CN"/>
          <w14:textFill>
            <w14:solidFill>
              <w14:schemeClr w14:val="tx1"/>
            </w14:solidFill>
          </w14:textFill>
        </w:rPr>
        <w:t>签章</w:t>
      </w:r>
      <w:r>
        <w:rPr>
          <w:rFonts w:hint="eastAsia" w:ascii="宋体" w:hAnsi="宋体" w:eastAsia="宋体" w:cs="宋体"/>
          <w:color w:val="000000" w:themeColor="text1"/>
          <w:szCs w:val="21"/>
          <w:highlight w:val="none"/>
          <w14:textFill>
            <w14:solidFill>
              <w14:schemeClr w14:val="tx1"/>
            </w14:solidFill>
          </w14:textFill>
        </w:rPr>
        <w:t>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（2）不具备磋商文件规定的资格要求的；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（3）响应文件未按磋商文件的内容和要求编制，或提供虚假材料的；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（4）响应文件有效期、交货时间、免费保修期（升级、维护）期/维护期、售后服务不能满足磋商文件要求的；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（5）供应商未就“采购需求”中的所有内容作完整唯一报价的，或报价超出采购预算总金额的；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（6）未在磋商小组规定的时间内提交响应文件(包括最后报价)的；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（7）超越了按照法律法规规定必须获得行政许可或者行政审批的经营范围的；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（8）未满足磋商文件实质性要求的或者响应文件有采购人不能接受的附加条件的；</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（9）响应文件实质性要求未做变动，供应商最后报价高于第一次报价的；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（10）不符合法律、法规和磋商文件规定的其他实质性要求和条件的。</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供应商有下列情形之一的视为供应商相互串通磋商，响应文件将被视为无效</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（1）不同供应商的响应文件由同一单位或者个人编制；或不同供应商报名的IP地址一致的；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（2）不同供应商委托同一单位或者个人办理磋商事宜；</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（3）不同的供应商的响应文件载明的项目管理员为同一个人；</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（4）不同供应商的响应文件异常一致或竞标报价呈规律性差异；</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（5）不同供应商的响应文件相互混</w:t>
      </w:r>
      <w:r>
        <w:rPr>
          <w:rFonts w:hint="eastAsia" w:ascii="宋体" w:hAnsi="宋体" w:cs="宋体"/>
          <w:color w:val="000000" w:themeColor="text1"/>
          <w:szCs w:val="21"/>
          <w:highlight w:val="none"/>
          <w:lang w:eastAsia="zh-CN"/>
          <w14:textFill>
            <w14:solidFill>
              <w14:schemeClr w14:val="tx1"/>
            </w14:solidFill>
          </w14:textFill>
        </w:rPr>
        <w:t>编</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（6）不同供应商的磋商保证金从同一单位或者个人账户转出。</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6" w:name="_Toc5714"/>
      <w:bookmarkStart w:id="117" w:name="_Toc20770"/>
      <w:r>
        <w:rPr>
          <w:rFonts w:hint="eastAsia" w:ascii="宋体" w:hAnsi="宋体" w:eastAsia="宋体" w:cs="宋体"/>
          <w:color w:val="000000" w:themeColor="text1"/>
          <w:sz w:val="2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bookmarkEnd w:id="116"/>
      <w:bookmarkEnd w:id="117"/>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（1）因情况变化，不再符合规定的竞争性磋商采购方式适用情形的；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（2）出现影响采购公正的违法、违规行为的； </w:t>
      </w:r>
    </w:p>
    <w:p>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（3）在采购过程中符合竞争要求的供应商或者报价未超过采购预算的供应商不足3家的。</w:t>
      </w:r>
      <w:r>
        <w:rPr>
          <w:rFonts w:hint="eastAsia" w:ascii="宋体" w:hAnsi="宋体" w:eastAsia="宋体" w:cs="宋体"/>
          <w:b/>
          <w:bCs/>
          <w:color w:val="000000" w:themeColor="text1"/>
          <w:szCs w:val="21"/>
          <w:highlight w:val="none"/>
          <w14:textFill>
            <w14:solidFill>
              <w14:schemeClr w14:val="tx1"/>
            </w14:solidFill>
          </w14:textFill>
        </w:rPr>
        <w:t xml:space="preserve">（除财库〔2014〕214 号《政府采购竞争性磋商采购方式管理暂行办法》第二十一条第三款规定的情形外） </w:t>
      </w:r>
    </w:p>
    <w:p>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8" w:name="_Toc19105"/>
      <w:bookmarkStart w:id="119" w:name="_Toc32461"/>
      <w:r>
        <w:rPr>
          <w:rFonts w:hint="eastAsia" w:ascii="宋体" w:hAnsi="宋体" w:eastAsia="宋体" w:cs="宋体"/>
          <w:color w:val="000000" w:themeColor="text1"/>
          <w:sz w:val="21"/>
          <w:szCs w:val="21"/>
          <w:highlight w:val="none"/>
          <w14:textFill>
            <w14:solidFill>
              <w14:schemeClr w14:val="tx1"/>
            </w14:solidFill>
          </w14:textFill>
        </w:rPr>
        <w:t>25. 磋商过程的监控</w:t>
      </w:r>
      <w:bookmarkEnd w:id="118"/>
      <w:bookmarkEnd w:id="119"/>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本项目磋商过程实行全程录音、录像监控，供应商在磋商过程中所进行的试图影响磋商结果的不公正活动，可能导致其磋商被拒绝。</w:t>
      </w:r>
    </w:p>
    <w:p>
      <w:pPr>
        <w:pStyle w:val="5"/>
        <w:numPr>
          <w:ilvl w:val="0"/>
          <w:numId w:val="7"/>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0" w:name="_Toc32457"/>
      <w:bookmarkStart w:id="121" w:name="_Toc14787"/>
      <w:r>
        <w:rPr>
          <w:rFonts w:hint="eastAsia" w:ascii="宋体" w:hAnsi="宋体" w:eastAsia="宋体" w:cs="宋体"/>
          <w:color w:val="000000" w:themeColor="text1"/>
          <w:sz w:val="21"/>
          <w:szCs w:val="21"/>
          <w:highlight w:val="none"/>
          <w14:textFill>
            <w14:solidFill>
              <w14:schemeClr w14:val="tx1"/>
            </w14:solidFill>
          </w14:textFill>
        </w:rPr>
        <w:t>信用查询</w:t>
      </w:r>
      <w:bookmarkEnd w:id="120"/>
      <w:bookmarkEnd w:id="121"/>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桂财采〔2016〕37号</w:t>
      </w:r>
      <w:r>
        <w:rPr>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，采购代理机构对成交人的成交资格进行信用查询：</w:t>
      </w:r>
    </w:p>
    <w:p>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（1）查询渠道：“信用中国”网站(www.creditchina.gov.cn)、中国政府采购网(www.ccgp.gov.cn)等；</w:t>
      </w:r>
    </w:p>
    <w:p>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（2）查询时间：成交通知书发出前；</w:t>
      </w:r>
    </w:p>
    <w:p>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（3）信用信息查询记录和证据留存方式：在查询网站中直接打印查询记录，打印材料作为采购活动资料保存。</w:t>
      </w:r>
    </w:p>
    <w:p>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22" w:name="_Toc778"/>
      <w:bookmarkStart w:id="123" w:name="_Toc9438"/>
      <w:r>
        <w:rPr>
          <w:rFonts w:hint="eastAsia" w:ascii="宋体" w:hAnsi="宋体" w:eastAsia="宋体" w:cs="宋体"/>
          <w:color w:val="000000" w:themeColor="text1"/>
          <w:sz w:val="21"/>
          <w:szCs w:val="21"/>
          <w:highlight w:val="none"/>
          <w14:textFill>
            <w14:solidFill>
              <w14:schemeClr w14:val="tx1"/>
            </w14:solidFill>
          </w14:textFill>
        </w:rPr>
        <w:t>27. 成交结果公告及成交通知书</w:t>
      </w:r>
      <w:bookmarkEnd w:id="122"/>
      <w:bookmarkEnd w:id="123"/>
    </w:p>
    <w:p>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27.2 </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p>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27.3 采购代理机构无义务向未成交的供应商解释未成交原因和退还响应文件。</w:t>
      </w:r>
    </w:p>
    <w:p>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24" w:name="_Toc19479"/>
      <w:bookmarkStart w:id="125" w:name="_Toc25593"/>
      <w:r>
        <w:rPr>
          <w:rFonts w:hint="eastAsia" w:ascii="宋体" w:hAnsi="宋体" w:eastAsia="宋体" w:cs="宋体"/>
          <w:b/>
          <w:bCs w:val="0"/>
          <w:color w:val="000000" w:themeColor="text1"/>
          <w:szCs w:val="28"/>
          <w:highlight w:val="none"/>
          <w14:textFill>
            <w14:solidFill>
              <w14:schemeClr w14:val="tx1"/>
            </w14:solidFill>
          </w14:textFill>
        </w:rPr>
        <w:t>五、</w:t>
      </w:r>
      <w:r>
        <w:rPr>
          <w:rFonts w:hint="eastAsia" w:ascii="宋体" w:hAnsi="宋体" w:cs="宋体"/>
          <w:b/>
          <w:color w:val="000000" w:themeColor="text1"/>
          <w:sz w:val="28"/>
          <w:szCs w:val="28"/>
          <w:highlight w:val="none"/>
          <w14:textFill>
            <w14:solidFill>
              <w14:schemeClr w14:val="tx1"/>
            </w14:solidFill>
          </w14:textFill>
        </w:rPr>
        <w:t>履约保证金及</w:t>
      </w:r>
      <w:r>
        <w:rPr>
          <w:rFonts w:hint="eastAsia" w:ascii="宋体" w:hAnsi="宋体" w:eastAsia="宋体" w:cs="宋体"/>
          <w:b/>
          <w:bCs w:val="0"/>
          <w:color w:val="000000" w:themeColor="text1"/>
          <w:szCs w:val="28"/>
          <w:highlight w:val="none"/>
          <w14:textFill>
            <w14:solidFill>
              <w14:schemeClr w14:val="tx1"/>
            </w14:solidFill>
          </w14:textFill>
        </w:rPr>
        <w:t>签订合同</w:t>
      </w:r>
      <w:bookmarkEnd w:id="124"/>
      <w:bookmarkEnd w:id="125"/>
    </w:p>
    <w:p>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bookmarkStart w:id="126" w:name="_Toc2100"/>
      <w:bookmarkStart w:id="127" w:name="_Toc26520"/>
      <w:r>
        <w:rPr>
          <w:rFonts w:hint="eastAsia" w:ascii="宋体" w:hAnsi="宋体" w:eastAsia="宋体" w:cs="宋体"/>
          <w:color w:val="000000" w:themeColor="text1"/>
          <w:sz w:val="21"/>
          <w:szCs w:val="21"/>
          <w:highlight w:val="none"/>
          <w14:textFill>
            <w14:solidFill>
              <w14:schemeClr w14:val="tx1"/>
            </w14:solidFill>
          </w14:textFill>
        </w:rPr>
        <w:t>28. 履约保证金</w:t>
      </w:r>
      <w:bookmarkEnd w:id="126"/>
      <w:bookmarkEnd w:id="127"/>
    </w:p>
    <w:p>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28" w:name="_Toc4956"/>
      <w:bookmarkStart w:id="129" w:name="_Toc1023"/>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本项目无需缴纳履约保证金。</w:t>
      </w:r>
    </w:p>
    <w:p>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 签订合同</w:t>
      </w:r>
      <w:bookmarkEnd w:id="128"/>
      <w:bookmarkEnd w:id="129"/>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29.1 签订合同时间：</w:t>
      </w:r>
      <w:r>
        <w:rPr>
          <w:rFonts w:hint="eastAsia" w:ascii="宋体" w:hAnsi="宋体" w:eastAsia="宋体" w:cs="宋体"/>
          <w:b/>
          <w:bCs/>
          <w:color w:val="000000" w:themeColor="text1"/>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szCs w:val="21"/>
          <w:highlight w:val="none"/>
          <w14:textFill>
            <w14:solidFill>
              <w14:schemeClr w14:val="tx1"/>
            </w14:solidFill>
          </w14:textFill>
        </w:rPr>
        <w:t>发出之日起</w:t>
      </w:r>
      <w:r>
        <w:rPr>
          <w:rFonts w:hint="eastAsia" w:ascii="宋体" w:hAnsi="宋体" w:eastAsia="宋体" w:cs="宋体"/>
          <w:b/>
          <w:bCs/>
          <w:color w:val="000000" w:themeColor="text1"/>
          <w:szCs w:val="21"/>
          <w:highlight w:val="none"/>
          <w:lang w:val="en-US" w:eastAsia="zh-CN"/>
          <w14:textFill>
            <w14:solidFill>
              <w14:schemeClr w14:val="tx1"/>
            </w14:solidFill>
          </w14:textFill>
        </w:rPr>
        <w:t>八个工作</w:t>
      </w:r>
      <w:r>
        <w:rPr>
          <w:rFonts w:hint="eastAsia" w:ascii="宋体" w:hAnsi="宋体" w:eastAsia="宋体" w:cs="宋体"/>
          <w:b/>
          <w:bCs/>
          <w:color w:val="000000" w:themeColor="text1"/>
          <w:szCs w:val="21"/>
          <w:highlight w:val="none"/>
          <w:lang w:eastAsia="zh-CN"/>
          <w14:textFill>
            <w14:solidFill>
              <w14:schemeClr w14:val="tx1"/>
            </w14:solidFill>
          </w14:textFill>
        </w:rPr>
        <w:t>日</w:t>
      </w:r>
      <w:r>
        <w:rPr>
          <w:rFonts w:hint="eastAsia" w:ascii="宋体" w:hAnsi="宋体" w:eastAsia="宋体" w:cs="宋体"/>
          <w:b/>
          <w:bCs/>
          <w:color w:val="000000" w:themeColor="text1"/>
          <w:szCs w:val="21"/>
          <w:highlight w:val="none"/>
          <w14:textFill>
            <w14:solidFill>
              <w14:schemeClr w14:val="tx1"/>
            </w14:solidFill>
          </w14:textFill>
        </w:rPr>
        <w:t>内签订合同。</w:t>
      </w:r>
      <w:r>
        <w:rPr>
          <w:rFonts w:hint="eastAsia" w:ascii="宋体" w:hAnsi="宋体" w:cs="宋体"/>
          <w:b/>
          <w:bCs/>
          <w:color w:val="000000" w:themeColor="text1"/>
          <w:szCs w:val="21"/>
          <w:highlight w:val="none"/>
          <w:lang w:eastAsia="zh-CN"/>
          <w14:textFill>
            <w14:solidFill>
              <w14:schemeClr w14:val="tx1"/>
            </w14:solidFill>
          </w14:textFill>
        </w:rPr>
        <w:t>成交供应商收到成交通知书</w:t>
      </w:r>
      <w:r>
        <w:rPr>
          <w:rFonts w:hint="eastAsia" w:ascii="宋体" w:hAnsi="宋体" w:eastAsia="宋体" w:cs="宋体"/>
          <w:b/>
          <w:bCs/>
          <w:color w:val="000000" w:themeColor="text1"/>
          <w:szCs w:val="21"/>
          <w:highlight w:val="none"/>
          <w14:textFill>
            <w14:solidFill>
              <w14:schemeClr w14:val="tx1"/>
            </w14:solidFill>
          </w14:textFill>
        </w:rPr>
        <w:t>后，应按</w:t>
      </w:r>
      <w:r>
        <w:rPr>
          <w:rFonts w:hint="eastAsia" w:ascii="宋体" w:hAnsi="宋体" w:cs="宋体"/>
          <w:b/>
          <w:bCs/>
          <w:color w:val="000000" w:themeColor="text1"/>
          <w:szCs w:val="21"/>
          <w:highlight w:val="none"/>
          <w:lang w:eastAsia="zh-CN"/>
          <w14:textFill>
            <w14:solidFill>
              <w14:schemeClr w14:val="tx1"/>
            </w14:solidFill>
          </w14:textFill>
        </w:rPr>
        <w:t>规定与采购人在“广西政府采购云平台”上在线签订电子合同</w:t>
      </w:r>
      <w:r>
        <w:rPr>
          <w:rFonts w:hint="eastAsia" w:ascii="宋体" w:hAnsi="宋体" w:eastAsia="宋体" w:cs="宋体"/>
          <w:b/>
          <w:bCs/>
          <w:color w:val="000000" w:themeColor="text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（1）成交后不与采购人签订合同的（不可抗力除外）；</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（2）将成交项目转让给他人，或者在响应文件中未说明，且未经采购人同意，将成交项目分包给他人的；</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（3）拒绝履行合同义务的。</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 合同备案存档：</w:t>
      </w:r>
      <w:r>
        <w:rPr>
          <w:rFonts w:hint="eastAsia" w:ascii="宋体" w:hAnsi="宋体" w:cs="宋体"/>
          <w:color w:val="000000" w:themeColor="text1"/>
          <w:highlight w:val="none"/>
          <w:lang w:eastAsia="zh-CN"/>
          <w14:textFill>
            <w14:solidFill>
              <w14:schemeClr w14:val="tx1"/>
            </w14:solidFill>
          </w14:textFill>
        </w:rPr>
        <w:t>政府采购合同双方自签订之日起将自动存档于“广西政府采购云平台”上，采购人于合同签订之日起七个工作日内将一份合同原件送本级财政部门备案。</w:t>
      </w:r>
    </w:p>
    <w:p>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30" w:name="_Toc16348"/>
      <w:bookmarkStart w:id="131" w:name="_Toc24170"/>
      <w:r>
        <w:rPr>
          <w:rFonts w:hint="eastAsia" w:ascii="宋体" w:hAnsi="宋体" w:eastAsia="宋体" w:cs="宋体"/>
          <w:b/>
          <w:bCs w:val="0"/>
          <w:color w:val="000000" w:themeColor="text1"/>
          <w:szCs w:val="28"/>
          <w:highlight w:val="none"/>
          <w14:textFill>
            <w14:solidFill>
              <w14:schemeClr w14:val="tx1"/>
            </w14:solidFill>
          </w14:textFill>
        </w:rPr>
        <w:t>六、其他事项</w:t>
      </w:r>
      <w:bookmarkEnd w:id="130"/>
      <w:bookmarkEnd w:id="131"/>
    </w:p>
    <w:p>
      <w:pPr>
        <w:pStyle w:val="5"/>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2" w:name="_Toc2872"/>
      <w:bookmarkStart w:id="133" w:name="_Toc28647"/>
      <w:r>
        <w:rPr>
          <w:rFonts w:hint="eastAsia" w:ascii="宋体" w:hAnsi="宋体" w:eastAsia="宋体" w:cs="宋体"/>
          <w:color w:val="000000" w:themeColor="text1"/>
          <w:sz w:val="21"/>
          <w:szCs w:val="21"/>
          <w:highlight w:val="none"/>
          <w14:textFill>
            <w14:solidFill>
              <w14:schemeClr w14:val="tx1"/>
            </w14:solidFill>
          </w14:textFill>
        </w:rPr>
        <w:t>30. 采购代理服务费</w:t>
      </w:r>
      <w:bookmarkEnd w:id="132"/>
      <w:bookmarkEnd w:id="133"/>
    </w:p>
    <w:p>
      <w:pPr>
        <w:pStyle w:val="19"/>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本项目不收采购取代理服务费</w:t>
      </w:r>
      <w:r>
        <w:rPr>
          <w:rFonts w:hint="eastAsia" w:ascii="宋体" w:hAnsi="宋体" w:cs="宋体"/>
          <w:b w:val="0"/>
          <w:bCs w:val="0"/>
          <w:color w:val="000000" w:themeColor="text1"/>
          <w:szCs w:val="21"/>
          <w:highlight w:val="none"/>
          <w:lang w:eastAsia="zh-CN"/>
          <w14:textFill>
            <w14:solidFill>
              <w14:schemeClr w14:val="tx1"/>
            </w14:solidFill>
          </w14:textFill>
        </w:rPr>
        <w:t>。</w:t>
      </w:r>
    </w:p>
    <w:p>
      <w:pPr>
        <w:keepNext w:val="0"/>
        <w:keepLines w:val="0"/>
        <w:pageBreakBefore w:val="0"/>
        <w:widowControl w:val="0"/>
        <w:numPr>
          <w:ilvl w:val="0"/>
          <w:numId w:val="8"/>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bookmarkStart w:id="134" w:name="_Toc8271"/>
      <w:bookmarkStart w:id="135" w:name="_Toc12374"/>
      <w:r>
        <w:rPr>
          <w:rStyle w:val="26"/>
          <w:rFonts w:hint="eastAsia" w:ascii="宋体" w:hAnsi="宋体" w:eastAsia="宋体" w:cs="宋体"/>
          <w:color w:val="000000" w:themeColor="text1"/>
          <w:sz w:val="21"/>
          <w:szCs w:val="21"/>
          <w:highlight w:val="none"/>
          <w14:textFill>
            <w14:solidFill>
              <w14:schemeClr w14:val="tx1"/>
            </w14:solidFill>
          </w14:textFill>
        </w:rPr>
        <w:t>解释权</w:t>
      </w:r>
      <w:bookmarkEnd w:id="134"/>
      <w:bookmarkEnd w:id="135"/>
    </w:p>
    <w:p>
      <w:pPr>
        <w:keepNext w:val="0"/>
        <w:keepLines w:val="0"/>
        <w:pageBreakBefore w:val="0"/>
        <w:widowControl w:val="0"/>
        <w:numPr>
          <w:ilvl w:val="0"/>
          <w:numId w:val="0"/>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eastAsia="宋体"/>
          <w:color w:val="000000" w:themeColor="text1"/>
          <w:highlight w:val="none"/>
          <w:lang w:val="en-US" w:eastAsia="zh-CN"/>
          <w14:textFill>
            <w14:solidFill>
              <w14:schemeClr w14:val="tx1"/>
            </w14:solidFill>
          </w14:textFill>
        </w:rPr>
      </w:pPr>
      <w:bookmarkStart w:id="136" w:name="_Toc24443"/>
      <w:r>
        <w:rPr>
          <w:rStyle w:val="26"/>
          <w:rFonts w:hint="eastAsia" w:ascii="宋体" w:hAnsi="宋体" w:eastAsia="宋体" w:cs="宋体"/>
          <w:color w:val="000000" w:themeColor="text1"/>
          <w:sz w:val="21"/>
          <w:szCs w:val="21"/>
          <w:highlight w:val="none"/>
          <w14:textFill>
            <w14:solidFill>
              <w14:schemeClr w14:val="tx1"/>
            </w14:solidFill>
          </w14:textFill>
        </w:rPr>
        <w:t>32. 监督管理机构</w:t>
      </w:r>
      <w:bookmarkEnd w:id="136"/>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资源县财政局</w:t>
      </w:r>
      <w:r>
        <w:rPr>
          <w:rFonts w:hint="eastAsia" w:ascii="宋体" w:hAnsi="宋体" w:cs="宋体"/>
          <w:color w:val="000000" w:themeColor="text1"/>
          <w:szCs w:val="21"/>
          <w:highlight w:val="none"/>
          <w14:textFill>
            <w14:solidFill>
              <w14:schemeClr w14:val="tx1"/>
            </w14:solidFill>
          </w14:textFill>
        </w:rPr>
        <w:t xml:space="preserve">   电话：</w:t>
      </w:r>
      <w:r>
        <w:rPr>
          <w:rFonts w:hint="eastAsia" w:ascii="宋体" w:hAnsi="宋体" w:cs="宋体"/>
          <w:color w:val="000000" w:themeColor="text1"/>
          <w:szCs w:val="21"/>
          <w:highlight w:val="none"/>
          <w:lang w:eastAsia="zh-CN"/>
          <w14:textFill>
            <w14:solidFill>
              <w14:schemeClr w14:val="tx1"/>
            </w14:solidFill>
          </w14:textFill>
        </w:rPr>
        <w:t>0773-4315648</w:t>
      </w:r>
    </w:p>
    <w:p>
      <w:pP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137" w:name="_Toc29649"/>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第三章</w:t>
      </w:r>
      <w:r>
        <w:rPr>
          <w:rFonts w:hint="eastAsia" w:ascii="宋体" w:hAnsi="宋体" w:eastAsia="宋体" w:cs="宋体"/>
          <w:color w:val="000000" w:themeColor="text1"/>
          <w:sz w:val="32"/>
          <w:szCs w:val="32"/>
          <w:highlight w:val="none"/>
          <w14:textFill>
            <w14:solidFill>
              <w14:schemeClr w14:val="tx1"/>
            </w14:solidFill>
          </w14:textFill>
        </w:rPr>
        <w:t xml:space="preserve"> </w:t>
      </w:r>
      <w:bookmarkStart w:id="138" w:name="_Toc22353"/>
      <w:bookmarkStart w:id="139" w:name="_Toc24601"/>
      <w:r>
        <w:rPr>
          <w:rFonts w:hint="eastAsia" w:ascii="宋体" w:hAnsi="宋体" w:eastAsia="宋体" w:cs="宋体"/>
          <w:color w:val="000000" w:themeColor="text1"/>
          <w:sz w:val="32"/>
          <w:szCs w:val="32"/>
          <w:highlight w:val="none"/>
          <w14:textFill>
            <w14:solidFill>
              <w14:schemeClr w14:val="tx1"/>
            </w14:solidFill>
          </w14:textFill>
        </w:rPr>
        <w:t>采购需求</w:t>
      </w:r>
      <w:bookmarkEnd w:id="137"/>
      <w:bookmarkEnd w:id="138"/>
      <w:bookmarkEnd w:id="139"/>
    </w:p>
    <w:p>
      <w:pPr>
        <w:pStyle w:val="25"/>
        <w:numPr>
          <w:ilvl w:val="0"/>
          <w:numId w:val="0"/>
        </w:numPr>
        <w:ind w:left="420" w:leftChars="200" w:firstLine="0" w:firstLineChars="0"/>
        <w:jc w:val="left"/>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说明：“采购需求”中</w:t>
      </w:r>
      <w:r>
        <w:rPr>
          <w:rFonts w:hint="eastAsia" w:ascii="宋体" w:hAnsi="宋体" w:cs="宋体"/>
          <w:b/>
          <w:bCs/>
          <w:color w:val="000000" w:themeColor="text1"/>
          <w:sz w:val="24"/>
          <w:szCs w:val="24"/>
          <w:highlight w:val="none"/>
          <w:lang w:eastAsia="zh-CN"/>
          <w14:textFill>
            <w14:solidFill>
              <w14:schemeClr w14:val="tx1"/>
            </w14:solidFill>
          </w14:textFill>
        </w:rPr>
        <w:t>所有内容均为</w:t>
      </w:r>
      <w:r>
        <w:rPr>
          <w:rFonts w:hint="eastAsia" w:ascii="宋体" w:hAnsi="宋体" w:eastAsia="宋体" w:cs="宋体"/>
          <w:b/>
          <w:bCs/>
          <w:color w:val="000000" w:themeColor="text1"/>
          <w:sz w:val="24"/>
          <w:szCs w:val="24"/>
          <w:highlight w:val="none"/>
          <w14:textFill>
            <w14:solidFill>
              <w14:schemeClr w14:val="tx1"/>
            </w14:solidFill>
          </w14:textFill>
        </w:rPr>
        <w:t>实质性要求，不允许负偏离，否则视为无效响应。</w:t>
      </w:r>
      <w:bookmarkStart w:id="140" w:name="_Toc2989"/>
      <w:bookmarkStart w:id="141" w:name="_Toc6574"/>
    </w:p>
    <w:p>
      <w:pPr>
        <w:numPr>
          <w:ilvl w:val="0"/>
          <w:numId w:val="9"/>
        </w:numPr>
        <w:spacing w:line="360" w:lineRule="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项目基本情况</w:t>
      </w:r>
    </w:p>
    <w:p>
      <w:pPr>
        <w:numPr>
          <w:ilvl w:val="0"/>
          <w:numId w:val="0"/>
        </w:numPr>
        <w:spacing w:line="360" w:lineRule="auto"/>
        <w:outlineLvl w:val="2"/>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1.1物业情况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物业名称</w:t>
            </w:r>
          </w:p>
        </w:tc>
        <w:tc>
          <w:tcPr>
            <w:tcW w:w="4261"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物业地址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物业名称1：资源县红色文化培训中心</w:t>
            </w:r>
          </w:p>
        </w:tc>
        <w:tc>
          <w:tcPr>
            <w:tcW w:w="4261"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资源县中峰镇车田湾村委会附近</w:t>
            </w:r>
          </w:p>
        </w:tc>
      </w:tr>
    </w:tbl>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1.2采购人提供中标方使用的场地、设施设备、耗材等</w:t>
      </w:r>
    </w:p>
    <w:p>
      <w:pPr>
        <w:numPr>
          <w:ilvl w:val="0"/>
          <w:numId w:val="10"/>
        </w:numPr>
        <w:spacing w:line="360" w:lineRule="auto"/>
        <w:rPr>
          <w:rFonts w:hint="eastAsia" w:ascii="宋体" w:hAnsi="宋体" w:eastAsia="宋体" w:cs="宋体"/>
          <w:sz w:val="21"/>
          <w:szCs w:val="21"/>
          <w:lang w:val="en-US" w:eastAsia="zh-CN"/>
        </w:rPr>
      </w:pPr>
      <w:r>
        <w:rPr>
          <w:rFonts w:hint="eastAsia" w:ascii="宋体" w:hAnsi="宋体"/>
          <w:color w:val="auto"/>
          <w:szCs w:val="21"/>
        </w:rPr>
        <w:t>可提供的办公室数量</w:t>
      </w:r>
      <w:r>
        <w:rPr>
          <w:rFonts w:hint="eastAsia" w:ascii="宋体" w:hAnsi="宋体"/>
          <w:color w:val="auto"/>
          <w:szCs w:val="21"/>
          <w:lang w:val="en-US" w:eastAsia="zh-CN"/>
        </w:rPr>
        <w:t>1</w:t>
      </w:r>
      <w:r>
        <w:rPr>
          <w:rFonts w:hint="eastAsia" w:ascii="宋体" w:hAnsi="宋体"/>
          <w:color w:val="auto"/>
          <w:szCs w:val="21"/>
        </w:rPr>
        <w:t>间</w:t>
      </w:r>
      <w:r>
        <w:rPr>
          <w:rFonts w:hint="eastAsia" w:ascii="宋体" w:hAnsi="宋体"/>
          <w:color w:val="auto"/>
          <w:szCs w:val="21"/>
          <w:lang w:eastAsia="zh-CN"/>
        </w:rPr>
        <w:t>，无办公设备，面积约</w:t>
      </w:r>
      <w:r>
        <w:rPr>
          <w:rFonts w:hint="eastAsia" w:ascii="宋体" w:hAnsi="宋体"/>
          <w:color w:val="auto"/>
          <w:szCs w:val="21"/>
          <w:lang w:val="en-US" w:eastAsia="zh-CN"/>
        </w:rPr>
        <w:t>15平方米。</w:t>
      </w:r>
    </w:p>
    <w:p>
      <w:pPr>
        <w:numPr>
          <w:ilvl w:val="0"/>
          <w:numId w:val="10"/>
        </w:numPr>
        <w:spacing w:line="360" w:lineRule="auto"/>
        <w:rPr>
          <w:rFonts w:hint="eastAsia" w:ascii="宋体" w:hAnsi="宋体" w:eastAsia="宋体" w:cs="宋体"/>
          <w:sz w:val="21"/>
          <w:szCs w:val="21"/>
          <w:lang w:val="en-US" w:eastAsia="zh-CN"/>
        </w:rPr>
      </w:pPr>
      <w:r>
        <w:rPr>
          <w:rFonts w:hint="eastAsia"/>
          <w:color w:val="auto"/>
        </w:rPr>
        <w:t>采购人可提供基本零星维修材料</w:t>
      </w:r>
      <w:r>
        <w:rPr>
          <w:rFonts w:hint="eastAsia"/>
          <w:color w:val="auto"/>
          <w:lang w:eastAsia="zh-CN"/>
        </w:rPr>
        <w:t>。</w:t>
      </w:r>
    </w:p>
    <w:p>
      <w:pPr>
        <w:numPr>
          <w:ilvl w:val="0"/>
          <w:numId w:val="1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采购人可提供</w:t>
      </w:r>
      <w:r>
        <w:rPr>
          <w:rFonts w:hint="eastAsia" w:ascii="宋体" w:hAnsi="宋体" w:cs="宋体"/>
          <w:sz w:val="21"/>
          <w:szCs w:val="21"/>
          <w:lang w:val="en-US" w:eastAsia="zh-CN"/>
        </w:rPr>
        <w:t>绿化所需的化肥、农药。</w:t>
      </w:r>
    </w:p>
    <w:p>
      <w:pPr>
        <w:numPr>
          <w:ilvl w:val="0"/>
          <w:numId w:val="11"/>
        </w:numPr>
        <w:spacing w:line="360"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物业服务范围</w:t>
      </w:r>
    </w:p>
    <w:p>
      <w:pPr>
        <w:numPr>
          <w:ilvl w:val="0"/>
          <w:numId w:val="12"/>
        </w:numPr>
        <w:spacing w:line="360" w:lineRule="auto"/>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物业管理（建筑物）</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864"/>
        <w:gridCol w:w="2213"/>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gridSpan w:val="2"/>
            <w:noWrap w:val="0"/>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2213" w:type="dxa"/>
            <w:noWrap w:val="0"/>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明细</w:t>
            </w:r>
          </w:p>
        </w:tc>
        <w:tc>
          <w:tcPr>
            <w:tcW w:w="4467" w:type="dxa"/>
            <w:noWrap w:val="0"/>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gridSpan w:val="2"/>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建筑名称</w:t>
            </w:r>
          </w:p>
        </w:tc>
        <w:tc>
          <w:tcPr>
            <w:tcW w:w="2213"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行政教学楼、会议中心及所有附属工程</w:t>
            </w:r>
          </w:p>
        </w:tc>
        <w:tc>
          <w:tcPr>
            <w:tcW w:w="4467"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restart"/>
            <w:noWrap w:val="0"/>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总面积</w:t>
            </w:r>
          </w:p>
        </w:tc>
        <w:tc>
          <w:tcPr>
            <w:tcW w:w="2864" w:type="dxa"/>
            <w:noWrap w:val="0"/>
            <w:vAlign w:val="top"/>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建筑面积（㎡）</w:t>
            </w:r>
          </w:p>
        </w:tc>
        <w:tc>
          <w:tcPr>
            <w:tcW w:w="2213" w:type="dxa"/>
            <w:noWrap w:val="0"/>
            <w:vAlign w:val="top"/>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19255.82</w:t>
            </w:r>
          </w:p>
        </w:tc>
        <w:tc>
          <w:tcPr>
            <w:tcW w:w="4467" w:type="dxa"/>
            <w:noWrap w:val="0"/>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noWrap w:val="0"/>
            <w:vAlign w:val="center"/>
          </w:tcPr>
          <w:p>
            <w:pPr>
              <w:spacing w:line="360" w:lineRule="auto"/>
              <w:jc w:val="center"/>
              <w:rPr>
                <w:rFonts w:hint="eastAsia" w:ascii="宋体" w:hAnsi="宋体" w:eastAsia="宋体" w:cs="宋体"/>
                <w:sz w:val="21"/>
                <w:szCs w:val="21"/>
              </w:rPr>
            </w:pPr>
          </w:p>
        </w:tc>
        <w:tc>
          <w:tcPr>
            <w:tcW w:w="2864" w:type="dxa"/>
            <w:noWrap w:val="0"/>
            <w:vAlign w:val="top"/>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保洁面积（㎡）</w:t>
            </w:r>
          </w:p>
        </w:tc>
        <w:tc>
          <w:tcPr>
            <w:tcW w:w="2213" w:type="dxa"/>
            <w:noWrap w:val="0"/>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125602</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门窗</w:t>
            </w:r>
          </w:p>
        </w:tc>
        <w:tc>
          <w:tcPr>
            <w:tcW w:w="2864" w:type="dxa"/>
            <w:noWrap w:val="0"/>
            <w:vAlign w:val="top"/>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门窗总个数或总面积</w:t>
            </w:r>
          </w:p>
        </w:tc>
        <w:tc>
          <w:tcPr>
            <w:tcW w:w="2213" w:type="dxa"/>
            <w:noWrap w:val="0"/>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总个数701扇窗</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地面</w:t>
            </w:r>
          </w:p>
        </w:tc>
        <w:tc>
          <w:tcPr>
            <w:tcW w:w="2864" w:type="dxa"/>
            <w:noWrap w:val="0"/>
            <w:vAlign w:val="top"/>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地面各材质及面积</w:t>
            </w:r>
          </w:p>
        </w:tc>
        <w:tc>
          <w:tcPr>
            <w:tcW w:w="2213" w:type="dxa"/>
            <w:noWrap w:val="0"/>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瓷砖地板面积17848.03平方米</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内墙饰面</w:t>
            </w:r>
          </w:p>
        </w:tc>
        <w:tc>
          <w:tcPr>
            <w:tcW w:w="2864" w:type="dxa"/>
            <w:noWrap w:val="0"/>
            <w:vAlign w:val="top"/>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内墙饰面材质及面积</w:t>
            </w:r>
          </w:p>
        </w:tc>
        <w:tc>
          <w:tcPr>
            <w:tcW w:w="2213" w:type="dxa"/>
            <w:noWrap w:val="0"/>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乳胶漆面积无</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顶面</w:t>
            </w:r>
          </w:p>
        </w:tc>
        <w:tc>
          <w:tcPr>
            <w:tcW w:w="2864" w:type="dxa"/>
            <w:noWrap w:val="0"/>
            <w:vAlign w:val="top"/>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顶面材质及面积</w:t>
            </w:r>
          </w:p>
        </w:tc>
        <w:tc>
          <w:tcPr>
            <w:tcW w:w="2213" w:type="dxa"/>
            <w:noWrap w:val="0"/>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乳胶漆面积21863.81平方米，铝扣板面积1953.53平方米，石膏板吊顶5687.57平方米</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65" w:type="dxa"/>
            <w:vMerge w:val="restart"/>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外墙</w:t>
            </w:r>
          </w:p>
        </w:tc>
        <w:tc>
          <w:tcPr>
            <w:tcW w:w="2864" w:type="dxa"/>
            <w:noWrap w:val="0"/>
            <w:vAlign w:val="top"/>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外墙材质及面积</w:t>
            </w:r>
          </w:p>
        </w:tc>
        <w:tc>
          <w:tcPr>
            <w:tcW w:w="2213" w:type="dxa"/>
            <w:noWrap w:val="0"/>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外墙真石漆15533.24平方米，</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5" w:type="dxa"/>
            <w:vMerge w:val="continue"/>
            <w:noWrap w:val="0"/>
            <w:vAlign w:val="center"/>
          </w:tcPr>
          <w:p>
            <w:pPr>
              <w:spacing w:line="360" w:lineRule="auto"/>
              <w:jc w:val="center"/>
              <w:rPr>
                <w:rFonts w:hint="eastAsia" w:ascii="宋体" w:hAnsi="宋体" w:eastAsia="宋体" w:cs="宋体"/>
                <w:sz w:val="21"/>
                <w:szCs w:val="21"/>
              </w:rPr>
            </w:pPr>
          </w:p>
        </w:tc>
        <w:tc>
          <w:tcPr>
            <w:tcW w:w="2864" w:type="dxa"/>
            <w:noWrap w:val="0"/>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外墙清洗面积</w:t>
            </w:r>
          </w:p>
        </w:tc>
        <w:tc>
          <w:tcPr>
            <w:tcW w:w="2213" w:type="dxa"/>
            <w:noWrap w:val="0"/>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清洗总面积15533.24平方米</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restart"/>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会议室</w:t>
            </w: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室内设施说明（采购需求）</w:t>
            </w:r>
          </w:p>
        </w:tc>
        <w:tc>
          <w:tcPr>
            <w:tcW w:w="2213"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空调，座椅，沙发等</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见“3.2房屋维护服务”“3.4保洁服务”“3.7会议服务”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noWrap w:val="0"/>
            <w:vAlign w:val="center"/>
          </w:tcPr>
          <w:p>
            <w:pPr>
              <w:spacing w:line="360" w:lineRule="auto"/>
              <w:jc w:val="center"/>
              <w:rPr>
                <w:rFonts w:hint="eastAsia" w:ascii="宋体" w:hAnsi="宋体" w:eastAsia="宋体" w:cs="宋体"/>
                <w:sz w:val="21"/>
                <w:szCs w:val="21"/>
              </w:rPr>
            </w:pP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会议室数量</w:t>
            </w:r>
          </w:p>
        </w:tc>
        <w:tc>
          <w:tcPr>
            <w:tcW w:w="2213"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restart"/>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报告厅</w:t>
            </w: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室内设施说明（采购需求）</w:t>
            </w:r>
          </w:p>
        </w:tc>
        <w:tc>
          <w:tcPr>
            <w:tcW w:w="2213"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空调，座椅，沙发等</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见“3.2房屋维护服务”“3.4保洁服务”“3.7会议服务”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noWrap w:val="0"/>
            <w:vAlign w:val="center"/>
          </w:tcPr>
          <w:p>
            <w:pPr>
              <w:spacing w:line="360" w:lineRule="auto"/>
              <w:jc w:val="center"/>
              <w:rPr>
                <w:rFonts w:hint="eastAsia" w:ascii="宋体" w:hAnsi="宋体" w:eastAsia="宋体" w:cs="宋体"/>
                <w:sz w:val="21"/>
                <w:szCs w:val="21"/>
                <w:lang w:val="en-US" w:eastAsia="zh-CN"/>
              </w:rPr>
            </w:pP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报告厅数量</w:t>
            </w:r>
          </w:p>
        </w:tc>
        <w:tc>
          <w:tcPr>
            <w:tcW w:w="2213"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3个</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卫生间</w:t>
            </w: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总数量及面积</w:t>
            </w:r>
          </w:p>
        </w:tc>
        <w:tc>
          <w:tcPr>
            <w:tcW w:w="2213"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会议中心7个，教学行政中心11个，门卫室1个</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垃圾存放点</w:t>
            </w: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位置、面积、数量</w:t>
            </w:r>
          </w:p>
        </w:tc>
        <w:tc>
          <w:tcPr>
            <w:tcW w:w="2213"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公共区域，综合楼，会议楼，8562，80</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restart"/>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车位数</w:t>
            </w: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地下车位</w:t>
            </w:r>
          </w:p>
        </w:tc>
        <w:tc>
          <w:tcPr>
            <w:tcW w:w="2213"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数量30（充电桩数2）</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noWrap w:val="0"/>
            <w:vAlign w:val="center"/>
          </w:tcPr>
          <w:p>
            <w:pPr>
              <w:spacing w:line="360" w:lineRule="auto"/>
              <w:jc w:val="center"/>
              <w:rPr>
                <w:rFonts w:hint="eastAsia" w:ascii="宋体" w:hAnsi="宋体" w:eastAsia="宋体" w:cs="宋体"/>
                <w:sz w:val="21"/>
                <w:szCs w:val="21"/>
              </w:rPr>
            </w:pP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地上车位</w:t>
            </w:r>
          </w:p>
        </w:tc>
        <w:tc>
          <w:tcPr>
            <w:tcW w:w="2213"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数量106（充电桩数6）</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65" w:type="dxa"/>
            <w:vMerge w:val="restart"/>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车行\人行口</w:t>
            </w: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车型口</w:t>
            </w:r>
          </w:p>
        </w:tc>
        <w:tc>
          <w:tcPr>
            <w:tcW w:w="2213"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数量4</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noWrap w:val="0"/>
            <w:vAlign w:val="center"/>
          </w:tcPr>
          <w:p>
            <w:pPr>
              <w:spacing w:line="360" w:lineRule="auto"/>
              <w:jc w:val="center"/>
              <w:rPr>
                <w:rFonts w:hint="eastAsia" w:ascii="宋体" w:hAnsi="宋体" w:eastAsia="宋体" w:cs="宋体"/>
                <w:sz w:val="21"/>
                <w:szCs w:val="21"/>
              </w:rPr>
            </w:pP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人行口</w:t>
            </w:r>
          </w:p>
        </w:tc>
        <w:tc>
          <w:tcPr>
            <w:tcW w:w="2213"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数量10</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5" w:type="dxa"/>
            <w:vMerge w:val="restart"/>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设施设备</w:t>
            </w: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电梯</w:t>
            </w:r>
          </w:p>
        </w:tc>
        <w:tc>
          <w:tcPr>
            <w:tcW w:w="2213"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电梯数量8台，性质（消防、客梯）</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见“3.3公用设施设备维护”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noWrap w:val="0"/>
            <w:vAlign w:val="top"/>
          </w:tcPr>
          <w:p>
            <w:pPr>
              <w:spacing w:line="360" w:lineRule="auto"/>
              <w:rPr>
                <w:rFonts w:hint="eastAsia" w:ascii="宋体" w:hAnsi="宋体" w:eastAsia="宋体" w:cs="宋体"/>
                <w:sz w:val="21"/>
                <w:szCs w:val="21"/>
                <w:lang w:val="en-US" w:eastAsia="zh-CN"/>
              </w:rPr>
            </w:pPr>
          </w:p>
        </w:tc>
        <w:tc>
          <w:tcPr>
            <w:tcW w:w="2864"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空调系统</w:t>
            </w:r>
          </w:p>
        </w:tc>
        <w:tc>
          <w:tcPr>
            <w:tcW w:w="2213" w:type="dxa"/>
            <w:noWrap w:val="0"/>
            <w:vAlign w:val="top"/>
          </w:tcPr>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宿舍膳食中心</w:t>
            </w:r>
            <w:r>
              <w:rPr>
                <w:rFonts w:hint="eastAsia" w:ascii="宋体" w:hAnsi="宋体" w:eastAsia="宋体" w:cs="宋体"/>
                <w:sz w:val="21"/>
                <w:szCs w:val="21"/>
                <w:vertAlign w:val="baseline"/>
                <w:lang w:val="en-US" w:eastAsia="zh-CN"/>
              </w:rPr>
              <w:t>：多联式中央空调系统额定总功率：118.08KW（质保2年）；空气源空调系统额定总功率：82.6KW（质保2年）；挂式空调168台额定总功率：156.24KW（质保6年）</w:t>
            </w:r>
          </w:p>
          <w:p>
            <w:pPr>
              <w:numPr>
                <w:ilvl w:val="0"/>
                <w:numId w:val="0"/>
              </w:num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会议中心：</w:t>
            </w:r>
            <w:r>
              <w:rPr>
                <w:rFonts w:hint="eastAsia" w:ascii="宋体" w:hAnsi="宋体" w:eastAsia="宋体" w:cs="宋体"/>
                <w:sz w:val="21"/>
                <w:szCs w:val="21"/>
                <w:vertAlign w:val="baseline"/>
                <w:lang w:val="en-US" w:eastAsia="zh-CN"/>
              </w:rPr>
              <w:t>水冷空调系统额定总功率：127.5KW（质保2年）；多联式中央空调系统额定总功率：41.824KW（质保2年）</w:t>
            </w:r>
          </w:p>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行政中心</w:t>
            </w:r>
            <w:r>
              <w:rPr>
                <w:rFonts w:hint="eastAsia" w:ascii="宋体" w:hAnsi="宋体" w:eastAsia="宋体" w:cs="宋体"/>
                <w:sz w:val="21"/>
                <w:szCs w:val="21"/>
                <w:vertAlign w:val="baseline"/>
                <w:lang w:val="en-US" w:eastAsia="zh-CN"/>
              </w:rPr>
              <w:t>：挂式空调35台总功率：65.32KW（质保6年）</w:t>
            </w:r>
          </w:p>
        </w:tc>
        <w:tc>
          <w:tcPr>
            <w:tcW w:w="4467" w:type="dxa"/>
            <w:noWrap w:val="0"/>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vertAlign w:val="baseline"/>
                <w:lang w:val="en-US" w:eastAsia="zh-CN"/>
              </w:rPr>
              <w:t>见“3.3公用设施设备维护”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noWrap w:val="0"/>
            <w:vAlign w:val="top"/>
          </w:tcPr>
          <w:p>
            <w:pPr>
              <w:spacing w:line="360" w:lineRule="auto"/>
              <w:rPr>
                <w:rFonts w:hint="eastAsia" w:ascii="宋体" w:hAnsi="宋体" w:eastAsia="宋体" w:cs="宋体"/>
                <w:sz w:val="21"/>
                <w:szCs w:val="21"/>
                <w:lang w:val="en-US" w:eastAsia="zh-CN"/>
              </w:rPr>
            </w:pPr>
            <w:bookmarkStart w:id="142" w:name="_Toc10045"/>
          </w:p>
        </w:tc>
        <w:tc>
          <w:tcPr>
            <w:tcW w:w="2864" w:type="dxa"/>
            <w:noWrap w:val="0"/>
            <w:vAlign w:val="top"/>
          </w:tcPr>
          <w:p>
            <w:pPr>
              <w:rPr>
                <w:rFonts w:hint="eastAsia" w:ascii="宋体" w:hAnsi="宋体" w:eastAsia="宋体" w:cs="宋体"/>
                <w:sz w:val="21"/>
                <w:szCs w:val="21"/>
                <w:vertAlign w:val="baseline"/>
                <w:lang w:val="en-US" w:eastAsia="zh-CN"/>
              </w:rPr>
            </w:pPr>
            <w:r>
              <w:rPr>
                <w:rFonts w:hint="eastAsia"/>
                <w:vertAlign w:val="baseline"/>
                <w:lang w:val="en-US" w:eastAsia="zh-CN"/>
              </w:rPr>
              <w:t>消防系统</w:t>
            </w:r>
          </w:p>
        </w:tc>
        <w:tc>
          <w:tcPr>
            <w:tcW w:w="2213" w:type="dxa"/>
            <w:noWrap w:val="0"/>
            <w:vAlign w:val="top"/>
          </w:tcPr>
          <w:p>
            <w:pPr>
              <w:rPr>
                <w:rFonts w:hint="eastAsia" w:ascii="宋体" w:hAnsi="宋体" w:eastAsia="宋体" w:cs="宋体"/>
                <w:b/>
                <w:bCs/>
                <w:sz w:val="21"/>
                <w:szCs w:val="21"/>
                <w:vertAlign w:val="baseline"/>
                <w:lang w:val="en-US" w:eastAsia="zh-CN"/>
              </w:rPr>
            </w:pPr>
            <w:r>
              <w:rPr>
                <w:rFonts w:hint="eastAsia" w:ascii="宋体" w:hAnsi="宋体" w:eastAsia="宋体" w:cs="宋体"/>
                <w:vertAlign w:val="baseline"/>
                <w:lang w:val="en-US" w:eastAsia="zh-CN"/>
              </w:rPr>
              <w:t>消防栓数量20</w:t>
            </w:r>
          </w:p>
        </w:tc>
        <w:tc>
          <w:tcPr>
            <w:tcW w:w="4467" w:type="dxa"/>
            <w:noWrap w:val="0"/>
            <w:vAlign w:val="top"/>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见“3.6保安服务”“3.3公用设施设备维护”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noWrap w:val="0"/>
            <w:vAlign w:val="top"/>
          </w:tcPr>
          <w:p>
            <w:pPr>
              <w:spacing w:line="360" w:lineRule="auto"/>
              <w:rPr>
                <w:rFonts w:hint="eastAsia" w:ascii="宋体" w:hAnsi="宋体" w:eastAsia="宋体" w:cs="宋体"/>
                <w:sz w:val="21"/>
                <w:szCs w:val="21"/>
                <w:lang w:val="en-US" w:eastAsia="zh-CN"/>
              </w:rPr>
            </w:pPr>
          </w:p>
        </w:tc>
        <w:tc>
          <w:tcPr>
            <w:tcW w:w="2864" w:type="dxa"/>
            <w:noWrap w:val="0"/>
            <w:vAlign w:val="top"/>
          </w:tcPr>
          <w:p>
            <w:pPr>
              <w:rPr>
                <w:rFonts w:hint="eastAsia" w:ascii="宋体" w:hAnsi="宋体" w:eastAsia="宋体" w:cs="宋体"/>
                <w:sz w:val="21"/>
                <w:szCs w:val="21"/>
                <w:vertAlign w:val="baseline"/>
                <w:lang w:val="en-US" w:eastAsia="zh-CN"/>
              </w:rPr>
            </w:pPr>
            <w:r>
              <w:rPr>
                <w:rFonts w:hint="eastAsia"/>
                <w:vertAlign w:val="baseline"/>
                <w:lang w:val="en-US" w:eastAsia="zh-CN"/>
              </w:rPr>
              <w:t>安防系统</w:t>
            </w:r>
          </w:p>
        </w:tc>
        <w:tc>
          <w:tcPr>
            <w:tcW w:w="2213" w:type="dxa"/>
            <w:noWrap w:val="0"/>
            <w:vAlign w:val="top"/>
          </w:tcPr>
          <w:p>
            <w:pPr>
              <w:rPr>
                <w:rFonts w:hint="eastAsia" w:ascii="宋体" w:hAnsi="宋体" w:eastAsia="宋体" w:cs="宋体"/>
                <w:b/>
                <w:bCs/>
                <w:sz w:val="21"/>
                <w:szCs w:val="21"/>
                <w:vertAlign w:val="baseline"/>
                <w:lang w:val="en-US" w:eastAsia="zh-CN"/>
              </w:rPr>
            </w:pPr>
            <w:r>
              <w:rPr>
                <w:rFonts w:hint="eastAsia" w:ascii="宋体" w:hAnsi="宋体" w:eastAsia="宋体" w:cs="宋体"/>
                <w:bCs/>
                <w:color w:val="000000"/>
                <w:szCs w:val="21"/>
              </w:rPr>
              <w:t>监控点</w:t>
            </w:r>
            <w:r>
              <w:rPr>
                <w:rFonts w:hint="eastAsia" w:ascii="宋体" w:hAnsi="宋体" w:eastAsia="宋体" w:cs="宋体"/>
                <w:bCs/>
                <w:color w:val="000000"/>
                <w:szCs w:val="21"/>
                <w:lang w:val="en-US" w:eastAsia="zh-CN"/>
              </w:rPr>
              <w:t>26</w:t>
            </w:r>
            <w:r>
              <w:rPr>
                <w:rFonts w:hint="eastAsia" w:ascii="宋体" w:hAnsi="宋体" w:eastAsia="宋体" w:cs="宋体"/>
                <w:bCs/>
                <w:color w:val="000000"/>
                <w:szCs w:val="21"/>
              </w:rPr>
              <w:t>个</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火警报警柜1个</w:t>
            </w:r>
          </w:p>
        </w:tc>
        <w:tc>
          <w:tcPr>
            <w:tcW w:w="4467" w:type="dxa"/>
            <w:noWrap w:val="0"/>
            <w:vAlign w:val="top"/>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见“3.6保安服务”“3.3公用设施设备维护”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noWrap w:val="0"/>
            <w:vAlign w:val="top"/>
          </w:tcPr>
          <w:p>
            <w:pPr>
              <w:spacing w:line="360" w:lineRule="auto"/>
              <w:rPr>
                <w:rFonts w:hint="eastAsia" w:ascii="宋体" w:hAnsi="宋体" w:eastAsia="宋体" w:cs="宋体"/>
                <w:sz w:val="21"/>
                <w:szCs w:val="21"/>
                <w:lang w:val="en-US" w:eastAsia="zh-CN"/>
              </w:rPr>
            </w:pPr>
          </w:p>
        </w:tc>
        <w:tc>
          <w:tcPr>
            <w:tcW w:w="2864" w:type="dxa"/>
            <w:noWrap w:val="0"/>
            <w:vAlign w:val="top"/>
          </w:tcPr>
          <w:p>
            <w:pPr>
              <w:rPr>
                <w:rFonts w:hint="eastAsia" w:ascii="宋体" w:hAnsi="宋体" w:eastAsia="宋体" w:cs="宋体"/>
                <w:sz w:val="21"/>
                <w:szCs w:val="21"/>
                <w:vertAlign w:val="baseline"/>
                <w:lang w:val="en-US" w:eastAsia="zh-CN"/>
              </w:rPr>
            </w:pPr>
            <w:r>
              <w:rPr>
                <w:rFonts w:hint="eastAsia"/>
                <w:vertAlign w:val="baseline"/>
                <w:lang w:val="en-US" w:eastAsia="zh-CN"/>
              </w:rPr>
              <w:t>照明系统</w:t>
            </w:r>
          </w:p>
        </w:tc>
        <w:tc>
          <w:tcPr>
            <w:tcW w:w="2213" w:type="dxa"/>
            <w:noWrap w:val="0"/>
            <w:vAlign w:val="top"/>
          </w:tcPr>
          <w:p>
            <w:pPr>
              <w:numPr>
                <w:ilvl w:val="0"/>
                <w:numId w:val="0"/>
              </w:numPr>
              <w:ind w:left="0" w:leftChars="0" w:firstLine="0" w:firstLineChars="0"/>
              <w:rPr>
                <w:rFonts w:hint="eastAsia" w:ascii="宋体" w:hAnsi="宋体" w:eastAsia="宋体" w:cs="宋体"/>
                <w:b/>
                <w:bCs/>
                <w:sz w:val="21"/>
                <w:szCs w:val="21"/>
                <w:vertAlign w:val="baseline"/>
                <w:lang w:val="en-US" w:eastAsia="zh-CN"/>
              </w:rPr>
            </w:pPr>
            <w:r>
              <w:rPr>
                <w:rFonts w:hint="eastAsia" w:ascii="宋体" w:hAnsi="宋体" w:eastAsia="宋体" w:cs="宋体"/>
                <w:bCs/>
                <w:color w:val="000000"/>
                <w:szCs w:val="21"/>
              </w:rPr>
              <w:t>应急灯约</w:t>
            </w:r>
            <w:r>
              <w:rPr>
                <w:rFonts w:hint="eastAsia" w:ascii="宋体" w:hAnsi="宋体" w:eastAsia="宋体" w:cs="宋体"/>
                <w:bCs/>
                <w:color w:val="000000"/>
                <w:szCs w:val="21"/>
                <w:lang w:val="en-US" w:eastAsia="zh-CN"/>
              </w:rPr>
              <w:t>25</w:t>
            </w:r>
            <w:r>
              <w:rPr>
                <w:rFonts w:hint="eastAsia" w:ascii="宋体" w:hAnsi="宋体" w:eastAsia="宋体" w:cs="宋体"/>
                <w:bCs/>
                <w:color w:val="000000"/>
                <w:szCs w:val="21"/>
              </w:rPr>
              <w:t>盏，普通照明灯约</w:t>
            </w:r>
            <w:r>
              <w:rPr>
                <w:rFonts w:hint="eastAsia" w:ascii="宋体" w:hAnsi="宋体" w:eastAsia="宋体" w:cs="宋体"/>
                <w:bCs/>
                <w:color w:val="000000"/>
                <w:szCs w:val="21"/>
                <w:lang w:val="en-US" w:eastAsia="zh-CN"/>
              </w:rPr>
              <w:t>200</w:t>
            </w:r>
            <w:r>
              <w:rPr>
                <w:rFonts w:hint="eastAsia" w:ascii="宋体" w:hAnsi="宋体" w:eastAsia="宋体" w:cs="宋体"/>
                <w:bCs/>
                <w:color w:val="000000"/>
                <w:szCs w:val="21"/>
              </w:rPr>
              <w:t>0盏</w:t>
            </w:r>
          </w:p>
        </w:tc>
        <w:tc>
          <w:tcPr>
            <w:tcW w:w="4467" w:type="dxa"/>
            <w:noWrap w:val="0"/>
            <w:vAlign w:val="top"/>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见“3.3公用设施设备维护”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noWrap w:val="0"/>
            <w:vAlign w:val="top"/>
          </w:tcPr>
          <w:p>
            <w:pPr>
              <w:spacing w:line="360" w:lineRule="auto"/>
              <w:rPr>
                <w:rFonts w:hint="eastAsia" w:ascii="宋体" w:hAnsi="宋体" w:eastAsia="宋体" w:cs="宋体"/>
                <w:sz w:val="21"/>
                <w:szCs w:val="21"/>
                <w:lang w:val="en-US" w:eastAsia="zh-CN"/>
              </w:rPr>
            </w:pPr>
          </w:p>
        </w:tc>
        <w:tc>
          <w:tcPr>
            <w:tcW w:w="2864" w:type="dxa"/>
            <w:noWrap w:val="0"/>
            <w:vAlign w:val="top"/>
          </w:tcPr>
          <w:p>
            <w:pPr>
              <w:rPr>
                <w:rFonts w:hint="eastAsia" w:ascii="宋体" w:hAnsi="宋体" w:eastAsia="宋体" w:cs="宋体"/>
                <w:sz w:val="21"/>
                <w:szCs w:val="21"/>
                <w:vertAlign w:val="baseline"/>
                <w:lang w:val="en-US" w:eastAsia="zh-CN"/>
              </w:rPr>
            </w:pPr>
            <w:r>
              <w:rPr>
                <w:rFonts w:hint="eastAsia"/>
                <w:vertAlign w:val="baseline"/>
                <w:lang w:val="en-US" w:eastAsia="zh-CN"/>
              </w:rPr>
              <w:t>供配电系统</w:t>
            </w:r>
          </w:p>
        </w:tc>
        <w:tc>
          <w:tcPr>
            <w:tcW w:w="2213" w:type="dxa"/>
            <w:noWrap w:val="0"/>
            <w:vAlign w:val="top"/>
          </w:tcPr>
          <w:p>
            <w:pPr>
              <w:rPr>
                <w:rFonts w:hint="eastAsia" w:ascii="宋体" w:hAnsi="宋体" w:eastAsia="宋体" w:cs="宋体"/>
                <w:b/>
                <w:bCs/>
                <w:sz w:val="21"/>
                <w:szCs w:val="21"/>
                <w:vertAlign w:val="baseline"/>
                <w:lang w:val="en-US" w:eastAsia="zh-CN"/>
              </w:rPr>
            </w:pPr>
            <w:r>
              <w:rPr>
                <w:rFonts w:hint="eastAsia" w:ascii="宋体" w:hAnsi="宋体" w:eastAsia="宋体" w:cs="宋体"/>
                <w:vertAlign w:val="baseline"/>
                <w:lang w:val="en-US" w:eastAsia="zh-CN"/>
              </w:rPr>
              <w:t>高压柜1个、3.6kw；低压柜1个数量,0.4kw。</w:t>
            </w:r>
          </w:p>
        </w:tc>
        <w:tc>
          <w:tcPr>
            <w:tcW w:w="4467" w:type="dxa"/>
            <w:noWrap w:val="0"/>
            <w:vAlign w:val="top"/>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见“3.3公用设施设备维护”</w:t>
            </w:r>
          </w:p>
        </w:tc>
      </w:tr>
    </w:tbl>
    <w:p>
      <w:pPr>
        <w:numPr>
          <w:ilvl w:val="0"/>
          <w:numId w:val="0"/>
        </w:numPr>
        <w:outlineLvl w:val="2"/>
        <w:rPr>
          <w:rFonts w:hint="eastAsia"/>
          <w:lang w:val="en-US" w:eastAsia="zh-CN"/>
        </w:rPr>
      </w:pPr>
      <w:r>
        <w:rPr>
          <w:rFonts w:hint="eastAsia"/>
          <w:lang w:val="en-US" w:eastAsia="zh-CN"/>
        </w:rPr>
        <w:br w:type="textWrapping"/>
      </w:r>
      <w:r>
        <w:rPr>
          <w:rFonts w:hint="eastAsia"/>
          <w:lang w:val="en-US" w:eastAsia="zh-CN"/>
        </w:rPr>
        <w:t>（2）物业管理（室外）</w:t>
      </w:r>
      <w:bookmarkEnd w:id="14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名称</w:t>
            </w:r>
          </w:p>
        </w:tc>
        <w:tc>
          <w:tcPr>
            <w:tcW w:w="2841"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明细</w:t>
            </w:r>
          </w:p>
        </w:tc>
        <w:tc>
          <w:tcPr>
            <w:tcW w:w="4613" w:type="dxa"/>
            <w:noWrap w:val="0"/>
            <w:vAlign w:val="center"/>
          </w:tcPr>
          <w:p>
            <w:pPr>
              <w:numPr>
                <w:ilvl w:val="0"/>
                <w:numId w:val="0"/>
              </w:num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室外面积（㎡）</w:t>
            </w:r>
          </w:p>
        </w:tc>
        <w:tc>
          <w:tcPr>
            <w:tcW w:w="2841"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14136.5平方米</w:t>
            </w:r>
          </w:p>
        </w:tc>
        <w:tc>
          <w:tcPr>
            <w:tcW w:w="4613" w:type="dxa"/>
            <w:noWrap w:val="0"/>
            <w:vAlign w:val="top"/>
          </w:tcPr>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见“3.4保洁服务”“3.6保安服务”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绿化面积</w:t>
            </w:r>
          </w:p>
        </w:tc>
        <w:tc>
          <w:tcPr>
            <w:tcW w:w="2841" w:type="dxa"/>
            <w:noWrap w:val="0"/>
            <w:vAlign w:val="top"/>
          </w:tcPr>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vertAlign w:val="baseline"/>
                <w:lang w:val="en-US" w:eastAsia="zh-CN"/>
              </w:rPr>
              <w:t>7537平方米</w:t>
            </w:r>
          </w:p>
        </w:tc>
        <w:tc>
          <w:tcPr>
            <w:tcW w:w="4613" w:type="dxa"/>
            <w:noWrap w:val="0"/>
            <w:vAlign w:val="top"/>
          </w:tcPr>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见“3.4保洁服务”“3.5绿化服务”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广场</w:t>
            </w:r>
          </w:p>
        </w:tc>
        <w:tc>
          <w:tcPr>
            <w:tcW w:w="2841"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面积大小5263㎡</w:t>
            </w:r>
          </w:p>
        </w:tc>
        <w:tc>
          <w:tcPr>
            <w:tcW w:w="4613" w:type="dxa"/>
            <w:noWrap w:val="0"/>
            <w:vAlign w:val="top"/>
          </w:tcPr>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见“3.4保洁服务”“3.6保安服务”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路灯、草坪、音箱</w:t>
            </w:r>
          </w:p>
        </w:tc>
        <w:tc>
          <w:tcPr>
            <w:tcW w:w="2841"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数量50</w:t>
            </w:r>
          </w:p>
        </w:tc>
        <w:tc>
          <w:tcPr>
            <w:tcW w:w="4613" w:type="dxa"/>
            <w:noWrap w:val="0"/>
            <w:vAlign w:val="top"/>
          </w:tcPr>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见“3.3公用设施设备维护”“3.4保洁服务”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消防栓</w:t>
            </w:r>
          </w:p>
        </w:tc>
        <w:tc>
          <w:tcPr>
            <w:tcW w:w="2841"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消防栓数量20</w:t>
            </w:r>
          </w:p>
        </w:tc>
        <w:tc>
          <w:tcPr>
            <w:tcW w:w="4613" w:type="dxa"/>
            <w:noWrap w:val="0"/>
            <w:vAlign w:val="top"/>
          </w:tcPr>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见“3.3公用设施设备维护”“3.4保洁服务”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垃圾箱</w:t>
            </w:r>
          </w:p>
        </w:tc>
        <w:tc>
          <w:tcPr>
            <w:tcW w:w="2841"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数量20</w:t>
            </w:r>
          </w:p>
        </w:tc>
        <w:tc>
          <w:tcPr>
            <w:tcW w:w="4613" w:type="dxa"/>
            <w:noWrap w:val="0"/>
            <w:vAlign w:val="top"/>
          </w:tcPr>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室外配电箱</w:t>
            </w:r>
          </w:p>
        </w:tc>
        <w:tc>
          <w:tcPr>
            <w:tcW w:w="2841"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数量2</w:t>
            </w:r>
          </w:p>
        </w:tc>
        <w:tc>
          <w:tcPr>
            <w:tcW w:w="4613" w:type="dxa"/>
            <w:noWrap w:val="0"/>
            <w:vAlign w:val="top"/>
          </w:tcPr>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见“3.3公用设施设备维护”“3.4保洁服务”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门前三包</w:t>
            </w:r>
          </w:p>
        </w:tc>
        <w:tc>
          <w:tcPr>
            <w:tcW w:w="2841"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面积5230</w:t>
            </w:r>
          </w:p>
        </w:tc>
        <w:tc>
          <w:tcPr>
            <w:tcW w:w="4613" w:type="dxa"/>
            <w:noWrap w:val="0"/>
            <w:vAlign w:val="top"/>
          </w:tcPr>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露台</w:t>
            </w:r>
          </w:p>
        </w:tc>
        <w:tc>
          <w:tcPr>
            <w:tcW w:w="2841"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面积1203</w:t>
            </w:r>
          </w:p>
        </w:tc>
        <w:tc>
          <w:tcPr>
            <w:tcW w:w="4613" w:type="dxa"/>
            <w:noWrap w:val="0"/>
            <w:vAlign w:val="top"/>
          </w:tcPr>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监控</w:t>
            </w:r>
          </w:p>
        </w:tc>
        <w:tc>
          <w:tcPr>
            <w:tcW w:w="2841"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数量30</w:t>
            </w:r>
          </w:p>
        </w:tc>
        <w:tc>
          <w:tcPr>
            <w:tcW w:w="4613" w:type="dxa"/>
            <w:noWrap w:val="0"/>
            <w:vAlign w:val="top"/>
          </w:tcPr>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见“3.3公用设施设备维护”“3.4保洁服务”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指示牌、显示屏</w:t>
            </w:r>
          </w:p>
        </w:tc>
        <w:tc>
          <w:tcPr>
            <w:tcW w:w="2841"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数量50</w:t>
            </w:r>
          </w:p>
        </w:tc>
        <w:tc>
          <w:tcPr>
            <w:tcW w:w="4613" w:type="dxa"/>
            <w:noWrap w:val="0"/>
            <w:vAlign w:val="top"/>
          </w:tcPr>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见“3.3公用设施设备维护”“3.4保洁服务”</w:t>
            </w:r>
          </w:p>
        </w:tc>
      </w:tr>
    </w:tbl>
    <w:p>
      <w:pPr>
        <w:numPr>
          <w:ilvl w:val="0"/>
          <w:numId w:val="0"/>
        </w:numPr>
        <w:spacing w:line="360" w:lineRule="auto"/>
        <w:outlineLvl w:val="1"/>
        <w:rPr>
          <w:rFonts w:hint="eastAsia" w:ascii="宋体" w:hAnsi="宋体" w:eastAsia="宋体" w:cs="宋体"/>
          <w:b/>
          <w:bCs/>
          <w:lang w:val="en-US" w:eastAsia="zh-CN"/>
        </w:rPr>
      </w:pPr>
      <w:r>
        <w:rPr>
          <w:rFonts w:hint="eastAsia" w:ascii="宋体" w:hAnsi="宋体" w:eastAsia="宋体" w:cs="宋体"/>
          <w:b/>
          <w:bCs/>
          <w:lang w:val="en-US" w:eastAsia="zh-CN"/>
        </w:rPr>
        <w:t>3.</w:t>
      </w:r>
      <w:r>
        <w:rPr>
          <w:rFonts w:hint="eastAsia" w:ascii="宋体" w:hAnsi="宋体" w:cs="宋体"/>
          <w:b/>
          <w:bCs/>
          <w:lang w:val="en-US" w:eastAsia="zh-CN"/>
        </w:rPr>
        <w:t>物</w:t>
      </w:r>
      <w:r>
        <w:rPr>
          <w:rFonts w:hint="eastAsia" w:ascii="宋体" w:hAnsi="宋体" w:eastAsia="宋体" w:cs="宋体"/>
          <w:b/>
          <w:bCs/>
          <w:lang w:val="en-US" w:eastAsia="zh-CN"/>
        </w:rPr>
        <w:t>业管理服务内容及标准</w:t>
      </w:r>
    </w:p>
    <w:p>
      <w:pPr>
        <w:numPr>
          <w:ilvl w:val="0"/>
          <w:numId w:val="0"/>
        </w:numPr>
        <w:spacing w:line="360" w:lineRule="auto"/>
        <w:ind w:firstLine="420"/>
        <w:rPr>
          <w:rFonts w:hint="eastAsia" w:ascii="宋体" w:hAnsi="宋体" w:eastAsia="宋体" w:cs="宋体"/>
          <w:lang w:val="en-US" w:eastAsia="zh-CN"/>
        </w:rPr>
      </w:pPr>
      <w:r>
        <w:rPr>
          <w:rFonts w:hint="eastAsia" w:ascii="宋体" w:hAnsi="宋体" w:eastAsia="宋体" w:cs="宋体"/>
          <w:lang w:val="en-US" w:eastAsia="zh-CN"/>
        </w:rPr>
        <w:t>物业管理服务包裹基本服务、房屋维护服务、公用设施设备维护服务、保洁服务、绿化服务、保安服务、会议服务等。</w:t>
      </w:r>
    </w:p>
    <w:p>
      <w:pPr>
        <w:numPr>
          <w:ilvl w:val="0"/>
          <w:numId w:val="0"/>
        </w:numPr>
        <w:spacing w:line="360" w:lineRule="auto"/>
        <w:outlineLvl w:val="2"/>
        <w:rPr>
          <w:rFonts w:hint="eastAsia" w:ascii="宋体" w:hAnsi="宋体" w:eastAsia="宋体" w:cs="宋体"/>
          <w:b/>
          <w:bCs/>
          <w:lang w:val="en-US" w:eastAsia="zh-CN"/>
        </w:rPr>
      </w:pPr>
      <w:r>
        <w:rPr>
          <w:rFonts w:hint="eastAsia" w:ascii="宋体" w:hAnsi="宋体" w:eastAsia="宋体" w:cs="宋体"/>
          <w:b/>
          <w:bCs/>
          <w:lang w:val="en-US" w:eastAsia="zh-CN"/>
        </w:rPr>
        <w:t>3.1基本服务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66"/>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序号</w:t>
            </w:r>
          </w:p>
        </w:tc>
        <w:tc>
          <w:tcPr>
            <w:tcW w:w="1766" w:type="dxa"/>
            <w:noWrap w:val="0"/>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服务内容</w:t>
            </w:r>
          </w:p>
        </w:tc>
        <w:tc>
          <w:tcPr>
            <w:tcW w:w="7758" w:type="dxa"/>
            <w:noWrap w:val="0"/>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restart"/>
            <w:noWrap w:val="0"/>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766" w:type="dxa"/>
            <w:vMerge w:val="restart"/>
            <w:noWrap w:val="0"/>
            <w:vAlign w:val="center"/>
          </w:tcPr>
          <w:p>
            <w:pPr>
              <w:numPr>
                <w:ilvl w:val="0"/>
                <w:numId w:val="0"/>
              </w:num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目标与责任</w:t>
            </w:r>
          </w:p>
        </w:tc>
        <w:tc>
          <w:tcPr>
            <w:tcW w:w="7758"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（1）结合采购人要求及物业服务实际情况，制定年度管理目标，明确责任分工，制定配套项目服务实施方案。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continue"/>
            <w:noWrap w:val="0"/>
            <w:vAlign w:val="center"/>
          </w:tcPr>
          <w:p>
            <w:pPr>
              <w:spacing w:line="360" w:lineRule="auto"/>
              <w:jc w:val="center"/>
              <w:rPr>
                <w:rFonts w:hint="eastAsia" w:ascii="宋体" w:hAnsi="宋体" w:eastAsia="宋体" w:cs="宋体"/>
                <w:sz w:val="21"/>
                <w:szCs w:val="21"/>
              </w:rPr>
            </w:pPr>
          </w:p>
        </w:tc>
        <w:tc>
          <w:tcPr>
            <w:tcW w:w="1766" w:type="dxa"/>
            <w:vMerge w:val="continue"/>
            <w:noWrap w:val="0"/>
            <w:vAlign w:val="center"/>
          </w:tcPr>
          <w:p>
            <w:pPr>
              <w:spacing w:line="360" w:lineRule="auto"/>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bCs/>
                <w:color w:val="000000"/>
                <w:szCs w:val="21"/>
                <w:highlight w:val="none"/>
              </w:rPr>
              <w:t>要求</w:t>
            </w:r>
            <w:r>
              <w:rPr>
                <w:rFonts w:hint="eastAsia" w:ascii="宋体" w:hAnsi="宋体" w:eastAsia="宋体" w:cs="宋体"/>
                <w:bCs/>
                <w:color w:val="000000"/>
                <w:szCs w:val="21"/>
                <w:highlight w:val="none"/>
                <w:lang w:val="en-US" w:eastAsia="zh-CN"/>
              </w:rPr>
              <w:t>供应商</w:t>
            </w:r>
            <w:r>
              <w:rPr>
                <w:rFonts w:hint="eastAsia" w:ascii="宋体" w:hAnsi="宋体" w:eastAsia="宋体" w:cs="宋体"/>
                <w:bCs/>
                <w:color w:val="000000"/>
                <w:szCs w:val="21"/>
                <w:highlight w:val="none"/>
              </w:rPr>
              <w:t>内部管理制度健全、岗位职责分明、管理措施落实到位</w:t>
            </w: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rPr>
              <w:t>各项工作有计划、</w:t>
            </w:r>
            <w:r>
              <w:rPr>
                <w:rFonts w:hint="eastAsia" w:ascii="宋体" w:hAnsi="宋体" w:eastAsia="宋体" w:cs="宋体"/>
                <w:bCs/>
                <w:color w:val="000000"/>
                <w:szCs w:val="21"/>
                <w:highlight w:val="none"/>
                <w:lang w:eastAsia="zh-CN"/>
              </w:rPr>
              <w:t>确保</w:t>
            </w:r>
            <w:r>
              <w:rPr>
                <w:rFonts w:hint="eastAsia" w:ascii="宋体" w:hAnsi="宋体" w:eastAsia="宋体" w:cs="宋体"/>
                <w:bCs/>
                <w:color w:val="000000"/>
                <w:szCs w:val="21"/>
                <w:highlight w:val="none"/>
              </w:rPr>
              <w:t>专人</w:t>
            </w:r>
            <w:r>
              <w:rPr>
                <w:rFonts w:hint="eastAsia" w:ascii="宋体" w:hAnsi="宋体" w:eastAsia="宋体" w:cs="宋体"/>
                <w:bCs/>
                <w:color w:val="000000"/>
                <w:szCs w:val="21"/>
                <w:highlight w:val="none"/>
                <w:lang w:eastAsia="zh-CN"/>
              </w:rPr>
              <w:t>有专事，专事有专</w:t>
            </w:r>
            <w:r>
              <w:rPr>
                <w:rFonts w:hint="eastAsia" w:ascii="宋体" w:hAnsi="宋体" w:eastAsia="宋体" w:cs="宋体"/>
                <w:bCs/>
                <w:color w:val="000000"/>
                <w:szCs w:val="21"/>
                <w:highlight w:val="none"/>
              </w:rPr>
              <w:t>责</w:t>
            </w:r>
            <w:r>
              <w:rPr>
                <w:rFonts w:hint="eastAsia" w:ascii="宋体" w:hAnsi="宋体" w:eastAsia="宋体" w:cs="宋体"/>
                <w:bCs/>
                <w:color w:val="000000"/>
                <w:szCs w:val="21"/>
                <w:highlight w:val="none"/>
                <w:lang w:eastAsia="zh-CN"/>
              </w:rPr>
              <w:t>，及</w:t>
            </w:r>
            <w:r>
              <w:rPr>
                <w:rFonts w:hint="eastAsia" w:ascii="宋体" w:hAnsi="宋体" w:eastAsia="宋体" w:cs="宋体"/>
                <w:bCs/>
                <w:color w:val="000000"/>
                <w:szCs w:val="21"/>
                <w:highlight w:val="none"/>
              </w:rPr>
              <w:t>时做好材料备用计划，保证各项维修及原材料使用的供给</w:t>
            </w: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restart"/>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66" w:type="dxa"/>
            <w:vMerge w:val="restart"/>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服务人员及要求</w:t>
            </w:r>
          </w:p>
        </w:tc>
        <w:tc>
          <w:tcPr>
            <w:tcW w:w="7758"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（1）每季度至少开展1次岗位技能、职业素质、服务意识、绿色节能环保等教育培训，并进行适当形式的考核。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center"/>
          </w:tcPr>
          <w:p>
            <w:pPr>
              <w:spacing w:line="360" w:lineRule="auto"/>
              <w:jc w:val="center"/>
              <w:rPr>
                <w:rFonts w:hint="eastAsia" w:ascii="宋体" w:hAnsi="宋体" w:eastAsia="宋体" w:cs="宋体"/>
                <w:sz w:val="21"/>
                <w:szCs w:val="21"/>
              </w:rPr>
            </w:pPr>
          </w:p>
        </w:tc>
        <w:tc>
          <w:tcPr>
            <w:tcW w:w="1766" w:type="dxa"/>
            <w:vMerge w:val="continue"/>
            <w:noWrap w:val="0"/>
            <w:vAlign w:val="center"/>
          </w:tcPr>
          <w:p>
            <w:pPr>
              <w:spacing w:line="360" w:lineRule="auto"/>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（2）根据采购人要求对服务人员进行从业资格审查，审查结果向采购人报备。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rPr>
            </w:pPr>
          </w:p>
        </w:tc>
        <w:tc>
          <w:tcPr>
            <w:tcW w:w="1766"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服务人员的年龄（杜绝未成年人人员担任该项目的任何岗位）、学历、工作经验及从业资格条件应当与所在岗位能力要求相匹配，到岗前应当经过必要的岗前培训已达到岗位能力要求，国家、行业规定应当取得职业资格证书或特种作业证书的，应当按规定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rPr>
            </w:pPr>
          </w:p>
        </w:tc>
        <w:tc>
          <w:tcPr>
            <w:tcW w:w="1766"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项目服务人员应知法、懂法、守法，依法办事，必须严格遵守国家从业人员相关规范，遵守公共场所安全管理规定。供应商对项目实施从业人员须经过专业的培训，具备职业技能或行业技能证书方能上岗，并具备相关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rPr>
            </w:pPr>
          </w:p>
        </w:tc>
        <w:tc>
          <w:tcPr>
            <w:tcW w:w="1766"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（5）着装分类统一，佩戴标识。仪容整洁、姿态端正、举止文明。用语文明礼貌，态度温和耐心。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restart"/>
            <w:noWrap w:val="0"/>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766" w:type="dxa"/>
            <w:vMerge w:val="restart"/>
            <w:noWrap w:val="0"/>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保密和思想政治教育</w:t>
            </w:r>
          </w:p>
        </w:tc>
        <w:tc>
          <w:tcPr>
            <w:tcW w:w="7758"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（1）建立保密管理制度。制度内容应当包括但不限于：①明确重点要害岗位保密职责。②对涉密工作岗位的保密要求等。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continue"/>
            <w:noWrap w:val="0"/>
            <w:vAlign w:val="center"/>
          </w:tcPr>
          <w:p>
            <w:pPr>
              <w:spacing w:line="360" w:lineRule="auto"/>
              <w:jc w:val="center"/>
              <w:rPr>
                <w:rFonts w:hint="eastAsia" w:ascii="宋体" w:hAnsi="宋体" w:eastAsia="宋体" w:cs="宋体"/>
                <w:sz w:val="21"/>
                <w:szCs w:val="21"/>
              </w:rPr>
            </w:pPr>
          </w:p>
        </w:tc>
        <w:tc>
          <w:tcPr>
            <w:tcW w:w="1766" w:type="dxa"/>
            <w:vMerge w:val="continue"/>
            <w:noWrap w:val="0"/>
            <w:vAlign w:val="center"/>
          </w:tcPr>
          <w:p>
            <w:pPr>
              <w:spacing w:line="360" w:lineRule="auto"/>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（2）根据采购人要求与涉密工作岗位的服务人员签订保密协议。保密协议应当向采购人报备。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rPr>
            </w:pPr>
          </w:p>
        </w:tc>
        <w:tc>
          <w:tcPr>
            <w:tcW w:w="1766"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（3）每季度至少开展 1 次对服务人员进行保密、思想政治教育的培训，提高服务人员保密意识和思想政治意识。新入职员工应当接受保密、思想政治教育培训，进行必要的人员经历审查，合格 后签订保密协议方可上岗。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rPr>
            </w:pPr>
          </w:p>
        </w:tc>
        <w:tc>
          <w:tcPr>
            <w:tcW w:w="1766"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（4）发现服务人员违法违规或重大过失，及时报告采购人，并采取必要补救措施。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restart"/>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766" w:type="dxa"/>
            <w:vMerge w:val="restart"/>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服务要求及改进</w:t>
            </w: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（1）明确负责人，定期对物业服务过程进行自查，结合反馈意见与评价结果采取改进措施，持续提升管理与服务水平。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continue"/>
            <w:noWrap w:val="0"/>
            <w:vAlign w:val="center"/>
          </w:tcPr>
          <w:p>
            <w:pPr>
              <w:jc w:val="center"/>
              <w:rPr>
                <w:rFonts w:hint="eastAsia" w:ascii="宋体" w:hAnsi="宋体" w:eastAsia="宋体" w:cs="宋体"/>
                <w:sz w:val="21"/>
                <w:szCs w:val="21"/>
              </w:rPr>
            </w:pPr>
          </w:p>
        </w:tc>
        <w:tc>
          <w:tcPr>
            <w:tcW w:w="1766" w:type="dxa"/>
            <w:vMerge w:val="continue"/>
            <w:noWrap w:val="0"/>
            <w:vAlign w:val="center"/>
          </w:tcPr>
          <w:p>
            <w:pPr>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（2）对不合格服务进行控制，对不合格服务的原因进行识别和分析，及时采取纠正措施，消除不合格的原因，防止不合格再发生。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continue"/>
            <w:noWrap w:val="0"/>
            <w:vAlign w:val="center"/>
          </w:tcPr>
          <w:p>
            <w:pPr>
              <w:jc w:val="center"/>
              <w:rPr>
                <w:rFonts w:hint="eastAsia" w:ascii="宋体" w:hAnsi="宋体" w:eastAsia="宋体" w:cs="宋体"/>
                <w:sz w:val="21"/>
                <w:szCs w:val="21"/>
                <w:vertAlign w:val="baseline"/>
                <w:lang w:val="en-US" w:eastAsia="zh-CN"/>
              </w:rPr>
            </w:pPr>
          </w:p>
        </w:tc>
        <w:tc>
          <w:tcPr>
            <w:tcW w:w="1766" w:type="dxa"/>
            <w:vMerge w:val="continue"/>
            <w:noWrap w:val="0"/>
            <w:vAlign w:val="center"/>
          </w:tcPr>
          <w:p>
            <w:pPr>
              <w:jc w:val="cente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（3）需整改问题及时整改完成。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continue"/>
            <w:noWrap w:val="0"/>
            <w:vAlign w:val="center"/>
          </w:tcPr>
          <w:p>
            <w:pPr>
              <w:jc w:val="center"/>
              <w:rPr>
                <w:rFonts w:hint="eastAsia" w:ascii="宋体" w:hAnsi="宋体" w:eastAsia="宋体" w:cs="宋体"/>
                <w:sz w:val="21"/>
                <w:szCs w:val="21"/>
                <w:vertAlign w:val="baseline"/>
                <w:lang w:val="en-US" w:eastAsia="zh-CN"/>
              </w:rPr>
            </w:pPr>
          </w:p>
        </w:tc>
        <w:tc>
          <w:tcPr>
            <w:tcW w:w="1766" w:type="dxa"/>
            <w:vMerge w:val="continue"/>
            <w:noWrap w:val="0"/>
            <w:vAlign w:val="center"/>
          </w:tcPr>
          <w:p>
            <w:pPr>
              <w:jc w:val="cente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（4）</w:t>
            </w:r>
            <w:r>
              <w:rPr>
                <w:rFonts w:hint="eastAsia" w:ascii="宋体" w:hAnsi="宋体" w:eastAsia="宋体" w:cs="宋体"/>
                <w:bCs/>
                <w:color w:val="000000"/>
                <w:szCs w:val="21"/>
                <w:highlight w:val="none"/>
              </w:rPr>
              <w:t>树立“服务第一，业主至上”的思想，用心维护支队、车管所、二大队工作人员的人身和公共财产安全。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center"/>
          </w:tcPr>
          <w:p>
            <w:pPr>
              <w:jc w:val="center"/>
              <w:rPr>
                <w:rFonts w:hint="eastAsia" w:ascii="宋体" w:hAnsi="宋体" w:eastAsia="宋体" w:cs="宋体"/>
                <w:sz w:val="21"/>
                <w:szCs w:val="21"/>
                <w:vertAlign w:val="baseline"/>
                <w:lang w:val="en-US" w:eastAsia="zh-CN"/>
              </w:rPr>
            </w:pPr>
          </w:p>
        </w:tc>
        <w:tc>
          <w:tcPr>
            <w:tcW w:w="1766" w:type="dxa"/>
            <w:vMerge w:val="continue"/>
            <w:noWrap w:val="0"/>
            <w:vAlign w:val="center"/>
          </w:tcPr>
          <w:p>
            <w:pPr>
              <w:jc w:val="center"/>
              <w:rPr>
                <w:rFonts w:hint="eastAsia" w:ascii="宋体" w:hAnsi="宋体" w:eastAsia="宋体" w:cs="宋体"/>
                <w:sz w:val="21"/>
                <w:szCs w:val="21"/>
                <w:vertAlign w:val="baseline"/>
                <w:lang w:val="en-US" w:eastAsia="zh-CN"/>
              </w:rPr>
            </w:pPr>
          </w:p>
        </w:tc>
        <w:tc>
          <w:tcPr>
            <w:tcW w:w="7758" w:type="dxa"/>
            <w:noWrap w:val="0"/>
            <w:vAlign w:val="top"/>
          </w:tcPr>
          <w:p>
            <w:pPr>
              <w:spacing w:line="360" w:lineRule="auto"/>
              <w:rPr>
                <w:rFonts w:hint="eastAsia" w:ascii="宋体" w:hAnsi="宋体" w:eastAsia="宋体" w:cs="宋体"/>
                <w:bCs/>
                <w:color w:val="000000"/>
                <w:szCs w:val="21"/>
                <w:highlight w:val="none"/>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bCs/>
                <w:color w:val="000000"/>
                <w:szCs w:val="21"/>
                <w:highlight w:val="none"/>
              </w:rPr>
              <w:t>管理坚持原则、慎密严谨；服务以人为本、主动热情；处理问题高度谨慎、有理有节。</w:t>
            </w:r>
          </w:p>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bCs/>
                <w:color w:val="000000"/>
                <w:szCs w:val="21"/>
                <w:highlight w:val="none"/>
              </w:rPr>
              <w:t>上岗人员应仪表整洁，业务操作规范，礼貌待人，保持岗位卫生整洁</w:t>
            </w:r>
            <w:r>
              <w:rPr>
                <w:rFonts w:hint="eastAsia" w:ascii="宋体" w:hAnsi="宋体" w:eastAsia="宋体" w:cs="宋体"/>
                <w:bCs/>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center"/>
          </w:tcPr>
          <w:p>
            <w:pPr>
              <w:jc w:val="center"/>
              <w:rPr>
                <w:rFonts w:hint="eastAsia" w:ascii="宋体" w:hAnsi="宋体" w:eastAsia="宋体" w:cs="宋体"/>
                <w:sz w:val="21"/>
                <w:szCs w:val="21"/>
              </w:rPr>
            </w:pPr>
          </w:p>
        </w:tc>
        <w:tc>
          <w:tcPr>
            <w:tcW w:w="1766" w:type="dxa"/>
            <w:vMerge w:val="continue"/>
            <w:noWrap w:val="0"/>
            <w:vAlign w:val="center"/>
          </w:tcPr>
          <w:p>
            <w:pPr>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bCs/>
                <w:color w:val="000000"/>
                <w:szCs w:val="21"/>
                <w:highlight w:val="none"/>
              </w:rPr>
              <w:t>上岗人员应依法办事，文明管理</w:t>
            </w:r>
            <w:r>
              <w:rPr>
                <w:rFonts w:hint="eastAsia" w:ascii="宋体" w:hAnsi="宋体" w:eastAsia="宋体" w:cs="宋体"/>
                <w:bCs/>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center"/>
          </w:tcPr>
          <w:p>
            <w:pPr>
              <w:jc w:val="center"/>
              <w:rPr>
                <w:rFonts w:hint="eastAsia" w:ascii="宋体" w:hAnsi="宋体" w:eastAsia="宋体" w:cs="宋体"/>
                <w:sz w:val="21"/>
                <w:szCs w:val="21"/>
                <w:vertAlign w:val="baseline"/>
                <w:lang w:val="en-US" w:eastAsia="zh-CN"/>
              </w:rPr>
            </w:pPr>
          </w:p>
        </w:tc>
        <w:tc>
          <w:tcPr>
            <w:tcW w:w="1766" w:type="dxa"/>
            <w:vMerge w:val="continue"/>
            <w:noWrap w:val="0"/>
            <w:vAlign w:val="center"/>
          </w:tcPr>
          <w:p>
            <w:pPr>
              <w:jc w:val="cente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lang w:val="en-US" w:eastAsia="zh-CN"/>
              </w:rPr>
              <w:t>8</w:t>
            </w: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rPr>
              <w:t>能针对不同的服务对象，从实际出发，灵活妥善处理不同问题。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restart"/>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5</w:t>
            </w:r>
          </w:p>
        </w:tc>
        <w:tc>
          <w:tcPr>
            <w:tcW w:w="1766" w:type="dxa"/>
            <w:vMerge w:val="restart"/>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应急保障预案</w:t>
            </w: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center"/>
          </w:tcPr>
          <w:p>
            <w:pPr>
              <w:jc w:val="center"/>
              <w:rPr>
                <w:rFonts w:hint="eastAsia" w:ascii="宋体" w:hAnsi="宋体" w:eastAsia="宋体" w:cs="宋体"/>
                <w:sz w:val="21"/>
                <w:szCs w:val="21"/>
              </w:rPr>
            </w:pPr>
          </w:p>
        </w:tc>
        <w:tc>
          <w:tcPr>
            <w:tcW w:w="1766" w:type="dxa"/>
            <w:vMerge w:val="continue"/>
            <w:noWrap w:val="0"/>
            <w:vAlign w:val="center"/>
          </w:tcPr>
          <w:p>
            <w:pPr>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（2）应急预案的建立。根据办公楼隐患排查的结果和实际情况，制定专项预案，包括但不限于：火情火警紧急处理应急预案、紧急疏散应急预案、 停水停电应急预案、有限空间救援应急预案、高空作业救援应急预案、恶劣天气应对应急预案等。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center"/>
          </w:tcPr>
          <w:p>
            <w:pPr>
              <w:jc w:val="center"/>
              <w:rPr>
                <w:rFonts w:hint="eastAsia" w:ascii="宋体" w:hAnsi="宋体" w:eastAsia="宋体" w:cs="宋体"/>
                <w:sz w:val="21"/>
                <w:szCs w:val="21"/>
              </w:rPr>
            </w:pPr>
          </w:p>
        </w:tc>
        <w:tc>
          <w:tcPr>
            <w:tcW w:w="1766" w:type="dxa"/>
            <w:vMerge w:val="continue"/>
            <w:noWrap w:val="0"/>
            <w:vAlign w:val="center"/>
          </w:tcPr>
          <w:p>
            <w:pPr>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（3）应急预案的培训和演练。应急预案定期培训和演练，组织相关岗位每半年至少开展一次专项应急预案演练；留存培训及演练记录和影像资料，并对预案进行评价，确保与实际情况相结合。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continue"/>
            <w:noWrap w:val="0"/>
            <w:vAlign w:val="center"/>
          </w:tcPr>
          <w:p>
            <w:pPr>
              <w:jc w:val="center"/>
              <w:rPr>
                <w:rFonts w:hint="eastAsia" w:ascii="宋体" w:hAnsi="宋体" w:eastAsia="宋体" w:cs="宋体"/>
                <w:sz w:val="21"/>
                <w:szCs w:val="21"/>
                <w:lang w:eastAsia="zh-CN"/>
              </w:rPr>
            </w:pPr>
          </w:p>
        </w:tc>
        <w:tc>
          <w:tcPr>
            <w:tcW w:w="1766" w:type="dxa"/>
            <w:vMerge w:val="continue"/>
            <w:noWrap w:val="0"/>
            <w:vAlign w:val="center"/>
          </w:tcPr>
          <w:p>
            <w:pPr>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（4）应急物资的管理。根据专项预案中的应对需要、必要的应急物资，建立清单或台账，并由专人定期对应急物资进行检查，如有应急物资不足，及时通知采购人购置齐全，确保能够随时正常使用。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continue"/>
            <w:noWrap w:val="0"/>
            <w:vAlign w:val="center"/>
          </w:tcPr>
          <w:p>
            <w:pPr>
              <w:jc w:val="center"/>
              <w:rPr>
                <w:rFonts w:hint="eastAsia" w:ascii="宋体" w:hAnsi="宋体" w:eastAsia="宋体" w:cs="宋体"/>
                <w:sz w:val="21"/>
                <w:szCs w:val="21"/>
              </w:rPr>
            </w:pPr>
          </w:p>
        </w:tc>
        <w:tc>
          <w:tcPr>
            <w:tcW w:w="1766" w:type="dxa"/>
            <w:vMerge w:val="continue"/>
            <w:noWrap w:val="0"/>
            <w:vAlign w:val="center"/>
          </w:tcPr>
          <w:p>
            <w:pPr>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r>
              <w:rPr>
                <w:rFonts w:hint="eastAsia" w:ascii="宋体" w:hAnsi="宋体" w:eastAsia="宋体" w:cs="宋体"/>
                <w:bCs/>
                <w:color w:val="000000"/>
                <w:szCs w:val="21"/>
                <w:highlight w:val="none"/>
              </w:rPr>
              <w:t>建立健全内部管理制度、操作规程、应急处置方案预案，设立公共场所秩序维护主管，全面负责日常程序的规范化管理。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766"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服务方案及工 作制度</w:t>
            </w: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cs="宋体"/>
                <w:szCs w:val="21"/>
              </w:rPr>
              <w:t>制定工作制度，主要包括：</w:t>
            </w:r>
            <w:r>
              <w:rPr>
                <w:rFonts w:hint="eastAsia" w:ascii="宋体" w:hAnsi="宋体" w:cs="宋体"/>
                <w:bCs/>
                <w:color w:val="000000"/>
                <w:szCs w:val="21"/>
              </w:rPr>
              <w:t>着装、执勤、交接班、登记、巡逻、考勤制度、仪容仪表及个人卫生、通信联络、月考核、奖惩、操作规程等制度</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continue"/>
            <w:noWrap w:val="0"/>
            <w:vAlign w:val="center"/>
          </w:tcPr>
          <w:p>
            <w:pPr>
              <w:jc w:val="center"/>
              <w:rPr>
                <w:rFonts w:hint="eastAsia" w:ascii="宋体" w:hAnsi="宋体" w:eastAsia="宋体" w:cs="宋体"/>
                <w:sz w:val="21"/>
                <w:szCs w:val="21"/>
              </w:rPr>
            </w:pPr>
          </w:p>
        </w:tc>
        <w:tc>
          <w:tcPr>
            <w:tcW w:w="1766" w:type="dxa"/>
            <w:vMerge w:val="continue"/>
            <w:noWrap w:val="0"/>
            <w:vAlign w:val="center"/>
          </w:tcPr>
          <w:p>
            <w:pPr>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Cs w:val="21"/>
              </w:rPr>
              <w:t>制定项目实施方案，主要包括：</w:t>
            </w:r>
            <w:r>
              <w:rPr>
                <w:rFonts w:hint="eastAsia" w:ascii="宋体" w:hAnsi="宋体" w:cs="宋体"/>
                <w:bCs/>
                <w:color w:val="000000"/>
                <w:szCs w:val="21"/>
              </w:rPr>
              <w:t>管理规章制度、操作规程、应急处置方案预案、结合项目的具体情况和环境特点提供行之有效的维持服务单位区域公共安全及周边秩序的方案、从业人员培训方案。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restar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7</w:t>
            </w:r>
          </w:p>
        </w:tc>
        <w:tc>
          <w:tcPr>
            <w:tcW w:w="1766" w:type="dxa"/>
            <w:vMerge w:val="restart"/>
            <w:noWrap w:val="0"/>
            <w:vAlign w:val="center"/>
          </w:tcPr>
          <w:p>
            <w:pPr>
              <w:numPr>
                <w:ilvl w:val="0"/>
                <w:numId w:val="0"/>
              </w:num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其它服务内容</w:t>
            </w: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bCs/>
                <w:color w:val="000000"/>
                <w:szCs w:val="21"/>
                <w:highlight w:val="none"/>
              </w:rPr>
              <w:t>（1）会议室的清洁卫生、设备管理和会议室调度</w:t>
            </w:r>
            <w:r>
              <w:rPr>
                <w:rFonts w:hint="eastAsia" w:ascii="宋体" w:hAnsi="宋体" w:eastAsia="宋体" w:cs="宋体"/>
                <w:bCs/>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center"/>
          </w:tcPr>
          <w:p>
            <w:pPr>
              <w:jc w:val="center"/>
              <w:rPr>
                <w:rFonts w:hint="eastAsia" w:ascii="宋体" w:hAnsi="宋体" w:eastAsia="宋体" w:cs="宋体"/>
                <w:sz w:val="21"/>
                <w:szCs w:val="21"/>
              </w:rPr>
            </w:pPr>
          </w:p>
        </w:tc>
        <w:tc>
          <w:tcPr>
            <w:tcW w:w="1766" w:type="dxa"/>
            <w:vMerge w:val="continue"/>
            <w:noWrap w:val="0"/>
            <w:vAlign w:val="center"/>
          </w:tcPr>
          <w:p>
            <w:pPr>
              <w:numPr>
                <w:ilvl w:val="0"/>
                <w:numId w:val="0"/>
              </w:numPr>
              <w:ind w:left="0" w:leftChars="0" w:firstLine="0" w:firstLineChars="0"/>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bCs/>
                <w:color w:val="000000"/>
                <w:szCs w:val="21"/>
                <w:highlight w:val="none"/>
              </w:rPr>
              <w:t>（2）各种会议的会场横幅和彩旗悬挂、撤离、桌椅借还等</w:t>
            </w:r>
            <w:r>
              <w:rPr>
                <w:rFonts w:hint="eastAsia" w:ascii="宋体" w:hAnsi="宋体" w:eastAsia="宋体" w:cs="宋体"/>
                <w:bCs/>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center"/>
          </w:tcPr>
          <w:p>
            <w:pPr>
              <w:jc w:val="center"/>
              <w:rPr>
                <w:rFonts w:hint="eastAsia" w:ascii="宋体" w:hAnsi="宋体" w:eastAsia="宋体" w:cs="宋体"/>
                <w:sz w:val="21"/>
                <w:szCs w:val="21"/>
              </w:rPr>
            </w:pPr>
          </w:p>
        </w:tc>
        <w:tc>
          <w:tcPr>
            <w:tcW w:w="1766" w:type="dxa"/>
            <w:vMerge w:val="continue"/>
            <w:noWrap w:val="0"/>
            <w:vAlign w:val="center"/>
          </w:tcPr>
          <w:p>
            <w:pPr>
              <w:jc w:val="center"/>
              <w:rPr>
                <w:rFonts w:hint="eastAsia" w:ascii="宋体" w:hAnsi="宋体" w:eastAsia="宋体" w:cs="宋体"/>
                <w:sz w:val="21"/>
                <w:szCs w:val="21"/>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bCs/>
                <w:color w:val="000000"/>
                <w:szCs w:val="21"/>
                <w:highlight w:val="none"/>
              </w:rPr>
              <w:t>（3）大型集会的安全防护、迎接检查的突击性卫生工作</w:t>
            </w:r>
            <w:r>
              <w:rPr>
                <w:rFonts w:hint="eastAsia" w:ascii="宋体" w:hAnsi="宋体" w:eastAsia="宋体" w:cs="宋体"/>
                <w:bCs/>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center"/>
          </w:tcPr>
          <w:p>
            <w:pPr>
              <w:jc w:val="center"/>
              <w:rPr>
                <w:rFonts w:hint="eastAsia" w:ascii="宋体" w:hAnsi="宋体" w:eastAsia="宋体" w:cs="宋体"/>
                <w:sz w:val="21"/>
                <w:szCs w:val="21"/>
                <w:lang w:val="en-US" w:eastAsia="zh-CN"/>
              </w:rPr>
            </w:pPr>
          </w:p>
        </w:tc>
        <w:tc>
          <w:tcPr>
            <w:tcW w:w="1766" w:type="dxa"/>
            <w:vMerge w:val="continue"/>
            <w:noWrap w:val="0"/>
            <w:vAlign w:val="center"/>
          </w:tcPr>
          <w:p>
            <w:pPr>
              <w:jc w:val="cente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bCs/>
                <w:color w:val="000000"/>
                <w:szCs w:val="21"/>
                <w:highlight w:val="none"/>
              </w:rPr>
              <w:t>（4）每月向采购人汇报不少于一次管理的实施情况</w:t>
            </w:r>
            <w:r>
              <w:rPr>
                <w:rFonts w:hint="eastAsia" w:ascii="宋体" w:hAnsi="宋体" w:eastAsia="宋体" w:cs="宋体"/>
                <w:bCs/>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center"/>
          </w:tcPr>
          <w:p>
            <w:pPr>
              <w:jc w:val="center"/>
              <w:rPr>
                <w:rFonts w:hint="eastAsia" w:ascii="宋体" w:hAnsi="宋体" w:eastAsia="宋体" w:cs="宋体"/>
                <w:sz w:val="21"/>
                <w:szCs w:val="21"/>
              </w:rPr>
            </w:pPr>
          </w:p>
        </w:tc>
        <w:tc>
          <w:tcPr>
            <w:tcW w:w="1766" w:type="dxa"/>
            <w:vMerge w:val="continue"/>
            <w:noWrap w:val="0"/>
            <w:vAlign w:val="center"/>
          </w:tcPr>
          <w:p>
            <w:pPr>
              <w:jc w:val="cente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bCs/>
                <w:color w:val="000000"/>
                <w:szCs w:val="21"/>
                <w:highlight w:val="none"/>
              </w:rPr>
              <w:t>（5）不得擅自占用和改变公共设施的使用功能，如需完善或扩建，须与采购人协商，经采购人同意后方可实施</w:t>
            </w:r>
            <w:r>
              <w:rPr>
                <w:rFonts w:hint="eastAsia" w:ascii="宋体" w:hAnsi="宋体" w:eastAsia="宋体" w:cs="宋体"/>
                <w:bCs/>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restart"/>
            <w:noWrap w:val="0"/>
            <w:vAlign w:val="center"/>
          </w:tcPr>
          <w:p>
            <w:pPr>
              <w:jc w:val="center"/>
              <w:rPr>
                <w:rFonts w:hint="eastAsia" w:ascii="宋体" w:hAnsi="宋体" w:eastAsia="宋体" w:cs="宋体"/>
                <w:sz w:val="21"/>
                <w:szCs w:val="21"/>
                <w:vertAlign w:val="baseline"/>
                <w:lang w:val="en-US" w:eastAsia="zh-CN"/>
              </w:rPr>
            </w:pPr>
            <w:r>
              <w:rPr>
                <w:rFonts w:hint="eastAsia"/>
                <w:lang w:val="en-US" w:eastAsia="zh-CN"/>
              </w:rPr>
              <w:t>8</w:t>
            </w:r>
          </w:p>
        </w:tc>
        <w:tc>
          <w:tcPr>
            <w:tcW w:w="1766" w:type="dxa"/>
            <w:vMerge w:val="restart"/>
            <w:noWrap w:val="0"/>
            <w:vAlign w:val="center"/>
          </w:tcPr>
          <w:p>
            <w:pPr>
              <w:jc w:val="center"/>
              <w:rPr>
                <w:rFonts w:hint="eastAsia" w:ascii="宋体" w:hAnsi="宋体" w:eastAsia="宋体" w:cs="宋体"/>
                <w:sz w:val="21"/>
                <w:szCs w:val="21"/>
                <w:vertAlign w:val="baseline"/>
                <w:lang w:val="en-US" w:eastAsia="zh-CN"/>
              </w:rPr>
            </w:pPr>
            <w:r>
              <w:rPr>
                <w:rFonts w:hint="eastAsia"/>
                <w:lang w:eastAsia="zh-CN"/>
              </w:rPr>
              <w:t>考核办法</w:t>
            </w: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lang w:val="en-US" w:eastAsia="zh-CN"/>
              </w:rPr>
              <w:t>1</w:t>
            </w: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rPr>
              <w:t>采购人有权对</w:t>
            </w:r>
            <w:r>
              <w:rPr>
                <w:rFonts w:hint="eastAsia" w:ascii="宋体" w:hAnsi="宋体" w:eastAsia="宋体" w:cs="宋体"/>
                <w:bCs/>
                <w:color w:val="000000"/>
                <w:szCs w:val="21"/>
                <w:highlight w:val="none"/>
                <w:lang w:eastAsia="zh-CN"/>
              </w:rPr>
              <w:t>成交供应商</w:t>
            </w:r>
            <w:r>
              <w:rPr>
                <w:rFonts w:hint="eastAsia" w:ascii="宋体" w:hAnsi="宋体" w:eastAsia="宋体" w:cs="宋体"/>
                <w:bCs/>
                <w:color w:val="000000"/>
                <w:szCs w:val="21"/>
                <w:highlight w:val="none"/>
              </w:rPr>
              <w:t>的服务工作进行监督管理、检查考核，有权要求</w:t>
            </w:r>
            <w:r>
              <w:rPr>
                <w:rFonts w:hint="eastAsia" w:ascii="宋体" w:hAnsi="宋体" w:eastAsia="宋体" w:cs="宋体"/>
                <w:bCs/>
                <w:color w:val="000000"/>
                <w:szCs w:val="21"/>
                <w:highlight w:val="none"/>
                <w:lang w:eastAsia="zh-CN"/>
              </w:rPr>
              <w:t>成交供应商</w:t>
            </w:r>
            <w:r>
              <w:rPr>
                <w:rFonts w:hint="eastAsia" w:ascii="宋体" w:hAnsi="宋体" w:eastAsia="宋体" w:cs="宋体"/>
                <w:bCs/>
                <w:color w:val="000000"/>
                <w:szCs w:val="21"/>
                <w:highlight w:val="none"/>
              </w:rPr>
              <w:t>并对不能全面正确履行各岗位职责的项目实施人员进行批评教育或更换。采购人对</w:t>
            </w:r>
            <w:r>
              <w:rPr>
                <w:rFonts w:hint="eastAsia" w:ascii="宋体" w:hAnsi="宋体" w:eastAsia="宋体" w:cs="宋体"/>
                <w:bCs/>
                <w:color w:val="000000"/>
                <w:szCs w:val="21"/>
                <w:highlight w:val="none"/>
                <w:lang w:eastAsia="zh-CN"/>
              </w:rPr>
              <w:t>成交供应商</w:t>
            </w:r>
            <w:r>
              <w:rPr>
                <w:rFonts w:hint="eastAsia" w:ascii="宋体" w:hAnsi="宋体" w:eastAsia="宋体" w:cs="宋体"/>
                <w:bCs/>
                <w:color w:val="000000"/>
                <w:szCs w:val="21"/>
                <w:highlight w:val="none"/>
              </w:rPr>
              <w:t>提出的上述要求未能及时办理的，采购人有权从</w:t>
            </w:r>
            <w:r>
              <w:rPr>
                <w:rFonts w:hint="eastAsia" w:ascii="宋体" w:hAnsi="宋体" w:eastAsia="宋体" w:cs="宋体"/>
                <w:bCs/>
                <w:color w:val="000000"/>
                <w:szCs w:val="21"/>
                <w:highlight w:val="none"/>
                <w:lang w:eastAsia="zh-CN"/>
              </w:rPr>
              <w:t>成交供应商</w:t>
            </w:r>
            <w:r>
              <w:rPr>
                <w:rFonts w:hint="eastAsia" w:ascii="宋体" w:hAnsi="宋体" w:eastAsia="宋体" w:cs="宋体"/>
                <w:bCs/>
                <w:color w:val="000000"/>
                <w:szCs w:val="21"/>
                <w:highlight w:val="none"/>
              </w:rPr>
              <w:t>当月公共场所秩序维护及环境管理服务费总额中扣除2%</w:t>
            </w:r>
            <w:r>
              <w:rPr>
                <w:rFonts w:hint="eastAsia" w:ascii="宋体" w:hAnsi="宋体" w:eastAsia="宋体" w:cs="宋体"/>
                <w:bCs/>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pPr>
              <w:rPr>
                <w:rFonts w:hint="eastAsia" w:ascii="宋体" w:hAnsi="宋体" w:eastAsia="宋体" w:cs="宋体"/>
                <w:sz w:val="21"/>
                <w:szCs w:val="21"/>
                <w:vertAlign w:val="baseline"/>
                <w:lang w:val="en-US" w:eastAsia="zh-CN"/>
              </w:rPr>
            </w:pPr>
          </w:p>
        </w:tc>
        <w:tc>
          <w:tcPr>
            <w:tcW w:w="1766" w:type="dxa"/>
            <w:vMerge w:val="continue"/>
            <w:noWrap w:val="0"/>
            <w:vAlign w:val="top"/>
          </w:tcPr>
          <w:p>
            <w:pP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lang w:val="en-US" w:eastAsia="zh-CN"/>
              </w:rPr>
              <w:t>2</w:t>
            </w: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rPr>
              <w:t>采购人有权要求</w:t>
            </w:r>
            <w:r>
              <w:rPr>
                <w:rFonts w:hint="eastAsia" w:ascii="宋体" w:hAnsi="宋体" w:eastAsia="宋体" w:cs="宋体"/>
                <w:bCs/>
                <w:color w:val="000000"/>
                <w:szCs w:val="21"/>
                <w:highlight w:val="none"/>
                <w:lang w:eastAsia="zh-CN"/>
              </w:rPr>
              <w:t>成交供应商</w:t>
            </w:r>
            <w:r>
              <w:rPr>
                <w:rFonts w:hint="eastAsia" w:ascii="宋体" w:hAnsi="宋体" w:eastAsia="宋体" w:cs="宋体"/>
                <w:bCs/>
                <w:color w:val="000000"/>
                <w:szCs w:val="21"/>
                <w:highlight w:val="none"/>
              </w:rPr>
              <w:t>及时更换不服从管理、违纪或其他原因不适合继续在采购人工作的从业人员。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pPr>
              <w:rPr>
                <w:rFonts w:hint="eastAsia" w:ascii="宋体" w:hAnsi="宋体" w:eastAsia="宋体" w:cs="宋体"/>
                <w:sz w:val="21"/>
                <w:szCs w:val="21"/>
              </w:rPr>
            </w:pPr>
          </w:p>
        </w:tc>
        <w:tc>
          <w:tcPr>
            <w:tcW w:w="1766" w:type="dxa"/>
            <w:vMerge w:val="continue"/>
            <w:noWrap w:val="0"/>
            <w:vAlign w:val="top"/>
          </w:tcPr>
          <w:p>
            <w:pPr>
              <w:rPr>
                <w:rFonts w:hint="eastAsia" w:ascii="宋体" w:hAnsi="宋体" w:eastAsia="宋体" w:cs="宋体"/>
                <w:sz w:val="21"/>
                <w:szCs w:val="21"/>
                <w:vertAlign w:val="baseline"/>
                <w:lang w:val="en-US" w:eastAsia="zh-CN"/>
              </w:rPr>
            </w:pPr>
          </w:p>
        </w:tc>
        <w:tc>
          <w:tcPr>
            <w:tcW w:w="7758" w:type="dxa"/>
            <w:noWrap w:val="0"/>
            <w:vAlign w:val="top"/>
          </w:tcPr>
          <w:p>
            <w:pPr>
              <w:numPr>
                <w:ilvl w:val="0"/>
                <w:numId w:val="0"/>
              </w:numPr>
              <w:spacing w:line="360" w:lineRule="auto"/>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lang w:val="en-US" w:eastAsia="zh-CN"/>
              </w:rPr>
              <w:t>3</w:t>
            </w: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rPr>
              <w:t>采购人有支持和配合</w:t>
            </w:r>
            <w:r>
              <w:rPr>
                <w:rFonts w:hint="eastAsia" w:ascii="宋体" w:hAnsi="宋体" w:eastAsia="宋体" w:cs="宋体"/>
                <w:bCs/>
                <w:color w:val="000000"/>
                <w:szCs w:val="21"/>
                <w:highlight w:val="none"/>
                <w:lang w:eastAsia="zh-CN"/>
              </w:rPr>
              <w:t>成交供应商</w:t>
            </w:r>
            <w:r>
              <w:rPr>
                <w:rFonts w:hint="eastAsia" w:ascii="宋体" w:hAnsi="宋体" w:eastAsia="宋体" w:cs="宋体"/>
                <w:bCs/>
                <w:color w:val="000000"/>
                <w:szCs w:val="21"/>
                <w:highlight w:val="none"/>
              </w:rPr>
              <w:t>履行职责的义务。</w:t>
            </w:r>
          </w:p>
        </w:tc>
      </w:tr>
    </w:tbl>
    <w:p>
      <w:pPr>
        <w:numPr>
          <w:ilvl w:val="0"/>
          <w:numId w:val="0"/>
        </w:numPr>
        <w:spacing w:line="360" w:lineRule="auto"/>
        <w:outlineLvl w:val="9"/>
        <w:rPr>
          <w:rFonts w:hint="eastAsia" w:ascii="宋体" w:hAnsi="宋体" w:eastAsia="宋体" w:cs="宋体"/>
          <w:b/>
          <w:bCs/>
          <w:lang w:val="en-US" w:eastAsia="zh-CN"/>
        </w:rPr>
      </w:pPr>
    </w:p>
    <w:p>
      <w:pPr>
        <w:numPr>
          <w:ilvl w:val="0"/>
          <w:numId w:val="0"/>
        </w:numPr>
        <w:spacing w:line="360" w:lineRule="auto"/>
        <w:outlineLvl w:val="2"/>
        <w:rPr>
          <w:rFonts w:hint="eastAsia" w:ascii="宋体" w:hAnsi="宋体" w:eastAsia="宋体" w:cs="宋体"/>
          <w:b/>
          <w:bCs/>
          <w:lang w:val="en-US" w:eastAsia="zh-CN"/>
        </w:rPr>
      </w:pPr>
      <w:r>
        <w:rPr>
          <w:rFonts w:hint="eastAsia" w:ascii="宋体" w:hAnsi="宋体" w:eastAsia="宋体" w:cs="宋体"/>
          <w:b/>
          <w:bCs/>
          <w:lang w:val="en-US" w:eastAsia="zh-CN"/>
        </w:rPr>
        <w:t>3.2房屋维护服务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742"/>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1742"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服务内容</w:t>
            </w:r>
          </w:p>
        </w:tc>
        <w:tc>
          <w:tcPr>
            <w:tcW w:w="7755"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742"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主体结构、围 护结构、部品 部件</w:t>
            </w: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（1）每季度至少开展 1 次房屋结构安全巡视， 发现外观有变形、开裂等现象，及时建议采购人 申请房屋安全鉴定，并采取必要的避险和防护措施。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4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（2）每季度至少开展 1 次外墙贴饰面、幕墙玻 璃、雨篷、散水、空调室外机支撑构件等检查， 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4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（3）每半月至少开展 1 次公用部位的门、窗、 楼梯、通风道、室内地面、墙面、吊顶和室外屋面等巡查，发现破损，及时向采购人报告，按采购人要求出具维修方案，待采购人同意后按维修方案实施维修。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4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（4）每年强降雨天气前后、雨雪季节检查屋面 防水和雨落管等，发现破损，及时向采购人报告， 按采购人要求出具维修方案，待采购人同意后按 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4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（5）办公楼外观完好，建筑装饰面无脱落、无 破损、无污渍，玻璃幕墙清洁明亮、无破损。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4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（6）通道、楼梯、门窗等设施的完好和正常使用。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742"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其他设施</w:t>
            </w: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（1）每半月至少开展 1 次大门、围墙、道路、 场地、管井、沟渠等巡查，每半月至少检查 1 次 雨污水管井、化粪池等巡查，发现破损，及时向 采购人报告，按采购人要求出具维修方案，待采 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continue"/>
            <w:noWrap w:val="0"/>
            <w:vAlign w:val="center"/>
          </w:tcPr>
          <w:p>
            <w:pPr>
              <w:spacing w:line="360" w:lineRule="auto"/>
              <w:jc w:val="center"/>
              <w:rPr>
                <w:rFonts w:hint="eastAsia" w:ascii="宋体" w:hAnsi="宋体" w:eastAsia="宋体" w:cs="宋体"/>
              </w:rPr>
            </w:pPr>
          </w:p>
        </w:tc>
        <w:tc>
          <w:tcPr>
            <w:tcW w:w="1742" w:type="dxa"/>
            <w:vMerge w:val="continue"/>
            <w:noWrap w:val="0"/>
            <w:vAlign w:val="center"/>
          </w:tcPr>
          <w:p>
            <w:pPr>
              <w:spacing w:line="360" w:lineRule="auto"/>
              <w:jc w:val="center"/>
              <w:rPr>
                <w:rFonts w:hint="eastAsia" w:ascii="宋体" w:hAnsi="宋体" w:eastAsia="宋体" w:cs="宋体"/>
              </w:rPr>
            </w:pP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（2）每年至少开展 1 次防雷装置检测，发现失 效，及时向采购人报告，按采购人要求出具维修 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continue"/>
            <w:noWrap w:val="0"/>
            <w:vAlign w:val="center"/>
          </w:tcPr>
          <w:p>
            <w:pPr>
              <w:spacing w:line="360" w:lineRule="auto"/>
              <w:jc w:val="center"/>
              <w:rPr>
                <w:rFonts w:hint="eastAsia" w:ascii="宋体" w:hAnsi="宋体" w:eastAsia="宋体" w:cs="宋体"/>
                <w:sz w:val="24"/>
                <w:szCs w:val="24"/>
              </w:rPr>
            </w:pPr>
          </w:p>
        </w:tc>
        <w:tc>
          <w:tcPr>
            <w:tcW w:w="1742" w:type="dxa"/>
            <w:vMerge w:val="continue"/>
            <w:noWrap w:val="0"/>
            <w:vAlign w:val="center"/>
          </w:tcPr>
          <w:p>
            <w:pPr>
              <w:spacing w:line="360" w:lineRule="auto"/>
              <w:jc w:val="center"/>
              <w:rPr>
                <w:rFonts w:hint="eastAsia" w:ascii="宋体" w:hAnsi="宋体" w:eastAsia="宋体" w:cs="宋体"/>
                <w:sz w:val="24"/>
                <w:szCs w:val="24"/>
              </w:rPr>
            </w:pP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（3）路面状态良好，地漏通畅不堵塞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continue"/>
            <w:noWrap w:val="0"/>
            <w:vAlign w:val="center"/>
          </w:tcPr>
          <w:p>
            <w:pPr>
              <w:spacing w:line="360" w:lineRule="auto"/>
              <w:jc w:val="center"/>
              <w:rPr>
                <w:rFonts w:hint="eastAsia" w:ascii="宋体" w:hAnsi="宋体" w:eastAsia="宋体" w:cs="宋体"/>
                <w:sz w:val="24"/>
                <w:szCs w:val="24"/>
              </w:rPr>
            </w:pPr>
          </w:p>
        </w:tc>
        <w:tc>
          <w:tcPr>
            <w:tcW w:w="1742" w:type="dxa"/>
            <w:vMerge w:val="continue"/>
            <w:noWrap w:val="0"/>
            <w:vAlign w:val="center"/>
          </w:tcPr>
          <w:p>
            <w:pPr>
              <w:spacing w:line="360" w:lineRule="auto"/>
              <w:jc w:val="center"/>
              <w:rPr>
                <w:rFonts w:hint="eastAsia" w:ascii="宋体" w:hAnsi="宋体" w:eastAsia="宋体" w:cs="宋体"/>
                <w:sz w:val="24"/>
                <w:szCs w:val="24"/>
              </w:rPr>
            </w:pP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（4）接到采购人家具报修服务后，及时通知家 具供货商对保修期内的家具进行维修，及时对保 修期外的家具进行维修。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82"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742"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装饰装修监督 管理</w:t>
            </w: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（1）装饰装修前，中标方应当与采购人或采购 人委托的装修企业签订装饰装修管理服务协议， 告知装饰装修须知，并对装饰装修过程进行管理 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8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4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（2）根据协议内容，做好装修垃圾临时堆放、 清运等。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8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42"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（3）受采购人委托对房屋内装修进行严格的监 督管理，发现问题及时上报，确保不因装修而危 及大楼结构安全、人身安全和影响正常办公秩序。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82"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742"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标识标牌</w:t>
            </w: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（1）标识标牌符合《公共信息图形符号 第 1 部分：通用符号》（GB/T 10001.1）的相关要求， 消防与安全标识符合《安全标志及其使用导则》 （GB2894）、《消防安全标志 第 1 部分：标志》 （GB13495.1）的相关要求。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82"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42"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5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（2）每月至少检查 1 次标识标牌和消防与安全 标识。应当规范清晰、路线指引正确、安装稳固。</w:t>
            </w:r>
          </w:p>
        </w:tc>
      </w:tr>
    </w:tbl>
    <w:p>
      <w:pPr>
        <w:numPr>
          <w:ilvl w:val="0"/>
          <w:numId w:val="0"/>
        </w:numPr>
        <w:spacing w:line="360" w:lineRule="auto"/>
        <w:outlineLvl w:val="9"/>
        <w:rPr>
          <w:rFonts w:hint="eastAsia" w:ascii="宋体" w:hAnsi="宋体" w:eastAsia="宋体" w:cs="宋体"/>
          <w:b/>
          <w:bCs/>
          <w:vertAlign w:val="baseline"/>
          <w:lang w:val="en-US" w:eastAsia="zh-CN"/>
        </w:rPr>
      </w:pPr>
    </w:p>
    <w:p>
      <w:pPr>
        <w:numPr>
          <w:ilvl w:val="0"/>
          <w:numId w:val="0"/>
        </w:numPr>
        <w:spacing w:line="360" w:lineRule="auto"/>
        <w:outlineLvl w:val="2"/>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3.3公用设施设备维护服务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77"/>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1777"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服务内容</w:t>
            </w:r>
          </w:p>
        </w:tc>
        <w:tc>
          <w:tcPr>
            <w:tcW w:w="7747"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基本要求</w:t>
            </w: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（1）建立公用设施设备维护服务方案， 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（2）重大节假日及恶劣天气前后，组织系统 巡检 1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（3）具备设施设备安全、稳定运行的环境和 场所（含有限空间），温湿度、照度、粉尘和烟 雾浓度等符合相关安全规范。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设备机房</w:t>
            </w: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（1）设备机房门口有机房类别及安全标志。 落实各类机房责任人、督查人，且设备系统图、 应急预案流程图、管理制度、特种作业人员资格 证书等上墙文件或证书符合各设备机房国家标 准规范要求，机房巡视及外来人员记录清晰完 整，标识统一。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（2）设备机房门窗、锁具应当完好、有效。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（3）每半月至少开展 1 次清洁，整洁有序、 无杂物、无积尘、无鼠、无虫害，温湿度符合设 备运行要求。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（4）按各设备机房国家标准规范规定维护/保 管消防、通风、应急照明，防止小动物进入。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（5）安全防护用具配置齐全，检验合格。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（6）应急设施设备用品应当齐全、完备，可 随时启用。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70"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电梯系统</w:t>
            </w: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（1）电梯运行平稳、无异响、平层、开关正 常。每周至少开展 2 次电梯的安全状况检查。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（2）电梯准用证、年检合格证等证件齐全。 相关证件、紧急救援电话和乘客注意事项置于轿 厢醒目位置。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（3）每年至少开展 1 次对电梯的全面检测， 并出具检测报告，核发电梯使用标志。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（4）电梯维保应当符合《电梯维护保养规则》 （TSG T5002）的有关要求。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（5）电梯使用应当符合《特种设备使用管理 规则》（TSG 08）的有关要求。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（6）有电梯突发事件或事故的应急措施与救 援预案，每年至少开展演练 1 次。电梯出现故障， 物业服务人员 10 分钟内到场应急处理，维保专 业人员 30 分钟内到场应急处理。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（7）到场进行救助和排除故障。电梯紧急电 话保持畅通。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（8）电梯维修、保养时在现场设置提示标识 和防护围栏。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（9）根据采购人需求，合理设置电梯开启的 数量、时间。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空调系统</w:t>
            </w: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（1）空调通风系统运行管理符合《空调通风 系统运行管理标准》（GB50365）的相关要求。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（2）办公楼内温湿度、空气质量等符合《室 内空气质量标准》（GB/T18883）的相关要求。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（3）定期维保并做好记录，保证空调设施设 备处于良好状态。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（4）中央空调运行前对冷水机组、循环水泵、 冷却塔、风机等设施设备进行系统检查，运行期 间每日至少开展 1 次运行情况巡查。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（5）每半年至少开展 1 次管道、阀门检查并 除锈。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（6）每年至少开展 1 次系统整体性维修养护， 检验 1 次压力容器、仪表及冷却塔噪声。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（7）每年至少开展 1 次新风机、空气处理机 滤网等清洗消毒；每 2 年至少开展 1 次风管清洗 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（8）每年至少开展 1 次分体式空调主机（含 空调过滤网）和室外机清洁。每月至少开展 1 次挂机和室外支架稳固性巡查。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（9）制冷、供暖系统温度设定及启用时间符 合节能要求。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（10）发现故障或损坏应当在 30 分钟内 到场，紧急维修应当在 15 分钟内到达现场，在 12 小时内维修完毕。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70"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消防系统</w:t>
            </w: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（1）消防设施的维护管理符合《建筑消防设施的维护管理》（GB25201）的相关要求。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（2）消防设备检测符合《建筑消防设施检测技术规程》（GA503 或 XF503）的相关要求。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（3）消防设施平面图、火警疏散示意图、防火分区图等按幢设置在楼层醒目位置。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（4）消防系统各设施设备使用说明清晰，宜图文结合。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（5）自动喷水灭火系统启动正常。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（6）消火栓箱、防火门、灭火器、消防水泵、 红外线报警器、应急照明、安全疏散等系统运行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（7）消防监控系统运行良好，自动和手动报警设施启动正常。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（8）正压送风、防排烟系统运行正常。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供配电系统</w:t>
            </w: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（1）建立 24 小时运行值班监控制度。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（2）对供电范围内的电气设备定期巡视维护， 加强高低压配电柜、配电箱、控制柜及线路等重 点部位监测。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（3）公共使用的照明、指示灯具线路、开关、 接地等保持完好，确保用电安全。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（4）核心部位用电建立高可控用电保障和配 备应急发电设备，定期维护应急发电设备。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（5）发生非计划性停电的，应当在事件发生 后及时通知采购人，快速恢复或启用应急电源， 并做好应急事件上报及处理工作。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（6）复杂故障涉及供电部门维修处置的及时与供电部门联系，并向采购人报告。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弱电系统</w:t>
            </w: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（1）安全防范系统维护保养符合《安全防范 系统维护保养规范》（GA/T 1081）的相关要求。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70"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（2）保持监控系统、门禁系统、安全防范系 统等运行正常，有故障及时排除。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照明系统</w:t>
            </w: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（1）外观整洁无缺损、无松落。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77"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（2）更换的照明灯具应当选用节能环保产品， 亮度与更换前保持一致。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77"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47"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（3）每周至少开展 1 次公共区域照明设备巡 视。</w:t>
            </w:r>
          </w:p>
        </w:tc>
      </w:tr>
    </w:tbl>
    <w:p>
      <w:pPr>
        <w:numPr>
          <w:ilvl w:val="0"/>
          <w:numId w:val="0"/>
        </w:numPr>
        <w:spacing w:line="360" w:lineRule="auto"/>
        <w:rPr>
          <w:rFonts w:hint="eastAsia" w:ascii="宋体" w:hAnsi="宋体" w:eastAsia="宋体" w:cs="宋体"/>
          <w:vertAlign w:val="baseline"/>
          <w:lang w:val="en-US" w:eastAsia="zh-CN"/>
        </w:rPr>
      </w:pPr>
    </w:p>
    <w:p>
      <w:pPr>
        <w:numPr>
          <w:ilvl w:val="0"/>
          <w:numId w:val="0"/>
        </w:numPr>
        <w:spacing w:line="360" w:lineRule="auto"/>
        <w:outlineLvl w:val="2"/>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3.4保洁服务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77"/>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1777"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服务内容</w:t>
            </w:r>
          </w:p>
        </w:tc>
        <w:tc>
          <w:tcPr>
            <w:tcW w:w="7773"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基本要求</w:t>
            </w: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（1）建立保洁服务的工作制度及工作计划， 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（2）做好保洁服务工作记录，记录填写规范、 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（3）作业时采取安全防护措施，防止对作业 人员或他人造成伤害。相关耗材的环保、安全 性等应当符合国家相关规定要求。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（4）进入保密区域时，有采购人相关人员全 程在场。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办公用房区域 保洁</w:t>
            </w: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（1）大厅、楼内公共通道： ①公共通道保持干净，无异味、无杂物、无 积水，每日至少开展 1 次清洁作业。 ②门窗玻璃干净无尘，透光性好，每周至少 开展 1 次清洁作业。 ③指示牌干净，无污渍，每日至少开展 1 次 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（2）电器、消防等设施设备： ①配电箱、设备机房、会议室音视频设备、 消防栓及开关插座等保持表面干净，无尘无污迹，每月至少开展 1 次清洁作业。 ②监控摄像头、门禁系统等表面光亮，无尘、 无斑点，每月至少开展 1 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（3）楼梯及楼梯间保持干净、无异味、无杂 物、无积水，每日至少开展 1 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（4）开水间保持干净、无异味、无杂物、无 积水，每日至少开展 1 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（5）作业工具间： ①保持干净，无异味、无杂物、无积水，每日至少开展 1 次清洁作业。 ②作业工具摆放整齐有序，表面干净无渍， 每日消毒。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（6）公共卫生间： ①保持干净，无异味，垃圾无溢出，每日至少开展 1 次清洁作业。 ②及时补充厕纸等必要用品。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（7）电梯轿厢： ①保持干净，无污渍、无粘贴物、无异味， 每日至少开展 1 次清洁作业。 ②灯具、操作指示板明亮。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（8）平台、屋顶、天沟保持干净，有杂物及 时清扫，每月至少开展 1 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（9）地面、内墙做好养护工作，每季度开展 1 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（10）地毯干净、无油渍、无污渍、无褪色， 每月至少开展 1 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公共场地区域 保洁</w:t>
            </w: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（1）每日清扫道路地面、停车场等公共区域 2 次，保持干净、无杂物、无积水。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（2）强降雨、强风、冰雹等恶劣天气时及时清扫积水、 树叶，并采取安全防护措施。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（3）各种路标、宣传栏等保持干净，每月至 少开展 1 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（4）清洁室外照明设备，每月至少开展 1 次 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（5）绿地内无杂物、无改变用途和破坏、践 踏、占用现象，每天至少开展 1 次巡查。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（6）办公区外立面定期清洗、2 米以上外窗 玻璃擦拭，每年至少开展 1 次清洗。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垃圾处理</w:t>
            </w: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（1）在指定位置摆放分类垃圾桶，并在显著 处张贴垃圾分类标识。分类垃圾桶和垃圾分类 标识根据所在城市的要求设置。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（2）桶身表面干净无污渍，每日开展至少 1 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（3）垃圾中转房保持整洁，无明显异味，每 日至少开展 1 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（4）化粪池清掏，无明显异味，每半年至少 开展 1 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（5）每个工作日内要对楼层产生的垃圾，进行清理分类，并运至垃圾集中堆放点。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（6）垃圾装袋，日产日清。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（7）建立垃圾清运台账，交由规范的渠道回 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（8）做好垃圾分类管理的宣传工作，督促并 引导全员参与垃圾分类投放。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77"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（9）垃圾分类投放管理工作的执行标准，按 所在城市的要求执行。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777"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卫生消毒</w:t>
            </w: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（1）办公用房区域、公共场所区域和周围环 境预防性卫生消毒，消毒后及时通风，每周至 少开展 1 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77"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（2）采取综合措施消灭老鼠、蟑螂，控制室 内外蚊虫孳生，达到基本无蝇，每季度至少开 展 1 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77"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73"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（3）发生公共卫生事件时，邀请专业单位开 展消毒、检测等工作。</w:t>
            </w:r>
          </w:p>
        </w:tc>
      </w:tr>
    </w:tbl>
    <w:p>
      <w:pPr>
        <w:numPr>
          <w:ilvl w:val="0"/>
          <w:numId w:val="0"/>
        </w:numPr>
        <w:spacing w:line="360" w:lineRule="auto"/>
        <w:rPr>
          <w:rFonts w:hint="eastAsia" w:ascii="宋体" w:hAnsi="宋体" w:eastAsia="宋体" w:cs="宋体"/>
          <w:vertAlign w:val="baseline"/>
          <w:lang w:val="en-US" w:eastAsia="zh-CN"/>
        </w:rPr>
      </w:pPr>
    </w:p>
    <w:p>
      <w:pPr>
        <w:numPr>
          <w:ilvl w:val="0"/>
          <w:numId w:val="0"/>
        </w:numPr>
        <w:spacing w:line="360" w:lineRule="auto"/>
        <w:outlineLvl w:val="2"/>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3.5绿化服务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65"/>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9"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1765"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服务内容</w:t>
            </w:r>
          </w:p>
        </w:tc>
        <w:tc>
          <w:tcPr>
            <w:tcW w:w="7785"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765"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基本要求</w:t>
            </w: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（1）制定绿化服务的工作制度及工作计划，并按照执行。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65"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（2）做好绿化服务工作记录，填写规范。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65"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（3）作业时采取安全防护措施，防止对作业 人员或他人造成伤害。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65"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（4）相关耗材的环保、安全性应当符合规定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765"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室外绿化养护</w:t>
            </w: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（1）根据生长环境、植物特性进行除草、灌 溉、施肥、整形修剪、防治病虫害等。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65"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（2）根据生长情况修剪绿地，绿地内无枯草、无杂物，无干枯坏死和病虫侵害，基本无裸露 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65"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（3）定期修剪树木、花卉等，灌乔木生长正常、造型美观自然、花枝新鲜，无枯叶、无病 虫、无死树缺株。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65"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（4）绿篱生长造型正常，颜色正常，修剪及时，基本无死株和干死株，有虫株率在 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65"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（5）清除花坛和花景的花蒂、黄叶、杂草、垃圾，做好病虫害防治。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65"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（6）水池水面定期清理，无枯枝落叶、水质 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65"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（7）根据病虫害发生规律实施综合治理，通 常在病虫率高时，以药剂杀死病虫，以确保植 物良好生长。产生垃圾的主要区域和路段做到 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65"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（8）雨雪、冰雹、强风等恶劣天气来临前，专人巡 查，对绿植做好预防措施，排除安全隐患。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65"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785"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（9）恶劣天气后，及时清除倒树断枝，疏通 道路，尽快恢复原状。</w:t>
            </w:r>
          </w:p>
        </w:tc>
      </w:tr>
    </w:tbl>
    <w:p>
      <w:pPr>
        <w:numPr>
          <w:ilvl w:val="0"/>
          <w:numId w:val="0"/>
        </w:numPr>
        <w:spacing w:line="360" w:lineRule="auto"/>
        <w:rPr>
          <w:rFonts w:hint="eastAsia" w:ascii="宋体" w:hAnsi="宋体" w:eastAsia="宋体" w:cs="宋体"/>
          <w:vertAlign w:val="baseline"/>
          <w:lang w:val="en-US" w:eastAsia="zh-CN"/>
        </w:rPr>
      </w:pPr>
    </w:p>
    <w:p>
      <w:pPr>
        <w:numPr>
          <w:ilvl w:val="0"/>
          <w:numId w:val="0"/>
        </w:numPr>
        <w:spacing w:line="360" w:lineRule="auto"/>
        <w:outlineLvl w:val="2"/>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3.6保安服务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54"/>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17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服务内容</w:t>
            </w:r>
          </w:p>
        </w:tc>
        <w:tc>
          <w:tcPr>
            <w:tcW w:w="7826"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754"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基本要求</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（1）建立保安服务相关制度，并按照执行。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（2）对巡查、值守及异常情况等做好相关记录，填写规范，保存完好。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（3）配备保安服务必要的器材。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754"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出入管理</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（1）办公楼（区）主出入口应当实行 24 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（2）设置门岗。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（3）在出入口对外来人员及其携带大件物品、 外来车辆进行询问和记录，并与相关部门取得联系，同意后方可进入。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（4）大件物品搬出有相关部门开具的证明和清单，经核实后放行。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（5）排查可疑人员，对于不出示证件、不按规定登记、不听劝阻而强行闯入者，及时劝离， 必要时通知公安机关进行处理。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（6）配合相关部门积极疏导上访人员，有效疏导如出入口人群集聚、车辆拥堵、货物堵塞道 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（7）对物品进出实行安检、登记、电话确认等分类管理措施。大宗 物品进出会同接收单位收件人审检，严防违禁品 （包括毒品、军火弹药、管制刀具、易燃易爆品等）、限带品（包括动物、任何未经授权的专业摄影设备、无人机等）进入。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（8）提供现场接待服务。 ①做好来访人员、车辆进出证件登记，及时通报。 ②严禁无关人员、可疑人员和危险物品进入办公楼（区）内。 ③物品摆放整齐有序、分类放置。 ④现场办理等待时间不超过5分钟，等待较长 时间应当及时沟通。 ⑤对来访人员咨询、建议、求助等事项，及时处理或答复，处理和答复率100%。 ⑥接待服务工作时间应当覆盖采购人工作时间（上班时间为—7:00-20:00）。 ⑦与被访人进行核实确认；告知被访人的办公 室门牌号；告知访客注意事项（根据实际需要填 写注意事项）。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754"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值班巡查</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（1）建立 24 小时值班巡查制度。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（2）制定巡查路线，按照指定时间和路线执 行，加强重点区域、重点部位及装修区域的巡查。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（3）巡查期间保持通信设施设备畅通，遇到 异常情况立即上报并在现场采取相应措施。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（4）收到监控室指令后，巡查人员及时到达 指定地点并迅速采取相应措施。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754"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监控值守</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（1）监控室环境卫生符合系统设备运行要求，定期进行检查和打扫，确保系统功能正常。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（2）监控设备 24 小时正常运行，监控室实行专人 24 小时值班制度。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（3）监控记录画面清晰，视频监控无死角、 无盲区。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（4）值班期间遵守操作规程和保密制度，做 好监控记录的保存工作。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（5）监控记录保持完整，保存时间不应少于 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（6）无关人员进入监控室或查阅监控记录， 经授权人批准并做好相关记录。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（7）监控室收到火情等报警信号、其他异常 情况信号后，及时报警并安排其他安保人员前往 现场进行处理。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754"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车辆停放</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（1）车辆行驶路线设置合理、规范，导向标志完整、清晰。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（2）合理规划车辆停放区域，张贴车辆引导 标识，对车辆及停放区域实行规范管理。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（3）严禁在办公楼的公用走道、楼梯间、安 全出口处等公共区域停放车辆或充电。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（4）非机动车定点有序停放。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（5）发现车辆异常情况及时通知车主，并做 好登记；发生交通事故、自然灾害等意外事故时 及时赶赴现场疏导和协助处理，响应时间不超过 3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1754"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消防安全管理</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（1）建立消防安全责任制，确定各级消防安 全责任人及其职责。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（2）消防控制室实行 24 小时值班制度，每班 不少于 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（3）消火栓、应急照明、应急物资、消防及人员逃生通道、消防车通道可随时正常使用。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（4）易燃易爆品设专区专人管理，做好相关记录。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（5）定期组织消防安全宣传，每半年至少开 展 1 次消防演练。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1754"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突发事件处理</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（1）制定突发事件安全责任书，明确突发事 件责任人及应承担的安全责任。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（2）建立应急突发事件处置队伍，明确各自 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（3）识别、分析各种潜在风险，针对不同风 险类型制定相应解决方案，并配备应急物资。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（4）每半年至少开展 1 次突发事件应急 演练，并有相应记录。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（5）发生意外事件时，及时采取应急措施， 维护办公区域物业服务正常进行，保护人身财产 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（6）办公区域物业服务应急预案终止实施后， 积极采取措施，在尽可能短的时间内，消除事故 带来的不良影响，妥善安置和慰问受害及受影响 的人员和部门。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1754" w:type="dxa"/>
            <w:vMerge w:val="continue"/>
            <w:noWrap w:val="0"/>
            <w:vAlign w:val="center"/>
          </w:tcPr>
          <w:p>
            <w:pPr>
              <w:numPr>
                <w:ilvl w:val="0"/>
                <w:numId w:val="0"/>
              </w:numPr>
              <w:spacing w:line="360" w:lineRule="auto"/>
              <w:jc w:val="center"/>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（7）事故处理后，及时形成事故应急总结报 告，完善应急救援工作方案。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1754" w:type="dxa"/>
            <w:vMerge w:val="restart"/>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大型活动秩序</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（1）制定相应的活动秩序维护方案，合理安 排人员，并对场所的安全隐患进行排查。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54"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（2）应当保障通道、出入口、停车场等区域 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1754" w:type="dxa"/>
            <w:vMerge w:val="continue"/>
            <w:noWrap w:val="0"/>
            <w:vAlign w:val="top"/>
          </w:tcPr>
          <w:p>
            <w:pPr>
              <w:numPr>
                <w:ilvl w:val="0"/>
                <w:numId w:val="0"/>
              </w:numPr>
              <w:spacing w:line="360" w:lineRule="auto"/>
              <w:rPr>
                <w:rFonts w:hint="eastAsia" w:ascii="宋体" w:hAnsi="宋体" w:eastAsia="宋体" w:cs="宋体"/>
                <w:vertAlign w:val="baseline"/>
                <w:lang w:val="en-US" w:eastAsia="zh-CN"/>
              </w:rPr>
            </w:pP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（3）活动举办过程中，做好现场秩序的维护 和突发事故的处置工作，确保活动正常进行。</w:t>
            </w:r>
          </w:p>
        </w:tc>
      </w:tr>
    </w:tbl>
    <w:p>
      <w:pPr>
        <w:numPr>
          <w:ilvl w:val="0"/>
          <w:numId w:val="0"/>
        </w:numPr>
        <w:spacing w:line="360" w:lineRule="auto"/>
        <w:rPr>
          <w:rFonts w:hint="eastAsia" w:ascii="宋体" w:hAnsi="宋体" w:eastAsia="宋体" w:cs="宋体"/>
          <w:vertAlign w:val="baseline"/>
          <w:lang w:val="en-US" w:eastAsia="zh-CN"/>
        </w:rPr>
      </w:pPr>
    </w:p>
    <w:p>
      <w:pPr>
        <w:numPr>
          <w:ilvl w:val="0"/>
          <w:numId w:val="0"/>
        </w:numPr>
        <w:spacing w:line="360" w:lineRule="auto"/>
        <w:outlineLvl w:val="2"/>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3.7会议服务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54"/>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17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服务内容</w:t>
            </w:r>
          </w:p>
        </w:tc>
        <w:tc>
          <w:tcPr>
            <w:tcW w:w="7826"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7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会议受理</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接受会议预订，记录会议需求。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7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会前准备</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根据会议需求、场地大小、用途，明确会议桌 椅、物品、设备、文具等摆放规定，音、视频设施保障措施。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7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引导服务</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做好引导牌并放置在指定位置，引导人员引导 手势规范，语言标准。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7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会中服务</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会议期间按要求加水。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7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会后整理</w:t>
            </w:r>
          </w:p>
        </w:tc>
        <w:tc>
          <w:tcPr>
            <w:tcW w:w="7826"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对会议现场进行检查，做好会场清扫工作。</w:t>
            </w:r>
          </w:p>
        </w:tc>
      </w:tr>
    </w:tbl>
    <w:p>
      <w:pPr>
        <w:numPr>
          <w:ilvl w:val="0"/>
          <w:numId w:val="0"/>
        </w:numPr>
        <w:spacing w:line="360" w:lineRule="auto"/>
        <w:rPr>
          <w:rFonts w:hint="eastAsia" w:ascii="宋体" w:hAnsi="宋体" w:eastAsia="宋体" w:cs="宋体"/>
          <w:vertAlign w:val="baseline"/>
          <w:lang w:val="en-US" w:eastAsia="zh-CN"/>
        </w:rPr>
      </w:pPr>
    </w:p>
    <w:p>
      <w:pPr>
        <w:numPr>
          <w:ilvl w:val="0"/>
          <w:numId w:val="0"/>
        </w:numPr>
        <w:spacing w:line="360" w:lineRule="auto"/>
        <w:outlineLvl w:val="1"/>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4.</w:t>
      </w:r>
      <w:r>
        <w:rPr>
          <w:rFonts w:hint="eastAsia" w:ascii="宋体" w:hAnsi="宋体" w:cs="宋体"/>
          <w:b/>
          <w:bCs/>
          <w:vertAlign w:val="baseline"/>
          <w:lang w:val="en-US" w:eastAsia="zh-CN"/>
        </w:rPr>
        <w:t>成交供应商</w:t>
      </w:r>
      <w:r>
        <w:rPr>
          <w:rFonts w:hint="eastAsia" w:ascii="宋体" w:hAnsi="宋体" w:eastAsia="宋体" w:cs="宋体"/>
          <w:b/>
          <w:bCs/>
          <w:vertAlign w:val="baseline"/>
          <w:lang w:val="en-US" w:eastAsia="zh-CN"/>
        </w:rPr>
        <w:t>履行合同所需设备</w:t>
      </w:r>
    </w:p>
    <w:p>
      <w:pPr>
        <w:numPr>
          <w:ilvl w:val="0"/>
          <w:numId w:val="0"/>
        </w:numPr>
        <w:spacing w:line="360" w:lineRule="auto"/>
        <w:ind w:firstLine="435"/>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采购人根据项目实际需求，需要</w:t>
      </w:r>
      <w:r>
        <w:rPr>
          <w:rFonts w:hint="eastAsia" w:ascii="宋体" w:hAnsi="宋体" w:cs="宋体"/>
          <w:vertAlign w:val="baseline"/>
          <w:lang w:val="en-US" w:eastAsia="zh-CN"/>
        </w:rPr>
        <w:t>成交供应商</w:t>
      </w:r>
      <w:r>
        <w:rPr>
          <w:rFonts w:hint="eastAsia" w:ascii="宋体" w:hAnsi="宋体" w:eastAsia="宋体" w:cs="宋体"/>
          <w:vertAlign w:val="baseline"/>
          <w:lang w:val="en-US" w:eastAsia="zh-CN"/>
        </w:rPr>
        <w:t>提供作业设备（自有或租赁） 用于物业管理服务，举例如下：</w:t>
      </w:r>
    </w:p>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对讲机、秩序维护器械、手电、保洁人员使用的保洁用品、绿化养护管理（含药品、治理费、绿化使用的各类机械）</w:t>
      </w:r>
      <w:r>
        <w:rPr>
          <w:rFonts w:hint="eastAsia" w:ascii="宋体" w:hAnsi="宋体" w:cs="宋体"/>
          <w:vertAlign w:val="baseline"/>
          <w:lang w:val="en-US" w:eastAsia="zh-CN"/>
        </w:rPr>
        <w:t>、</w:t>
      </w:r>
      <w:r>
        <w:rPr>
          <w:rFonts w:hint="eastAsia" w:ascii="宋体" w:hAnsi="宋体" w:eastAsia="宋体" w:cs="宋体"/>
          <w:bCs/>
          <w:color w:val="000000"/>
          <w:szCs w:val="21"/>
          <w:highlight w:val="none"/>
        </w:rPr>
        <w:t>服装、雨具以及常用办公耗材等</w:t>
      </w:r>
      <w:r>
        <w:rPr>
          <w:rFonts w:hint="eastAsia" w:ascii="宋体" w:hAnsi="宋体" w:eastAsia="宋体" w:cs="宋体"/>
          <w:bCs/>
          <w:color w:val="000000"/>
          <w:szCs w:val="21"/>
          <w:highlight w:val="none"/>
          <w:lang w:eastAsia="zh-CN"/>
        </w:rPr>
        <w:t>。</w:t>
      </w:r>
    </w:p>
    <w:p>
      <w:pPr>
        <w:numPr>
          <w:ilvl w:val="0"/>
          <w:numId w:val="13"/>
        </w:numPr>
        <w:spacing w:line="360" w:lineRule="auto"/>
        <w:outlineLvl w:val="1"/>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物业管理服务人员需求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54"/>
        <w:gridCol w:w="146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部门职能</w:t>
            </w:r>
          </w:p>
        </w:tc>
        <w:tc>
          <w:tcPr>
            <w:tcW w:w="8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同时在岗人数</w:t>
            </w:r>
          </w:p>
        </w:tc>
        <w:tc>
          <w:tcPr>
            <w:tcW w:w="1468"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岗位所需总人数</w:t>
            </w:r>
          </w:p>
        </w:tc>
        <w:tc>
          <w:tcPr>
            <w:tcW w:w="6840"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人员要求及岗位要求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项目经理</w:t>
            </w:r>
          </w:p>
        </w:tc>
        <w:tc>
          <w:tcPr>
            <w:tcW w:w="8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468"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6840"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color w:val="auto"/>
                <w:szCs w:val="21"/>
                <w:shd w:val="clear" w:color="auto" w:fill="auto"/>
              </w:rPr>
              <w:t>身体健康，品貌端正，普通话标准、流利，思想觉悟较高，作风正派，工作责任心强，应具备大专及以上学历，有良好的协调能力和团队管理能力，有组织和接待大型团队的服务经验，能根据实际情况编写培训计划和合理安排员工劳动量，有较强的处事应变能力，能熟悉操作计算机。要做好物业人员的业务培训，抓好团队管理。（年龄不超过</w:t>
            </w:r>
            <w:r>
              <w:rPr>
                <w:rFonts w:hint="eastAsia" w:ascii="宋体" w:hAnsi="宋体" w:cs="宋体"/>
                <w:color w:val="auto"/>
                <w:szCs w:val="21"/>
                <w:shd w:val="clear" w:color="auto" w:fill="auto"/>
                <w:lang w:val="en-US" w:eastAsia="zh-CN"/>
              </w:rPr>
              <w:t>5</w:t>
            </w:r>
            <w:r>
              <w:rPr>
                <w:rFonts w:hint="eastAsia" w:ascii="宋体" w:hAnsi="宋体" w:eastAsia="宋体" w:cs="宋体"/>
                <w:color w:val="auto"/>
                <w:szCs w:val="21"/>
                <w:shd w:val="clear" w:color="auto" w:fill="auto"/>
                <w:lang w:val="en-US" w:eastAsia="zh-CN"/>
              </w:rPr>
              <w:t>0</w:t>
            </w:r>
            <w:r>
              <w:rPr>
                <w:rFonts w:hint="eastAsia" w:ascii="宋体" w:hAnsi="宋体" w:eastAsia="宋体" w:cs="宋体"/>
                <w:color w:val="auto"/>
                <w:szCs w:val="21"/>
                <w:shd w:val="clear" w:color="auto" w:fill="auto"/>
              </w:rPr>
              <w:t>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水电服务</w:t>
            </w:r>
          </w:p>
        </w:tc>
        <w:tc>
          <w:tcPr>
            <w:tcW w:w="8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468"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6840" w:type="dxa"/>
            <w:noWrap w:val="0"/>
            <w:vAlign w:val="top"/>
          </w:tcPr>
          <w:p>
            <w:pPr>
              <w:numPr>
                <w:ilvl w:val="0"/>
                <w:numId w:val="0"/>
              </w:numPr>
              <w:spacing w:line="360" w:lineRule="auto"/>
              <w:rPr>
                <w:rFonts w:hint="eastAsia" w:ascii="宋体" w:hAnsi="宋体" w:eastAsia="宋体" w:cs="宋体"/>
                <w:vertAlign w:val="baseline"/>
                <w:lang w:val="en-US" w:eastAsia="zh-CN"/>
              </w:rPr>
            </w:pPr>
            <w:r>
              <w:rPr>
                <w:rStyle w:val="31"/>
                <w:rFonts w:hint="eastAsia" w:ascii="宋体" w:hAnsi="宋体" w:eastAsia="宋体" w:cs="宋体"/>
                <w:b w:val="0"/>
                <w:color w:val="auto"/>
                <w:sz w:val="21"/>
                <w:szCs w:val="21"/>
                <w:shd w:val="clear" w:color="auto" w:fill="auto"/>
              </w:rPr>
              <w:t>持电工上岗证，</w:t>
            </w:r>
            <w:r>
              <w:rPr>
                <w:rFonts w:hint="eastAsia" w:ascii="宋体" w:hAnsi="宋体" w:eastAsia="宋体" w:cs="宋体"/>
                <w:color w:val="auto"/>
                <w:szCs w:val="21"/>
                <w:shd w:val="clear" w:color="auto" w:fill="auto"/>
              </w:rPr>
              <w:t>身体健康、相貌端正、思想作风正派。工作责任心强、有较强的服务意识，具备胜任该岗位工作的能力。根据</w:t>
            </w:r>
            <w:r>
              <w:rPr>
                <w:rFonts w:hint="eastAsia" w:ascii="宋体" w:hAnsi="宋体" w:cs="宋体"/>
                <w:color w:val="auto"/>
                <w:szCs w:val="21"/>
                <w:shd w:val="clear" w:color="auto" w:fill="auto"/>
                <w:lang w:eastAsia="zh-CN"/>
              </w:rPr>
              <w:t>采购人</w:t>
            </w:r>
            <w:r>
              <w:rPr>
                <w:rFonts w:hint="eastAsia" w:ascii="宋体" w:hAnsi="宋体" w:eastAsia="宋体" w:cs="宋体"/>
                <w:color w:val="auto"/>
                <w:szCs w:val="21"/>
                <w:shd w:val="clear" w:color="auto" w:fill="auto"/>
              </w:rPr>
              <w:t>要求，在工程师的指导下做好水电维修工作。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网络服务</w:t>
            </w:r>
          </w:p>
        </w:tc>
        <w:tc>
          <w:tcPr>
            <w:tcW w:w="8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468"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6840" w:type="dxa"/>
            <w:noWrap w:val="0"/>
            <w:vAlign w:val="top"/>
          </w:tcPr>
          <w:p>
            <w:pPr>
              <w:numPr>
                <w:ilvl w:val="0"/>
                <w:numId w:val="0"/>
              </w:numPr>
              <w:spacing w:line="360" w:lineRule="auto"/>
              <w:rPr>
                <w:rStyle w:val="31"/>
                <w:rFonts w:hint="eastAsia" w:ascii="宋体" w:hAnsi="宋体" w:eastAsia="宋体" w:cs="宋体"/>
                <w:b w:val="0"/>
                <w:color w:val="auto"/>
                <w:sz w:val="21"/>
                <w:szCs w:val="21"/>
                <w:shd w:val="clear" w:color="auto" w:fill="auto"/>
              </w:rPr>
            </w:pPr>
            <w:r>
              <w:rPr>
                <w:rFonts w:hint="eastAsia" w:ascii="宋体" w:hAnsi="宋体" w:eastAsia="宋体" w:cs="宋体"/>
                <w:i w:val="0"/>
                <w:iCs w:val="0"/>
                <w:caps w:val="0"/>
                <w:color w:val="000000"/>
                <w:spacing w:val="0"/>
                <w:sz w:val="21"/>
                <w:szCs w:val="21"/>
                <w:shd w:val="clear" w:color="auto" w:fill="FFFFFF"/>
              </w:rPr>
              <w:t>熟练掌握计算机及网络管理的相关知识；具备强烈的责任心、自信心、执行力；具备良好的沟通及团队协作能力。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公用设施设备维护服务</w:t>
            </w:r>
          </w:p>
        </w:tc>
        <w:tc>
          <w:tcPr>
            <w:tcW w:w="8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468"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6840"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color w:val="auto"/>
                <w:szCs w:val="21"/>
                <w:shd w:val="clear" w:color="auto" w:fill="auto"/>
              </w:rPr>
              <w:t>身体健康、相貌端正、思想作风正派。工作责任心强、有较强的服务意识，具备胜任该岗位工作的能力。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保洁服务</w:t>
            </w:r>
          </w:p>
        </w:tc>
        <w:tc>
          <w:tcPr>
            <w:tcW w:w="8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468"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lang w:val="en-US" w:eastAsia="zh-CN"/>
              </w:rPr>
              <w:t>3</w:t>
            </w:r>
          </w:p>
        </w:tc>
        <w:tc>
          <w:tcPr>
            <w:tcW w:w="6840"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color w:val="auto"/>
                <w:szCs w:val="21"/>
                <w:shd w:val="clear" w:color="auto" w:fill="auto"/>
              </w:rPr>
              <w:t>身体健康、相貌端正、思想作风正派；工作责任心强、有较强的服务意识，具备胜任该岗位工作的能力。（年龄不超过</w:t>
            </w:r>
            <w:r>
              <w:rPr>
                <w:rFonts w:hint="eastAsia" w:ascii="宋体" w:hAnsi="宋体" w:cs="宋体"/>
                <w:color w:val="auto"/>
                <w:szCs w:val="21"/>
                <w:shd w:val="clear" w:color="auto" w:fill="auto"/>
                <w:lang w:val="en-US" w:eastAsia="zh-CN"/>
              </w:rPr>
              <w:t>60</w:t>
            </w:r>
            <w:r>
              <w:rPr>
                <w:rFonts w:hint="eastAsia" w:ascii="宋体" w:hAnsi="宋体" w:eastAsia="宋体" w:cs="宋体"/>
                <w:color w:val="auto"/>
                <w:szCs w:val="21"/>
                <w:shd w:val="clear" w:color="auto" w:fill="auto"/>
              </w:rPr>
              <w:t>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绿化服务</w:t>
            </w:r>
          </w:p>
        </w:tc>
        <w:tc>
          <w:tcPr>
            <w:tcW w:w="8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468"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6840"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color w:val="auto"/>
                <w:szCs w:val="21"/>
                <w:shd w:val="clear" w:color="auto" w:fill="auto"/>
              </w:rPr>
              <w:t>身体健康、相貌端正、思想作风正派。工作责任心强、有较强的服务意识，具备胜任该岗位工作的能力。根据</w:t>
            </w:r>
            <w:r>
              <w:rPr>
                <w:rFonts w:hint="eastAsia" w:ascii="宋体" w:hAnsi="宋体" w:cs="宋体"/>
                <w:color w:val="auto"/>
                <w:szCs w:val="21"/>
                <w:shd w:val="clear" w:color="auto" w:fill="auto"/>
                <w:lang w:eastAsia="zh-CN"/>
              </w:rPr>
              <w:t>采购人</w:t>
            </w:r>
            <w:r>
              <w:rPr>
                <w:rFonts w:hint="eastAsia" w:ascii="宋体" w:hAnsi="宋体" w:eastAsia="宋体" w:cs="宋体"/>
                <w:color w:val="auto"/>
                <w:szCs w:val="21"/>
                <w:shd w:val="clear" w:color="auto" w:fill="auto"/>
              </w:rPr>
              <w:t>要求，在工程师的指导下做好绿化养护工作（年龄不超过</w:t>
            </w:r>
            <w:r>
              <w:rPr>
                <w:rFonts w:hint="eastAsia" w:ascii="宋体" w:hAnsi="宋体" w:cs="宋体"/>
                <w:color w:val="auto"/>
                <w:szCs w:val="21"/>
                <w:shd w:val="clear" w:color="auto" w:fill="auto"/>
                <w:lang w:val="en-US" w:eastAsia="zh-CN"/>
              </w:rPr>
              <w:t>6</w:t>
            </w:r>
            <w:r>
              <w:rPr>
                <w:rFonts w:hint="eastAsia" w:ascii="宋体" w:hAnsi="宋体" w:eastAsia="宋体" w:cs="宋体"/>
                <w:color w:val="auto"/>
                <w:szCs w:val="21"/>
                <w:shd w:val="clear" w:color="auto" w:fill="auto"/>
              </w:rPr>
              <w:t>0</w:t>
            </w:r>
            <w:r>
              <w:rPr>
                <w:rFonts w:hint="eastAsia" w:ascii="宋体" w:hAnsi="宋体" w:eastAsia="宋体" w:cs="宋体"/>
                <w:color w:val="auto"/>
                <w:szCs w:val="21"/>
                <w:shd w:val="clear" w:color="auto" w:fill="auto"/>
                <w:lang w:eastAsia="zh-CN"/>
              </w:rPr>
              <w:t>周</w:t>
            </w:r>
            <w:r>
              <w:rPr>
                <w:rFonts w:hint="eastAsia" w:ascii="宋体" w:hAnsi="宋体" w:eastAsia="宋体" w:cs="宋体"/>
                <w:color w:val="auto"/>
                <w:szCs w:val="21"/>
                <w:shd w:val="clear" w:color="auto" w:fill="auto"/>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保安服务</w:t>
            </w:r>
          </w:p>
        </w:tc>
        <w:tc>
          <w:tcPr>
            <w:tcW w:w="8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468"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6840" w:type="dxa"/>
            <w:noWrap w:val="0"/>
            <w:vAlign w:val="center"/>
          </w:tcPr>
          <w:p>
            <w:pPr>
              <w:numPr>
                <w:ilvl w:val="0"/>
                <w:numId w:val="0"/>
              </w:numPr>
              <w:spacing w:line="360" w:lineRule="auto"/>
              <w:jc w:val="left"/>
              <w:rPr>
                <w:rFonts w:hint="eastAsia" w:ascii="宋体" w:hAnsi="宋体" w:eastAsia="宋体" w:cs="宋体"/>
                <w:vertAlign w:val="baseline"/>
                <w:lang w:val="en-US" w:eastAsia="zh-CN"/>
              </w:rPr>
            </w:pPr>
            <w:r>
              <w:rPr>
                <w:rFonts w:hint="eastAsia" w:ascii="宋体" w:hAnsi="宋体" w:eastAsia="宋体" w:cs="宋体"/>
                <w:color w:val="auto"/>
                <w:szCs w:val="21"/>
                <w:shd w:val="clear" w:color="auto" w:fill="auto"/>
              </w:rPr>
              <w:t>有相关工作经验，年龄在18岁-</w:t>
            </w:r>
            <w:r>
              <w:rPr>
                <w:rFonts w:hint="eastAsia" w:ascii="宋体" w:hAnsi="宋体" w:cs="宋体"/>
                <w:color w:val="auto"/>
                <w:szCs w:val="21"/>
                <w:shd w:val="clear" w:color="auto" w:fill="auto"/>
                <w:lang w:val="en-US" w:eastAsia="zh-CN"/>
              </w:rPr>
              <w:t>60</w:t>
            </w:r>
            <w:r>
              <w:rPr>
                <w:rFonts w:hint="eastAsia" w:ascii="宋体" w:hAnsi="宋体" w:eastAsia="宋体" w:cs="宋体"/>
                <w:color w:val="auto"/>
                <w:szCs w:val="21"/>
                <w:shd w:val="clear" w:color="auto" w:fill="auto"/>
              </w:rPr>
              <w:t>岁之间，其中18-</w:t>
            </w:r>
            <w:r>
              <w:rPr>
                <w:rFonts w:hint="eastAsia" w:ascii="宋体" w:hAnsi="宋体" w:cs="宋体"/>
                <w:color w:val="auto"/>
                <w:szCs w:val="21"/>
                <w:shd w:val="clear" w:color="auto" w:fill="auto"/>
                <w:lang w:val="en-US" w:eastAsia="zh-CN"/>
              </w:rPr>
              <w:t>50</w:t>
            </w:r>
            <w:r>
              <w:rPr>
                <w:rFonts w:hint="eastAsia" w:ascii="宋体" w:hAnsi="宋体" w:eastAsia="宋体" w:cs="宋体"/>
                <w:color w:val="auto"/>
                <w:szCs w:val="21"/>
                <w:shd w:val="clear" w:color="auto" w:fill="auto"/>
              </w:rPr>
              <w:t>岁之间占三分之二以上，性别不限；队伍要求实行半军事化管理，能适应全年365天24小时轮班工作方式，部分岗位需要24小时值班。消防控制室（24小时值班人员需持有</w:t>
            </w:r>
            <w:r>
              <w:rPr>
                <w:rFonts w:hint="eastAsia" w:ascii="宋体" w:hAnsi="宋体" w:eastAsia="宋体" w:cs="宋体"/>
                <w:color w:val="auto"/>
                <w:shd w:val="clear" w:color="auto" w:fill="auto"/>
              </w:rPr>
              <w:t>消防设施操作员</w:t>
            </w:r>
            <w:r>
              <w:rPr>
                <w:rFonts w:hint="eastAsia" w:ascii="宋体" w:hAnsi="宋体" w:eastAsia="宋体" w:cs="宋体"/>
                <w:color w:val="auto"/>
                <w:szCs w:val="21"/>
                <w:shd w:val="clear" w:color="auto" w:fill="auto"/>
              </w:rPr>
              <w:t>证书，每班岗必须至少要有一名持证人员，每年要安排人员参加消防培训，以提高人员素质。作风正派，无违法犯罪记录；会说普通话，五官端正，身体健康，机智灵敏，能胜任执勤工作；自觉遵守学校管理规定，服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p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会议服务</w:t>
            </w:r>
          </w:p>
        </w:tc>
        <w:tc>
          <w:tcPr>
            <w:tcW w:w="854"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468" w:type="dxa"/>
            <w:noWrap w:val="0"/>
            <w:vAlign w:val="center"/>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6840" w:type="dxa"/>
            <w:noWrap w:val="0"/>
            <w:vAlign w:val="top"/>
          </w:tcPr>
          <w:p>
            <w:pPr>
              <w:numPr>
                <w:ilvl w:val="0"/>
                <w:numId w:val="0"/>
              </w:num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女性，熟悉会务工作流程、具备良好的服务意识和沟通能力、身体健康、形象气质佳等。</w:t>
            </w:r>
            <w:r>
              <w:rPr>
                <w:rFonts w:hint="eastAsia" w:ascii="宋体" w:hAnsi="宋体" w:eastAsia="宋体" w:cs="宋体"/>
                <w:color w:val="auto"/>
                <w:szCs w:val="21"/>
                <w:shd w:val="clear" w:color="auto" w:fill="auto"/>
              </w:rPr>
              <w:t>（年龄不超过</w:t>
            </w:r>
            <w:r>
              <w:rPr>
                <w:rFonts w:hint="eastAsia" w:ascii="宋体" w:hAnsi="宋体" w:eastAsia="宋体" w:cs="宋体"/>
                <w:color w:val="auto"/>
                <w:szCs w:val="21"/>
                <w:shd w:val="clear" w:color="auto" w:fill="auto"/>
                <w:lang w:val="en-US" w:eastAsia="zh-CN"/>
              </w:rPr>
              <w:t>40周</w:t>
            </w:r>
            <w:r>
              <w:rPr>
                <w:rFonts w:hint="eastAsia" w:ascii="宋体" w:hAnsi="宋体" w:eastAsia="宋体" w:cs="宋体"/>
                <w:color w:val="auto"/>
                <w:szCs w:val="21"/>
                <w:shd w:val="clear" w:color="auto" w:fill="auto"/>
              </w:rPr>
              <w:t>岁）</w:t>
            </w:r>
          </w:p>
        </w:tc>
      </w:tr>
    </w:tbl>
    <w:p>
      <w:pPr>
        <w:rPr>
          <w:rFonts w:hint="eastAsia"/>
          <w:lang w:val="en-US" w:eastAsia="zh-CN"/>
        </w:rPr>
      </w:pPr>
      <w:bookmarkStart w:id="143" w:name="_Toc28697"/>
    </w:p>
    <w:p>
      <w:pPr>
        <w:pStyle w:val="2"/>
        <w:rPr>
          <w:rFonts w:hint="eastAsia"/>
          <w:lang w:val="en-US" w:eastAsia="zh-CN"/>
        </w:rPr>
      </w:pPr>
    </w:p>
    <w:p>
      <w:pPr>
        <w:numPr>
          <w:ilvl w:val="0"/>
          <w:numId w:val="0"/>
        </w:numPr>
        <w:spacing w:line="360" w:lineRule="auto"/>
        <w:ind w:left="0" w:leftChars="0" w:firstLine="0" w:firstLineChars="0"/>
        <w:outlineLvl w:val="1"/>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lang w:eastAsia="zh-CN"/>
        </w:rPr>
        <w:t>商务要求</w:t>
      </w:r>
      <w:bookmarkEnd w:id="143"/>
    </w:p>
    <w:p>
      <w:pPr>
        <w:pStyle w:val="2"/>
        <w:numPr>
          <w:ilvl w:val="0"/>
          <w:numId w:val="0"/>
        </w:numPr>
        <w:spacing w:line="360" w:lineRule="auto"/>
        <w:ind w:leftChars="0"/>
        <w:outlineLvl w:val="2"/>
        <w:rPr>
          <w:rFonts w:hint="eastAsia" w:ascii="宋体" w:hAnsi="宋体" w:eastAsia="宋体" w:cs="宋体"/>
          <w:b/>
          <w:bCs/>
          <w:sz w:val="21"/>
          <w:szCs w:val="21"/>
          <w:highlight w:val="none"/>
          <w:lang w:val="en-US" w:eastAsia="zh-CN"/>
        </w:rPr>
      </w:pPr>
      <w:bookmarkStart w:id="144" w:name="_Toc26810"/>
      <w:r>
        <w:rPr>
          <w:rFonts w:hint="eastAsia" w:ascii="宋体" w:hAnsi="宋体" w:eastAsia="宋体" w:cs="宋体"/>
          <w:b/>
          <w:bCs/>
          <w:sz w:val="21"/>
          <w:szCs w:val="21"/>
          <w:highlight w:val="none"/>
          <w:lang w:val="en-US" w:eastAsia="zh-CN"/>
        </w:rPr>
        <w:t>6.1服务期限</w:t>
      </w:r>
      <w:bookmarkEnd w:id="144"/>
    </w:p>
    <w:p>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三年</w:t>
      </w:r>
      <w:r>
        <w:rPr>
          <w:rFonts w:hint="eastAsia" w:ascii="宋体" w:hAnsi="宋体" w:cs="宋体"/>
          <w:highlight w:val="none"/>
          <w:lang w:val="en-US" w:eastAsia="zh-CN"/>
        </w:rPr>
        <w:t>。</w:t>
      </w:r>
    </w:p>
    <w:p>
      <w:pPr>
        <w:bidi w:val="0"/>
        <w:spacing w:line="360" w:lineRule="auto"/>
        <w:outlineLvl w:val="2"/>
        <w:rPr>
          <w:rFonts w:hint="eastAsia" w:ascii="宋体" w:hAnsi="宋体" w:eastAsia="宋体" w:cs="宋体"/>
          <w:b/>
          <w:bCs/>
          <w:sz w:val="21"/>
          <w:szCs w:val="21"/>
          <w:highlight w:val="none"/>
          <w:lang w:val="en-US" w:eastAsia="zh-CN"/>
        </w:rPr>
      </w:pPr>
      <w:bookmarkStart w:id="145" w:name="_Toc2065"/>
      <w:r>
        <w:rPr>
          <w:rFonts w:hint="eastAsia" w:ascii="宋体" w:hAnsi="宋体" w:eastAsia="宋体" w:cs="宋体"/>
          <w:b/>
          <w:bCs/>
          <w:sz w:val="21"/>
          <w:szCs w:val="21"/>
          <w:highlight w:val="none"/>
          <w:lang w:val="en-US" w:eastAsia="zh-CN"/>
        </w:rPr>
        <w:t>6.2付款方式</w:t>
      </w:r>
      <w:bookmarkEnd w:id="145"/>
    </w:p>
    <w:p>
      <w:pPr>
        <w:pStyle w:val="2"/>
        <w:spacing w:line="360" w:lineRule="auto"/>
        <w:outlineLvl w:val="2"/>
        <w:rPr>
          <w:rFonts w:hint="eastAsia" w:ascii="宋体" w:hAnsi="宋体" w:eastAsia="宋体" w:cs="宋体"/>
          <w:highlight w:val="none"/>
          <w:lang w:val="en-US" w:eastAsia="zh-CN"/>
        </w:rPr>
      </w:pPr>
      <w:bookmarkStart w:id="146" w:name="_Toc16267"/>
      <w:r>
        <w:rPr>
          <w:rFonts w:hint="eastAsia" w:ascii="宋体" w:hAnsi="宋体" w:eastAsia="宋体" w:cs="宋体"/>
          <w:highlight w:val="none"/>
          <w:lang w:val="en-US" w:eastAsia="zh-CN"/>
        </w:rPr>
        <w:t>按月支付，即每月支付合同款的1/</w:t>
      </w:r>
      <w:r>
        <w:rPr>
          <w:rFonts w:hint="eastAsia" w:ascii="宋体" w:hAnsi="宋体" w:cs="宋体"/>
          <w:highlight w:val="none"/>
          <w:lang w:val="en-US" w:eastAsia="zh-CN"/>
        </w:rPr>
        <w:t>36</w:t>
      </w:r>
      <w:r>
        <w:rPr>
          <w:rFonts w:hint="eastAsia" w:ascii="宋体" w:hAnsi="宋体" w:eastAsia="宋体" w:cs="宋体"/>
          <w:highlight w:val="none"/>
          <w:lang w:val="en-US" w:eastAsia="zh-CN"/>
        </w:rPr>
        <w:t>。本项目无预付款，由</w:t>
      </w:r>
      <w:r>
        <w:rPr>
          <w:rFonts w:hint="eastAsia" w:ascii="宋体" w:hAnsi="宋体" w:cs="宋体"/>
          <w:highlight w:val="none"/>
          <w:lang w:val="en-US" w:eastAsia="zh-CN"/>
        </w:rPr>
        <w:t>成交供应商</w:t>
      </w:r>
      <w:r>
        <w:rPr>
          <w:rFonts w:hint="eastAsia" w:ascii="宋体" w:hAnsi="宋体" w:eastAsia="宋体" w:cs="宋体"/>
          <w:highlight w:val="none"/>
          <w:lang w:val="en-US" w:eastAsia="zh-CN"/>
        </w:rPr>
        <w:t>在月末向</w:t>
      </w:r>
      <w:r>
        <w:rPr>
          <w:rFonts w:hint="eastAsia" w:ascii="宋体" w:hAnsi="宋体" w:cs="宋体"/>
          <w:highlight w:val="none"/>
          <w:lang w:val="en-US" w:eastAsia="zh-CN"/>
        </w:rPr>
        <w:t>采购人</w:t>
      </w:r>
      <w:r>
        <w:rPr>
          <w:rFonts w:hint="eastAsia" w:ascii="宋体" w:hAnsi="宋体" w:eastAsia="宋体" w:cs="宋体"/>
          <w:highlight w:val="none"/>
          <w:lang w:val="en-US" w:eastAsia="zh-CN"/>
        </w:rPr>
        <w:t>书面申请支付当月的服务管理费（如签订合同当月服务不到一个月的按照日平均费用×服务天数计算），经考评合格，双方认可后，</w:t>
      </w:r>
      <w:r>
        <w:rPr>
          <w:rFonts w:hint="eastAsia" w:ascii="宋体" w:hAnsi="宋体" w:cs="宋体"/>
          <w:highlight w:val="none"/>
          <w:lang w:val="en-US" w:eastAsia="zh-CN"/>
        </w:rPr>
        <w:t>采购人</w:t>
      </w:r>
      <w:r>
        <w:rPr>
          <w:rFonts w:hint="eastAsia" w:ascii="宋体" w:hAnsi="宋体" w:eastAsia="宋体" w:cs="宋体"/>
          <w:highlight w:val="none"/>
          <w:lang w:val="en-US" w:eastAsia="zh-CN"/>
        </w:rPr>
        <w:t>及时付款。</w:t>
      </w:r>
      <w:r>
        <w:rPr>
          <w:rFonts w:hint="eastAsia" w:ascii="宋体" w:hAnsi="宋体" w:cs="宋体"/>
          <w:highlight w:val="none"/>
          <w:lang w:val="en-US" w:eastAsia="zh-CN"/>
        </w:rPr>
        <w:t>成交供应商</w:t>
      </w:r>
      <w:r>
        <w:rPr>
          <w:rFonts w:hint="eastAsia" w:ascii="宋体" w:hAnsi="宋体" w:eastAsia="宋体" w:cs="宋体"/>
          <w:highlight w:val="none"/>
          <w:lang w:val="en-US" w:eastAsia="zh-CN"/>
        </w:rPr>
        <w:t>开具合法发票给</w:t>
      </w:r>
      <w:r>
        <w:rPr>
          <w:rFonts w:hint="eastAsia" w:ascii="宋体" w:hAnsi="宋体" w:cs="宋体"/>
          <w:highlight w:val="none"/>
          <w:lang w:val="en-US" w:eastAsia="zh-CN"/>
        </w:rPr>
        <w:t>采购人</w:t>
      </w:r>
      <w:r>
        <w:rPr>
          <w:rFonts w:hint="eastAsia" w:ascii="宋体" w:hAnsi="宋体" w:eastAsia="宋体" w:cs="宋体"/>
          <w:highlight w:val="none"/>
          <w:lang w:val="en-US" w:eastAsia="zh-CN"/>
        </w:rPr>
        <w:t>,60日内付款。特殊情况除外。</w:t>
      </w:r>
    </w:p>
    <w:p>
      <w:pPr>
        <w:pStyle w:val="2"/>
        <w:spacing w:line="360" w:lineRule="auto"/>
        <w:outlineLvl w:val="2"/>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6.3服务地点</w:t>
      </w:r>
      <w:bookmarkEnd w:id="146"/>
    </w:p>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资源县红色文化培训中心，资源县中峰镇车田湾村委会附近。</w:t>
      </w:r>
    </w:p>
    <w:p>
      <w:pPr>
        <w:spacing w:line="360" w:lineRule="auto"/>
        <w:outlineLvl w:val="2"/>
        <w:rPr>
          <w:rFonts w:hint="eastAsia" w:ascii="宋体" w:hAnsi="宋体" w:eastAsia="宋体" w:cs="宋体"/>
          <w:b/>
          <w:bCs/>
          <w:highlight w:val="none"/>
          <w:lang w:val="en-US" w:eastAsia="zh-CN"/>
        </w:rPr>
      </w:pPr>
      <w:bookmarkStart w:id="147" w:name="_Toc1291"/>
      <w:r>
        <w:rPr>
          <w:rFonts w:hint="eastAsia" w:ascii="宋体" w:hAnsi="宋体" w:eastAsia="宋体" w:cs="宋体"/>
          <w:b/>
          <w:bCs/>
          <w:highlight w:val="none"/>
          <w:lang w:val="en-US" w:eastAsia="zh-CN"/>
        </w:rPr>
        <w:t>6.4验收标准与要求</w:t>
      </w:r>
      <w:bookmarkEnd w:id="147"/>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（一）监督管理:</w:t>
      </w:r>
      <w:r>
        <w:rPr>
          <w:rFonts w:hint="eastAsia" w:ascii="宋体" w:hAnsi="宋体" w:cs="宋体"/>
          <w:color w:val="auto"/>
          <w:szCs w:val="21"/>
          <w:highlight w:val="none"/>
          <w:shd w:val="clear" w:color="auto" w:fill="auto"/>
          <w:lang w:val="en-US" w:eastAsia="zh-CN"/>
        </w:rPr>
        <w:t>采购人</w:t>
      </w:r>
      <w:r>
        <w:rPr>
          <w:rFonts w:hint="eastAsia" w:ascii="宋体" w:hAnsi="宋体" w:eastAsia="宋体" w:cs="宋体"/>
          <w:color w:val="auto"/>
          <w:szCs w:val="21"/>
          <w:highlight w:val="none"/>
          <w:shd w:val="clear" w:color="auto" w:fill="auto"/>
        </w:rPr>
        <w:t>下设专门机构负责对本次招标项目进行日常管理，</w:t>
      </w:r>
      <w:r>
        <w:rPr>
          <w:rFonts w:hint="eastAsia" w:ascii="宋体" w:hAnsi="宋体" w:cs="宋体"/>
          <w:color w:val="auto"/>
          <w:szCs w:val="21"/>
          <w:highlight w:val="none"/>
          <w:shd w:val="clear" w:color="auto" w:fill="auto"/>
          <w:lang w:val="en-US" w:eastAsia="zh-CN"/>
        </w:rPr>
        <w:t>供应商</w:t>
      </w:r>
      <w:r>
        <w:rPr>
          <w:rFonts w:hint="eastAsia" w:ascii="宋体" w:hAnsi="宋体" w:eastAsia="宋体" w:cs="宋体"/>
          <w:color w:val="auto"/>
          <w:szCs w:val="21"/>
          <w:highlight w:val="none"/>
          <w:shd w:val="clear" w:color="auto" w:fill="auto"/>
        </w:rPr>
        <w:t>须接受监督、检查与指导。</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（二）质量评估：</w:t>
      </w:r>
      <w:r>
        <w:rPr>
          <w:rFonts w:hint="eastAsia" w:ascii="宋体" w:hAnsi="宋体" w:cs="宋体"/>
          <w:color w:val="auto"/>
          <w:szCs w:val="21"/>
          <w:highlight w:val="none"/>
          <w:shd w:val="clear" w:color="auto" w:fill="auto"/>
          <w:lang w:val="en-US" w:eastAsia="zh-CN"/>
        </w:rPr>
        <w:t>采购人</w:t>
      </w:r>
      <w:r>
        <w:rPr>
          <w:rFonts w:hint="eastAsia" w:ascii="宋体" w:hAnsi="宋体" w:eastAsia="宋体" w:cs="宋体"/>
          <w:color w:val="auto"/>
          <w:szCs w:val="21"/>
          <w:highlight w:val="none"/>
          <w:shd w:val="clear" w:color="auto" w:fill="auto"/>
        </w:rPr>
        <w:t>监管人员根据服务人员、服务内容、质量标准、服务要求每月对</w:t>
      </w:r>
      <w:r>
        <w:rPr>
          <w:rFonts w:hint="eastAsia" w:ascii="宋体" w:hAnsi="宋体" w:cs="宋体"/>
          <w:color w:val="auto"/>
          <w:szCs w:val="21"/>
          <w:highlight w:val="none"/>
          <w:shd w:val="clear" w:color="auto" w:fill="auto"/>
          <w:lang w:eastAsia="zh-CN"/>
        </w:rPr>
        <w:t>成交供应商</w:t>
      </w:r>
      <w:r>
        <w:rPr>
          <w:rFonts w:hint="eastAsia" w:ascii="宋体" w:hAnsi="宋体" w:eastAsia="宋体" w:cs="宋体"/>
          <w:color w:val="auto"/>
          <w:szCs w:val="21"/>
          <w:highlight w:val="none"/>
          <w:shd w:val="clear" w:color="auto" w:fill="auto"/>
        </w:rPr>
        <w:t>进行一次考评，考评满分为100分（含日常监督考评50分，教职工、学员满意度测评30分，考评小组评分20分），</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根据综合得分情况进行处罚，具体如下：</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①综合得分≥90分，合格；</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②85分≤综合得分﹤90分，每月须缴纳处罚金</w:t>
      </w:r>
      <w:r>
        <w:rPr>
          <w:rFonts w:hint="eastAsia" w:ascii="宋体" w:hAnsi="宋体" w:cs="宋体"/>
          <w:color w:val="auto"/>
          <w:szCs w:val="21"/>
          <w:highlight w:val="none"/>
          <w:shd w:val="clear" w:color="auto" w:fill="auto"/>
          <w:lang w:val="en-US" w:eastAsia="zh-CN"/>
        </w:rPr>
        <w:t>0.2</w:t>
      </w:r>
      <w:r>
        <w:rPr>
          <w:rFonts w:hint="eastAsia" w:ascii="宋体" w:hAnsi="宋体" w:eastAsia="宋体" w:cs="宋体"/>
          <w:color w:val="auto"/>
          <w:szCs w:val="21"/>
          <w:highlight w:val="none"/>
          <w:shd w:val="clear" w:color="auto" w:fill="auto"/>
        </w:rPr>
        <w:t>万元；</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③80分≤综合得分﹤85分，每月须缴纳处罚金</w:t>
      </w:r>
      <w:r>
        <w:rPr>
          <w:rFonts w:hint="eastAsia" w:ascii="宋体" w:hAnsi="宋体" w:cs="宋体"/>
          <w:color w:val="auto"/>
          <w:szCs w:val="21"/>
          <w:highlight w:val="none"/>
          <w:shd w:val="clear" w:color="auto" w:fill="auto"/>
          <w:lang w:val="en-US" w:eastAsia="zh-CN"/>
        </w:rPr>
        <w:t>0.3</w:t>
      </w:r>
      <w:r>
        <w:rPr>
          <w:rFonts w:hint="eastAsia" w:ascii="宋体" w:hAnsi="宋体" w:eastAsia="宋体" w:cs="宋体"/>
          <w:color w:val="auto"/>
          <w:szCs w:val="21"/>
          <w:highlight w:val="none"/>
          <w:shd w:val="clear" w:color="auto" w:fill="auto"/>
        </w:rPr>
        <w:t>万元；</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④综合得分﹤80分，每月须缴纳处罚金</w:t>
      </w:r>
      <w:r>
        <w:rPr>
          <w:rFonts w:hint="eastAsia" w:ascii="宋体" w:hAnsi="宋体" w:cs="宋体"/>
          <w:color w:val="auto"/>
          <w:szCs w:val="21"/>
          <w:highlight w:val="none"/>
          <w:shd w:val="clear" w:color="auto" w:fill="auto"/>
          <w:lang w:val="en-US" w:eastAsia="zh-CN"/>
        </w:rPr>
        <w:t>0.4</w:t>
      </w:r>
      <w:r>
        <w:rPr>
          <w:rFonts w:hint="eastAsia" w:ascii="宋体" w:hAnsi="宋体" w:eastAsia="宋体" w:cs="宋体"/>
          <w:color w:val="auto"/>
          <w:szCs w:val="21"/>
          <w:highlight w:val="none"/>
          <w:shd w:val="clear" w:color="auto" w:fill="auto"/>
        </w:rPr>
        <w:t>万元，</w:t>
      </w:r>
      <w:r>
        <w:rPr>
          <w:rFonts w:hint="eastAsia" w:ascii="宋体" w:hAnsi="宋体" w:cs="宋体"/>
          <w:color w:val="auto"/>
          <w:szCs w:val="21"/>
          <w:highlight w:val="none"/>
          <w:shd w:val="clear" w:color="auto" w:fill="auto"/>
          <w:lang w:val="en-US" w:eastAsia="zh-CN"/>
        </w:rPr>
        <w:t>采购人</w:t>
      </w:r>
      <w:r>
        <w:rPr>
          <w:rFonts w:hint="eastAsia" w:ascii="宋体" w:hAnsi="宋体" w:eastAsia="宋体" w:cs="宋体"/>
          <w:color w:val="auto"/>
          <w:szCs w:val="21"/>
          <w:highlight w:val="none"/>
          <w:shd w:val="clear" w:color="auto" w:fill="auto"/>
        </w:rPr>
        <w:t>有权要求</w:t>
      </w:r>
      <w:r>
        <w:rPr>
          <w:rFonts w:hint="eastAsia" w:ascii="宋体" w:hAnsi="宋体" w:cs="宋体"/>
          <w:color w:val="auto"/>
          <w:szCs w:val="21"/>
          <w:highlight w:val="none"/>
          <w:shd w:val="clear" w:color="auto" w:fill="auto"/>
          <w:lang w:eastAsia="zh-CN"/>
        </w:rPr>
        <w:t>成交供应商</w:t>
      </w:r>
      <w:r>
        <w:rPr>
          <w:rFonts w:hint="eastAsia" w:ascii="宋体" w:hAnsi="宋体" w:eastAsia="宋体" w:cs="宋体"/>
          <w:color w:val="auto"/>
          <w:szCs w:val="21"/>
          <w:highlight w:val="none"/>
          <w:shd w:val="clear" w:color="auto" w:fill="auto"/>
        </w:rPr>
        <w:t>更换本项目负责人，限期整改；</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⑤一年内有二次﹤80分的，</w:t>
      </w:r>
      <w:r>
        <w:rPr>
          <w:rFonts w:hint="eastAsia" w:ascii="宋体" w:hAnsi="宋体" w:cs="宋体"/>
          <w:color w:val="auto"/>
          <w:szCs w:val="21"/>
          <w:highlight w:val="none"/>
          <w:shd w:val="clear" w:color="auto" w:fill="auto"/>
          <w:lang w:val="en-US" w:eastAsia="zh-CN"/>
        </w:rPr>
        <w:t>采购人</w:t>
      </w:r>
      <w:r>
        <w:rPr>
          <w:rFonts w:hint="eastAsia" w:ascii="宋体" w:hAnsi="宋体" w:eastAsia="宋体" w:cs="宋体"/>
          <w:color w:val="auto"/>
          <w:szCs w:val="21"/>
          <w:highlight w:val="none"/>
          <w:shd w:val="clear" w:color="auto" w:fill="auto"/>
        </w:rPr>
        <w:t>有权提前解除服务合同。</w:t>
      </w:r>
    </w:p>
    <w:p>
      <w:pPr>
        <w:pStyle w:val="24"/>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highlight w:val="none"/>
          <w:shd w:val="clear" w:color="auto" w:fill="auto"/>
        </w:rPr>
        <w:t>处罚金未足</w:t>
      </w:r>
      <w:r>
        <w:rPr>
          <w:rFonts w:hint="eastAsia" w:ascii="宋体" w:hAnsi="宋体" w:eastAsia="宋体" w:cs="宋体"/>
          <w:color w:val="auto"/>
          <w:sz w:val="21"/>
          <w:szCs w:val="21"/>
          <w:shd w:val="clear" w:color="auto" w:fill="auto"/>
        </w:rPr>
        <w:t>额缴纳不予拨付当月合同款。</w:t>
      </w:r>
    </w:p>
    <w:p>
      <w:pPr>
        <w:adjustRightInd w:val="0"/>
        <w:snapToGrid w:val="0"/>
        <w:spacing w:line="440" w:lineRule="exact"/>
        <w:rPr>
          <w:rFonts w:hint="eastAsia" w:ascii="宋体" w:hAnsi="宋体" w:cs="宋体"/>
          <w:b/>
          <w:bCs/>
          <w:color w:val="auto"/>
          <w:szCs w:val="21"/>
          <w:shd w:val="clear" w:color="auto" w:fill="auto"/>
        </w:rPr>
      </w:pPr>
      <w:r>
        <w:rPr>
          <w:rFonts w:hint="eastAsia" w:ascii="宋体" w:hAnsi="宋体" w:cs="宋体"/>
          <w:b/>
          <w:bCs/>
          <w:color w:val="auto"/>
          <w:szCs w:val="21"/>
          <w:shd w:val="clear" w:color="auto" w:fill="auto"/>
        </w:rPr>
        <w:t>（质量评估表如下）</w:t>
      </w:r>
    </w:p>
    <w:p>
      <w:pPr>
        <w:pStyle w:val="2"/>
        <w:spacing w:line="440" w:lineRule="exact"/>
        <w:ind w:firstLine="420" w:firstLineChars="200"/>
        <w:rPr>
          <w:rFonts w:hint="eastAsia" w:ascii="宋体" w:hAnsi="宋体" w:cs="宋体"/>
          <w:b/>
          <w:bCs/>
          <w:color w:val="auto"/>
          <w:sz w:val="21"/>
          <w:szCs w:val="21"/>
          <w:shd w:val="clear" w:color="auto" w:fill="auto"/>
        </w:rPr>
      </w:pPr>
    </w:p>
    <w:p>
      <w:pPr>
        <w:pStyle w:val="8"/>
        <w:ind w:left="0" w:leftChars="0" w:firstLine="0" w:firstLineChars="0"/>
        <w:rPr>
          <w:rFonts w:hint="eastAsia" w:ascii="宋体" w:hAnsi="宋体" w:cs="宋体"/>
          <w:b/>
          <w:bCs/>
          <w:color w:val="auto"/>
          <w:szCs w:val="21"/>
          <w:shd w:val="clear" w:color="auto" w:fill="auto"/>
        </w:rPr>
      </w:pPr>
    </w:p>
    <w:p>
      <w:pPr>
        <w:pStyle w:val="2"/>
        <w:rPr>
          <w:rFonts w:hint="eastAsia" w:ascii="宋体" w:hAnsi="宋体" w:cs="宋体"/>
          <w:b/>
          <w:bCs/>
          <w:color w:val="auto"/>
          <w:sz w:val="21"/>
          <w:szCs w:val="21"/>
          <w:shd w:val="clear" w:color="auto" w:fill="auto"/>
        </w:rPr>
      </w:pPr>
    </w:p>
    <w:tbl>
      <w:tblPr>
        <w:tblStyle w:val="20"/>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20"/>
        <w:gridCol w:w="4335"/>
        <w:gridCol w:w="1770"/>
        <w:gridCol w:w="660"/>
        <w:gridCol w:w="66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87" w:type="dxa"/>
            <w:gridSpan w:val="6"/>
            <w:tcBorders>
              <w:top w:val="nil"/>
              <w:left w:val="nil"/>
              <w:bottom w:val="nil"/>
              <w:right w:val="nil"/>
            </w:tcBorders>
            <w:noWrap w:val="0"/>
            <w:vAlign w:val="center"/>
          </w:tcPr>
          <w:p>
            <w:pPr>
              <w:widowControl/>
              <w:spacing w:line="360" w:lineRule="exact"/>
              <w:ind w:firstLine="420" w:firstLineChars="200"/>
              <w:jc w:val="lef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评估时间：    年  月   日</w:t>
            </w:r>
          </w:p>
        </w:tc>
        <w:tc>
          <w:tcPr>
            <w:tcW w:w="752" w:type="dxa"/>
            <w:tcBorders>
              <w:top w:val="nil"/>
              <w:left w:val="nil"/>
              <w:bottom w:val="nil"/>
              <w:right w:val="nil"/>
            </w:tcBorders>
            <w:noWrap w:val="0"/>
            <w:vAlign w:val="center"/>
          </w:tcPr>
          <w:p>
            <w:pPr>
              <w:widowControl/>
              <w:spacing w:line="360" w:lineRule="exact"/>
              <w:ind w:firstLine="420" w:firstLineChars="200"/>
              <w:jc w:val="left"/>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87" w:type="dxa"/>
            <w:gridSpan w:val="6"/>
            <w:tcBorders>
              <w:top w:val="nil"/>
              <w:left w:val="nil"/>
              <w:bottom w:val="single" w:color="auto" w:sz="4" w:space="0"/>
              <w:right w:val="nil"/>
            </w:tcBorders>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（满分：100分）</w:t>
            </w:r>
          </w:p>
        </w:tc>
        <w:tc>
          <w:tcPr>
            <w:tcW w:w="752" w:type="dxa"/>
            <w:tcBorders>
              <w:top w:val="nil"/>
              <w:left w:val="nil"/>
              <w:bottom w:val="single" w:color="auto" w:sz="4" w:space="0"/>
              <w:right w:val="nil"/>
            </w:tcBorders>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62" w:type="dxa"/>
            <w:gridSpan w:val="2"/>
            <w:tcBorders>
              <w:top w:val="single" w:color="auto" w:sz="4" w:space="0"/>
            </w:tcBorders>
            <w:noWrap w:val="0"/>
            <w:vAlign w:val="center"/>
          </w:tcPr>
          <w:p>
            <w:pPr>
              <w:widowControl/>
              <w:spacing w:line="360" w:lineRule="exact"/>
              <w:jc w:val="center"/>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类别及内容</w:t>
            </w:r>
          </w:p>
        </w:tc>
        <w:tc>
          <w:tcPr>
            <w:tcW w:w="4335" w:type="dxa"/>
            <w:tcBorders>
              <w:top w:val="single" w:color="auto" w:sz="4" w:space="0"/>
            </w:tcBorders>
            <w:noWrap w:val="0"/>
            <w:vAlign w:val="center"/>
          </w:tcPr>
          <w:p>
            <w:pPr>
              <w:widowControl/>
              <w:spacing w:line="360" w:lineRule="exact"/>
              <w:jc w:val="center"/>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服务标准</w:t>
            </w:r>
          </w:p>
        </w:tc>
        <w:tc>
          <w:tcPr>
            <w:tcW w:w="1770" w:type="dxa"/>
            <w:tcBorders>
              <w:top w:val="single" w:color="auto" w:sz="4" w:space="0"/>
            </w:tcBorders>
            <w:noWrap w:val="0"/>
            <w:vAlign w:val="center"/>
          </w:tcPr>
          <w:p>
            <w:pPr>
              <w:widowControl/>
              <w:spacing w:line="360" w:lineRule="exact"/>
              <w:jc w:val="center"/>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评分标准</w:t>
            </w:r>
          </w:p>
        </w:tc>
        <w:tc>
          <w:tcPr>
            <w:tcW w:w="660" w:type="dxa"/>
            <w:tcBorders>
              <w:top w:val="single" w:color="auto" w:sz="4" w:space="0"/>
            </w:tcBorders>
            <w:noWrap w:val="0"/>
            <w:vAlign w:val="center"/>
          </w:tcPr>
          <w:p>
            <w:pPr>
              <w:widowControl/>
              <w:spacing w:line="360" w:lineRule="exact"/>
              <w:jc w:val="lef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评估得分</w:t>
            </w:r>
          </w:p>
        </w:tc>
        <w:tc>
          <w:tcPr>
            <w:tcW w:w="660" w:type="dxa"/>
            <w:tcBorders>
              <w:top w:val="single" w:color="auto" w:sz="4" w:space="0"/>
            </w:tcBorders>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扣分</w:t>
            </w:r>
          </w:p>
        </w:tc>
        <w:tc>
          <w:tcPr>
            <w:tcW w:w="752" w:type="dxa"/>
            <w:tcBorders>
              <w:top w:val="single" w:color="auto" w:sz="4" w:space="0"/>
            </w:tcBorders>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62" w:type="dxa"/>
            <w:gridSpan w:val="2"/>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人员配置（10分）</w:t>
            </w:r>
          </w:p>
        </w:tc>
        <w:tc>
          <w:tcPr>
            <w:tcW w:w="4335" w:type="dxa"/>
            <w:noWrap w:val="0"/>
            <w:vAlign w:val="center"/>
          </w:tcPr>
          <w:p>
            <w:pPr>
              <w:widowControl/>
              <w:spacing w:line="360" w:lineRule="exact"/>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各岗位工作人员的数量、学历、经历、年龄等情况。</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不达标的，每个内容扣1分；缺岗超过半个月仍未到位的，每人扣5分，扣完为止。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　</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　</w:t>
            </w: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restart"/>
            <w:noWrap w:val="0"/>
            <w:vAlign w:val="center"/>
          </w:tcPr>
          <w:p>
            <w:pPr>
              <w:widowControl/>
              <w:spacing w:line="360" w:lineRule="exact"/>
              <w:jc w:val="lef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卫生保洁服务（15分）</w:t>
            </w:r>
          </w:p>
        </w:tc>
        <w:tc>
          <w:tcPr>
            <w:tcW w:w="1020" w:type="dxa"/>
            <w:noWrap w:val="0"/>
            <w:vAlign w:val="center"/>
          </w:tcPr>
          <w:p>
            <w:pPr>
              <w:widowControl/>
              <w:spacing w:line="360" w:lineRule="exact"/>
              <w:jc w:val="lef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室内（各大中心</w:t>
            </w:r>
            <w:r>
              <w:rPr>
                <w:rFonts w:hint="eastAsia" w:ascii="宋体" w:hAnsi="宋体" w:cs="宋体"/>
                <w:b/>
                <w:bCs/>
                <w:color w:val="auto"/>
                <w:szCs w:val="21"/>
                <w:shd w:val="clear" w:color="auto" w:fill="auto"/>
              </w:rPr>
              <w:t>公共区域</w:t>
            </w:r>
            <w:r>
              <w:rPr>
                <w:rFonts w:hint="eastAsia" w:ascii="宋体" w:hAnsi="宋体" w:cs="宋体"/>
                <w:b/>
                <w:bCs/>
                <w:color w:val="auto"/>
                <w:kern w:val="0"/>
                <w:szCs w:val="21"/>
                <w:shd w:val="clear" w:color="auto" w:fill="auto"/>
              </w:rPr>
              <w:t>）卫生清洁标准（4分）</w:t>
            </w:r>
          </w:p>
        </w:tc>
        <w:tc>
          <w:tcPr>
            <w:tcW w:w="4335" w:type="dxa"/>
            <w:noWrap w:val="0"/>
            <w:vAlign w:val="center"/>
          </w:tcPr>
          <w:p>
            <w:pPr>
              <w:widowControl/>
              <w:spacing w:line="320" w:lineRule="exact"/>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1.墙裙（面）：每周至少清扫1次，保持无尘迹、无污垢、无蜘蛛网。</w:t>
            </w:r>
          </w:p>
          <w:p>
            <w:pPr>
              <w:widowControl/>
              <w:spacing w:line="320" w:lineRule="exact"/>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2.楼顶:每个月至少清扫2次，保持无垃圾、排水口不堵塞、无蜘蛛网。</w:t>
            </w:r>
          </w:p>
          <w:p>
            <w:pPr>
              <w:widowControl/>
              <w:spacing w:line="320" w:lineRule="exact"/>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3.楼面：每个月至少清扫2次，保持楼面无蜘蛛网。</w:t>
            </w:r>
          </w:p>
          <w:p>
            <w:pPr>
              <w:widowControl/>
              <w:spacing w:line="320" w:lineRule="exact"/>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4.卫生间:每天按需冲洗刷、至少拖地2次、至少消毒2次，保持卫生间无异味，地面、洗手台无积水，马桶、蹲坑瓷盆无污垢、无蜘蛛网。</w:t>
            </w:r>
          </w:p>
          <w:p>
            <w:pPr>
              <w:widowControl/>
              <w:spacing w:line="320" w:lineRule="exact"/>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5.走廊、通道：地板每天至少保洁2次，每月至少保养1次；玻璃窗每两周抹一次；垃圾桶一天一清；消防栓、灯开关等一周抹一次。保持地面无污垢、无垃圾、无蜘蛛网。</w:t>
            </w:r>
          </w:p>
          <w:p>
            <w:pPr>
              <w:widowControl/>
              <w:spacing w:line="320" w:lineRule="exact"/>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6.楼梯：每天至少保洁1次，保持楼梯无污垢、无垃圾、无蜘蛛网。</w:t>
            </w:r>
          </w:p>
          <w:p>
            <w:pPr>
              <w:widowControl/>
              <w:spacing w:line="320" w:lineRule="exact"/>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7.垃圾桶：每天至少清理1次，每周至少清洗2次，保持垃圾桶内、外表干净、无蜘蛛网，桶内无异味。</w:t>
            </w:r>
          </w:p>
          <w:p>
            <w:pPr>
              <w:widowControl/>
              <w:spacing w:line="320" w:lineRule="exact"/>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8.扶手：每周至少擦3次，每个学期上油保养一次，保持扶手无尘迹、无蜘蛛网。</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kern w:val="0"/>
                <w:szCs w:val="21"/>
                <w:shd w:val="clear" w:color="auto" w:fill="auto"/>
              </w:rPr>
              <w:t>9.大堂：</w:t>
            </w:r>
            <w:r>
              <w:rPr>
                <w:rFonts w:hint="eastAsia" w:ascii="宋体" w:hAnsi="宋体" w:cs="宋体"/>
                <w:color w:val="auto"/>
                <w:szCs w:val="21"/>
                <w:shd w:val="clear" w:color="auto" w:fill="auto"/>
              </w:rPr>
              <w:t>一层地板至少每天早上保洁1次、中午保洁1次，每月至少保养1次；二层地板至少每天保洁1次；玻璃每月至少清刮1次；天花板每周至少清扫1次。</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10.电梯：每周至少上不锈钢油1次；每天随时检查，地毯1天1换，保持电梯光亮、无污垢、无蜘蛛网。</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11.地毯、窗帘、家具、设备设施：地毯每年至少清洗保养2次；窗帘每年至少清洗保养1次；家具每月至少保养1次；设备设施每周至少擦3次。保持地毯和窗帘干净清洁、无蜘蛛网；家具光亮、无蜘蛛网；设备设施干净清洁、无蜘蛛网。</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12.内庭：每天至少清扫1次，每季度至少冲洗2次，保持无垃圾、无蜘蛛网。</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13.地下车库：每周至少清扫3次，每月至少清洗2次，保持无垃圾、无沙尘、无蜘蛛网。</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14.学校各楼栋7米以下内墙墙面（含玻璃幕墙的内墙）清洗：每个月至少清洗2次，用湿润毛巾进行擦拭，或用滚动拖把来回滚拖，清除污迹、污垢、水印和蜘蛛网等。</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室外卫生清洁标准（4分）</w:t>
            </w:r>
          </w:p>
        </w:tc>
        <w:tc>
          <w:tcPr>
            <w:tcW w:w="4335" w:type="dxa"/>
            <w:noWrap w:val="0"/>
            <w:vAlign w:val="center"/>
          </w:tcPr>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1.道路：每日至少清扫2次，保持道路无垃圾、无明显落叶。</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2.停车场：每周至少清扫3次，每月至少清洗2次，保持无垃圾、无明显落叶。</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3.校内广场：每天至少清扫1次，保持无垃圾、无明显落叶。</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4.垃圾箱：每天至少清理2次，每周至少清洗2次，保持箱体内无异味、外表无明显尘迹、周边无污垢、无蜘蛛网，桶内垃圾及时清理。</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5.路灯：每月至少清洁2次，保持灯柱无明显尘迹、灯罩处无蜘蛛网。</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6.升旗台，每天至少清洁1次，保持台面无明显尘迹、无蜘蛛网。</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7.雕塑：每天至少清洁1次，保持无明显尘迹、无锈、无蜘蛛网。</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8.标识标牌：每周至少清洁2次，保持无污痕、无明显尘迹、无蜘蛛网。</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9.桥：每周至少清洁3次，保持栏杆无明显尘迹、无蜘蛛网。</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10.明沟：每天至少清扫2次，保持明沟无垃圾、无积水。</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11.沉沙井：每月至少清理1次，保持无尘沙、排水通畅。</w:t>
            </w:r>
          </w:p>
          <w:p>
            <w:pPr>
              <w:widowControl/>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12.草坪：每天至少清扫1次，保持无垃圾、无明显落叶。</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水域景观池、水景保洁标准（4分）</w:t>
            </w:r>
          </w:p>
        </w:tc>
        <w:tc>
          <w:tcPr>
            <w:tcW w:w="4335" w:type="dxa"/>
            <w:noWrap w:val="0"/>
            <w:vAlign w:val="center"/>
          </w:tcPr>
          <w:p>
            <w:pPr>
              <w:adjustRightInd w:val="0"/>
              <w:snapToGrid w:val="0"/>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lang w:val="en-US" w:eastAsia="zh-CN"/>
              </w:rPr>
              <w:t>1.</w:t>
            </w:r>
            <w:r>
              <w:rPr>
                <w:rFonts w:hint="eastAsia" w:ascii="宋体" w:hAnsi="宋体" w:cs="宋体"/>
                <w:color w:val="auto"/>
                <w:kern w:val="0"/>
                <w:szCs w:val="21"/>
                <w:shd w:val="clear" w:color="auto" w:fill="auto"/>
                <w:lang w:eastAsia="zh-CN"/>
              </w:rPr>
              <w:t>会议中心</w:t>
            </w:r>
            <w:r>
              <w:rPr>
                <w:rFonts w:hint="eastAsia" w:ascii="宋体" w:hAnsi="宋体" w:cs="宋体"/>
                <w:color w:val="auto"/>
                <w:kern w:val="0"/>
                <w:szCs w:val="21"/>
                <w:shd w:val="clear" w:color="auto" w:fill="auto"/>
              </w:rPr>
              <w:t>水景：每周至少清洗5次，即时对水池漂浮物、杂物进行清理；保持无水垢、青苔，打捞漂浮垃圾，保持水体干净。</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lang w:val="en-US" w:eastAsia="zh-CN"/>
              </w:rPr>
              <w:t>2.</w:t>
            </w:r>
            <w:r>
              <w:rPr>
                <w:rFonts w:hint="eastAsia" w:ascii="宋体" w:hAnsi="宋体" w:cs="宋体"/>
                <w:color w:val="auto"/>
                <w:szCs w:val="21"/>
                <w:shd w:val="clear" w:color="auto" w:fill="auto"/>
              </w:rPr>
              <w:t>.学校垃圾（厨余餐余垃圾、生活垃圾、园林垃圾）清运：即时清运，日产日清。</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lang w:val="en-US" w:eastAsia="zh-CN"/>
              </w:rPr>
              <w:t>3.</w:t>
            </w:r>
            <w:r>
              <w:rPr>
                <w:rFonts w:hint="eastAsia" w:ascii="宋体" w:hAnsi="宋体" w:cs="宋体"/>
                <w:color w:val="auto"/>
                <w:szCs w:val="21"/>
                <w:shd w:val="clear" w:color="auto" w:fill="auto"/>
              </w:rPr>
              <w:t>.学校园的“除四害”及马蜂、蛇、白蚁、红火蚁等防范工作，协助下水道、化粪池清理及现场的清洁：按照学校与相关单位的协议要求及学校实际情况开展工作，全年防控，达到《国家爱国卫生运动委员会除害标准》规定的除害工作管理目标。</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2.5米墙面清洗质量标准（3分）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学校各楼栋玻璃幕墙的外墙清洗：每年至少清洗2次，保持玻璃幕墙清洗后无灰尘、污垢、污渍、水迹、手印等印迹，玻璃幕墙与金属结构框之间的缝隙不得有污垢存在，玻璃幕墙拼接处的硅硐密封胶缝表面应无污垢，室外金属结构框的立面、平面上不得有污垢、污渍、灰尘、水迹手印等其它印迹，玻璃幕墙处理的达到无尘、无垢、光洁明亮，玻璃幕墙干刮处理后墙面等无损坏现象。</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2.学校各楼栋的室外2.5米墙体清洗：每年至少清洗2次，严格按照安全生产要求、操作规范、清洁标准进行施工，可以进行洒水冲洗，以达到所清洗建筑表面目视无明显污渍、灰垢、水印，无蜘蛛网。</w:t>
            </w:r>
          </w:p>
          <w:p>
            <w:pPr>
              <w:adjustRightInd w:val="0"/>
              <w:snapToGrid w:val="0"/>
              <w:spacing w:line="360" w:lineRule="exact"/>
              <w:rPr>
                <w:rFonts w:hint="eastAsia" w:ascii="宋体" w:hAnsi="宋体" w:cs="宋体"/>
                <w:color w:val="auto"/>
                <w:kern w:val="0"/>
                <w:szCs w:val="21"/>
                <w:shd w:val="clear" w:color="auto" w:fill="auto"/>
              </w:rPr>
            </w:pPr>
            <w:r>
              <w:rPr>
                <w:rFonts w:hint="eastAsia" w:ascii="宋体" w:hAnsi="宋体" w:cs="宋体"/>
                <w:color w:val="auto"/>
                <w:szCs w:val="21"/>
                <w:shd w:val="clear" w:color="auto" w:fill="auto"/>
              </w:rPr>
              <w:t>3.学校各楼栋2.5米以下内墙墙面（含玻璃幕墙的内墙）清洗：每年至少清洗2次，用湿润毛巾进行擦拭，或用滚动拖把来回滚拖，清除污迹、污垢、水印和蜘蛛网等。</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restart"/>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安全保卫服务（20分）</w:t>
            </w: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门岗岗位职责标准（4分）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1.熟悉校园的常驻人口、车辆等情况。</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严格实行访客出入登记制度。检查进入校园的外来人员，要问清楚进入的理由，并办理登记手续，经检验无误和征询被访人同意后准予进入；不准拾荒、小摊贩、推销人员及其他闲杂人员进入，对进出的劳务人员实行临时出入证管理。</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严格进出车辆管理和疏导，保持出入口有序畅通。检查进入校园的各种车辆，对在校园有停车位的车辆和公务车辆凭通行证出入，对进入校园的外来车辆，要问清楚进入的理由，并办理登记手续，经检验无误后，在有空余车位的情况下发牌准予进入，凭牌、卡出入校园。</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4.阻止大型车辆进入校园（特种车辆和特殊情况除外）；禁止载有易燃、易爆、有毒、有害及其它危险物品的车辆进入</w:t>
            </w:r>
            <w:r>
              <w:rPr>
                <w:rFonts w:hint="eastAsia" w:ascii="宋体" w:hAnsi="宋体" w:cs="宋体"/>
                <w:color w:val="auto"/>
                <w:szCs w:val="21"/>
                <w:shd w:val="clear" w:color="auto" w:fill="auto"/>
                <w:lang w:eastAsia="zh-CN"/>
              </w:rPr>
              <w:t>采购人</w:t>
            </w:r>
            <w:r>
              <w:rPr>
                <w:rFonts w:hint="eastAsia" w:ascii="宋体" w:hAnsi="宋体" w:cs="宋体"/>
                <w:color w:val="auto"/>
                <w:szCs w:val="21"/>
                <w:shd w:val="clear" w:color="auto" w:fill="auto"/>
              </w:rPr>
              <w:t>校园。</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5.检查进出门口的物资。院外物资送入</w:t>
            </w:r>
            <w:r>
              <w:rPr>
                <w:rFonts w:hint="eastAsia" w:ascii="宋体" w:hAnsi="宋体" w:cs="宋体"/>
                <w:color w:val="auto"/>
                <w:szCs w:val="21"/>
                <w:shd w:val="clear" w:color="auto" w:fill="auto"/>
                <w:lang w:eastAsia="zh-CN"/>
              </w:rPr>
              <w:t>采购人</w:t>
            </w:r>
            <w:r>
              <w:rPr>
                <w:rFonts w:hint="eastAsia" w:ascii="宋体" w:hAnsi="宋体" w:cs="宋体"/>
                <w:color w:val="auto"/>
                <w:szCs w:val="21"/>
                <w:shd w:val="clear" w:color="auto" w:fill="auto"/>
              </w:rPr>
              <w:t>校园的，要认真登记检查，防止危险物品带入</w:t>
            </w:r>
            <w:r>
              <w:rPr>
                <w:rFonts w:hint="eastAsia" w:ascii="宋体" w:hAnsi="宋体" w:cs="宋体"/>
                <w:color w:val="auto"/>
                <w:szCs w:val="21"/>
                <w:shd w:val="clear" w:color="auto" w:fill="auto"/>
                <w:lang w:eastAsia="zh-CN"/>
              </w:rPr>
              <w:t>采购人</w:t>
            </w:r>
            <w:r>
              <w:rPr>
                <w:rFonts w:hint="eastAsia" w:ascii="宋体" w:hAnsi="宋体" w:cs="宋体"/>
                <w:color w:val="auto"/>
                <w:szCs w:val="21"/>
                <w:shd w:val="clear" w:color="auto" w:fill="auto"/>
              </w:rPr>
              <w:t>校园：如有校园物资、设备运出要凭放行条放行。</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6.对大门口周围交通管理及安全秩序维护，不准机动车和非机动车在门口停放，确保大门区域出入畅通。</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7.做好大门周围环境卫生，保持大门区域清洁。</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保安人员岗位职责标准（3分）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1.对来访人员进行验证确认、登记，杜绝闲杂人员进入。</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2.安保岗位要不定期进行巡查。</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3.维护好校园秩序，保障秩序良好，道路通畅，车辆停放有序。</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4.及时发现和处理各种安全和事故隐患，不发生安全方面的问题。</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巡逻岗位职责标准（4分）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1.熟悉校园的常驻人口、车辆等情况。</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外围巡逻：早、中班巡逻次数不少于10次，夜班巡逻次数不少于8次，巡逻人员要认真巡查各楼宇、围墙、安全防范设备、停放车辆变化情况并做好记录。楼内巡逻：根据各楼栋功能、使用情况制定巡逻次数，各楼栋每天晚上结束使用前进行清场巡逻后实施封闭。</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3.指挥引导车辆有序停放，保障道路畅通。</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4.每日查看消防设施，每月检查消防设施一次并做记录。</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5.防止各类不利于校园治安秩序，特别是盗窃、火灾、打架斗殴等事故和危害校园稳定事件的发生，一旦发现立即报告和处置。</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6.与门岗协作，互通校园安保情况和处理有关问题。</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7.对临靠辖区岸边的垂钓等船只及时劝离和报告相关部门。</w:t>
            </w:r>
          </w:p>
        </w:tc>
        <w:tc>
          <w:tcPr>
            <w:tcW w:w="1770" w:type="dxa"/>
            <w:noWrap w:val="0"/>
            <w:vAlign w:val="center"/>
          </w:tcPr>
          <w:p>
            <w:pPr>
              <w:widowControl/>
              <w:spacing w:line="360" w:lineRule="exact"/>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消控队员岗位职责标准（4分）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1.遵守消防控制室的各项安全操作规程和各项消防安全管理制度。</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 xml:space="preserve">2.实行每日24小时值班制度，每班不得少于2人，确保及时发现并准确处置火灾和故障报警。    </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3.消防控制室自动消防系统的操作人员，必须经过公安消防机构培训合格后，持证上岗，证件存放在消防控制室内备查。</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4.按时上岗，坚守岗位，不得脱岗、替岗，认真做好交接班工作，接班人员未到岗前交班人员不得擅自离岗。</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5.值班人员应认真做好值班记录，突发火警、故障及其他特殊情况等信息，及时处置并报告，并将相关书面资料存档备案。</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6.配备相应的通讯联络工具。</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7.消防控制室工作人员要爱护消防控制室的设施，保持控制室内的卫生。</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8.严禁无关人员进入消防控制室，随意触动设备。</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9.消防控制室内严禁存放易燃易爆危险物品和堆放与设备运行无关的物品或杂物，严禁与消防控制室无关的电气线路和管道穿过。</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10.消防控制室内严禁吸烟或动用明火。</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大型活动、重大会议、重要接待安保标准（5分）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1.信息研判。（1）配合公安机关、国家安全机关制定安保方案。（2）配合公安机关，国家安全机关对重点人员、特殊人员进行暗查、暗访，防止别有意图者在活动现场恶意破坏。</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线路规划。做好应急处置工作，制定应急预案。（1）与积极主动沟通，做好线路规划。（2）协助与公安、特警、武警、警卫局等单位协同配合，勘查行进路线，标注隐蔽的角落、曲折的小路等潜在的事故多发地，设置通行速度最快、最安全的路线。三是安排专人负责引导活动车队按照行进路线出入，引导好车辆交通秩序。</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现场控制。落实相关人员、车辆、设备等要素，灵活应对现场不断发展变化的新情况。（1）提前与进行对接，明确入场时间和结束时间、明确进场人员的身份类型和数量、明确入场凭证类型，如车辆通行证、工作牌以及统一标志的着装等。（2）提前制作安全提示牌并放置于活动现场的醒目位置，安排工作人员在各个安检通道进行警戒观察，设置缓冲区分批放入，必要时可组织“人墙”进行物理隔离。（3）活动现场的指挥人员应掌握各个岗位工作人员的姓名、位置和联系方式，实现岗责统一，同时为门岗、内勤、巡逻等小组的负责人配备对讲机，便于消息的及时传达。（4）在消控室、配电室、发电机房等重点部位都应安排工作人员全程值守，防止遭到人为破坏。</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视频监控。（1）对活动现场进行全程观察，及时向现场控制指挥人员报告会场情况。（2）认真观察视频监控图像，密切关注举止异常的行人和车辆。（3）对可疑人员和车辆进行实时跟进，排查出其运行轨迹后告知相关部门。</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应急处置。（1）与公安、消防、卫生等相关部门联系组建应急小组，进行伤员救治、人员疏散、爆炸物转移、消防灭火等演习。（2）活动当日，应急小组应当在活动现场随时待命，以便遇到突发状况时能够迅速到达现场处置。</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restart"/>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绿化养护服务</w:t>
            </w:r>
          </w:p>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（15分）</w:t>
            </w: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总体标准（2分）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绿化养护技术措施完善，管理得当，植物配置科学合理，枝杆、叶子健壮无虫害，绿植造型线条简洁整齐。</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关键节点的养护标准（2分）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广场、膳食中心、3-5号宿舍楼接待总台、6号宿舍楼接待总台、8-11号专家楼周围区域要达到城市园林绿化一级养护标准。</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乔、灌木养护标准（1分）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1.叶子健壮：叶色正常，叶大而肥厚、在正常的条件下不黄叶，不焦叶、不卷叶、不落叶，叶上无虫尿虫网灰尘；被啃咬的叶片最严重的每株在5％以下（包括5％）。</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枝、干健壮：无明显枯枝、死枝、枝条粗壮，过冬前新梢木质化；无蛀干害虫的活卵活虫；介壳虫最严重处主枝干上100平方厘米1头活虫以下（包括1头），较细的枝条30厘米的一段上在5头活虫以下（包括5头）；株数都在2％以下（包括2％）；树冠完整：分支点合适，主侧枝分布匀称和数量适宜、内膛不乱、通风透光。</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3.花灌木开花及时，株形丰满，花后修剪及时合理。</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4.行道树树冠基本完整，主侧枝分布匀称，树冠通风透光，树干上无钉拴刻画的现象，缺株在1%以下。</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5.树木上的寄生植物不超过3处，每处不超过0.5㎡。</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6.及时修剪,保持树型美观。行道树修剪枝下高标准为：胸径5cm～9cm的小乔木，不低于2m；胸径10cm～19cm的中等乔木，不低于2.5m；胸径20cm～30cm的大乔木，不低于3m；胸径35cm以上特大乔木，不低于3.5m。球状灌木、带状绿篱徒长枝不超过5 cm，能及时很好地解决树木与电缆、建筑物、交通等之间的矛盾。</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7.绿化生产垃圾重点地区路段能做到随产随清，其它地区和路段做到日产日清；绿地整洁，无砖石瓦块、筐和塑料袋等废弃物，并做到经常保洁。</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8.对于生长过程中严重歪斜的树木要及时采取扶正、加固措施，并及时松土，修树盘。</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9.每年立冬前10天开始对乔木用生石灰水按相关标准涂白（棕榈科植物除外）消灭过冬虫害。</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10.加强自然绿地的巡查，防止松毛虫、寄生藤的产生和蔓延，基本无病虫危害迹象。</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11.常年保持所有灌木及乔木的树盆完整，使之泥土松弛、透水、无杂草。</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12.其他养护要求按城市园林绿化二级养护标准执行。</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草坪及其他植被养护</w:t>
            </w:r>
          </w:p>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标准（1分）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1.草坪覆盖率要基本达到100％。</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2.草坪内杂草控制在10％以内。</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3.生长茂盛，颜色正常（青绿色），不枯黄。</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4.保持草坪四季常绿，每年修剪6次以上，草长不超过8厘米。</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5.无病虫害迹象。</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6.绿地、草坪内无堆物堆料、搭棚或侵占等。</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7.根据草坪种类、季节、天气、土质、生长周期等情况，实施淋水、施肥、修剪和灭虫，草坪虫害以预防为主，虫害面积不超过草坪面积1%。</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8.草坪因施工或其他原因出现窝坑的，要及时填平，保证无明显窝坑。</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9.及时清除杂草，每平方米范围内杂草不超过2株（或杂草占有率不超过单块面积的2%）。</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10.草坪内的点缀植树要保持良好的生长形态，养护要求按照乔木、灌木按城市园林绿化二级养护标准实行。</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11.在现有绿地范围内，如有局部裸地现象，要因地适宜及时补种，保证裸地面积不超过0.5%。</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12.垂直绿化要根据不同植物的攀援特点，及时采取相要的牵引、设置网架等技术措施，视攀援植物生长习性，覆盖率不得低于90%。开花的攀援植物要适时开花，且花繁色艳。   </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13.其他养护要求按城市园林绿化二级养护标准执行。</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盆景（盆栽花、球形灌木）养护标准（1分）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1.经常修剪、保持原有造型，无明显病虫害。</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2.淋水不允许把泥土冲出盆外，保持花盆外观无污迹，盆景摆放处1平方米范围内无泥土污垢。</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3.保持盆土疏松，无杂草及垃圾物。</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4.根据需求，保证可随时根据的需要移动盆景，不能损坏花盆、损伤枝干。</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5.施放无臭味的生态肥料，淋水范围要加以控制，保持盆景生长旺盛。</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6.罗汉松、树桩盆景及其他盆栽花的养护按城市园林绿化一级养护标准执行。</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绿篱（片植）带养护标准（1分）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1.及时修剪，徒枝长不超过5厘米，植物面干净、整洁、平整、层次清晰，造型新颖，杂草率低于1%。</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2.耐修剪植物，其叶面缝隙小于5厘米。</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3.半耐修剪植物，其叶面缝隙为交叉层，不能直接露出植物根部及泥土。</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4.不用修剪的植物按乔木、灌木二级养护标准执行。</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5.其他养护要求按城市园林绿化二级养护标准执行。</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竹类养护标准（1分）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 xml:space="preserve">1.对季节性出现的病虫害，要做到提前防治，防止大面积病虫害的出现。       </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2.因天气或不可预测出现竹子倒伏的情况，要及时加派人手扶正，并加固支架，防止二次倒伏。</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3.根据天气适当浇水，保持所有竹林下泥土松弛、透水、无杂草。</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4.对掉落的叶子只能适当保留覆盖表土为宜，其余要及时清理。</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5.砍除老竹，病竹，倒伏竹，保留适当密度，使竹林通风透光，使之健壮。</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6.其他养护要求按城市绿化二级养护标准执行。</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植物补种标准（1分）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因自然原因造成地被植物长势不良、泥土裸露，要求对绿化植被进行补植的，</w:t>
            </w:r>
            <w:r>
              <w:rPr>
                <w:rFonts w:hint="eastAsia" w:ascii="宋体" w:hAnsi="宋体" w:cs="宋体"/>
                <w:color w:val="auto"/>
                <w:szCs w:val="21"/>
                <w:shd w:val="clear" w:color="auto" w:fill="auto"/>
                <w:lang w:eastAsia="zh-CN"/>
              </w:rPr>
              <w:t>成交供应商</w:t>
            </w:r>
            <w:r>
              <w:rPr>
                <w:rFonts w:hint="eastAsia" w:ascii="宋体" w:hAnsi="宋体" w:cs="宋体"/>
                <w:color w:val="auto"/>
                <w:szCs w:val="21"/>
                <w:shd w:val="clear" w:color="auto" w:fill="auto"/>
              </w:rPr>
              <w:t>要负责种植及养护（绿化改造项目除外），苗木由提供。对新种植苗木经验收合格的，两年养护期后由</w:t>
            </w:r>
            <w:r>
              <w:rPr>
                <w:rFonts w:hint="eastAsia" w:ascii="宋体" w:hAnsi="宋体" w:cs="宋体"/>
                <w:color w:val="auto"/>
                <w:szCs w:val="21"/>
                <w:shd w:val="clear" w:color="auto" w:fill="auto"/>
                <w:lang w:eastAsia="zh-CN"/>
              </w:rPr>
              <w:t>成交供应商</w:t>
            </w:r>
            <w:r>
              <w:rPr>
                <w:rFonts w:hint="eastAsia" w:ascii="宋体" w:hAnsi="宋体" w:cs="宋体"/>
                <w:color w:val="auto"/>
                <w:szCs w:val="21"/>
                <w:shd w:val="clear" w:color="auto" w:fill="auto"/>
              </w:rPr>
              <w:t>接收、养护。</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水景沿岸水生植物养护标准（1分）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定期修剪人工种植的植物和及时清除野生乱长的植物、对沿岸景观植物及时进行施肥等日常养护。</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校园的景观石，水景景观服务标准（1分）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定期对校园的景观石进行维护保养，修剪沿岸人工种植的植物，及时清除野生乱长的植物、对沿岸景观植物及时进行施肥等日常养护。</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室内阴生植物购置配送及养护标准（1分）</w:t>
            </w:r>
          </w:p>
        </w:tc>
        <w:tc>
          <w:tcPr>
            <w:tcW w:w="4335" w:type="dxa"/>
            <w:noWrap w:val="0"/>
            <w:vAlign w:val="center"/>
          </w:tcPr>
          <w:p>
            <w:pPr>
              <w:numPr>
                <w:ilvl w:val="0"/>
                <w:numId w:val="14"/>
              </w:num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范围包括各大中心。</w:t>
            </w:r>
          </w:p>
          <w:p>
            <w:pPr>
              <w:numPr>
                <w:ilvl w:val="0"/>
                <w:numId w:val="14"/>
              </w:num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根据植物生长特性，淋水以土壤湿润为主，不允许把泥土冲出盆外，保持花盆外观无污迹，接水盆内无积水，防治蚊虫滋生。</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3.保持植物清洁，叶面无灰尘、无病黄叶。</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4.植物要求施肥、松土，保持盆内土壤疏松透气。</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5.按要求，</w:t>
            </w:r>
            <w:r>
              <w:rPr>
                <w:rFonts w:hint="eastAsia" w:ascii="宋体" w:hAnsi="宋体" w:cs="宋体"/>
                <w:color w:val="auto"/>
                <w:szCs w:val="21"/>
                <w:shd w:val="clear" w:color="auto" w:fill="auto"/>
                <w:lang w:eastAsia="zh-CN"/>
              </w:rPr>
              <w:t>成交供应商</w:t>
            </w:r>
            <w:r>
              <w:rPr>
                <w:rFonts w:hint="eastAsia" w:ascii="宋体" w:hAnsi="宋体" w:cs="宋体"/>
                <w:color w:val="auto"/>
                <w:szCs w:val="21"/>
                <w:shd w:val="clear" w:color="auto" w:fill="auto"/>
              </w:rPr>
              <w:t>对新购置的植物按要求进行摆放，并对已摆设的植物位置进行调整，如有临时搬抬任务，</w:t>
            </w:r>
            <w:r>
              <w:rPr>
                <w:rFonts w:hint="eastAsia" w:ascii="宋体" w:hAnsi="宋体" w:cs="宋体"/>
                <w:color w:val="auto"/>
                <w:szCs w:val="21"/>
                <w:shd w:val="clear" w:color="auto" w:fill="auto"/>
                <w:lang w:eastAsia="zh-CN"/>
              </w:rPr>
              <w:t>成交供应商</w:t>
            </w:r>
            <w:r>
              <w:rPr>
                <w:rFonts w:hint="eastAsia" w:ascii="宋体" w:hAnsi="宋体" w:cs="宋体"/>
                <w:color w:val="auto"/>
                <w:szCs w:val="21"/>
                <w:shd w:val="clear" w:color="auto" w:fill="auto"/>
              </w:rPr>
              <w:t>要及时安排人员完成搬抬工作。</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6.在排除不可抗拒因素影响条件下，要保证植物长势良好的生长周期为5个月以上。</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日常绿化苗木、花草、阴生植物及其它植被的采购与种植（1分）</w:t>
            </w:r>
          </w:p>
        </w:tc>
        <w:tc>
          <w:tcPr>
            <w:tcW w:w="4335" w:type="dxa"/>
            <w:noWrap w:val="0"/>
            <w:vAlign w:val="center"/>
          </w:tcPr>
          <w:p>
            <w:pPr>
              <w:adjustRightInd w:val="0"/>
              <w:snapToGrid w:val="0"/>
              <w:spacing w:line="360" w:lineRule="exact"/>
              <w:rPr>
                <w:rFonts w:hint="eastAsia" w:ascii="宋体" w:hAnsi="宋体" w:cs="宋体"/>
                <w:color w:val="auto"/>
                <w:kern w:val="0"/>
                <w:szCs w:val="21"/>
                <w:shd w:val="clear" w:color="auto" w:fill="auto"/>
              </w:rPr>
            </w:pPr>
            <w:r>
              <w:rPr>
                <w:rFonts w:hint="eastAsia" w:ascii="宋体" w:hAnsi="宋体" w:cs="宋体"/>
                <w:color w:val="auto"/>
                <w:szCs w:val="21"/>
                <w:shd w:val="clear" w:color="auto" w:fill="auto"/>
              </w:rPr>
              <w:t>根据年度绿化工作计划和临时绿化工作安排，</w:t>
            </w:r>
            <w:r>
              <w:rPr>
                <w:rFonts w:hint="eastAsia" w:ascii="宋体" w:hAnsi="宋体" w:cs="宋体"/>
                <w:color w:val="auto"/>
                <w:szCs w:val="21"/>
                <w:shd w:val="clear" w:color="auto" w:fill="auto"/>
                <w:lang w:eastAsia="zh-CN"/>
              </w:rPr>
              <w:t>成交供应商</w:t>
            </w:r>
            <w:r>
              <w:rPr>
                <w:rFonts w:hint="eastAsia" w:ascii="宋体" w:hAnsi="宋体" w:cs="宋体"/>
                <w:color w:val="auto"/>
                <w:szCs w:val="21"/>
                <w:shd w:val="clear" w:color="auto" w:fill="auto"/>
              </w:rPr>
              <w:t>要对拟需采购植被的品种、数量、规格、价格及完成时限等拟定实施方案，交</w:t>
            </w:r>
            <w:r>
              <w:rPr>
                <w:rFonts w:hint="eastAsia" w:ascii="宋体" w:hAnsi="宋体" w:cs="宋体"/>
                <w:color w:val="auto"/>
                <w:szCs w:val="21"/>
                <w:shd w:val="clear" w:color="auto" w:fill="auto"/>
                <w:lang w:val="en-US" w:eastAsia="zh-CN"/>
              </w:rPr>
              <w:t>采购人</w:t>
            </w:r>
            <w:r>
              <w:rPr>
                <w:rFonts w:hint="eastAsia" w:ascii="宋体" w:hAnsi="宋体" w:cs="宋体"/>
                <w:color w:val="auto"/>
                <w:szCs w:val="21"/>
                <w:shd w:val="clear" w:color="auto" w:fill="auto"/>
              </w:rPr>
              <w:t>审核并实施采购，</w:t>
            </w:r>
            <w:r>
              <w:rPr>
                <w:rFonts w:hint="eastAsia" w:ascii="宋体" w:hAnsi="宋体" w:cs="宋体"/>
                <w:color w:val="auto"/>
                <w:szCs w:val="21"/>
                <w:shd w:val="clear" w:color="auto" w:fill="auto"/>
                <w:lang w:eastAsia="zh-CN"/>
              </w:rPr>
              <w:t>成交供应商</w:t>
            </w:r>
            <w:r>
              <w:rPr>
                <w:rFonts w:hint="eastAsia" w:ascii="宋体" w:hAnsi="宋体" w:cs="宋体"/>
                <w:color w:val="auto"/>
                <w:szCs w:val="21"/>
                <w:shd w:val="clear" w:color="auto" w:fill="auto"/>
              </w:rPr>
              <w:t>实施种植工作。</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苗木、农药、化肥等材料的采购（1分）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1.协助</w:t>
            </w:r>
            <w:r>
              <w:rPr>
                <w:rFonts w:hint="eastAsia" w:ascii="宋体" w:hAnsi="宋体" w:cs="宋体"/>
                <w:color w:val="auto"/>
                <w:szCs w:val="21"/>
                <w:shd w:val="clear" w:color="auto" w:fill="auto"/>
                <w:lang w:val="en-US" w:eastAsia="zh-CN"/>
              </w:rPr>
              <w:t>采购人</w:t>
            </w:r>
            <w:r>
              <w:rPr>
                <w:rFonts w:hint="eastAsia" w:ascii="宋体" w:hAnsi="宋体" w:cs="宋体"/>
                <w:color w:val="auto"/>
                <w:szCs w:val="21"/>
                <w:shd w:val="clear" w:color="auto" w:fill="auto"/>
              </w:rPr>
              <w:t>编制计划、预算和采购清单。</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2.做好日常各类记录，经统计汇总后及时向</w:t>
            </w:r>
            <w:r>
              <w:rPr>
                <w:rFonts w:hint="eastAsia" w:ascii="宋体" w:hAnsi="宋体" w:cs="宋体"/>
                <w:color w:val="auto"/>
                <w:szCs w:val="21"/>
                <w:shd w:val="clear" w:color="auto" w:fill="auto"/>
                <w:lang w:val="en-US" w:eastAsia="zh-CN"/>
              </w:rPr>
              <w:t>采购人</w:t>
            </w:r>
            <w:r>
              <w:rPr>
                <w:rFonts w:hint="eastAsia" w:ascii="宋体" w:hAnsi="宋体" w:cs="宋体"/>
                <w:color w:val="auto"/>
                <w:szCs w:val="21"/>
                <w:shd w:val="clear" w:color="auto" w:fill="auto"/>
              </w:rPr>
              <w:t>报备。</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restart"/>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color w:val="auto"/>
                <w:szCs w:val="21"/>
                <w:shd w:val="clear" w:color="auto" w:fill="auto"/>
                <w:lang w:eastAsia="zh-CN"/>
              </w:rPr>
              <w:t>教学</w:t>
            </w:r>
            <w:r>
              <w:rPr>
                <w:rFonts w:hint="eastAsia" w:ascii="宋体" w:hAnsi="宋体" w:cs="宋体"/>
                <w:color w:val="auto"/>
                <w:szCs w:val="21"/>
                <w:shd w:val="clear" w:color="auto" w:fill="auto"/>
              </w:rPr>
              <w:t>中心室内</w:t>
            </w:r>
            <w:r>
              <w:rPr>
                <w:rFonts w:hint="eastAsia" w:ascii="宋体" w:hAnsi="宋体" w:cs="宋体"/>
                <w:color w:val="auto"/>
                <w:szCs w:val="21"/>
                <w:shd w:val="clear" w:color="auto" w:fill="auto"/>
                <w:lang w:eastAsia="zh-CN"/>
              </w:rPr>
              <w:t>气排球馆</w:t>
            </w:r>
            <w:r>
              <w:rPr>
                <w:rFonts w:hint="eastAsia" w:ascii="宋体" w:hAnsi="宋体" w:cs="宋体"/>
                <w:color w:val="auto"/>
                <w:szCs w:val="21"/>
                <w:shd w:val="clear" w:color="auto" w:fill="auto"/>
              </w:rPr>
              <w:t>和室外</w:t>
            </w:r>
            <w:r>
              <w:rPr>
                <w:rFonts w:hint="eastAsia" w:ascii="宋体" w:hAnsi="宋体" w:cs="宋体"/>
                <w:color w:val="auto"/>
                <w:szCs w:val="21"/>
                <w:shd w:val="clear" w:color="auto" w:fill="auto"/>
                <w:lang w:eastAsia="zh-CN"/>
              </w:rPr>
              <w:t>篮球</w:t>
            </w:r>
            <w:r>
              <w:rPr>
                <w:rFonts w:hint="eastAsia" w:ascii="宋体" w:hAnsi="宋体" w:cs="宋体"/>
                <w:color w:val="auto"/>
                <w:szCs w:val="21"/>
                <w:shd w:val="clear" w:color="auto" w:fill="auto"/>
              </w:rPr>
              <w:t>场</w:t>
            </w:r>
            <w:r>
              <w:rPr>
                <w:rFonts w:hint="eastAsia" w:ascii="宋体" w:hAnsi="宋体" w:cs="宋体"/>
                <w:b/>
                <w:bCs/>
                <w:color w:val="auto"/>
                <w:kern w:val="0"/>
                <w:szCs w:val="21"/>
                <w:shd w:val="clear" w:color="auto" w:fill="auto"/>
              </w:rPr>
              <w:t>管理服务（15分）</w:t>
            </w:r>
          </w:p>
        </w:tc>
        <w:tc>
          <w:tcPr>
            <w:tcW w:w="1020" w:type="dxa"/>
            <w:noWrap w:val="0"/>
            <w:vAlign w:val="center"/>
          </w:tcPr>
          <w:p>
            <w:pPr>
              <w:widowControl/>
              <w:spacing w:line="360" w:lineRule="exact"/>
              <w:rPr>
                <w:rFonts w:hint="eastAsia" w:ascii="宋体" w:hAnsi="宋体" w:cs="宋体"/>
                <w:color w:val="auto"/>
                <w:szCs w:val="21"/>
                <w:shd w:val="clear" w:color="auto" w:fill="auto"/>
              </w:rPr>
            </w:pPr>
            <w:r>
              <w:rPr>
                <w:rFonts w:hint="eastAsia" w:ascii="宋体" w:hAnsi="宋体" w:cs="宋体"/>
                <w:b/>
                <w:bCs/>
                <w:color w:val="auto"/>
                <w:kern w:val="0"/>
                <w:szCs w:val="21"/>
                <w:shd w:val="clear" w:color="auto" w:fill="auto"/>
              </w:rPr>
              <w:t>前台管理服务要求（2分）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1.制度完善（人员出入、档案资料、物品借用、场地预约、场馆工作人员考勤等管理制度）。</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2.负责借用物品的管理。</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3.保管好服务档案资料，确保及时提供各类档案资料。</w:t>
            </w:r>
          </w:p>
          <w:p>
            <w:pPr>
              <w:adjustRightInd w:val="0"/>
              <w:snapToGrid w:val="0"/>
              <w:spacing w:line="360" w:lineRule="exact"/>
              <w:rPr>
                <w:rFonts w:hint="eastAsia" w:ascii="宋体" w:hAnsi="宋体" w:cs="宋体"/>
                <w:color w:val="auto"/>
                <w:szCs w:val="21"/>
                <w:shd w:val="clear" w:color="auto" w:fill="auto"/>
              </w:rPr>
            </w:pPr>
          </w:p>
        </w:tc>
        <w:tc>
          <w:tcPr>
            <w:tcW w:w="1770"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前台管理服务标准（2分）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上岗准备：前台服务员统一着装，佩戴工作牌，做好仪容仪表的自我检查；检查备用的篮球、气排球、桌球、羽毛球拍及羽毛球、网球拍及网球、乒乓球拍及乒乓球等，确保数量充足、完好、功能正常，并摆放整齐；做好前台的清洁工作。</w:t>
            </w:r>
          </w:p>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提供前台服务，引导学员到达相应区域；做好出入管理工作，及时处理学员遇到的困难和提出的要求，提供相应的服务和协助；提供场馆使用查询服务，告知学员在场馆活动的注意事项，做好场地预定工作；做好体育用品（篮球、气排球、桌球、足球、羽毛球拍及羽毛球、网球拍及网球、乒乓球拍及乒乓球等）的借出和归还工作。</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室内场馆（健身房、篮球场、羽毛球场、气排球场、乒乓球场、桌球室等）管理服务标准（3分）</w:t>
            </w:r>
          </w:p>
        </w:tc>
        <w:tc>
          <w:tcPr>
            <w:tcW w:w="4335" w:type="dxa"/>
            <w:noWrap w:val="0"/>
            <w:vAlign w:val="center"/>
          </w:tcPr>
          <w:p>
            <w:pPr>
              <w:adjustRightInd w:val="0"/>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室内场馆管理：体育设施设备管理、保养、检修制度完备、记录齐全；配合做好配电房及供电系统管理，严格按照国家规范运行，制定切实可行的供电应急预案，设备状态标识明显、统一；负责体育设施设备的维护维修，做好记录并存档。</w:t>
            </w:r>
          </w:p>
          <w:p>
            <w:pPr>
              <w:widowControl/>
              <w:adjustRightInd w:val="0"/>
              <w:snapToGrid w:val="0"/>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室内场馆服务：（1）上岗准备：场馆员统一着装，佩戴工作牌，做好仪容仪表的自我检查；确保设施设备完好、功能正常检查各种健身器材和设备并摆放整齐；做好各场馆的清洁工作，做好场馆通风，确保空气清新。（2）提供场馆服务，对初次到来的学员应主动为其介绍设备的性能和操作方法；细心观察场内情况，及时提醒学员应注意的事项；检查各场馆设施设备的安全状况，及时擦拭健身设备、地面上的汗渍。（3）及时清洁、检查、擦拭、整理健身房设施设备，做好迎接下一批学员的准备。</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adjustRightInd w:val="0"/>
              <w:snapToGrid w:val="0"/>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szCs w:val="21"/>
                <w:shd w:val="clear" w:color="auto" w:fill="auto"/>
                <w:lang w:bidi="ar"/>
              </w:rPr>
              <w:t>场馆保洁服务标准</w:t>
            </w:r>
            <w:r>
              <w:rPr>
                <w:rFonts w:hint="eastAsia" w:ascii="宋体" w:hAnsi="宋体" w:cs="宋体"/>
                <w:b/>
                <w:bCs/>
                <w:color w:val="auto"/>
                <w:kern w:val="0"/>
                <w:szCs w:val="21"/>
                <w:shd w:val="clear" w:color="auto" w:fill="auto"/>
              </w:rPr>
              <w:t>（2分）</w:t>
            </w:r>
          </w:p>
        </w:tc>
        <w:tc>
          <w:tcPr>
            <w:tcW w:w="4335" w:type="dxa"/>
            <w:noWrap w:val="0"/>
            <w:vAlign w:val="center"/>
          </w:tcPr>
          <w:p>
            <w:pPr>
              <w:widowControl/>
              <w:adjustRightInd w:val="0"/>
              <w:snapToGrid w:val="0"/>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1.每年对场馆外墙距离垂直位置2.5米以下部分至少清洁2次以上，场馆楼面杂草每年至少清理6次以上，保持楼面无杂草，确保建筑外观完好、整洁。</w:t>
            </w:r>
          </w:p>
          <w:p>
            <w:pPr>
              <w:widowControl/>
              <w:adjustRightInd w:val="0"/>
              <w:snapToGrid w:val="0"/>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 xml:space="preserve">2.所有场馆及公共区域的清洁保洁工作，并对以上区域通过巡检的方式使环境卫生达到既定要求，巡检需有记录。 </w:t>
            </w:r>
          </w:p>
          <w:p>
            <w:pPr>
              <w:widowControl/>
              <w:adjustRightInd w:val="0"/>
              <w:snapToGrid w:val="0"/>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各场馆及场馆内设备设施进行清洁；垃圾定期收集。要求：设备实施每小时根据使用者需求及使用情况至少巡检清洁1次，开馆前、闭馆后确保各场馆及场馆内设备设施整洁、干净，无尘土、痰迹、汗渍、碎纸、烟头及垃圾杂物。</w:t>
            </w:r>
          </w:p>
          <w:p>
            <w:pPr>
              <w:widowControl/>
              <w:adjustRightInd w:val="0"/>
              <w:snapToGrid w:val="0"/>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4.公共区域、走廊保洁：（1）地面：表面洁净、无尘土、污迹、烟头、纸屑、油迹及垃圾。（2）墙面：无尘土、污迹、蜘蛛网。（3）照明灯具：无积灰。（4）各房间门、通道门：无尘土、污迹。</w:t>
            </w:r>
          </w:p>
          <w:p>
            <w:pPr>
              <w:widowControl/>
              <w:adjustRightInd w:val="0"/>
              <w:snapToGrid w:val="0"/>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 xml:space="preserve">5.公共卫生间保洁：（1）卫生间:无异味，每天至少冲洗 2 次以上。（2）地面：无尘土、碎纸、垃圾、烟头、无积水，无尿迹、污迹。（3）洗手池：池壁无污垢，无痰迹及头发等不洁物。（4）水龙头：无印迹、污垢，光亮、洁净。（5）洗手池台面：无水迹、无尘土、无污物。（6）镜面：无水点、水迹、尘土、污迹。（7）便器：内外洁净、无污垢黄迹；墙面：无尘土、污迹、蜘蛛网。（8）顶板：无尘土、污迹、蜘蛛网。 </w:t>
            </w:r>
          </w:p>
          <w:p>
            <w:pPr>
              <w:widowControl/>
              <w:adjustRightInd w:val="0"/>
              <w:snapToGrid w:val="0"/>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6.楼梯保洁：（1）地面：无尘土、痰迹、碎纸、烟头及垃圾杂物。（2）墙面：无污迹、蜘蛛网。（3）消防设备：表面无尘土。（4）楼梯：地面无尘土、烟头、痰迹及垃圾杂物，扶手无尘土。</w:t>
            </w:r>
          </w:p>
          <w:p>
            <w:pPr>
              <w:widowControl/>
              <w:adjustRightInd w:val="0"/>
              <w:snapToGrid w:val="0"/>
              <w:spacing w:line="32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7.其他说明：（1）建筑物及周边区域等保持清洁无积尘、纸屑、树叶、烟头等杂物。（2）负责洗手间马桶、排水管道的清理疏通。（3）墙体清洁。（4）公共玻璃门、窗、玻璃隔断保持无污迹、灰尘。（5）定期维护保养不同材质地面，保持干净、光亮。（6）室内外金属护栏、把手定期擦拭保养，确保无锈迹、污渍、汗渍。（7）场馆开放期间保证所有卫生间全天清洁卫生、无异味，地面无积水，及时更换卫生纸、擦手纸、洗手液、消毒洗手液。</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szCs w:val="21"/>
                <w:shd w:val="clear" w:color="auto" w:fill="auto"/>
              </w:rPr>
              <w:t>室外</w:t>
            </w:r>
            <w:r>
              <w:rPr>
                <w:rFonts w:hint="eastAsia" w:ascii="宋体" w:hAnsi="宋体" w:cs="宋体"/>
                <w:b/>
                <w:bCs/>
                <w:color w:val="auto"/>
                <w:szCs w:val="21"/>
                <w:shd w:val="clear" w:color="auto" w:fill="auto"/>
                <w:lang w:eastAsia="zh-CN"/>
              </w:rPr>
              <w:t>篮球</w:t>
            </w:r>
            <w:r>
              <w:rPr>
                <w:rFonts w:hint="eastAsia" w:ascii="宋体" w:hAnsi="宋体" w:cs="宋体"/>
                <w:b/>
                <w:bCs/>
                <w:color w:val="auto"/>
                <w:szCs w:val="21"/>
                <w:shd w:val="clear" w:color="auto" w:fill="auto"/>
                <w:lang w:bidi="ar"/>
              </w:rPr>
              <w:t>保洁服务标准</w:t>
            </w:r>
            <w:r>
              <w:rPr>
                <w:rFonts w:hint="eastAsia" w:ascii="宋体" w:hAnsi="宋体" w:cs="宋体"/>
                <w:b/>
                <w:bCs/>
                <w:color w:val="auto"/>
                <w:kern w:val="0"/>
                <w:szCs w:val="21"/>
                <w:shd w:val="clear" w:color="auto" w:fill="auto"/>
              </w:rPr>
              <w:t>（2分）</w:t>
            </w:r>
          </w:p>
        </w:tc>
        <w:tc>
          <w:tcPr>
            <w:tcW w:w="4335" w:type="dxa"/>
            <w:noWrap w:val="0"/>
            <w:vAlign w:val="center"/>
          </w:tcPr>
          <w:p>
            <w:pPr>
              <w:widowControl/>
              <w:adjustRightInd w:val="0"/>
              <w:snapToGrid w:val="0"/>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1.室外</w:t>
            </w:r>
            <w:r>
              <w:rPr>
                <w:rFonts w:hint="eastAsia" w:ascii="宋体" w:hAnsi="宋体" w:cs="宋体"/>
                <w:color w:val="auto"/>
                <w:szCs w:val="21"/>
                <w:shd w:val="clear" w:color="auto" w:fill="auto"/>
                <w:lang w:eastAsia="zh-CN"/>
              </w:rPr>
              <w:t>篮球</w:t>
            </w:r>
            <w:r>
              <w:rPr>
                <w:rFonts w:hint="eastAsia" w:ascii="宋体" w:hAnsi="宋体" w:cs="宋体"/>
                <w:color w:val="auto"/>
                <w:szCs w:val="21"/>
                <w:shd w:val="clear" w:color="auto" w:fill="auto"/>
              </w:rPr>
              <w:t>管理</w:t>
            </w:r>
          </w:p>
          <w:p>
            <w:pPr>
              <w:widowControl/>
              <w:adjustRightInd w:val="0"/>
              <w:snapToGrid w:val="0"/>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体育设施设备管理、保养、检修制度完备、记录齐全；配合做好配电房及供电系统管理，严格按照国家规范运行，制定切实可行的供电应急预案，设备状态标识明显、统一；负责体育设施设备的维护维修，做好记录并存档。</w:t>
            </w:r>
          </w:p>
          <w:p>
            <w:pPr>
              <w:widowControl/>
              <w:adjustRightInd w:val="0"/>
              <w:snapToGrid w:val="0"/>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2.室外</w:t>
            </w:r>
            <w:r>
              <w:rPr>
                <w:rFonts w:hint="eastAsia" w:ascii="宋体" w:hAnsi="宋体" w:cs="宋体"/>
                <w:color w:val="auto"/>
                <w:szCs w:val="21"/>
                <w:shd w:val="clear" w:color="auto" w:fill="auto"/>
                <w:lang w:eastAsia="zh-CN"/>
              </w:rPr>
              <w:t>篮球</w:t>
            </w:r>
            <w:r>
              <w:rPr>
                <w:rFonts w:hint="eastAsia" w:ascii="宋体" w:hAnsi="宋体" w:cs="宋体"/>
                <w:color w:val="auto"/>
                <w:szCs w:val="21"/>
                <w:shd w:val="clear" w:color="auto" w:fill="auto"/>
              </w:rPr>
              <w:t>服务</w:t>
            </w:r>
          </w:p>
          <w:p>
            <w:pPr>
              <w:widowControl/>
              <w:adjustRightInd w:val="0"/>
              <w:snapToGrid w:val="0"/>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上岗准备：场馆员统一着装，佩戴工作牌，做好仪容仪表的自我检查；确保设施设备完好、功能正常检查各种健身器材和设备并摆放整齐；做好各场馆的清洁工作。</w:t>
            </w:r>
          </w:p>
          <w:p>
            <w:pPr>
              <w:widowControl/>
              <w:adjustRightInd w:val="0"/>
              <w:snapToGrid w:val="0"/>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提供场馆服务，对初次到来的学员应主动为其介绍设备的性能和操作方法；细心观察场馆情况，及时提醒客人应注意的事项；检查各场馆设施设备的安全状况，及时擦拭健身设备、地面上的污渍。</w:t>
            </w:r>
          </w:p>
          <w:p>
            <w:pPr>
              <w:widowControl/>
              <w:adjustRightInd w:val="0"/>
              <w:snapToGrid w:val="0"/>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及时清洁、检查、擦拭、整理健身房设施设备，做好迎接下一批客人的准备。</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 xml:space="preserve">服务档案管理 </w:t>
            </w:r>
          </w:p>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标准（2分）</w:t>
            </w:r>
          </w:p>
        </w:tc>
        <w:tc>
          <w:tcPr>
            <w:tcW w:w="4335" w:type="dxa"/>
            <w:noWrap w:val="0"/>
            <w:vAlign w:val="center"/>
          </w:tcPr>
          <w:p>
            <w:pPr>
              <w:widowControl/>
              <w:adjustRightInd w:val="0"/>
              <w:snapToGrid w:val="0"/>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分类有序的保管档案、资料，保证各类档案、资料完整，便于查询。原始资料实行电脑储存与纸质保存并行，包括所聘请的全部员工的资料需报备</w:t>
            </w:r>
            <w:r>
              <w:rPr>
                <w:rFonts w:hint="eastAsia" w:ascii="宋体" w:hAnsi="宋体" w:cs="宋体"/>
                <w:color w:val="auto"/>
                <w:szCs w:val="21"/>
                <w:shd w:val="clear" w:color="auto" w:fill="auto"/>
                <w:lang w:eastAsia="zh-CN"/>
              </w:rPr>
              <w:t>采购人</w:t>
            </w:r>
            <w:r>
              <w:rPr>
                <w:rFonts w:hint="eastAsia" w:ascii="宋体" w:hAnsi="宋体" w:cs="宋体"/>
                <w:color w:val="auto"/>
                <w:szCs w:val="21"/>
                <w:shd w:val="clear" w:color="auto" w:fill="auto"/>
              </w:rPr>
              <w:t>，实行双档制。</w:t>
            </w:r>
          </w:p>
          <w:p>
            <w:pPr>
              <w:widowControl/>
              <w:adjustRightInd w:val="0"/>
              <w:snapToGrid w:val="0"/>
              <w:spacing w:line="360" w:lineRule="exact"/>
              <w:jc w:val="left"/>
              <w:rPr>
                <w:rFonts w:hint="eastAsia" w:ascii="宋体" w:hAnsi="宋体" w:cs="宋体"/>
                <w:color w:val="auto"/>
                <w:szCs w:val="21"/>
                <w:shd w:val="clear" w:color="auto" w:fill="auto"/>
              </w:rPr>
            </w:pP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742" w:type="dxa"/>
            <w:vMerge w:val="continue"/>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1020"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szCs w:val="21"/>
                <w:shd w:val="clear" w:color="auto" w:fill="auto"/>
                <w:lang w:bidi="ar"/>
              </w:rPr>
              <w:t>其他</w:t>
            </w:r>
            <w:r>
              <w:rPr>
                <w:rFonts w:hint="eastAsia" w:ascii="宋体" w:hAnsi="宋体" w:cs="宋体"/>
                <w:b/>
                <w:bCs/>
                <w:color w:val="auto"/>
                <w:kern w:val="0"/>
                <w:szCs w:val="21"/>
                <w:shd w:val="clear" w:color="auto" w:fill="auto"/>
              </w:rPr>
              <w:t>（2分）</w:t>
            </w:r>
          </w:p>
        </w:tc>
        <w:tc>
          <w:tcPr>
            <w:tcW w:w="4335" w:type="dxa"/>
            <w:noWrap w:val="0"/>
            <w:vAlign w:val="center"/>
          </w:tcPr>
          <w:p>
            <w:pPr>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1.固定资产、流动资产和易耗品要有专人负责，摆放有序。</w:t>
            </w:r>
          </w:p>
          <w:p>
            <w:pPr>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2.建有各类资产、易耗品的进、出、存三级帐，使用登记及时率和准确率达100%。</w:t>
            </w:r>
          </w:p>
          <w:p>
            <w:pPr>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3.提倡节约观念，控制物资消耗。</w:t>
            </w:r>
          </w:p>
          <w:p>
            <w:pPr>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4.按月、季度进行物资消耗统计和仓库盘点等工作，完成率达100%。</w:t>
            </w:r>
          </w:p>
          <w:p>
            <w:pPr>
              <w:snapToGrid w:val="0"/>
              <w:spacing w:line="36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5.做好负责区域内固定资产、流动资产的日常巡查记录，发现损坏及时报修。</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noWrap w:val="0"/>
            <w:vAlign w:val="center"/>
          </w:tcPr>
          <w:p>
            <w:pPr>
              <w:widowControl/>
              <w:spacing w:line="360" w:lineRule="exact"/>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水电设施维修服务（25分</w:t>
            </w:r>
            <w:r>
              <w:rPr>
                <w:rFonts w:ascii="宋体" w:hAnsi="宋体" w:cs="宋体"/>
                <w:b/>
                <w:bCs/>
                <w:color w:val="auto"/>
                <w:kern w:val="0"/>
                <w:szCs w:val="21"/>
                <w:shd w:val="clear" w:color="auto" w:fill="auto"/>
              </w:rPr>
              <w:t>）</w:t>
            </w:r>
          </w:p>
        </w:tc>
        <w:tc>
          <w:tcPr>
            <w:tcW w:w="1020" w:type="dxa"/>
            <w:noWrap w:val="0"/>
            <w:vAlign w:val="center"/>
          </w:tcPr>
          <w:p>
            <w:pPr>
              <w:widowControl/>
              <w:spacing w:line="360" w:lineRule="exact"/>
              <w:rPr>
                <w:rFonts w:hint="eastAsia" w:ascii="宋体" w:hAnsi="宋体" w:cs="宋体"/>
                <w:b/>
                <w:bCs/>
                <w:color w:val="auto"/>
                <w:szCs w:val="21"/>
                <w:shd w:val="clear" w:color="auto" w:fill="auto"/>
                <w:lang w:bidi="ar"/>
              </w:rPr>
            </w:pPr>
          </w:p>
        </w:tc>
        <w:tc>
          <w:tcPr>
            <w:tcW w:w="4335" w:type="dxa"/>
            <w:noWrap w:val="0"/>
            <w:vAlign w:val="center"/>
          </w:tcPr>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highlight w:val="none"/>
                <w:shd w:val="clear" w:color="auto" w:fill="auto"/>
              </w:rPr>
              <w:t>1.负责</w:t>
            </w:r>
            <w:r>
              <w:rPr>
                <w:rFonts w:hint="eastAsia" w:ascii="宋体" w:hAnsi="宋体" w:cs="宋体"/>
                <w:color w:val="auto"/>
                <w:szCs w:val="21"/>
                <w:highlight w:val="none"/>
                <w:shd w:val="clear" w:color="auto" w:fill="auto"/>
                <w:lang w:val="en-US" w:eastAsia="zh-CN"/>
              </w:rPr>
              <w:t>及</w:t>
            </w:r>
            <w:r>
              <w:rPr>
                <w:rFonts w:hint="eastAsia" w:ascii="宋体" w:hAnsi="宋体" w:cs="宋体"/>
                <w:color w:val="auto"/>
                <w:szCs w:val="21"/>
                <w:highlight w:val="none"/>
                <w:shd w:val="clear" w:color="auto" w:fill="auto"/>
              </w:rPr>
              <w:t>配合学校水、电、暖</w:t>
            </w:r>
            <w:r>
              <w:rPr>
                <w:rFonts w:hint="eastAsia" w:ascii="宋体" w:hAnsi="宋体" w:cs="宋体"/>
                <w:color w:val="auto"/>
                <w:szCs w:val="21"/>
                <w:highlight w:val="none"/>
                <w:shd w:val="clear" w:color="auto" w:fill="auto"/>
                <w:lang w:bidi="ar"/>
              </w:rPr>
              <w:t>房屋各部分及公共设施等、设施（包括电梯、中央空调、热水系统、高低压配电箱、供水加压系统、智能系统）的维护</w:t>
            </w:r>
            <w:r>
              <w:rPr>
                <w:rFonts w:hint="eastAsia" w:ascii="宋体" w:hAnsi="宋体" w:cs="宋体"/>
                <w:color w:val="auto"/>
                <w:szCs w:val="21"/>
                <w:highlight w:val="none"/>
                <w:shd w:val="clear" w:color="auto" w:fill="auto"/>
              </w:rPr>
              <w:t>维修工作。</w:t>
            </w:r>
            <w:r>
              <w:rPr>
                <w:rFonts w:hint="eastAsia" w:ascii="宋体" w:hAnsi="宋体" w:cs="宋体"/>
                <w:color w:val="auto"/>
                <w:szCs w:val="21"/>
                <w:shd w:val="clear" w:color="auto" w:fill="auto"/>
              </w:rPr>
              <w:t>掌握水电暖设备、设施规格、型号、性能和熟知校园供水、供电、供暖网线。（我校因实际需要，规划建设了从大化变电站至我校的10KV供电专线，其中部分高压线路及高压变电箱设置于我校校园内。根据供电部门要求，进入我校范围内的线路及设备，由我校按供电部门规章自行管理。）</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2.负责水电暖每日巡查工作。重点检查教学中心、行政中心、宿舍楼及公共场所的水电暖设施，发现问题，及时处理，杜绝“跑、冒、滴、漏”和长明灯现象，保证水、电、暖正常供应。</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3.负责学校大型活动的接电、保电工作。对学校的重大活动如春季、秋季学期主体班开班仪式、全市重要会议或自治区、国家级会议等应该事先作好充分的准备，确保顺利进行。</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4.负责学校消防设施设备的维修。根据季节调整好校园路灯的照明时间，做到节能。</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5.负责查明水、电、暖供应异常的原因，并报告部门领导。配合外请人员对学校水、电、暖设备设施进行的维修，做好验收。</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6.负责每月查抄学校管辖内的房屋、食堂水电表等工作。</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7.维修要及时，一般维修在一个工作日内完成，紧急维修随叫随到。依据派工单领取维修材料,维修情况要及时反馈给部门领导。</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8.勤俭节约，修旧利废，合理使用水、电、暖耗材。</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9.负责水电暖设备设施的防鼠、冬季防冻工作。</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10.负责水电暖工具、器材的管理，因工作失职造成的损失应承担责任。</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11.爱岗敬业，学习业务知识，严格遵守操作规程，确保工作安全。</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12.服从学校安排,完成学校安排的各项临时性工作。</w:t>
            </w:r>
          </w:p>
          <w:p>
            <w:pPr>
              <w:adjustRightInd w:val="0"/>
              <w:snapToGrid w:val="0"/>
              <w:spacing w:line="340" w:lineRule="exact"/>
              <w:rPr>
                <w:rFonts w:hint="eastAsia" w:ascii="宋体" w:hAnsi="宋体" w:cs="宋体"/>
                <w:color w:val="auto"/>
                <w:szCs w:val="21"/>
                <w:shd w:val="clear" w:color="auto" w:fill="auto"/>
              </w:rPr>
            </w:pPr>
            <w:r>
              <w:rPr>
                <w:rFonts w:hint="eastAsia" w:ascii="宋体" w:hAnsi="宋体" w:cs="宋体"/>
                <w:color w:val="auto"/>
                <w:szCs w:val="21"/>
                <w:shd w:val="clear" w:color="auto" w:fill="auto"/>
              </w:rPr>
              <w:t>13.保持24小时联系通畅，随叫随到。</w:t>
            </w:r>
          </w:p>
        </w:tc>
        <w:tc>
          <w:tcPr>
            <w:tcW w:w="1770" w:type="dxa"/>
            <w:noWrap w:val="0"/>
            <w:vAlign w:val="center"/>
          </w:tcPr>
          <w:p>
            <w:pPr>
              <w:widowControl/>
              <w:spacing w:line="360" w:lineRule="exac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不达标的，每个内容扣0.5分，扣完为止。</w:t>
            </w: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660"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c>
          <w:tcPr>
            <w:tcW w:w="752" w:type="dxa"/>
            <w:noWrap w:val="0"/>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67" w:type="dxa"/>
            <w:gridSpan w:val="4"/>
            <w:noWrap/>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扣分合计</w:t>
            </w:r>
          </w:p>
        </w:tc>
        <w:tc>
          <w:tcPr>
            <w:tcW w:w="660" w:type="dxa"/>
            <w:noWrap/>
            <w:vAlign w:val="center"/>
          </w:tcPr>
          <w:p>
            <w:pPr>
              <w:widowControl/>
              <w:spacing w:line="360" w:lineRule="exact"/>
              <w:ind w:firstLine="420" w:firstLineChars="200"/>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660" w:type="dxa"/>
            <w:noWrap/>
            <w:vAlign w:val="center"/>
          </w:tcPr>
          <w:p>
            <w:pPr>
              <w:widowControl/>
              <w:spacing w:line="360" w:lineRule="exact"/>
              <w:ind w:firstLine="420" w:firstLineChars="200"/>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752" w:type="dxa"/>
            <w:noWrap/>
            <w:vAlign w:val="center"/>
          </w:tcPr>
          <w:p>
            <w:pPr>
              <w:widowControl/>
              <w:spacing w:line="360" w:lineRule="exact"/>
              <w:ind w:firstLine="420" w:firstLineChars="200"/>
              <w:jc w:val="left"/>
              <w:rPr>
                <w:rFonts w:hint="eastAsia" w:ascii="宋体" w:hAnsi="宋体" w:cs="宋体"/>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97" w:type="dxa"/>
            <w:gridSpan w:val="3"/>
            <w:tcBorders>
              <w:bottom w:val="single" w:color="auto" w:sz="4" w:space="0"/>
            </w:tcBorders>
            <w:noWrap/>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总分</w:t>
            </w:r>
          </w:p>
        </w:tc>
        <w:tc>
          <w:tcPr>
            <w:tcW w:w="1770" w:type="dxa"/>
            <w:tcBorders>
              <w:bottom w:val="single" w:color="auto" w:sz="4" w:space="0"/>
            </w:tcBorders>
            <w:noWrap/>
            <w:vAlign w:val="center"/>
          </w:tcPr>
          <w:p>
            <w:pPr>
              <w:widowControl/>
              <w:spacing w:line="360" w:lineRule="exact"/>
              <w:ind w:firstLine="420" w:firstLineChars="200"/>
              <w:jc w:val="center"/>
              <w:rPr>
                <w:rFonts w:hint="eastAsia" w:ascii="宋体" w:hAnsi="宋体" w:cs="宋体"/>
                <w:b/>
                <w:bCs/>
                <w:color w:val="auto"/>
                <w:kern w:val="0"/>
                <w:szCs w:val="21"/>
                <w:shd w:val="clear" w:color="auto" w:fill="auto"/>
              </w:rPr>
            </w:pPr>
            <w:r>
              <w:rPr>
                <w:rFonts w:hint="eastAsia" w:ascii="宋体" w:hAnsi="宋体" w:cs="宋体"/>
                <w:b/>
                <w:bCs/>
                <w:color w:val="auto"/>
                <w:kern w:val="0"/>
                <w:szCs w:val="21"/>
                <w:shd w:val="clear" w:color="auto" w:fill="auto"/>
              </w:rPr>
              <w:t>　</w:t>
            </w:r>
          </w:p>
        </w:tc>
        <w:tc>
          <w:tcPr>
            <w:tcW w:w="660" w:type="dxa"/>
            <w:tcBorders>
              <w:bottom w:val="single" w:color="auto" w:sz="4" w:space="0"/>
            </w:tcBorders>
            <w:noWrap/>
            <w:vAlign w:val="center"/>
          </w:tcPr>
          <w:p>
            <w:pPr>
              <w:widowControl/>
              <w:spacing w:line="360" w:lineRule="exact"/>
              <w:ind w:firstLine="420" w:firstLineChars="200"/>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660" w:type="dxa"/>
            <w:tcBorders>
              <w:bottom w:val="single" w:color="auto" w:sz="4" w:space="0"/>
            </w:tcBorders>
            <w:noWrap/>
            <w:vAlign w:val="center"/>
          </w:tcPr>
          <w:p>
            <w:pPr>
              <w:widowControl/>
              <w:spacing w:line="360" w:lineRule="exact"/>
              <w:ind w:firstLine="420" w:firstLineChars="200"/>
              <w:jc w:val="left"/>
              <w:rPr>
                <w:rFonts w:hint="eastAsia" w:ascii="宋体" w:hAnsi="宋体" w:cs="宋体"/>
                <w:color w:val="auto"/>
                <w:kern w:val="0"/>
                <w:szCs w:val="21"/>
                <w:shd w:val="clear" w:color="auto" w:fill="auto"/>
              </w:rPr>
            </w:pPr>
            <w:r>
              <w:rPr>
                <w:rFonts w:hint="eastAsia" w:ascii="宋体" w:hAnsi="宋体" w:cs="宋体"/>
                <w:color w:val="auto"/>
                <w:kern w:val="0"/>
                <w:szCs w:val="21"/>
                <w:shd w:val="clear" w:color="auto" w:fill="auto"/>
              </w:rPr>
              <w:t>　</w:t>
            </w:r>
          </w:p>
        </w:tc>
        <w:tc>
          <w:tcPr>
            <w:tcW w:w="752" w:type="dxa"/>
            <w:tcBorders>
              <w:bottom w:val="single" w:color="auto" w:sz="4" w:space="0"/>
            </w:tcBorders>
            <w:noWrap/>
            <w:vAlign w:val="center"/>
          </w:tcPr>
          <w:p>
            <w:pPr>
              <w:widowControl/>
              <w:spacing w:line="360" w:lineRule="exact"/>
              <w:ind w:firstLine="420" w:firstLineChars="200"/>
              <w:jc w:val="left"/>
              <w:rPr>
                <w:rFonts w:hint="eastAsia" w:ascii="宋体" w:hAnsi="宋体" w:cs="宋体"/>
                <w:color w:val="auto"/>
                <w:kern w:val="0"/>
                <w:szCs w:val="21"/>
                <w:shd w:val="clear" w:color="auto" w:fill="auto"/>
              </w:rPr>
            </w:pPr>
          </w:p>
        </w:tc>
      </w:tr>
    </w:tbl>
    <w:p>
      <w:pPr>
        <w:rPr>
          <w:rFonts w:hint="eastAsia"/>
          <w:lang w:val="en-US" w:eastAsia="zh-CN"/>
        </w:rPr>
      </w:pPr>
    </w:p>
    <w:p>
      <w:pPr>
        <w:pStyle w:val="2"/>
        <w:rPr>
          <w:rFonts w:hint="eastAsia"/>
          <w:lang w:val="en-US" w:eastAsia="zh-CN"/>
        </w:rPr>
      </w:pPr>
    </w:p>
    <w:p>
      <w:pPr>
        <w:pStyle w:val="2"/>
        <w:numPr>
          <w:ilvl w:val="0"/>
          <w:numId w:val="0"/>
        </w:numPr>
        <w:spacing w:line="360" w:lineRule="auto"/>
        <w:ind w:leftChars="0"/>
        <w:outlineLvl w:val="1"/>
        <w:rPr>
          <w:rFonts w:hint="eastAsia" w:ascii="宋体" w:hAnsi="宋体" w:eastAsia="宋体" w:cs="宋体"/>
          <w:sz w:val="21"/>
          <w:szCs w:val="21"/>
          <w:lang w:val="en-US" w:eastAsia="zh-CN"/>
        </w:rPr>
      </w:pPr>
      <w:bookmarkStart w:id="148" w:name="_Toc11120"/>
      <w:r>
        <w:rPr>
          <w:rFonts w:hint="eastAsia" w:ascii="宋体" w:hAnsi="宋体" w:eastAsia="宋体" w:cs="宋体"/>
          <w:b/>
          <w:bCs/>
          <w:sz w:val="21"/>
          <w:szCs w:val="21"/>
          <w:highlight w:val="none"/>
          <w:lang w:val="en-US" w:eastAsia="zh-CN"/>
        </w:rPr>
        <w:t>7.需要说明的其他事项</w:t>
      </w:r>
      <w:bookmarkEnd w:id="148"/>
    </w:p>
    <w:p>
      <w:pPr>
        <w:numPr>
          <w:ilvl w:val="0"/>
          <w:numId w:val="0"/>
        </w:numPr>
        <w:spacing w:line="360" w:lineRule="auto"/>
        <w:ind w:leftChars="0"/>
        <w:outlineLvl w:val="2"/>
        <w:rPr>
          <w:rFonts w:hint="eastAsia" w:ascii="宋体" w:hAnsi="宋体" w:eastAsia="宋体" w:cs="宋体"/>
          <w:b/>
          <w:bCs/>
          <w:sz w:val="21"/>
          <w:szCs w:val="21"/>
          <w:lang w:val="en-US" w:eastAsia="zh-CN"/>
        </w:rPr>
      </w:pPr>
      <w:bookmarkStart w:id="149" w:name="_Toc25480"/>
      <w:r>
        <w:rPr>
          <w:rFonts w:hint="eastAsia" w:ascii="宋体" w:hAnsi="宋体" w:eastAsia="宋体" w:cs="宋体"/>
          <w:b/>
          <w:bCs/>
          <w:sz w:val="21"/>
          <w:szCs w:val="21"/>
          <w:lang w:val="en-US" w:eastAsia="zh-CN"/>
        </w:rPr>
        <w:t>7.1零星维修材料费用</w:t>
      </w:r>
      <w:bookmarkEnd w:id="149"/>
    </w:p>
    <w:p>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涉及以下情形的，相关费用包含在物业管理服务采购合同金额之内，由中标方承担：</w:t>
      </w:r>
      <w:r>
        <w:rPr>
          <w:rFonts w:hint="eastAsia" w:ascii="宋体" w:hAnsi="宋体" w:eastAsia="宋体" w:cs="宋体"/>
          <w:color w:val="auto"/>
          <w:sz w:val="21"/>
          <w:szCs w:val="21"/>
          <w:shd w:val="clear" w:color="auto" w:fill="auto"/>
        </w:rPr>
        <w:t>在服务过程中所需要的易耗品</w:t>
      </w:r>
      <w:r>
        <w:rPr>
          <w:rFonts w:hint="eastAsia" w:ascii="宋体" w:hAnsi="宋体" w:eastAsia="宋体" w:cs="宋体"/>
          <w:color w:val="auto"/>
          <w:sz w:val="21"/>
          <w:szCs w:val="21"/>
          <w:shd w:val="clear" w:color="auto" w:fill="auto"/>
          <w:lang w:eastAsia="zh-CN"/>
        </w:rPr>
        <w:t>是非正常损坏或损耗的，包括但不限于水管、电线、水表、网线、路由器、维修所需的工具等。</w:t>
      </w:r>
    </w:p>
    <w:p>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涉及以下情形的，由采购人承担：</w:t>
      </w:r>
      <w:r>
        <w:rPr>
          <w:rFonts w:hint="eastAsia" w:ascii="宋体" w:hAnsi="宋体" w:eastAsia="宋体" w:cs="宋体"/>
          <w:color w:val="auto"/>
          <w:sz w:val="21"/>
          <w:szCs w:val="21"/>
          <w:shd w:val="clear" w:color="auto" w:fill="auto"/>
        </w:rPr>
        <w:t>在服务过程中所需要的易耗品</w:t>
      </w:r>
      <w:r>
        <w:rPr>
          <w:rFonts w:hint="eastAsia" w:ascii="宋体" w:hAnsi="宋体" w:eastAsia="宋体" w:cs="宋体"/>
          <w:color w:val="auto"/>
          <w:sz w:val="21"/>
          <w:szCs w:val="21"/>
          <w:shd w:val="clear" w:color="auto" w:fill="auto"/>
          <w:lang w:eastAsia="zh-CN"/>
        </w:rPr>
        <w:t>是正常损坏或损耗的，包括但不限于水管、电线、水表、网线、路由器、维修所需的工具等。</w:t>
      </w:r>
    </w:p>
    <w:p>
      <w:pPr>
        <w:numPr>
          <w:ilvl w:val="0"/>
          <w:numId w:val="0"/>
        </w:numPr>
        <w:spacing w:line="360" w:lineRule="auto"/>
        <w:ind w:leftChars="0"/>
        <w:outlineLvl w:val="2"/>
        <w:rPr>
          <w:rFonts w:hint="eastAsia" w:ascii="宋体" w:hAnsi="宋体" w:eastAsia="宋体" w:cs="宋体"/>
          <w:b/>
          <w:bCs/>
          <w:sz w:val="21"/>
          <w:szCs w:val="21"/>
          <w:lang w:val="en-US" w:eastAsia="zh-CN"/>
        </w:rPr>
      </w:pPr>
      <w:bookmarkStart w:id="150" w:name="_Toc18844"/>
      <w:r>
        <w:rPr>
          <w:rFonts w:hint="eastAsia" w:ascii="宋体" w:hAnsi="宋体" w:eastAsia="宋体" w:cs="宋体"/>
          <w:b/>
          <w:bCs/>
          <w:sz w:val="21"/>
          <w:szCs w:val="21"/>
          <w:lang w:val="en-US" w:eastAsia="zh-CN"/>
        </w:rPr>
        <w:t>7.2低值易耗品费用</w:t>
      </w:r>
      <w:bookmarkEnd w:id="150"/>
    </w:p>
    <w:p>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涉及以下情形的，由采购人承担：</w:t>
      </w:r>
      <w:r>
        <w:rPr>
          <w:rFonts w:hint="eastAsia" w:ascii="宋体" w:hAnsi="宋体" w:eastAsia="宋体" w:cs="宋体"/>
          <w:color w:val="auto"/>
          <w:sz w:val="21"/>
          <w:szCs w:val="21"/>
          <w:shd w:val="clear" w:color="auto" w:fill="auto"/>
        </w:rPr>
        <w:t>在养护过程中所需的肥料、农药</w:t>
      </w:r>
      <w:r>
        <w:rPr>
          <w:rFonts w:hint="eastAsia" w:ascii="宋体" w:hAnsi="宋体" w:eastAsia="宋体" w:cs="宋体"/>
          <w:color w:val="auto"/>
          <w:sz w:val="21"/>
          <w:szCs w:val="21"/>
          <w:shd w:val="clear" w:color="auto" w:fill="auto"/>
          <w:lang w:eastAsia="zh-CN"/>
        </w:rPr>
        <w:t>。</w:t>
      </w:r>
    </w:p>
    <w:p>
      <w:pPr>
        <w:numPr>
          <w:ilvl w:val="0"/>
          <w:numId w:val="0"/>
        </w:numPr>
        <w:spacing w:line="360" w:lineRule="auto"/>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7.3苗木费用</w:t>
      </w:r>
    </w:p>
    <w:p>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涉及以下情形的，相关费用包含在物业管理服务采购合同金额之内，由中标方承担：养护不到位造成苗木死亡。</w:t>
      </w:r>
    </w:p>
    <w:p>
      <w:pPr>
        <w:numPr>
          <w:ilvl w:val="0"/>
          <w:numId w:val="0"/>
        </w:numPr>
        <w:spacing w:line="360" w:lineRule="auto"/>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涉及以下情形的，由采购人承担：非正常养护不到位外苗木死亡的。</w:t>
      </w:r>
    </w:p>
    <w:p>
      <w:pPr>
        <w:numPr>
          <w:ilvl w:val="0"/>
          <w:numId w:val="0"/>
        </w:numPr>
        <w:spacing w:line="360" w:lineRule="auto"/>
        <w:ind w:leftChars="0"/>
        <w:outlineLvl w:val="2"/>
        <w:rPr>
          <w:rFonts w:hint="eastAsia" w:ascii="宋体" w:hAnsi="宋体" w:eastAsia="宋体" w:cs="宋体"/>
          <w:b/>
          <w:bCs/>
          <w:sz w:val="21"/>
          <w:szCs w:val="21"/>
          <w:lang w:val="en-US" w:eastAsia="zh-CN"/>
        </w:rPr>
      </w:pPr>
      <w:bookmarkStart w:id="151" w:name="_Toc31673"/>
      <w:r>
        <w:rPr>
          <w:rFonts w:hint="eastAsia" w:ascii="宋体" w:hAnsi="宋体" w:eastAsia="宋体" w:cs="宋体"/>
          <w:b/>
          <w:bCs/>
          <w:sz w:val="21"/>
          <w:szCs w:val="21"/>
          <w:lang w:val="en-US" w:eastAsia="zh-CN"/>
        </w:rPr>
        <w:t>7.4客耗品费用</w:t>
      </w:r>
      <w:bookmarkEnd w:id="151"/>
    </w:p>
    <w:p>
      <w:pPr>
        <w:numPr>
          <w:ilvl w:val="0"/>
          <w:numId w:val="0"/>
        </w:numPr>
        <w:spacing w:line="360" w:lineRule="auto"/>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涉及以下情形的，相关费用包含在物业管理服务采购合同金额之内，由中标方承担：</w:t>
      </w:r>
      <w:r>
        <w:rPr>
          <w:rFonts w:hint="eastAsia" w:ascii="宋体" w:hAnsi="宋体" w:eastAsia="宋体" w:cs="宋体"/>
          <w:color w:val="auto"/>
          <w:sz w:val="21"/>
          <w:szCs w:val="21"/>
          <w:shd w:val="clear" w:color="auto" w:fill="auto"/>
        </w:rPr>
        <w:t>开展工作所需的办公用品及岗位设置的配备</w:t>
      </w:r>
      <w:r>
        <w:rPr>
          <w:rFonts w:hint="eastAsia" w:ascii="宋体" w:hAnsi="宋体" w:eastAsia="宋体" w:cs="宋体"/>
          <w:color w:val="auto"/>
          <w:sz w:val="21"/>
          <w:szCs w:val="21"/>
          <w:shd w:val="clear" w:color="auto" w:fill="auto"/>
          <w:lang w:eastAsia="zh-CN"/>
        </w:rPr>
        <w:t>。</w:t>
      </w:r>
    </w:p>
    <w:p>
      <w:pPr>
        <w:adjustRightInd w:val="0"/>
        <w:snapToGrid w:val="0"/>
        <w:spacing w:line="360" w:lineRule="auto"/>
        <w:rPr>
          <w:rFonts w:hint="eastAsia" w:ascii="宋体" w:hAnsi="宋体" w:eastAsia="宋体" w:cs="宋体"/>
          <w:b/>
          <w:bCs/>
          <w:sz w:val="21"/>
          <w:szCs w:val="21"/>
          <w:lang w:val="en-US" w:eastAsia="zh-CN"/>
        </w:rPr>
      </w:pPr>
      <w:bookmarkStart w:id="152" w:name="_Toc18953"/>
    </w:p>
    <w:p>
      <w:pPr>
        <w:adjustRightInd w:val="0"/>
        <w:snapToGrid w:val="0"/>
        <w:spacing w:line="360" w:lineRule="auto"/>
        <w:rPr>
          <w:rFonts w:hint="eastAsia" w:ascii="宋体" w:hAnsi="宋体" w:eastAsia="宋体" w:cs="宋体"/>
          <w:color w:val="auto"/>
          <w:sz w:val="21"/>
          <w:szCs w:val="21"/>
          <w:shd w:val="clear" w:color="auto" w:fill="auto"/>
        </w:rPr>
      </w:pPr>
      <w:r>
        <w:rPr>
          <w:rFonts w:hint="eastAsia" w:ascii="宋体" w:hAnsi="宋体" w:eastAsia="宋体" w:cs="宋体"/>
          <w:b/>
          <w:bCs/>
          <w:sz w:val="21"/>
          <w:szCs w:val="21"/>
          <w:lang w:val="en-US" w:eastAsia="zh-CN"/>
        </w:rPr>
        <w:t>7.5</w:t>
      </w:r>
      <w:r>
        <w:rPr>
          <w:rFonts w:hint="eastAsia" w:ascii="宋体" w:hAnsi="宋体" w:eastAsia="宋体" w:cs="宋体"/>
          <w:color w:val="auto"/>
          <w:sz w:val="21"/>
          <w:szCs w:val="21"/>
          <w:shd w:val="clear" w:color="auto" w:fill="auto"/>
        </w:rPr>
        <w:t>所有由</w:t>
      </w:r>
      <w:r>
        <w:rPr>
          <w:rFonts w:hint="eastAsia" w:ascii="宋体" w:hAnsi="宋体" w:cs="宋体"/>
          <w:color w:val="auto"/>
          <w:sz w:val="21"/>
          <w:szCs w:val="21"/>
          <w:shd w:val="clear" w:color="auto" w:fill="auto"/>
          <w:lang w:eastAsia="zh-CN"/>
        </w:rPr>
        <w:t>采购人</w:t>
      </w:r>
      <w:r>
        <w:rPr>
          <w:rFonts w:hint="eastAsia" w:ascii="宋体" w:hAnsi="宋体" w:eastAsia="宋体" w:cs="宋体"/>
          <w:color w:val="auto"/>
          <w:sz w:val="21"/>
          <w:szCs w:val="21"/>
          <w:shd w:val="clear" w:color="auto" w:fill="auto"/>
        </w:rPr>
        <w:t>提供的物资的使用和消耗，如出现</w:t>
      </w:r>
      <w:r>
        <w:rPr>
          <w:rFonts w:hint="eastAsia" w:ascii="宋体" w:hAnsi="宋体" w:cs="宋体"/>
          <w:color w:val="auto"/>
          <w:sz w:val="21"/>
          <w:szCs w:val="21"/>
          <w:shd w:val="clear" w:color="auto" w:fill="auto"/>
          <w:lang w:val="en-US" w:eastAsia="zh-CN"/>
        </w:rPr>
        <w:t>成交供应商</w:t>
      </w:r>
      <w:r>
        <w:rPr>
          <w:rFonts w:hint="eastAsia" w:ascii="宋体" w:hAnsi="宋体" w:eastAsia="宋体" w:cs="宋体"/>
          <w:color w:val="auto"/>
          <w:sz w:val="21"/>
          <w:szCs w:val="21"/>
          <w:shd w:val="clear" w:color="auto" w:fill="auto"/>
        </w:rPr>
        <w:t>人为或不正常损坏或损耗，由</w:t>
      </w:r>
      <w:r>
        <w:rPr>
          <w:rFonts w:hint="eastAsia" w:ascii="宋体" w:hAnsi="宋体" w:eastAsia="宋体" w:cs="宋体"/>
          <w:color w:val="auto"/>
          <w:sz w:val="21"/>
          <w:szCs w:val="21"/>
          <w:shd w:val="clear" w:color="auto" w:fill="auto"/>
          <w:lang w:val="en-US" w:eastAsia="zh-CN"/>
        </w:rPr>
        <w:t>成交供应商</w:t>
      </w:r>
      <w:r>
        <w:rPr>
          <w:rFonts w:hint="eastAsia" w:ascii="宋体" w:hAnsi="宋体" w:eastAsia="宋体" w:cs="宋体"/>
          <w:color w:val="auto"/>
          <w:sz w:val="21"/>
          <w:szCs w:val="21"/>
          <w:shd w:val="clear" w:color="auto" w:fill="auto"/>
        </w:rPr>
        <w:t>负责照价赔偿。</w:t>
      </w:r>
    </w:p>
    <w:p>
      <w:pPr>
        <w:numPr>
          <w:ilvl w:val="0"/>
          <w:numId w:val="0"/>
        </w:numPr>
        <w:spacing w:line="360" w:lineRule="auto"/>
        <w:ind w:leftChars="0"/>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8.采购项目需落实的政府采购政策</w:t>
      </w:r>
      <w:bookmarkEnd w:id="152"/>
    </w:p>
    <w:p>
      <w:pPr>
        <w:numPr>
          <w:ilvl w:val="0"/>
          <w:numId w:val="0"/>
        </w:numPr>
        <w:spacing w:line="360" w:lineRule="auto"/>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本项目专门面向</w:t>
      </w:r>
      <w:r>
        <w:rPr>
          <w:rFonts w:hint="eastAsia" w:ascii="宋体" w:hAnsi="宋体" w:cs="宋体"/>
          <w:b/>
          <w:bCs/>
          <w:sz w:val="21"/>
          <w:szCs w:val="21"/>
          <w:lang w:val="en-US" w:eastAsia="zh-CN"/>
        </w:rPr>
        <w:t>中小微</w:t>
      </w:r>
      <w:r>
        <w:rPr>
          <w:rFonts w:hint="eastAsia" w:ascii="宋体" w:hAnsi="宋体" w:eastAsia="宋体" w:cs="宋体"/>
          <w:b/>
          <w:bCs/>
          <w:sz w:val="21"/>
          <w:szCs w:val="21"/>
          <w:lang w:val="en-US" w:eastAsia="zh-CN"/>
        </w:rPr>
        <w:t>企业，所属行业为物业管理。</w:t>
      </w:r>
    </w:p>
    <w:p>
      <w:pPr>
        <w:numPr>
          <w:ilvl w:val="0"/>
          <w:numId w:val="0"/>
        </w:numPr>
        <w:spacing w:line="360" w:lineRule="auto"/>
        <w:ind w:leftChars="0"/>
        <w:rPr>
          <w:rFonts w:hint="eastAsia" w:ascii="宋体" w:hAnsi="宋体" w:eastAsia="宋体" w:cs="宋体"/>
          <w:b w:val="0"/>
          <w:bCs w:val="0"/>
          <w:sz w:val="21"/>
          <w:szCs w:val="21"/>
          <w:lang w:val="en-US" w:eastAsia="zh-CN"/>
        </w:rPr>
      </w:pPr>
    </w:p>
    <w:p>
      <w:pPr>
        <w:adjustRightInd w:val="0"/>
        <w:snapToGrid w:val="0"/>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b/>
          <w:bCs/>
          <w:color w:val="auto"/>
          <w:sz w:val="21"/>
          <w:szCs w:val="21"/>
          <w:shd w:val="clear" w:color="auto" w:fill="auto"/>
          <w:lang w:val="en-US" w:eastAsia="zh-CN"/>
        </w:rPr>
        <w:t>9.</w:t>
      </w:r>
      <w:r>
        <w:rPr>
          <w:rFonts w:hint="eastAsia" w:ascii="宋体" w:hAnsi="宋体" w:cs="宋体"/>
          <w:b/>
          <w:bCs/>
          <w:color w:val="auto"/>
          <w:sz w:val="21"/>
          <w:szCs w:val="21"/>
          <w:shd w:val="clear" w:color="auto" w:fill="auto"/>
          <w:lang w:eastAsia="zh-CN"/>
        </w:rPr>
        <w:t>成交供应商</w:t>
      </w:r>
      <w:r>
        <w:rPr>
          <w:rFonts w:hint="eastAsia" w:ascii="宋体" w:hAnsi="宋体" w:eastAsia="宋体" w:cs="宋体"/>
          <w:b/>
          <w:bCs/>
          <w:color w:val="auto"/>
          <w:sz w:val="21"/>
          <w:szCs w:val="21"/>
          <w:shd w:val="clear" w:color="auto" w:fill="auto"/>
        </w:rPr>
        <w:t>要求</w:t>
      </w:r>
    </w:p>
    <w:p>
      <w:pPr>
        <w:adjustRightInd w:val="0"/>
        <w:snapToGrid w:val="0"/>
        <w:spacing w:line="360" w:lineRule="auto"/>
        <w:ind w:firstLine="420" w:firstLineChars="200"/>
        <w:rPr>
          <w:rFonts w:hint="eastAsia" w:ascii="宋体" w:hAnsi="宋体" w:eastAsia="宋体" w:cs="宋体"/>
          <w:color w:val="auto"/>
          <w:sz w:val="21"/>
          <w:szCs w:val="21"/>
          <w:shd w:val="clear" w:color="auto" w:fill="auto"/>
        </w:rPr>
      </w:pPr>
      <w:r>
        <w:rPr>
          <w:rFonts w:hint="eastAsia" w:ascii="宋体" w:hAnsi="宋体" w:eastAsia="宋体" w:cs="宋体"/>
          <w:b/>
          <w:bCs/>
          <w:color w:val="auto"/>
          <w:sz w:val="21"/>
          <w:szCs w:val="21"/>
          <w:shd w:val="clear" w:color="auto" w:fill="auto"/>
        </w:rPr>
        <w:t>（一）</w:t>
      </w:r>
      <w:r>
        <w:rPr>
          <w:rFonts w:hint="eastAsia" w:ascii="宋体" w:hAnsi="宋体" w:cs="宋体"/>
          <w:b/>
          <w:bCs/>
          <w:color w:val="auto"/>
          <w:sz w:val="21"/>
          <w:szCs w:val="21"/>
          <w:shd w:val="clear" w:color="auto" w:fill="auto"/>
          <w:lang w:eastAsia="zh-CN"/>
        </w:rPr>
        <w:t>成交供应商</w:t>
      </w:r>
      <w:r>
        <w:rPr>
          <w:rFonts w:hint="eastAsia" w:ascii="宋体" w:hAnsi="宋体" w:eastAsia="宋体" w:cs="宋体"/>
          <w:b/>
          <w:bCs/>
          <w:color w:val="auto"/>
          <w:sz w:val="21"/>
          <w:szCs w:val="21"/>
          <w:shd w:val="clear" w:color="auto" w:fill="auto"/>
        </w:rPr>
        <w:t>必须根据《劳动合同法》合法用工，给每位服务人员购买社会保险，</w:t>
      </w:r>
      <w:r>
        <w:rPr>
          <w:rFonts w:hint="eastAsia" w:ascii="宋体" w:hAnsi="宋体" w:cs="宋体"/>
          <w:b/>
          <w:bCs/>
          <w:color w:val="auto"/>
          <w:sz w:val="21"/>
          <w:szCs w:val="21"/>
          <w:shd w:val="clear" w:color="auto" w:fill="auto"/>
          <w:lang w:eastAsia="zh-CN"/>
        </w:rPr>
        <w:t>采购人</w:t>
      </w:r>
      <w:r>
        <w:rPr>
          <w:rFonts w:hint="eastAsia" w:ascii="宋体" w:hAnsi="宋体" w:eastAsia="宋体" w:cs="宋体"/>
          <w:b/>
          <w:bCs/>
          <w:color w:val="auto"/>
          <w:sz w:val="21"/>
          <w:szCs w:val="21"/>
          <w:shd w:val="clear" w:color="auto" w:fill="auto"/>
        </w:rPr>
        <w:t>不再支付相关需要费用。</w:t>
      </w:r>
      <w:r>
        <w:rPr>
          <w:rFonts w:hint="eastAsia" w:ascii="宋体" w:hAnsi="宋体" w:cs="宋体"/>
          <w:color w:val="auto"/>
          <w:sz w:val="21"/>
          <w:szCs w:val="21"/>
          <w:shd w:val="clear" w:color="auto" w:fill="auto"/>
          <w:lang w:eastAsia="zh-CN"/>
        </w:rPr>
        <w:t>采购人</w:t>
      </w:r>
      <w:r>
        <w:rPr>
          <w:rFonts w:hint="eastAsia" w:ascii="宋体" w:hAnsi="宋体" w:eastAsia="宋体" w:cs="宋体"/>
          <w:color w:val="auto"/>
          <w:sz w:val="21"/>
          <w:szCs w:val="21"/>
          <w:shd w:val="clear" w:color="auto" w:fill="auto"/>
        </w:rPr>
        <w:t>与服务人员不发生任何劳动和雇佣关系，服务人员由</w:t>
      </w:r>
      <w:r>
        <w:rPr>
          <w:rFonts w:hint="eastAsia" w:ascii="宋体" w:hAnsi="宋体" w:cs="宋体"/>
          <w:color w:val="auto"/>
          <w:sz w:val="21"/>
          <w:szCs w:val="21"/>
          <w:shd w:val="clear" w:color="auto" w:fill="auto"/>
          <w:lang w:eastAsia="zh-CN"/>
        </w:rPr>
        <w:t>供应商</w:t>
      </w:r>
      <w:r>
        <w:rPr>
          <w:rFonts w:hint="eastAsia" w:ascii="宋体" w:hAnsi="宋体" w:eastAsia="宋体" w:cs="宋体"/>
          <w:color w:val="auto"/>
          <w:sz w:val="21"/>
          <w:szCs w:val="21"/>
          <w:shd w:val="clear" w:color="auto" w:fill="auto"/>
        </w:rPr>
        <w:t>自行管理，并遵守国家相关劳动法律法规，涉及劳务纠纷和劳动事故全部由</w:t>
      </w:r>
      <w:r>
        <w:rPr>
          <w:rFonts w:hint="eastAsia" w:ascii="宋体" w:hAnsi="宋体" w:cs="宋体"/>
          <w:color w:val="auto"/>
          <w:sz w:val="21"/>
          <w:szCs w:val="21"/>
          <w:shd w:val="clear" w:color="auto" w:fill="auto"/>
          <w:lang w:eastAsia="zh-CN"/>
        </w:rPr>
        <w:t>供应商</w:t>
      </w:r>
      <w:r>
        <w:rPr>
          <w:rFonts w:hint="eastAsia" w:ascii="宋体" w:hAnsi="宋体" w:eastAsia="宋体" w:cs="宋体"/>
          <w:color w:val="auto"/>
          <w:sz w:val="21"/>
          <w:szCs w:val="21"/>
          <w:shd w:val="clear" w:color="auto" w:fill="auto"/>
        </w:rPr>
        <w:t>承担责任。</w:t>
      </w:r>
    </w:p>
    <w:p>
      <w:pPr>
        <w:adjustRightInd w:val="0"/>
        <w:snapToGrid w:val="0"/>
        <w:spacing w:line="360" w:lineRule="auto"/>
        <w:ind w:firstLine="420" w:firstLineChars="200"/>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（二）员工服装款式面料风格须报经</w:t>
      </w:r>
      <w:r>
        <w:rPr>
          <w:rFonts w:hint="eastAsia" w:ascii="宋体" w:hAnsi="宋体" w:cs="宋体"/>
          <w:b/>
          <w:bCs/>
          <w:color w:val="auto"/>
          <w:sz w:val="21"/>
          <w:szCs w:val="21"/>
          <w:shd w:val="clear" w:color="auto" w:fill="auto"/>
          <w:lang w:eastAsia="zh-CN"/>
        </w:rPr>
        <w:t>采购人</w:t>
      </w:r>
      <w:r>
        <w:rPr>
          <w:rFonts w:hint="eastAsia" w:ascii="宋体" w:hAnsi="宋体" w:eastAsia="宋体" w:cs="宋体"/>
          <w:b/>
          <w:bCs/>
          <w:color w:val="auto"/>
          <w:sz w:val="21"/>
          <w:szCs w:val="21"/>
          <w:shd w:val="clear" w:color="auto" w:fill="auto"/>
        </w:rPr>
        <w:t>确认同意。</w:t>
      </w:r>
    </w:p>
    <w:p>
      <w:pPr>
        <w:adjustRightInd w:val="0"/>
        <w:snapToGrid w:val="0"/>
        <w:spacing w:line="360" w:lineRule="auto"/>
        <w:ind w:firstLine="420" w:firstLineChars="200"/>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（三）服务人员的工资每年应有的福利费、奖金、加班费等均由</w:t>
      </w:r>
      <w:r>
        <w:rPr>
          <w:rFonts w:hint="eastAsia" w:ascii="宋体" w:hAnsi="宋体" w:cs="宋体"/>
          <w:b/>
          <w:bCs/>
          <w:color w:val="auto"/>
          <w:sz w:val="21"/>
          <w:szCs w:val="21"/>
          <w:shd w:val="clear" w:color="auto" w:fill="auto"/>
          <w:lang w:eastAsia="zh-CN"/>
        </w:rPr>
        <w:t>供应商</w:t>
      </w:r>
      <w:r>
        <w:rPr>
          <w:rFonts w:hint="eastAsia" w:ascii="宋体" w:hAnsi="宋体" w:eastAsia="宋体" w:cs="宋体"/>
          <w:b/>
          <w:bCs/>
          <w:color w:val="auto"/>
          <w:sz w:val="21"/>
          <w:szCs w:val="21"/>
          <w:shd w:val="clear" w:color="auto" w:fill="auto"/>
        </w:rPr>
        <w:t>负责。工资水平应优于当地最低工资标准。</w:t>
      </w:r>
    </w:p>
    <w:p>
      <w:pPr>
        <w:adjustRightInd w:val="0"/>
        <w:snapToGrid w:val="0"/>
        <w:spacing w:line="360" w:lineRule="auto"/>
        <w:ind w:firstLine="420" w:firstLineChars="200"/>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（四）根据</w:t>
      </w:r>
      <w:r>
        <w:rPr>
          <w:rFonts w:hint="eastAsia" w:ascii="宋体" w:hAnsi="宋体" w:cs="宋体"/>
          <w:b/>
          <w:bCs/>
          <w:color w:val="auto"/>
          <w:sz w:val="21"/>
          <w:szCs w:val="21"/>
          <w:shd w:val="clear" w:color="auto" w:fill="auto"/>
          <w:lang w:eastAsia="zh-CN"/>
        </w:rPr>
        <w:t>采购人</w:t>
      </w:r>
      <w:r>
        <w:rPr>
          <w:rFonts w:hint="eastAsia" w:ascii="宋体" w:hAnsi="宋体" w:eastAsia="宋体" w:cs="宋体"/>
          <w:b/>
          <w:bCs/>
          <w:color w:val="auto"/>
          <w:sz w:val="21"/>
          <w:szCs w:val="21"/>
          <w:shd w:val="clear" w:color="auto" w:fill="auto"/>
        </w:rPr>
        <w:t>提供的工作岗位要求，由</w:t>
      </w:r>
      <w:r>
        <w:rPr>
          <w:rFonts w:hint="eastAsia" w:ascii="宋体" w:hAnsi="宋体" w:eastAsia="宋体" w:cs="宋体"/>
          <w:b/>
          <w:bCs/>
          <w:color w:val="auto"/>
          <w:sz w:val="21"/>
          <w:szCs w:val="21"/>
          <w:shd w:val="clear" w:color="auto" w:fill="auto"/>
          <w:lang w:val="en-US" w:eastAsia="zh-CN"/>
        </w:rPr>
        <w:t>供应商</w:t>
      </w:r>
      <w:r>
        <w:rPr>
          <w:rFonts w:hint="eastAsia" w:ascii="宋体" w:hAnsi="宋体" w:eastAsia="宋体" w:cs="宋体"/>
          <w:b/>
          <w:bCs/>
          <w:color w:val="auto"/>
          <w:sz w:val="21"/>
          <w:szCs w:val="21"/>
          <w:shd w:val="clear" w:color="auto" w:fill="auto"/>
        </w:rPr>
        <w:t>制订的《岗位说明书》、《岗位流程》、《岗位服务标准》、《岗位服务控制程序》、《安全管理制度》、《人员编制表》等相关规章制度必须在投标书中具体体现，并提供相应的岗位培训制度。</w:t>
      </w:r>
    </w:p>
    <w:p>
      <w:pPr>
        <w:adjustRightInd w:val="0"/>
        <w:snapToGrid w:val="0"/>
        <w:spacing w:line="360" w:lineRule="auto"/>
        <w:ind w:firstLine="420" w:firstLineChars="200"/>
        <w:rPr>
          <w:rStyle w:val="32"/>
          <w:rFonts w:hint="eastAsia" w:ascii="宋体" w:hAnsi="宋体" w:eastAsia="宋体" w:cs="宋体"/>
          <w:color w:val="auto"/>
          <w:sz w:val="21"/>
          <w:szCs w:val="21"/>
          <w:shd w:val="clear" w:color="auto" w:fill="auto"/>
        </w:rPr>
      </w:pPr>
      <w:r>
        <w:rPr>
          <w:rFonts w:hint="eastAsia" w:ascii="宋体" w:hAnsi="宋体" w:eastAsia="宋体" w:cs="宋体"/>
          <w:b/>
          <w:bCs/>
          <w:color w:val="auto"/>
          <w:sz w:val="21"/>
          <w:szCs w:val="21"/>
          <w:shd w:val="clear" w:color="auto" w:fill="auto"/>
        </w:rPr>
        <w:t>（五）</w:t>
      </w:r>
      <w:r>
        <w:rPr>
          <w:rFonts w:hint="eastAsia" w:ascii="宋体" w:hAnsi="宋体" w:cs="宋体"/>
          <w:b/>
          <w:bCs/>
          <w:color w:val="auto"/>
          <w:sz w:val="21"/>
          <w:szCs w:val="21"/>
          <w:shd w:val="clear" w:color="auto" w:fill="auto"/>
          <w:lang w:eastAsia="zh-CN"/>
        </w:rPr>
        <w:t>成交供应商</w:t>
      </w:r>
      <w:r>
        <w:rPr>
          <w:rFonts w:hint="eastAsia" w:ascii="宋体" w:hAnsi="宋体" w:eastAsia="宋体" w:cs="宋体"/>
          <w:b/>
          <w:bCs/>
          <w:color w:val="auto"/>
          <w:sz w:val="21"/>
          <w:szCs w:val="21"/>
          <w:shd w:val="clear" w:color="auto" w:fill="auto"/>
        </w:rPr>
        <w:t>必须对项目技术文件以及学校机密或商业秘密保密，保密范围包括技术情报、数据资料。</w:t>
      </w:r>
    </w:p>
    <w:p>
      <w:pPr>
        <w:ind w:firstLine="420" w:firstLineChars="200"/>
        <w:rPr>
          <w:rFonts w:hint="default"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auto"/>
          <w:sz w:val="21"/>
          <w:szCs w:val="21"/>
          <w:shd w:val="clear" w:color="auto" w:fill="auto"/>
          <w:lang w:val="en-US" w:eastAsia="zh-CN"/>
        </w:rPr>
        <w:t>（六）采购人仅为用工单位，中标人为用人单位。中标人必须根据招标文件及《中华人民共和国劳动合同法》和《中华人民共和国社会保险法》的规定要求与从业人员签订劳动合同，并承诺从业人员工资标准不低于当年桂林市最低工资发放标准（如在合同执行期内，主管部门调整桂林市最低工资标准，风险由中标人自行承担）且必须为从业人员按国家有关规定缴纳社会保险，要求在投标文件中必须单列出对该项内容的承诺函，否则投标无效。</w:t>
      </w:r>
    </w:p>
    <w:p>
      <w:pPr>
        <w:adjustRightInd w:val="0"/>
        <w:snapToGrid w:val="0"/>
        <w:spacing w:line="360" w:lineRule="auto"/>
        <w:ind w:firstLine="420" w:firstLineChars="200"/>
        <w:rPr>
          <w:rFonts w:hint="eastAsia" w:ascii="宋体" w:hAnsi="宋体" w:eastAsia="宋体" w:cs="宋体"/>
          <w:b/>
          <w:bCs/>
          <w:color w:val="auto"/>
          <w:sz w:val="21"/>
          <w:szCs w:val="21"/>
          <w:shd w:val="clear" w:color="auto" w:fill="auto"/>
          <w:lang w:val="en-US" w:eastAsia="zh-CN"/>
        </w:rPr>
      </w:pPr>
      <w:r>
        <w:rPr>
          <w:rFonts w:hint="eastAsia" w:ascii="宋体" w:hAnsi="宋体" w:eastAsia="宋体" w:cs="宋体"/>
          <w:b/>
          <w:bCs/>
          <w:color w:val="auto"/>
          <w:sz w:val="21"/>
          <w:szCs w:val="21"/>
          <w:shd w:val="clear" w:color="auto" w:fill="auto"/>
          <w:lang w:val="en-US" w:eastAsia="zh-CN"/>
        </w:rPr>
        <w:t>（七）</w:t>
      </w:r>
      <w:r>
        <w:rPr>
          <w:rFonts w:hint="eastAsia" w:ascii="宋体" w:hAnsi="宋体" w:eastAsia="宋体" w:cs="宋体"/>
          <w:b/>
          <w:bCs/>
          <w:color w:val="auto"/>
          <w:sz w:val="21"/>
          <w:szCs w:val="21"/>
          <w:shd w:val="clear" w:color="auto" w:fill="auto"/>
        </w:rPr>
        <w:t>投标人必须承诺并保证从业人员在国家规定的节假日值班时，按照国家有关规定给予从业人员三倍工资。要求在投标文件中必须单列出对该项内容的承诺函，否则投标无效</w:t>
      </w:r>
      <w:r>
        <w:rPr>
          <w:rFonts w:hint="eastAsia" w:ascii="宋体" w:hAnsi="宋体" w:eastAsia="宋体" w:cs="宋体"/>
          <w:b/>
          <w:bCs/>
          <w:color w:val="auto"/>
          <w:sz w:val="21"/>
          <w:szCs w:val="21"/>
          <w:shd w:val="clear" w:color="auto" w:fill="auto"/>
          <w:lang w:eastAsia="zh-CN"/>
        </w:rPr>
        <w:t>。</w:t>
      </w:r>
    </w:p>
    <w:p>
      <w:pPr>
        <w:adjustRightInd w:val="0"/>
        <w:snapToGrid w:val="0"/>
        <w:spacing w:line="360" w:lineRule="auto"/>
        <w:ind w:firstLine="420" w:firstLineChars="200"/>
        <w:rPr>
          <w:rFonts w:hint="eastAsia" w:ascii="宋体" w:hAnsi="宋体" w:eastAsia="宋体" w:cs="宋体"/>
          <w:b/>
          <w:bCs/>
          <w:color w:val="auto"/>
          <w:sz w:val="21"/>
          <w:szCs w:val="21"/>
          <w:shd w:val="clear" w:color="auto" w:fill="auto"/>
          <w:lang w:val="en-US" w:eastAsia="zh-CN"/>
        </w:rPr>
      </w:pPr>
      <w:r>
        <w:rPr>
          <w:rFonts w:hint="eastAsia" w:ascii="宋体" w:hAnsi="宋体" w:eastAsia="宋体" w:cs="宋体"/>
          <w:b/>
          <w:bCs/>
          <w:color w:val="auto"/>
          <w:sz w:val="21"/>
          <w:szCs w:val="21"/>
          <w:shd w:val="clear" w:color="auto" w:fill="auto"/>
          <w:lang w:val="en-US" w:eastAsia="zh-CN"/>
        </w:rPr>
        <w:t>（八）</w:t>
      </w:r>
      <w:r>
        <w:rPr>
          <w:rFonts w:hint="eastAsia" w:ascii="宋体" w:hAnsi="宋体" w:eastAsia="宋体" w:cs="宋体"/>
          <w:b/>
          <w:bCs/>
          <w:color w:val="auto"/>
          <w:sz w:val="21"/>
          <w:szCs w:val="21"/>
          <w:shd w:val="clear" w:color="auto" w:fill="auto"/>
        </w:rPr>
        <w:t>本项目采购预算包括采购范围内服务价款、管理费、项目实施期间的办公费用、从业人员服装费、从业人员的工资（含工资、按规定提取的保险和福利费及国家地方规定必须缴纳的费用、加班费、各项福利等）、治安秩序维护费、对讲机、秩序维护器械、手电、保洁人员使用的保洁用品、绿化养护管理（含药品、治理费、绿化使用的各类机械）、运行和管理费、税金</w:t>
      </w:r>
      <w:r>
        <w:rPr>
          <w:rFonts w:hint="eastAsia" w:ascii="宋体" w:hAnsi="宋体" w:eastAsia="宋体" w:cs="宋体"/>
          <w:b/>
          <w:bCs/>
          <w:color w:val="auto"/>
          <w:sz w:val="21"/>
          <w:szCs w:val="21"/>
          <w:shd w:val="clear" w:color="auto" w:fill="auto"/>
          <w:lang w:eastAsia="zh-CN"/>
        </w:rPr>
        <w:t>、</w:t>
      </w:r>
      <w:r>
        <w:rPr>
          <w:rFonts w:hint="eastAsia" w:ascii="宋体" w:hAnsi="宋体" w:eastAsia="宋体" w:cs="宋体"/>
          <w:b/>
          <w:bCs/>
          <w:color w:val="auto"/>
          <w:sz w:val="21"/>
          <w:szCs w:val="21"/>
          <w:shd w:val="clear" w:color="auto" w:fill="auto"/>
        </w:rPr>
        <w:t>供应商合理利润及其它成本等不可预见的全部费用</w:t>
      </w:r>
      <w:r>
        <w:rPr>
          <w:rFonts w:hint="eastAsia" w:ascii="宋体" w:hAnsi="宋体" w:eastAsia="宋体" w:cs="宋体"/>
          <w:b/>
          <w:bCs/>
          <w:color w:val="auto"/>
          <w:sz w:val="21"/>
          <w:szCs w:val="21"/>
          <w:shd w:val="clear" w:color="auto" w:fill="auto"/>
          <w:lang w:eastAsia="zh-CN"/>
        </w:rPr>
        <w:t>，</w:t>
      </w:r>
      <w:r>
        <w:rPr>
          <w:rFonts w:hint="eastAsia" w:ascii="宋体" w:hAnsi="宋体" w:eastAsia="宋体" w:cs="宋体"/>
          <w:b/>
          <w:bCs/>
          <w:color w:val="auto"/>
          <w:sz w:val="21"/>
          <w:szCs w:val="21"/>
          <w:shd w:val="clear" w:color="auto" w:fill="auto"/>
        </w:rPr>
        <w:t>投标人应综合考虑投标报价</w:t>
      </w:r>
      <w:r>
        <w:rPr>
          <w:rFonts w:hint="eastAsia" w:ascii="宋体" w:hAnsi="宋体" w:eastAsia="宋体" w:cs="宋体"/>
          <w:b/>
          <w:bCs/>
          <w:color w:val="auto"/>
          <w:sz w:val="21"/>
          <w:szCs w:val="21"/>
          <w:shd w:val="clear" w:color="auto" w:fill="auto"/>
          <w:lang w:eastAsia="zh-CN"/>
        </w:rPr>
        <w:t>。</w:t>
      </w:r>
    </w:p>
    <w:p>
      <w:pPr>
        <w:adjustRightInd w:val="0"/>
        <w:snapToGrid w:val="0"/>
        <w:spacing w:line="360" w:lineRule="auto"/>
        <w:ind w:firstLine="420" w:firstLineChars="200"/>
        <w:rPr>
          <w:rFonts w:hint="eastAsia" w:ascii="宋体" w:hAnsi="宋体" w:eastAsia="宋体" w:cs="宋体"/>
          <w:b/>
          <w:bCs/>
          <w:color w:val="auto"/>
          <w:sz w:val="21"/>
          <w:szCs w:val="21"/>
          <w:shd w:val="clear" w:color="auto" w:fill="auto"/>
          <w:lang w:eastAsia="zh-CN"/>
        </w:rPr>
      </w:pPr>
      <w:r>
        <w:rPr>
          <w:rFonts w:hint="eastAsia" w:ascii="宋体" w:hAnsi="宋体" w:eastAsia="宋体" w:cs="宋体"/>
          <w:b/>
          <w:bCs/>
          <w:color w:val="auto"/>
          <w:sz w:val="21"/>
          <w:szCs w:val="21"/>
          <w:shd w:val="clear" w:color="auto" w:fill="auto"/>
          <w:lang w:eastAsia="zh-CN"/>
        </w:rPr>
        <w:br w:type="page"/>
      </w:r>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第四章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评审办法</w:t>
      </w:r>
      <w:bookmarkEnd w:id="140"/>
      <w:bookmarkEnd w:id="141"/>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评审依据：磋商小组以磋商文件和响应文件为评审依据，对供应商的响应文件进行评审。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评审方式：以封闭方式进行评审。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3.采购人和采购代理机构、竞争性磋商小组成员要严格遵守政府采购相关法律制度，依法履行各自职责，公正、客观、审慎地组织和参与评审工作。</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二、评审办法</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w:t>
      </w:r>
      <w:r>
        <w:rPr>
          <w:rFonts w:hint="eastAsia" w:ascii="宋体" w:hAnsi="宋体" w:eastAsia="宋体" w:cs="宋体"/>
          <w:b/>
          <w:bCs/>
          <w:color w:val="000000" w:themeColor="text1"/>
          <w:sz w:val="21"/>
          <w:szCs w:val="21"/>
          <w:highlight w:val="none"/>
          <w14:textFill>
            <w14:solidFill>
              <w14:schemeClr w14:val="tx1"/>
            </w14:solidFill>
          </w14:textFill>
        </w:rPr>
        <w:t>综合评分法</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w:t>
      </w:r>
      <w:r>
        <w:rPr>
          <w:rFonts w:hint="eastAsia" w:hAnsi="宋体" w:cs="宋体"/>
          <w:bCs/>
          <w:color w:val="000000" w:themeColor="text1"/>
          <w:szCs w:val="21"/>
          <w:highlight w:val="none"/>
          <w14:textFill>
            <w14:solidFill>
              <w14:schemeClr w14:val="tx1"/>
            </w14:solidFill>
          </w14:textFill>
        </w:rPr>
        <w:t>按四舍五入取至百分位</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1、价格分………………………………………………………………………………………………………</w:t>
      </w:r>
      <w:r>
        <w:rPr>
          <w:rFonts w:hint="eastAsia" w:ascii="宋体" w:hAnsi="宋体" w:cs="宋体"/>
          <w:b/>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p>
      <w:pPr>
        <w:pStyle w:val="12"/>
        <w:keepNext w:val="0"/>
        <w:keepLines w:val="0"/>
        <w:pageBreakBefore w:val="0"/>
        <w:widowControl w:val="0"/>
        <w:kinsoku/>
        <w:wordWrap/>
        <w:overflowPunct/>
        <w:topLinePunct w:val="0"/>
        <w:autoSpaceDE/>
        <w:autoSpaceDN/>
        <w:bidi w:val="0"/>
        <w:snapToGrid/>
        <w:spacing w:line="360" w:lineRule="auto"/>
        <w:ind w:firstLine="420"/>
        <w:textAlignment w:val="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rFonts w:hint="eastAsia" w:hAnsi="宋体" w:cs="宋体"/>
          <w:color w:val="000000" w:themeColor="text1"/>
          <w:kern w:val="0"/>
          <w:szCs w:val="21"/>
          <w:highlight w:val="none"/>
          <w:lang w:val="en-US" w:eastAsia="zh-CN"/>
          <w14:textFill>
            <w14:solidFill>
              <w14:schemeClr w14:val="tx1"/>
            </w14:solidFill>
          </w14:textFill>
        </w:rPr>
        <w:t>1</w:t>
      </w:r>
      <w:r>
        <w:rPr>
          <w:rFonts w:hint="eastAsia" w:hAnsi="宋体" w:cs="宋体"/>
          <w:color w:val="000000" w:themeColor="text1"/>
          <w:kern w:val="0"/>
          <w:szCs w:val="21"/>
          <w:highlight w:val="none"/>
          <w14:textFill>
            <w14:solidFill>
              <w14:schemeClr w14:val="tx1"/>
            </w14:solidFill>
          </w14:textFill>
        </w:rPr>
        <w:t>）价格分采用低价优先法计算，即满足</w:t>
      </w:r>
      <w:r>
        <w:rPr>
          <w:rFonts w:hint="eastAsia" w:hAnsi="宋体" w:cs="宋体"/>
          <w:color w:val="000000" w:themeColor="text1"/>
          <w:kern w:val="0"/>
          <w:szCs w:val="21"/>
          <w:highlight w:val="none"/>
          <w:lang w:val="en-US" w:eastAsia="zh-CN"/>
          <w14:textFill>
            <w14:solidFill>
              <w14:schemeClr w14:val="tx1"/>
            </w14:solidFill>
          </w14:textFill>
        </w:rPr>
        <w:t>竞争性磋商</w:t>
      </w:r>
      <w:r>
        <w:rPr>
          <w:rFonts w:hint="eastAsia" w:hAnsi="宋体" w:cs="宋体"/>
          <w:color w:val="000000" w:themeColor="text1"/>
          <w:kern w:val="0"/>
          <w:szCs w:val="21"/>
          <w:highlight w:val="none"/>
          <w14:textFill>
            <w14:solidFill>
              <w14:schemeClr w14:val="tx1"/>
            </w14:solidFill>
          </w14:textFill>
        </w:rPr>
        <w:t>文件要求且评标报价最低的评标报价为评标基准价，其价格分为</w:t>
      </w:r>
      <w:r>
        <w:rPr>
          <w:rFonts w:hint="eastAsia" w:hAnsi="宋体" w:cs="宋体"/>
          <w:color w:val="000000" w:themeColor="text1"/>
          <w:kern w:val="0"/>
          <w:szCs w:val="21"/>
          <w:highlight w:val="none"/>
          <w:lang w:val="en-US" w:eastAsia="zh-CN"/>
          <w14:textFill>
            <w14:solidFill>
              <w14:schemeClr w14:val="tx1"/>
            </w14:solidFill>
          </w14:textFill>
        </w:rPr>
        <w:t>30</w:t>
      </w:r>
      <w:r>
        <w:rPr>
          <w:rFonts w:hint="eastAsia" w:hAnsi="宋体" w:cs="宋体"/>
          <w:color w:val="000000" w:themeColor="text1"/>
          <w:kern w:val="0"/>
          <w:szCs w:val="21"/>
          <w:highlight w:val="none"/>
          <w14:textFill>
            <w14:solidFill>
              <w14:schemeClr w14:val="tx1"/>
            </w14:solidFill>
          </w14:textFill>
        </w:rPr>
        <w:t>分。</w:t>
      </w:r>
    </w:p>
    <w:p>
      <w:pPr>
        <w:pStyle w:val="12"/>
        <w:keepNext w:val="0"/>
        <w:keepLines w:val="0"/>
        <w:pageBreakBefore w:val="0"/>
        <w:widowControl w:val="0"/>
        <w:kinsoku/>
        <w:wordWrap/>
        <w:overflowPunct/>
        <w:topLinePunct w:val="0"/>
        <w:autoSpaceDE/>
        <w:autoSpaceDN/>
        <w:bidi w:val="0"/>
        <w:snapToGrid/>
        <w:spacing w:line="360" w:lineRule="auto"/>
        <w:ind w:firstLine="420"/>
        <w:textAlignment w:val="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w:t>
      </w:r>
      <w:r>
        <w:rPr>
          <w:rFonts w:hint="eastAsia" w:hAnsi="宋体" w:cs="宋体"/>
          <w:color w:val="000000" w:themeColor="text1"/>
          <w:kern w:val="0"/>
          <w:szCs w:val="21"/>
          <w:highlight w:val="none"/>
          <w:lang w:val="en-US" w:eastAsia="zh-CN"/>
          <w14:textFill>
            <w14:solidFill>
              <w14:schemeClr w14:val="tx1"/>
            </w14:solidFill>
          </w14:textFill>
        </w:rPr>
        <w:t>2</w:t>
      </w:r>
      <w:r>
        <w:rPr>
          <w:rFonts w:hint="eastAsia" w:hAnsi="宋体" w:cs="宋体"/>
          <w:color w:val="000000" w:themeColor="text1"/>
          <w:kern w:val="0"/>
          <w:szCs w:val="21"/>
          <w:highlight w:val="none"/>
          <w14:textFill>
            <w14:solidFill>
              <w14:schemeClr w14:val="tx1"/>
            </w14:solidFill>
          </w14:textFill>
        </w:rPr>
        <w:t>）价格分计算公式：</w:t>
      </w:r>
    </w:p>
    <w:p>
      <w:pPr>
        <w:pStyle w:val="12"/>
        <w:keepNext w:val="0"/>
        <w:keepLines w:val="0"/>
        <w:pageBreakBefore w:val="0"/>
        <w:widowControl w:val="0"/>
        <w:kinsoku/>
        <w:wordWrap/>
        <w:overflowPunct/>
        <w:topLinePunct w:val="0"/>
        <w:autoSpaceDE/>
        <w:autoSpaceDN/>
        <w:bidi w:val="0"/>
        <w:snapToGrid/>
        <w:spacing w:line="360" w:lineRule="auto"/>
        <w:ind w:firstLine="3087" w:firstLineChars="1470"/>
        <w:textAlignment w:val="auto"/>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 xml:space="preserve"> 最低投标人</w:t>
      </w:r>
      <w:r>
        <w:rPr>
          <w:rFonts w:hint="eastAsia" w:hAnsi="宋体" w:cs="宋体"/>
          <w:color w:val="000000" w:themeColor="text1"/>
          <w:szCs w:val="21"/>
          <w:highlight w:val="none"/>
          <w14:textFill>
            <w14:solidFill>
              <w14:schemeClr w14:val="tx1"/>
            </w14:solidFill>
          </w14:textFill>
        </w:rPr>
        <w:t>评标报价</w:t>
      </w:r>
      <w:r>
        <w:rPr>
          <w:rFonts w:hint="eastAsia" w:hAnsi="宋体" w:cs="宋体"/>
          <w:bCs/>
          <w:color w:val="000000" w:themeColor="text1"/>
          <w:szCs w:val="21"/>
          <w:highlight w:val="none"/>
          <w14:textFill>
            <w14:solidFill>
              <w14:schemeClr w14:val="tx1"/>
            </w14:solidFill>
          </w14:textFill>
        </w:rPr>
        <w:t xml:space="preserve">金额          </w:t>
      </w:r>
    </w:p>
    <w:p>
      <w:pPr>
        <w:pStyle w:val="12"/>
        <w:keepNext w:val="0"/>
        <w:keepLines w:val="0"/>
        <w:pageBreakBefore w:val="0"/>
        <w:widowControl w:val="0"/>
        <w:kinsoku/>
        <w:wordWrap/>
        <w:overflowPunct/>
        <w:topLinePunct w:val="0"/>
        <w:autoSpaceDE/>
        <w:autoSpaceDN/>
        <w:bidi w:val="0"/>
        <w:snapToGrid/>
        <w:spacing w:line="360" w:lineRule="auto"/>
        <w:ind w:firstLine="420"/>
        <w:textAlignment w:val="auto"/>
        <w:rPr>
          <w:rFonts w:hAnsi="宋体" w:cs="宋体"/>
          <w:bCs/>
          <w:color w:val="000000" w:themeColor="text1"/>
          <w:szCs w:val="21"/>
          <w:highlight w:val="none"/>
          <w14:textFill>
            <w14:solidFill>
              <w14:schemeClr w14:val="tx1"/>
            </w14:solidFill>
          </w14:textFill>
        </w:rPr>
      </w:pPr>
      <w:r>
        <w:rPr>
          <w:rFonts w:hAnsi="宋体" w:cs="宋体"/>
          <w:bCs/>
          <w:color w:val="000000" w:themeColor="text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Wp87WAAAACQEAAA8AAAAAAAAAAQAgAAAAIgAAAGRycy9kb3ducmV2LnhtbFBL&#10;AQIUABQAAAAIAIdO4kBSdZvp+AEAAPIDAAAOAAAAAAAAAAEAIAAAACUBAABkcnMvZTJvRG9jLnht&#10;bFBLBQYAAAAABgAGAFkBAACPBQAAAAA=&#10;">
                <v:fill on="f" focussize="0,0"/>
                <v:stroke color="#000000" joinstyle="round"/>
                <v:imagedata o:title=""/>
                <o:lock v:ext="edit" aspectratio="f"/>
              </v:line>
            </w:pict>
          </mc:Fallback>
        </mc:AlternateContent>
      </w:r>
      <w:r>
        <w:rPr>
          <w:rFonts w:hint="eastAsia" w:hAnsi="宋体" w:cs="宋体"/>
          <w:bCs/>
          <w:color w:val="000000" w:themeColor="text1"/>
          <w:szCs w:val="21"/>
          <w:highlight w:val="none"/>
          <w14:textFill>
            <w14:solidFill>
              <w14:schemeClr w14:val="tx1"/>
            </w14:solidFill>
          </w14:textFill>
        </w:rPr>
        <w:t xml:space="preserve">某投标人价格分 =                                         ×   </w:t>
      </w:r>
      <w:r>
        <w:rPr>
          <w:rFonts w:hint="eastAsia" w:hAnsi="宋体" w:cs="宋体"/>
          <w:bCs/>
          <w:color w:val="000000" w:themeColor="text1"/>
          <w:szCs w:val="21"/>
          <w:highlight w:val="none"/>
          <w:lang w:val="en-US" w:eastAsia="zh-CN"/>
          <w14:textFill>
            <w14:solidFill>
              <w14:schemeClr w14:val="tx1"/>
            </w14:solidFill>
          </w14:textFill>
        </w:rPr>
        <w:t>30</w:t>
      </w:r>
      <w:r>
        <w:rPr>
          <w:rFonts w:hint="eastAsia" w:hAnsi="宋体" w:cs="宋体"/>
          <w:bCs/>
          <w:color w:val="000000" w:themeColor="text1"/>
          <w:szCs w:val="21"/>
          <w:highlight w:val="none"/>
          <w14:textFill>
            <w14:solidFill>
              <w14:schemeClr w14:val="tx1"/>
            </w14:solidFill>
          </w14:textFill>
        </w:rPr>
        <w:t>分</w:t>
      </w:r>
    </w:p>
    <w:p>
      <w:pPr>
        <w:pStyle w:val="1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 xml:space="preserve">                           某投标人</w:t>
      </w:r>
      <w:r>
        <w:rPr>
          <w:rFonts w:hint="eastAsia" w:hAnsi="宋体" w:cs="宋体"/>
          <w:color w:val="000000" w:themeColor="text1"/>
          <w:szCs w:val="21"/>
          <w:highlight w:val="none"/>
          <w14:textFill>
            <w14:solidFill>
              <w14:schemeClr w14:val="tx1"/>
            </w14:solidFill>
          </w14:textFill>
        </w:rPr>
        <w:t>评标报价</w:t>
      </w:r>
      <w:r>
        <w:rPr>
          <w:rFonts w:hint="eastAsia" w:hAnsi="宋体" w:cs="宋体"/>
          <w:bCs/>
          <w:color w:val="000000" w:themeColor="text1"/>
          <w:szCs w:val="21"/>
          <w:highlight w:val="none"/>
          <w14:textFill>
            <w14:solidFill>
              <w14:schemeClr w14:val="tx1"/>
            </w14:solidFill>
          </w14:textFill>
        </w:rPr>
        <w:t>金额</w:t>
      </w:r>
      <w:r>
        <w:rPr>
          <w:rFonts w:hint="eastAsia" w:ascii="宋体" w:hAnsi="宋体" w:eastAsia="宋体" w:cs="宋体"/>
          <w:color w:val="000000" w:themeColor="text1"/>
          <w:sz w:val="21"/>
          <w:szCs w:val="21"/>
          <w:highlight w:val="none"/>
          <w14:textFill>
            <w14:solidFill>
              <w14:schemeClr w14:val="tx1"/>
            </w14:solidFill>
          </w14:textFill>
        </w:rPr>
        <w:t>。</w:t>
      </w:r>
    </w:p>
    <w:p>
      <w:pPr>
        <w:pStyle w:val="12"/>
        <w:adjustRightInd w:val="0"/>
        <w:snapToGrid w:val="0"/>
        <w:spacing w:line="360" w:lineRule="auto"/>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w:t>
      </w:r>
      <w:r>
        <w:rPr>
          <w:rFonts w:hint="eastAsia" w:hAnsi="宋体" w:cs="宋体"/>
          <w:b/>
          <w:color w:val="000000" w:themeColor="text1"/>
          <w:szCs w:val="21"/>
          <w:highlight w:val="none"/>
          <w:lang w:eastAsia="zh-CN"/>
          <w14:textFill>
            <w14:solidFill>
              <w14:schemeClr w14:val="tx1"/>
            </w14:solidFill>
          </w14:textFill>
        </w:rPr>
        <w:t>服务质量分</w:t>
      </w:r>
      <w:r>
        <w:rPr>
          <w:rFonts w:hint="eastAsia" w:hAnsi="宋体" w:cs="宋体"/>
          <w:b/>
          <w:bCs/>
          <w:color w:val="000000" w:themeColor="text1"/>
          <w:kern w:val="0"/>
          <w:szCs w:val="21"/>
          <w:highlight w:val="none"/>
          <w14:textFill>
            <w14:solidFill>
              <w14:schemeClr w14:val="tx1"/>
            </w14:solidFill>
          </w14:textFill>
        </w:rPr>
        <w:t>……………………………………………………………………………………………………</w:t>
      </w:r>
      <w:r>
        <w:rPr>
          <w:rFonts w:hint="eastAsia" w:hAnsi="宋体" w:cs="宋体"/>
          <w:b/>
          <w:color w:val="000000" w:themeColor="text1"/>
          <w:szCs w:val="21"/>
          <w:highlight w:val="none"/>
          <w:lang w:val="en-US" w:eastAsia="zh-CN"/>
          <w14:textFill>
            <w14:solidFill>
              <w14:schemeClr w14:val="tx1"/>
            </w14:solidFill>
          </w14:textFill>
        </w:rPr>
        <w:t>64</w:t>
      </w:r>
      <w:r>
        <w:rPr>
          <w:rFonts w:hint="eastAsia" w:hAnsi="宋体" w:cs="宋体"/>
          <w:b/>
          <w:color w:val="000000" w:themeColor="text1"/>
          <w:szCs w:val="21"/>
          <w:highlight w:val="none"/>
          <w14:textFill>
            <w14:solidFill>
              <w14:schemeClr w14:val="tx1"/>
            </w14:solidFill>
          </w14:textFill>
        </w:rPr>
        <w:t>分</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bookmarkStart w:id="153" w:name="_Toc28378"/>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（1）服务方案分（满分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32</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bookmarkEnd w:id="153"/>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①保洁服务方案分（满分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一档（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分）：提供的管理规章制度含有着装、考勤制度，操作规程含有人员管理整体运作、人员日常工作流程，且满足采购人需求。</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二档（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分）：提供的管理规章制度含有着装、考勤制度、仪容仪表及个人卫生等制度，操作规程含有人员管理整体运作、人员日常工作流程，且满足采购人需求。</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三档（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管理规章制度含有着装、考勤制度、日常管理、仪容仪表及个人卫生、月考核、奖惩、人员管理、岗位分工等制度，操作规程含有人员管理整体运作、信息反馈处理机制、人员日常工作流程，且满足采购人需求。</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②保安服务方案分（满分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一档（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分）：提供的保安服务方案含有着装、考勤制度，操作规程含有人员管理整体运作、人员日常工作流程，且满足采购人需求。</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二档（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分）：提供的保安服务方案含有着装、考勤制度、仪容仪表及个人卫生等制度，操作规程含有人员管理整体运作、人员日常工作流程，且满足采购人需求。</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三档（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保安服务方案含有着装、考勤制度、日常管理、仪容仪表及个人卫生、月考核、奖惩、人员管理、岗位分工等制度，操作规程含有人员管理整体运作、信息反馈处理机制、人员日常工作流程，且满足采购人需求。</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③绿化服务方案分（满分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一档（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分）：建立有相关的绿化管理方案，方案满足项目服务需求。</w:t>
      </w:r>
    </w:p>
    <w:p>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二档（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分）：相关的绿化管理方案能契合本项目实际情况，满足项目服务需求，在一档的基础上针对重大活动、节日等方面制定有应急预案。</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三档（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分）：在二档基础上，针对公共卫生等方面制订有应急方案，且方案考虑问题周全、切合实际情况，保洁工具配备齐全。</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④公共设施设备维护服务方案分（包括电梯、中央空调、热水系统、高低压配电箱、供水加压系统、智能系统）（满分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一档（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分）：提供的公共设施设备维护服务方案包括管理制度、日常检查，方案不详细，基本满足项目服务需求。</w:t>
      </w:r>
    </w:p>
    <w:p>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二档（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分）：提供的公共设施设备维护服务方案包括管理制度、日常检查、维护记录台账，方案详细，能切合本项目实际情况较好的满足项目服务需求。</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三档（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分）：在满足二档的基础上，在二档基础上，对水电安全等方面制订有应急方案，且方案考虑问题周全、切合实际情况。</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（2）应急预案分（满分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一档（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分）：提供的应急预案包括但不限定于安全、消防、设备故障处置措施，法定节假日、重大会议或活动、其他应急活动等措施；</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二档（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分）：提供的应急预案包括但不限定于安全、消防、设备故障处置措施，法定节假日、重大会议或活动、其他应急活动等措施，内容具有服务思路、流程介绍，有应急管理措施；</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三档（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应急预案包括但不限定于安全、消防、设备故障处置措施，法定节假日、重大会议或活动、其他应急活动等措施，内容能结合本项目实际情况，制定可行的应急预案，包含应急工作流程介绍、有效应急管理措施并优于招标文件要求。</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（3）人员招聘与培训方案分（满分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一档（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分）：人员培训方案包括：人员培训方案中含有对各类岗位人员的培训计划、培训内容、培训课时、考核方式的。</w:t>
      </w:r>
    </w:p>
    <w:p>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二档（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分）：人员培训方案中含有对各类岗位人员的培训计划、培训内容、培训课时、考核方式、培训目标及言行规范的。</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三档（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人员培训方案中含有对各类岗位人员的培训计划、培训内容、培训课时、使用教材规范、考核方式、目标及言行规范、仪表仪容、公众形象、基本技能，同时能提供培训师相应的培训师证书、身份证彩色扫描件的。</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（4）管理规章制度分（满分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管理规章制度的种类包括但不仅限于：档案管理制度、内部管理制度、各岗位职责、管理维护运作制度及标准、管理人员考核制度及标准、消防安全管理规章制度等。</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一档（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分）：管理规章制度包含有着装、执勤、交接班、登记等制度；操作规程包含有秩序维护管理整体运作；应急处置方案预案包含突发事件及处理方法、措施；提供维持服务单位区域公共安全及周边秩序方案的；</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二档（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管理规章制度含有着装、执勤、交接班、登记、巡逻、考勤等制度，操作规程含有秩序维护管理整体运作、秩序维护日常工作流程，应急处置方案预案包含突发事件、暴雨应急及处理方法、措施；提供维持服务单位区域公共安全及周边秩序的方案；以上各制度、方案、措施满足本项目实际要求的；</w:t>
      </w:r>
    </w:p>
    <w:p>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三档（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提供的管理规章制度含有着装、执勤、交接班、登记、巡逻、考勤制度、仪容仪表及个人卫生、通信联络、月考核、奖惩等制度；操作规程含有秩序维护管理整体运作、信息反馈处理机制、秩序维护日常工作流程，应急处置方案预案含有突发事件、暴雨应急、各类报警应急、暴力事件应急方案及处理方法，面对突发公共卫生事件的防控措施；提供维持服务单位区域公共安全及周边秩序方案及措施；以上各制度、方案、措施满足本项目实际要求的。</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（5）服务承诺分（满分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一档（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分）：供应商提供按时足额发放员工工资及为员工购买社会保险措施的承诺函。</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二档（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分）：在一档的基础上服务承诺包含有针对本项目的服务质量承诺。</w:t>
      </w:r>
    </w:p>
    <w:p>
      <w:pPr>
        <w:spacing w:line="360" w:lineRule="auto"/>
        <w:ind w:left="0" w:leftChars="0"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三档（</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分）：在二档基础上有各项服务承诺，同时承诺对可能出现的劳务纠纷提出解决办法。</w:t>
      </w:r>
    </w:p>
    <w:p>
      <w:pPr>
        <w:pStyle w:val="12"/>
        <w:adjustRightInd w:val="0"/>
        <w:snapToGrid w:val="0"/>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w:t>
      </w:r>
      <w:r>
        <w:rPr>
          <w:rFonts w:hint="eastAsia" w:hAnsi="宋体" w:cs="宋体"/>
          <w:b/>
          <w:color w:val="000000" w:themeColor="text1"/>
          <w:szCs w:val="21"/>
          <w:highlight w:val="none"/>
          <w:lang w:eastAsia="zh-CN"/>
          <w14:textFill>
            <w14:solidFill>
              <w14:schemeClr w14:val="tx1"/>
            </w14:solidFill>
          </w14:textFill>
        </w:rPr>
        <w:t>履约能力分</w:t>
      </w:r>
      <w:r>
        <w:rPr>
          <w:rFonts w:hint="eastAsia" w:hAnsi="宋体" w:cs="宋体"/>
          <w:b/>
          <w:bCs/>
          <w:color w:val="000000" w:themeColor="text1"/>
          <w:kern w:val="0"/>
          <w:szCs w:val="21"/>
          <w:highlight w:val="none"/>
          <w14:textFill>
            <w14:solidFill>
              <w14:schemeClr w14:val="tx1"/>
            </w14:solidFill>
          </w14:textFill>
        </w:rPr>
        <w:t>……………………………………………………………………………………………………</w:t>
      </w:r>
      <w:r>
        <w:rPr>
          <w:rFonts w:hint="eastAsia" w:hAnsi="宋体" w:cs="宋体"/>
          <w:b/>
          <w:color w:val="000000" w:themeColor="text1"/>
          <w:szCs w:val="21"/>
          <w:highlight w:val="none"/>
          <w:lang w:val="en-US" w:eastAsia="zh-CN"/>
          <w14:textFill>
            <w14:solidFill>
              <w14:schemeClr w14:val="tx1"/>
            </w14:solidFill>
          </w14:textFill>
        </w:rPr>
        <w:t>6</w:t>
      </w:r>
      <w:r>
        <w:rPr>
          <w:rFonts w:hint="eastAsia" w:hAnsi="宋体" w:cs="宋体"/>
          <w:b/>
          <w:color w:val="000000" w:themeColor="text1"/>
          <w:szCs w:val="21"/>
          <w:highlight w:val="none"/>
          <w14:textFill>
            <w14:solidFill>
              <w14:schemeClr w14:val="tx1"/>
            </w14:solidFill>
          </w14:textFill>
        </w:rPr>
        <w:t>分</w:t>
      </w:r>
    </w:p>
    <w:p>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人员配置分（满分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6</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①拟投入本项目</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项目经理</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具有中华人民共和国人力资源和社会保障部批准颁发的人力资源管理师的，每提供一个，得</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分，满分</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t>拟投入本项目绿化服务人员具有工程系列园林或绿化类相关专业职称证书的，提供初级职称证书的，得1分；提供中级职称证书的，得2分；提供高级职称证书的，得3分，满分3分</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w:t>
      </w:r>
    </w:p>
    <w:p>
      <w:pPr>
        <w:spacing w:line="360" w:lineRule="auto"/>
        <w:ind w:left="0" w:leftChars="0" w:firstLine="420" w:firstLineChars="200"/>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注：同一人持有多种证件的不重复得分。须提供</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供应商为</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以上人员</w:t>
      </w:r>
      <w:r>
        <w:rPr>
          <w:rFonts w:hint="eastAsia" w:ascii="宋体" w:hAnsi="宋体" w:eastAsia="宋体" w:cs="宋体"/>
          <w:color w:val="000000" w:themeColor="text1"/>
          <w:szCs w:val="21"/>
          <w:highlight w:val="none"/>
          <w14:textFill>
            <w14:solidFill>
              <w14:schemeClr w14:val="tx1"/>
            </w14:solidFill>
          </w14:textFill>
        </w:rPr>
        <w:t>由县级以上（含县级）社会养老保险经办机构出具的响应文件递交截止时间前</w:t>
      </w:r>
      <w:r>
        <w:rPr>
          <w:rFonts w:hint="eastAsia" w:ascii="宋体" w:hAnsi="宋体" w:cs="宋体"/>
          <w:color w:val="000000" w:themeColor="text1"/>
          <w:szCs w:val="21"/>
          <w:highlight w:val="none"/>
          <w:lang w:eastAsia="zh-CN"/>
          <w14:textFill>
            <w14:solidFill>
              <w14:schemeClr w14:val="tx1"/>
            </w14:solidFill>
          </w14:textFill>
        </w:rPr>
        <w:t>三个月内任意一个月</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彩色扫描件及从业人员的相关的证书等证明材料，不按上述要求提供材料的，不能作为评分依据，不得计分。自签订采购合同后5个工作日内，</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成交供应商</w:t>
      </w:r>
      <w:r>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须提供以上从业人员的相关证书、身份证及社保证明原件到采购单位进行备案，且不得擅自更换人员。</w:t>
      </w:r>
    </w:p>
    <w:p>
      <w:pP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.综合得分＝1+2+3</w:t>
      </w:r>
    </w:p>
    <w:p>
      <w:pPr>
        <w:spacing w:line="360" w:lineRule="auto"/>
        <w:ind w:firstLine="420" w:firstLineChars="200"/>
        <w:rPr>
          <w:rFonts w:hint="eastAsia"/>
          <w:b/>
          <w:bCs/>
          <w:color w:val="000000" w:themeColor="text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注：以上证书提供相关</w:t>
      </w:r>
      <w:r>
        <w:rPr>
          <w:rFonts w:hint="eastAsia" w:hAnsi="宋体" w:cs="宋体"/>
          <w:b/>
          <w:bCs/>
          <w:color w:val="000000" w:themeColor="text1"/>
          <w:szCs w:val="21"/>
          <w:highlight w:val="none"/>
          <w:lang w:eastAsia="zh-CN"/>
          <w14:textFill>
            <w14:solidFill>
              <w14:schemeClr w14:val="tx1"/>
            </w14:solidFill>
          </w14:textFill>
        </w:rPr>
        <w:t>彩色扫描件</w:t>
      </w:r>
      <w:r>
        <w:rPr>
          <w:rFonts w:hint="eastAsia" w:hAnsi="宋体" w:cs="宋体"/>
          <w:b/>
          <w:bCs/>
          <w:color w:val="000000" w:themeColor="text1"/>
          <w:szCs w:val="21"/>
          <w:highlight w:val="none"/>
          <w14:textFill>
            <w14:solidFill>
              <w14:schemeClr w14:val="tx1"/>
            </w14:solidFill>
          </w14:textFill>
        </w:rPr>
        <w:t>，如查实为虚假的投标无效，未提供不计分。</w:t>
      </w:r>
    </w:p>
    <w:p>
      <w:pPr>
        <w:pStyle w:val="12"/>
        <w:tabs>
          <w:tab w:val="left" w:pos="4214"/>
        </w:tabs>
        <w:spacing w:line="360" w:lineRule="auto"/>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三、推荐及确定</w:t>
      </w:r>
      <w:r>
        <w:rPr>
          <w:rFonts w:hint="eastAsia" w:hAnsi="宋体" w:cs="宋体"/>
          <w:b/>
          <w:color w:val="000000" w:themeColor="text1"/>
          <w:szCs w:val="21"/>
          <w:highlight w:val="none"/>
          <w:lang w:eastAsia="zh-CN"/>
          <w14:textFill>
            <w14:solidFill>
              <w14:schemeClr w14:val="tx1"/>
            </w14:solidFill>
          </w14:textFill>
        </w:rPr>
        <w:t>成交</w:t>
      </w:r>
      <w:r>
        <w:rPr>
          <w:rFonts w:hint="eastAsia" w:hAnsi="宋体" w:cs="宋体"/>
          <w:b/>
          <w:color w:val="000000" w:themeColor="text1"/>
          <w:szCs w:val="21"/>
          <w:highlight w:val="none"/>
          <w14:textFill>
            <w14:solidFill>
              <w14:schemeClr w14:val="tx1"/>
            </w14:solidFill>
          </w14:textFill>
        </w:rPr>
        <w:t>候选供应商原则</w:t>
      </w:r>
    </w:p>
    <w:p>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1.评标委员会根据综合得分由高到低排列次序，若得分相同时，按评标价由低到高顺序排列；得分相同且评标价也相同的由评标委员会按照抽签的方式决定排次次序。</w:t>
      </w:r>
    </w:p>
    <w:p>
      <w:pPr>
        <w:pStyle w:val="12"/>
        <w:tabs>
          <w:tab w:val="left" w:pos="4214"/>
        </w:tabs>
        <w:spacing w:line="360" w:lineRule="auto"/>
        <w:ind w:firstLine="42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2.评标委员会可推荐前三名为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候选人，采购人应当确定评标委员会推荐排名第一的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人。</w:t>
      </w:r>
    </w:p>
    <w:p>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3.排名第一的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候选人放弃</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、因不可抗力提出不能履行合同，或者招标文件规定应当提交履约保证金而在规定的期限内未能提交的，或因失信行为被取消</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候选人资格的，采购人可以确定排名第二的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人，并依此类推。</w:t>
      </w:r>
    </w:p>
    <w:p>
      <w:pPr>
        <w:spacing w:line="360" w:lineRule="auto"/>
        <w:ind w:firstLine="424" w:firstLineChars="202"/>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四、特别说明</w:t>
      </w:r>
      <w:bookmarkStart w:id="253" w:name="_GoBack"/>
      <w:bookmarkEnd w:id="253"/>
    </w:p>
    <w:p>
      <w:pPr>
        <w:spacing w:line="34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b/>
          <w:bCs/>
          <w:color w:val="000000" w:themeColor="text1"/>
          <w:szCs w:val="21"/>
          <w:highlight w:val="none"/>
          <w:u w:val="double"/>
          <w14:textFill>
            <w14:solidFill>
              <w14:schemeClr w14:val="tx1"/>
            </w14:solidFill>
          </w14:textFill>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jc w:val="left"/>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w:t>
      </w:r>
    </w:p>
    <w:p>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000000" w:themeColor="text1"/>
          <w:kern w:val="0"/>
          <w:sz w:val="30"/>
          <w:szCs w:val="30"/>
          <w:highlight w:val="none"/>
          <w14:textFill>
            <w14:solidFill>
              <w14:schemeClr w14:val="tx1"/>
            </w14:solidFill>
          </w14:textFill>
        </w:rPr>
      </w:pPr>
      <w:bookmarkStart w:id="154" w:name="_Toc28361_WPSOffice_Level2"/>
      <w:r>
        <w:rPr>
          <w:rFonts w:hint="eastAsia" w:ascii="宋体" w:hAnsi="宋体" w:eastAsia="宋体" w:cs="宋体"/>
          <w:b/>
          <w:bCs/>
          <w:color w:val="000000" w:themeColor="text1"/>
          <w:kern w:val="0"/>
          <w:sz w:val="30"/>
          <w:szCs w:val="30"/>
          <w:highlight w:val="none"/>
          <w14:textFill>
            <w14:solidFill>
              <w14:schemeClr w14:val="tx1"/>
            </w14:solidFill>
          </w14:textFill>
        </w:rPr>
        <w:t>统计上大中小微型企业划分标准</w:t>
      </w:r>
      <w:bookmarkEnd w:id="154"/>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21"/>
                <w:highlight w:val="none"/>
                <w14:textFill>
                  <w14:solidFill>
                    <w14:schemeClr w14:val="tx1"/>
                  </w14:solidFill>
                </w14:textFill>
              </w:rPr>
            </w:pPr>
            <w:r>
              <w:rPr>
                <w:rFonts w:hint="eastAsia" w:ascii="宋体" w:hAnsi="宋体" w:eastAsia="宋体" w:cs="宋体"/>
                <w:b/>
                <w:bCs/>
                <w:color w:val="000000" w:themeColor="text1"/>
                <w:kern w:val="0"/>
                <w:sz w:val="18"/>
                <w:szCs w:val="21"/>
                <w:highlight w:val="none"/>
                <w14:textFill>
                  <w14:solidFill>
                    <w14:schemeClr w14:val="tx1"/>
                  </w14:solidFill>
                </w14:textFill>
              </w:rPr>
              <w:t>行业名称</w:t>
            </w:r>
          </w:p>
        </w:tc>
        <w:tc>
          <w:tcPr>
            <w:tcW w:w="1369"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指标名称</w:t>
            </w:r>
          </w:p>
        </w:tc>
        <w:tc>
          <w:tcPr>
            <w:tcW w:w="709"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计量</w:t>
            </w:r>
          </w:p>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单位</w:t>
            </w:r>
          </w:p>
        </w:tc>
        <w:tc>
          <w:tcPr>
            <w:tcW w:w="1125"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大型</w:t>
            </w:r>
          </w:p>
        </w:tc>
        <w:tc>
          <w:tcPr>
            <w:tcW w:w="1701"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中型</w:t>
            </w:r>
          </w:p>
        </w:tc>
        <w:tc>
          <w:tcPr>
            <w:tcW w:w="1426"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小型</w:t>
            </w:r>
          </w:p>
        </w:tc>
        <w:tc>
          <w:tcPr>
            <w:tcW w:w="992"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农、林、牧、渔业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工业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建筑业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Y≥80000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Z≥80000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批发业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零售业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10≤X＜50 </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交通运输业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仓储业*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邮政业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住宿业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餐饮业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信息传输业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r>
              <w:rPr>
                <w:rFonts w:hint="eastAsia" w:ascii="宋体" w:hAnsi="宋体" w:eastAsia="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eastAsia="宋体" w:cs="宋体"/>
                <w:color w:val="000000" w:themeColor="text1"/>
                <w:kern w:val="0"/>
                <w:sz w:val="18"/>
                <w:szCs w:val="18"/>
                <w:highlight w:val="none"/>
                <w14:textFill>
                  <w14:solidFill>
                    <w14:schemeClr w14:val="tx1"/>
                  </w14:solidFill>
                </w14:textFill>
              </w:rPr>
              <w:t>务业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房地产开发经营</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2000≤Z＜5000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物业管理</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租赁和商务服务业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Z≥120000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其他未列明行业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说明：</w:t>
      </w:r>
    </w:p>
    <w:p>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1.大型、中型和小型企业须同时满足所列指标的下限，否则下划一档；微型企业只须满足所列指标中的一项即可。</w:t>
      </w:r>
    </w:p>
    <w:p>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2"/>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55" w:name="_Toc8466"/>
      <w:bookmarkStart w:id="156" w:name="_Toc4774"/>
    </w:p>
    <w:p>
      <w:pPr>
        <w:pStyle w:val="7"/>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57" w:name="_Toc5351"/>
      <w:r>
        <w:rPr>
          <w:rFonts w:hint="eastAsia" w:ascii="宋体" w:hAnsi="宋体" w:eastAsia="宋体" w:cs="宋体"/>
          <w:color w:val="000000" w:themeColor="text1"/>
          <w:sz w:val="32"/>
          <w:szCs w:val="32"/>
          <w:highlight w:val="none"/>
          <w:lang w:eastAsia="zh-CN"/>
          <w14:textFill>
            <w14:solidFill>
              <w14:schemeClr w14:val="tx1"/>
            </w14:solidFill>
          </w14:textFill>
        </w:rPr>
        <w:t>第五章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采购合同（合同主要条款及格式）</w:t>
      </w:r>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合同编号：</w:t>
      </w:r>
      <w:r>
        <w:rPr>
          <w:rFonts w:hint="eastAsia" w:ascii="宋体" w:hAnsi="宋体" w:cs="宋体"/>
          <w:color w:val="000000" w:themeColor="text1"/>
          <w:sz w:val="21"/>
          <w:szCs w:val="21"/>
          <w:highlight w:val="none"/>
          <w:lang w:eastAsia="zh-CN"/>
          <w14:textFill>
            <w14:solidFill>
              <w14:schemeClr w14:val="tx1"/>
            </w14:solidFill>
          </w14:textFill>
        </w:rPr>
        <w:t>GXZC202</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HT</w:t>
      </w:r>
      <w:r>
        <w:rPr>
          <w:rFonts w:hint="eastAsia" w:ascii="宋体" w:hAnsi="宋体" w:cs="宋体"/>
          <w:color w:val="000000" w:themeColor="text1"/>
          <w:sz w:val="21"/>
          <w:szCs w:val="21"/>
          <w:highlight w:val="none"/>
          <w:lang w:eastAsia="zh-CN"/>
          <w14:textFill>
            <w14:solidFill>
              <w14:schemeClr w14:val="tx1"/>
            </w14:solidFill>
          </w14:textFill>
        </w:rPr>
        <w:t>C3-290264-</w:t>
      </w:r>
      <w:r>
        <w:rPr>
          <w:rFonts w:hint="eastAsia" w:ascii="宋体" w:hAnsi="宋体" w:cs="宋体"/>
          <w:color w:val="000000" w:themeColor="text1"/>
          <w:sz w:val="21"/>
          <w:szCs w:val="21"/>
          <w:highlight w:val="none"/>
          <w:lang w:val="en-US" w:eastAsia="zh-CN"/>
          <w14:textFill>
            <w14:solidFill>
              <w14:schemeClr w14:val="tx1"/>
            </w14:solidFill>
          </w14:textFill>
        </w:rPr>
        <w:t>GLJC</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资源县红色文化培训中心物业服务项目</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GLZC2024-C3-290264-GLSZ</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甲方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资源县红色文化研学培训管理中心</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（采购人）</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乙方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（成交供应商）</w:t>
      </w:r>
    </w:p>
    <w:p>
      <w:pPr>
        <w:keepNext w:val="0"/>
        <w:keepLines w:val="0"/>
        <w:widowControl/>
        <w:suppressLineNumbers w:val="0"/>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w:t>
      </w:r>
      <w:r>
        <w:rPr>
          <w:rFonts w:hint="eastAsia" w:ascii="宋体" w:hAnsi="宋体" w:eastAsia="宋体" w:cs="宋体"/>
          <w:color w:val="000000" w:themeColor="text1"/>
          <w:highlight w:val="none"/>
          <w:lang w:val="en-US" w:eastAsia="zh-CN"/>
          <w14:textFill>
            <w14:solidFill>
              <w14:schemeClr w14:val="tx1"/>
            </w14:solidFill>
          </w14:textFill>
        </w:rPr>
        <w:t>《中华人民共和国政府采购法实施条例》</w:t>
      </w:r>
      <w:r>
        <w:rPr>
          <w:rFonts w:hint="eastAsia" w:ascii="宋体" w:hAnsi="宋体" w:eastAsia="宋体" w:cs="宋体"/>
          <w:color w:val="000000" w:themeColor="text1"/>
          <w:highlight w:val="none"/>
          <w14:textFill>
            <w14:solidFill>
              <w14:schemeClr w14:val="tx1"/>
            </w14:solidFill>
          </w14:textFill>
        </w:rPr>
        <w:t>《中华人民共和国</w:t>
      </w:r>
      <w:r>
        <w:rPr>
          <w:rFonts w:hint="eastAsia" w:ascii="宋体" w:hAnsi="宋体" w:eastAsia="宋体" w:cs="宋体"/>
          <w:color w:val="000000" w:themeColor="text1"/>
          <w:highlight w:val="none"/>
          <w:lang w:val="en-US" w:eastAsia="zh-CN"/>
          <w14:textFill>
            <w14:solidFill>
              <w14:schemeClr w14:val="tx1"/>
            </w14:solidFill>
          </w14:textFill>
        </w:rPr>
        <w:t>民法典</w:t>
      </w:r>
      <w:r>
        <w:rPr>
          <w:rFonts w:hint="eastAsia" w:ascii="宋体" w:hAnsi="宋体" w:eastAsia="宋体" w:cs="宋体"/>
          <w:color w:val="000000" w:themeColor="text1"/>
          <w:highlight w:val="none"/>
          <w14:textFill>
            <w14:solidFill>
              <w14:schemeClr w14:val="tx1"/>
            </w14:solidFill>
          </w14:textFill>
        </w:rPr>
        <w:t>》等法律、法规规定，按照竞争性磋商文件（以下简称磋商文件）、竞争性磋商响应文件（以下简称响应文件）规定条款和成交供应商的承诺、甲乙双方签订本合同。</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58" w:name="_Toc30275"/>
      <w:bookmarkStart w:id="159" w:name="_Toc20217"/>
      <w:bookmarkStart w:id="160" w:name="_Toc845"/>
      <w:r>
        <w:rPr>
          <w:rFonts w:hint="eastAsia" w:ascii="宋体" w:hAnsi="宋体" w:eastAsia="宋体" w:cs="宋体"/>
          <w:b/>
          <w:bCs w:val="0"/>
          <w:color w:val="000000" w:themeColor="text1"/>
          <w:sz w:val="21"/>
          <w:szCs w:val="21"/>
          <w:highlight w:val="none"/>
          <w14:textFill>
            <w14:solidFill>
              <w14:schemeClr w14:val="tx1"/>
            </w14:solidFill>
          </w14:textFill>
        </w:rPr>
        <w:t>第一条 合同文件</w:t>
      </w:r>
      <w:bookmarkEnd w:id="158"/>
      <w:bookmarkEnd w:id="159"/>
      <w:bookmarkEnd w:id="160"/>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1、本合同所附下列文件是构成本合同不可分割的部分：</w:t>
      </w:r>
    </w:p>
    <w:p>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（1）成交供应商提交的</w:t>
      </w:r>
      <w:r>
        <w:rPr>
          <w:rFonts w:hint="eastAsia" w:ascii="宋体" w:hAnsi="宋体" w:eastAsia="宋体" w:cs="宋体"/>
          <w:color w:val="000000" w:themeColor="text1"/>
          <w:szCs w:val="21"/>
          <w:highlight w:val="none"/>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w:t>
      </w:r>
      <w:r>
        <w:rPr>
          <w:rFonts w:hint="eastAsia" w:ascii="宋体" w:hAnsi="宋体" w:eastAsia="宋体" w:cs="宋体"/>
          <w:color w:val="000000" w:themeColor="text1"/>
          <w:szCs w:val="21"/>
          <w:highlight w:val="none"/>
          <w14:textFill>
            <w14:solidFill>
              <w14:schemeClr w14:val="tx1"/>
            </w14:solidFill>
          </w14:textFill>
        </w:rPr>
        <w:t>针对本项目的服务</w:t>
      </w:r>
      <w:r>
        <w:rPr>
          <w:rFonts w:hint="eastAsia" w:ascii="宋体" w:hAnsi="宋体" w:eastAsia="宋体" w:cs="宋体"/>
          <w:color w:val="000000" w:themeColor="text1"/>
          <w:szCs w:val="21"/>
          <w:highlight w:val="none"/>
          <w:lang w:eastAsia="zh-CN"/>
          <w14:textFill>
            <w14:solidFill>
              <w14:schemeClr w14:val="tx1"/>
            </w14:solidFill>
          </w14:textFill>
        </w:rPr>
        <w:t>承诺书</w:t>
      </w:r>
      <w:r>
        <w:rPr>
          <w:rFonts w:hint="eastAsia" w:ascii="宋体" w:hAnsi="宋体" w:eastAsia="宋体" w:cs="宋体"/>
          <w:color w:val="000000" w:themeColor="text1"/>
          <w:highlight w:val="none"/>
          <w14:textFill>
            <w14:solidFill>
              <w14:schemeClr w14:val="tx1"/>
            </w14:solidFill>
          </w14:textFill>
        </w:rPr>
        <w:t>；</w:t>
      </w:r>
    </w:p>
    <w:p>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（2）成交通知书；</w:t>
      </w:r>
    </w:p>
    <w:p>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（3）本合同协议书及有关补充资料；</w:t>
      </w:r>
    </w:p>
    <w:p>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（4）磋商文件的条款要求。</w:t>
      </w:r>
    </w:p>
    <w:p>
      <w:pPr>
        <w:tabs>
          <w:tab w:val="left" w:pos="130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2、合同价金额包括：服务过程中相关的一切费用。</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1" w:name="_Toc25572"/>
      <w:bookmarkStart w:id="162" w:name="_Toc6972"/>
      <w:bookmarkStart w:id="163" w:name="_Toc28710"/>
      <w:r>
        <w:rPr>
          <w:rFonts w:hint="eastAsia" w:ascii="宋体" w:hAnsi="宋体" w:eastAsia="宋体" w:cs="宋体"/>
          <w:b/>
          <w:bCs w:val="0"/>
          <w:color w:val="000000" w:themeColor="text1"/>
          <w:sz w:val="21"/>
          <w:szCs w:val="21"/>
          <w:highlight w:val="none"/>
          <w14:textFill>
            <w14:solidFill>
              <w14:schemeClr w14:val="tx1"/>
            </w14:solidFill>
          </w14:textFill>
        </w:rPr>
        <w:t>第二条　合同金额</w:t>
      </w:r>
      <w:bookmarkEnd w:id="161"/>
      <w:bookmarkEnd w:id="162"/>
      <w:bookmarkEnd w:id="163"/>
    </w:p>
    <w:p>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根据《成交通知书》的成交内容，合同的总金额为：（大写）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人民币（</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4" w:name="_Toc9581"/>
      <w:bookmarkStart w:id="165" w:name="_Toc5557"/>
      <w:bookmarkStart w:id="166" w:name="_Toc16138"/>
      <w:r>
        <w:rPr>
          <w:rFonts w:hint="eastAsia" w:ascii="宋体" w:hAnsi="宋体" w:eastAsia="宋体" w:cs="宋体"/>
          <w:b/>
          <w:bCs w:val="0"/>
          <w:color w:val="000000" w:themeColor="text1"/>
          <w:sz w:val="21"/>
          <w:szCs w:val="21"/>
          <w:highlight w:val="none"/>
          <w14:textFill>
            <w14:solidFill>
              <w14:schemeClr w14:val="tx1"/>
            </w14:solidFill>
          </w14:textFill>
        </w:rPr>
        <w:t>第三条  服务保证</w:t>
      </w:r>
      <w:bookmarkEnd w:id="164"/>
      <w:bookmarkEnd w:id="165"/>
      <w:bookmarkEnd w:id="166"/>
    </w:p>
    <w:p>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成交供应商应按</w:t>
      </w:r>
      <w:r>
        <w:rPr>
          <w:rFonts w:hint="eastAsia" w:ascii="宋体" w:hAnsi="宋体" w:eastAsia="宋体" w:cs="宋体"/>
          <w:color w:val="000000" w:themeColor="text1"/>
          <w:szCs w:val="21"/>
          <w:highlight w:val="none"/>
          <w:lang w:eastAsia="zh-CN"/>
          <w14:textFill>
            <w14:solidFill>
              <w14:schemeClr w14:val="tx1"/>
            </w14:solidFill>
          </w14:textFill>
        </w:rPr>
        <w:t>磋商文件、</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和承诺</w:t>
      </w:r>
      <w:r>
        <w:rPr>
          <w:rFonts w:hint="eastAsia" w:ascii="宋体" w:hAnsi="宋体" w:eastAsia="宋体" w:cs="宋体"/>
          <w:color w:val="000000" w:themeColor="text1"/>
          <w:szCs w:val="21"/>
          <w:highlight w:val="none"/>
          <w14:textFill>
            <w14:solidFill>
              <w14:schemeClr w14:val="tx1"/>
            </w14:solidFill>
          </w14:textFill>
        </w:rPr>
        <w:t>规定的服务</w:t>
      </w:r>
      <w:r>
        <w:rPr>
          <w:rFonts w:hint="eastAsia" w:ascii="宋体" w:hAnsi="宋体" w:eastAsia="宋体" w:cs="宋体"/>
          <w:color w:val="000000" w:themeColor="text1"/>
          <w:szCs w:val="21"/>
          <w:highlight w:val="none"/>
          <w:lang w:eastAsia="zh-CN"/>
          <w14:textFill>
            <w14:solidFill>
              <w14:schemeClr w14:val="tx1"/>
            </w14:solidFill>
          </w14:textFill>
        </w:rPr>
        <w:t>内容</w:t>
      </w:r>
      <w:r>
        <w:rPr>
          <w:rFonts w:hint="eastAsia" w:ascii="宋体" w:hAnsi="宋体" w:eastAsia="宋体" w:cs="宋体"/>
          <w:color w:val="000000" w:themeColor="text1"/>
          <w:szCs w:val="21"/>
          <w:highlight w:val="none"/>
          <w14:textFill>
            <w14:solidFill>
              <w14:schemeClr w14:val="tx1"/>
            </w14:solidFill>
          </w14:textFill>
        </w:rPr>
        <w:t>向采购人提供相应服务。</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7" w:name="_Toc16565"/>
      <w:bookmarkStart w:id="168" w:name="_Toc8669"/>
      <w:bookmarkStart w:id="169" w:name="_Toc25056"/>
      <w:r>
        <w:rPr>
          <w:rFonts w:hint="eastAsia" w:ascii="宋体" w:hAnsi="宋体" w:eastAsia="宋体" w:cs="宋体"/>
          <w:b/>
          <w:bCs w:val="0"/>
          <w:color w:val="000000" w:themeColor="text1"/>
          <w:sz w:val="21"/>
          <w:szCs w:val="21"/>
          <w:highlight w:val="none"/>
          <w14:textFill>
            <w14:solidFill>
              <w14:schemeClr w14:val="tx1"/>
            </w14:solidFill>
          </w14:textFill>
        </w:rPr>
        <w:t>第四条  服务期限</w:t>
      </w:r>
      <w:bookmarkEnd w:id="167"/>
      <w:bookmarkEnd w:id="168"/>
      <w:bookmarkEnd w:id="169"/>
    </w:p>
    <w:p>
      <w:pPr>
        <w:spacing w:line="360" w:lineRule="auto"/>
        <w:ind w:firstLine="411" w:firstLineChars="196"/>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服务期限:</w:t>
      </w:r>
      <w:r>
        <w:rPr>
          <w:rFonts w:hint="eastAsia" w:ascii="宋体" w:hAnsi="宋体" w:eastAsia="宋体" w:cs="宋体"/>
          <w:color w:val="000000" w:themeColor="text1"/>
          <w:szCs w:val="21"/>
          <w:highlight w:val="none"/>
          <w:u w:val="none"/>
          <w14:textFill>
            <w14:solidFill>
              <w14:schemeClr w14:val="tx1"/>
            </w14:solidFill>
          </w14:textFill>
        </w:rPr>
        <w:t xml:space="preserve"> </w:t>
      </w:r>
      <w:r>
        <w:rPr>
          <w:rFonts w:hint="eastAsia" w:ascii="宋体" w:hAnsi="宋体" w:cs="宋体"/>
          <w:color w:val="000000" w:themeColor="text1"/>
          <w:szCs w:val="21"/>
          <w:highlight w:val="none"/>
          <w:u w:val="none"/>
          <w:lang w:eastAsia="zh-CN"/>
          <w14:textFill>
            <w14:solidFill>
              <w14:schemeClr w14:val="tx1"/>
            </w14:solidFill>
          </w14:textFill>
        </w:rPr>
        <w:t>合同期限为</w:t>
      </w:r>
      <w:r>
        <w:rPr>
          <w:rFonts w:hint="eastAsia" w:ascii="宋体" w:hAnsi="宋体" w:cs="宋体"/>
          <w:color w:val="000000" w:themeColor="text1"/>
          <w:szCs w:val="21"/>
          <w:highlight w:val="none"/>
          <w:u w:val="none"/>
          <w:lang w:val="en-US" w:eastAsia="zh-CN"/>
          <w14:textFill>
            <w14:solidFill>
              <w14:schemeClr w14:val="tx1"/>
            </w14:solidFill>
          </w14:textFill>
        </w:rPr>
        <w:t>3年，自合同签订生效之日起至合同条款约定期满。</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70" w:name="_Toc15179"/>
      <w:bookmarkStart w:id="171" w:name="_Toc3282"/>
      <w:bookmarkStart w:id="172" w:name="_Toc25521"/>
      <w:r>
        <w:rPr>
          <w:rFonts w:hint="eastAsia" w:ascii="宋体" w:hAnsi="宋体" w:eastAsia="宋体" w:cs="宋体"/>
          <w:b/>
          <w:bCs w:val="0"/>
          <w:color w:val="000000" w:themeColor="text1"/>
          <w:sz w:val="21"/>
          <w:szCs w:val="21"/>
          <w:highlight w:val="none"/>
          <w14:textFill>
            <w14:solidFill>
              <w14:schemeClr w14:val="tx1"/>
            </w14:solidFill>
          </w14:textFill>
        </w:rPr>
        <w:t>第五条  交付</w:t>
      </w:r>
      <w:bookmarkEnd w:id="170"/>
      <w:bookmarkEnd w:id="171"/>
      <w:bookmarkEnd w:id="172"/>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合同签订之日起</w:t>
      </w:r>
      <w:r>
        <w:rPr>
          <w:rFonts w:hint="eastAsia" w:ascii="宋体" w:hAnsi="宋体" w:eastAsia="宋体" w:cs="宋体"/>
          <w:color w:val="000000" w:themeColor="text1"/>
          <w:szCs w:val="21"/>
          <w:highlight w:val="none"/>
          <w14:textFill>
            <w14:solidFill>
              <w14:schemeClr w14:val="tx1"/>
            </w14:solidFill>
          </w14:textFill>
        </w:rPr>
        <w:t>、地点：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资源县红色文化培训中心，资源县中峰镇车田湾村委会附近</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2、成交供应商提供不符合磋商文件、响应文件和本合同规定的服务，采购人有权拒绝接受。</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73" w:name="_Toc21969"/>
      <w:bookmarkStart w:id="174" w:name="_Toc22519"/>
      <w:bookmarkStart w:id="175" w:name="_Toc8253"/>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六</w:t>
      </w:r>
      <w:r>
        <w:rPr>
          <w:rFonts w:hint="eastAsia" w:ascii="宋体" w:hAnsi="宋体" w:eastAsia="宋体" w:cs="宋体"/>
          <w:b/>
          <w:bCs w:val="0"/>
          <w:color w:val="000000" w:themeColor="text1"/>
          <w:sz w:val="21"/>
          <w:szCs w:val="21"/>
          <w:highlight w:val="none"/>
          <w14:textFill>
            <w14:solidFill>
              <w14:schemeClr w14:val="tx1"/>
            </w14:solidFill>
          </w14:textFill>
        </w:rPr>
        <w:t>条  税费</w:t>
      </w:r>
      <w:bookmarkEnd w:id="173"/>
      <w:bookmarkEnd w:id="174"/>
      <w:bookmarkEnd w:id="175"/>
    </w:p>
    <w:p>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本合同执行中相关的一切税费均由成交供应商负担。</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76" w:name="_Toc29885"/>
      <w:bookmarkStart w:id="177" w:name="_Toc31516"/>
      <w:bookmarkStart w:id="178" w:name="_Toc11829"/>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七</w:t>
      </w:r>
      <w:r>
        <w:rPr>
          <w:rFonts w:hint="eastAsia" w:ascii="宋体" w:hAnsi="宋体" w:eastAsia="宋体" w:cs="宋体"/>
          <w:b/>
          <w:bCs w:val="0"/>
          <w:color w:val="000000" w:themeColor="text1"/>
          <w:sz w:val="21"/>
          <w:szCs w:val="21"/>
          <w:highlight w:val="none"/>
          <w14:textFill>
            <w14:solidFill>
              <w14:schemeClr w14:val="tx1"/>
            </w14:solidFill>
          </w14:textFill>
        </w:rPr>
        <w:t>条  付款方式</w:t>
      </w:r>
      <w:bookmarkEnd w:id="176"/>
      <w:bookmarkEnd w:id="177"/>
      <w:bookmarkEnd w:id="178"/>
    </w:p>
    <w:p>
      <w:pPr>
        <w:spacing w:line="380" w:lineRule="exact"/>
        <w:ind w:firstLine="420" w:firstLineChars="200"/>
        <w:rPr>
          <w:rFonts w:hint="eastAsia" w:ascii="宋体" w:hAnsi="宋体" w:cs="宋体"/>
          <w:color w:val="000000" w:themeColor="text1"/>
          <w:szCs w:val="21"/>
          <w:highlight w:val="none"/>
          <w14:textFill>
            <w14:solidFill>
              <w14:schemeClr w14:val="tx1"/>
            </w14:solidFill>
          </w14:textFill>
        </w:rPr>
      </w:pPr>
      <w:bookmarkStart w:id="179" w:name="_Toc23685"/>
      <w:bookmarkStart w:id="180" w:name="_Toc23860"/>
      <w:bookmarkStart w:id="181" w:name="_Toc12257"/>
      <w:bookmarkStart w:id="182" w:name="_Toc28010"/>
      <w:bookmarkStart w:id="183" w:name="_Toc2652"/>
      <w:bookmarkStart w:id="184" w:name="_Toc7272"/>
      <w:bookmarkStart w:id="185" w:name="_Toc25711"/>
      <w:r>
        <w:rPr>
          <w:rFonts w:hint="eastAsia" w:ascii="宋体" w:hAnsi="宋体" w:cs="宋体"/>
          <w:color w:val="000000" w:themeColor="text1"/>
          <w:szCs w:val="21"/>
          <w:highlight w:val="none"/>
          <w:lang w:val="en-US" w:eastAsia="zh-CN"/>
          <w14:textFill>
            <w14:solidFill>
              <w14:schemeClr w14:val="tx1"/>
            </w14:solidFill>
          </w14:textFill>
        </w:rPr>
        <w:t>按月支付，即每月支付合同款的1/36。本项目无预付款，由成交供应商在月末向采购人书面申请支付当月的服务管理费（如签订合同当月服务不到一个月的按照日平均费用×服务天数计算），经考评合格，双方认可后，采购人及时付款。成交供应商开具合法发票给采购人,60日内付款。特殊情况除外</w:t>
      </w:r>
      <w:r>
        <w:rPr>
          <w:rFonts w:hint="eastAsia" w:ascii="宋体" w:hAnsi="宋体" w:cs="宋体"/>
          <w:color w:val="000000" w:themeColor="text1"/>
          <w:szCs w:val="21"/>
          <w:highlight w:val="none"/>
          <w14:textFill>
            <w14:solidFill>
              <w14:schemeClr w14:val="tx1"/>
            </w14:solidFill>
          </w14:textFill>
        </w:rPr>
        <w:t>。</w:t>
      </w:r>
      <w:bookmarkEnd w:id="179"/>
      <w:bookmarkEnd w:id="180"/>
      <w:bookmarkEnd w:id="181"/>
      <w:bookmarkEnd w:id="182"/>
    </w:p>
    <w:p>
      <w:pPr>
        <w:widowControl/>
        <w:spacing w:line="400" w:lineRule="exact"/>
        <w:ind w:firstLine="422" w:firstLineChars="201"/>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八</w:t>
      </w:r>
      <w:r>
        <w:rPr>
          <w:rFonts w:hint="eastAsia" w:ascii="宋体" w:hAnsi="宋体" w:eastAsia="宋体" w:cs="宋体"/>
          <w:b/>
          <w:bCs w:val="0"/>
          <w:color w:val="000000" w:themeColor="text1"/>
          <w:sz w:val="21"/>
          <w:szCs w:val="21"/>
          <w:highlight w:val="none"/>
          <w14:textFill>
            <w14:solidFill>
              <w14:schemeClr w14:val="tx1"/>
            </w14:solidFill>
          </w14:textFill>
        </w:rPr>
        <w:t xml:space="preserve">条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履约保证金</w:t>
      </w:r>
    </w:p>
    <w:p>
      <w:pPr>
        <w:pStyle w:val="4"/>
        <w:bidi w:val="0"/>
        <w:ind w:left="567" w:leftChars="200" w:hanging="147" w:hangingChars="70"/>
        <w:rPr>
          <w:rFonts w:hint="eastAsia" w:ascii="宋体" w:hAnsi="宋体" w:eastAsia="宋体" w:cs="Times New Roman"/>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highlight w:val="none"/>
          <w:lang w:val="en-US" w:eastAsia="zh-CN" w:bidi="ar-SA"/>
          <w14:textFill>
            <w14:solidFill>
              <w14:schemeClr w14:val="tx1"/>
            </w14:solidFill>
          </w14:textFill>
        </w:rPr>
        <w:t>本项目无需缴纳履约保证金</w:t>
      </w:r>
      <w:r>
        <w:rPr>
          <w:rFonts w:hint="eastAsia" w:ascii="宋体" w:hAnsi="宋体" w:cs="Times New Roman"/>
          <w:bCs w:val="0"/>
          <w:color w:val="000000" w:themeColor="text1"/>
          <w:kern w:val="2"/>
          <w:sz w:val="21"/>
          <w:szCs w:val="21"/>
          <w:highlight w:val="none"/>
          <w:lang w:val="en-US" w:eastAsia="zh-CN" w:bidi="ar-SA"/>
          <w14:textFill>
            <w14:solidFill>
              <w14:schemeClr w14:val="tx1"/>
            </w14:solidFill>
          </w14:textFill>
        </w:rPr>
        <w:t>。</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九</w:t>
      </w:r>
      <w:r>
        <w:rPr>
          <w:rFonts w:hint="eastAsia" w:ascii="宋体" w:hAnsi="宋体" w:eastAsia="宋体" w:cs="宋体"/>
          <w:b/>
          <w:bCs w:val="0"/>
          <w:color w:val="000000" w:themeColor="text1"/>
          <w:sz w:val="21"/>
          <w:szCs w:val="21"/>
          <w:highlight w:val="none"/>
          <w14:textFill>
            <w14:solidFill>
              <w14:schemeClr w14:val="tx1"/>
            </w14:solidFill>
          </w14:textFill>
        </w:rPr>
        <w:t>条  违约责任</w:t>
      </w:r>
      <w:bookmarkEnd w:id="183"/>
      <w:bookmarkEnd w:id="184"/>
      <w:bookmarkEnd w:id="185"/>
    </w:p>
    <w:p>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乙方所提供的服务质量不合格的，应及时</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不及时的按逾期处罚，乙方应向甲方支付合同金额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违约金并赔偿甲方经济损失。</w:t>
      </w:r>
    </w:p>
    <w:p>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乙方提供的服务如果侵犯了第三方合法权益而引发的任何纠纷或诉讼，均由乙方负责交涉并承担全部责任。</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乙方无故延期服务交付的，每天向甲方偿付违约合同金额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违约金，但违约金累计不得超过合同金额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，超过</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天甲方有权解除合同，违约方承担因此给对方造成经济损失；甲方不能按期付款的，每天向乙方偿付延合同金额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滞纳金，但滞纳金累计不得超过合同金额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乙方未按本合同和投标文件中规定的服务承诺提供服务的，乙方应按本合同合同金额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向甲方支付违约金。</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其他违约行为按照合同金额额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收取违约金并赔偿经济损失。</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86" w:name="_Toc1538"/>
      <w:bookmarkStart w:id="187" w:name="_Toc8363"/>
      <w:bookmarkStart w:id="188" w:name="_Toc16745"/>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十</w:t>
      </w:r>
      <w:r>
        <w:rPr>
          <w:rFonts w:hint="eastAsia" w:ascii="宋体" w:hAnsi="宋体" w:eastAsia="宋体" w:cs="宋体"/>
          <w:b/>
          <w:bCs w:val="0"/>
          <w:color w:val="000000" w:themeColor="text1"/>
          <w:sz w:val="21"/>
          <w:szCs w:val="21"/>
          <w:highlight w:val="none"/>
          <w14:textFill>
            <w14:solidFill>
              <w14:schemeClr w14:val="tx1"/>
            </w14:solidFill>
          </w14:textFill>
        </w:rPr>
        <w:t>条  不可抗力事件处理</w:t>
      </w:r>
      <w:bookmarkEnd w:id="186"/>
      <w:bookmarkEnd w:id="187"/>
      <w:bookmarkEnd w:id="188"/>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1、在合同有效期内，成交供应商因不可抗力事件导致不能履行合同，则合同履行期可延长，其延长期与不可抗力影响期相同。</w:t>
      </w:r>
    </w:p>
    <w:p>
      <w:pPr>
        <w:numPr>
          <w:ilvl w:val="0"/>
          <w:numId w:val="15"/>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不可抗力事件发生后，应立即通知对方，并寄送有关权威机构出具的证明。</w:t>
      </w:r>
    </w:p>
    <w:p>
      <w:pPr>
        <w:numPr>
          <w:ilvl w:val="0"/>
          <w:numId w:val="15"/>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不可抗力事件延续一百二十天以上，双方应通过友好协商，确定是否继续履行合同。</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89" w:name="_Toc12796"/>
      <w:bookmarkStart w:id="190" w:name="_Toc7311"/>
      <w:bookmarkStart w:id="191" w:name="_Toc8638"/>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十</w:t>
      </w:r>
      <w:r>
        <w:rPr>
          <w:rFonts w:hint="eastAsia" w:ascii="宋体" w:hAnsi="宋体" w:cs="宋体"/>
          <w:b/>
          <w:bCs w:val="0"/>
          <w:color w:val="000000" w:themeColor="text1"/>
          <w:sz w:val="21"/>
          <w:szCs w:val="21"/>
          <w:highlight w:val="none"/>
          <w:lang w:eastAsia="zh-CN"/>
          <w14:textFill>
            <w14:solidFill>
              <w14:schemeClr w14:val="tx1"/>
            </w14:solidFill>
          </w14:textFill>
        </w:rPr>
        <w:t>一</w:t>
      </w:r>
      <w:r>
        <w:rPr>
          <w:rFonts w:hint="eastAsia" w:ascii="宋体" w:hAnsi="宋体" w:eastAsia="宋体" w:cs="宋体"/>
          <w:b/>
          <w:bCs w:val="0"/>
          <w:color w:val="000000" w:themeColor="text1"/>
          <w:sz w:val="21"/>
          <w:szCs w:val="21"/>
          <w:highlight w:val="none"/>
          <w14:textFill>
            <w14:solidFill>
              <w14:schemeClr w14:val="tx1"/>
            </w14:solidFill>
          </w14:textFill>
        </w:rPr>
        <w:t>条  合同争议解决</w:t>
      </w:r>
      <w:bookmarkEnd w:id="189"/>
      <w:bookmarkEnd w:id="190"/>
      <w:bookmarkEnd w:id="191"/>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1、因服务问题发生争议的，应邀请国家认可的相关机构进行鉴定。服务符合要求的，鉴定费由采购人承担；服务不符合要求的，鉴定费由成交供应商承担。</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2、因履行本合同引起的或与本合同有关的争议，甲乙双方应首先通过友好协商解决，如果协商不能解决，可向向</w:t>
      </w:r>
      <w:r>
        <w:rPr>
          <w:rFonts w:hint="eastAsia" w:ascii="宋体" w:hAnsi="宋体" w:eastAsia="宋体" w:cs="宋体"/>
          <w:color w:val="000000" w:themeColor="text1"/>
          <w:highlight w:val="none"/>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人民法院提起诉讼。</w:t>
      </w:r>
    </w:p>
    <w:p>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2" w:name="_Toc27483"/>
      <w:bookmarkStart w:id="193" w:name="_Toc26285"/>
      <w:bookmarkStart w:id="194" w:name="_Toc17823"/>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val="0"/>
          <w:color w:val="000000" w:themeColor="text1"/>
          <w:sz w:val="21"/>
          <w:szCs w:val="21"/>
          <w:highlight w:val="none"/>
          <w14:textFill>
            <w14:solidFill>
              <w14:schemeClr w14:val="tx1"/>
            </w14:solidFill>
          </w14:textFill>
        </w:rPr>
        <w:t>条  合同生效及其它</w:t>
      </w:r>
      <w:bookmarkEnd w:id="192"/>
      <w:bookmarkEnd w:id="193"/>
      <w:bookmarkEnd w:id="194"/>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1、合同经甲乙双方法定代表人或授权代表签字并加盖单位公章后生效。</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2、合同执行中涉及采购资金和采购内容修改或补充的，需</w:t>
      </w:r>
      <w:r>
        <w:rPr>
          <w:rFonts w:hint="eastAsia" w:ascii="宋体" w:hAnsi="宋体" w:cs="宋体"/>
          <w:color w:val="000000" w:themeColor="text1"/>
          <w:szCs w:val="21"/>
          <w:highlight w:val="none"/>
          <w:lang w:eastAsia="zh-CN"/>
          <w14:textFill>
            <w14:solidFill>
              <w14:schemeClr w14:val="tx1"/>
            </w14:solidFill>
          </w14:textFill>
        </w:rPr>
        <w:t>本级</w:t>
      </w:r>
      <w:r>
        <w:rPr>
          <w:rFonts w:hint="eastAsia" w:ascii="宋体" w:hAnsi="宋体" w:eastAsia="宋体" w:cs="宋体"/>
          <w:color w:val="000000" w:themeColor="text1"/>
          <w:szCs w:val="21"/>
          <w:highlight w:val="none"/>
          <w14:textFill>
            <w14:solidFill>
              <w14:schemeClr w14:val="tx1"/>
            </w14:solidFill>
          </w14:textFill>
        </w:rPr>
        <w:t>财政部门审批，并签订书面补充协议报</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szCs w:val="21"/>
          <w:highlight w:val="none"/>
          <w14:textFill>
            <w14:solidFill>
              <w14:schemeClr w14:val="tx1"/>
            </w14:solidFill>
          </w14:textFill>
        </w:rPr>
        <w:t>备案，方可作为主合同不可分割的一部分。</w:t>
      </w:r>
    </w:p>
    <w:p>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3、本合同未尽事宜，遵照《</w:t>
      </w:r>
      <w:r>
        <w:rPr>
          <w:rFonts w:hint="eastAsia" w:ascii="宋体" w:hAnsi="宋体" w:eastAsia="宋体" w:cs="宋体"/>
          <w:color w:val="000000" w:themeColor="text1"/>
          <w:szCs w:val="21"/>
          <w:highlight w:val="none"/>
          <w:lang w:val="en-US" w:eastAsia="zh-CN"/>
          <w14:textFill>
            <w14:solidFill>
              <w14:schemeClr w14:val="tx1"/>
            </w14:solidFill>
          </w14:textFill>
        </w:rPr>
        <w:t>中华人民共和国民法典</w:t>
      </w:r>
      <w:r>
        <w:rPr>
          <w:rFonts w:hint="eastAsia" w:ascii="宋体" w:hAnsi="宋体" w:eastAsia="宋体" w:cs="宋体"/>
          <w:color w:val="000000" w:themeColor="text1"/>
          <w:szCs w:val="21"/>
          <w:highlight w:val="none"/>
          <w14:textFill>
            <w14:solidFill>
              <w14:schemeClr w14:val="tx1"/>
            </w14:solidFill>
          </w14:textFill>
        </w:rPr>
        <w:t>》有关条文执行。</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5" w:name="_Toc7824"/>
      <w:bookmarkStart w:id="196" w:name="_Toc31438"/>
      <w:bookmarkStart w:id="197" w:name="_Toc12956"/>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val="0"/>
          <w:color w:val="000000" w:themeColor="text1"/>
          <w:sz w:val="21"/>
          <w:szCs w:val="21"/>
          <w:highlight w:val="none"/>
          <w14:textFill>
            <w14:solidFill>
              <w14:schemeClr w14:val="tx1"/>
            </w14:solidFill>
          </w14:textFill>
        </w:rPr>
        <w:t>条  合同的变更、终止与转让</w:t>
      </w:r>
      <w:bookmarkEnd w:id="195"/>
      <w:bookmarkEnd w:id="196"/>
      <w:bookmarkEnd w:id="197"/>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1、除《中华人民共和国政府采购法》第五十条规定的情形外，本合同一经签订，甲乙双方不得擅自变更，中止或终止。</w:t>
      </w:r>
    </w:p>
    <w:p>
      <w:pPr>
        <w:numPr>
          <w:ilvl w:val="0"/>
          <w:numId w:val="16"/>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成交供应商不得擅自转让其应履行的合同义务。</w:t>
      </w:r>
    </w:p>
    <w:p>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8" w:name="_Toc32608"/>
      <w:bookmarkStart w:id="199" w:name="_Toc14327"/>
      <w:bookmarkStart w:id="200" w:name="_Toc31091"/>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val="0"/>
          <w:color w:val="000000" w:themeColor="text1"/>
          <w:sz w:val="21"/>
          <w:szCs w:val="21"/>
          <w:highlight w:val="none"/>
          <w14:textFill>
            <w14:solidFill>
              <w14:schemeClr w14:val="tx1"/>
            </w14:solidFill>
          </w14:textFill>
        </w:rPr>
        <w:t>条  签订本合同依据</w:t>
      </w:r>
      <w:bookmarkEnd w:id="198"/>
      <w:bookmarkEnd w:id="199"/>
      <w:bookmarkEnd w:id="200"/>
    </w:p>
    <w:p>
      <w:pPr>
        <w:spacing w:line="360" w:lineRule="auto"/>
        <w:ind w:lef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1、竞争性磋商文件；</w:t>
      </w:r>
    </w:p>
    <w:p>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w:t>
      </w:r>
      <w:r>
        <w:rPr>
          <w:rFonts w:hint="eastAsia" w:ascii="宋体" w:hAnsi="宋体" w:eastAsia="宋体" w:cs="宋体"/>
          <w:color w:val="000000" w:themeColor="text1"/>
          <w:szCs w:val="21"/>
          <w:highlight w:val="none"/>
          <w:lang w:eastAsia="zh-CN"/>
          <w14:textFill>
            <w14:solidFill>
              <w14:schemeClr w14:val="tx1"/>
            </w14:solidFill>
          </w14:textFill>
        </w:rPr>
        <w:t>的响应（或应答）文件；</w:t>
      </w:r>
    </w:p>
    <w:p>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承诺书；</w:t>
      </w:r>
    </w:p>
    <w:p>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磋商中的磋商记录；</w:t>
      </w:r>
    </w:p>
    <w:p>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、成交通知书。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政府采购合同双方自签订之日起</w:t>
      </w:r>
      <w:r>
        <w:rPr>
          <w:rFonts w:hint="eastAsia" w:ascii="宋体" w:hAnsi="宋体" w:cs="宋体"/>
          <w:color w:val="000000" w:themeColor="text1"/>
          <w:highlight w:val="none"/>
          <w:lang w:val="en-US" w:eastAsia="zh-CN"/>
          <w14:textFill>
            <w14:solidFill>
              <w14:schemeClr w14:val="tx1"/>
            </w14:solidFill>
          </w14:textFill>
        </w:rPr>
        <w:t>将自动存档于“广西政府采购云平台”上</w:t>
      </w:r>
      <w:r>
        <w:rPr>
          <w:rFonts w:hint="eastAsia" w:ascii="宋体" w:hAnsi="宋体" w:eastAsia="宋体" w:cs="宋体"/>
          <w:color w:val="000000" w:themeColor="text1"/>
          <w:highlight w:val="none"/>
          <w14:textFill>
            <w14:solidFill>
              <w14:schemeClr w14:val="tx1"/>
            </w14:solidFill>
          </w14:textFill>
        </w:rPr>
        <w:t>。采购人于合同签订之日起</w:t>
      </w:r>
      <w:r>
        <w:rPr>
          <w:rFonts w:hint="eastAsia" w:ascii="宋体" w:hAnsi="宋体" w:eastAsia="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个工作日内将</w:t>
      </w:r>
      <w:r>
        <w:rPr>
          <w:rFonts w:hint="eastAsia" w:ascii="宋体" w:hAnsi="宋体" w:eastAsia="宋体" w:cs="宋体"/>
          <w:color w:val="000000" w:themeColor="text1"/>
          <w:highlight w:val="none"/>
          <w:lang w:val="en-US"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份合同原件送</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highlight w:val="none"/>
          <w14:textFill>
            <w14:solidFill>
              <w14:schemeClr w14:val="tx1"/>
            </w14:solidFill>
          </w14:textFill>
        </w:rPr>
        <w:t>备案。</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采购人名称（公章）：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成交供应商名称（公章）：</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tabs>
          <w:tab w:val="left" w:pos="468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电   话：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tabs>
          <w:tab w:val="left" w:pos="5040"/>
        </w:tabs>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4"/>
        <w:ind w:left="0" w:leftChars="0" w:firstLine="0" w:firstLineChars="0"/>
        <w:jc w:val="both"/>
        <w:rPr>
          <w:rFonts w:hint="eastAsia" w:ascii="宋体" w:hAnsi="宋体" w:eastAsia="宋体" w:cs="宋体"/>
          <w:b/>
          <w:bCs/>
          <w:color w:val="000000" w:themeColor="text1"/>
          <w:kern w:val="44"/>
          <w:sz w:val="32"/>
          <w:szCs w:val="32"/>
          <w:highlight w:val="none"/>
          <w14:textFill>
            <w14:solidFill>
              <w14:schemeClr w14:val="tx1"/>
            </w14:solidFill>
          </w14:textFill>
        </w:rPr>
      </w:pPr>
      <w:bookmarkStart w:id="201" w:name="_Toc10014"/>
      <w:bookmarkStart w:id="202" w:name="_Toc24269"/>
      <w:bookmarkStart w:id="203" w:name="_Toc5077"/>
    </w:p>
    <w:p>
      <w:pPr>
        <w:rPr>
          <w:rFonts w:hint="eastAsia" w:ascii="宋体" w:hAnsi="宋体" w:eastAsia="宋体" w:cs="宋体"/>
          <w:b/>
          <w:bCs/>
          <w:color w:val="000000" w:themeColor="text1"/>
          <w:kern w:val="44"/>
          <w:sz w:val="32"/>
          <w:szCs w:val="32"/>
          <w:highlight w:val="none"/>
          <w14:textFill>
            <w14:solidFill>
              <w14:schemeClr w14:val="tx1"/>
            </w14:solidFill>
          </w14:textFill>
        </w:rPr>
      </w:pPr>
    </w:p>
    <w:p>
      <w:pPr>
        <w:pStyle w:val="2"/>
        <w:rPr>
          <w:rFonts w:hint="eastAsia" w:ascii="宋体" w:hAnsi="宋体" w:eastAsia="宋体" w:cs="宋体"/>
          <w:b/>
          <w:bCs/>
          <w:color w:val="000000" w:themeColor="text1"/>
          <w:kern w:val="44"/>
          <w:sz w:val="32"/>
          <w:szCs w:val="32"/>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ascii="宋体" w:hAnsi="宋体" w:eastAsia="宋体" w:cs="宋体"/>
          <w:b/>
          <w:bCs/>
          <w:color w:val="000000" w:themeColor="text1"/>
          <w:kern w:val="44"/>
          <w:sz w:val="32"/>
          <w:szCs w:val="32"/>
          <w:highlight w:val="none"/>
          <w14:textFill>
            <w14:solidFill>
              <w14:schemeClr w14:val="tx1"/>
            </w14:solidFill>
          </w14:textFill>
        </w:rPr>
      </w:pPr>
      <w:r>
        <w:rPr>
          <w:rFonts w:hint="eastAsia" w:ascii="宋体" w:hAnsi="宋体" w:eastAsia="宋体" w:cs="宋体"/>
          <w:b/>
          <w:bCs/>
          <w:color w:val="000000" w:themeColor="text1"/>
          <w:kern w:val="44"/>
          <w:sz w:val="32"/>
          <w:szCs w:val="32"/>
          <w:highlight w:val="none"/>
          <w14:textFill>
            <w14:solidFill>
              <w14:schemeClr w14:val="tx1"/>
            </w14:solidFill>
          </w14:textFill>
        </w:rPr>
        <w:br w:type="page"/>
      </w:r>
    </w:p>
    <w:p>
      <w:pPr>
        <w:pStyle w:val="4"/>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kern w:val="44"/>
          <w:sz w:val="32"/>
          <w:szCs w:val="32"/>
          <w:highlight w:val="none"/>
          <w14:textFill>
            <w14:solidFill>
              <w14:schemeClr w14:val="tx1"/>
            </w14:solidFill>
          </w14:textFill>
        </w:rPr>
        <w:t xml:space="preserve">第六章  </w:t>
      </w:r>
      <w:bookmarkEnd w:id="201"/>
      <w:bookmarkEnd w:id="202"/>
      <w:bookmarkStart w:id="204" w:name="_Toc13185"/>
      <w:r>
        <w:rPr>
          <w:rFonts w:hint="eastAsia" w:ascii="宋体" w:hAnsi="宋体" w:eastAsia="宋体" w:cs="宋体"/>
          <w:b/>
          <w:bCs/>
          <w:color w:val="000000" w:themeColor="text1"/>
          <w:sz w:val="32"/>
          <w:szCs w:val="32"/>
          <w:highlight w:val="none"/>
          <w14:textFill>
            <w14:solidFill>
              <w14:schemeClr w14:val="tx1"/>
            </w14:solidFill>
          </w14:textFill>
        </w:rPr>
        <w:t>响应文件（格式）</w:t>
      </w:r>
      <w:bookmarkEnd w:id="203"/>
      <w:bookmarkEnd w:id="204"/>
    </w:p>
    <w:p>
      <w:pPr>
        <w:rPr>
          <w:rFonts w:hint="eastAsia" w:ascii="宋体" w:hAnsi="宋体" w:eastAsia="宋体" w:cs="宋体"/>
          <w:color w:val="000000" w:themeColor="text1"/>
          <w:highlight w:val="none"/>
          <w14:textFill>
            <w14:solidFill>
              <w14:schemeClr w14:val="tx1"/>
            </w14:solidFill>
          </w14:textFill>
        </w:rPr>
      </w:pPr>
    </w:p>
    <w:p>
      <w:pPr>
        <w:pStyle w:val="12"/>
        <w:jc w:val="both"/>
        <w:rPr>
          <w:rFonts w:hint="eastAsia" w:ascii="宋体" w:hAnsi="宋体" w:eastAsia="宋体" w:cs="宋体"/>
          <w:b/>
          <w:color w:val="000000" w:themeColor="text1"/>
          <w:sz w:val="32"/>
          <w:highlight w:val="none"/>
          <w:lang w:eastAsia="zh-CN"/>
          <w14:textFill>
            <w14:solidFill>
              <w14:schemeClr w14:val="tx1"/>
            </w14:solidFill>
          </w14:textFill>
        </w:rPr>
      </w:pPr>
      <w:bookmarkStart w:id="205" w:name="_Toc497927069"/>
      <w:bookmarkStart w:id="206" w:name="_Toc18351"/>
      <w:bookmarkStart w:id="207" w:name="_Toc21496"/>
      <w:r>
        <w:rPr>
          <w:rFonts w:hint="eastAsia" w:ascii="宋体" w:hAnsi="宋体" w:eastAsia="宋体" w:cs="宋体"/>
          <w:b/>
          <w:color w:val="000000" w:themeColor="text1"/>
          <w:sz w:val="32"/>
          <w:highlight w:val="none"/>
          <w:lang w:eastAsia="zh-CN"/>
          <w14:textFill>
            <w14:solidFill>
              <w14:schemeClr w14:val="tx1"/>
            </w14:solidFill>
          </w14:textFill>
        </w:rPr>
        <w:t>一、响应文件袋（盒、箱）标记</w:t>
      </w:r>
      <w:bookmarkEnd w:id="205"/>
      <w:bookmarkEnd w:id="206"/>
      <w:bookmarkEnd w:id="207"/>
    </w:p>
    <w:p>
      <w:pPr>
        <w:adjustRightInd w:val="0"/>
        <w:snapToGrid w:val="0"/>
        <w:rPr>
          <w:rFonts w:hint="eastAsia" w:ascii="宋体" w:hAnsi="宋体" w:eastAsia="宋体" w:cs="宋体"/>
          <w:b/>
          <w:color w:val="000000" w:themeColor="text1"/>
          <w:sz w:val="44"/>
          <w:szCs w:val="44"/>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snapToGrid w:val="0"/>
        <w:spacing w:before="156" w:beforeLines="50" w:after="5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响 应 文 件</w:t>
      </w:r>
    </w:p>
    <w:p>
      <w:pPr>
        <w:snapToGrid w:val="0"/>
        <w:spacing w:before="156" w:beforeLines="50" w:after="50"/>
        <w:ind w:firstLine="480" w:firstLineChars="15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p>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pPr>
        <w:snapToGrid w:val="0"/>
        <w:spacing w:before="156" w:beforeLines="50" w:after="50"/>
        <w:jc w:val="center"/>
        <w:rPr>
          <w:rFonts w:hint="eastAsia" w:ascii="宋体" w:hAnsi="宋体" w:eastAsia="宋体" w:cs="宋体"/>
          <w:b/>
          <w:bCs w:val="0"/>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项目名称：</w:t>
      </w:r>
      <w:r>
        <w:rPr>
          <w:rFonts w:hint="eastAsia" w:ascii="宋体" w:hAnsi="宋体" w:cs="宋体"/>
          <w:b/>
          <w:bCs w:val="0"/>
          <w:color w:val="000000" w:themeColor="text1"/>
          <w:sz w:val="28"/>
          <w:szCs w:val="28"/>
          <w:highlight w:val="none"/>
          <w:u w:val="single"/>
          <w:lang w:eastAsia="zh-CN"/>
          <w14:textFill>
            <w14:solidFill>
              <w14:schemeClr w14:val="tx1"/>
            </w14:solidFill>
          </w14:textFill>
        </w:rPr>
        <w:t>资源县红色文化培训中心物业服务项目</w:t>
      </w:r>
    </w:p>
    <w:p>
      <w:pPr>
        <w:snapToGrid w:val="0"/>
        <w:spacing w:before="156" w:beforeLines="50" w:after="50"/>
        <w:ind w:firstLine="2693" w:firstLineChars="962"/>
        <w:jc w:val="center"/>
        <w:rPr>
          <w:rFonts w:hint="eastAsia" w:ascii="宋体" w:hAnsi="宋体" w:eastAsia="宋体" w:cs="宋体"/>
          <w:b/>
          <w:bCs w:val="0"/>
          <w:color w:val="000000" w:themeColor="text1"/>
          <w:sz w:val="28"/>
          <w:szCs w:val="28"/>
          <w:highlight w:val="none"/>
          <w14:textFill>
            <w14:solidFill>
              <w14:schemeClr w14:val="tx1"/>
            </w14:solidFill>
          </w14:textFill>
        </w:rPr>
      </w:pPr>
    </w:p>
    <w:p>
      <w:pPr>
        <w:snapToGrid w:val="0"/>
        <w:spacing w:before="156" w:beforeLines="50" w:after="50"/>
        <w:jc w:val="center"/>
        <w:rPr>
          <w:rFonts w:hint="eastAsia" w:ascii="宋体" w:hAnsi="宋体" w:eastAsia="宋体" w:cs="宋体"/>
          <w:b/>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项目编号：</w:t>
      </w:r>
      <w:r>
        <w:rPr>
          <w:rFonts w:hint="eastAsia" w:ascii="宋体" w:hAnsi="宋体" w:cs="宋体"/>
          <w:b/>
          <w:bCs w:val="0"/>
          <w:color w:val="000000" w:themeColor="text1"/>
          <w:sz w:val="28"/>
          <w:szCs w:val="28"/>
          <w:highlight w:val="none"/>
          <w:u w:val="single"/>
          <w:lang w:eastAsia="zh-CN"/>
          <w14:textFill>
            <w14:solidFill>
              <w14:schemeClr w14:val="tx1"/>
            </w14:solidFill>
          </w14:textFill>
        </w:rPr>
        <w:t>GLZC2024-C3-290264-GLSZ</w:t>
      </w:r>
    </w:p>
    <w:p>
      <w:pPr>
        <w:rPr>
          <w:rFonts w:hint="eastAsia" w:ascii="宋体" w:hAnsi="宋体" w:eastAsia="宋体" w:cs="宋体"/>
          <w:b/>
          <w:color w:val="000000" w:themeColor="text1"/>
          <w:highlight w:val="none"/>
          <w14:textFill>
            <w14:solidFill>
              <w14:schemeClr w14:val="tx1"/>
            </w14:solidFill>
          </w14:textFill>
        </w:rPr>
      </w:pPr>
    </w:p>
    <w:p>
      <w:pPr>
        <w:spacing w:line="400" w:lineRule="exact"/>
        <w:ind w:firstLine="2693" w:firstLineChars="962"/>
        <w:rPr>
          <w:rFonts w:hint="eastAsia" w:ascii="宋体" w:hAnsi="宋体" w:eastAsia="宋体" w:cs="宋体"/>
          <w:b/>
          <w:color w:val="000000" w:themeColor="text1"/>
          <w:sz w:val="28"/>
          <w:szCs w:val="28"/>
          <w:highlight w:val="none"/>
          <w14:textFill>
            <w14:solidFill>
              <w14:schemeClr w14:val="tx1"/>
            </w14:solidFill>
          </w14:textFill>
        </w:rPr>
      </w:pPr>
    </w:p>
    <w:p>
      <w:pPr>
        <w:pStyle w:val="24"/>
        <w:rPr>
          <w:rFonts w:hint="eastAsia" w:ascii="宋体" w:hAnsi="宋体" w:eastAsia="宋体" w:cs="宋体"/>
          <w:b/>
          <w:color w:val="000000" w:themeColor="text1"/>
          <w:sz w:val="28"/>
          <w:szCs w:val="28"/>
          <w:highlight w:val="none"/>
          <w14:textFill>
            <w14:solidFill>
              <w14:schemeClr w14:val="tx1"/>
            </w14:solidFill>
          </w14:textFill>
        </w:rPr>
      </w:pPr>
    </w:p>
    <w:p>
      <w:pPr>
        <w:pStyle w:val="24"/>
        <w:rPr>
          <w:rFonts w:hint="eastAsia" w:ascii="宋体" w:hAnsi="宋体" w:eastAsia="宋体" w:cs="宋体"/>
          <w:b/>
          <w:color w:val="000000" w:themeColor="text1"/>
          <w:sz w:val="28"/>
          <w:szCs w:val="28"/>
          <w:highlight w:val="none"/>
          <w14:textFill>
            <w14:solidFill>
              <w14:schemeClr w14:val="tx1"/>
            </w14:solidFill>
          </w14:textFill>
        </w:rPr>
      </w:pPr>
    </w:p>
    <w:p>
      <w:pPr>
        <w:pStyle w:val="24"/>
        <w:rPr>
          <w:rFonts w:hint="eastAsia" w:ascii="宋体" w:hAnsi="宋体" w:eastAsia="宋体" w:cs="宋体"/>
          <w:b/>
          <w:color w:val="000000" w:themeColor="text1"/>
          <w:sz w:val="28"/>
          <w:szCs w:val="28"/>
          <w:highlight w:val="none"/>
          <w14:textFill>
            <w14:solidFill>
              <w14:schemeClr w14:val="tx1"/>
            </w14:solidFill>
          </w14:textFill>
        </w:rPr>
      </w:pPr>
    </w:p>
    <w:p>
      <w:pPr>
        <w:snapToGrid w:val="0"/>
        <w:spacing w:before="156" w:beforeLines="50" w:after="50"/>
        <w:ind w:firstLine="2693" w:firstLineChars="962"/>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采购代理机构：</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桂林市政府集中采购中心   </w:t>
      </w:r>
    </w:p>
    <w:p>
      <w:pPr>
        <w:pStyle w:val="10"/>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08" w:name="_Toc20319_WPSOffice_Level2"/>
      <w:bookmarkStart w:id="209" w:name="_Toc4932_WPSOffice_Level2"/>
      <w:r>
        <w:rPr>
          <w:rFonts w:hint="eastAsia" w:ascii="宋体" w:hAnsi="宋体" w:eastAsia="宋体" w:cs="宋体"/>
          <w:bCs/>
          <w:color w:val="000000" w:themeColor="text1"/>
          <w:sz w:val="28"/>
          <w:szCs w:val="28"/>
          <w:highlight w:val="none"/>
          <w:lang w:eastAsia="zh-CN"/>
          <w14:textFill>
            <w14:solidFill>
              <w14:schemeClr w14:val="tx1"/>
            </w14:solidFill>
          </w14:textFill>
        </w:rPr>
        <w:t>磋商供应商</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公章</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(CA签章)</w:t>
      </w:r>
      <w:r>
        <w:rPr>
          <w:rFonts w:hint="eastAsia" w:ascii="宋体" w:hAnsi="宋体" w:eastAsia="宋体" w:cs="宋体"/>
          <w:bCs/>
          <w:color w:val="000000" w:themeColor="text1"/>
          <w:sz w:val="28"/>
          <w:szCs w:val="28"/>
          <w:highlight w:val="none"/>
          <w14:textFill>
            <w14:solidFill>
              <w14:schemeClr w14:val="tx1"/>
            </w14:solidFill>
          </w14:textFill>
        </w:rPr>
        <w:t>、自然人除外</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bookmarkEnd w:id="208"/>
      <w:bookmarkEnd w:id="209"/>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210" w:name="_Toc9622_WPSOffice_Level2"/>
      <w:bookmarkStart w:id="211" w:name="_Toc32056_WPSOffice_Level2"/>
      <w:r>
        <w:rPr>
          <w:rFonts w:hint="eastAsia" w:ascii="宋体" w:hAnsi="宋体" w:eastAsia="宋体" w:cs="宋体"/>
          <w:color w:val="000000" w:themeColor="text1"/>
          <w:sz w:val="28"/>
          <w:szCs w:val="28"/>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或盖章</w:t>
      </w:r>
      <w:r>
        <w:rPr>
          <w:rFonts w:hint="eastAsia" w:ascii="宋体" w:hAnsi="宋体" w:eastAsia="宋体" w:cs="宋体"/>
          <w:color w:val="000000" w:themeColor="text1"/>
          <w:sz w:val="28"/>
          <w:szCs w:val="28"/>
          <w:highlight w:val="none"/>
          <w:lang w:val="en-US" w:eastAsia="zh-CN"/>
          <w14:textFill>
            <w14:solidFill>
              <w14:schemeClr w14:val="tx1"/>
            </w14:solidFill>
          </w14:textFill>
        </w:rPr>
        <w:t>(CA签章)]</w:t>
      </w:r>
    </w:p>
    <w:p>
      <w:pPr>
        <w:pStyle w:val="10"/>
        <w:ind w:left="980" w:hanging="560" w:hanging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lang w:val="en-US" w:eastAsia="zh-CN"/>
          <w14:textFill>
            <w14:solidFill>
              <w14:schemeClr w14:val="tx1"/>
            </w14:solidFill>
          </w14:textFill>
        </w:rPr>
        <w:t>个人CA签章</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pStyle w:val="10"/>
        <w:ind w:left="980" w:hanging="560" w:hangingChars="200"/>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bookmarkEnd w:id="210"/>
      <w:bookmarkEnd w:id="211"/>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pPr>
        <w:pStyle w:val="10"/>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12" w:name="_Toc15933_WPSOffice_Level2"/>
      <w:bookmarkStart w:id="213" w:name="_Toc26465_WPSOffice_Level2"/>
      <w:r>
        <w:rPr>
          <w:rFonts w:hint="eastAsia" w:ascii="宋体" w:hAnsi="宋体" w:eastAsia="宋体" w:cs="宋体"/>
          <w:bCs/>
          <w:color w:val="000000" w:themeColor="text1"/>
          <w:sz w:val="28"/>
          <w:szCs w:val="28"/>
          <w:highlight w:val="none"/>
          <w14:textFill>
            <w14:solidFill>
              <w14:schemeClr w14:val="tx1"/>
            </w14:solidFill>
          </w14:textFill>
        </w:rPr>
        <w:t>日期：</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w:t>
      </w:r>
      <w:bookmarkEnd w:id="212"/>
      <w:bookmarkEnd w:id="213"/>
    </w:p>
    <w:p>
      <w:pPr>
        <w:pStyle w:val="10"/>
        <w:ind w:left="0" w:leftChars="0" w:firstLine="0" w:firstLineChars="0"/>
        <w:rPr>
          <w:rFonts w:hint="eastAsia" w:ascii="宋体" w:hAnsi="宋体" w:eastAsia="宋体" w:cs="宋体"/>
          <w:bCs/>
          <w:color w:val="000000" w:themeColor="text1"/>
          <w:sz w:val="28"/>
          <w:szCs w:val="28"/>
          <w:highlight w:val="none"/>
          <w14:textFill>
            <w14:solidFill>
              <w14:schemeClr w14:val="tx1"/>
            </w14:solidFill>
          </w14:textFill>
        </w:rPr>
      </w:pPr>
    </w:p>
    <w:p>
      <w:pPr>
        <w:numPr>
          <w:ilvl w:val="0"/>
          <w:numId w:val="17"/>
        </w:numPr>
        <w:rPr>
          <w:rFonts w:hint="eastAsia" w:ascii="宋体" w:hAnsi="宋体" w:eastAsia="宋体" w:cs="宋体"/>
          <w:b/>
          <w:bCs/>
          <w:color w:val="000000" w:themeColor="text1"/>
          <w:sz w:val="32"/>
          <w:szCs w:val="32"/>
          <w:highlight w:val="none"/>
          <w14:textFill>
            <w14:solidFill>
              <w14:schemeClr w14:val="tx1"/>
            </w14:solidFill>
          </w14:textFill>
        </w:rPr>
      </w:pPr>
      <w:bookmarkStart w:id="214" w:name="_Toc497927070"/>
      <w:bookmarkStart w:id="215" w:name="_Toc19430"/>
      <w:bookmarkStart w:id="216" w:name="_Toc21615"/>
      <w:r>
        <w:rPr>
          <w:rFonts w:hint="eastAsia" w:ascii="宋体" w:hAnsi="宋体" w:eastAsia="宋体" w:cs="宋体"/>
          <w:b/>
          <w:bCs/>
          <w:color w:val="000000" w:themeColor="text1"/>
          <w:sz w:val="32"/>
          <w:szCs w:val="32"/>
          <w:highlight w:val="none"/>
          <w14:textFill>
            <w14:solidFill>
              <w14:schemeClr w14:val="tx1"/>
            </w14:solidFill>
          </w14:textFill>
        </w:rPr>
        <w:t>响应文件组成</w:t>
      </w:r>
      <w:bookmarkEnd w:id="214"/>
      <w:bookmarkEnd w:id="215"/>
      <w:bookmarkEnd w:id="216"/>
    </w:p>
    <w:p>
      <w:pPr>
        <w:pStyle w:val="2"/>
        <w:numPr>
          <w:ilvl w:val="0"/>
          <w:numId w:val="0"/>
        </w:numPr>
        <w:rPr>
          <w:rFonts w:hint="eastAsia" w:ascii="宋体" w:hAnsi="宋体" w:eastAsia="宋体" w:cs="宋体"/>
          <w:color w:val="000000" w:themeColor="text1"/>
          <w:highlight w:val="none"/>
          <w14:textFill>
            <w14:solidFill>
              <w14:schemeClr w14:val="tx1"/>
            </w14:solidFill>
          </w14:textFill>
        </w:rPr>
      </w:pPr>
    </w:p>
    <w:p>
      <w:pPr>
        <w:pStyle w:val="2"/>
        <w:numPr>
          <w:ilvl w:val="0"/>
          <w:numId w:val="0"/>
        </w:numPr>
        <w:rPr>
          <w:rFonts w:hint="eastAsia" w:ascii="宋体" w:hAnsi="宋体" w:eastAsia="宋体" w:cs="宋体"/>
          <w:color w:val="000000" w:themeColor="text1"/>
          <w:highlight w:val="none"/>
          <w14:textFill>
            <w14:solidFill>
              <w14:schemeClr w14:val="tx1"/>
            </w14:solidFill>
          </w14:textFill>
        </w:rPr>
      </w:pPr>
    </w:p>
    <w:p>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p>
    <w:p>
      <w:pPr>
        <w:pStyle w:val="2"/>
        <w:rPr>
          <w:rFonts w:hint="eastAsia" w:ascii="宋体" w:hAnsi="宋体" w:eastAsia="宋体" w:cs="宋体"/>
          <w:b/>
          <w:bCs/>
          <w:color w:val="000000" w:themeColor="text1"/>
          <w:sz w:val="28"/>
          <w:szCs w:val="28"/>
          <w:highlight w:val="none"/>
          <w:lang w:eastAsia="zh-CN"/>
          <w14:textFill>
            <w14:solidFill>
              <w14:schemeClr w14:val="tx1"/>
            </w14:solidFill>
          </w14:textFill>
        </w:rPr>
      </w:pPr>
    </w:p>
    <w:p>
      <w:pPr>
        <w:numPr>
          <w:ilvl w:val="0"/>
          <w:numId w:val="18"/>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资格性响应证明材料</w:t>
      </w:r>
    </w:p>
    <w:p>
      <w:pPr>
        <w:pStyle w:val="2"/>
        <w:rPr>
          <w:rFonts w:hint="eastAsia" w:ascii="宋体" w:hAnsi="宋体" w:eastAsia="宋体" w:cs="宋体"/>
          <w:b/>
          <w:bCs/>
          <w:color w:val="000000" w:themeColor="text1"/>
          <w:sz w:val="28"/>
          <w:szCs w:val="28"/>
          <w:highlight w:val="none"/>
          <w14:textFill>
            <w14:solidFill>
              <w14:schemeClr w14:val="tx1"/>
            </w14:solidFill>
          </w14:textFill>
        </w:rPr>
      </w:pPr>
    </w:p>
    <w:p>
      <w:pPr>
        <w:pStyle w:val="2"/>
        <w:rPr>
          <w:rFonts w:hint="eastAsia" w:ascii="宋体" w:hAnsi="宋体" w:eastAsia="宋体" w:cs="宋体"/>
          <w:b/>
          <w:bCs/>
          <w:color w:val="000000" w:themeColor="text1"/>
          <w:sz w:val="28"/>
          <w:szCs w:val="28"/>
          <w:highlight w:val="none"/>
          <w14:textFill>
            <w14:solidFill>
              <w14:schemeClr w14:val="tx1"/>
            </w14:solidFill>
          </w14:textFill>
        </w:rPr>
      </w:pPr>
    </w:p>
    <w:p>
      <w:pPr>
        <w:numPr>
          <w:ilvl w:val="0"/>
          <w:numId w:val="18"/>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符合性响应证明材料</w:t>
      </w:r>
    </w:p>
    <w:p>
      <w:pPr>
        <w:pStyle w:val="2"/>
        <w:rPr>
          <w:rFonts w:hint="eastAsia" w:ascii="宋体" w:hAnsi="宋体" w:eastAsia="宋体" w:cs="宋体"/>
          <w:b/>
          <w:bCs/>
          <w:color w:val="000000" w:themeColor="text1"/>
          <w:sz w:val="28"/>
          <w:szCs w:val="28"/>
          <w:highlight w:val="none"/>
          <w14:textFill>
            <w14:solidFill>
              <w14:schemeClr w14:val="tx1"/>
            </w14:solidFill>
          </w14:textFill>
        </w:rPr>
      </w:pPr>
    </w:p>
    <w:p>
      <w:pPr>
        <w:pStyle w:val="2"/>
        <w:rPr>
          <w:rFonts w:hint="eastAsia" w:ascii="宋体" w:hAnsi="宋体" w:eastAsia="宋体" w:cs="宋体"/>
          <w:b/>
          <w:bCs/>
          <w:color w:val="000000" w:themeColor="text1"/>
          <w:sz w:val="28"/>
          <w:szCs w:val="28"/>
          <w:highlight w:val="none"/>
          <w14:textFill>
            <w14:solidFill>
              <w14:schemeClr w14:val="tx1"/>
            </w14:solidFill>
          </w14:textFill>
        </w:rPr>
      </w:pPr>
    </w:p>
    <w:p>
      <w:pPr>
        <w:numPr>
          <w:ilvl w:val="0"/>
          <w:numId w:val="18"/>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其</w:t>
      </w:r>
      <w:r>
        <w:rPr>
          <w:rFonts w:hint="eastAsia" w:ascii="宋体" w:hAnsi="宋体" w:eastAsia="宋体" w:cs="宋体"/>
          <w:b/>
          <w:bCs/>
          <w:color w:val="000000" w:themeColor="text1"/>
          <w:sz w:val="28"/>
          <w:szCs w:val="28"/>
          <w:highlight w:val="none"/>
          <w:lang w:eastAsia="zh-CN"/>
          <w14:textFill>
            <w14:solidFill>
              <w14:schemeClr w14:val="tx1"/>
            </w14:solidFill>
          </w14:textFill>
        </w:rPr>
        <w:t>他</w:t>
      </w:r>
      <w:r>
        <w:rPr>
          <w:rFonts w:hint="eastAsia" w:ascii="宋体" w:hAnsi="宋体" w:eastAsia="宋体" w:cs="宋体"/>
          <w:b/>
          <w:bCs/>
          <w:color w:val="000000" w:themeColor="text1"/>
          <w:sz w:val="28"/>
          <w:szCs w:val="28"/>
          <w:highlight w:val="none"/>
          <w14:textFill>
            <w14:solidFill>
              <w14:schemeClr w14:val="tx1"/>
            </w14:solidFill>
          </w14:textFill>
        </w:rPr>
        <w:t>有效证明材料</w:t>
      </w:r>
    </w:p>
    <w:p>
      <w:pPr>
        <w:pStyle w:val="24"/>
        <w:rPr>
          <w:rFonts w:hint="eastAsia" w:ascii="宋体" w:hAnsi="宋体" w:eastAsia="宋体" w:cs="宋体"/>
          <w:color w:val="000000" w:themeColor="text1"/>
          <w:highlight w:val="none"/>
          <w14:textFill>
            <w14:solidFill>
              <w14:schemeClr w14:val="tx1"/>
            </w14:solidFill>
          </w14:textFill>
        </w:rPr>
      </w:pPr>
    </w:p>
    <w:p>
      <w:pPr>
        <w:tabs>
          <w:tab w:val="left" w:pos="5040"/>
        </w:tabs>
        <w:spacing w:line="400" w:lineRule="exact"/>
        <w:rPr>
          <w:rFonts w:hint="eastAsia" w:ascii="宋体" w:hAnsi="宋体" w:eastAsia="宋体" w:cs="宋体"/>
          <w:color w:val="000000" w:themeColor="text1"/>
          <w:szCs w:val="21"/>
          <w:highlight w:val="none"/>
          <w14:textFill>
            <w14:solidFill>
              <w14:schemeClr w14:val="tx1"/>
            </w14:solidFill>
          </w14:textFill>
        </w:rPr>
      </w:pPr>
    </w:p>
    <w:p>
      <w:pPr>
        <w:pStyle w:val="2"/>
        <w:rPr>
          <w:rFonts w:hint="eastAsia" w:ascii="宋体" w:hAnsi="宋体" w:eastAsia="宋体" w:cs="宋体"/>
          <w:color w:val="000000" w:themeColor="text1"/>
          <w:szCs w:val="21"/>
          <w:highlight w:val="none"/>
          <w14:textFill>
            <w14:solidFill>
              <w14:schemeClr w14:val="tx1"/>
            </w14:solidFill>
          </w14:textFill>
        </w:rPr>
      </w:pPr>
    </w:p>
    <w:p>
      <w:pPr>
        <w:pStyle w:val="2"/>
        <w:rPr>
          <w:rFonts w:hint="eastAsia" w:ascii="宋体" w:hAnsi="宋体" w:eastAsia="宋体" w:cs="宋体"/>
          <w:color w:val="000000" w:themeColor="text1"/>
          <w:szCs w:val="21"/>
          <w:highlight w:val="none"/>
          <w14:textFill>
            <w14:solidFill>
              <w14:schemeClr w14:val="tx1"/>
            </w14:solidFill>
          </w14:textFill>
        </w:rPr>
      </w:pPr>
    </w:p>
    <w:p>
      <w:pPr>
        <w:pStyle w:val="2"/>
        <w:rPr>
          <w:rFonts w:hint="eastAsia" w:ascii="宋体" w:hAnsi="宋体" w:eastAsia="宋体" w:cs="宋体"/>
          <w:color w:val="000000" w:themeColor="text1"/>
          <w:szCs w:val="21"/>
          <w:highlight w:val="none"/>
          <w14:textFill>
            <w14:solidFill>
              <w14:schemeClr w14:val="tx1"/>
            </w14:solidFill>
          </w14:textFill>
        </w:rPr>
      </w:pPr>
    </w:p>
    <w:p>
      <w:pPr>
        <w:pStyle w:val="2"/>
        <w:rPr>
          <w:rFonts w:hint="eastAsia" w:ascii="宋体" w:hAnsi="宋体" w:eastAsia="宋体" w:cs="宋体"/>
          <w:color w:val="000000" w:themeColor="text1"/>
          <w:szCs w:val="21"/>
          <w:highlight w:val="none"/>
          <w14:textFill>
            <w14:solidFill>
              <w14:schemeClr w14:val="tx1"/>
            </w14:solidFill>
          </w14:textFill>
        </w:rPr>
      </w:pPr>
    </w:p>
    <w:p>
      <w:pPr>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pStyle w:val="24"/>
        <w:rPr>
          <w:rFonts w:hint="eastAsia" w:ascii="宋体" w:hAnsi="宋体" w:eastAsia="宋体" w:cs="宋体"/>
          <w:color w:val="000000" w:themeColor="text1"/>
          <w:szCs w:val="21"/>
          <w:highlight w:val="none"/>
          <w14:textFill>
            <w14:solidFill>
              <w14:schemeClr w14:val="tx1"/>
            </w14:solidFill>
          </w14:textFill>
        </w:rPr>
      </w:pPr>
    </w:p>
    <w:p>
      <w:pPr>
        <w:rPr>
          <w:rFonts w:hint="eastAsia" w:ascii="宋体" w:hAnsi="宋体" w:eastAsia="宋体" w:cs="宋体"/>
          <w:color w:val="000000" w:themeColor="text1"/>
          <w:highlight w:val="none"/>
          <w:lang w:eastAsia="zh-CN"/>
          <w14:textFill>
            <w14:solidFill>
              <w14:schemeClr w14:val="tx1"/>
            </w14:solidFill>
          </w14:textFill>
        </w:rPr>
      </w:pPr>
      <w:bookmarkStart w:id="217" w:name="_Toc7185"/>
      <w:bookmarkStart w:id="218" w:name="_Toc497927071"/>
      <w:bookmarkStart w:id="219" w:name="_Toc11067"/>
    </w:p>
    <w:p>
      <w:pPr>
        <w:pStyle w:val="6"/>
        <w:numPr>
          <w:ilvl w:val="0"/>
          <w:numId w:val="0"/>
        </w:num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资格性响应证明材料目录</w:t>
      </w:r>
      <w:bookmarkEnd w:id="217"/>
      <w:bookmarkEnd w:id="218"/>
      <w:bookmarkEnd w:id="219"/>
    </w:p>
    <w:p>
      <w:pPr>
        <w:rPr>
          <w:rFonts w:hint="eastAsia" w:ascii="宋体" w:hAnsi="宋体" w:eastAsia="宋体" w:cs="宋体"/>
          <w:color w:val="000000" w:themeColor="text1"/>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.供应商相应的法定代表人、负责人、自然人身份证正反两面</w:t>
      </w:r>
      <w:r>
        <w:rPr>
          <w:rFonts w:hint="eastAsia" w:ascii="宋体" w:hAnsi="宋体" w:cs="宋体"/>
          <w:color w:val="000000" w:themeColor="text1"/>
          <w:sz w:val="24"/>
          <w:highlight w:val="none"/>
          <w:lang w:eastAsia="zh-CN"/>
          <w14:textFill>
            <w14:solidFill>
              <w14:schemeClr w14:val="tx1"/>
            </w14:solidFill>
          </w14:textFill>
        </w:rPr>
        <w:t>彩色扫描件</w:t>
      </w:r>
      <w:r>
        <w:rPr>
          <w:rFonts w:hint="eastAsia" w:ascii="宋体" w:hAnsi="宋体" w:eastAsia="宋体" w:cs="宋体"/>
          <w:b/>
          <w:bCs/>
          <w:color w:val="000000" w:themeColor="text1"/>
          <w:sz w:val="24"/>
          <w:highlight w:val="none"/>
          <w14:textFill>
            <w14:solidFill>
              <w14:schemeClr w14:val="tx1"/>
            </w14:solidFill>
          </w14:textFill>
        </w:rPr>
        <w:t>（必须提供）</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.供应商的授权委托书原件、委托代理人身份证正反面</w:t>
      </w:r>
      <w:r>
        <w:rPr>
          <w:rFonts w:hint="eastAsia" w:ascii="宋体" w:hAnsi="宋体" w:cs="宋体"/>
          <w:color w:val="000000" w:themeColor="text1"/>
          <w:sz w:val="24"/>
          <w:highlight w:val="none"/>
          <w:lang w:eastAsia="zh-CN"/>
          <w14:textFill>
            <w14:solidFill>
              <w14:schemeClr w14:val="tx1"/>
            </w14:solidFill>
          </w14:textFill>
        </w:rPr>
        <w:t>彩色扫描件</w:t>
      </w:r>
      <w:r>
        <w:rPr>
          <w:rFonts w:hint="eastAsia" w:ascii="宋体" w:hAnsi="宋体" w:eastAsia="宋体" w:cs="宋体"/>
          <w:color w:val="000000" w:themeColor="text1"/>
          <w:sz w:val="24"/>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 w:val="24"/>
          <w:highlight w:val="none"/>
          <w:lang w:eastAsia="zh-CN"/>
          <w14:textFill>
            <w14:solidFill>
              <w14:schemeClr w14:val="tx1"/>
            </w14:solidFill>
          </w14:textFill>
        </w:rPr>
        <w:t>三个月内任意一个月</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彩色扫描件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除供应商为以下</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种情形的：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彩色扫描件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彩色扫描件</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（2）如供应商为事业单位，可以提供事业单位机构编制管理证</w:t>
      </w:r>
      <w:r>
        <w:rPr>
          <w:rFonts w:hint="eastAsia" w:ascii="宋体" w:hAnsi="宋体" w:cs="宋体"/>
          <w:color w:val="000000" w:themeColor="text1"/>
          <w:sz w:val="24"/>
          <w:highlight w:val="none"/>
          <w:lang w:eastAsia="zh-CN"/>
          <w14:textFill>
            <w14:solidFill>
              <w14:schemeClr w14:val="tx1"/>
            </w14:solidFill>
          </w14:textFill>
        </w:rPr>
        <w:t>彩色扫描件</w:t>
      </w:r>
      <w:r>
        <w:rPr>
          <w:rFonts w:hint="eastAsia" w:ascii="宋体" w:hAnsi="宋体" w:eastAsia="宋体" w:cs="宋体"/>
          <w:color w:val="000000" w:themeColor="text1"/>
          <w:sz w:val="24"/>
          <w:highlight w:val="none"/>
          <w14:textFill>
            <w14:solidFill>
              <w14:schemeClr w14:val="tx1"/>
            </w14:solidFill>
          </w14:textFill>
        </w:rPr>
        <w:t>或事业单位机构为其发放工资的工资条</w:t>
      </w:r>
      <w:r>
        <w:rPr>
          <w:rFonts w:hint="eastAsia" w:ascii="宋体" w:hAnsi="宋体" w:cs="宋体"/>
          <w:color w:val="000000" w:themeColor="text1"/>
          <w:sz w:val="24"/>
          <w:highlight w:val="none"/>
          <w:lang w:eastAsia="zh-CN"/>
          <w14:textFill>
            <w14:solidFill>
              <w14:schemeClr w14:val="tx1"/>
            </w14:solidFill>
          </w14:textFill>
        </w:rPr>
        <w:t>彩色扫描件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彩色扫描件</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如委托代理人为免缴纳养老保险人员，提供免缴纳养老保险的证明材料彩色扫描件</w:t>
      </w:r>
      <w:r>
        <w:rPr>
          <w:rFonts w:hint="eastAsia" w:ascii="宋体" w:hAnsi="宋体" w:eastAsia="宋体" w:cs="宋体"/>
          <w:color w:val="000000" w:themeColor="text1"/>
          <w:sz w:val="24"/>
          <w:highlight w:val="none"/>
          <w14:textFill>
            <w14:solidFill>
              <w14:schemeClr w14:val="tx1"/>
            </w14:solidFill>
          </w14:textFill>
        </w:rPr>
        <w:t>及供应商与委托代理人签订的劳动合同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彩色扫描件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彩色扫描件</w:t>
      </w:r>
      <w:r>
        <w:rPr>
          <w:rFonts w:hint="eastAsia" w:ascii="宋体" w:hAnsi="宋体" w:eastAsia="宋体" w:cs="宋体"/>
          <w:color w:val="000000" w:themeColor="text1"/>
          <w:sz w:val="24"/>
          <w:highlight w:val="none"/>
          <w14:textFill>
            <w14:solidFill>
              <w14:schemeClr w14:val="tx1"/>
            </w14:solidFill>
          </w14:textFill>
        </w:rPr>
        <w:t>。</w:t>
      </w:r>
    </w:p>
    <w:p>
      <w:pPr>
        <w:spacing w:beforeLines="-2147483648" w:afterLines="-2147483648"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beforeLines="-2147483648" w:afterLines="-2147483648" w:line="360" w:lineRule="auto"/>
        <w:ind w:firstLine="480"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 w:val="24"/>
          <w:szCs w:val="24"/>
          <w:highlight w:val="none"/>
          <w:lang w:eastAsia="zh-CN"/>
          <w14:textFill>
            <w14:solidFill>
              <w14:schemeClr w14:val="tx1"/>
            </w14:solidFill>
          </w14:textFill>
        </w:rPr>
        <w:t>三个月内任意一个月养老保险证明彩色扫描件，</w:t>
      </w:r>
      <w:r>
        <w:rPr>
          <w:rFonts w:hint="eastAsia" w:ascii="宋体" w:hAnsi="宋体" w:cs="宋体"/>
          <w:b/>
          <w:bCs/>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bCs/>
          <w:color w:val="000000" w:themeColor="text1"/>
          <w:sz w:val="24"/>
          <w:szCs w:val="24"/>
          <w:highlight w:val="none"/>
          <w14:textFill>
            <w14:solidFill>
              <w14:schemeClr w14:val="tx1"/>
            </w14:solidFill>
          </w14:textFill>
        </w:rPr>
        <w:t>】（委托代理时必须提供；如为联合体的，授权委托书原件须由牵头人出具）</w:t>
      </w:r>
    </w:p>
    <w:p>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.供应商参加政府采购活动前3年内在经营活动中没有重大违法记录及有关信用信息的书面声明</w:t>
      </w:r>
      <w:r>
        <w:rPr>
          <w:rFonts w:hint="eastAsia" w:ascii="宋体" w:hAnsi="宋体" w:eastAsia="宋体" w:cs="宋体"/>
          <w:b/>
          <w:bCs/>
          <w:color w:val="000000" w:themeColor="text1"/>
          <w:sz w:val="24"/>
          <w:highlight w:val="none"/>
          <w14:textFill>
            <w14:solidFill>
              <w14:schemeClr w14:val="tx1"/>
            </w14:solidFill>
          </w14:textFill>
        </w:rPr>
        <w:t>（必须提供）；</w:t>
      </w:r>
    </w:p>
    <w:p>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.供应商的法人或者其他组织营业执照等证明文件</w:t>
      </w:r>
      <w:r>
        <w:rPr>
          <w:rFonts w:hint="eastAsia" w:ascii="宋体" w:hAnsi="宋体" w:cs="宋体"/>
          <w:color w:val="000000" w:themeColor="text1"/>
          <w:sz w:val="24"/>
          <w:highlight w:val="none"/>
          <w:lang w:eastAsia="zh-CN"/>
          <w14:textFill>
            <w14:solidFill>
              <w14:schemeClr w14:val="tx1"/>
            </w14:solidFill>
          </w14:textFill>
        </w:rPr>
        <w:t>彩色扫描件</w:t>
      </w:r>
      <w:r>
        <w:rPr>
          <w:rFonts w:hint="eastAsia" w:ascii="宋体" w:hAnsi="宋体" w:eastAsia="宋体" w:cs="宋体"/>
          <w:b/>
          <w:bCs/>
          <w:color w:val="000000" w:themeColor="text1"/>
          <w:sz w:val="24"/>
          <w:highlight w:val="none"/>
          <w14:textFill>
            <w14:solidFill>
              <w14:schemeClr w14:val="tx1"/>
            </w14:solidFill>
          </w14:textFill>
        </w:rPr>
        <w:t>（必须提供，自然人除外）；</w:t>
      </w:r>
    </w:p>
    <w:p>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财务状况报告</w:t>
      </w:r>
      <w:r>
        <w:rPr>
          <w:rFonts w:hint="eastAsia" w:ascii="宋体" w:hAnsi="宋体" w:cs="宋体"/>
          <w:b/>
          <w:bCs/>
          <w:color w:val="000000" w:themeColor="text1"/>
          <w:sz w:val="24"/>
          <w:highlight w:val="none"/>
          <w:lang w:val="en-US" w:eastAsia="zh-CN"/>
          <w14:textFill>
            <w14:solidFill>
              <w14:schemeClr w14:val="tx1"/>
            </w14:solidFill>
          </w14:textFill>
        </w:rPr>
        <w:t>（格式自拟，必须提供）</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color w:val="000000" w:themeColor="text1"/>
          <w:sz w:val="24"/>
          <w:highlight w:val="none"/>
          <w:lang w:val="en-US" w:eastAsia="zh-CN"/>
          <w14:textFill>
            <w14:solidFill>
              <w14:schemeClr w14:val="tx1"/>
            </w14:solidFill>
          </w14:textFill>
        </w:rPr>
        <w:t>彩色扫描件</w:t>
      </w:r>
      <w:r>
        <w:rPr>
          <w:rFonts w:hint="eastAsia" w:ascii="宋体" w:hAnsi="宋体" w:eastAsia="宋体" w:cs="宋体"/>
          <w:b/>
          <w:bCs/>
          <w:color w:val="000000" w:themeColor="text1"/>
          <w:sz w:val="24"/>
          <w:highlight w:val="none"/>
          <w:lang w:val="en-US" w:eastAsia="zh-CN"/>
          <w14:textFill>
            <w14:solidFill>
              <w14:schemeClr w14:val="tx1"/>
            </w14:solidFill>
          </w14:textFill>
        </w:rPr>
        <w:t>（必须提供）。</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.《中小企业声明函》（见附件）</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除监狱企业及残疾人福利性单位外，必须提供</w:t>
      </w:r>
      <w:r>
        <w:rPr>
          <w:rFonts w:hint="eastAsia" w:ascii="宋体" w:hAnsi="宋体" w:eastAsia="宋体" w:cs="宋体"/>
          <w:b/>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.如提供服务的供应商属于监狱企业的，应当提供由省级以上监狱管理局、戒毒管理局等（含新疆生产建设兵团）出具的属于监狱企业的证明文件</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如供应商属于监狱企业的，则必须提供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如供应商属于残疾人福利性单位的，则必须提供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pStyle w:val="4"/>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pStyle w:val="2"/>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.供应商相应的法定代表人、负责人、自然人身份证正反两面</w:t>
      </w:r>
      <w:r>
        <w:rPr>
          <w:rFonts w:hint="eastAsia" w:ascii="宋体"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14:textFill>
            <w14:solidFill>
              <w14:schemeClr w14:val="tx1"/>
            </w14:solidFill>
          </w14:textFill>
        </w:rPr>
        <w:t>（必须提供）；</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14:textFill>
            <w14:solidFill>
              <w14:schemeClr w14:val="tx1"/>
            </w14:solidFill>
          </w14:textFill>
        </w:rPr>
        <w:t>.供应商的授权委托书原件、委托代理人身份证正反面</w:t>
      </w:r>
      <w:r>
        <w:rPr>
          <w:rFonts w:hint="eastAsia" w:ascii="宋体"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b/>
          <w:color w:val="000000" w:themeColor="text1"/>
          <w:sz w:val="28"/>
          <w:szCs w:val="28"/>
          <w:highlight w:val="none"/>
          <w:lang w:eastAsia="zh-CN"/>
          <w14:textFill>
            <w14:solidFill>
              <w14:schemeClr w14:val="tx1"/>
            </w14:solidFill>
          </w14:textFill>
        </w:rPr>
        <w:t>三个月内任意一个月</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除供应商为以下</w:t>
      </w:r>
      <w:r>
        <w:rPr>
          <w:rFonts w:hint="eastAsia" w:ascii="宋体" w:hAnsi="宋体" w:cs="宋体"/>
          <w:b/>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color w:val="000000" w:themeColor="text1"/>
          <w:sz w:val="28"/>
          <w:szCs w:val="28"/>
          <w:highlight w:val="none"/>
          <w14:textFill>
            <w14:solidFill>
              <w14:schemeClr w14:val="tx1"/>
            </w14:solidFill>
          </w14:textFill>
        </w:rPr>
        <w:t>种情形的：</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14:textFill>
            <w14:solidFill>
              <w14:schemeClr w14:val="tx1"/>
            </w14:solidFill>
          </w14:textFill>
        </w:rPr>
        <w:t>；</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（2）如供应商为事业单位，可以提供事业单位机构编制管理证</w:t>
      </w:r>
      <w:r>
        <w:rPr>
          <w:rFonts w:hint="eastAsia" w:ascii="宋体"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14:textFill>
            <w14:solidFill>
              <w14:schemeClr w14:val="tx1"/>
            </w14:solidFill>
          </w14:textFill>
        </w:rPr>
        <w:t>或事业单位机构为其发放工资的工资条</w:t>
      </w:r>
      <w:r>
        <w:rPr>
          <w:rFonts w:hint="eastAsia" w:ascii="宋体"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14:textFill>
            <w14:solidFill>
              <w14:schemeClr w14:val="tx1"/>
            </w14:solidFill>
          </w14:textFill>
        </w:rPr>
        <w:t>；</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w:t>
      </w:r>
      <w:r>
        <w:rPr>
          <w:rFonts w:hint="eastAsia" w:ascii="宋体" w:hAnsi="宋体" w:cs="宋体"/>
          <w:b/>
          <w:color w:val="000000" w:themeColor="text1"/>
          <w:sz w:val="28"/>
          <w:szCs w:val="28"/>
          <w:highlight w:val="none"/>
          <w:lang w:eastAsia="zh-CN"/>
          <w14:textFill>
            <w14:solidFill>
              <w14:schemeClr w14:val="tx1"/>
            </w14:solidFill>
          </w14:textFill>
        </w:rPr>
        <w:t>如委托代理人为免缴纳养老保险人员，提供免缴纳养老保险的证明材料彩色扫描件</w:t>
      </w:r>
      <w:r>
        <w:rPr>
          <w:rFonts w:hint="eastAsia" w:ascii="宋体" w:hAnsi="宋体" w:eastAsia="宋体" w:cs="宋体"/>
          <w:b/>
          <w:color w:val="000000" w:themeColor="text1"/>
          <w:sz w:val="28"/>
          <w:szCs w:val="28"/>
          <w:highlight w:val="none"/>
          <w14:textFill>
            <w14:solidFill>
              <w14:schemeClr w14:val="tx1"/>
            </w14:solidFill>
          </w14:textFill>
        </w:rPr>
        <w:t>及供应商与委托代理人签订的劳动合同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14:textFill>
            <w14:solidFill>
              <w14:schemeClr w14:val="tx1"/>
            </w14:solidFill>
          </w14:textFill>
        </w:rPr>
        <w:t>。</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eastAsia="宋体" w:cs="宋体"/>
          <w:b/>
          <w:color w:val="000000" w:themeColor="text1"/>
          <w:sz w:val="28"/>
          <w:szCs w:val="28"/>
          <w:highlight w:val="none"/>
          <w:lang w:eastAsia="zh-CN"/>
          <w14:textFill>
            <w14:solidFill>
              <w14:schemeClr w14:val="tx1"/>
            </w14:solidFill>
          </w14:textFill>
        </w:rPr>
        <w:t>三个月内任意一个月养老保险证明</w:t>
      </w:r>
      <w:r>
        <w:rPr>
          <w:rFonts w:hint="eastAsia" w:ascii="宋体"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000000" w:themeColor="text1"/>
          <w:sz w:val="28"/>
          <w:szCs w:val="28"/>
          <w:highlight w:val="none"/>
          <w14:textFill>
            <w14:solidFill>
              <w14:schemeClr w14:val="tx1"/>
            </w14:solidFill>
          </w14:textFill>
        </w:rPr>
        <w:t>】（委托代理时必须提供；如为联合体的，授权委托书原件须由牵头人出具）</w:t>
      </w:r>
    </w:p>
    <w:p>
      <w:pPr>
        <w:pStyle w:val="1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 xml:space="preserve">附件：            </w:t>
      </w:r>
    </w:p>
    <w:p>
      <w:pPr>
        <w:pStyle w:val="12"/>
        <w:ind w:firstLine="627" w:firstLineChars="196"/>
        <w:jc w:val="center"/>
        <w:rPr>
          <w:rFonts w:hint="eastAsia" w:ascii="宋体" w:hAnsi="宋体" w:eastAsia="宋体" w:cs="宋体"/>
          <w:b/>
          <w:color w:val="000000" w:themeColor="text1"/>
          <w:sz w:val="32"/>
          <w:highlight w:val="none"/>
          <w14:textFill>
            <w14:solidFill>
              <w14:schemeClr w14:val="tx1"/>
            </w14:solidFill>
          </w14:textFill>
        </w:rPr>
      </w:pPr>
      <w:bookmarkStart w:id="220" w:name="_Toc5420_WPSOffice_Level1"/>
      <w:bookmarkStart w:id="221" w:name="_Toc964_WPSOffice_Level1"/>
      <w:r>
        <w:rPr>
          <w:rFonts w:hint="eastAsia" w:ascii="宋体" w:hAnsi="宋体" w:eastAsia="宋体" w:cs="宋体"/>
          <w:b/>
          <w:color w:val="000000" w:themeColor="text1"/>
          <w:sz w:val="32"/>
          <w:highlight w:val="none"/>
          <w14:textFill>
            <w14:solidFill>
              <w14:schemeClr w14:val="tx1"/>
            </w14:solidFill>
          </w14:textFill>
        </w:rPr>
        <w:t>授权委托书（格式一）</w:t>
      </w:r>
      <w:bookmarkEnd w:id="220"/>
      <w:bookmarkEnd w:id="221"/>
    </w:p>
    <w:p>
      <w:pPr>
        <w:pStyle w:val="12"/>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（供应商名称）的法定代表人（负责人），现授权委托本单位在职职工</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名）以我公司名义参加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项目的磋商活动，并代表我方全权办理针对上述项目的磋商、签约等具体事务和签署相关文件。</w:t>
      </w:r>
    </w:p>
    <w:p>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我方对被授权人的签字事项负全部责任。</w:t>
      </w:r>
    </w:p>
    <w:p>
      <w:pPr>
        <w:pStyle w:val="12"/>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pPr>
        <w:pStyle w:val="12"/>
        <w:spacing w:line="40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法定代表人（负责人）签字（或</w:t>
      </w:r>
      <w:r>
        <w:rPr>
          <w:rFonts w:hint="eastAsia" w:ascii="宋体" w:hAnsi="宋体" w:eastAsia="宋体" w:cs="宋体"/>
          <w:color w:val="000000" w:themeColor="text1"/>
          <w:szCs w:val="21"/>
          <w:highlight w:val="none"/>
          <w:lang w:eastAsia="zh-CN"/>
          <w14:textFill>
            <w14:solidFill>
              <w14:schemeClr w14:val="tx1"/>
            </w14:solidFill>
          </w14:textFill>
        </w:rPr>
        <w:t>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12"/>
        <w:spacing w:line="340" w:lineRule="exact"/>
        <w:ind w:firstLine="480" w:firstLineChars="200"/>
        <w:rPr>
          <w:rFonts w:hint="eastAsia" w:hAnsi="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注：投标人的授权委托书原件、委托代理人身份证正反面</w:t>
      </w:r>
      <w:r>
        <w:rPr>
          <w:rFonts w:hint="eastAsia" w:hAnsi="宋体" w:cs="宋体"/>
          <w:b/>
          <w:color w:val="000000" w:themeColor="text1"/>
          <w:sz w:val="24"/>
          <w:highlight w:val="none"/>
          <w:lang w:val="en-US" w:eastAsia="zh-CN"/>
          <w14:textFill>
            <w14:solidFill>
              <w14:schemeClr w14:val="tx1"/>
            </w14:solidFill>
          </w14:textFill>
        </w:rPr>
        <w:t>彩色扫描件</w:t>
      </w:r>
      <w:r>
        <w:rPr>
          <w:rFonts w:hint="eastAsia" w:ascii="宋体" w:hAnsi="宋体" w:eastAsia="宋体" w:cs="宋体"/>
          <w:b/>
          <w:color w:val="000000" w:themeColor="text1"/>
          <w:sz w:val="24"/>
          <w:highlight w:val="none"/>
          <w:lang w:val="en-US" w:eastAsia="zh-CN"/>
          <w14:textFill>
            <w14:solidFill>
              <w14:schemeClr w14:val="tx1"/>
            </w14:solidFill>
          </w14:textFill>
        </w:rPr>
        <w:t>以及由县级以上（含县级）社会养老保险经办机构出具的投标人为委托代理人交纳的开标截止时间前</w:t>
      </w:r>
      <w:r>
        <w:rPr>
          <w:rFonts w:hint="eastAsia" w:hAnsi="宋体" w:cs="宋体"/>
          <w:b/>
          <w:color w:val="000000" w:themeColor="text1"/>
          <w:sz w:val="24"/>
          <w:highlight w:val="none"/>
          <w:lang w:val="en-US" w:eastAsia="zh-CN"/>
          <w14:textFill>
            <w14:solidFill>
              <w14:schemeClr w14:val="tx1"/>
            </w14:solidFill>
          </w14:textFill>
        </w:rPr>
        <w:t>三个月内任意一个月养老保险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彩色扫描件</w:t>
      </w:r>
      <w:r>
        <w:rPr>
          <w:rFonts w:hint="eastAsia" w:ascii="宋体" w:hAnsi="宋体" w:eastAsia="宋体" w:cs="宋体"/>
          <w:b/>
          <w:color w:val="000000" w:themeColor="text1"/>
          <w:sz w:val="24"/>
          <w:highlight w:val="none"/>
          <w:lang w:val="en-US" w:eastAsia="zh-CN"/>
          <w14:textFill>
            <w14:solidFill>
              <w14:schemeClr w14:val="tx1"/>
            </w14:solidFill>
          </w14:textFill>
        </w:rPr>
        <w:t>（如投标人为截标时间前60日以内成立的公司，可以提供投标人与委托代理人签订的劳动合同</w:t>
      </w:r>
      <w:r>
        <w:rPr>
          <w:rFonts w:hint="eastAsia" w:hAnsi="宋体" w:cs="宋体"/>
          <w:b/>
          <w:color w:val="000000" w:themeColor="text1"/>
          <w:sz w:val="24"/>
          <w:highlight w:val="none"/>
          <w:lang w:val="en-US" w:eastAsia="zh-CN"/>
          <w14:textFill>
            <w14:solidFill>
              <w14:schemeClr w14:val="tx1"/>
            </w14:solidFill>
          </w14:textFill>
        </w:rPr>
        <w:t>彩色扫描件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彩色扫描件</w:t>
      </w:r>
      <w:r>
        <w:rPr>
          <w:rFonts w:hint="eastAsia" w:ascii="宋体" w:hAnsi="宋体" w:eastAsia="宋体" w:cs="宋体"/>
          <w:b/>
          <w:color w:val="000000" w:themeColor="text1"/>
          <w:sz w:val="24"/>
          <w:highlight w:val="none"/>
          <w:lang w:val="en-US" w:eastAsia="zh-CN"/>
          <w14:textFill>
            <w14:solidFill>
              <w14:schemeClr w14:val="tx1"/>
            </w14:solidFill>
          </w14:textFill>
        </w:rPr>
        <w:t>；如投标人为事业单位，可以提供事业单位机构编制管理证</w:t>
      </w:r>
      <w:r>
        <w:rPr>
          <w:rFonts w:hint="eastAsia" w:hAnsi="宋体" w:cs="宋体"/>
          <w:b/>
          <w:color w:val="000000" w:themeColor="text1"/>
          <w:sz w:val="24"/>
          <w:highlight w:val="none"/>
          <w:lang w:val="en-US" w:eastAsia="zh-CN"/>
          <w14:textFill>
            <w14:solidFill>
              <w14:schemeClr w14:val="tx1"/>
            </w14:solidFill>
          </w14:textFill>
        </w:rPr>
        <w:t>彩色扫描件</w:t>
      </w:r>
      <w:r>
        <w:rPr>
          <w:rFonts w:hint="eastAsia" w:ascii="宋体" w:hAnsi="宋体" w:eastAsia="宋体" w:cs="宋体"/>
          <w:b/>
          <w:color w:val="000000" w:themeColor="text1"/>
          <w:sz w:val="24"/>
          <w:highlight w:val="none"/>
          <w:lang w:val="en-US" w:eastAsia="zh-CN"/>
          <w14:textFill>
            <w14:solidFill>
              <w14:schemeClr w14:val="tx1"/>
            </w14:solidFill>
          </w14:textFill>
        </w:rPr>
        <w:t>或事业单位机构为其发放工资的工资条</w:t>
      </w:r>
      <w:r>
        <w:rPr>
          <w:rFonts w:hint="eastAsia" w:hAnsi="宋体" w:cs="宋体"/>
          <w:b/>
          <w:color w:val="000000" w:themeColor="text1"/>
          <w:sz w:val="24"/>
          <w:highlight w:val="none"/>
          <w:lang w:val="en-US" w:eastAsia="zh-CN"/>
          <w14:textFill>
            <w14:solidFill>
              <w14:schemeClr w14:val="tx1"/>
            </w14:solidFill>
          </w14:textFill>
        </w:rPr>
        <w:t>彩色扫描件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彩色扫描件</w:t>
      </w:r>
      <w:r>
        <w:rPr>
          <w:rFonts w:hint="eastAsia" w:ascii="宋体" w:hAnsi="宋体" w:eastAsia="宋体" w:cs="宋体"/>
          <w:b/>
          <w:color w:val="000000" w:themeColor="text1"/>
          <w:sz w:val="24"/>
          <w:highlight w:val="none"/>
          <w:lang w:val="en-US" w:eastAsia="zh-CN"/>
          <w14:textFill>
            <w14:solidFill>
              <w14:schemeClr w14:val="tx1"/>
            </w14:solidFill>
          </w14:textFill>
        </w:rPr>
        <w:t>；</w:t>
      </w:r>
      <w:r>
        <w:rPr>
          <w:rFonts w:hint="eastAsia" w:hAnsi="宋体" w:cs="宋体"/>
          <w:b/>
          <w:color w:val="000000" w:themeColor="text1"/>
          <w:sz w:val="24"/>
          <w:highlight w:val="none"/>
          <w:lang w:val="en-US" w:eastAsia="zh-CN"/>
          <w14:textFill>
            <w14:solidFill>
              <w14:schemeClr w14:val="tx1"/>
            </w14:solidFill>
          </w14:textFill>
        </w:rPr>
        <w:t>如委托代理人为免缴纳养老保险人员，提供免缴纳养老保险的证明材料彩色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pPr>
        <w:pStyle w:val="12"/>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12"/>
        <w:jc w:val="center"/>
        <w:rPr>
          <w:rFonts w:hint="eastAsia" w:ascii="宋体" w:hAnsi="宋体" w:eastAsia="宋体" w:cs="宋体"/>
          <w:b/>
          <w:color w:val="000000" w:themeColor="text1"/>
          <w:sz w:val="32"/>
          <w:highlight w:val="none"/>
          <w14:textFill>
            <w14:solidFill>
              <w14:schemeClr w14:val="tx1"/>
            </w14:solidFill>
          </w14:textFill>
        </w:rPr>
      </w:pPr>
      <w:bookmarkStart w:id="222" w:name="_Toc21370_WPSOffice_Level1"/>
      <w:bookmarkStart w:id="223" w:name="_Toc6975_WPSOffice_Level1"/>
      <w:r>
        <w:rPr>
          <w:rFonts w:hint="eastAsia" w:ascii="宋体" w:hAnsi="宋体" w:eastAsia="宋体" w:cs="宋体"/>
          <w:b/>
          <w:color w:val="000000" w:themeColor="text1"/>
          <w:sz w:val="32"/>
          <w:highlight w:val="none"/>
          <w14:textFill>
            <w14:solidFill>
              <w14:schemeClr w14:val="tx1"/>
            </w14:solidFill>
          </w14:textFill>
        </w:rPr>
        <w:t>授权委托书（格式二）</w:t>
      </w:r>
      <w:bookmarkEnd w:id="222"/>
      <w:bookmarkEnd w:id="223"/>
    </w:p>
    <w:p>
      <w:pPr>
        <w:pStyle w:val="12"/>
        <w:jc w:val="both"/>
        <w:rPr>
          <w:rFonts w:hint="eastAsia" w:ascii="宋体" w:hAnsi="宋体" w:eastAsia="宋体" w:cs="宋体"/>
          <w:b/>
          <w:color w:val="000000" w:themeColor="text1"/>
          <w:sz w:val="32"/>
          <w:highlight w:val="none"/>
          <w14:textFill>
            <w14:solidFill>
              <w14:schemeClr w14:val="tx1"/>
            </w14:solidFill>
          </w14:textFill>
        </w:rPr>
      </w:pPr>
    </w:p>
    <w:p>
      <w:pPr>
        <w:pStyle w:val="12"/>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pPr>
        <w:rPr>
          <w:rFonts w:hint="eastAsia" w:ascii="宋体" w:hAnsi="宋体" w:eastAsia="宋体" w:cs="宋体"/>
          <w:color w:val="000000" w:themeColor="text1"/>
          <w:highlight w:val="none"/>
          <w14:textFill>
            <w14:solidFill>
              <w14:schemeClr w14:val="tx1"/>
            </w14:solidFill>
          </w14:textFill>
        </w:rPr>
      </w:pPr>
    </w:p>
    <w:p>
      <w:pPr>
        <w:pStyle w:val="12"/>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（姓名）系自然人，现授权委托</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名）以本人名义参加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项目的磋商活动，并代表本人全权办理针对上述项目的磋商、签约等具体事务和签署相关文件。</w:t>
      </w:r>
    </w:p>
    <w:p>
      <w:pPr>
        <w:pStyle w:val="12"/>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本人对被授权人的签字事项负全部责任。</w:t>
      </w:r>
    </w:p>
    <w:p>
      <w:pPr>
        <w:pStyle w:val="12"/>
        <w:spacing w:line="34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pPr>
        <w:pStyle w:val="12"/>
        <w:spacing w:line="34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napToGrid w:val="0"/>
        <w:spacing w:line="34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自然人签字并在签名处加盖大拇指指印</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pStyle w:val="12"/>
        <w:spacing w:line="400" w:lineRule="exact"/>
        <w:ind w:left="420" w:leftChars="200"/>
        <w:rPr>
          <w:rFonts w:hint="eastAsia" w:ascii="宋体" w:hAnsi="宋体" w:eastAsia="宋体" w:cs="宋体"/>
          <w:color w:val="000000" w:themeColor="text1"/>
          <w:szCs w:val="21"/>
          <w:highlight w:val="none"/>
          <w14:textFill>
            <w14:solidFill>
              <w14:schemeClr w14:val="tx1"/>
            </w14:solidFill>
          </w14:textFill>
        </w:rPr>
      </w:pPr>
    </w:p>
    <w:p>
      <w:pPr>
        <w:pStyle w:val="12"/>
        <w:spacing w:line="400" w:lineRule="exac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附：委托代理人身份证正反面</w:t>
      </w:r>
      <w:r>
        <w:rPr>
          <w:rFonts w:hint="eastAsia" w:hAnsi="宋体" w:cs="宋体"/>
          <w:b/>
          <w:color w:val="000000" w:themeColor="text1"/>
          <w:szCs w:val="21"/>
          <w:highlight w:val="none"/>
          <w:lang w:eastAsia="zh-CN"/>
          <w14:textFill>
            <w14:solidFill>
              <w14:schemeClr w14:val="tx1"/>
            </w14:solidFill>
          </w14:textFill>
        </w:rPr>
        <w:t>彩色扫描件</w:t>
      </w:r>
    </w:p>
    <w:p>
      <w:pPr>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pStyle w:val="2"/>
        <w:rPr>
          <w:rFonts w:hint="eastAsia" w:ascii="宋体" w:hAnsi="宋体" w:eastAsia="宋体" w:cs="宋体"/>
          <w:b/>
          <w:color w:val="000000" w:themeColor="text1"/>
          <w:szCs w:val="21"/>
          <w:highlight w:val="none"/>
          <w14:textFill>
            <w14:solidFill>
              <w14:schemeClr w14:val="tx1"/>
            </w14:solidFill>
          </w14:textFill>
        </w:rPr>
      </w:pPr>
    </w:p>
    <w:p>
      <w:pPr>
        <w:rPr>
          <w:rFonts w:hint="eastAsia" w:ascii="宋体" w:hAnsi="宋体" w:eastAsia="宋体" w:cs="宋体"/>
          <w:b/>
          <w:color w:val="000000" w:themeColor="text1"/>
          <w:szCs w:val="2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14:textFill>
            <w14:solidFill>
              <w14:schemeClr w14:val="tx1"/>
            </w14:solidFill>
          </w14:textFill>
        </w:rPr>
        <w:t>.供应商参加政府采购活动前3年内在经营活动中没有重大违法记录及有关信用信息的书面声明（必须提供）；</w:t>
      </w:r>
    </w:p>
    <w:p>
      <w:pPr>
        <w:pStyle w:val="12"/>
        <w:spacing w:line="400" w:lineRule="exact"/>
        <w:ind w:left="420" w:leftChars="200" w:firstLine="156" w:firstLineChars="4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p>
    <w:p>
      <w:pPr>
        <w:pStyle w:val="12"/>
        <w:spacing w:line="400" w:lineRule="exac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w:t>
      </w:r>
    </w:p>
    <w:p>
      <w:pPr>
        <w:pStyle w:val="12"/>
        <w:spacing w:line="400" w:lineRule="exact"/>
        <w:jc w:val="center"/>
        <w:rPr>
          <w:rFonts w:hint="eastAsia" w:ascii="宋体" w:hAnsi="宋体" w:eastAsia="宋体" w:cs="宋体"/>
          <w:b/>
          <w:color w:val="000000" w:themeColor="text1"/>
          <w:sz w:val="32"/>
          <w:szCs w:val="32"/>
          <w:highlight w:val="none"/>
          <w14:textFill>
            <w14:solidFill>
              <w14:schemeClr w14:val="tx1"/>
            </w14:solidFill>
          </w14:textFill>
        </w:rPr>
      </w:pPr>
      <w:bookmarkStart w:id="224" w:name="_Toc30890_WPSOffice_Level1"/>
      <w:bookmarkStart w:id="225" w:name="_Toc30304_WPSOffice_Level1"/>
      <w:r>
        <w:rPr>
          <w:rFonts w:hint="eastAsia" w:ascii="宋体" w:hAnsi="宋体" w:eastAsia="宋体" w:cs="宋体"/>
          <w:b/>
          <w:color w:val="000000" w:themeColor="text1"/>
          <w:sz w:val="32"/>
          <w:szCs w:val="32"/>
          <w:highlight w:val="none"/>
          <w14:textFill>
            <w14:solidFill>
              <w14:schemeClr w14:val="tx1"/>
            </w14:solidFill>
          </w14:textFill>
        </w:rPr>
        <w:t>声   明</w:t>
      </w:r>
      <w:bookmarkEnd w:id="224"/>
      <w:bookmarkEnd w:id="225"/>
    </w:p>
    <w:p>
      <w:pPr>
        <w:pStyle w:val="12"/>
        <w:spacing w:line="400" w:lineRule="exact"/>
        <w:jc w:val="both"/>
        <w:rPr>
          <w:rFonts w:hint="eastAsia" w:ascii="宋体" w:hAnsi="宋体" w:eastAsia="宋体" w:cs="宋体"/>
          <w:b/>
          <w:color w:val="000000" w:themeColor="text1"/>
          <w:sz w:val="32"/>
          <w:szCs w:val="32"/>
          <w:highlight w:val="none"/>
          <w14:textFill>
            <w14:solidFill>
              <w14:schemeClr w14:val="tx1"/>
            </w14:solidFill>
          </w14:textFill>
        </w:rPr>
      </w:pPr>
    </w:p>
    <w:p>
      <w:pPr>
        <w:pStyle w:val="12"/>
        <w:spacing w:line="400" w:lineRule="exact"/>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pPr>
        <w:rPr>
          <w:rFonts w:hint="eastAsia" w:ascii="宋体" w:hAnsi="宋体" w:eastAsia="宋体" w:cs="宋体"/>
          <w:color w:val="000000" w:themeColor="text1"/>
          <w:szCs w:val="21"/>
          <w:highlight w:val="none"/>
          <w:u w:val="singl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hint="eastAsia" w:ascii="宋体" w:hAnsi="宋体" w:eastAsia="宋体" w:cs="宋体"/>
          <w:color w:val="000000" w:themeColor="text1"/>
          <w:highlight w:val="non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pStyle w:val="12"/>
        <w:ind w:firstLine="3990" w:firstLineChars="19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.供应商的法人或者其他组织营业执照等证明文件</w:t>
      </w:r>
      <w:r>
        <w:rPr>
          <w:rFonts w:hint="eastAsia" w:hAnsi="宋体" w:cs="宋体"/>
          <w:b/>
          <w:color w:val="000000" w:themeColor="text1"/>
          <w:sz w:val="28"/>
          <w:szCs w:val="28"/>
          <w:highlight w:val="none"/>
          <w:lang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14:textFill>
            <w14:solidFill>
              <w14:schemeClr w14:val="tx1"/>
            </w14:solidFill>
          </w14:textFill>
        </w:rPr>
        <w:t>（必须提供，自然人除外）；</w:t>
      </w:r>
    </w:p>
    <w:p>
      <w:pPr>
        <w:tabs>
          <w:tab w:val="left" w:pos="1305"/>
        </w:tabs>
        <w:spacing w:line="340" w:lineRule="exact"/>
        <w:rPr>
          <w:rFonts w:hint="eastAsia" w:ascii="宋体" w:hAnsi="宋体" w:eastAsia="宋体" w:cs="宋体"/>
          <w:b/>
          <w:color w:val="000000" w:themeColor="text1"/>
          <w:szCs w:val="21"/>
          <w:highlight w:val="none"/>
          <w14:textFill>
            <w14:solidFill>
              <w14:schemeClr w14:val="tx1"/>
            </w14:solidFill>
          </w14:textFill>
        </w:rPr>
      </w:pPr>
    </w:p>
    <w:p>
      <w:pPr>
        <w:tabs>
          <w:tab w:val="left" w:pos="1305"/>
        </w:tabs>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；供应商为事业单位，应提供有效的“事业单位法人证书”；供应商为非企业专业服务机构的，应提供执业许可证等证明文件；供应商为个体工商户，应提供有效的“个体工商户营业执照”。</w:t>
      </w:r>
    </w:p>
    <w:p>
      <w:pPr>
        <w:rPr>
          <w:rFonts w:hint="eastAsia" w:ascii="宋体" w:hAnsi="宋体" w:eastAsia="宋体" w:cs="宋体"/>
          <w:b/>
          <w:bCs/>
          <w:color w:val="000000" w:themeColor="text1"/>
          <w:sz w:val="28"/>
          <w:szCs w:val="28"/>
          <w:highlight w:val="none"/>
          <w14:textFill>
            <w14:solidFill>
              <w14:schemeClr w14:val="tx1"/>
            </w14:solidFill>
          </w14:textFill>
        </w:rPr>
      </w:pPr>
    </w:p>
    <w:p>
      <w:pPr>
        <w:pStyle w:val="12"/>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5.</w:t>
      </w:r>
      <w:r>
        <w:rPr>
          <w:rFonts w:hint="eastAsia" w:hAnsi="宋体" w:cs="宋体"/>
          <w:b/>
          <w:color w:val="000000" w:themeColor="text1"/>
          <w:sz w:val="28"/>
          <w:szCs w:val="28"/>
          <w:highlight w:val="none"/>
          <w:lang w:val="en-US" w:eastAsia="zh-CN"/>
          <w14:textFill>
            <w14:solidFill>
              <w14:schemeClr w14:val="tx1"/>
            </w14:solidFill>
          </w14:textFill>
        </w:rPr>
        <w:t>财务状况报告（格式自拟，必须提供）</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pPr>
        <w:pStyle w:val="7"/>
        <w:rPr>
          <w:rFonts w:hint="eastAsia" w:ascii="宋体" w:hAnsi="宋体" w:eastAsia="宋体" w:cs="宋体"/>
          <w:color w:val="000000" w:themeColor="text1"/>
          <w:highlight w:val="none"/>
          <w14:textFill>
            <w14:solidFill>
              <w14:schemeClr w14:val="tx1"/>
            </w14:solidFill>
          </w14:textFill>
        </w:rPr>
      </w:pPr>
    </w:p>
    <w:p>
      <w:pPr>
        <w:pStyle w:val="7"/>
        <w:numPr>
          <w:ilvl w:val="0"/>
          <w:numId w:val="0"/>
        </w:num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color w:val="000000" w:themeColor="text1"/>
          <w:sz w:val="28"/>
          <w:szCs w:val="28"/>
          <w:highlight w:val="none"/>
          <w:lang w:val="en-US" w:eastAsia="zh-CN"/>
          <w14:textFill>
            <w14:solidFill>
              <w14:schemeClr w14:val="tx1"/>
            </w14:solidFill>
          </w14:textFill>
        </w:rPr>
        <w:t>彩色扫描件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（必须提供）。</w:t>
      </w:r>
    </w:p>
    <w:p>
      <w:pPr>
        <w:rPr>
          <w:rFonts w:hint="eastAsia" w:hAnsi="宋体" w:cs="宋体"/>
          <w:b/>
          <w:color w:val="000000" w:themeColor="text1"/>
          <w:sz w:val="28"/>
          <w:szCs w:val="28"/>
          <w:highlight w:val="none"/>
          <w:lang w:val="en-US" w:eastAsia="zh-CN"/>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br w:type="page"/>
      </w:r>
    </w:p>
    <w:p>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《中小企业声明函》（见附件）（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除监狱企业及残疾人福利性单位外，必须提供</w:t>
      </w:r>
      <w:r>
        <w:rPr>
          <w:rFonts w:hint="eastAsia" w:ascii="宋体" w:hAnsi="宋体" w:eastAsia="宋体" w:cs="宋体"/>
          <w:b/>
          <w:color w:val="000000" w:themeColor="text1"/>
          <w:sz w:val="28"/>
          <w:szCs w:val="28"/>
          <w:highlight w:val="none"/>
          <w14:textFill>
            <w14:solidFill>
              <w14:schemeClr w14:val="tx1"/>
            </w14:solidFill>
          </w14:textFill>
        </w:rPr>
        <w:t>）；</w:t>
      </w:r>
    </w:p>
    <w:p>
      <w:pPr>
        <w:pStyle w:val="12"/>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pPr>
        <w:pStyle w:val="12"/>
        <w:spacing w:line="4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中小企业声明函</w:t>
      </w:r>
    </w:p>
    <w:p>
      <w:pPr>
        <w:pStyle w:val="12"/>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）的（</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项目名称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12"/>
        <w:numPr>
          <w:ilvl w:val="0"/>
          <w:numId w:val="0"/>
        </w:numPr>
        <w:spacing w:line="440" w:lineRule="exact"/>
        <w:ind w:firstLine="504"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1.</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（标的名称）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（采购文件中明确的所属行业）</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承建（承接）企业为（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企业名称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），从业人员</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人，营业 收入为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万元，资产总额为 万元，属于（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中型企业、 小型企业、微型企业</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pPr>
        <w:keepNext w:val="0"/>
        <w:keepLines w:val="0"/>
        <w:widowControl/>
        <w:suppressLineNumbers w:val="0"/>
        <w:ind w:firstLine="504" w:firstLineChars="200"/>
        <w:jc w:val="left"/>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2.</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（标的名称）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（采购文件中明确的所属行业）</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；承建（承接）企业为（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企业名称</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），从业人员</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人，营业收入为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万元，资产总额为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万元，属于（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中型企业、 小型企业、微型企业</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w:t>
      </w:r>
    </w:p>
    <w:p>
      <w:pPr>
        <w:pStyle w:val="7"/>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p>
    <w:p>
      <w:pPr>
        <w:keepNext w:val="0"/>
        <w:keepLines w:val="0"/>
        <w:widowControl/>
        <w:suppressLineNumbers w:val="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以上企业，不属于大企业的分支机构，不存在控股股东为大企业的情形，也不存在与大企业的负责人为同一人的情形。</w:t>
      </w:r>
    </w:p>
    <w:p>
      <w:pPr>
        <w:keepNext w:val="0"/>
        <w:keepLines w:val="0"/>
        <w:widowControl/>
        <w:suppressLineNumbers w:val="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xml:space="preserve">本企业对上述声明内容的真实性负责。如有虚假，将依法承担相应责任。 </w:t>
      </w:r>
    </w:p>
    <w:p>
      <w:pPr>
        <w:pStyle w:val="9"/>
        <w:ind w:firstLine="5796" w:firstLineChars="23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企业名称（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xml:space="preserve">）： </w:t>
      </w:r>
    </w:p>
    <w:p>
      <w:pPr>
        <w:keepNext w:val="0"/>
        <w:keepLines w:val="0"/>
        <w:widowControl/>
        <w:suppressLineNumbers w:val="0"/>
        <w:ind w:firstLine="5796" w:firstLineChars="230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日 期：</w:t>
      </w:r>
    </w:p>
    <w:p>
      <w:pPr>
        <w:pStyle w:val="7"/>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p>
    <w:p>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p>
    <w:p>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从业人员、营业收入、资产总额填报上一年度数据，无上一年度数据的新成立企业可不填报。</w:t>
      </w:r>
    </w:p>
    <w:p>
      <w:pPr>
        <w:pStyle w:val="12"/>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p>
    <w:p>
      <w:pPr>
        <w:pStyle w:val="12"/>
        <w:spacing w:line="440" w:lineRule="exac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p>
    <w:p>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ascii="宋体" w:hAnsi="宋体" w:eastAsia="宋体" w:cs="宋体"/>
          <w:color w:val="000000" w:themeColor="text1"/>
          <w:highlight w:val="none"/>
          <w:lang w:val="en-US" w:eastAsia="zh-CN"/>
          <w14:textFill>
            <w14:solidFill>
              <w14:schemeClr w14:val="tx1"/>
            </w14:solidFill>
          </w14:textFill>
        </w:rPr>
      </w:pPr>
    </w:p>
    <w:p>
      <w:pPr>
        <w:pStyle w:val="12"/>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如提供服务的供应商属于监狱企业的，应当提供由省级以上监狱管理局、戒毒管理局等（含新疆生产建设兵团）</w:t>
      </w:r>
      <w:r>
        <w:rPr>
          <w:rFonts w:hint="eastAsia" w:ascii="宋体" w:hAnsi="宋体" w:eastAsia="宋体" w:cs="宋体"/>
          <w:b/>
          <w:color w:val="000000" w:themeColor="text1"/>
          <w:sz w:val="28"/>
          <w:szCs w:val="28"/>
          <w:highlight w:val="none"/>
          <w14:textFill>
            <w14:solidFill>
              <w14:schemeClr w14:val="tx1"/>
            </w14:solidFill>
          </w14:textFill>
        </w:rPr>
        <w:t>出具的属于监狱企业的证明文件（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如供应商属于监狱企业的，</w:t>
      </w:r>
      <w:r>
        <w:rPr>
          <w:rFonts w:hint="eastAsia" w:hAnsi="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pPr>
        <w:pStyle w:val="7"/>
        <w:rPr>
          <w:rFonts w:hint="eastAsia" w:ascii="宋体" w:hAnsi="宋体" w:eastAsia="宋体" w:cs="宋体"/>
          <w:color w:val="000000" w:themeColor="text1"/>
          <w:highlight w:val="none"/>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7"/>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24"/>
        <w:rPr>
          <w:rFonts w:hint="eastAsia" w:ascii="宋体" w:hAnsi="宋体" w:eastAsia="宋体" w:cs="宋体"/>
          <w:color w:val="000000" w:themeColor="text1"/>
          <w:highlight w:val="none"/>
          <w:lang w:val="en-US" w:eastAsia="zh-CN"/>
          <w14:textFill>
            <w14:solidFill>
              <w14:schemeClr w14:val="tx1"/>
            </w14:solidFill>
          </w14:textFill>
        </w:rPr>
      </w:pPr>
    </w:p>
    <w:p>
      <w:pPr>
        <w:rPr>
          <w:rFonts w:hint="eastAsia" w:ascii="宋体" w:hAnsi="宋体" w:eastAsia="宋体" w:cs="宋体"/>
          <w:color w:val="000000" w:themeColor="text1"/>
          <w:highlight w:val="none"/>
          <w:lang w:val="en-US" w:eastAsia="zh-CN"/>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14:textFill>
            <w14:solidFill>
              <w14:schemeClr w14:val="tx1"/>
            </w14:solidFill>
          </w14:textFill>
        </w:rPr>
        <w:t>《残疾人福利性单位声明函》（见附件）（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如供应商属于残疾人福利性单位的，</w:t>
      </w:r>
      <w:r>
        <w:rPr>
          <w:rFonts w:hint="eastAsia" w:hAnsi="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pPr>
        <w:tabs>
          <w:tab w:val="left" w:pos="1305"/>
        </w:tabs>
        <w:rPr>
          <w:rFonts w:hint="eastAsia" w:ascii="宋体" w:hAnsi="宋体" w:eastAsia="宋体" w:cs="宋体"/>
          <w:b/>
          <w:color w:val="000000" w:themeColor="text1"/>
          <w:sz w:val="32"/>
          <w:szCs w:val="32"/>
          <w:highlight w:val="none"/>
          <w14:textFill>
            <w14:solidFill>
              <w14:schemeClr w14:val="tx1"/>
            </w14:solidFill>
          </w14:textFill>
        </w:rPr>
      </w:pPr>
    </w:p>
    <w:p>
      <w:pPr>
        <w:pStyle w:val="24"/>
        <w:rPr>
          <w:rFonts w:hint="eastAsia" w:ascii="宋体" w:hAnsi="宋体" w:eastAsia="宋体" w:cs="宋体"/>
          <w:b/>
          <w:color w:val="000000" w:themeColor="text1"/>
          <w:spacing w:val="6"/>
          <w:sz w:val="28"/>
          <w:szCs w:val="28"/>
          <w:highlight w:val="none"/>
          <w14:textFill>
            <w14:solidFill>
              <w14:schemeClr w14:val="tx1"/>
            </w14:solidFill>
          </w14:textFill>
        </w:rPr>
      </w:pPr>
    </w:p>
    <w:p>
      <w:pPr>
        <w:spacing w:line="588" w:lineRule="exact"/>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p>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pPr>
        <w:rPr>
          <w:rFonts w:hint="eastAsia" w:ascii="宋体" w:hAnsi="宋体" w:eastAsia="宋体" w:cs="宋体"/>
          <w:color w:val="000000" w:themeColor="text1"/>
          <w:highlight w:val="none"/>
          <w14:textFill>
            <w14:solidFill>
              <w14:schemeClr w14:val="tx1"/>
            </w14:solidFill>
          </w14:textFill>
        </w:rPr>
      </w:pPr>
    </w:p>
    <w:p>
      <w:pPr>
        <w:tabs>
          <w:tab w:val="left" w:pos="4860"/>
        </w:tabs>
        <w:spacing w:line="588" w:lineRule="exact"/>
        <w:ind w:right="1560" w:firstLine="58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 xml:space="preserve">  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pPr>
        <w:pStyle w:val="12"/>
        <w:ind w:firstLine="4032" w:firstLineChars="16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    期：  年  月  日</w:t>
      </w:r>
    </w:p>
    <w:p>
      <w:pPr>
        <w:rPr>
          <w:rFonts w:hint="eastAsia" w:ascii="宋体" w:hAnsi="宋体" w:eastAsia="宋体" w:cs="宋体"/>
          <w:color w:val="000000" w:themeColor="text1"/>
          <w:spacing w:val="6"/>
          <w:sz w:val="24"/>
          <w:szCs w:val="24"/>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tabs>
          <w:tab w:val="left" w:pos="1305"/>
        </w:tabs>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cs="宋体"/>
          <w:b/>
          <w:color w:val="000000" w:themeColor="text1"/>
          <w:szCs w:val="21"/>
          <w:highlight w:val="none"/>
          <w:lang w:eastAsia="zh-CN"/>
          <w14:textFill>
            <w14:solidFill>
              <w14:schemeClr w14:val="tx1"/>
            </w14:solidFill>
          </w14:textFill>
        </w:rPr>
        <w:t>中标</w:t>
      </w:r>
      <w:r>
        <w:rPr>
          <w:rFonts w:hint="eastAsia" w:ascii="宋体" w:hAnsi="宋体" w:eastAsia="宋体" w:cs="宋体"/>
          <w:b/>
          <w:color w:val="000000" w:themeColor="text1"/>
          <w:szCs w:val="21"/>
          <w:highlight w:val="none"/>
          <w14:textFill>
            <w14:solidFill>
              <w14:schemeClr w14:val="tx1"/>
            </w14:solidFill>
          </w14:textFill>
        </w:rPr>
        <w:t>、成交供应商为残疾人福利性单位的，采购人或者其委托的采购代理机构应当随</w:t>
      </w:r>
      <w:r>
        <w:rPr>
          <w:rFonts w:hint="eastAsia" w:ascii="宋体" w:hAnsi="宋体" w:cs="宋体"/>
          <w:b/>
          <w:color w:val="000000" w:themeColor="text1"/>
          <w:szCs w:val="21"/>
          <w:highlight w:val="none"/>
          <w:lang w:eastAsia="zh-CN"/>
          <w14:textFill>
            <w14:solidFill>
              <w14:schemeClr w14:val="tx1"/>
            </w14:solidFill>
          </w14:textFill>
        </w:rPr>
        <w:t>中标</w:t>
      </w:r>
      <w:r>
        <w:rPr>
          <w:rFonts w:hint="eastAsia" w:ascii="宋体" w:hAnsi="宋体" w:eastAsia="宋体" w:cs="宋体"/>
          <w:b/>
          <w:color w:val="000000" w:themeColor="text1"/>
          <w:szCs w:val="21"/>
          <w:highlight w:val="none"/>
          <w14:textFill>
            <w14:solidFill>
              <w14:schemeClr w14:val="tx1"/>
            </w14:solidFill>
          </w14:textFill>
        </w:rPr>
        <w:t>、成交结果同时公告其《残疾人福利性单位声明函》，接受社会监督</w:t>
      </w:r>
      <w:r>
        <w:rPr>
          <w:rFonts w:hint="eastAsia" w:ascii="宋体" w:hAnsi="宋体" w:eastAsia="宋体" w:cs="宋体"/>
          <w:color w:val="000000" w:themeColor="text1"/>
          <w:sz w:val="24"/>
          <w:highlight w:val="none"/>
          <w14:textFill>
            <w14:solidFill>
              <w14:schemeClr w14:val="tx1"/>
            </w14:solidFill>
          </w14:textFill>
        </w:rPr>
        <w:t>。</w:t>
      </w:r>
    </w:p>
    <w:p>
      <w:pPr>
        <w:pStyle w:val="24"/>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pPr>
        <w:pStyle w:val="6"/>
        <w:numPr>
          <w:ilvl w:val="0"/>
          <w:numId w:val="0"/>
        </w:numPr>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（二）符合性响应证明材料目录</w:t>
      </w:r>
    </w:p>
    <w:p>
      <w:pPr>
        <w:numPr>
          <w:ilvl w:val="0"/>
          <w:numId w:val="19"/>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响应函</w:t>
      </w:r>
      <w:r>
        <w:rPr>
          <w:rFonts w:hint="eastAsia" w:ascii="宋体" w:hAnsi="宋体" w:eastAsia="宋体" w:cs="宋体"/>
          <w:b/>
          <w:bCs/>
          <w:color w:val="000000" w:themeColor="text1"/>
          <w:sz w:val="24"/>
          <w:highlight w:val="none"/>
          <w14:textFill>
            <w14:solidFill>
              <w14:schemeClr w14:val="tx1"/>
            </w14:solidFill>
          </w14:textFill>
        </w:rPr>
        <w:t>（格式见附件）（必须提供</w:t>
      </w:r>
      <w:r>
        <w:rPr>
          <w:color w:val="000000" w:themeColor="text1"/>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p>
    <w:p>
      <w:pPr>
        <w:numPr>
          <w:ilvl w:val="0"/>
          <w:numId w:val="19"/>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磋商报价表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pPr>
        <w:pStyle w:val="2"/>
        <w:rPr>
          <w:rFonts w:hint="eastAsia" w:ascii="宋体" w:hAnsi="宋体" w:eastAsia="宋体" w:cs="宋体"/>
          <w:color w:val="000000" w:themeColor="text1"/>
          <w:highlight w:val="none"/>
          <w14:textFill>
            <w14:solidFill>
              <w14:schemeClr w14:val="tx1"/>
            </w14:solidFill>
          </w14:textFill>
        </w:rPr>
      </w:pPr>
    </w:p>
    <w:p>
      <w:pPr>
        <w:numPr>
          <w:ilvl w:val="0"/>
          <w:numId w:val="19"/>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商务偏离情况说明表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pPr>
        <w:pStyle w:val="2"/>
        <w:rPr>
          <w:rFonts w:hint="eastAsia" w:ascii="宋体" w:hAnsi="宋体" w:eastAsia="宋体" w:cs="宋体"/>
          <w:color w:val="000000" w:themeColor="text1"/>
          <w:highlight w:val="none"/>
          <w14:textFill>
            <w14:solidFill>
              <w14:schemeClr w14:val="tx1"/>
            </w14:solidFill>
          </w14:textFill>
        </w:rPr>
      </w:pPr>
    </w:p>
    <w:p>
      <w:pPr>
        <w:numPr>
          <w:ilvl w:val="0"/>
          <w:numId w:val="19"/>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服务承诺书</w:t>
      </w:r>
      <w:r>
        <w:rPr>
          <w:rFonts w:hint="eastAsia" w:ascii="宋体" w:hAnsi="宋体" w:eastAsia="宋体" w:cs="宋体"/>
          <w:color w:val="000000" w:themeColor="text1"/>
          <w:sz w:val="24"/>
          <w:highlight w:val="none"/>
          <w14:textFill>
            <w14:solidFill>
              <w14:schemeClr w14:val="tx1"/>
            </w14:solidFill>
          </w14:textFill>
        </w:rPr>
        <w:t>（由供应商根据本项目采购需求、特点及供应商自身的处理能力自行编写，承诺书内容至少应包括“采购需求”的所有服务条款）</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pPr>
        <w:numPr>
          <w:ilvl w:val="0"/>
          <w:numId w:val="19"/>
        </w:numPr>
        <w:spacing w:line="360" w:lineRule="auto"/>
        <w:ind w:left="-60" w:leftChars="0" w:firstLine="48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“采购需求”需提供的有效证明文件</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按其</w:t>
      </w:r>
      <w:r>
        <w:rPr>
          <w:rFonts w:hint="eastAsia" w:ascii="宋体" w:hAnsi="宋体" w:cs="宋体"/>
          <w:b/>
          <w:bCs/>
          <w:color w:val="000000" w:themeColor="text1"/>
          <w:sz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highlight w:val="none"/>
          <w:lang w:val="en-US" w:eastAsia="zh-CN"/>
          <w14:textFill>
            <w14:solidFill>
              <w14:schemeClr w14:val="tx1"/>
            </w14:solidFill>
          </w14:textFill>
        </w:rPr>
        <w:t>提供</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w:t>
      </w:r>
    </w:p>
    <w:p>
      <w:pPr>
        <w:numPr>
          <w:ilvl w:val="0"/>
          <w:numId w:val="19"/>
        </w:numPr>
        <w:spacing w:line="360" w:lineRule="auto"/>
        <w:ind w:left="-60" w:leftChars="0" w:firstLine="48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4"/>
          <w:highlight w:val="none"/>
          <w:lang w:eastAsia="zh-CN"/>
          <w14:textFill>
            <w14:solidFill>
              <w14:schemeClr w14:val="tx1"/>
            </w14:solidFill>
          </w14:textFill>
        </w:rPr>
        <w:t>服务方案（格式见附件）</w:t>
      </w:r>
      <w:r>
        <w:rPr>
          <w:rFonts w:hint="eastAsia" w:ascii="宋体" w:hAnsi="宋体" w:eastAsia="宋体" w:cs="宋体"/>
          <w:b/>
          <w:bCs/>
          <w:color w:val="000000" w:themeColor="text1"/>
          <w:sz w:val="24"/>
          <w:highlight w:val="none"/>
          <w:lang w:eastAsia="zh-CN"/>
          <w14:textFill>
            <w14:solidFill>
              <w14:schemeClr w14:val="tx1"/>
            </w14:solidFill>
          </w14:textFill>
        </w:rPr>
        <w:t>（必须提供）</w:t>
      </w:r>
      <w:r>
        <w:rPr>
          <w:rFonts w:hint="eastAsia" w:ascii="宋体" w:hAnsi="宋体" w:eastAsia="宋体" w:cs="宋体"/>
          <w:color w:val="000000" w:themeColor="text1"/>
          <w:sz w:val="24"/>
          <w:highlight w:val="none"/>
          <w:lang w:eastAsia="zh-CN"/>
          <w14:textFill>
            <w14:solidFill>
              <w14:schemeClr w14:val="tx1"/>
            </w14:solidFill>
          </w14:textFill>
        </w:rPr>
        <w:t>。</w:t>
      </w:r>
    </w:p>
    <w:p>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2"/>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2"/>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2"/>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2"/>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2"/>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2"/>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226" w:name="_Toc17617"/>
      <w:bookmarkStart w:id="227" w:name="_Toc497927072"/>
      <w:bookmarkStart w:id="228" w:name="_Toc12920"/>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响应函（格式见附件）（必须提供）</w:t>
      </w:r>
      <w:bookmarkEnd w:id="226"/>
      <w:bookmarkEnd w:id="227"/>
      <w:bookmarkEnd w:id="228"/>
    </w:p>
    <w:p>
      <w:pPr>
        <w:pStyle w:val="24"/>
        <w:rPr>
          <w:rFonts w:hint="eastAsia" w:ascii="宋体" w:hAnsi="宋体" w:eastAsia="宋体" w:cs="宋体"/>
          <w:color w:val="000000" w:themeColor="text1"/>
          <w:highlight w:val="none"/>
          <w14:textFill>
            <w14:solidFill>
              <w14:schemeClr w14:val="tx1"/>
            </w14:solidFill>
          </w14:textFill>
        </w:rPr>
      </w:pPr>
    </w:p>
    <w:p>
      <w:pPr>
        <w:pStyle w:val="1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附件：</w:t>
      </w:r>
    </w:p>
    <w:p>
      <w:pPr>
        <w:pStyle w:val="12"/>
        <w:ind w:firstLine="800" w:firstLineChars="250"/>
        <w:jc w:val="center"/>
        <w:rPr>
          <w:rFonts w:hint="eastAsia" w:ascii="宋体" w:hAnsi="宋体" w:eastAsia="宋体" w:cs="宋体"/>
          <w:b/>
          <w:color w:val="000000" w:themeColor="text1"/>
          <w:sz w:val="32"/>
          <w:highlight w:val="none"/>
          <w14:textFill>
            <w14:solidFill>
              <w14:schemeClr w14:val="tx1"/>
            </w14:solidFill>
          </w14:textFill>
        </w:rPr>
      </w:pPr>
      <w:bookmarkStart w:id="229" w:name="_Toc7273_WPSOffice_Level1"/>
      <w:bookmarkStart w:id="230" w:name="_Toc17832_WPSOffice_Level1"/>
      <w:r>
        <w:rPr>
          <w:rFonts w:hint="eastAsia" w:ascii="宋体" w:hAnsi="宋体" w:eastAsia="宋体" w:cs="宋体"/>
          <w:b/>
          <w:color w:val="000000" w:themeColor="text1"/>
          <w:sz w:val="32"/>
          <w:highlight w:val="none"/>
          <w14:textFill>
            <w14:solidFill>
              <w14:schemeClr w14:val="tx1"/>
            </w14:solidFill>
          </w14:textFill>
        </w:rPr>
        <w:t>响 应 函 （格 式）</w:t>
      </w:r>
      <w:bookmarkEnd w:id="229"/>
      <w:bookmarkEnd w:id="230"/>
    </w:p>
    <w:p>
      <w:pPr>
        <w:spacing w:line="240" w:lineRule="exact"/>
        <w:jc w:val="center"/>
        <w:rPr>
          <w:rFonts w:hint="eastAsia" w:ascii="宋体" w:hAnsi="宋体" w:eastAsia="宋体" w:cs="宋体"/>
          <w:color w:val="000000" w:themeColor="text1"/>
          <w:sz w:val="32"/>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：桂林市政府集中采购中心</w:t>
      </w: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pStyle w:val="12"/>
        <w:spacing w:line="360" w:lineRule="exact"/>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根据贵方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项目竞争性磋商文件，项目编号：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，签字代表</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（姓名）经正式授权并代表供应商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供应商单位名称），提交</w:t>
      </w:r>
      <w:r>
        <w:rPr>
          <w:rFonts w:hint="eastAsia" w:ascii="宋体" w:hAnsi="宋体" w:eastAsia="宋体" w:cs="宋体"/>
          <w:color w:val="000000" w:themeColor="text1"/>
          <w:highlight w:val="none"/>
          <w:lang w:eastAsia="zh-CN"/>
          <w14:textFill>
            <w14:solidFill>
              <w14:schemeClr w14:val="tx1"/>
            </w14:solidFill>
          </w14:textFill>
        </w:rPr>
        <w:t>电子</w:t>
      </w:r>
      <w:r>
        <w:rPr>
          <w:rFonts w:hint="eastAsia" w:ascii="宋体" w:hAnsi="宋体" w:eastAsia="宋体" w:cs="宋体"/>
          <w:color w:val="000000" w:themeColor="text1"/>
          <w:highlight w:val="none"/>
          <w14:textFill>
            <w14:solidFill>
              <w14:schemeClr w14:val="tx1"/>
            </w14:solidFill>
          </w14:textFill>
        </w:rPr>
        <w:t>响应文件</w:t>
      </w:r>
      <w:r>
        <w:rPr>
          <w:rFonts w:hint="eastAsia" w:ascii="宋体" w:hAnsi="宋体" w:eastAsia="宋体" w:cs="宋体"/>
          <w:color w:val="000000" w:themeColor="text1"/>
          <w:highlight w:val="none"/>
          <w:lang w:eastAsia="zh-CN"/>
          <w14:textFill>
            <w14:solidFill>
              <w14:schemeClr w14:val="tx1"/>
            </w14:solidFill>
          </w14:textFill>
        </w:rPr>
        <w:t>。</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据此函，签字代表宣布同意如下：</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按磋商文件采购需求和磋商报价表：</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磋商总报价（大写）</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元人民币(</w:t>
      </w:r>
      <w:r>
        <w:rPr>
          <w:rFonts w:hint="eastAsia"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2.我方承诺已具备磋商文件规定的供应商资格条件。</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3.我方已详细审核磋商文件，包括修改文件（如有的话）和有关附件，将自行承担因对全部磋商文件理解不正确或误解而产生的相应后果。</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 响应文件有效期为</w:t>
      </w:r>
      <w:r>
        <w:rPr>
          <w:rFonts w:hint="eastAsia" w:ascii="宋体" w:hAnsi="宋体" w:eastAsia="宋体" w:cs="宋体"/>
          <w:color w:val="000000" w:themeColor="text1"/>
          <w:szCs w:val="21"/>
          <w:highlight w:val="none"/>
          <w14:textFill>
            <w14:solidFill>
              <w14:schemeClr w14:val="tx1"/>
            </w14:solidFill>
          </w14:textFill>
        </w:rPr>
        <w:t>响应文件递交截止时间之日起90天。</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如我方成交：</w:t>
      </w:r>
    </w:p>
    <w:p>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（1）我方承诺在收到成交通知书后，在成交通知书规定的期限内与采购人签订合同。</w:t>
      </w:r>
    </w:p>
    <w:p>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（2）我方承诺按照磋商文件规定递交履约担保。</w:t>
      </w:r>
    </w:p>
    <w:p>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（3）我方承诺本响应文件至本项目合同履行完毕止均保持有效，按磋商文件及政府采购法律、法规的规定履行合同责任和义务。</w:t>
      </w:r>
    </w:p>
    <w:p>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与本项目有关的正式通讯地址为：</w:t>
      </w:r>
    </w:p>
    <w:p>
      <w:pPr>
        <w:rPr>
          <w:rFonts w:hint="eastAsia" w:ascii="宋体" w:hAnsi="宋体" w:eastAsia="宋体" w:cs="宋体"/>
          <w:color w:val="000000" w:themeColor="text1"/>
          <w:sz w:val="21"/>
          <w:szCs w:val="21"/>
          <w:highlight w:val="none"/>
          <w14:textFill>
            <w14:solidFill>
              <w14:schemeClr w14:val="tx1"/>
            </w14:solidFill>
          </w14:textFill>
        </w:rPr>
      </w:pPr>
    </w:p>
    <w:p>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电话、传真：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公章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bCs/>
          <w:color w:val="000000" w:themeColor="text1"/>
          <w:sz w:val="21"/>
          <w:szCs w:val="21"/>
          <w:highlight w:val="none"/>
          <w14:textFill>
            <w14:solidFill>
              <w14:schemeClr w14:val="tx1"/>
            </w14:solidFill>
          </w14:textFill>
        </w:rPr>
        <w:t>、自然人除外</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个人CA签章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pStyle w:val="7"/>
        <w:rPr>
          <w:rFonts w:hint="eastAsia" w:ascii="宋体" w:hAnsi="宋体" w:eastAsia="宋体" w:cs="宋体"/>
          <w:color w:val="000000" w:themeColor="text1"/>
          <w:sz w:val="21"/>
          <w:szCs w:val="21"/>
          <w:highlight w:val="none"/>
          <w:u w:val="single"/>
          <w14:textFill>
            <w14:solidFill>
              <w14:schemeClr w14:val="tx1"/>
            </w14:solidFill>
          </w14:textFill>
        </w:rPr>
      </w:pPr>
    </w:p>
    <w:p>
      <w:pPr>
        <w:rPr>
          <w:rFonts w:hint="eastAsia" w:ascii="宋体" w:hAnsi="宋体" w:eastAsia="宋体" w:cs="宋体"/>
          <w:color w:val="000000" w:themeColor="text1"/>
          <w:sz w:val="21"/>
          <w:szCs w:val="21"/>
          <w:highlight w:val="none"/>
          <w:u w:val="single"/>
          <w14:textFill>
            <w14:solidFill>
              <w14:schemeClr w14:val="tx1"/>
            </w14:solidFill>
          </w14:textFill>
        </w:rPr>
      </w:pPr>
    </w:p>
    <w:p>
      <w:pPr>
        <w:pStyle w:val="4"/>
        <w:rPr>
          <w:rFonts w:hint="eastAsia" w:ascii="宋体" w:hAnsi="宋体" w:eastAsia="宋体" w:cs="宋体"/>
          <w:color w:val="000000" w:themeColor="text1"/>
          <w:sz w:val="21"/>
          <w:szCs w:val="21"/>
          <w:highlight w:val="none"/>
          <w:u w:val="single"/>
          <w14:textFill>
            <w14:solidFill>
              <w14:schemeClr w14:val="tx1"/>
            </w14:solidFill>
          </w14:textFill>
        </w:rPr>
      </w:pPr>
    </w:p>
    <w:p>
      <w:pPr>
        <w:rPr>
          <w:rFonts w:hint="eastAsia" w:ascii="宋体" w:hAnsi="宋体" w:eastAsia="宋体" w:cs="宋体"/>
          <w:color w:val="000000" w:themeColor="text1"/>
          <w:sz w:val="21"/>
          <w:szCs w:val="21"/>
          <w:highlight w:val="none"/>
          <w:u w:val="single"/>
          <w14:textFill>
            <w14:solidFill>
              <w14:schemeClr w14:val="tx1"/>
            </w14:solidFill>
          </w14:textFill>
        </w:rPr>
      </w:pPr>
    </w:p>
    <w:p>
      <w:pPr>
        <w:pStyle w:val="4"/>
        <w:rPr>
          <w:rFonts w:hint="eastAsia"/>
          <w:color w:val="000000" w:themeColor="text1"/>
          <w:highlight w:val="none"/>
          <w14:textFill>
            <w14:solidFill>
              <w14:schemeClr w14:val="tx1"/>
            </w14:solidFill>
          </w14:textFill>
        </w:rPr>
      </w:pPr>
    </w:p>
    <w:p>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rPr>
          <w:rFonts w:hint="eastAsia" w:ascii="宋体" w:hAnsi="宋体" w:eastAsia="宋体" w:cs="宋体"/>
          <w:color w:val="000000" w:themeColor="text1"/>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磋商报价表（必须提供）；</w:t>
      </w:r>
    </w:p>
    <w:p>
      <w:pPr>
        <w:pStyle w:val="12"/>
        <w:spacing w:line="320" w:lineRule="exact"/>
        <w:jc w:val="left"/>
        <w:rPr>
          <w:rFonts w:hint="eastAsia" w:ascii="宋体" w:hAnsi="宋体" w:eastAsia="宋体" w:cs="宋体"/>
          <w:b/>
          <w:color w:val="000000" w:themeColor="text1"/>
          <w:sz w:val="28"/>
          <w:szCs w:val="28"/>
          <w:highlight w:val="none"/>
          <w14:textFill>
            <w14:solidFill>
              <w14:schemeClr w14:val="tx1"/>
            </w14:solidFill>
          </w14:textFill>
        </w:rPr>
      </w:pPr>
    </w:p>
    <w:p>
      <w:pPr>
        <w:pStyle w:val="7"/>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w:t>
      </w:r>
    </w:p>
    <w:p>
      <w:pPr>
        <w:pStyle w:val="12"/>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磋商报价表（格式）</w:t>
      </w:r>
    </w:p>
    <w:tbl>
      <w:tblPr>
        <w:tblStyle w:val="20"/>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项号</w:t>
            </w:r>
          </w:p>
        </w:tc>
        <w:tc>
          <w:tcPr>
            <w:tcW w:w="15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数量①</w:t>
            </w:r>
          </w:p>
        </w:tc>
        <w:tc>
          <w:tcPr>
            <w:tcW w:w="8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单价②</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单项合计</w:t>
            </w:r>
            <w:r>
              <w:rPr>
                <w:rFonts w:hint="eastAsia" w:ascii="宋体" w:hAnsi="宋体" w:eastAsia="宋体" w:cs="宋体"/>
                <w:color w:val="000000" w:themeColor="text1"/>
                <w:highlight w:val="none"/>
                <w:lang w:val="en-US" w:eastAsia="zh-CN"/>
                <w14:textFill>
                  <w14:solidFill>
                    <w14:schemeClr w14:val="tx1"/>
                  </w14:solidFill>
                </w14:textFill>
              </w:rPr>
              <w:t>=数量×单价</w:t>
            </w:r>
          </w:p>
          <w:p>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p>
        </w:tc>
        <w:tc>
          <w:tcPr>
            <w:tcW w:w="1710" w:type="dxa"/>
            <w:tcBorders>
              <w:top w:val="single" w:color="auto" w:sz="4" w:space="0"/>
              <w:bottom w:val="single" w:color="auto" w:sz="4" w:space="0"/>
            </w:tcBorders>
            <w:vAlign w:val="center"/>
          </w:tcPr>
          <w:p>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pPr>
              <w:spacing w:line="300" w:lineRule="exact"/>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6"/>
                <w:sz w:val="21"/>
                <w:szCs w:val="21"/>
                <w:highlight w:val="none"/>
                <w14:textFill>
                  <w14:solidFill>
                    <w14:schemeClr w14:val="tx1"/>
                  </w14:solidFill>
                </w14:textFill>
              </w:rPr>
              <w:t xml:space="preserve">总报价（大写）：人民币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pPr>
              <w:spacing w:line="300" w:lineRule="exact"/>
              <w:rPr>
                <w:rFonts w:hint="eastAsia" w:ascii="宋体" w:hAnsi="宋体" w:eastAsia="宋体" w:cs="宋体"/>
                <w:b w:val="0"/>
                <w:bCs w:val="0"/>
                <w:color w:val="000000" w:themeColor="text1"/>
                <w:spacing w:val="-6"/>
                <w:sz w:val="21"/>
                <w:szCs w:val="21"/>
                <w:highlight w:val="no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报价指本次招标采购范围内</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随配标准附件、包装、运输、装卸、保险、税金、及其他所有成本费用的总和；</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综合考虑在报价中。</w:t>
            </w:r>
          </w:p>
        </w:tc>
      </w:tr>
    </w:tbl>
    <w:p>
      <w:pPr>
        <w:spacing w:line="340" w:lineRule="exact"/>
        <w:rPr>
          <w:rFonts w:hint="eastAsia" w:ascii="宋体" w:hAnsi="宋体" w:eastAsia="宋体" w:cs="宋体"/>
          <w:color w:val="000000" w:themeColor="text1"/>
          <w:szCs w:val="21"/>
          <w:highlight w:val="none"/>
          <w14:textFill>
            <w14:solidFill>
              <w14:schemeClr w14:val="tx1"/>
            </w14:solidFill>
          </w14:textFill>
        </w:rPr>
      </w:pPr>
    </w:p>
    <w:p>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，自然人除外）：</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p>
    <w:p>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必须就“采购需求”中所投分标的所有内容作完整唯一报价，否则，其投标将被拒绝。投标文件只允许有一个报价。</w:t>
      </w:r>
    </w:p>
    <w:p>
      <w:pPr>
        <w:pStyle w:val="12"/>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应根据所投</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如实填写投标报价表</w:t>
      </w:r>
      <w:r>
        <w:rPr>
          <w:rFonts w:hint="eastAsia" w:ascii="宋体" w:hAnsi="宋体" w:eastAsia="宋体" w:cs="宋体"/>
          <w:bCs/>
          <w:color w:val="000000" w:themeColor="text1"/>
          <w:sz w:val="21"/>
          <w:szCs w:val="21"/>
          <w:highlight w:val="none"/>
          <w14:textFill>
            <w14:solidFill>
              <w14:schemeClr w14:val="tx1"/>
            </w14:solidFill>
          </w14:textFill>
        </w:rPr>
        <w:t>的各项内容。</w:t>
      </w:r>
    </w:p>
    <w:p>
      <w:pPr>
        <w:ind w:firstLine="420" w:firstLineChars="2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报价表须由法定代表人负责人、自然人或相应的委托代理人签字或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）并加盖投标人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（自然人除外）。</w:t>
      </w:r>
      <w:r>
        <w:rPr>
          <w:rFonts w:hint="eastAsia" w:ascii="宋体" w:hAnsi="宋体" w:eastAsia="宋体" w:cs="宋体"/>
          <w:b/>
          <w:color w:val="000000" w:themeColor="text1"/>
          <w:highlight w:val="none"/>
          <w14:textFill>
            <w14:solidFill>
              <w14:schemeClr w14:val="tx1"/>
            </w14:solidFill>
          </w14:textFill>
        </w:rPr>
        <w:t>当本表由多页构成时，需逐页加盖投标人公章（属自然人的须逐页签字</w:t>
      </w:r>
      <w:r>
        <w:rPr>
          <w:rFonts w:hint="eastAsia" w:ascii="宋体" w:hAnsi="宋体" w:eastAsia="宋体" w:cs="宋体"/>
          <w:b/>
          <w:color w:val="000000" w:themeColor="text1"/>
          <w:highlight w:val="none"/>
          <w:lang w:eastAsia="zh-CN"/>
          <w14:textFill>
            <w14:solidFill>
              <w14:schemeClr w14:val="tx1"/>
            </w14:solidFill>
          </w14:textFill>
        </w:rPr>
        <w:t>或个人</w:t>
      </w:r>
      <w:r>
        <w:rPr>
          <w:rFonts w:hint="eastAsia" w:ascii="宋体" w:hAnsi="宋体" w:eastAsia="宋体" w:cs="宋体"/>
          <w:b/>
          <w:color w:val="000000" w:themeColor="text1"/>
          <w:highlight w:val="none"/>
          <w:lang w:val="en-US" w:eastAsia="zh-CN"/>
          <w14:textFill>
            <w14:solidFill>
              <w14:schemeClr w14:val="tx1"/>
            </w14:solidFill>
          </w14:textFill>
        </w:rPr>
        <w:t>CA签章</w:t>
      </w:r>
      <w:r>
        <w:rPr>
          <w:rFonts w:hint="eastAsia" w:ascii="宋体" w:hAnsi="宋体" w:eastAsia="宋体" w:cs="宋体"/>
          <w:b/>
          <w:color w:val="000000" w:themeColor="text1"/>
          <w:highlight w:val="none"/>
          <w14:textFill>
            <w14:solidFill>
              <w14:schemeClr w14:val="tx1"/>
            </w14:solidFill>
          </w14:textFill>
        </w:rPr>
        <w:t>）</w:t>
      </w:r>
    </w:p>
    <w:p>
      <w:pPr>
        <w:rPr>
          <w:rFonts w:hint="eastAsia" w:ascii="宋体" w:hAnsi="宋体" w:eastAsia="宋体" w:cs="宋体"/>
          <w:b/>
          <w:bCs/>
          <w:color w:val="000000" w:themeColor="text1"/>
          <w:sz w:val="32"/>
          <w:szCs w:val="32"/>
          <w:highlight w:val="none"/>
          <w14:textFill>
            <w14:solidFill>
              <w14:schemeClr w14:val="tx1"/>
            </w14:solidFill>
          </w14:textFill>
        </w:rPr>
      </w:pPr>
    </w:p>
    <w:p>
      <w:pPr>
        <w:pStyle w:val="9"/>
        <w:rPr>
          <w:rFonts w:hint="eastAsia" w:ascii="宋体" w:hAnsi="宋体" w:eastAsia="宋体" w:cs="宋体"/>
          <w:color w:val="000000" w:themeColor="text1"/>
          <w:highlight w:val="none"/>
          <w14:textFill>
            <w14:solidFill>
              <w14:schemeClr w14:val="tx1"/>
            </w14:solidFill>
          </w14:textFill>
        </w:rPr>
        <w:sectPr>
          <w:headerReference r:id="rId6" w:type="default"/>
          <w:footerReference r:id="rId7" w:type="default"/>
          <w:pgSz w:w="11906" w:h="16838"/>
          <w:pgMar w:top="1440" w:right="935" w:bottom="1440" w:left="777" w:header="850" w:footer="992" w:gutter="0"/>
          <w:pgNumType w:fmt="numberInDash" w:start="1"/>
          <w:cols w:space="0" w:num="1"/>
          <w:rtlGutter w:val="0"/>
          <w:docGrid w:type="linesAndChars" w:linePitch="317" w:charSpace="0"/>
        </w:sectPr>
      </w:pPr>
    </w:p>
    <w:p>
      <w:pPr>
        <w:pStyle w:val="12"/>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3.服务(技术)响应、</w:t>
      </w:r>
      <w:r>
        <w:rPr>
          <w:rFonts w:hint="eastAsia" w:ascii="宋体" w:hAnsi="宋体" w:eastAsia="宋体" w:cs="宋体"/>
          <w:b/>
          <w:color w:val="000000" w:themeColor="text1"/>
          <w:sz w:val="28"/>
          <w:szCs w:val="28"/>
          <w:highlight w:val="none"/>
          <w14:textFill>
            <w14:solidFill>
              <w14:schemeClr w14:val="tx1"/>
            </w14:solidFill>
          </w14:textFill>
        </w:rPr>
        <w:t>商务偏离情况说明表</w:t>
      </w:r>
      <w:r>
        <w:rPr>
          <w:rFonts w:hint="eastAsia" w:ascii="宋体" w:hAnsi="宋体" w:eastAsia="宋体" w:cs="宋体"/>
          <w:b/>
          <w:color w:val="000000" w:themeColor="text1"/>
          <w:sz w:val="28"/>
          <w:szCs w:val="28"/>
          <w:highlight w:val="none"/>
          <w:lang w:eastAsia="zh-CN"/>
          <w14:textFill>
            <w14:solidFill>
              <w14:schemeClr w14:val="tx1"/>
            </w14:solidFill>
          </w14:textFill>
        </w:rPr>
        <w:t>（格式见附件）</w:t>
      </w:r>
      <w:r>
        <w:rPr>
          <w:rFonts w:hint="eastAsia" w:ascii="宋体" w:hAnsi="宋体" w:eastAsia="宋体" w:cs="宋体"/>
          <w:b/>
          <w:color w:val="000000" w:themeColor="text1"/>
          <w:sz w:val="28"/>
          <w:szCs w:val="28"/>
          <w:highlight w:val="none"/>
          <w14:textFill>
            <w14:solidFill>
              <w14:schemeClr w14:val="tx1"/>
            </w14:solidFill>
          </w14:textFill>
        </w:rPr>
        <w:t>(必须提供)；</w:t>
      </w:r>
    </w:p>
    <w:p>
      <w:pPr>
        <w:rPr>
          <w:rFonts w:hint="eastAsia" w:ascii="宋体" w:hAnsi="宋体" w:eastAsia="宋体" w:cs="宋体"/>
          <w:color w:val="000000" w:themeColor="text1"/>
          <w:highlight w:val="none"/>
          <w14:textFill>
            <w14:solidFill>
              <w14:schemeClr w14:val="tx1"/>
            </w14:solidFill>
          </w14:textFill>
        </w:rPr>
      </w:pP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pPr>
        <w:spacing w:line="5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5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tbl>
      <w:tblPr>
        <w:tblStyle w:val="20"/>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251" w:type="dxa"/>
            <w:vAlign w:val="center"/>
          </w:tcPr>
          <w:p>
            <w:pPr>
              <w:jc w:val="center"/>
              <w:rPr>
                <w:rFonts w:hint="eastAsia" w:ascii="宋体" w:hAnsi="宋体" w:eastAsia="宋体" w:cs="宋体"/>
                <w:color w:val="000000" w:themeColor="text1"/>
                <w:highlight w:val="none"/>
                <w14:textFill>
                  <w14:solidFill>
                    <w14:schemeClr w14:val="tx1"/>
                  </w14:solidFill>
                </w14:textFill>
              </w:rPr>
            </w:pPr>
            <w:bookmarkStart w:id="231" w:name="_Toc254970589"/>
            <w:bookmarkStart w:id="232" w:name="_Toc173066402"/>
            <w:bookmarkStart w:id="233" w:name="_Toc173211901"/>
            <w:bookmarkStart w:id="234" w:name="_Toc254970730"/>
            <w:r>
              <w:rPr>
                <w:rFonts w:hint="eastAsia" w:ascii="宋体" w:hAnsi="宋体" w:eastAsia="宋体" w:cs="宋体"/>
                <w:color w:val="000000" w:themeColor="text1"/>
                <w:highlight w:val="none"/>
                <w14:textFill>
                  <w14:solidFill>
                    <w14:schemeClr w14:val="tx1"/>
                  </w14:solidFill>
                </w14:textFill>
              </w:rPr>
              <w:t>竞争性磋商文件要求</w:t>
            </w:r>
            <w:bookmarkEnd w:id="231"/>
            <w:bookmarkEnd w:id="232"/>
            <w:bookmarkEnd w:id="233"/>
            <w:bookmarkEnd w:id="234"/>
          </w:p>
        </w:tc>
        <w:tc>
          <w:tcPr>
            <w:tcW w:w="3195" w:type="dxa"/>
            <w:vAlign w:val="center"/>
          </w:tcPr>
          <w:p>
            <w:pPr>
              <w:jc w:val="center"/>
              <w:rPr>
                <w:rFonts w:hint="eastAsia" w:ascii="宋体" w:hAnsi="宋体" w:eastAsia="宋体" w:cs="宋体"/>
                <w:color w:val="000000" w:themeColor="text1"/>
                <w:highlight w:val="none"/>
                <w14:textFill>
                  <w14:solidFill>
                    <w14:schemeClr w14:val="tx1"/>
                  </w14:solidFill>
                </w14:textFill>
              </w:rPr>
            </w:pPr>
            <w:bookmarkStart w:id="235" w:name="_Toc173211902"/>
            <w:bookmarkStart w:id="236" w:name="_Toc254970590"/>
            <w:bookmarkStart w:id="237" w:name="_Toc173066403"/>
            <w:bookmarkStart w:id="238" w:name="_Toc254970731"/>
            <w:r>
              <w:rPr>
                <w:rFonts w:hint="eastAsia" w:ascii="宋体" w:hAnsi="宋体" w:eastAsia="宋体" w:cs="宋体"/>
                <w:color w:val="000000" w:themeColor="text1"/>
                <w:highlight w:val="none"/>
                <w14:textFill>
                  <w14:solidFill>
                    <w14:schemeClr w14:val="tx1"/>
                  </w14:solidFill>
                </w14:textFill>
              </w:rPr>
              <w:t>竞争性磋商响应文件具体响应</w:t>
            </w:r>
            <w:bookmarkEnd w:id="235"/>
            <w:bookmarkEnd w:id="236"/>
            <w:bookmarkEnd w:id="237"/>
            <w:bookmarkEnd w:id="238"/>
          </w:p>
        </w:tc>
        <w:tc>
          <w:tcPr>
            <w:tcW w:w="1920" w:type="dxa"/>
            <w:vAlign w:val="center"/>
          </w:tcPr>
          <w:p>
            <w:pPr>
              <w:jc w:val="center"/>
              <w:rPr>
                <w:rFonts w:hint="eastAsia" w:ascii="宋体" w:hAnsi="宋体" w:eastAsia="宋体" w:cs="宋体"/>
                <w:color w:val="000000" w:themeColor="text1"/>
                <w:highlight w:val="none"/>
                <w14:textFill>
                  <w14:solidFill>
                    <w14:schemeClr w14:val="tx1"/>
                  </w14:solidFill>
                </w14:textFill>
              </w:rPr>
            </w:pPr>
            <w:bookmarkStart w:id="239" w:name="_Toc254970732"/>
            <w:bookmarkStart w:id="240" w:name="_Toc173211903"/>
            <w:bookmarkStart w:id="241" w:name="_Toc254970591"/>
            <w:bookmarkStart w:id="242" w:name="_Toc173066404"/>
            <w:r>
              <w:rPr>
                <w:rFonts w:hint="eastAsia" w:ascii="宋体" w:hAnsi="宋体" w:eastAsia="宋体" w:cs="宋体"/>
                <w:color w:val="000000" w:themeColor="text1"/>
                <w:highlight w:val="none"/>
                <w14:textFill>
                  <w14:solidFill>
                    <w14:schemeClr w14:val="tx1"/>
                  </w14:solidFill>
                </w14:textFill>
              </w:rPr>
              <w:t>响应/偏离</w:t>
            </w:r>
            <w:bookmarkEnd w:id="239"/>
            <w:bookmarkEnd w:id="240"/>
            <w:bookmarkEnd w:id="241"/>
            <w:bookmarkEnd w:id="242"/>
          </w:p>
        </w:tc>
        <w:tc>
          <w:tcPr>
            <w:tcW w:w="1920" w:type="dxa"/>
            <w:vAlign w:val="center"/>
          </w:tcPr>
          <w:p>
            <w:pPr>
              <w:jc w:val="center"/>
              <w:rPr>
                <w:rFonts w:hint="eastAsia" w:ascii="宋体" w:hAnsi="宋体" w:eastAsia="宋体" w:cs="宋体"/>
                <w:color w:val="000000" w:themeColor="text1"/>
                <w:highlight w:val="none"/>
                <w14:textFill>
                  <w14:solidFill>
                    <w14:schemeClr w14:val="tx1"/>
                  </w14:solidFill>
                </w14:textFill>
              </w:rPr>
            </w:pPr>
            <w:bookmarkStart w:id="243" w:name="_Toc173211904"/>
            <w:bookmarkStart w:id="244" w:name="_Toc173066405"/>
            <w:bookmarkStart w:id="245" w:name="_Toc254970733"/>
            <w:bookmarkStart w:id="246" w:name="_Toc254970592"/>
            <w:r>
              <w:rPr>
                <w:rFonts w:hint="eastAsia" w:ascii="宋体" w:hAnsi="宋体" w:eastAsia="宋体" w:cs="宋体"/>
                <w:color w:val="000000" w:themeColor="text1"/>
                <w:highlight w:val="none"/>
                <w14:textFill>
                  <w14:solidFill>
                    <w14:schemeClr w14:val="tx1"/>
                  </w14:solidFill>
                </w14:textFill>
              </w:rPr>
              <w:t>说明</w:t>
            </w:r>
            <w:bookmarkEnd w:id="243"/>
            <w:bookmarkEnd w:id="244"/>
            <w:bookmarkEnd w:id="245"/>
            <w:bookmarkEnd w:id="24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技术)响应、商务部分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251"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251"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251"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251"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right w:val="single" w:color="auto" w:sz="4" w:space="0"/>
            </w:tcBorders>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left w:val="single" w:color="auto" w:sz="4" w:space="0"/>
            </w:tcBorders>
            <w:vAlign w:val="center"/>
          </w:tcPr>
          <w:p>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bl>
    <w:p>
      <w:pPr>
        <w:spacing w:line="340" w:lineRule="exact"/>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40" w:lineRule="exact"/>
        <w:rPr>
          <w:rFonts w:hint="eastAsia" w:ascii="宋体" w:hAnsi="宋体" w:eastAsia="宋体" w:cs="宋体"/>
          <w:color w:val="000000" w:themeColor="text1"/>
          <w:highlight w:val="none"/>
          <w14:textFill>
            <w14:solidFill>
              <w14:schemeClr w14:val="tx1"/>
            </w14:solidFill>
          </w14:textFill>
        </w:rPr>
      </w:pPr>
    </w:p>
    <w:p>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p>
    <w:p>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pPr>
        <w:spacing w:line="400" w:lineRule="exact"/>
        <w:ind w:left="980" w:leftChars="200" w:hanging="560" w:hanging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1.“商务响应表”各项内容必须如实填写。</w:t>
      </w:r>
    </w:p>
    <w:p>
      <w:pPr>
        <w:spacing w:line="400" w:lineRule="exact"/>
        <w:ind w:firstLine="960" w:firstLineChars="4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2.当本表由多页构成时，需逐页加盖</w:t>
      </w:r>
      <w:r>
        <w:rPr>
          <w:rFonts w:hint="eastAsia" w:ascii="宋体" w:hAnsi="宋体" w:eastAsia="宋体" w:cs="宋体"/>
          <w:b/>
          <w:color w:val="000000" w:themeColor="text1"/>
          <w:sz w:val="24"/>
          <w:highlight w:val="none"/>
          <w:lang w:eastAsia="zh-CN"/>
          <w14:textFill>
            <w14:solidFill>
              <w14:schemeClr w14:val="tx1"/>
            </w14:solidFill>
          </w14:textFill>
        </w:rPr>
        <w:t>磋商供应商</w:t>
      </w:r>
      <w:r>
        <w:rPr>
          <w:rFonts w:hint="eastAsia" w:ascii="宋体" w:hAnsi="宋体" w:eastAsia="宋体" w:cs="宋体"/>
          <w:b/>
          <w:color w:val="000000" w:themeColor="text1"/>
          <w:sz w:val="24"/>
          <w:highlight w:val="none"/>
          <w14:textFill>
            <w14:solidFill>
              <w14:schemeClr w14:val="tx1"/>
            </w14:solidFill>
          </w14:textFill>
        </w:rPr>
        <w:t>公章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CA签章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（属自然人的须逐页签字</w:t>
      </w:r>
      <w:r>
        <w:rPr>
          <w:rFonts w:hint="eastAsia" w:ascii="宋体" w:hAnsi="宋体" w:eastAsia="宋体" w:cs="宋体"/>
          <w:b/>
          <w:color w:val="000000" w:themeColor="text1"/>
          <w:sz w:val="24"/>
          <w:highlight w:val="none"/>
          <w:lang w:eastAsia="zh-CN"/>
          <w14:textFill>
            <w14:solidFill>
              <w14:schemeClr w14:val="tx1"/>
            </w14:solidFill>
          </w14:textFill>
        </w:rPr>
        <w:t>或</w:t>
      </w:r>
      <w:r>
        <w:rPr>
          <w:rFonts w:hint="eastAsia" w:ascii="宋体" w:hAnsi="宋体" w:eastAsia="宋体" w:cs="宋体"/>
          <w:b/>
          <w:color w:val="000000" w:themeColor="text1"/>
          <w:sz w:val="24"/>
          <w:highlight w:val="none"/>
          <w:lang w:val="en-US" w:eastAsia="zh-CN"/>
          <w14:textFill>
            <w14:solidFill>
              <w14:schemeClr w14:val="tx1"/>
            </w14:solidFill>
          </w14:textFill>
        </w:rPr>
        <w:t>个人CA签章</w:t>
      </w:r>
      <w:r>
        <w:rPr>
          <w:rFonts w:hint="eastAsia" w:ascii="宋体" w:hAnsi="宋体" w:eastAsia="宋体" w:cs="宋体"/>
          <w:b/>
          <w:color w:val="000000" w:themeColor="text1"/>
          <w:sz w:val="24"/>
          <w:highlight w:val="none"/>
          <w14:textFill>
            <w14:solidFill>
              <w14:schemeClr w14:val="tx1"/>
            </w14:solidFill>
          </w14:textFill>
        </w:rPr>
        <w:t>）。</w:t>
      </w: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服务承诺书</w:t>
      </w:r>
      <w:r>
        <w:rPr>
          <w:rFonts w:hint="eastAsia" w:ascii="宋体" w:hAnsi="宋体" w:eastAsia="宋体" w:cs="宋体"/>
          <w:b/>
          <w:color w:val="000000" w:themeColor="text1"/>
          <w:sz w:val="28"/>
          <w:szCs w:val="28"/>
          <w:highlight w:val="none"/>
          <w14:textFill>
            <w14:solidFill>
              <w14:schemeClr w14:val="tx1"/>
            </w14:solidFill>
          </w14:textFill>
        </w:rPr>
        <w:t>（由供应商根据本项目采购需求、特点及供应商自身的处理能力自行编写，承诺书内容至少应包括“采购需求”的所有服务条款）（必须提供）；</w:t>
      </w:r>
    </w:p>
    <w:p>
      <w:pPr>
        <w:rPr>
          <w:rFonts w:hint="eastAsia" w:ascii="宋体" w:hAnsi="宋体" w:eastAsia="宋体" w:cs="宋体"/>
          <w:color w:val="000000" w:themeColor="text1"/>
          <w:highlight w:val="none"/>
          <w14:textFill>
            <w14:solidFill>
              <w14:schemeClr w14:val="tx1"/>
            </w14:solidFill>
          </w14:textFill>
        </w:rPr>
      </w:pP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pPr>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服务承诺书（格式）</w:t>
      </w: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pPr>
        <w:rPr>
          <w:rFonts w:hint="eastAsia" w:ascii="宋体" w:hAnsi="宋体" w:eastAsia="宋体" w:cs="宋体"/>
          <w:b/>
          <w:color w:val="000000" w:themeColor="text1"/>
          <w:sz w:val="32"/>
          <w:szCs w:val="32"/>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b/>
          <w:color w:val="000000" w:themeColor="text1"/>
          <w:sz w:val="32"/>
          <w:szCs w:val="32"/>
          <w:highlight w:val="none"/>
          <w14:textFill>
            <w14:solidFill>
              <w14:schemeClr w14:val="tx1"/>
            </w14:solidFill>
          </w14:textFill>
        </w:rPr>
      </w:pP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pStyle w:val="4"/>
        <w:rPr>
          <w:rFonts w:hint="eastAsia" w:ascii="宋体" w:hAnsi="宋体" w:eastAsia="宋体" w:cs="宋体"/>
          <w:color w:val="000000" w:themeColor="text1"/>
          <w:highlight w:val="none"/>
          <w14:textFill>
            <w14:solidFill>
              <w14:schemeClr w14:val="tx1"/>
            </w14:solidFill>
          </w14:textFill>
        </w:rPr>
      </w:pPr>
    </w:p>
    <w:p>
      <w:pPr>
        <w:snapToGrid w:val="0"/>
        <w:spacing w:line="400" w:lineRule="exact"/>
        <w:ind w:firstLine="1680" w:firstLineChars="8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rPr>
          <w:rFonts w:hint="eastAsia" w:ascii="宋体" w:hAnsi="宋体" w:eastAsia="宋体" w:cs="宋体"/>
          <w:b/>
          <w:bCs/>
          <w:color w:val="000000" w:themeColor="text1"/>
          <w:szCs w:val="21"/>
          <w:highlight w:val="none"/>
          <w14:textFill>
            <w14:solidFill>
              <w14:schemeClr w14:val="tx1"/>
            </w14:solidFill>
          </w14:textFill>
        </w:rPr>
      </w:pPr>
    </w:p>
    <w:p>
      <w:pPr>
        <w:pStyle w:val="24"/>
        <w:rPr>
          <w:rFonts w:hint="eastAsia" w:ascii="宋体" w:hAnsi="宋体" w:eastAsia="宋体" w:cs="宋体"/>
          <w:b/>
          <w:bCs/>
          <w:color w:val="000000" w:themeColor="text1"/>
          <w:szCs w:val="21"/>
          <w:highlight w:val="none"/>
          <w14:textFill>
            <w14:solidFill>
              <w14:schemeClr w14:val="tx1"/>
            </w14:solidFill>
          </w14:textFill>
        </w:rPr>
      </w:pPr>
    </w:p>
    <w:p>
      <w:pPr>
        <w:pStyle w:val="24"/>
        <w:rPr>
          <w:rFonts w:hint="eastAsia" w:ascii="宋体" w:hAnsi="宋体" w:eastAsia="宋体" w:cs="宋体"/>
          <w:b/>
          <w:bCs/>
          <w:color w:val="000000" w:themeColor="text1"/>
          <w:szCs w:val="21"/>
          <w:highlight w:val="none"/>
          <w14:textFill>
            <w14:solidFill>
              <w14:schemeClr w14:val="tx1"/>
            </w14:solidFill>
          </w14:textFill>
        </w:rPr>
      </w:pPr>
    </w:p>
    <w:p>
      <w:pPr>
        <w:pStyle w:val="24"/>
        <w:rPr>
          <w:rFonts w:hint="eastAsia" w:ascii="宋体" w:hAnsi="宋体" w:eastAsia="宋体" w:cs="宋体"/>
          <w:b/>
          <w:bCs/>
          <w:color w:val="000000" w:themeColor="text1"/>
          <w:szCs w:val="21"/>
          <w:highlight w:val="none"/>
          <w14:textFill>
            <w14:solidFill>
              <w14:schemeClr w14:val="tx1"/>
            </w14:solidFill>
          </w14:textFill>
        </w:rPr>
      </w:pPr>
    </w:p>
    <w:p>
      <w:pPr>
        <w:pStyle w:val="24"/>
        <w:rPr>
          <w:rFonts w:hint="eastAsia" w:ascii="宋体" w:hAnsi="宋体" w:eastAsia="宋体" w:cs="宋体"/>
          <w:b/>
          <w:bCs/>
          <w:color w:val="000000" w:themeColor="text1"/>
          <w:szCs w:val="21"/>
          <w:highlight w:val="none"/>
          <w14:textFill>
            <w14:solidFill>
              <w14:schemeClr w14:val="tx1"/>
            </w14:solidFill>
          </w14:textFill>
        </w:rPr>
      </w:pPr>
    </w:p>
    <w:p>
      <w:pPr>
        <w:pStyle w:val="24"/>
        <w:rPr>
          <w:rFonts w:hint="eastAsia" w:ascii="宋体" w:hAnsi="宋体" w:eastAsia="宋体" w:cs="宋体"/>
          <w:b/>
          <w:bCs/>
          <w:color w:val="000000" w:themeColor="text1"/>
          <w:szCs w:val="21"/>
          <w:highlight w:val="none"/>
          <w14:textFill>
            <w14:solidFill>
              <w14:schemeClr w14:val="tx1"/>
            </w14:solidFill>
          </w14:textFill>
        </w:rPr>
      </w:pPr>
    </w:p>
    <w:p>
      <w:pPr>
        <w:pStyle w:val="24"/>
        <w:rPr>
          <w:rFonts w:hint="eastAsia" w:ascii="宋体" w:hAnsi="宋体" w:eastAsia="宋体" w:cs="宋体"/>
          <w:b/>
          <w:bCs/>
          <w:color w:val="000000" w:themeColor="text1"/>
          <w:szCs w:val="21"/>
          <w:highlight w:val="none"/>
          <w14:textFill>
            <w14:solidFill>
              <w14:schemeClr w14:val="tx1"/>
            </w14:solidFill>
          </w14:textFill>
        </w:rPr>
      </w:pPr>
    </w:p>
    <w:p>
      <w:pPr>
        <w:pStyle w:val="24"/>
        <w:rPr>
          <w:rFonts w:hint="eastAsia" w:ascii="宋体" w:hAnsi="宋体" w:eastAsia="宋体" w:cs="宋体"/>
          <w:b/>
          <w:bCs/>
          <w:color w:val="000000" w:themeColor="text1"/>
          <w:szCs w:val="21"/>
          <w:highlight w:val="none"/>
          <w14:textFill>
            <w14:solidFill>
              <w14:schemeClr w14:val="tx1"/>
            </w14:solidFill>
          </w14:textFill>
        </w:rPr>
      </w:pPr>
    </w:p>
    <w:p>
      <w:pPr>
        <w:pStyle w:val="24"/>
        <w:rPr>
          <w:rFonts w:hint="eastAsia" w:ascii="宋体" w:hAnsi="宋体" w:eastAsia="宋体" w:cs="宋体"/>
          <w:b/>
          <w:bCs/>
          <w:color w:val="000000" w:themeColor="text1"/>
          <w:szCs w:val="21"/>
          <w:highlight w:val="none"/>
          <w14:textFill>
            <w14:solidFill>
              <w14:schemeClr w14:val="tx1"/>
            </w14:solidFill>
          </w14:textFill>
        </w:rPr>
      </w:pPr>
    </w:p>
    <w:p>
      <w:pPr>
        <w:pStyle w:val="24"/>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5.“采购需求”需提供的有效证明文件（按其</w:t>
      </w:r>
      <w:r>
        <w:rPr>
          <w:rFonts w:hint="eastAsia" w:ascii="宋体" w:hAnsi="宋体" w:cs="宋体"/>
          <w:b/>
          <w:color w:val="000000" w:themeColor="text1"/>
          <w:kern w:val="2"/>
          <w:sz w:val="28"/>
          <w:szCs w:val="28"/>
          <w:highlight w:val="none"/>
          <w:lang w:val="en-US" w:eastAsia="zh-CN" w:bidi="ar-SA"/>
          <w14:textFill>
            <w14:solidFill>
              <w14:schemeClr w14:val="tx1"/>
            </w14:solidFill>
          </w14:textFill>
        </w:rPr>
        <w:t>要求</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提供）</w:t>
      </w:r>
      <w:r>
        <w:rPr>
          <w:rFonts w:hint="eastAsia" w:ascii="宋体" w:hAnsi="宋体" w:cs="宋体"/>
          <w:b/>
          <w:color w:val="000000" w:themeColor="text1"/>
          <w:kern w:val="2"/>
          <w:sz w:val="28"/>
          <w:szCs w:val="28"/>
          <w:highlight w:val="none"/>
          <w:lang w:val="en-US" w:eastAsia="zh-CN" w:bidi="ar-SA"/>
          <w14:textFill>
            <w14:solidFill>
              <w14:schemeClr w14:val="tx1"/>
            </w14:solidFill>
          </w14:textFill>
        </w:rPr>
        <w:t>；</w:t>
      </w:r>
    </w:p>
    <w:p>
      <w:pPr>
        <w:pStyle w:val="2"/>
        <w:rPr>
          <w:rFonts w:hint="eastAsia" w:ascii="宋体" w:hAnsi="宋体" w:eastAsia="宋体" w:cs="宋体"/>
          <w:b/>
          <w:bCs/>
          <w:color w:val="000000" w:themeColor="text1"/>
          <w:szCs w:val="2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12"/>
        <w:numPr>
          <w:ilvl w:val="0"/>
          <w:numId w:val="0"/>
        </w:numPr>
        <w:spacing w:line="340" w:lineRule="exact"/>
        <w:ind w:left="0" w:firstLine="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针对本项目的</w:t>
      </w:r>
      <w:r>
        <w:rPr>
          <w:rFonts w:hint="eastAsia" w:ascii="宋体" w:hAnsi="宋体" w:eastAsia="宋体" w:cs="宋体"/>
          <w:b/>
          <w:color w:val="000000" w:themeColor="text1"/>
          <w:sz w:val="28"/>
          <w:szCs w:val="28"/>
          <w:highlight w:val="none"/>
          <w:lang w:eastAsia="zh-CN"/>
          <w14:textFill>
            <w14:solidFill>
              <w14:schemeClr w14:val="tx1"/>
            </w14:solidFill>
          </w14:textFill>
        </w:rPr>
        <w:t>服务</w:t>
      </w:r>
      <w:r>
        <w:rPr>
          <w:rFonts w:hint="eastAsia" w:ascii="宋体" w:hAnsi="宋体" w:eastAsia="宋体" w:cs="宋体"/>
          <w:b/>
          <w:color w:val="000000" w:themeColor="text1"/>
          <w:sz w:val="28"/>
          <w:szCs w:val="28"/>
          <w:highlight w:val="none"/>
          <w14:textFill>
            <w14:solidFill>
              <w14:schemeClr w14:val="tx1"/>
            </w14:solidFill>
          </w14:textFill>
        </w:rPr>
        <w:t>方案（</w:t>
      </w:r>
      <w:r>
        <w:rPr>
          <w:rFonts w:hint="eastAsia" w:ascii="宋体" w:hAnsi="宋体" w:eastAsia="宋体" w:cs="宋体"/>
          <w:b/>
          <w:color w:val="000000" w:themeColor="text1"/>
          <w:sz w:val="28"/>
          <w:szCs w:val="28"/>
          <w:highlight w:val="none"/>
          <w:lang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pPr>
        <w:rPr>
          <w:rFonts w:hint="eastAsia" w:ascii="宋体" w:hAnsi="宋体" w:eastAsia="宋体" w:cs="宋体"/>
          <w:color w:val="000000" w:themeColor="text1"/>
          <w:highlight w:val="none"/>
          <w14:textFill>
            <w14:solidFill>
              <w14:schemeClr w14:val="tx1"/>
            </w14:solidFill>
          </w14:textFill>
        </w:rPr>
      </w:pP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pPr>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服务</w:t>
      </w:r>
      <w:r>
        <w:rPr>
          <w:rFonts w:hint="eastAsia" w:ascii="宋体" w:hAnsi="宋体" w:eastAsia="宋体" w:cs="宋体"/>
          <w:b/>
          <w:color w:val="000000" w:themeColor="text1"/>
          <w:sz w:val="32"/>
          <w:szCs w:val="32"/>
          <w:highlight w:val="none"/>
          <w14:textFill>
            <w14:solidFill>
              <w14:schemeClr w14:val="tx1"/>
            </w14:solidFill>
          </w14:textFill>
        </w:rPr>
        <w:t>方案 （格式）</w:t>
      </w:r>
    </w:p>
    <w:p>
      <w:pPr>
        <w:rPr>
          <w:rFonts w:hint="eastAsia" w:ascii="宋体" w:hAnsi="宋体" w:eastAsia="宋体" w:cs="宋体"/>
          <w:b/>
          <w:color w:val="000000" w:themeColor="text1"/>
          <w:sz w:val="32"/>
          <w:szCs w:val="32"/>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r>
        <w:rPr>
          <w:rFonts w:hint="eastAsia" w:ascii="宋体" w:hAnsi="宋体" w:eastAsia="宋体" w:cs="宋体"/>
          <w:b/>
          <w:color w:val="000000" w:themeColor="text1"/>
          <w:kern w:val="0"/>
          <w:sz w:val="28"/>
          <w:szCs w:val="28"/>
          <w:highlight w:val="none"/>
          <w:lang w:bidi="ar"/>
          <w14:textFill>
            <w14:solidFill>
              <w14:schemeClr w14:val="tx1"/>
            </w14:solidFill>
          </w14:textFill>
        </w:rPr>
        <w:t>（根据采购需求自行编制）</w:t>
      </w:r>
    </w:p>
    <w:p>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pPr>
        <w:widowControl/>
        <w:ind w:firstLine="1470" w:firstLineChars="7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pStyle w:val="12"/>
        <w:spacing w:line="300" w:lineRule="exact"/>
        <w:ind w:left="2940" w:leftChars="1400" w:firstLine="630" w:firstLineChars="300"/>
        <w:rPr>
          <w:rFonts w:hint="eastAsia" w:ascii="宋体" w:hAnsi="宋体" w:eastAsia="宋体" w:cs="宋体"/>
          <w:color w:val="000000" w:themeColor="text1"/>
          <w:highlight w:val="none"/>
          <w14:textFill>
            <w14:solidFill>
              <w14:schemeClr w14:val="tx1"/>
            </w14:solidFill>
          </w14:textFill>
        </w:rPr>
      </w:pPr>
    </w:p>
    <w:p>
      <w:pPr>
        <w:pStyle w:val="12"/>
        <w:spacing w:line="300" w:lineRule="exact"/>
        <w:ind w:firstLine="4620" w:firstLineChars="165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p>
    <w:p>
      <w:pPr>
        <w:pStyle w:val="12"/>
        <w:spacing w:line="300" w:lineRule="exact"/>
        <w:rPr>
          <w:rFonts w:hint="eastAsia" w:ascii="宋体" w:hAnsi="宋体" w:eastAsia="宋体" w:cs="宋体"/>
          <w:b/>
          <w:color w:val="000000" w:themeColor="text1"/>
          <w:sz w:val="28"/>
          <w:szCs w:val="28"/>
          <w:highlight w:val="none"/>
          <w14:textFill>
            <w14:solidFill>
              <w14:schemeClr w14:val="tx1"/>
            </w14:solidFill>
          </w14:textFill>
        </w:rPr>
      </w:pPr>
    </w:p>
    <w:p>
      <w:pPr>
        <w:snapToGrid w:val="0"/>
        <w:spacing w:line="300" w:lineRule="exact"/>
        <w:ind w:firstLine="4830" w:firstLineChars="23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00" w:lineRule="exact"/>
        <w:ind w:firstLine="3570" w:firstLineChars="1700"/>
        <w:rPr>
          <w:rFonts w:hint="eastAsia" w:ascii="宋体" w:hAnsi="宋体" w:eastAsia="宋体" w:cs="宋体"/>
          <w:color w:val="000000" w:themeColor="text1"/>
          <w:highlight w:val="none"/>
          <w:u w:val="single"/>
          <w14:textFill>
            <w14:solidFill>
              <w14:schemeClr w14:val="tx1"/>
            </w14:solidFill>
          </w14:textFill>
        </w:rPr>
      </w:pPr>
    </w:p>
    <w:p>
      <w:pPr>
        <w:pStyle w:val="2"/>
        <w:rPr>
          <w:rFonts w:hint="eastAsia" w:ascii="宋体" w:hAnsi="宋体" w:eastAsia="宋体" w:cs="宋体"/>
          <w:color w:val="000000" w:themeColor="text1"/>
          <w:highlight w:val="none"/>
          <w:u w:val="single"/>
          <w14:textFill>
            <w14:solidFill>
              <w14:schemeClr w14:val="tx1"/>
            </w14:solidFill>
          </w14:textFill>
        </w:rPr>
      </w:pPr>
    </w:p>
    <w:p>
      <w:pPr>
        <w:pStyle w:val="2"/>
        <w:rPr>
          <w:rFonts w:hint="eastAsia" w:ascii="宋体" w:hAnsi="宋体" w:eastAsia="宋体" w:cs="宋体"/>
          <w:color w:val="000000" w:themeColor="text1"/>
          <w:highlight w:val="none"/>
          <w:u w:val="singl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pStyle w:val="2"/>
        <w:rPr>
          <w:rFonts w:hint="eastAsia" w:ascii="宋体" w:hAnsi="宋体" w:eastAsia="宋体" w:cs="宋体"/>
          <w:b/>
          <w:bCs/>
          <w:color w:val="000000" w:themeColor="text1"/>
          <w:szCs w:val="2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pPr>
        <w:pStyle w:val="6"/>
        <w:numPr>
          <w:ilvl w:val="0"/>
          <w:numId w:val="0"/>
        </w:numPr>
        <w:jc w:val="cente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247" w:name="_Toc9339"/>
      <w:bookmarkStart w:id="248" w:name="_Toc28672"/>
      <w:bookmarkStart w:id="249" w:name="_Toc497927084"/>
      <w:r>
        <w:rPr>
          <w:rFonts w:hint="eastAsia" w:ascii="宋体" w:hAnsi="宋体" w:eastAsia="宋体" w:cs="宋体"/>
          <w:color w:val="000000" w:themeColor="text1"/>
          <w:sz w:val="32"/>
          <w:szCs w:val="32"/>
          <w:highlight w:val="none"/>
          <w:lang w:eastAsia="zh-CN"/>
          <w14:textFill>
            <w14:solidFill>
              <w14:schemeClr w14:val="tx1"/>
            </w14:solidFill>
          </w14:textFill>
        </w:rPr>
        <w:t>（三）其他有效证明材料目录</w:t>
      </w:r>
      <w:bookmarkEnd w:id="247"/>
      <w:bookmarkEnd w:id="248"/>
      <w:bookmarkEnd w:id="249"/>
    </w:p>
    <w:p>
      <w:pPr>
        <w:spacing w:line="360" w:lineRule="auto"/>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项目实施人员一览表</w:t>
      </w:r>
      <w:r>
        <w:rPr>
          <w:rFonts w:hint="eastAsia" w:ascii="宋体" w:hAnsi="宋体" w:eastAsia="宋体" w:cs="宋体"/>
          <w:b w:val="0"/>
          <w:bCs w:val="0"/>
          <w:color w:val="000000" w:themeColor="text1"/>
          <w:sz w:val="24"/>
          <w:highlight w:val="none"/>
          <w14:textFill>
            <w14:solidFill>
              <w14:schemeClr w14:val="tx1"/>
            </w14:solidFill>
          </w14:textFill>
        </w:rPr>
        <w:t>（格式见附件）</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cs="宋体"/>
          <w:b/>
          <w:bCs/>
          <w:color w:val="000000" w:themeColor="text1"/>
          <w:sz w:val="24"/>
          <w:highlight w:val="none"/>
          <w:lang w:eastAsia="zh-CN"/>
          <w14:textFill>
            <w14:solidFill>
              <w14:schemeClr w14:val="tx1"/>
            </w14:solidFill>
          </w14:textFill>
        </w:rPr>
        <w:t>；</w:t>
      </w:r>
    </w:p>
    <w:p>
      <w:pPr>
        <w:numPr>
          <w:ilvl w:val="0"/>
          <w:numId w:val="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1月1日</w:t>
      </w:r>
      <w:r>
        <w:rPr>
          <w:rFonts w:hint="eastAsia" w:ascii="宋体" w:hAnsi="宋体" w:eastAsia="宋体" w:cs="宋体"/>
          <w:color w:val="000000" w:themeColor="text1"/>
          <w:sz w:val="24"/>
          <w:highlight w:val="none"/>
          <w14:textFill>
            <w14:solidFill>
              <w14:schemeClr w14:val="tx1"/>
            </w14:solidFill>
          </w14:textFill>
        </w:rPr>
        <w:t>以来具有同类</w:t>
      </w:r>
      <w:r>
        <w:rPr>
          <w:rFonts w:hint="eastAsia" w:ascii="宋体" w:hAnsi="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业绩相关证明材料（以</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、成交通知书或签订的合同为准，并能清晰反映</w:t>
      </w:r>
      <w:r>
        <w:rPr>
          <w:rFonts w:hint="eastAsia" w:ascii="宋体" w:hAnsi="宋体" w:eastAsia="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的名称、</w:t>
      </w:r>
      <w:r>
        <w:rPr>
          <w:rFonts w:hint="eastAsia" w:ascii="宋体" w:hAnsi="宋体" w:eastAsia="宋体" w:cs="宋体"/>
          <w:color w:val="000000" w:themeColor="text1"/>
          <w:sz w:val="24"/>
          <w:highlight w:val="none"/>
          <w:lang w:eastAsia="zh-CN"/>
          <w14:textFill>
            <w14:solidFill>
              <w14:schemeClr w14:val="tx1"/>
            </w14:solidFill>
          </w14:textFill>
        </w:rPr>
        <w:t>采购内容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金额</w:t>
      </w:r>
      <w:r>
        <w:rPr>
          <w:rFonts w:hint="eastAsia" w:ascii="宋体" w:hAnsi="宋体" w:eastAsia="宋体" w:cs="宋体"/>
          <w:color w:val="000000" w:themeColor="text1"/>
          <w:sz w:val="24"/>
          <w:highlight w:val="none"/>
          <w:lang w:eastAsia="zh-CN"/>
          <w14:textFill>
            <w14:solidFill>
              <w14:schemeClr w14:val="tx1"/>
            </w14:solidFill>
          </w14:textFill>
        </w:rPr>
        <w:t>、采购时间</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（如有，请提供）；</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.供应商可结合本项目的评审办法视自身情况自行提交其它相关证明材料。</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4"/>
        <w:rPr>
          <w:rFonts w:hint="eastAsia" w:ascii="宋体" w:hAnsi="宋体" w:eastAsia="宋体" w:cs="宋体"/>
          <w:b/>
          <w:bCs/>
          <w:color w:val="000000" w:themeColor="text1"/>
          <w:sz w:val="24"/>
          <w:highlight w:val="none"/>
          <w14:textFill>
            <w14:solidFill>
              <w14:schemeClr w14:val="tx1"/>
            </w14:solidFill>
          </w14:textFill>
        </w:rPr>
      </w:pPr>
    </w:p>
    <w:p>
      <w:pPr>
        <w:pStyle w:val="2"/>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pPr>
        <w:rPr>
          <w:rFonts w:hint="eastAsia" w:hAnsi="宋体" w:cs="宋体"/>
          <w:b/>
          <w:color w:val="000000" w:themeColor="text1"/>
          <w:kern w:val="2"/>
          <w:sz w:val="28"/>
          <w:szCs w:val="28"/>
          <w:highlight w:val="none"/>
          <w:lang w:val="en-US" w:eastAsia="zh-CN" w:bidi="ar-SA"/>
          <w14:textFill>
            <w14:solidFill>
              <w14:schemeClr w14:val="tx1"/>
            </w14:solidFill>
          </w14:textFill>
        </w:rPr>
      </w:pPr>
      <w:r>
        <w:rPr>
          <w:rFonts w:hint="eastAsia" w:hAnsi="宋体" w:cs="宋体"/>
          <w:b/>
          <w:color w:val="000000" w:themeColor="text1"/>
          <w:kern w:val="2"/>
          <w:sz w:val="28"/>
          <w:szCs w:val="28"/>
          <w:highlight w:val="none"/>
          <w:lang w:val="en-US" w:eastAsia="zh-CN" w:bidi="ar-SA"/>
          <w14:textFill>
            <w14:solidFill>
              <w14:schemeClr w14:val="tx1"/>
            </w14:solidFill>
          </w14:textFill>
        </w:rPr>
        <w:br w:type="page"/>
      </w:r>
    </w:p>
    <w:p>
      <w:pPr>
        <w:pStyle w:val="12"/>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hAnsi="宋体" w:cs="宋体"/>
          <w:b/>
          <w:color w:val="000000" w:themeColor="text1"/>
          <w:kern w:val="2"/>
          <w:sz w:val="28"/>
          <w:szCs w:val="28"/>
          <w:highlight w:val="none"/>
          <w:lang w:val="en-US" w:eastAsia="zh-CN" w:bidi="ar-SA"/>
          <w14:textFill>
            <w14:solidFill>
              <w14:schemeClr w14:val="tx1"/>
            </w14:solidFill>
          </w14:textFill>
        </w:rPr>
        <w:t>1.</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 xml:space="preserve">项目实施人员一览表 </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p>
    <w:p>
      <w:pPr>
        <w:pStyle w:val="12"/>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pPr>
        <w:pStyle w:val="12"/>
        <w:ind w:firstLine="470" w:firstLineChars="147"/>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项目实施人员一览表（格式）</w:t>
      </w:r>
    </w:p>
    <w:tbl>
      <w:tblPr>
        <w:tblStyle w:val="20"/>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50" w:type="dxa"/>
            <w:vAlign w:val="center"/>
          </w:tcPr>
          <w:p>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1665" w:type="dxa"/>
            <w:vAlign w:val="center"/>
          </w:tcPr>
          <w:p>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专业技术资格</w:t>
            </w:r>
          </w:p>
        </w:tc>
        <w:tc>
          <w:tcPr>
            <w:tcW w:w="1200" w:type="dxa"/>
            <w:vAlign w:val="center"/>
          </w:tcPr>
          <w:p>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证书编号</w:t>
            </w:r>
          </w:p>
        </w:tc>
        <w:tc>
          <w:tcPr>
            <w:tcW w:w="2550" w:type="dxa"/>
            <w:vAlign w:val="center"/>
          </w:tcPr>
          <w:p>
            <w:pPr>
              <w:spacing w:line="400" w:lineRule="exact"/>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参加本单位工作时间</w:t>
            </w:r>
          </w:p>
        </w:tc>
        <w:tc>
          <w:tcPr>
            <w:tcW w:w="2610" w:type="dxa"/>
            <w:vAlign w:val="center"/>
          </w:tcPr>
          <w:p>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bl>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pStyle w:val="4"/>
        <w:rPr>
          <w:rFonts w:hint="eastAsia" w:ascii="宋体" w:hAnsi="宋体" w:eastAsia="宋体" w:cs="宋体"/>
          <w:color w:val="000000" w:themeColor="text1"/>
          <w:highlight w:val="none"/>
          <w14:textFill>
            <w14:solidFill>
              <w14:schemeClr w14:val="tx1"/>
            </w14:solidFill>
          </w14:textFill>
        </w:rPr>
      </w:pPr>
    </w:p>
    <w:p>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2"/>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注：供应商根据自身情况结合本项目自行制定</w:t>
      </w:r>
    </w:p>
    <w:p>
      <w:pPr>
        <w:pStyle w:val="12"/>
        <w:spacing w:line="340" w:lineRule="exact"/>
        <w:rPr>
          <w:rFonts w:hint="eastAsia" w:ascii="宋体" w:hAnsi="宋体" w:eastAsia="宋体" w:cs="宋体"/>
          <w:b/>
          <w:bCs w:val="0"/>
          <w:color w:val="000000" w:themeColor="text1"/>
          <w:sz w:val="28"/>
          <w:szCs w:val="28"/>
          <w:highlight w:val="none"/>
          <w14:textFill>
            <w14:solidFill>
              <w14:schemeClr w14:val="tx1"/>
            </w14:solidFill>
          </w14:textFill>
        </w:rPr>
      </w:pPr>
    </w:p>
    <w:p>
      <w:pPr>
        <w:pStyle w:val="7"/>
        <w:rPr>
          <w:rFonts w:hint="eastAsia"/>
          <w:color w:val="000000" w:themeColor="text1"/>
          <w:highlight w:val="none"/>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pPr>
        <w:pStyle w:val="2"/>
        <w:rPr>
          <w:rFonts w:hint="eastAsia" w:ascii="宋体" w:hAnsi="宋体" w:eastAsia="宋体" w:cs="宋体"/>
          <w:b/>
          <w:bCs w:val="0"/>
          <w:color w:val="000000" w:themeColor="text1"/>
          <w:highlight w:val="none"/>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bookmarkStart w:id="250" w:name="_Toc3052"/>
      <w:bookmarkStart w:id="251" w:name="_Toc497927090"/>
      <w:bookmarkStart w:id="252" w:name="_Toc10161"/>
    </w:p>
    <w:p>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w:t>
      </w:r>
      <w:r>
        <w:rPr>
          <w:rFonts w:hint="eastAsia" w:hAnsi="宋体" w:cs="宋体"/>
          <w:b/>
          <w:bCs w:val="0"/>
          <w:color w:val="000000" w:themeColor="text1"/>
          <w:sz w:val="28"/>
          <w:szCs w:val="28"/>
          <w:highlight w:val="none"/>
          <w:lang w:eastAsia="zh-CN"/>
          <w14:textFill>
            <w14:solidFill>
              <w14:schemeClr w14:val="tx1"/>
            </w14:solidFill>
          </w14:textFill>
        </w:rPr>
        <w:t>202</w:t>
      </w:r>
      <w:r>
        <w:rPr>
          <w:rFonts w:hint="eastAsia" w:hAnsi="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14:textFill>
            <w14:solidFill>
              <w14:schemeClr w14:val="tx1"/>
            </w14:solidFill>
          </w14:textFill>
        </w:rPr>
        <w:t>年</w:t>
      </w:r>
      <w:r>
        <w:rPr>
          <w:rFonts w:hint="eastAsia" w:hAnsi="宋体" w:cs="宋体"/>
          <w:b/>
          <w:bCs w:val="0"/>
          <w:color w:val="000000" w:themeColor="text1"/>
          <w:sz w:val="28"/>
          <w:szCs w:val="28"/>
          <w:highlight w:val="none"/>
          <w:lang w:val="en-US" w:eastAsia="zh-CN"/>
          <w14:textFill>
            <w14:solidFill>
              <w14:schemeClr w14:val="tx1"/>
            </w14:solidFill>
          </w14:textFill>
        </w:rPr>
        <w:t>1月1日</w:t>
      </w:r>
      <w:r>
        <w:rPr>
          <w:rFonts w:hint="eastAsia" w:ascii="宋体" w:hAnsi="宋体" w:eastAsia="宋体" w:cs="宋体"/>
          <w:b/>
          <w:bCs w:val="0"/>
          <w:color w:val="000000" w:themeColor="text1"/>
          <w:sz w:val="28"/>
          <w:szCs w:val="28"/>
          <w:highlight w:val="none"/>
          <w14:textFill>
            <w14:solidFill>
              <w14:schemeClr w14:val="tx1"/>
            </w14:solidFill>
          </w14:textFill>
        </w:rPr>
        <w:t>以来具有同类</w:t>
      </w:r>
      <w:r>
        <w:rPr>
          <w:rFonts w:hint="eastAsia" w:hAnsi="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业绩相关证明材料（以</w:t>
      </w:r>
      <w:r>
        <w:rPr>
          <w:rFonts w:hint="eastAsia" w:hAnsi="宋体" w:cs="宋体"/>
          <w:b/>
          <w:bCs w:val="0"/>
          <w:color w:val="000000" w:themeColor="text1"/>
          <w:sz w:val="28"/>
          <w:szCs w:val="28"/>
          <w:highlight w:val="none"/>
          <w:lang w:eastAsia="zh-CN"/>
          <w14:textFill>
            <w14:solidFill>
              <w14:schemeClr w14:val="tx1"/>
            </w14:solidFill>
          </w14:textFill>
        </w:rPr>
        <w:t>中标</w:t>
      </w:r>
      <w:r>
        <w:rPr>
          <w:rFonts w:hint="eastAsia" w:ascii="宋体" w:hAnsi="宋体" w:eastAsia="宋体" w:cs="宋体"/>
          <w:b/>
          <w:bCs w:val="0"/>
          <w:color w:val="000000" w:themeColor="text1"/>
          <w:sz w:val="28"/>
          <w:szCs w:val="28"/>
          <w:highlight w:val="none"/>
          <w14:textFill>
            <w14:solidFill>
              <w14:schemeClr w14:val="tx1"/>
            </w14:solidFill>
          </w14:textFill>
        </w:rPr>
        <w:t>、成交通知书或签订的合同为准，并能清晰反映</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的名称、</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采购内容</w:t>
      </w:r>
      <w:r>
        <w:rPr>
          <w:rFonts w:hint="eastAsia" w:ascii="宋体" w:hAnsi="宋体" w:eastAsia="宋体" w:cs="宋体"/>
          <w:b/>
          <w:bCs w:val="0"/>
          <w:color w:val="000000" w:themeColor="text1"/>
          <w:sz w:val="28"/>
          <w:szCs w:val="28"/>
          <w:highlight w:val="none"/>
          <w14:textFill>
            <w14:solidFill>
              <w14:schemeClr w14:val="tx1"/>
            </w14:solidFill>
          </w14:textFill>
        </w:rPr>
        <w:t>、</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w:t>
      </w:r>
      <w:r>
        <w:rPr>
          <w:rFonts w:hint="eastAsia" w:ascii="宋体" w:hAnsi="宋体" w:eastAsia="宋体" w:cs="宋体"/>
          <w:b/>
          <w:bCs w:val="0"/>
          <w:color w:val="000000" w:themeColor="text1"/>
          <w:sz w:val="28"/>
          <w:szCs w:val="28"/>
          <w:highlight w:val="none"/>
          <w14:textFill>
            <w14:solidFill>
              <w14:schemeClr w14:val="tx1"/>
            </w14:solidFill>
          </w14:textFill>
        </w:rPr>
        <w:t>金额</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、采购时间</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bookmarkEnd w:id="250"/>
      <w:bookmarkEnd w:id="251"/>
      <w:bookmarkEnd w:id="252"/>
    </w:p>
    <w:p>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pStyle w:val="24"/>
        <w:rPr>
          <w:rFonts w:hint="eastAsia" w:ascii="宋体" w:hAnsi="宋体" w:eastAsia="宋体" w:cs="宋体"/>
          <w:b/>
          <w:bCs w:val="0"/>
          <w:color w:val="000000" w:themeColor="text1"/>
          <w:sz w:val="28"/>
          <w:szCs w:val="28"/>
          <w:highlight w:val="none"/>
          <w14:textFill>
            <w14:solidFill>
              <w14:schemeClr w14:val="tx1"/>
            </w14:solidFill>
          </w14:textFill>
        </w:rPr>
      </w:pPr>
    </w:p>
    <w:p>
      <w:pPr>
        <w:pStyle w:val="12"/>
        <w:numPr>
          <w:ilvl w:val="0"/>
          <w:numId w:val="0"/>
        </w:numPr>
        <w:spacing w:line="340" w:lineRule="exact"/>
        <w:ind w:leftChars="0"/>
        <w:rPr>
          <w:rFonts w:hint="eastAsia" w:ascii="宋体" w:hAnsi="宋体" w:eastAsia="宋体" w:cs="宋体"/>
          <w:color w:val="000000" w:themeColor="text1"/>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供应商可结合本项目的评审办法视自身情况自行提交其它相关证明材料。</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pPr>
        <w:rPr>
          <w:rFonts w:hint="eastAsia" w:ascii="宋体" w:hAnsi="宋体" w:eastAsia="宋体" w:cs="宋体"/>
          <w:color w:val="000000" w:themeColor="text1"/>
          <w:highlight w:val="none"/>
          <w14:textFill>
            <w14:solidFill>
              <w14:schemeClr w14:val="tx1"/>
            </w14:solidFill>
          </w14:textFill>
        </w:rPr>
      </w:pPr>
    </w:p>
    <w:sectPr>
      <w:pgSz w:w="11906" w:h="16838"/>
      <w:pgMar w:top="1440" w:right="935" w:bottom="1440" w:left="777" w:header="850" w:footer="992" w:gutter="0"/>
      <w:pgNumType w:fmt="numberInDash"/>
      <w:cols w:space="0" w:num="1"/>
      <w:rtlGutter w:val="0"/>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pPr>
      <w:pStyle w:val="13"/>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pPr>
      <w:pStyle w:val="13"/>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- 3 -</w:t>
                    </w:r>
                    <w:r>
                      <w:fldChar w:fldCharType="end"/>
                    </w:r>
                  </w:p>
                </w:txbxContent>
              </v:textbox>
            </v:shape>
          </w:pict>
        </mc:Fallback>
      </mc:AlternateContent>
    </w:r>
  </w:p>
  <w:p>
    <w:pPr>
      <w:pStyle w:val="13"/>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eastAsia" w:eastAsia="宋体"/>
        <w:color w:val="auto"/>
        <w:highlight w:val="none"/>
        <w:lang w:eastAsia="zh-CN"/>
      </w:rPr>
    </w:pPr>
    <w:r>
      <w:rPr>
        <w:rFonts w:hint="eastAsia" w:ascii="宋体" w:hAnsi="宋体" w:cs="宋体"/>
        <w:color w:val="auto"/>
        <w:sz w:val="18"/>
        <w:szCs w:val="18"/>
        <w:highlight w:val="none"/>
        <w:lang w:eastAsia="zh-CN"/>
      </w:rPr>
      <w:t>资源县红色文化培训中心物业服务项目</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fldChar w:fldCharType="begin"/>
    </w:r>
    <w:r>
      <w:rPr>
        <w:rFonts w:hint="eastAsia" w:ascii="宋体" w:hAnsi="宋体" w:cs="宋体"/>
        <w:color w:val="auto"/>
        <w:sz w:val="18"/>
        <w:szCs w:val="18"/>
        <w:highlight w:val="none"/>
        <w:lang w:val="en-US" w:eastAsia="zh-CN"/>
      </w:rPr>
      <w:instrText xml:space="preserve"> HYPERLINK "https://www.gcy.zfcg.gxzf.gov.cn/gaea/api/project/flow/redirect?projectId=7193897311482150918&amp;newUrl=https://www.gcy.zfcg.gxzf.gov.cn/flow-project-center/_procurement_/blank/project-flow?_flow_type_=agency&amp;_flow_projectId_=7193897311482150918&amp;oldUrl=https://www.gcy.zfcg.gxzf.gov.cn/project-center/_procurement_/project-result-detail/7193897311482150918&amp;utm=web-project-center-front.42c12ca3.0.0.dfb1722091ae11efa79915b496dc64c3" \t "https://www.gcy.zfcg.gxzf.gov.cn/project-center/_procurement_/self-project/_blank" </w:instrText>
    </w:r>
    <w:r>
      <w:rPr>
        <w:rFonts w:hint="eastAsia" w:ascii="宋体" w:hAnsi="宋体" w:cs="宋体"/>
        <w:color w:val="auto"/>
        <w:sz w:val="18"/>
        <w:szCs w:val="18"/>
        <w:highlight w:val="none"/>
        <w:lang w:val="en-US" w:eastAsia="zh-CN"/>
      </w:rPr>
      <w:fldChar w:fldCharType="separate"/>
    </w:r>
    <w:r>
      <w:rPr>
        <w:rFonts w:hint="eastAsia" w:ascii="宋体" w:hAnsi="宋体" w:cs="宋体"/>
        <w:color w:val="auto"/>
        <w:sz w:val="18"/>
        <w:szCs w:val="18"/>
        <w:highlight w:val="none"/>
        <w:lang w:val="en-US" w:eastAsia="zh-CN"/>
      </w:rPr>
      <w:t>GLZC2024-C3-290264-GLSZ</w:t>
    </w:r>
    <w:r>
      <w:rPr>
        <w:rFonts w:hint="eastAsia" w:ascii="宋体" w:hAnsi="宋体" w:cs="宋体"/>
        <w:color w:val="auto"/>
        <w:sz w:val="18"/>
        <w:szCs w:val="18"/>
        <w:highlight w:val="none"/>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ascii="宋体" w:hAnsi="宋体" w:cs="宋体"/>
        <w:color w:val="auto"/>
        <w:sz w:val="18"/>
        <w:szCs w:val="18"/>
        <w:highlight w:val="none"/>
        <w:lang w:eastAsia="zh-CN"/>
      </w:rPr>
      <w:t>资源县红色文化培训中心物业服务项目</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lang w:eastAsia="zh-CN"/>
      </w:rPr>
      <w:t>GLZC2024-C3-290264-GLSZ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F8DB3558"/>
    <w:multiLevelType w:val="singleLevel"/>
    <w:tmpl w:val="F8DB3558"/>
    <w:lvl w:ilvl="0" w:tentative="0">
      <w:start w:val="1"/>
      <w:numFmt w:val="decimal"/>
      <w:suff w:val="nothing"/>
      <w:lvlText w:val="（%1）"/>
      <w:lvlJc w:val="left"/>
      <w:rPr>
        <w:rFonts w:hint="default"/>
        <w:b w:val="0"/>
        <w:bCs w:val="0"/>
      </w:rPr>
    </w:lvl>
  </w:abstractNum>
  <w:abstractNum w:abstractNumId="3">
    <w:nsid w:val="008C45D8"/>
    <w:multiLevelType w:val="singleLevel"/>
    <w:tmpl w:val="008C45D8"/>
    <w:lvl w:ilvl="0" w:tentative="0">
      <w:start w:val="3"/>
      <w:numFmt w:val="decimal"/>
      <w:lvlText w:val="%1."/>
      <w:lvlJc w:val="left"/>
      <w:pPr>
        <w:tabs>
          <w:tab w:val="left" w:pos="312"/>
        </w:tabs>
      </w:pPr>
    </w:lvl>
  </w:abstractNum>
  <w:abstractNum w:abstractNumId="4">
    <w:nsid w:val="023DC6C4"/>
    <w:multiLevelType w:val="singleLevel"/>
    <w:tmpl w:val="023DC6C4"/>
    <w:lvl w:ilvl="0" w:tentative="0">
      <w:start w:val="4"/>
      <w:numFmt w:val="decimal"/>
      <w:suff w:val="nothing"/>
      <w:lvlText w:val="（%1）"/>
      <w:lvlJc w:val="left"/>
    </w:lvl>
  </w:abstractNum>
  <w:abstractNum w:abstractNumId="5">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1FD97BE0"/>
    <w:multiLevelType w:val="singleLevel"/>
    <w:tmpl w:val="1FD97BE0"/>
    <w:lvl w:ilvl="0" w:tentative="0">
      <w:start w:val="1"/>
      <w:numFmt w:val="chineseCounting"/>
      <w:suff w:val="nothing"/>
      <w:lvlText w:val="（%1）"/>
      <w:lvlJc w:val="left"/>
      <w:rPr>
        <w:rFonts w:hint="eastAsia"/>
      </w:rPr>
    </w:lvl>
  </w:abstractNum>
  <w:abstractNum w:abstractNumId="7">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EBEB4BA"/>
    <w:multiLevelType w:val="singleLevel"/>
    <w:tmpl w:val="2EBEB4BA"/>
    <w:lvl w:ilvl="0" w:tentative="0">
      <w:start w:val="26"/>
      <w:numFmt w:val="decimal"/>
      <w:suff w:val="space"/>
      <w:lvlText w:val="%1."/>
      <w:lvlJc w:val="left"/>
    </w:lvl>
  </w:abstractNum>
  <w:abstractNum w:abstractNumId="9">
    <w:nsid w:val="393ADA10"/>
    <w:multiLevelType w:val="singleLevel"/>
    <w:tmpl w:val="393ADA10"/>
    <w:lvl w:ilvl="0" w:tentative="0">
      <w:start w:val="31"/>
      <w:numFmt w:val="decimal"/>
      <w:suff w:val="space"/>
      <w:lvlText w:val="%1."/>
      <w:lvlJc w:val="left"/>
      <w:rPr>
        <w:rFonts w:hint="default" w:ascii="宋体" w:hAnsi="宋体" w:eastAsia="宋体" w:cstheme="minorEastAsia"/>
        <w:b/>
        <w:bCs/>
      </w:rPr>
    </w:lvl>
  </w:abstractNum>
  <w:abstractNum w:abstractNumId="10">
    <w:nsid w:val="50E7145D"/>
    <w:multiLevelType w:val="singleLevel"/>
    <w:tmpl w:val="50E7145D"/>
    <w:lvl w:ilvl="0" w:tentative="0">
      <w:start w:val="1"/>
      <w:numFmt w:val="decimal"/>
      <w:lvlText w:val="%1."/>
      <w:lvlJc w:val="left"/>
      <w:pPr>
        <w:tabs>
          <w:tab w:val="left" w:pos="312"/>
        </w:tabs>
      </w:pPr>
    </w:lvl>
  </w:abstractNum>
  <w:abstractNum w:abstractNumId="11">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2">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666820C5"/>
    <w:multiLevelType w:val="singleLevel"/>
    <w:tmpl w:val="666820C5"/>
    <w:lvl w:ilvl="0" w:tentative="0">
      <w:start w:val="1"/>
      <w:numFmt w:val="decimal"/>
      <w:suff w:val="nothing"/>
      <w:lvlText w:val="%1."/>
      <w:lvlJc w:val="left"/>
    </w:lvl>
  </w:abstractNum>
  <w:abstractNum w:abstractNumId="14">
    <w:nsid w:val="666821AE"/>
    <w:multiLevelType w:val="singleLevel"/>
    <w:tmpl w:val="666821AE"/>
    <w:lvl w:ilvl="0" w:tentative="0">
      <w:start w:val="1"/>
      <w:numFmt w:val="decimal"/>
      <w:suff w:val="nothing"/>
      <w:lvlText w:val="（%1）"/>
      <w:lvlJc w:val="left"/>
    </w:lvl>
  </w:abstractNum>
  <w:abstractNum w:abstractNumId="15">
    <w:nsid w:val="66682272"/>
    <w:multiLevelType w:val="singleLevel"/>
    <w:tmpl w:val="66682272"/>
    <w:lvl w:ilvl="0" w:tentative="0">
      <w:start w:val="2"/>
      <w:numFmt w:val="decimal"/>
      <w:suff w:val="nothing"/>
      <w:lvlText w:val="%1."/>
      <w:lvlJc w:val="left"/>
    </w:lvl>
  </w:abstractNum>
  <w:abstractNum w:abstractNumId="16">
    <w:nsid w:val="66682293"/>
    <w:multiLevelType w:val="singleLevel"/>
    <w:tmpl w:val="66682293"/>
    <w:lvl w:ilvl="0" w:tentative="0">
      <w:start w:val="1"/>
      <w:numFmt w:val="decimal"/>
      <w:suff w:val="nothing"/>
      <w:lvlText w:val="（%1）"/>
      <w:lvlJc w:val="left"/>
    </w:lvl>
  </w:abstractNum>
  <w:abstractNum w:abstractNumId="17">
    <w:nsid w:val="66686153"/>
    <w:multiLevelType w:val="singleLevel"/>
    <w:tmpl w:val="66686153"/>
    <w:lvl w:ilvl="0" w:tentative="0">
      <w:start w:val="5"/>
      <w:numFmt w:val="decimal"/>
      <w:suff w:val="nothing"/>
      <w:lvlText w:val="%1."/>
      <w:lvlJc w:val="left"/>
    </w:lvl>
  </w:abstractNum>
  <w:abstractNum w:abstractNumId="18">
    <w:nsid w:val="6AD43707"/>
    <w:multiLevelType w:val="singleLevel"/>
    <w:tmpl w:val="6AD43707"/>
    <w:lvl w:ilvl="0" w:tentative="0">
      <w:start w:val="5"/>
      <w:numFmt w:val="decimal"/>
      <w:suff w:val="space"/>
      <w:lvlText w:val="%1."/>
      <w:lvlJc w:val="left"/>
    </w:lvl>
  </w:abstractNum>
  <w:num w:numId="1">
    <w:abstractNumId w:val="5"/>
  </w:num>
  <w:num w:numId="2">
    <w:abstractNumId w:val="3"/>
  </w:num>
  <w:num w:numId="3">
    <w:abstractNumId w:val="18"/>
  </w:num>
  <w:num w:numId="4">
    <w:abstractNumId w:val="4"/>
  </w:num>
  <w:num w:numId="5">
    <w:abstractNumId w:val="2"/>
  </w:num>
  <w:num w:numId="6">
    <w:abstractNumId w:val="1"/>
  </w:num>
  <w:num w:numId="7">
    <w:abstractNumId w:val="8"/>
  </w:num>
  <w:num w:numId="8">
    <w:abstractNumId w:val="9"/>
  </w:num>
  <w:num w:numId="9">
    <w:abstractNumId w:val="13"/>
  </w:num>
  <w:num w:numId="10">
    <w:abstractNumId w:val="14"/>
  </w:num>
  <w:num w:numId="11">
    <w:abstractNumId w:val="15"/>
  </w:num>
  <w:num w:numId="12">
    <w:abstractNumId w:val="16"/>
  </w:num>
  <w:num w:numId="13">
    <w:abstractNumId w:val="17"/>
  </w:num>
  <w:num w:numId="14">
    <w:abstractNumId w:val="10"/>
  </w:num>
  <w:num w:numId="15">
    <w:abstractNumId w:val="12"/>
    <w:lvlOverride w:ilvl="0">
      <w:startOverride w:val="2"/>
    </w:lvlOverride>
  </w:num>
  <w:num w:numId="16">
    <w:abstractNumId w:val="7"/>
    <w:lvlOverride w:ilvl="0">
      <w:startOverride w:val="2"/>
    </w:lvlOverride>
  </w:num>
  <w:num w:numId="17">
    <w:abstractNumId w:val="0"/>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zIxOWZiMzU1NDJhMmE4MTY1YmJlODIxZTRhNDMifQ=="/>
  </w:docVars>
  <w:rsids>
    <w:rsidRoot w:val="00000000"/>
    <w:rsid w:val="0100033D"/>
    <w:rsid w:val="020C15F5"/>
    <w:rsid w:val="025D026C"/>
    <w:rsid w:val="02B95509"/>
    <w:rsid w:val="031406F5"/>
    <w:rsid w:val="036C7E00"/>
    <w:rsid w:val="05075F25"/>
    <w:rsid w:val="051031AE"/>
    <w:rsid w:val="05E82D27"/>
    <w:rsid w:val="060C5A1F"/>
    <w:rsid w:val="064E3244"/>
    <w:rsid w:val="065000D1"/>
    <w:rsid w:val="065B15E4"/>
    <w:rsid w:val="076C2901"/>
    <w:rsid w:val="083F63AC"/>
    <w:rsid w:val="083F7130"/>
    <w:rsid w:val="088A4597"/>
    <w:rsid w:val="08B65AF4"/>
    <w:rsid w:val="099038EF"/>
    <w:rsid w:val="09A64D9F"/>
    <w:rsid w:val="09AD4E0C"/>
    <w:rsid w:val="0AA70314"/>
    <w:rsid w:val="0C825799"/>
    <w:rsid w:val="0C9C22B2"/>
    <w:rsid w:val="0CBE5A60"/>
    <w:rsid w:val="0DA648C3"/>
    <w:rsid w:val="0EBA28D2"/>
    <w:rsid w:val="0F152394"/>
    <w:rsid w:val="0F2549CB"/>
    <w:rsid w:val="0F6B6C1D"/>
    <w:rsid w:val="110660A6"/>
    <w:rsid w:val="110D27F3"/>
    <w:rsid w:val="12552103"/>
    <w:rsid w:val="1473728F"/>
    <w:rsid w:val="1506135C"/>
    <w:rsid w:val="15227B56"/>
    <w:rsid w:val="154C5FF7"/>
    <w:rsid w:val="15B316E4"/>
    <w:rsid w:val="15D7425D"/>
    <w:rsid w:val="175B39A7"/>
    <w:rsid w:val="17F73B16"/>
    <w:rsid w:val="184F13F4"/>
    <w:rsid w:val="1A41745E"/>
    <w:rsid w:val="1ABB044E"/>
    <w:rsid w:val="1C003EF3"/>
    <w:rsid w:val="1C624D13"/>
    <w:rsid w:val="1D1207F7"/>
    <w:rsid w:val="1D6A4A33"/>
    <w:rsid w:val="1DAC103F"/>
    <w:rsid w:val="1DCA53C7"/>
    <w:rsid w:val="1DDF6EF5"/>
    <w:rsid w:val="1EA2264F"/>
    <w:rsid w:val="1FE74446"/>
    <w:rsid w:val="204D5C4C"/>
    <w:rsid w:val="211F672C"/>
    <w:rsid w:val="225455FE"/>
    <w:rsid w:val="23E56696"/>
    <w:rsid w:val="25212425"/>
    <w:rsid w:val="26FB3479"/>
    <w:rsid w:val="27B30E28"/>
    <w:rsid w:val="28074FA7"/>
    <w:rsid w:val="28534CC7"/>
    <w:rsid w:val="288B3CBA"/>
    <w:rsid w:val="29C4635F"/>
    <w:rsid w:val="2B336409"/>
    <w:rsid w:val="2B352B08"/>
    <w:rsid w:val="2B82361B"/>
    <w:rsid w:val="2D061E67"/>
    <w:rsid w:val="2D2837FB"/>
    <w:rsid w:val="2E3E316C"/>
    <w:rsid w:val="2FB344DB"/>
    <w:rsid w:val="31BF7BF7"/>
    <w:rsid w:val="33196C24"/>
    <w:rsid w:val="337A3E72"/>
    <w:rsid w:val="35033E7C"/>
    <w:rsid w:val="369E0EF6"/>
    <w:rsid w:val="375E31F0"/>
    <w:rsid w:val="37F250A8"/>
    <w:rsid w:val="389153B5"/>
    <w:rsid w:val="39AB72FA"/>
    <w:rsid w:val="3B721655"/>
    <w:rsid w:val="3D92241E"/>
    <w:rsid w:val="3DD86F3D"/>
    <w:rsid w:val="3E0D7DAB"/>
    <w:rsid w:val="3E6E4482"/>
    <w:rsid w:val="40406BE2"/>
    <w:rsid w:val="41166258"/>
    <w:rsid w:val="427A0DB5"/>
    <w:rsid w:val="429F0D52"/>
    <w:rsid w:val="464513AE"/>
    <w:rsid w:val="46FE2175"/>
    <w:rsid w:val="4822043E"/>
    <w:rsid w:val="483F0499"/>
    <w:rsid w:val="48557468"/>
    <w:rsid w:val="4A0C5659"/>
    <w:rsid w:val="4A615E38"/>
    <w:rsid w:val="4B6052BB"/>
    <w:rsid w:val="4BBD1F14"/>
    <w:rsid w:val="4CAD6450"/>
    <w:rsid w:val="4D085C18"/>
    <w:rsid w:val="4DF07841"/>
    <w:rsid w:val="4E1C3D0D"/>
    <w:rsid w:val="4E3F5A59"/>
    <w:rsid w:val="4E5C54C6"/>
    <w:rsid w:val="4FE713F6"/>
    <w:rsid w:val="500B71A4"/>
    <w:rsid w:val="50DD43F7"/>
    <w:rsid w:val="51456CD1"/>
    <w:rsid w:val="53DE45D6"/>
    <w:rsid w:val="552A1E7A"/>
    <w:rsid w:val="558A20A7"/>
    <w:rsid w:val="55DB7536"/>
    <w:rsid w:val="55FC4928"/>
    <w:rsid w:val="575E5568"/>
    <w:rsid w:val="57D90CD3"/>
    <w:rsid w:val="585645F5"/>
    <w:rsid w:val="58DB5A41"/>
    <w:rsid w:val="59085CFF"/>
    <w:rsid w:val="593E3F74"/>
    <w:rsid w:val="5BA37FCD"/>
    <w:rsid w:val="5D056076"/>
    <w:rsid w:val="5E847F27"/>
    <w:rsid w:val="5E985640"/>
    <w:rsid w:val="5EB23D46"/>
    <w:rsid w:val="60F726A5"/>
    <w:rsid w:val="61680316"/>
    <w:rsid w:val="629E6C38"/>
    <w:rsid w:val="63CA40E4"/>
    <w:rsid w:val="657123B4"/>
    <w:rsid w:val="65AE1BAE"/>
    <w:rsid w:val="66B11231"/>
    <w:rsid w:val="67386876"/>
    <w:rsid w:val="67EB1AD0"/>
    <w:rsid w:val="6808354E"/>
    <w:rsid w:val="681B125A"/>
    <w:rsid w:val="684F1C9E"/>
    <w:rsid w:val="690A0C77"/>
    <w:rsid w:val="69960D5D"/>
    <w:rsid w:val="6AF83593"/>
    <w:rsid w:val="6AFF1805"/>
    <w:rsid w:val="6BB3513A"/>
    <w:rsid w:val="6C9C7F3A"/>
    <w:rsid w:val="6CE35466"/>
    <w:rsid w:val="7026759E"/>
    <w:rsid w:val="70AC5C8E"/>
    <w:rsid w:val="70D56AB2"/>
    <w:rsid w:val="71924FC1"/>
    <w:rsid w:val="719B6B25"/>
    <w:rsid w:val="72AE7DEA"/>
    <w:rsid w:val="73994D87"/>
    <w:rsid w:val="747637C4"/>
    <w:rsid w:val="75E5251D"/>
    <w:rsid w:val="761F211F"/>
    <w:rsid w:val="7645008C"/>
    <w:rsid w:val="77DD0911"/>
    <w:rsid w:val="78150906"/>
    <w:rsid w:val="7B1D1088"/>
    <w:rsid w:val="7C3E7E36"/>
    <w:rsid w:val="7D471233"/>
    <w:rsid w:val="7E5F201F"/>
    <w:rsid w:val="7EC70BA6"/>
    <w:rsid w:val="7FEF4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6"/>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Indent"/>
    <w:basedOn w:val="1"/>
    <w:qFormat/>
    <w:uiPriority w:val="0"/>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next w:val="1"/>
    <w:qFormat/>
    <w:uiPriority w:val="99"/>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List 4"/>
    <w:basedOn w:val="1"/>
    <w:unhideWhenUsed/>
    <w:qFormat/>
    <w:uiPriority w:val="99"/>
    <w:pPr>
      <w:ind w:left="100" w:leftChars="600" w:hanging="200" w:hangingChars="200"/>
      <w:contextualSpacing/>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00FF"/>
      <w:u w:val="single"/>
    </w:rPr>
  </w:style>
  <w:style w:type="paragraph" w:customStyle="1" w:styleId="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List Paragraph"/>
    <w:basedOn w:val="1"/>
    <w:qFormat/>
    <w:uiPriority w:val="99"/>
    <w:pPr>
      <w:ind w:firstLine="420" w:firstLineChars="200"/>
    </w:pPr>
    <w:rPr>
      <w:rFonts w:ascii="Times New Roman" w:hAnsi="Times New Roman"/>
    </w:rPr>
  </w:style>
  <w:style w:type="character" w:customStyle="1" w:styleId="26">
    <w:name w:val="标题 3 字符"/>
    <w:link w:val="5"/>
    <w:qFormat/>
    <w:uiPriority w:val="0"/>
    <w:rPr>
      <w:rFonts w:ascii="Calibri" w:hAnsi="Calibri" w:eastAsia="宋体"/>
      <w:b/>
      <w:sz w:val="32"/>
    </w:rPr>
  </w:style>
  <w:style w:type="paragraph" w:customStyle="1" w:styleId="27">
    <w:name w:val="Char1 Char Char Char Char Char Char"/>
    <w:basedOn w:val="1"/>
    <w:qFormat/>
    <w:uiPriority w:val="0"/>
    <w:rPr>
      <w:rFonts w:ascii="Tahoma" w:hAnsi="Tahoma"/>
      <w:sz w:val="24"/>
      <w:szCs w:val="20"/>
    </w:rPr>
  </w:style>
  <w:style w:type="paragraph" w:customStyle="1" w:styleId="28">
    <w:name w:val="列出段落1"/>
    <w:basedOn w:val="1"/>
    <w:qFormat/>
    <w:uiPriority w:val="99"/>
    <w:pPr>
      <w:ind w:firstLine="420" w:firstLineChars="200"/>
    </w:pPr>
  </w:style>
  <w:style w:type="paragraph" w:customStyle="1" w:styleId="29">
    <w:name w:val="Table Text"/>
    <w:basedOn w:val="1"/>
    <w:semiHidden/>
    <w:qFormat/>
    <w:uiPriority w:val="0"/>
    <w:rPr>
      <w:rFonts w:ascii="宋体" w:hAnsi="宋体" w:eastAsia="宋体" w:cs="宋体"/>
      <w:sz w:val="28"/>
      <w:szCs w:val="28"/>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 w:type="character" w:customStyle="1" w:styleId="31">
    <w:name w:val="标题 1 字符"/>
    <w:link w:val="3"/>
    <w:qFormat/>
    <w:uiPriority w:val="0"/>
    <w:rPr>
      <w:b/>
      <w:bCs/>
      <w:kern w:val="44"/>
      <w:sz w:val="44"/>
      <w:szCs w:val="44"/>
    </w:rPr>
  </w:style>
  <w:style w:type="character" w:customStyle="1" w:styleId="32">
    <w:name w:val="标题 1 Char1"/>
    <w:link w:val="3"/>
    <w:qFormat/>
    <w:uiPriority w:val="0"/>
    <w:rPr>
      <w:rFonts w:ascii="Tahoma" w:hAnsi="Tahoma"/>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46193</Words>
  <Characters>49009</Characters>
  <Lines>0</Lines>
  <Paragraphs>0</Paragraphs>
  <TotalTime>5</TotalTime>
  <ScaleCrop>false</ScaleCrop>
  <LinksUpToDate>false</LinksUpToDate>
  <CharactersWithSpaces>50149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李吉</cp:lastModifiedBy>
  <dcterms:modified xsi:type="dcterms:W3CDTF">2024-11-11T01:33:02Z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4AC4D8A4E9B646F4BADAF5D7D87D2900</vt:lpwstr>
  </property>
</Properties>
</file>