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市级为民办实事健身器材采购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left="0"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技术参数要求</w:t>
      </w:r>
      <w:bookmarkEnd w:id="0"/>
    </w:p>
    <w:tbl>
      <w:tblPr>
        <w:tblStyle w:val="13"/>
        <w:tblW w:w="10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58"/>
        <w:gridCol w:w="857"/>
        <w:gridCol w:w="7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8"/>
                <w:szCs w:val="28"/>
                <w:lang w:val="en-US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8"/>
                <w:szCs w:val="28"/>
                <w:lang w:val="en-US" w:bidi="ar"/>
              </w:rPr>
              <w:t>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8"/>
                <w:szCs w:val="28"/>
                <w:lang w:val="en-US" w:bidi="ar"/>
              </w:rPr>
              <w:t>数量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8"/>
                <w:szCs w:val="28"/>
                <w:lang w:val="en-US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告示牌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15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1、主立柱规格：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≥φ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114*3mm。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2、立柱采用外扣式盖帽。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3、采用横式不锈钢牌面，牌面尺寸≥800×600mm，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板材厚度：≥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1mm，图样及字样蚀刻处理，人体易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接触区域没有钩挂、缠绕结构。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4、告示牌包含以下内容：在明显位置印有“桂林市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体育局赠”字样、简明的的热身运动说明、图示方式介绍正确的锻炼方法、安全警示说明、发现器材有缺陷立即停止使用直到修复的说明、器材供应商的全称及售后服务电话等。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5、响应产品应符合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平步机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0" w:lineRule="atLeast"/>
              <w:ind w:right="220" w:right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1、主立柱规格：≥φ</w:t>
            </w:r>
            <w:r>
              <w:rPr>
                <w:color w:val="auto"/>
                <w:sz w:val="24"/>
                <w:szCs w:val="24"/>
              </w:rPr>
              <w:t>114*3mm。</w:t>
            </w:r>
          </w:p>
          <w:p>
            <w:pPr>
              <w:spacing w:line="0" w:lineRule="atLeast"/>
              <w:ind w:right="220" w:right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2、立柱顶部采用外扣式盖帽。</w:t>
            </w:r>
          </w:p>
          <w:p>
            <w:pPr>
              <w:spacing w:line="0" w:lineRule="atLeast"/>
              <w:ind w:right="220" w:right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3、紧固件材质为不锈钢，具有防盗.防锈.防松功能，</w:t>
            </w:r>
            <w:r>
              <w:rPr>
                <w:rFonts w:hint="eastAsia"/>
                <w:color w:val="auto"/>
                <w:sz w:val="24"/>
                <w:szCs w:val="24"/>
              </w:rPr>
              <w:t>需专用工具方可拆卸。</w:t>
            </w:r>
          </w:p>
          <w:p>
            <w:pPr>
              <w:spacing w:line="0" w:lineRule="atLeast"/>
              <w:ind w:right="220" w:right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4、涂层、橡胶、塑料件有害物质限量应符合 GB19272-2011 中 5.2.6 的要求。</w:t>
            </w:r>
          </w:p>
          <w:p>
            <w:pPr>
              <w:spacing w:line="0" w:lineRule="atLeast"/>
              <w:ind w:right="220" w:right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5、器材安全警示牌有图示方式的安全提示。</w:t>
            </w:r>
          </w:p>
          <w:p>
            <w:pPr>
              <w:spacing w:line="0" w:lineRule="atLeast"/>
              <w:ind w:right="220" w:right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6、响应产品应符合 GB 19272-2011《室外健身器</w:t>
            </w:r>
            <w:r>
              <w:rPr>
                <w:rFonts w:hint="eastAsia"/>
                <w:color w:val="auto"/>
                <w:sz w:val="24"/>
                <w:szCs w:val="24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健骑机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1、主立柱规格：≥φ</w:t>
            </w:r>
            <w:r>
              <w:rPr>
                <w:color w:val="auto"/>
                <w:sz w:val="24"/>
                <w:szCs w:val="24"/>
              </w:rPr>
              <w:t>114*3mm。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2、立柱顶部采用外扣式盖帽。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3、紧固件材质为不锈钢，具有防盗.防锈.防松功能，</w:t>
            </w:r>
            <w:r>
              <w:rPr>
                <w:rFonts w:hint="eastAsia"/>
                <w:color w:val="auto"/>
                <w:sz w:val="24"/>
                <w:szCs w:val="24"/>
              </w:rPr>
              <w:t>需专用工具方可拆卸。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4、涂层、橡胶、塑料件有害物质限量应符合 GB19272-2011 中 5.2.6 的要求。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5、器材安全警示牌有图示方式的安全提示。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6、响应产品应符合 GB 19272-2011《室外健身器</w:t>
            </w:r>
            <w:r>
              <w:rPr>
                <w:rFonts w:hint="eastAsia"/>
                <w:color w:val="auto"/>
                <w:sz w:val="24"/>
                <w:szCs w:val="24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臂力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训练器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1、主立柱规格：≥φ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114*3mm。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2、立柱顶部采用外扣式盖帽。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3、紧固件材质为不锈钢，具有防盗.防锈.防松功能，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需专用工具方可拆卸。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4、涂层、橡胶、塑料件有害物质限量应符合 GB19272-2011 中 5.2.6 的要求。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5、器材安全警示牌有图示方式的安全提示。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仰卧板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1、主支架规格：≥Φ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40×3mm。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2、立柱顶部采用外扣式盖帽。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3、紧固件材质为不锈钢，具有防盗.防锈.防松功能，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需专用工具方可拆卸。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4、涂层、橡胶、塑料件有害物质限量应符合 GB19272-2011 中 5.2.6 的要求。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5、器材安全警示牌有图示方式的安全提示。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伸腰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伸背器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1、主立柱规格：114×3mm钢管；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2、立柱顶部采用外扣式盖帽。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3、紧固件材质为不锈钢，具有防盗.防锈.防松功能，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需专用工具方可拆卸。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4、涂层、橡胶、塑料件有害物质限量应符合 GB19272-2011 中 5.2.6 的要求。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5、器材安全警示牌有图示方式的安全提示。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双位太空漫步机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kern w:val="2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1、主立柱规格：</w:t>
            </w:r>
            <w:r>
              <w:rPr>
                <w:rFonts w:hint="eastAsia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114*3mm。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2、立柱顶部采用外扣式盖帽。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3、紧固件材质为不锈钢，具有防盗.防锈.防松功能，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需专用工具方可拆卸。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4、涂层、橡胶、塑料件有害物质限量应符合 GB19272-2011 中 5.2.6 的要求。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5、器材安全警示牌有图示方式的安全提示。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曲臂训练器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主立柱规格：</w:t>
            </w:r>
            <w:r>
              <w:rPr>
                <w:rFonts w:hint="eastAsia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114×3mm；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2、立柱顶部采用外扣式盖帽，避免淋入雨水，预防立柱内部生锈；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3、紧固件材质为不锈钢，需专用工具方可拆卸；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4、涂层、橡胶、塑料件有害物质限量符合GB 19272-2011中5.2.6的要求；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5、器材安全警示牌有图示方式的安全提示。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6、响应产品应符合 GB 19272-2011《室外健身器</w:t>
            </w:r>
            <w:r>
              <w:rPr>
                <w:rFonts w:hint="eastAsia"/>
                <w:color w:val="auto"/>
                <w:sz w:val="24"/>
                <w:szCs w:val="24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弹振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压腿器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1、主立柱规格：≥φ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114*3mm。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2、立柱顶部采用外扣式盖帽。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3、紧固件材质为不锈钢，具有防盗.防锈.防松功能，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需专用工具方可拆卸。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4、涂层、橡胶、塑料件有害物质限量应符合 GB19272-2011 中 5.2.6 的要求。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5、器材安全警示牌有图示方式的安全提示。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立式腰背按摩器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kern w:val="2"/>
                <w:sz w:val="24"/>
                <w:szCs w:val="24"/>
                <w:lang w:val="e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1、主立柱规格：≥φ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114*3mm。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2、立柱顶部采用外扣式盖帽。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3、紧固件材质为不锈钢，具有防盗.防锈.防松功能，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需专用工具方可拆卸。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4、涂层、橡胶、塑料件有害物质限量应符合 GB19272-2011 中 5.2.6 的要求。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5、器材安全警示牌有图示方式的安全提示。</w:t>
            </w:r>
          </w:p>
          <w:p>
            <w:pPr>
              <w:widowControl/>
              <w:spacing w:line="320" w:lineRule="exact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后仰训练器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 w:bidi="ar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1、主立柱规格：≥φ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60*3mm。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2、立柱顶部采用外扣式盖帽。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3、紧固件材质为不锈钢，具有防盗.防锈.防松功能，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需专用工具方可拆卸。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4、涂层、橡胶、塑料件有害物质限量应符合 GB19272-2011 中 5.2.6 的要求。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5、器材安全警示牌有图示方式的安全提示。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b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大转轮上肢牵引器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 w:bidi="ar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1、主立柱规格：≥φ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114*3mm。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2、立柱顶部采用外扣式盖帽，连接管采用Φ89×2.5mm优质钢管。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3、紧固件材质为不锈钢，具有防盗.防锈.防松功能，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需专用工具方可拆卸。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4、涂层、橡胶、塑料件有害物质限量应符合 GB19272-2011 中 5.2.6 的要求。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5、器材安全警示牌有图示方式的安全提示。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腿部按摩器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 w:bidi="ar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1、主立柱规格：≥φ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114*3mm。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2、立柱顶部采用外扣式盖帽。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3、紧固件材质为不锈钢，具有防盗.防锈.防松功能，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需专用工具方可拆卸。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4、涂层、橡胶、塑料件有害物质限量应符合 GB19272-2011 中 5.2.6 的要求。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5、器材安全警示牌有图示方式的安全提示。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篮球架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1、主立柱规格：≥</w:t>
            </w:r>
            <w:r>
              <w:rPr>
                <w:color w:val="auto"/>
                <w:sz w:val="24"/>
                <w:szCs w:val="24"/>
              </w:rPr>
              <w:t>165×4mm。</w:t>
            </w:r>
          </w:p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2、篮板采用 SMC 材质，尺寸：≥1800×1050m。</w:t>
            </w:r>
          </w:p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3、拉杆</w:t>
            </w:r>
            <w:r>
              <w:rPr>
                <w:rFonts w:hint="eastAsia"/>
                <w:color w:val="auto"/>
                <w:sz w:val="24"/>
                <w:szCs w:val="24"/>
              </w:rPr>
              <w:t>规格</w:t>
            </w:r>
            <w:r>
              <w:rPr>
                <w:color w:val="auto"/>
                <w:sz w:val="24"/>
                <w:szCs w:val="24"/>
              </w:rPr>
              <w:t>：≥φ48×3mm。</w:t>
            </w:r>
          </w:p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4、篮板到立柱距离≥1800mm，篮圈上沿离地面高≥3050mm。</w:t>
            </w:r>
          </w:p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5、地埋深度≥900mm；</w:t>
            </w:r>
          </w:p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6、紧固件材质为不锈钢，具有防盗.防锈.防松功能，</w:t>
            </w:r>
            <w:r>
              <w:rPr>
                <w:rFonts w:hint="eastAsia"/>
                <w:color w:val="auto"/>
                <w:sz w:val="24"/>
                <w:szCs w:val="24"/>
              </w:rPr>
              <w:t>需专用工具方可拆卸。</w:t>
            </w:r>
          </w:p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7、涂层、橡胶、塑料件有害物质限量应符合 GB19272-2011 中 5.2.6 的要求。</w:t>
            </w:r>
          </w:p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8、器材安全警示牌有图示方式的安全提示。</w:t>
            </w:r>
          </w:p>
          <w:p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9、响应产品应符合 GB 19272-2011《室外健身器</w:t>
            </w:r>
            <w:r>
              <w:rPr>
                <w:rFonts w:hint="eastAsia"/>
                <w:color w:val="auto"/>
                <w:sz w:val="24"/>
                <w:szCs w:val="24"/>
              </w:rPr>
              <w:t>材安全通用要求》并提供有效证明文件（具有国家认可的第三方检测机构出具的检测报告复印件加盖公章）。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bidi="ar"/>
              </w:rPr>
              <w:t>室外乒乓球桌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规格：≥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2740*1570*912.5mm；球台采用SMC乒乓球台面，由SMC片状模塑料整体高温模压一次成型；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2、底架采用彩虹腿设计结构，彩虹管采用优质钢管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≥</w:t>
            </w: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φ60×3mm。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3、球台网及网架采用不锈钢钢管和不锈钢钢网，防锈、防松、防盗、防损环。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4、涂层、橡胶、塑料件有害物质限量应符合 GB19272-2011 中 5.2.6 的要求。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5、器材安全警示牌有图示方式的安全提示。</w:t>
            </w:r>
          </w:p>
          <w:p>
            <w:pPr>
              <w:pStyle w:val="12"/>
              <w:widowControl/>
              <w:spacing w:line="320" w:lineRule="exact"/>
              <w:ind w:left="0" w:firstLine="0" w:firstLineChars="0"/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</w:pPr>
            <w:r>
              <w:rPr>
                <w:rFonts w:ascii="新宋体" w:hAnsi="新宋体" w:eastAsia="新宋体" w:cs="新宋体"/>
                <w:color w:val="auto"/>
                <w:sz w:val="24"/>
                <w:szCs w:val="24"/>
                <w:lang w:val="en-US"/>
              </w:rPr>
              <w:t>6、响应产品应符合 GB 19272-2011《室外健身器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/>
              </w:rPr>
              <w:t>材安全通用要求》并提供有效证明文件（具有国家认可的第三方检测机构出具的检测报告复印件加盖公章）。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D52C6"/>
    <w:multiLevelType w:val="singleLevel"/>
    <w:tmpl w:val="3CAD52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jA3ODczZjA5NThlZjY4NDNmZDcwZmFjOWU2YTQifQ=="/>
  </w:docVars>
  <w:rsids>
    <w:rsidRoot w:val="00710A56"/>
    <w:rsid w:val="0004100E"/>
    <w:rsid w:val="00045CFD"/>
    <w:rsid w:val="00060573"/>
    <w:rsid w:val="000D1A5F"/>
    <w:rsid w:val="002F42AF"/>
    <w:rsid w:val="00495511"/>
    <w:rsid w:val="004A73CD"/>
    <w:rsid w:val="004B0091"/>
    <w:rsid w:val="00514D87"/>
    <w:rsid w:val="00543796"/>
    <w:rsid w:val="005855D3"/>
    <w:rsid w:val="00592315"/>
    <w:rsid w:val="005E02BA"/>
    <w:rsid w:val="005E762A"/>
    <w:rsid w:val="005F5448"/>
    <w:rsid w:val="006054B5"/>
    <w:rsid w:val="006E431F"/>
    <w:rsid w:val="00710A56"/>
    <w:rsid w:val="008D2890"/>
    <w:rsid w:val="009214D0"/>
    <w:rsid w:val="00A24378"/>
    <w:rsid w:val="00A7193C"/>
    <w:rsid w:val="00A7437B"/>
    <w:rsid w:val="00AC2F39"/>
    <w:rsid w:val="00AD47C0"/>
    <w:rsid w:val="00AE5C66"/>
    <w:rsid w:val="00B27D8D"/>
    <w:rsid w:val="00B43542"/>
    <w:rsid w:val="00B44AB7"/>
    <w:rsid w:val="00B611B0"/>
    <w:rsid w:val="00B65B8C"/>
    <w:rsid w:val="00BB5438"/>
    <w:rsid w:val="00BE29F8"/>
    <w:rsid w:val="00C436F0"/>
    <w:rsid w:val="00C65EE4"/>
    <w:rsid w:val="00D52517"/>
    <w:rsid w:val="00D8352A"/>
    <w:rsid w:val="00D96492"/>
    <w:rsid w:val="00E64F2C"/>
    <w:rsid w:val="00E82612"/>
    <w:rsid w:val="00F05332"/>
    <w:rsid w:val="00F66098"/>
    <w:rsid w:val="00FE2286"/>
    <w:rsid w:val="01297455"/>
    <w:rsid w:val="0908618A"/>
    <w:rsid w:val="1150421D"/>
    <w:rsid w:val="184B173C"/>
    <w:rsid w:val="213A34DE"/>
    <w:rsid w:val="24F64544"/>
    <w:rsid w:val="27721E10"/>
    <w:rsid w:val="2E080EED"/>
    <w:rsid w:val="2EE61580"/>
    <w:rsid w:val="2F7F17EF"/>
    <w:rsid w:val="2F9356AA"/>
    <w:rsid w:val="31C52651"/>
    <w:rsid w:val="35AC6D8E"/>
    <w:rsid w:val="396D14BD"/>
    <w:rsid w:val="39A24605"/>
    <w:rsid w:val="3BB80364"/>
    <w:rsid w:val="3CD431B6"/>
    <w:rsid w:val="3DFCFC89"/>
    <w:rsid w:val="4F363A6B"/>
    <w:rsid w:val="52BA5C40"/>
    <w:rsid w:val="54223584"/>
    <w:rsid w:val="543C1578"/>
    <w:rsid w:val="55EE0CCF"/>
    <w:rsid w:val="57262ADD"/>
    <w:rsid w:val="57E60891"/>
    <w:rsid w:val="5A17275D"/>
    <w:rsid w:val="5F5AE99A"/>
    <w:rsid w:val="5F7CD88C"/>
    <w:rsid w:val="61AB515E"/>
    <w:rsid w:val="62B13011"/>
    <w:rsid w:val="689649F7"/>
    <w:rsid w:val="699C1F1E"/>
    <w:rsid w:val="76737076"/>
    <w:rsid w:val="7F7A1EB7"/>
    <w:rsid w:val="7FD904F5"/>
    <w:rsid w:val="7FFF1445"/>
    <w:rsid w:val="ECEB6C33"/>
    <w:rsid w:val="EDFB7A15"/>
    <w:rsid w:val="F5BDE895"/>
    <w:rsid w:val="FAFF2EA1"/>
    <w:rsid w:val="FCEFE14D"/>
    <w:rsid w:val="FE3BC658"/>
    <w:rsid w:val="FFFEA713"/>
    <w:rsid w:val="FFFF9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5">
    <w:name w:val="heading 2"/>
    <w:basedOn w:val="1"/>
    <w:next w:val="6"/>
    <w:qFormat/>
    <w:uiPriority w:val="8"/>
    <w:pPr>
      <w:outlineLvl w:val="1"/>
    </w:pPr>
  </w:style>
  <w:style w:type="paragraph" w:styleId="7">
    <w:name w:val="heading 3"/>
    <w:basedOn w:val="1"/>
    <w:next w:val="6"/>
    <w:qFormat/>
    <w:uiPriority w:val="99"/>
    <w:pPr>
      <w:keepNext/>
      <w:keepLines/>
      <w:spacing w:line="413" w:lineRule="auto"/>
      <w:outlineLvl w:val="2"/>
    </w:pPr>
    <w:rPr>
      <w:rFonts w:ascii="Times New Roman" w:hAnsi="Times New Roman" w:cs="Times New Roman"/>
      <w:b/>
      <w:sz w:val="32"/>
      <w:szCs w:val="20"/>
      <w:lang w:val="en-US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 w:val="20"/>
      <w:szCs w:val="20"/>
    </w:rPr>
  </w:style>
  <w:style w:type="paragraph" w:styleId="8">
    <w:name w:val="Body Text"/>
    <w:basedOn w:val="1"/>
    <w:qFormat/>
    <w:uiPriority w:val="99"/>
    <w:pPr>
      <w:spacing w:before="129"/>
      <w:ind w:left="100"/>
    </w:pPr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</w:style>
  <w:style w:type="paragraph" w:styleId="12">
    <w:name w:val="Body Text First Indent"/>
    <w:basedOn w:val="8"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5"/>
    <w:link w:val="10"/>
    <w:qFormat/>
    <w:uiPriority w:val="0"/>
    <w:rPr>
      <w:rFonts w:ascii="宋体" w:hAnsi="宋体" w:cs="宋体"/>
      <w:sz w:val="18"/>
      <w:szCs w:val="18"/>
      <w:lang w:val="zh-CN"/>
    </w:rPr>
  </w:style>
  <w:style w:type="character" w:customStyle="1" w:styleId="18">
    <w:name w:val="页脚 字符"/>
    <w:basedOn w:val="15"/>
    <w:link w:val="9"/>
    <w:qFormat/>
    <w:uiPriority w:val="0"/>
    <w:rPr>
      <w:rFonts w:ascii="宋体" w:hAnsi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550</Words>
  <Characters>3139</Characters>
  <Lines>26</Lines>
  <Paragraphs>7</Paragraphs>
  <TotalTime>56</TotalTime>
  <ScaleCrop>false</ScaleCrop>
  <LinksUpToDate>false</LinksUpToDate>
  <CharactersWithSpaces>3682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2023-06-06T04:43:00Z</dcterms:created>
  <dc:creator>qq</dc:creator>
  <cp:lastModifiedBy>廖晓春</cp:lastModifiedBy>
  <dcterms:modified xsi:type="dcterms:W3CDTF">2024-11-04T15:46:54Z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CCFEE4D64A1F4E5498BADCAB9DCF65D8</vt:lpwstr>
  </property>
</Properties>
</file>