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204" w:beforeAutospacing="0" w:after="204" w:afterAutospacing="0"/>
        <w:jc w:val="center"/>
        <w:rPr>
          <w:rStyle w:val="4"/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Style w:val="4"/>
          <w:rFonts w:hint="eastAsia" w:asciiTheme="majorEastAsia" w:hAnsiTheme="majorEastAsia" w:eastAsiaTheme="majorEastAsia"/>
          <w:b w:val="0"/>
          <w:bCs w:val="0"/>
          <w:color w:val="000000"/>
          <w:sz w:val="30"/>
          <w:szCs w:val="30"/>
        </w:rPr>
        <w:t>荔</w:t>
      </w:r>
      <w:r>
        <w:rPr>
          <w:rStyle w:val="4"/>
          <w:rFonts w:hint="eastAsia" w:ascii="黑体" w:hAnsi="黑体" w:eastAsia="黑体"/>
          <w:b w:val="0"/>
          <w:bCs w:val="0"/>
          <w:color w:val="000000"/>
          <w:sz w:val="30"/>
          <w:szCs w:val="30"/>
        </w:rPr>
        <w:t>浦市财政局政府采购投诉处理决定书</w:t>
      </w:r>
    </w:p>
    <w:p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204" w:beforeAutospacing="0" w:after="204" w:afterAutospacing="0"/>
        <w:jc w:val="center"/>
        <w:rPr>
          <w:rStyle w:val="4"/>
          <w:rFonts w:hint="eastAsia" w:asciiTheme="minorEastAsia" w:hAnsiTheme="minorEastAsia" w:eastAsiaTheme="minorEastAsia"/>
          <w:b w:val="0"/>
          <w:color w:val="00000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/>
          <w:b w:val="0"/>
          <w:color w:val="000000"/>
          <w:sz w:val="24"/>
          <w:szCs w:val="24"/>
        </w:rPr>
        <w:t>荔财采决[202</w:t>
      </w:r>
      <w:r>
        <w:rPr>
          <w:rStyle w:val="4"/>
          <w:rFonts w:hint="eastAsia" w:asciiTheme="minorEastAsia" w:hAnsiTheme="minorEastAsia" w:eastAsiaTheme="minorEastAsia"/>
          <w:b w:val="0"/>
          <w:color w:val="000000"/>
          <w:sz w:val="24"/>
          <w:szCs w:val="24"/>
          <w:lang w:val="en-US" w:eastAsia="zh-CN"/>
        </w:rPr>
        <w:t>5</w:t>
      </w:r>
      <w:r>
        <w:rPr>
          <w:rStyle w:val="4"/>
          <w:rFonts w:hint="eastAsia" w:asciiTheme="minorEastAsia" w:hAnsiTheme="minorEastAsia" w:eastAsiaTheme="minorEastAsia"/>
          <w:b w:val="0"/>
          <w:color w:val="000000"/>
          <w:sz w:val="24"/>
          <w:szCs w:val="24"/>
        </w:rPr>
        <w:t>]</w:t>
      </w:r>
      <w:r>
        <w:rPr>
          <w:rStyle w:val="4"/>
          <w:rFonts w:hint="eastAsia" w:asciiTheme="minorEastAsia" w:hAnsiTheme="minorEastAsia" w:eastAsiaTheme="minorEastAsia"/>
          <w:b w:val="0"/>
          <w:color w:val="000000"/>
          <w:sz w:val="24"/>
          <w:szCs w:val="24"/>
          <w:lang w:val="en-US" w:eastAsia="zh-CN"/>
        </w:rPr>
        <w:t>1</w:t>
      </w:r>
      <w:r>
        <w:rPr>
          <w:rStyle w:val="4"/>
          <w:rFonts w:hint="eastAsia" w:asciiTheme="minorEastAsia" w:hAnsiTheme="minorEastAsia" w:eastAsiaTheme="minorEastAsia"/>
          <w:b w:val="0"/>
          <w:color w:val="000000"/>
          <w:sz w:val="24"/>
          <w:szCs w:val="24"/>
        </w:rPr>
        <w:t>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color w:val="000000"/>
          <w:sz w:val="24"/>
          <w:szCs w:val="24"/>
        </w:rPr>
        <w:t>项目编号</w:t>
      </w: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62025022172752372、62025040809030739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二、</w:t>
      </w:r>
      <w:r>
        <w:rPr>
          <w:rStyle w:val="4"/>
          <w:rFonts w:hint="eastAsia" w:ascii="宋体" w:hAnsi="宋体" w:eastAsia="宋体" w:cs="宋体"/>
          <w:b/>
          <w:bCs/>
          <w:color w:val="000000"/>
          <w:sz w:val="24"/>
          <w:szCs w:val="24"/>
        </w:rPr>
        <w:t>项目名称</w:t>
      </w: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荔浦市荔城镇沙街小学学生宿舍空调采购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三、</w:t>
      </w:r>
      <w:r>
        <w:rPr>
          <w:rStyle w:val="4"/>
          <w:rFonts w:hint="eastAsia" w:ascii="宋体" w:hAnsi="宋体" w:eastAsia="宋体" w:cs="宋体"/>
          <w:b/>
          <w:bCs/>
          <w:color w:val="000000"/>
          <w:sz w:val="24"/>
          <w:szCs w:val="24"/>
        </w:rPr>
        <w:t>相关当事人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投诉人：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南宁茵骐网络科技有限公司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地 址：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南宁市义忠街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44号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被投诉人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：荔浦市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荔城镇中心学校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地 址：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荔浦市荔城镇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城南街得胜路北一巷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1号</w:t>
      </w:r>
    </w:p>
    <w:p>
      <w:pPr>
        <w:keepNext w:val="0"/>
        <w:keepLines w:val="0"/>
        <w:pageBreakBefore w:val="0"/>
        <w:wordWrap/>
        <w:topLinePunct w:val="0"/>
        <w:bidi w:val="0"/>
        <w:spacing w:beforeAutospacing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被投诉人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广西恒沣制冷设备有限公司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bidi w:val="0"/>
        <w:spacing w:beforeAutospacing="0" w:afterAutospacing="0" w:line="24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地 址：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广西壮族自治区桂林市全州县全州镇凤凰中路北面龙腾花苑第1幢第1层A10号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被投诉人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 w:themeFill="background1"/>
        </w:rPr>
        <w:t>全州县国恒电器经营店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地 址：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sz w:val="24"/>
          <w:szCs w:val="24"/>
          <w:shd w:val="clear" w:fill="FFFFFF"/>
        </w:rPr>
        <w:t>广西桂林市全州县全州镇城北新区桂北世纪城第五期商业区第1层162号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bidi w:val="0"/>
        <w:spacing w:beforeAutospacing="0" w:afterAutospacing="0" w:line="24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 w:themeFill="background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被投诉人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 w:themeFill="background1"/>
        </w:rPr>
        <w:t>全州县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 w:themeFill="background1"/>
          <w:lang w:eastAsia="zh-CN"/>
        </w:rPr>
        <w:t>海润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 w:themeFill="background1"/>
        </w:rPr>
        <w:t>电器经营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 w:themeFill="background1"/>
          <w:lang w:eastAsia="zh-CN"/>
        </w:rPr>
        <w:t>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textAlignment w:val="auto"/>
        <w:outlineLvl w:val="9"/>
        <w:rPr>
          <w:rStyle w:val="4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地 址：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sz w:val="24"/>
          <w:szCs w:val="24"/>
          <w:shd w:val="clear" w:fill="FFFFFF"/>
        </w:rPr>
        <w:t>广西桂林市全州县全州镇城北新区桂北世纪城第五期商业区第1层162号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四、基本情况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投诉人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对质疑答复不满意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，于202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向本机关提起投诉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本机关审查后于同日依法予以受理。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投诉事项1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：采购文件对投标人实行差别待遇或歧视待遇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投诉事项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投标人有串通投标的事实。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五、处理依据及结果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1、处理依据：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根据《政府采购质疑和投诉办法》（财政部令第94号令）第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eastAsia="zh-CN"/>
        </w:rPr>
        <w:t>三十二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条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eastAsia="zh-CN"/>
        </w:rPr>
        <w:t>第二项规定，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投诉事项成立。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 w:firstLine="48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2、处理结果：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责令采购单位修改采购文件后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重新开展采购活动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六、其他补充事宜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tLeas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投诉人如不服本决定，可在决定书送达之日起六十日内依法向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荔浦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市人民政府申请行政复议，也可以在决定书送达之日起六个月内向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荔浦市人民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法院提起行政诉讼。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tLeas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240" w:lineRule="atLeas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荔浦市财政局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tLeas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700C"/>
    <w:multiLevelType w:val="singleLevel"/>
    <w:tmpl w:val="64CB700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1CE8"/>
    <w:rsid w:val="0020041E"/>
    <w:rsid w:val="00471CE8"/>
    <w:rsid w:val="00485DA3"/>
    <w:rsid w:val="005405F7"/>
    <w:rsid w:val="005934C2"/>
    <w:rsid w:val="00594D94"/>
    <w:rsid w:val="00797B6F"/>
    <w:rsid w:val="007F7B42"/>
    <w:rsid w:val="00C65C97"/>
    <w:rsid w:val="00DC4745"/>
    <w:rsid w:val="00E21606"/>
    <w:rsid w:val="00EA1422"/>
    <w:rsid w:val="00F955EA"/>
    <w:rsid w:val="16D072DE"/>
    <w:rsid w:val="21515B6C"/>
    <w:rsid w:val="32117A6D"/>
    <w:rsid w:val="364579FB"/>
    <w:rsid w:val="4BA01002"/>
    <w:rsid w:val="62B5763E"/>
    <w:rsid w:val="66752725"/>
    <w:rsid w:val="66E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TML Sample"/>
    <w:basedOn w:val="3"/>
    <w:unhideWhenUsed/>
    <w:qFormat/>
    <w:uiPriority w:val="99"/>
    <w:rPr>
      <w:rFonts w:ascii="宋体" w:hAnsi="宋体" w:eastAsia="宋体" w:cs="宋体"/>
    </w:rPr>
  </w:style>
  <w:style w:type="character" w:customStyle="1" w:styleId="7">
    <w:name w:val="bookmark-ite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ScaleCrop>false</ScaleCrop>
  <LinksUpToDate>false</LinksUpToDate>
  <CharactersWithSpaces>739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2023-04-19T02:17:00Z</dcterms:created>
  <dc:creator>余丽平</dc:creator>
  <cp:lastModifiedBy>政府采购办</cp:lastModifiedBy>
  <cp:lastPrinted>2025-05-19T01:35:18Z</cp:lastPrinted>
  <dcterms:modified xsi:type="dcterms:W3CDTF">2025-05-19T01:37:13Z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