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ascii="Arial" w:hAnsi="Arial" w:cs="Arial"/>
          <w:sz w:val="32"/>
          <w:szCs w:val="32"/>
        </w:rPr>
        <w:t>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中共资源县委办公室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</w:rPr>
        <w:t>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政府采购意向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更正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）</w:t>
      </w:r>
    </w:p>
    <w:p>
      <w:pPr>
        <w:pStyle w:val="4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pStyle w:val="4"/>
        <w:spacing w:line="585" w:lineRule="atLeast"/>
        <w:ind w:firstLine="6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为便于供应商及时了解政府采购信息，根据《财政部关于开展政府采购意向公开工作的通知》（财库〔2020〕10号）、《广西壮族自治区财政厅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关于进一步规范</w:t>
      </w:r>
      <w:r>
        <w:rPr>
          <w:rFonts w:hint="eastAsia" w:ascii="仿宋" w:hAnsi="仿宋" w:eastAsia="仿宋" w:cs="仿宋"/>
          <w:sz w:val="32"/>
          <w:szCs w:val="32"/>
        </w:rPr>
        <w:t>政府采购意向公开工作的的通知》（桂财采〔202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sz w:val="32"/>
          <w:szCs w:val="32"/>
        </w:rPr>
        <w:t>号）等有关规定，现将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244"/>
        <w:gridCol w:w="993"/>
        <w:gridCol w:w="1134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524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（万元）</w:t>
            </w:r>
          </w:p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850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hint="default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计算机及操作系统采购</w:t>
            </w:r>
          </w:p>
        </w:tc>
        <w:tc>
          <w:tcPr>
            <w:tcW w:w="5244" w:type="dxa"/>
          </w:tcPr>
          <w:p>
            <w:pPr>
              <w:widowControl/>
              <w:spacing w:line="405" w:lineRule="atLeas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采购一批计算机及操作系统</w:t>
            </w:r>
          </w:p>
        </w:tc>
        <w:tc>
          <w:tcPr>
            <w:tcW w:w="9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298.00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2024年11月</w:t>
            </w:r>
          </w:p>
        </w:tc>
        <w:tc>
          <w:tcPr>
            <w:tcW w:w="85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hint="default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计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算机软件及运维服务采购</w:t>
            </w:r>
          </w:p>
        </w:tc>
        <w:tc>
          <w:tcPr>
            <w:tcW w:w="5244" w:type="dxa"/>
          </w:tcPr>
          <w:p>
            <w:pPr>
              <w:widowControl/>
              <w:spacing w:line="405" w:lineRule="atLeast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采购一批常用基本办公软件、安全软件及运行管理维护服务</w:t>
            </w:r>
          </w:p>
        </w:tc>
        <w:tc>
          <w:tcPr>
            <w:tcW w:w="9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71.52</w:t>
            </w: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2024年11月</w:t>
            </w:r>
          </w:p>
        </w:tc>
        <w:tc>
          <w:tcPr>
            <w:tcW w:w="850" w:type="dxa"/>
          </w:tcPr>
          <w:p/>
        </w:tc>
      </w:tr>
    </w:tbl>
    <w:p>
      <w:pPr>
        <w:pStyle w:val="4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本次公开的政府采购意向是本单位政府采购工作的初步安排，具体采购项目情况以相关采购公告和采购文件为准。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ind w:firstLine="645"/>
        <w:rPr>
          <w:rFonts w:hint="default" w:ascii="Arial" w:hAnsi="Arial" w:eastAsia="仿宋_GB2312" w:cs="Arial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                                            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中共资源县委办公室</w:t>
      </w:r>
    </w:p>
    <w:p>
      <w:pPr>
        <w:pStyle w:val="4"/>
        <w:ind w:firstLine="645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     2024</w:t>
      </w:r>
      <w:r>
        <w:rPr>
          <w:rFonts w:hint="eastAsia" w:ascii="仿宋_GB2312" w:hAnsi="Arial" w:eastAsia="仿宋_GB2312" w:cs="Arial"/>
          <w:sz w:val="32"/>
          <w:szCs w:val="32"/>
        </w:rPr>
        <w:t>年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28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/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jE4N2JjZDVlZTJjYzcyMzU5YTNjMWNjOGNiOTAifQ=="/>
  </w:docVars>
  <w:rsids>
    <w:rsidRoot w:val="008E0138"/>
    <w:rsid w:val="003A1A69"/>
    <w:rsid w:val="008E0138"/>
    <w:rsid w:val="04F23BCA"/>
    <w:rsid w:val="06DC3395"/>
    <w:rsid w:val="093209A3"/>
    <w:rsid w:val="0A671B7B"/>
    <w:rsid w:val="0D2E74BD"/>
    <w:rsid w:val="11877148"/>
    <w:rsid w:val="12F639AD"/>
    <w:rsid w:val="164B59DA"/>
    <w:rsid w:val="215811A4"/>
    <w:rsid w:val="26102F02"/>
    <w:rsid w:val="29696034"/>
    <w:rsid w:val="2A093A87"/>
    <w:rsid w:val="2A1C32FD"/>
    <w:rsid w:val="2B291C93"/>
    <w:rsid w:val="39B25462"/>
    <w:rsid w:val="3CE01790"/>
    <w:rsid w:val="3D880ACB"/>
    <w:rsid w:val="41EF2AB2"/>
    <w:rsid w:val="4208667D"/>
    <w:rsid w:val="426B2AE5"/>
    <w:rsid w:val="42E53F7C"/>
    <w:rsid w:val="48476B6B"/>
    <w:rsid w:val="49B274B6"/>
    <w:rsid w:val="4D84489A"/>
    <w:rsid w:val="637A0759"/>
    <w:rsid w:val="678A7DBA"/>
    <w:rsid w:val="6A3142C8"/>
    <w:rsid w:val="7483438F"/>
    <w:rsid w:val="776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1242</Words>
  <Characters>1297</Characters>
  <Lines>5</Lines>
  <Paragraphs>1</Paragraphs>
  <TotalTime>3</TotalTime>
  <ScaleCrop>false</ScaleCrop>
  <LinksUpToDate>false</LinksUpToDate>
  <CharactersWithSpaces>1404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Administrator</cp:lastModifiedBy>
  <dcterms:modified xsi:type="dcterms:W3CDTF">2024-11-13T02:48:57Z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798029BC8710450882FC2917B7AAB7EE</vt:lpwstr>
  </property>
</Properties>
</file>