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6B411">
      <w:pPr>
        <w:snapToGrid w:val="0"/>
        <w:spacing w:before="156" w:beforeLines="50"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28359027"/>
      <w:bookmarkStart w:id="1" w:name="_Toc35393814"/>
      <w:bookmarkStart w:id="2" w:name="_Toc35393645"/>
      <w:bookmarkStart w:id="3" w:name="_Toc28359104"/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广西卓杰项目管理有限公司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关于临桂区养老综合服务中心新建水泵房工程（项目编号: GLZC2024-C2-120055-GXZJ）更正公告</w:t>
      </w:r>
    </w:p>
    <w:p w14:paraId="5595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一、项目基本情况</w:t>
      </w:r>
      <w:bookmarkEnd w:id="0"/>
      <w:bookmarkEnd w:id="1"/>
      <w:bookmarkEnd w:id="2"/>
      <w:bookmarkEnd w:id="3"/>
    </w:p>
    <w:p w14:paraId="0BF84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原公告的采购项目编号：GLZC2024-C2-120055-GXZJ</w:t>
      </w:r>
    </w:p>
    <w:p w14:paraId="68716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原公告的采购项目名称：临桂区养老综合服务中心新建水泵房工程</w:t>
      </w:r>
    </w:p>
    <w:p w14:paraId="2C679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首次公告日期：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2024年9月3日</w:t>
      </w:r>
    </w:p>
    <w:p w14:paraId="3A76C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4" w:name="_Toc28359028"/>
      <w:bookmarkStart w:id="5" w:name="_Toc35393815"/>
      <w:bookmarkStart w:id="6" w:name="_Toc28359105"/>
      <w:bookmarkStart w:id="7" w:name="_Toc35393646"/>
      <w:r>
        <w:rPr>
          <w:rFonts w:hint="eastAsia" w:ascii="宋体" w:hAnsi="宋体" w:eastAsia="宋体" w:cs="宋体"/>
          <w:sz w:val="24"/>
          <w:szCs w:val="24"/>
          <w:lang w:eastAsia="zh-CN"/>
        </w:rPr>
        <w:t>二、更正信息</w:t>
      </w:r>
      <w:bookmarkEnd w:id="4"/>
      <w:bookmarkEnd w:id="5"/>
      <w:bookmarkEnd w:id="6"/>
      <w:bookmarkEnd w:id="7"/>
    </w:p>
    <w:p w14:paraId="0246C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8" w:name="_Toc35393816"/>
      <w:bookmarkStart w:id="9" w:name="_Toc35393647"/>
      <w:r>
        <w:rPr>
          <w:rFonts w:hint="eastAsia" w:ascii="宋体" w:hAnsi="宋体" w:eastAsia="宋体" w:cs="宋体"/>
          <w:sz w:val="24"/>
          <w:szCs w:val="24"/>
          <w:lang w:eastAsia="zh-CN"/>
        </w:rPr>
        <w:t>更正事项：</w:t>
      </w:r>
      <w:r>
        <w:rPr>
          <w:rFonts w:hint="eastAsia" w:ascii="宋体" w:hAnsi="宋体" w:cs="宋体"/>
          <w:sz w:val="24"/>
          <w:szCs w:val="24"/>
          <w:lang w:eastAsia="zh-CN"/>
        </w:rPr>
        <w:t>清单</w:t>
      </w:r>
    </w:p>
    <w:tbl>
      <w:tblPr>
        <w:tblStyle w:val="12"/>
        <w:tblW w:w="14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56"/>
        <w:gridCol w:w="6031"/>
        <w:gridCol w:w="6425"/>
      </w:tblGrid>
      <w:tr w14:paraId="5914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5" w:type="dxa"/>
          </w:tcPr>
          <w:p w14:paraId="3D93FB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56" w:type="dxa"/>
          </w:tcPr>
          <w:p w14:paraId="5EEE86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更正项</w:t>
            </w:r>
          </w:p>
        </w:tc>
        <w:tc>
          <w:tcPr>
            <w:tcW w:w="6031" w:type="dxa"/>
          </w:tcPr>
          <w:p w14:paraId="4A9A58DE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更正前内容</w:t>
            </w:r>
          </w:p>
        </w:tc>
        <w:tc>
          <w:tcPr>
            <w:tcW w:w="6425" w:type="dxa"/>
          </w:tcPr>
          <w:p w14:paraId="3B93C52F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更正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内容</w:t>
            </w:r>
          </w:p>
        </w:tc>
      </w:tr>
      <w:tr w14:paraId="6630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45" w:type="dxa"/>
          </w:tcPr>
          <w:p w14:paraId="7473DF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56" w:type="dxa"/>
          </w:tcPr>
          <w:p w14:paraId="1C4EF5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清单</w:t>
            </w:r>
          </w:p>
        </w:tc>
        <w:tc>
          <w:tcPr>
            <w:tcW w:w="6031" w:type="dxa"/>
          </w:tcPr>
          <w:p w14:paraId="474C8562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原上传的清单作废，以最新上传的清单为准。</w:t>
            </w:r>
          </w:p>
        </w:tc>
        <w:tc>
          <w:tcPr>
            <w:tcW w:w="6425" w:type="dxa"/>
          </w:tcPr>
          <w:p w14:paraId="6D4AA49F"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原上传的清单作废，以最新上传的清单为准。</w:t>
            </w:r>
          </w:p>
        </w:tc>
      </w:tr>
    </w:tbl>
    <w:p w14:paraId="4266F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更正日期：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2024年9月6日</w:t>
      </w:r>
    </w:p>
    <w:p w14:paraId="79101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三、其他补充事宜</w:t>
      </w:r>
      <w:bookmarkEnd w:id="8"/>
      <w:bookmarkEnd w:id="9"/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无。</w:t>
      </w:r>
    </w:p>
    <w:p w14:paraId="5E844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10" w:name="_Toc35393817"/>
      <w:bookmarkStart w:id="11" w:name="_Toc28359029"/>
      <w:bookmarkStart w:id="12" w:name="_Toc28359106"/>
      <w:bookmarkStart w:id="13" w:name="_Toc35393648"/>
      <w:r>
        <w:rPr>
          <w:rFonts w:hint="eastAsia" w:ascii="宋体" w:hAnsi="宋体" w:eastAsia="宋体" w:cs="宋体"/>
          <w:sz w:val="24"/>
          <w:szCs w:val="24"/>
          <w:lang w:eastAsia="zh-CN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60F05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1、采购人信息</w:t>
      </w:r>
    </w:p>
    <w:p w14:paraId="30AB6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名称：桂林市临桂区民政局</w:t>
      </w:r>
    </w:p>
    <w:p w14:paraId="51D95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地址：桂林市临桂区临桂镇环湖路39号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07CB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廖主任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0773-5587676  </w:t>
      </w:r>
      <w:bookmarkStart w:id="14" w:name="_GoBack"/>
      <w:bookmarkEnd w:id="14"/>
    </w:p>
    <w:p w14:paraId="490D5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2、采购代理机构信息</w:t>
      </w:r>
    </w:p>
    <w:p w14:paraId="53484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名称：广西卓杰项目管理有限公司</w:t>
      </w:r>
    </w:p>
    <w:p w14:paraId="7E0F4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地址：临桂区临桂镇山水大道以南、人民路延长线以西汇金·时代广场第1幢34层05号　     </w:t>
      </w:r>
    </w:p>
    <w:p w14:paraId="5EA27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项目联系人：赵工　     联系电话：0773-5222468     </w:t>
      </w:r>
    </w:p>
    <w:p w14:paraId="7FAE1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244CCC2">
      <w:pPr>
        <w:pStyle w:val="17"/>
        <w:rPr>
          <w:rFonts w:hint="eastAsia" w:ascii="宋体" w:hAnsi="宋体" w:eastAsia="宋体" w:cs="宋体"/>
          <w:sz w:val="24"/>
          <w:szCs w:val="24"/>
        </w:rPr>
      </w:pPr>
    </w:p>
    <w:p w14:paraId="39462DBB">
      <w:pPr>
        <w:pStyle w:val="17"/>
        <w:rPr>
          <w:rFonts w:hint="eastAsia" w:ascii="宋体" w:hAnsi="宋体" w:eastAsia="宋体" w:cs="宋体"/>
          <w:sz w:val="24"/>
          <w:szCs w:val="24"/>
        </w:rPr>
      </w:pPr>
    </w:p>
    <w:p w14:paraId="5CEB5115">
      <w:pPr>
        <w:pStyle w:val="17"/>
        <w:jc w:val="right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 xml:space="preserve">广西卓杰项目管理有限公司  </w:t>
      </w:r>
    </w:p>
    <w:p w14:paraId="0A9AF3AE">
      <w:pPr>
        <w:pStyle w:val="17"/>
        <w:jc w:val="right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2024年09月</w:t>
      </w:r>
      <w:r>
        <w:rPr>
          <w:rFonts w:hint="eastAsia" w:ascii="宋体" w:hAnsi="宋体" w:cs="宋体"/>
          <w:kern w:val="2"/>
          <w:sz w:val="24"/>
          <w:szCs w:val="24"/>
          <w:u w:val="none"/>
          <w:lang w:val="en-US" w:eastAsia="zh-CN" w:bidi="ar-SA"/>
        </w:rPr>
        <w:t>06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zk1ZDIyNjcxNmViMDMwZTdlNGRkMmNmZDAxMjkifQ=="/>
  </w:docVars>
  <w:rsids>
    <w:rsidRoot w:val="5C5F096B"/>
    <w:rsid w:val="03521664"/>
    <w:rsid w:val="03836A76"/>
    <w:rsid w:val="08365E65"/>
    <w:rsid w:val="09DC47EA"/>
    <w:rsid w:val="0A0C3321"/>
    <w:rsid w:val="0AAB4A3A"/>
    <w:rsid w:val="0DC7755F"/>
    <w:rsid w:val="0FF26B15"/>
    <w:rsid w:val="12026AEA"/>
    <w:rsid w:val="13266764"/>
    <w:rsid w:val="15905973"/>
    <w:rsid w:val="16CD4552"/>
    <w:rsid w:val="18BD1C8B"/>
    <w:rsid w:val="194523AC"/>
    <w:rsid w:val="1A6C1935"/>
    <w:rsid w:val="1A7E5B35"/>
    <w:rsid w:val="1AF36045"/>
    <w:rsid w:val="1E5D1F46"/>
    <w:rsid w:val="1E5D35E9"/>
    <w:rsid w:val="211C7E96"/>
    <w:rsid w:val="217B3074"/>
    <w:rsid w:val="23434066"/>
    <w:rsid w:val="23706277"/>
    <w:rsid w:val="24073D5B"/>
    <w:rsid w:val="269404CF"/>
    <w:rsid w:val="276F7B85"/>
    <w:rsid w:val="288D39BF"/>
    <w:rsid w:val="2C7C7A3B"/>
    <w:rsid w:val="2D307DF0"/>
    <w:rsid w:val="2D7E3C87"/>
    <w:rsid w:val="318D08B5"/>
    <w:rsid w:val="32F33D4A"/>
    <w:rsid w:val="33B107B1"/>
    <w:rsid w:val="33F00D0E"/>
    <w:rsid w:val="35521127"/>
    <w:rsid w:val="373E1661"/>
    <w:rsid w:val="39BA1FB2"/>
    <w:rsid w:val="3C4512F0"/>
    <w:rsid w:val="3D766ACE"/>
    <w:rsid w:val="3F00274D"/>
    <w:rsid w:val="409316BE"/>
    <w:rsid w:val="40CC1B82"/>
    <w:rsid w:val="418A27A2"/>
    <w:rsid w:val="448F28D2"/>
    <w:rsid w:val="45CD0EAF"/>
    <w:rsid w:val="49877D17"/>
    <w:rsid w:val="4C0F46CC"/>
    <w:rsid w:val="4C60689E"/>
    <w:rsid w:val="4CD21F4C"/>
    <w:rsid w:val="4DD9022E"/>
    <w:rsid w:val="4E7E4565"/>
    <w:rsid w:val="52CA29FF"/>
    <w:rsid w:val="53C438F2"/>
    <w:rsid w:val="55376345"/>
    <w:rsid w:val="57CF28B2"/>
    <w:rsid w:val="58AE78E0"/>
    <w:rsid w:val="58E95BA9"/>
    <w:rsid w:val="5A334004"/>
    <w:rsid w:val="5A69294C"/>
    <w:rsid w:val="5B633E8B"/>
    <w:rsid w:val="5C083210"/>
    <w:rsid w:val="5C5F096B"/>
    <w:rsid w:val="5CAE45CA"/>
    <w:rsid w:val="5E515CF2"/>
    <w:rsid w:val="624B1D15"/>
    <w:rsid w:val="6284416A"/>
    <w:rsid w:val="62E21061"/>
    <w:rsid w:val="644A1BF1"/>
    <w:rsid w:val="679270A3"/>
    <w:rsid w:val="67B965A1"/>
    <w:rsid w:val="6804655B"/>
    <w:rsid w:val="6B391A6F"/>
    <w:rsid w:val="6B6B079C"/>
    <w:rsid w:val="6CDC7AA6"/>
    <w:rsid w:val="6E5673E4"/>
    <w:rsid w:val="6F4F7F03"/>
    <w:rsid w:val="73007857"/>
    <w:rsid w:val="7366490A"/>
    <w:rsid w:val="73F71F01"/>
    <w:rsid w:val="73FF6F58"/>
    <w:rsid w:val="74EC075A"/>
    <w:rsid w:val="754612FF"/>
    <w:rsid w:val="784D1858"/>
    <w:rsid w:val="78DD168F"/>
    <w:rsid w:val="78DF7393"/>
    <w:rsid w:val="7B02692A"/>
    <w:rsid w:val="7B4A02D1"/>
    <w:rsid w:val="7DB167FE"/>
    <w:rsid w:val="7DE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200" w:line="276" w:lineRule="auto"/>
      <w:jc w:val="left"/>
      <w:outlineLvl w:val="3"/>
    </w:pPr>
    <w:rPr>
      <w:rFonts w:ascii="Calibri Light" w:hAnsi="Calibri Light" w:cs="Times New Roman"/>
      <w:b/>
      <w:bCs/>
      <w:iCs/>
      <w:szCs w:val="2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1400" w:leftChars="1400" w:firstLine="0"/>
    </w:pPr>
  </w:style>
  <w:style w:type="paragraph" w:styleId="6">
    <w:name w:val="Body Text"/>
    <w:basedOn w:val="1"/>
    <w:autoRedefine/>
    <w:unhideWhenUsed/>
    <w:qFormat/>
    <w:uiPriority w:val="0"/>
    <w:pPr>
      <w:spacing w:after="120"/>
    </w:pPr>
  </w:style>
  <w:style w:type="paragraph" w:styleId="7">
    <w:name w:val="Plain Text"/>
    <w:basedOn w:val="1"/>
    <w:next w:val="5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kern w:val="0"/>
      <w:sz w:val="20"/>
    </w:rPr>
  </w:style>
  <w:style w:type="paragraph" w:styleId="9">
    <w:name w:val="Balloon Text"/>
    <w:basedOn w:val="1"/>
    <w:autoRedefine/>
    <w:unhideWhenUsed/>
    <w:qFormat/>
    <w:uiPriority w:val="0"/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TML Sample"/>
    <w:basedOn w:val="13"/>
    <w:autoRedefine/>
    <w:qFormat/>
    <w:uiPriority w:val="0"/>
    <w:rPr>
      <w:rFonts w:ascii="Courier New" w:hAnsi="Courier New"/>
    </w:rPr>
  </w:style>
  <w:style w:type="paragraph" w:customStyle="1" w:styleId="16">
    <w:name w:val="_Style 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_Style 5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8">
    <w:name w:val="无间隔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首行缩进"/>
    <w:basedOn w:val="1"/>
    <w:qFormat/>
    <w:uiPriority w:val="0"/>
    <w:pPr>
      <w:ind w:firstLine="48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1337</Words>
  <Characters>1443</Characters>
  <Lines>0</Lines>
  <Paragraphs>0</Paragraphs>
  <TotalTime>23</TotalTime>
  <ScaleCrop>false</ScaleCrop>
  <LinksUpToDate>false</LinksUpToDate>
  <CharactersWithSpaces>1482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2021-09-23T01:03:00Z</dcterms:created>
  <dc:creator>sun' 初心</dc:creator>
  <cp:lastModifiedBy>彩虹 的约定</cp:lastModifiedBy>
  <cp:lastPrinted>2024-04-07T01:54:00Z</cp:lastPrinted>
  <dcterms:modified xsi:type="dcterms:W3CDTF">2024-09-06T10:26:08Z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B63DEB481B6149A2B5AE94188A85D60D_13</vt:lpwstr>
  </property>
</Properties>
</file>